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06" w:rsidRDefault="00541406">
      <w:pPr>
        <w:rPr>
          <w:b/>
          <w:sz w:val="22"/>
          <w:szCs w:val="22"/>
        </w:rPr>
      </w:pPr>
    </w:p>
    <w:p w:rsidR="00541406" w:rsidRDefault="00974A0E">
      <w:pPr>
        <w:spacing w:line="276" w:lineRule="auto"/>
        <w:jc w:val="center"/>
        <w:rPr>
          <w:b/>
          <w:sz w:val="28"/>
          <w:szCs w:val="28"/>
        </w:rPr>
      </w:pPr>
      <w:r>
        <w:rPr>
          <w:b/>
          <w:sz w:val="28"/>
          <w:szCs w:val="28"/>
        </w:rPr>
        <w:t>Virginia Department of Education</w:t>
      </w:r>
    </w:p>
    <w:p w:rsidR="00541406" w:rsidRDefault="00974A0E">
      <w:pPr>
        <w:spacing w:line="276" w:lineRule="auto"/>
        <w:jc w:val="center"/>
        <w:rPr>
          <w:b/>
          <w:sz w:val="28"/>
          <w:szCs w:val="28"/>
        </w:rPr>
      </w:pPr>
      <w:r>
        <w:rPr>
          <w:b/>
          <w:sz w:val="28"/>
          <w:szCs w:val="28"/>
        </w:rPr>
        <w:t>Grant to Support Division-based Procurement of a Student Performance Analytics Tool</w:t>
      </w:r>
    </w:p>
    <w:p w:rsidR="00541406" w:rsidRDefault="00974A0E">
      <w:pPr>
        <w:pStyle w:val="Title"/>
        <w:spacing w:line="276" w:lineRule="auto"/>
        <w:ind w:firstLine="361"/>
        <w:rPr>
          <w:i/>
          <w:sz w:val="28"/>
          <w:szCs w:val="28"/>
        </w:rPr>
      </w:pPr>
      <w:r>
        <w:rPr>
          <w:i/>
          <w:sz w:val="28"/>
          <w:szCs w:val="28"/>
        </w:rPr>
        <w:t>Application</w:t>
      </w:r>
    </w:p>
    <w:p w:rsidR="00541406" w:rsidRDefault="00974A0E">
      <w:pPr>
        <w:spacing w:line="276" w:lineRule="auto"/>
        <w:jc w:val="center"/>
        <w:rPr>
          <w:b/>
          <w:color w:val="C00000"/>
          <w:sz w:val="28"/>
          <w:szCs w:val="28"/>
        </w:rPr>
      </w:pPr>
      <w:r>
        <w:rPr>
          <w:b/>
          <w:color w:val="C00000"/>
          <w:sz w:val="28"/>
          <w:szCs w:val="28"/>
        </w:rPr>
        <w:t>Application Due Date: May 31, 2021</w:t>
      </w:r>
    </w:p>
    <w:p w:rsidR="00541406" w:rsidRDefault="00541406">
      <w:pPr>
        <w:pStyle w:val="Heading1"/>
        <w:ind w:left="0" w:firstLine="0"/>
        <w:rPr>
          <w:b/>
          <w:sz w:val="22"/>
          <w:szCs w:val="22"/>
          <w:u w:val="none"/>
        </w:rPr>
      </w:pPr>
    </w:p>
    <w:p w:rsidR="00541406" w:rsidRDefault="00974A0E">
      <w:pPr>
        <w:pBdr>
          <w:bottom w:val="single" w:sz="4" w:space="1" w:color="622423"/>
        </w:pBdr>
        <w:spacing w:before="400" w:after="200" w:line="252" w:lineRule="auto"/>
        <w:jc w:val="center"/>
        <w:rPr>
          <w:b/>
          <w:smallCaps/>
          <w:color w:val="632423"/>
          <w:sz w:val="24"/>
          <w:szCs w:val="24"/>
        </w:rPr>
      </w:pPr>
      <w:r>
        <w:rPr>
          <w:b/>
          <w:smallCaps/>
          <w:color w:val="632423"/>
          <w:sz w:val="24"/>
          <w:szCs w:val="24"/>
        </w:rPr>
        <w:t>BACKGROUND</w:t>
      </w:r>
    </w:p>
    <w:p w:rsidR="00541406" w:rsidRDefault="00541406"/>
    <w:p w:rsidR="00541406" w:rsidRDefault="00974A0E">
      <w:pPr>
        <w:pStyle w:val="Heading2"/>
        <w:rPr>
          <w:sz w:val="22"/>
          <w:szCs w:val="22"/>
          <w:u w:val="single"/>
        </w:rPr>
      </w:pPr>
      <w:r>
        <w:rPr>
          <w:sz w:val="22"/>
          <w:szCs w:val="22"/>
          <w:u w:val="single"/>
        </w:rPr>
        <w:t>Purpose of Grant</w:t>
      </w:r>
    </w:p>
    <w:p w:rsidR="00541406" w:rsidRDefault="00974A0E">
      <w:pPr>
        <w:rPr>
          <w:sz w:val="22"/>
          <w:szCs w:val="22"/>
        </w:rPr>
      </w:pPr>
      <w:r>
        <w:rPr>
          <w:sz w:val="22"/>
          <w:szCs w:val="22"/>
        </w:rPr>
        <w:t>The purpose of this one-time grant is to provide support for school divisions to procure a student performance analytics tool for the 2021-2022 school year. VDOE’s state-wide contract for PowerSchool’s Performance Matters Analytics (PMA) expires on June 30</w:t>
      </w:r>
      <w:r>
        <w:rPr>
          <w:sz w:val="22"/>
          <w:szCs w:val="22"/>
        </w:rPr>
        <w:t xml:space="preserve">, 2021. The contract that is expiring is </w:t>
      </w:r>
      <w:r>
        <w:rPr>
          <w:b/>
          <w:sz w:val="22"/>
          <w:szCs w:val="22"/>
        </w:rPr>
        <w:t>only</w:t>
      </w:r>
      <w:r>
        <w:rPr>
          <w:sz w:val="22"/>
          <w:szCs w:val="22"/>
        </w:rPr>
        <w:t xml:space="preserve"> for the PMA (also known as the PowerSchool Early Warning System or Baseball Scorecard). Any other PowerSchool products (e.g., SIS, LMS, and Assessment Generator) that divisions may use and have a division-based</w:t>
      </w:r>
      <w:r>
        <w:rPr>
          <w:sz w:val="22"/>
          <w:szCs w:val="22"/>
        </w:rPr>
        <w:t xml:space="preserve"> contract with PowerSchool for will not be affected. Any division that wishes to continue using PMA should reach out to PowerSchool to discuss an independent procurement, and submit this application for grant support from the VDOE.</w:t>
      </w:r>
    </w:p>
    <w:p w:rsidR="00541406" w:rsidRDefault="00541406">
      <w:pPr>
        <w:rPr>
          <w:sz w:val="22"/>
          <w:szCs w:val="22"/>
        </w:rPr>
      </w:pPr>
    </w:p>
    <w:p w:rsidR="00541406" w:rsidRDefault="00974A0E">
      <w:pPr>
        <w:rPr>
          <w:sz w:val="22"/>
          <w:szCs w:val="22"/>
        </w:rPr>
      </w:pPr>
      <w:r>
        <w:rPr>
          <w:sz w:val="22"/>
          <w:szCs w:val="22"/>
        </w:rPr>
        <w:t>This one-time grant wil</w:t>
      </w:r>
      <w:r>
        <w:rPr>
          <w:sz w:val="22"/>
          <w:szCs w:val="22"/>
        </w:rPr>
        <w:t xml:space="preserve">l be provided to eligible divisions to procure an analytics tool in the following five bands based on the number of students enrolled: </w:t>
      </w:r>
    </w:p>
    <w:p w:rsidR="00541406" w:rsidRDefault="00974A0E">
      <w:pPr>
        <w:numPr>
          <w:ilvl w:val="0"/>
          <w:numId w:val="1"/>
        </w:numPr>
        <w:pBdr>
          <w:top w:val="nil"/>
          <w:left w:val="nil"/>
          <w:bottom w:val="nil"/>
          <w:right w:val="nil"/>
          <w:between w:val="nil"/>
        </w:pBdr>
        <w:rPr>
          <w:color w:val="000000"/>
          <w:sz w:val="22"/>
          <w:szCs w:val="22"/>
        </w:rPr>
      </w:pPr>
      <w:r>
        <w:rPr>
          <w:color w:val="000000"/>
          <w:sz w:val="22"/>
          <w:szCs w:val="22"/>
        </w:rPr>
        <w:t>$4,000</w:t>
      </w:r>
      <w:r>
        <w:rPr>
          <w:color w:val="000000"/>
          <w:sz w:val="22"/>
          <w:szCs w:val="22"/>
        </w:rPr>
        <w:tab/>
      </w:r>
      <w:r>
        <w:rPr>
          <w:color w:val="000000"/>
          <w:sz w:val="22"/>
          <w:szCs w:val="22"/>
        </w:rPr>
        <w:tab/>
        <w:t>(&lt;3,000 students)</w:t>
      </w:r>
    </w:p>
    <w:p w:rsidR="00541406" w:rsidRDefault="00974A0E">
      <w:pPr>
        <w:numPr>
          <w:ilvl w:val="0"/>
          <w:numId w:val="1"/>
        </w:numPr>
        <w:pBdr>
          <w:top w:val="nil"/>
          <w:left w:val="nil"/>
          <w:bottom w:val="nil"/>
          <w:right w:val="nil"/>
          <w:between w:val="nil"/>
        </w:pBdr>
        <w:rPr>
          <w:color w:val="000000"/>
          <w:sz w:val="22"/>
          <w:szCs w:val="22"/>
        </w:rPr>
      </w:pPr>
      <w:r>
        <w:rPr>
          <w:color w:val="000000"/>
          <w:sz w:val="22"/>
          <w:szCs w:val="22"/>
        </w:rPr>
        <w:t>$8,000</w:t>
      </w:r>
      <w:r>
        <w:rPr>
          <w:color w:val="000000"/>
          <w:sz w:val="22"/>
          <w:szCs w:val="22"/>
        </w:rPr>
        <w:tab/>
      </w:r>
      <w:r>
        <w:rPr>
          <w:color w:val="000000"/>
          <w:sz w:val="22"/>
          <w:szCs w:val="22"/>
        </w:rPr>
        <w:tab/>
        <w:t>(3,001-6,000 students)</w:t>
      </w:r>
    </w:p>
    <w:p w:rsidR="00541406" w:rsidRDefault="00974A0E">
      <w:pPr>
        <w:numPr>
          <w:ilvl w:val="0"/>
          <w:numId w:val="1"/>
        </w:numPr>
        <w:pBdr>
          <w:top w:val="nil"/>
          <w:left w:val="nil"/>
          <w:bottom w:val="nil"/>
          <w:right w:val="nil"/>
          <w:between w:val="nil"/>
        </w:pBdr>
        <w:rPr>
          <w:color w:val="000000"/>
          <w:sz w:val="22"/>
          <w:szCs w:val="22"/>
        </w:rPr>
      </w:pPr>
      <w:r>
        <w:rPr>
          <w:color w:val="000000"/>
          <w:sz w:val="22"/>
          <w:szCs w:val="22"/>
        </w:rPr>
        <w:t xml:space="preserve">$16,000 </w:t>
      </w:r>
      <w:r>
        <w:rPr>
          <w:color w:val="000000"/>
          <w:sz w:val="22"/>
          <w:szCs w:val="22"/>
        </w:rPr>
        <w:tab/>
        <w:t>(6,000-16,000 students)</w:t>
      </w:r>
    </w:p>
    <w:p w:rsidR="00541406" w:rsidRDefault="00974A0E">
      <w:pPr>
        <w:numPr>
          <w:ilvl w:val="0"/>
          <w:numId w:val="1"/>
        </w:numPr>
        <w:pBdr>
          <w:top w:val="nil"/>
          <w:left w:val="nil"/>
          <w:bottom w:val="nil"/>
          <w:right w:val="nil"/>
          <w:between w:val="nil"/>
        </w:pBdr>
        <w:rPr>
          <w:color w:val="000000"/>
          <w:sz w:val="22"/>
          <w:szCs w:val="22"/>
        </w:rPr>
      </w:pPr>
      <w:r>
        <w:rPr>
          <w:color w:val="000000"/>
          <w:sz w:val="22"/>
          <w:szCs w:val="22"/>
        </w:rPr>
        <w:t>$30,000</w:t>
      </w:r>
      <w:r>
        <w:rPr>
          <w:color w:val="000000"/>
          <w:sz w:val="22"/>
          <w:szCs w:val="22"/>
        </w:rPr>
        <w:tab/>
      </w:r>
      <w:r>
        <w:rPr>
          <w:color w:val="000000"/>
          <w:sz w:val="22"/>
          <w:szCs w:val="22"/>
        </w:rPr>
        <w:tab/>
        <w:t>(16,001-32,000 studen</w:t>
      </w:r>
      <w:r>
        <w:rPr>
          <w:color w:val="000000"/>
          <w:sz w:val="22"/>
          <w:szCs w:val="22"/>
        </w:rPr>
        <w:t>ts)</w:t>
      </w:r>
    </w:p>
    <w:p w:rsidR="00541406" w:rsidRDefault="00974A0E">
      <w:pPr>
        <w:numPr>
          <w:ilvl w:val="0"/>
          <w:numId w:val="1"/>
        </w:numPr>
        <w:pBdr>
          <w:top w:val="nil"/>
          <w:left w:val="nil"/>
          <w:bottom w:val="nil"/>
          <w:right w:val="nil"/>
          <w:between w:val="nil"/>
        </w:pBdr>
        <w:rPr>
          <w:color w:val="000000"/>
          <w:sz w:val="22"/>
          <w:szCs w:val="22"/>
        </w:rPr>
      </w:pPr>
      <w:r>
        <w:rPr>
          <w:color w:val="000000"/>
          <w:sz w:val="22"/>
          <w:szCs w:val="22"/>
        </w:rPr>
        <w:t xml:space="preserve">$40,000 </w:t>
      </w:r>
      <w:r>
        <w:rPr>
          <w:color w:val="000000"/>
          <w:sz w:val="22"/>
          <w:szCs w:val="22"/>
        </w:rPr>
        <w:tab/>
        <w:t>(&gt;32,000 students)</w:t>
      </w:r>
    </w:p>
    <w:p w:rsidR="00541406" w:rsidRDefault="00541406">
      <w:pPr>
        <w:rPr>
          <w:sz w:val="22"/>
          <w:szCs w:val="22"/>
        </w:rPr>
      </w:pPr>
    </w:p>
    <w:p w:rsidR="00541406" w:rsidRDefault="00974A0E">
      <w:pPr>
        <w:rPr>
          <w:sz w:val="22"/>
          <w:szCs w:val="22"/>
        </w:rPr>
      </w:pPr>
      <w:r>
        <w:rPr>
          <w:sz w:val="22"/>
          <w:szCs w:val="22"/>
        </w:rPr>
        <w:t xml:space="preserve">These bands have been established based upon available funding and a review of contracts collected through the </w:t>
      </w:r>
      <w:hyperlink r:id="rId8">
        <w:r>
          <w:rPr>
            <w:color w:val="0000FF"/>
            <w:sz w:val="22"/>
            <w:szCs w:val="22"/>
            <w:u w:val="single"/>
          </w:rPr>
          <w:t>LASER Adoption Interest Survey</w:t>
        </w:r>
      </w:hyperlink>
      <w:r>
        <w:rPr>
          <w:sz w:val="22"/>
          <w:szCs w:val="22"/>
        </w:rPr>
        <w:t xml:space="preserve"> which was sent through the </w:t>
      </w:r>
      <w:hyperlink r:id="rId9">
        <w:r>
          <w:rPr>
            <w:color w:val="0000FF"/>
            <w:sz w:val="22"/>
            <w:szCs w:val="22"/>
            <w:u w:val="single"/>
          </w:rPr>
          <w:t>Superintendent’s Memo (#103-21)</w:t>
        </w:r>
      </w:hyperlink>
      <w:r>
        <w:rPr>
          <w:sz w:val="22"/>
          <w:szCs w:val="22"/>
        </w:rPr>
        <w:t xml:space="preserve">.  </w:t>
      </w:r>
    </w:p>
    <w:p w:rsidR="00541406" w:rsidRDefault="00541406">
      <w:pPr>
        <w:rPr>
          <w:sz w:val="22"/>
          <w:szCs w:val="22"/>
          <w:highlight w:val="cyan"/>
        </w:rPr>
      </w:pPr>
    </w:p>
    <w:p w:rsidR="00541406" w:rsidRDefault="00974A0E">
      <w:pPr>
        <w:rPr>
          <w:sz w:val="22"/>
          <w:szCs w:val="22"/>
        </w:rPr>
      </w:pPr>
      <w:bookmarkStart w:id="0" w:name="_heading=h.gjdgxs" w:colFirst="0" w:colLast="0"/>
      <w:bookmarkEnd w:id="0"/>
      <w:r>
        <w:rPr>
          <w:sz w:val="22"/>
          <w:szCs w:val="22"/>
        </w:rPr>
        <w:t>VDOE is well underway with the development of the new data analytic system - LASER (Learnin</w:t>
      </w:r>
      <w:r>
        <w:rPr>
          <w:sz w:val="22"/>
          <w:szCs w:val="22"/>
        </w:rPr>
        <w:t xml:space="preserve">g Analytics to Support Education and Reporting). The goal is by the end of the 2021-2022 school year, LASER will contain both an Early Warning System and an Accreditation Tracking System. LASER will be an intuitive tool to turn real-time student data into </w:t>
      </w:r>
      <w:r>
        <w:rPr>
          <w:sz w:val="22"/>
          <w:szCs w:val="22"/>
        </w:rPr>
        <w:t>usable and actionable information through data visualization and reporting. In addition, LASER will also serve as an instrument to help divisions and schools understand and combat learning loss as a result of the COVID-19 pandemic. LASER will be provided t</w:t>
      </w:r>
      <w:r>
        <w:rPr>
          <w:sz w:val="22"/>
          <w:szCs w:val="22"/>
        </w:rPr>
        <w:t>o all divisions at no cost but the adoption is not mandatory. This one-time grant serves to assist in easing the financial burden in procuring an analytics solution for a division until LASER is more fully developed. In addition, applying for this grant im</w:t>
      </w:r>
      <w:r>
        <w:rPr>
          <w:sz w:val="22"/>
          <w:szCs w:val="22"/>
        </w:rPr>
        <w:t>plies that the division is planning to adopt LASER when it is available.</w:t>
      </w:r>
    </w:p>
    <w:p w:rsidR="00541406" w:rsidRDefault="00541406">
      <w:pPr>
        <w:rPr>
          <w:sz w:val="22"/>
          <w:szCs w:val="22"/>
        </w:rPr>
      </w:pPr>
    </w:p>
    <w:p w:rsidR="00541406" w:rsidRDefault="00974A0E">
      <w:pPr>
        <w:pStyle w:val="Heading2"/>
        <w:rPr>
          <w:sz w:val="22"/>
          <w:szCs w:val="22"/>
          <w:u w:val="single"/>
        </w:rPr>
      </w:pPr>
      <w:r>
        <w:rPr>
          <w:sz w:val="22"/>
          <w:szCs w:val="22"/>
          <w:u w:val="single"/>
        </w:rPr>
        <w:t>Awards and Payments</w:t>
      </w:r>
    </w:p>
    <w:p w:rsidR="00541406" w:rsidRDefault="00974A0E">
      <w:pPr>
        <w:numPr>
          <w:ilvl w:val="0"/>
          <w:numId w:val="6"/>
        </w:numPr>
        <w:pBdr>
          <w:top w:val="nil"/>
          <w:left w:val="nil"/>
          <w:bottom w:val="nil"/>
          <w:right w:val="nil"/>
          <w:between w:val="nil"/>
        </w:pBdr>
        <w:rPr>
          <w:color w:val="000000"/>
          <w:sz w:val="22"/>
          <w:szCs w:val="22"/>
        </w:rPr>
      </w:pPr>
      <w:r>
        <w:rPr>
          <w:color w:val="000000"/>
          <w:sz w:val="22"/>
          <w:szCs w:val="22"/>
        </w:rPr>
        <w:t>Any division that wishes to procure an analytics tool should reach out to the selected vendor to discuss an independent procurement with them. Since quote or pric</w:t>
      </w:r>
      <w:r>
        <w:rPr>
          <w:color w:val="000000"/>
          <w:sz w:val="22"/>
          <w:szCs w:val="22"/>
        </w:rPr>
        <w:t xml:space="preserve">ing structure may vary from </w:t>
      </w:r>
      <w:r>
        <w:rPr>
          <w:color w:val="000000"/>
          <w:sz w:val="22"/>
          <w:szCs w:val="22"/>
        </w:rPr>
        <w:lastRenderedPageBreak/>
        <w:t>division to division and product to product, this grant will be allocated to eligible divisions solely based on the five bands described above for consistency.</w:t>
      </w:r>
    </w:p>
    <w:p w:rsidR="00541406" w:rsidRDefault="00974A0E">
      <w:pPr>
        <w:numPr>
          <w:ilvl w:val="0"/>
          <w:numId w:val="6"/>
        </w:numPr>
        <w:pBdr>
          <w:top w:val="nil"/>
          <w:left w:val="nil"/>
          <w:bottom w:val="nil"/>
          <w:right w:val="nil"/>
          <w:between w:val="nil"/>
        </w:pBdr>
        <w:rPr>
          <w:color w:val="000000"/>
          <w:sz w:val="22"/>
          <w:szCs w:val="22"/>
        </w:rPr>
      </w:pPr>
      <w:r>
        <w:rPr>
          <w:color w:val="000000"/>
          <w:sz w:val="22"/>
          <w:szCs w:val="22"/>
        </w:rPr>
        <w:t>Awards to the approved applications will be announced in early June,</w:t>
      </w:r>
      <w:r>
        <w:rPr>
          <w:color w:val="000000"/>
          <w:sz w:val="22"/>
          <w:szCs w:val="22"/>
        </w:rPr>
        <w:t xml:space="preserve"> 2021.  </w:t>
      </w:r>
    </w:p>
    <w:p w:rsidR="00541406" w:rsidRDefault="00974A0E">
      <w:pPr>
        <w:numPr>
          <w:ilvl w:val="0"/>
          <w:numId w:val="6"/>
        </w:numPr>
        <w:pBdr>
          <w:top w:val="nil"/>
          <w:left w:val="nil"/>
          <w:bottom w:val="nil"/>
          <w:right w:val="nil"/>
          <w:between w:val="nil"/>
        </w:pBdr>
        <w:rPr>
          <w:color w:val="000000"/>
          <w:sz w:val="22"/>
          <w:szCs w:val="22"/>
        </w:rPr>
      </w:pPr>
      <w:r>
        <w:rPr>
          <w:color w:val="000000"/>
          <w:sz w:val="22"/>
          <w:szCs w:val="22"/>
        </w:rPr>
        <w:t xml:space="preserve">The grant period is early June, 2021, through September 30, 2022. Awards will be made in </w:t>
      </w:r>
      <w:r>
        <w:rPr>
          <w:color w:val="000000"/>
          <w:sz w:val="22"/>
          <w:szCs w:val="22"/>
          <w:u w:val="single"/>
        </w:rPr>
        <w:t xml:space="preserve">two phases: </w:t>
      </w:r>
    </w:p>
    <w:p w:rsidR="00541406" w:rsidRDefault="00974A0E">
      <w:pPr>
        <w:numPr>
          <w:ilvl w:val="1"/>
          <w:numId w:val="6"/>
        </w:numPr>
        <w:pBdr>
          <w:top w:val="nil"/>
          <w:left w:val="nil"/>
          <w:bottom w:val="nil"/>
          <w:right w:val="nil"/>
          <w:between w:val="nil"/>
        </w:pBdr>
        <w:rPr>
          <w:color w:val="000000"/>
          <w:sz w:val="22"/>
          <w:szCs w:val="22"/>
        </w:rPr>
      </w:pPr>
      <w:r>
        <w:rPr>
          <w:color w:val="000000"/>
          <w:sz w:val="22"/>
          <w:szCs w:val="22"/>
        </w:rPr>
        <w:t>June-August, 2021: The first half of the granted amount will be released, conditioned upon the submission of the signed contract with the selecte</w:t>
      </w:r>
      <w:r>
        <w:rPr>
          <w:color w:val="000000"/>
          <w:sz w:val="22"/>
          <w:szCs w:val="22"/>
        </w:rPr>
        <w:t>d vendor or the final invoice for the procurement of the selected tool; and</w:t>
      </w:r>
    </w:p>
    <w:p w:rsidR="00541406" w:rsidRDefault="00974A0E">
      <w:pPr>
        <w:numPr>
          <w:ilvl w:val="1"/>
          <w:numId w:val="6"/>
        </w:numPr>
        <w:pBdr>
          <w:top w:val="nil"/>
          <w:left w:val="nil"/>
          <w:bottom w:val="nil"/>
          <w:right w:val="nil"/>
          <w:between w:val="nil"/>
        </w:pBdr>
        <w:rPr>
          <w:color w:val="000000"/>
          <w:sz w:val="22"/>
          <w:szCs w:val="22"/>
        </w:rPr>
      </w:pPr>
      <w:r>
        <w:rPr>
          <w:color w:val="000000"/>
          <w:sz w:val="22"/>
          <w:szCs w:val="22"/>
        </w:rPr>
        <w:t>January-February, 2021: The second half of the granted amount will be released, conditioned upon the submission of proofs to indicate that the procured tool is being actively and m</w:t>
      </w:r>
      <w:r>
        <w:rPr>
          <w:color w:val="000000"/>
          <w:sz w:val="22"/>
          <w:szCs w:val="22"/>
        </w:rPr>
        <w:t>eaningfully used.</w:t>
      </w:r>
    </w:p>
    <w:p w:rsidR="00541406" w:rsidRDefault="00541406">
      <w:pPr>
        <w:rPr>
          <w:sz w:val="22"/>
          <w:szCs w:val="22"/>
        </w:rPr>
      </w:pPr>
    </w:p>
    <w:p w:rsidR="00541406" w:rsidRDefault="00974A0E">
      <w:pPr>
        <w:pBdr>
          <w:bottom w:val="single" w:sz="4" w:space="1" w:color="622423"/>
        </w:pBdr>
        <w:spacing w:before="400" w:after="200" w:line="252" w:lineRule="auto"/>
        <w:jc w:val="center"/>
        <w:rPr>
          <w:b/>
          <w:smallCaps/>
          <w:color w:val="632423"/>
          <w:sz w:val="24"/>
          <w:szCs w:val="24"/>
        </w:rPr>
      </w:pPr>
      <w:r>
        <w:rPr>
          <w:b/>
          <w:smallCaps/>
          <w:color w:val="632423"/>
          <w:sz w:val="24"/>
          <w:szCs w:val="24"/>
        </w:rPr>
        <w:t>INSTRUCTIONS</w:t>
      </w:r>
    </w:p>
    <w:p w:rsidR="00541406" w:rsidRDefault="00541406">
      <w:pPr>
        <w:ind w:left="-360" w:firstLine="360"/>
        <w:jc w:val="center"/>
        <w:rPr>
          <w:b/>
          <w:sz w:val="24"/>
          <w:szCs w:val="24"/>
        </w:rPr>
      </w:pPr>
    </w:p>
    <w:p w:rsidR="00541406" w:rsidRDefault="00974A0E">
      <w:pPr>
        <w:pStyle w:val="Heading2"/>
        <w:rPr>
          <w:sz w:val="22"/>
          <w:szCs w:val="22"/>
          <w:u w:val="single"/>
        </w:rPr>
      </w:pPr>
      <w:r>
        <w:rPr>
          <w:sz w:val="22"/>
          <w:szCs w:val="22"/>
          <w:u w:val="single"/>
        </w:rPr>
        <w:t>Part A: Cover Sheet</w:t>
      </w:r>
    </w:p>
    <w:p w:rsidR="00541406" w:rsidRDefault="00974A0E">
      <w:pPr>
        <w:numPr>
          <w:ilvl w:val="0"/>
          <w:numId w:val="3"/>
        </w:numPr>
        <w:rPr>
          <w:color w:val="000000"/>
          <w:sz w:val="22"/>
          <w:szCs w:val="22"/>
        </w:rPr>
      </w:pPr>
      <w:r>
        <w:rPr>
          <w:sz w:val="22"/>
          <w:szCs w:val="22"/>
        </w:rPr>
        <w:t xml:space="preserve">Complete the school division </w:t>
      </w:r>
      <w:r>
        <w:rPr>
          <w:color w:val="000000"/>
          <w:sz w:val="22"/>
          <w:szCs w:val="22"/>
        </w:rPr>
        <w:t xml:space="preserve">information. </w:t>
      </w:r>
    </w:p>
    <w:p w:rsidR="00541406" w:rsidRDefault="00974A0E">
      <w:pPr>
        <w:numPr>
          <w:ilvl w:val="0"/>
          <w:numId w:val="3"/>
        </w:numPr>
        <w:rPr>
          <w:color w:val="000000"/>
          <w:sz w:val="22"/>
          <w:szCs w:val="22"/>
        </w:rPr>
      </w:pPr>
      <w:r>
        <w:rPr>
          <w:color w:val="000000"/>
          <w:sz w:val="22"/>
          <w:szCs w:val="22"/>
        </w:rPr>
        <w:t>The signature of the authorized representative of the school division is required on the cover sheet.</w:t>
      </w:r>
    </w:p>
    <w:p w:rsidR="00541406" w:rsidRDefault="00541406">
      <w:pPr>
        <w:rPr>
          <w:sz w:val="22"/>
          <w:szCs w:val="22"/>
        </w:rPr>
      </w:pPr>
    </w:p>
    <w:p w:rsidR="00541406" w:rsidRDefault="00974A0E">
      <w:pPr>
        <w:pStyle w:val="Heading2"/>
        <w:rPr>
          <w:sz w:val="22"/>
          <w:szCs w:val="22"/>
          <w:u w:val="single"/>
        </w:rPr>
      </w:pPr>
      <w:r>
        <w:rPr>
          <w:sz w:val="22"/>
          <w:szCs w:val="22"/>
          <w:u w:val="single"/>
        </w:rPr>
        <w:t>Appendix A: Acknowledgements and General Assurance</w:t>
      </w:r>
    </w:p>
    <w:p w:rsidR="00541406" w:rsidRDefault="00974A0E">
      <w:pPr>
        <w:numPr>
          <w:ilvl w:val="0"/>
          <w:numId w:val="7"/>
        </w:numPr>
        <w:pBdr>
          <w:top w:val="nil"/>
          <w:left w:val="nil"/>
          <w:bottom w:val="nil"/>
          <w:right w:val="nil"/>
          <w:between w:val="nil"/>
        </w:pBdr>
        <w:rPr>
          <w:color w:val="000000"/>
          <w:sz w:val="22"/>
          <w:szCs w:val="22"/>
        </w:rPr>
      </w:pPr>
      <w:r>
        <w:rPr>
          <w:b/>
          <w:color w:val="000000"/>
          <w:sz w:val="22"/>
          <w:szCs w:val="22"/>
        </w:rPr>
        <w:t>All applying school divisions must consent to the acknowledgements and general assurance to be qualified for the grant.</w:t>
      </w:r>
    </w:p>
    <w:p w:rsidR="00541406" w:rsidRDefault="00974A0E">
      <w:pPr>
        <w:numPr>
          <w:ilvl w:val="0"/>
          <w:numId w:val="7"/>
        </w:numPr>
        <w:pBdr>
          <w:top w:val="nil"/>
          <w:left w:val="nil"/>
          <w:bottom w:val="nil"/>
          <w:right w:val="nil"/>
          <w:between w:val="nil"/>
        </w:pBdr>
        <w:rPr>
          <w:color w:val="000000"/>
          <w:sz w:val="22"/>
          <w:szCs w:val="22"/>
        </w:rPr>
      </w:pPr>
      <w:r>
        <w:rPr>
          <w:color w:val="000000"/>
          <w:sz w:val="22"/>
          <w:szCs w:val="22"/>
        </w:rPr>
        <w:t>Agreement is indicated by placing an “X” in all boxes.</w:t>
      </w:r>
    </w:p>
    <w:p w:rsidR="00541406" w:rsidRDefault="00974A0E">
      <w:pPr>
        <w:numPr>
          <w:ilvl w:val="0"/>
          <w:numId w:val="3"/>
        </w:numPr>
        <w:rPr>
          <w:color w:val="000000"/>
          <w:sz w:val="22"/>
          <w:szCs w:val="22"/>
        </w:rPr>
      </w:pPr>
      <w:r>
        <w:rPr>
          <w:color w:val="000000"/>
          <w:sz w:val="22"/>
          <w:szCs w:val="22"/>
        </w:rPr>
        <w:t>The signature of the authorized representative of the school division is required at the bottom of Appendix A in the application.</w:t>
      </w:r>
    </w:p>
    <w:p w:rsidR="00541406" w:rsidRDefault="00974A0E">
      <w:pPr>
        <w:numPr>
          <w:ilvl w:val="0"/>
          <w:numId w:val="3"/>
        </w:numPr>
        <w:rPr>
          <w:sz w:val="22"/>
          <w:szCs w:val="22"/>
        </w:rPr>
      </w:pPr>
      <w:r>
        <w:rPr>
          <w:sz w:val="22"/>
          <w:szCs w:val="22"/>
        </w:rPr>
        <w:t>Acknowledgements represent a list of conditions to which school divisions must consent to be eligible for this grant. The ackn</w:t>
      </w:r>
      <w:r>
        <w:rPr>
          <w:sz w:val="22"/>
          <w:szCs w:val="22"/>
        </w:rPr>
        <w:t>owledgements and a general assurance are located in Appendix A of the Application Section.</w:t>
      </w:r>
    </w:p>
    <w:p w:rsidR="00541406" w:rsidRDefault="00974A0E">
      <w:pPr>
        <w:numPr>
          <w:ilvl w:val="0"/>
          <w:numId w:val="3"/>
        </w:numPr>
        <w:rPr>
          <w:sz w:val="22"/>
          <w:szCs w:val="22"/>
        </w:rPr>
      </w:pPr>
      <w:r>
        <w:rPr>
          <w:sz w:val="22"/>
          <w:szCs w:val="22"/>
        </w:rPr>
        <w:t xml:space="preserve">The authorized representative’s signature at the bottom of the Appendix A certifies that </w:t>
      </w:r>
      <w:r>
        <w:rPr>
          <w:sz w:val="22"/>
          <w:szCs w:val="22"/>
          <w:u w:val="single"/>
        </w:rPr>
        <w:t>the school division will consent to the acknowledgements and assurance</w:t>
      </w:r>
      <w:r>
        <w:rPr>
          <w:sz w:val="22"/>
          <w:szCs w:val="22"/>
        </w:rPr>
        <w:t xml:space="preserve">. The </w:t>
      </w:r>
      <w:r>
        <w:rPr>
          <w:sz w:val="22"/>
          <w:szCs w:val="22"/>
        </w:rPr>
        <w:t>signed original of the application must be retained at the school division.</w:t>
      </w:r>
    </w:p>
    <w:p w:rsidR="00541406" w:rsidRDefault="00541406">
      <w:pPr>
        <w:ind w:left="360"/>
        <w:rPr>
          <w:color w:val="000000"/>
          <w:sz w:val="22"/>
          <w:szCs w:val="22"/>
        </w:rPr>
      </w:pPr>
    </w:p>
    <w:p w:rsidR="00541406" w:rsidRDefault="00974A0E">
      <w:pPr>
        <w:pStyle w:val="Heading2"/>
        <w:rPr>
          <w:sz w:val="22"/>
          <w:szCs w:val="22"/>
          <w:u w:val="single"/>
        </w:rPr>
      </w:pPr>
      <w:r>
        <w:rPr>
          <w:sz w:val="22"/>
          <w:szCs w:val="22"/>
          <w:u w:val="single"/>
        </w:rPr>
        <w:t>Submitting the Application to the Virginia Department of Education</w:t>
      </w:r>
    </w:p>
    <w:p w:rsidR="00541406" w:rsidRDefault="00974A0E">
      <w:pPr>
        <w:numPr>
          <w:ilvl w:val="0"/>
          <w:numId w:val="4"/>
        </w:numPr>
        <w:rPr>
          <w:sz w:val="22"/>
          <w:szCs w:val="22"/>
        </w:rPr>
      </w:pPr>
      <w:r>
        <w:rPr>
          <w:sz w:val="22"/>
          <w:szCs w:val="22"/>
        </w:rPr>
        <w:t>The application consists only of one document – this document – and must be submitted electronically via email t</w:t>
      </w:r>
      <w:r>
        <w:rPr>
          <w:sz w:val="22"/>
          <w:szCs w:val="22"/>
        </w:rPr>
        <w:t xml:space="preserve">o the Virginia Department of Education by </w:t>
      </w:r>
      <w:r>
        <w:rPr>
          <w:b/>
          <w:color w:val="C00000"/>
          <w:sz w:val="22"/>
          <w:szCs w:val="22"/>
        </w:rPr>
        <w:t>May 31, 2021</w:t>
      </w:r>
      <w:r>
        <w:rPr>
          <w:sz w:val="22"/>
          <w:szCs w:val="22"/>
        </w:rPr>
        <w:t xml:space="preserve">. </w:t>
      </w:r>
    </w:p>
    <w:p w:rsidR="00541406" w:rsidRDefault="00974A0E">
      <w:pPr>
        <w:numPr>
          <w:ilvl w:val="0"/>
          <w:numId w:val="4"/>
        </w:numPr>
        <w:rPr>
          <w:sz w:val="22"/>
          <w:szCs w:val="22"/>
        </w:rPr>
      </w:pPr>
      <w:r>
        <w:rPr>
          <w:sz w:val="22"/>
          <w:szCs w:val="22"/>
        </w:rPr>
        <w:t xml:space="preserve">The email address to submit the application is </w:t>
      </w:r>
      <w:hyperlink r:id="rId10">
        <w:r>
          <w:rPr>
            <w:color w:val="0000FF"/>
            <w:sz w:val="22"/>
            <w:szCs w:val="22"/>
            <w:u w:val="single"/>
          </w:rPr>
          <w:t>Paul.Corbett@doe.virginia.gov</w:t>
        </w:r>
      </w:hyperlink>
      <w:r>
        <w:rPr>
          <w:sz w:val="22"/>
          <w:szCs w:val="22"/>
        </w:rPr>
        <w:t>. Both digital signatures and scanned signature pages are acceptabl</w:t>
      </w:r>
      <w:r>
        <w:rPr>
          <w:sz w:val="22"/>
          <w:szCs w:val="22"/>
        </w:rPr>
        <w:t xml:space="preserve">e.  </w:t>
      </w:r>
    </w:p>
    <w:p w:rsidR="00541406" w:rsidRDefault="00974A0E">
      <w:pPr>
        <w:numPr>
          <w:ilvl w:val="0"/>
          <w:numId w:val="4"/>
        </w:numPr>
        <w:rPr>
          <w:sz w:val="22"/>
          <w:szCs w:val="22"/>
        </w:rPr>
      </w:pPr>
      <w:r>
        <w:rPr>
          <w:sz w:val="22"/>
          <w:szCs w:val="22"/>
        </w:rPr>
        <w:t>Applications that are incomplete, are not signed by the authorized representative of the division, or are submitted after the due date will not be considered for funding.</w:t>
      </w:r>
    </w:p>
    <w:p w:rsidR="00541406" w:rsidRDefault="00974A0E">
      <w:pPr>
        <w:numPr>
          <w:ilvl w:val="0"/>
          <w:numId w:val="5"/>
        </w:numPr>
        <w:pBdr>
          <w:top w:val="nil"/>
          <w:left w:val="nil"/>
          <w:bottom w:val="nil"/>
          <w:right w:val="nil"/>
          <w:between w:val="nil"/>
        </w:pBdr>
        <w:ind w:right="-360"/>
        <w:rPr>
          <w:color w:val="000000"/>
          <w:sz w:val="22"/>
          <w:szCs w:val="22"/>
        </w:rPr>
      </w:pPr>
      <w:r>
        <w:rPr>
          <w:color w:val="000000"/>
          <w:sz w:val="22"/>
          <w:szCs w:val="22"/>
        </w:rPr>
        <w:t>The completed application must be saved as one file (as a Word document or a PDF</w:t>
      </w:r>
      <w:r>
        <w:rPr>
          <w:color w:val="000000"/>
          <w:sz w:val="22"/>
          <w:szCs w:val="22"/>
        </w:rPr>
        <w:t>) with the following naming conventions:</w:t>
      </w:r>
    </w:p>
    <w:p w:rsidR="00541406" w:rsidRDefault="00974A0E">
      <w:pPr>
        <w:numPr>
          <w:ilvl w:val="1"/>
          <w:numId w:val="5"/>
        </w:numPr>
        <w:pBdr>
          <w:top w:val="nil"/>
          <w:left w:val="nil"/>
          <w:bottom w:val="nil"/>
          <w:right w:val="nil"/>
          <w:between w:val="nil"/>
        </w:pBdr>
        <w:ind w:right="-360"/>
        <w:rPr>
          <w:color w:val="000000"/>
          <w:sz w:val="22"/>
          <w:szCs w:val="22"/>
        </w:rPr>
      </w:pPr>
      <w:r>
        <w:rPr>
          <w:b/>
          <w:color w:val="000000"/>
          <w:sz w:val="22"/>
          <w:szCs w:val="22"/>
        </w:rPr>
        <w:t>XXX-SPA Application</w:t>
      </w:r>
      <w:r>
        <w:rPr>
          <w:color w:val="000000"/>
          <w:sz w:val="22"/>
          <w:szCs w:val="22"/>
        </w:rPr>
        <w:t xml:space="preserve">. The “XXX” should be replaced by the division name. For example, the application of ABC Public Schools should be saved as </w:t>
      </w:r>
      <w:r>
        <w:rPr>
          <w:b/>
          <w:color w:val="000000"/>
          <w:sz w:val="22"/>
          <w:szCs w:val="22"/>
        </w:rPr>
        <w:t>ABC-SPA Application.</w:t>
      </w:r>
      <w:r>
        <w:rPr>
          <w:color w:val="000000"/>
          <w:sz w:val="22"/>
          <w:szCs w:val="22"/>
        </w:rPr>
        <w:t xml:space="preserve"> </w:t>
      </w:r>
    </w:p>
    <w:p w:rsidR="00541406" w:rsidRDefault="00974A0E">
      <w:pPr>
        <w:numPr>
          <w:ilvl w:val="0"/>
          <w:numId w:val="5"/>
        </w:numPr>
      </w:pPr>
      <w:r>
        <w:rPr>
          <w:sz w:val="22"/>
          <w:szCs w:val="22"/>
        </w:rPr>
        <w:t xml:space="preserve">Correspondence should be directed to the Office of Technology and Decision Analytics at </w:t>
      </w:r>
      <w:hyperlink r:id="rId11">
        <w:r>
          <w:rPr>
            <w:color w:val="0000FF"/>
            <w:sz w:val="22"/>
            <w:szCs w:val="22"/>
            <w:u w:val="single"/>
          </w:rPr>
          <w:t>Paul.Corbett@doe.virginia.gov</w:t>
        </w:r>
      </w:hyperlink>
      <w:r>
        <w:rPr>
          <w:sz w:val="22"/>
          <w:szCs w:val="22"/>
        </w:rPr>
        <w:t>.</w:t>
      </w:r>
    </w:p>
    <w:p w:rsidR="00541406" w:rsidRDefault="00541406">
      <w:pPr>
        <w:ind w:left="360"/>
      </w:pPr>
    </w:p>
    <w:p w:rsidR="00541406" w:rsidRDefault="00541406">
      <w:pPr>
        <w:rPr>
          <w:color w:val="000000"/>
          <w:sz w:val="22"/>
          <w:szCs w:val="22"/>
        </w:rPr>
      </w:pPr>
    </w:p>
    <w:p w:rsidR="00541406" w:rsidRDefault="00974A0E">
      <w:pPr>
        <w:pBdr>
          <w:bottom w:val="single" w:sz="4" w:space="1" w:color="622423"/>
        </w:pBdr>
        <w:spacing w:before="400" w:after="200" w:line="252" w:lineRule="auto"/>
        <w:jc w:val="center"/>
        <w:rPr>
          <w:b/>
          <w:smallCaps/>
          <w:color w:val="632423"/>
          <w:sz w:val="24"/>
          <w:szCs w:val="24"/>
        </w:rPr>
      </w:pPr>
      <w:r>
        <w:rPr>
          <w:b/>
          <w:smallCaps/>
          <w:color w:val="632423"/>
          <w:sz w:val="24"/>
          <w:szCs w:val="24"/>
        </w:rPr>
        <w:lastRenderedPageBreak/>
        <w:t>APPLICATION SECTION</w:t>
      </w:r>
    </w:p>
    <w:p w:rsidR="00541406" w:rsidRDefault="00541406">
      <w:pPr>
        <w:ind w:left="-360" w:firstLine="360"/>
        <w:jc w:val="center"/>
        <w:rPr>
          <w:b/>
          <w:sz w:val="24"/>
          <w:szCs w:val="24"/>
        </w:rPr>
      </w:pPr>
    </w:p>
    <w:p w:rsidR="00541406" w:rsidRDefault="00974A0E">
      <w:pPr>
        <w:spacing w:after="120"/>
        <w:rPr>
          <w:sz w:val="22"/>
          <w:szCs w:val="22"/>
        </w:rPr>
      </w:pPr>
      <w:r>
        <w:rPr>
          <w:sz w:val="22"/>
          <w:szCs w:val="22"/>
        </w:rPr>
        <w:t>The Virginia Department of Education will provide a one-time grant for school divisions to procure a student analytics tool to support the identification and addressing of learning loss due to the COVID-19 pandemic for the 2021-2022 school year. To be cons</w:t>
      </w:r>
      <w:r>
        <w:rPr>
          <w:sz w:val="22"/>
          <w:szCs w:val="22"/>
        </w:rPr>
        <w:t xml:space="preserve">idered for funding, eligible school divisions must complete all sections of the application and submit the completed application to </w:t>
      </w:r>
      <w:hyperlink r:id="rId12">
        <w:r>
          <w:rPr>
            <w:color w:val="0563C1"/>
            <w:sz w:val="22"/>
            <w:szCs w:val="22"/>
            <w:u w:val="single"/>
          </w:rPr>
          <w:t>Paul.Corbett@doe.virginia.gov</w:t>
        </w:r>
      </w:hyperlink>
      <w:r>
        <w:rPr>
          <w:sz w:val="22"/>
          <w:szCs w:val="22"/>
        </w:rPr>
        <w:t xml:space="preserve"> no later than </w:t>
      </w:r>
      <w:r>
        <w:rPr>
          <w:b/>
          <w:color w:val="C00000"/>
          <w:sz w:val="22"/>
          <w:szCs w:val="22"/>
        </w:rPr>
        <w:t>Monday, May 31, 2021</w:t>
      </w:r>
      <w:r>
        <w:rPr>
          <w:sz w:val="22"/>
          <w:szCs w:val="22"/>
        </w:rPr>
        <w:t xml:space="preserve">. </w:t>
      </w:r>
      <w:r>
        <w:rPr>
          <w:b/>
          <w:color w:val="C00000"/>
          <w:sz w:val="22"/>
          <w:szCs w:val="22"/>
        </w:rPr>
        <w:t>Th</w:t>
      </w:r>
      <w:r>
        <w:rPr>
          <w:b/>
          <w:color w:val="C00000"/>
          <w:sz w:val="22"/>
          <w:szCs w:val="22"/>
        </w:rPr>
        <w:t>e application has only one part – this document</w:t>
      </w:r>
      <w:r>
        <w:rPr>
          <w:color w:val="C00000"/>
          <w:sz w:val="22"/>
          <w:szCs w:val="22"/>
        </w:rPr>
        <w:t xml:space="preserve">. </w:t>
      </w:r>
      <w:r>
        <w:rPr>
          <w:sz w:val="22"/>
          <w:szCs w:val="22"/>
        </w:rPr>
        <w:t xml:space="preserve">Questions should be directed to </w:t>
      </w:r>
      <w:hyperlink r:id="rId13">
        <w:r>
          <w:rPr>
            <w:color w:val="0563C1"/>
            <w:sz w:val="22"/>
            <w:szCs w:val="22"/>
            <w:u w:val="single"/>
          </w:rPr>
          <w:t>Paul.Corbett@doe.virginia.gov</w:t>
        </w:r>
      </w:hyperlink>
      <w:r>
        <w:rPr>
          <w:sz w:val="22"/>
          <w:szCs w:val="22"/>
        </w:rPr>
        <w:t>.</w:t>
      </w:r>
    </w:p>
    <w:p w:rsidR="00541406" w:rsidRDefault="00974A0E">
      <w:pPr>
        <w:spacing w:after="160" w:line="259" w:lineRule="auto"/>
        <w:rPr>
          <w:b/>
          <w:sz w:val="22"/>
          <w:szCs w:val="22"/>
        </w:rPr>
      </w:pPr>
      <w:r>
        <w:rPr>
          <w:b/>
          <w:sz w:val="22"/>
          <w:szCs w:val="22"/>
        </w:rPr>
        <w:t>Required Components – to be completed by the school divisions</w:t>
      </w:r>
    </w:p>
    <w:p w:rsidR="00541406" w:rsidRDefault="00974A0E">
      <w:pPr>
        <w:numPr>
          <w:ilvl w:val="0"/>
          <w:numId w:val="2"/>
        </w:numPr>
        <w:spacing w:line="259" w:lineRule="auto"/>
        <w:rPr>
          <w:sz w:val="22"/>
          <w:szCs w:val="22"/>
        </w:rPr>
      </w:pPr>
      <w:r>
        <w:rPr>
          <w:sz w:val="22"/>
          <w:szCs w:val="22"/>
        </w:rPr>
        <w:t xml:space="preserve">Part A: Cover Sheet – </w:t>
      </w:r>
      <w:r>
        <w:rPr>
          <w:color w:val="C00000"/>
          <w:sz w:val="22"/>
          <w:szCs w:val="22"/>
        </w:rPr>
        <w:t>Auth</w:t>
      </w:r>
      <w:r>
        <w:rPr>
          <w:color w:val="C00000"/>
          <w:sz w:val="22"/>
          <w:szCs w:val="22"/>
        </w:rPr>
        <w:t xml:space="preserve">orized Representative signature required </w:t>
      </w:r>
    </w:p>
    <w:p w:rsidR="00541406" w:rsidRDefault="00974A0E">
      <w:pPr>
        <w:numPr>
          <w:ilvl w:val="0"/>
          <w:numId w:val="2"/>
        </w:numPr>
        <w:spacing w:line="259" w:lineRule="auto"/>
        <w:rPr>
          <w:sz w:val="22"/>
          <w:szCs w:val="22"/>
        </w:rPr>
      </w:pPr>
      <w:r>
        <w:rPr>
          <w:sz w:val="22"/>
          <w:szCs w:val="22"/>
        </w:rPr>
        <w:t xml:space="preserve">Appendix A: Acknowledgements and General Assurance – </w:t>
      </w:r>
      <w:r>
        <w:rPr>
          <w:color w:val="C00000"/>
          <w:sz w:val="22"/>
          <w:szCs w:val="22"/>
        </w:rPr>
        <w:t xml:space="preserve">Authorized Representative signature required </w:t>
      </w:r>
    </w:p>
    <w:p w:rsidR="00541406" w:rsidRDefault="00541406">
      <w:pPr>
        <w:spacing w:line="259" w:lineRule="auto"/>
        <w:ind w:left="360"/>
        <w:rPr>
          <w:sz w:val="22"/>
          <w:szCs w:val="22"/>
        </w:rPr>
      </w:pPr>
    </w:p>
    <w:p w:rsidR="00541406" w:rsidRDefault="00974A0E">
      <w:pPr>
        <w:keepNext/>
        <w:keepLines/>
        <w:spacing w:line="259" w:lineRule="auto"/>
        <w:jc w:val="center"/>
        <w:rPr>
          <w:b/>
          <w:sz w:val="22"/>
          <w:szCs w:val="22"/>
        </w:rPr>
      </w:pPr>
      <w:r>
        <w:rPr>
          <w:b/>
          <w:sz w:val="22"/>
          <w:szCs w:val="22"/>
        </w:rPr>
        <w:t>PART A: Cover Sheet</w:t>
      </w:r>
    </w:p>
    <w:p w:rsidR="00541406" w:rsidRDefault="00541406">
      <w:pPr>
        <w:ind w:left="-1260"/>
        <w:rPr>
          <w:rFonts w:ascii="Quattrocento Sans" w:eastAsia="Quattrocento Sans" w:hAnsi="Quattrocento Sans" w:cs="Quattrocento Sans"/>
          <w:sz w:val="18"/>
          <w:szCs w:val="18"/>
        </w:rPr>
      </w:pPr>
    </w:p>
    <w:tbl>
      <w:tblPr>
        <w:tblStyle w:val="a1"/>
        <w:tblW w:w="9442" w:type="dxa"/>
        <w:tblInd w:w="-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025"/>
        <w:gridCol w:w="3417"/>
      </w:tblGrid>
      <w:tr w:rsidR="00541406">
        <w:tc>
          <w:tcPr>
            <w:tcW w:w="9442" w:type="dxa"/>
            <w:gridSpan w:val="2"/>
            <w:tcBorders>
              <w:top w:val="single" w:sz="6" w:space="0" w:color="000000"/>
              <w:left w:val="single" w:sz="6" w:space="0" w:color="000000"/>
              <w:bottom w:val="single" w:sz="6" w:space="0" w:color="000000"/>
              <w:right w:val="single" w:sz="6" w:space="0" w:color="000000"/>
            </w:tcBorders>
            <w:shd w:val="clear" w:color="auto" w:fill="auto"/>
          </w:tcPr>
          <w:p w:rsidR="00541406" w:rsidRDefault="00974A0E">
            <w:pPr>
              <w:rPr>
                <w:sz w:val="24"/>
                <w:szCs w:val="24"/>
              </w:rPr>
            </w:pPr>
            <w:r>
              <w:rPr>
                <w:sz w:val="24"/>
                <w:szCs w:val="24"/>
              </w:rPr>
              <w:t>Name of School Division: </w:t>
            </w:r>
            <w:bookmarkStart w:id="1" w:name="bookmark=id.gjdgxs" w:colFirst="0" w:colLast="0"/>
            <w:bookmarkEnd w:id="1"/>
            <w:r>
              <w:rPr>
                <w:sz w:val="24"/>
                <w:szCs w:val="24"/>
              </w:rPr>
              <w:t>     </w:t>
            </w:r>
          </w:p>
          <w:p w:rsidR="00541406" w:rsidRDefault="00974A0E">
            <w:pPr>
              <w:rPr>
                <w:sz w:val="24"/>
                <w:szCs w:val="24"/>
              </w:rPr>
            </w:pPr>
            <w:r>
              <w:rPr>
                <w:sz w:val="24"/>
                <w:szCs w:val="24"/>
              </w:rPr>
              <w:t> </w:t>
            </w:r>
          </w:p>
        </w:tc>
      </w:tr>
      <w:tr w:rsidR="00541406">
        <w:tc>
          <w:tcPr>
            <w:tcW w:w="9442" w:type="dxa"/>
            <w:gridSpan w:val="2"/>
            <w:tcBorders>
              <w:top w:val="nil"/>
              <w:left w:val="single" w:sz="6" w:space="0" w:color="000000"/>
              <w:bottom w:val="single" w:sz="6" w:space="0" w:color="000000"/>
              <w:right w:val="single" w:sz="6" w:space="0" w:color="000000"/>
            </w:tcBorders>
            <w:shd w:val="clear" w:color="auto" w:fill="auto"/>
          </w:tcPr>
          <w:p w:rsidR="00541406" w:rsidRDefault="00974A0E">
            <w:pPr>
              <w:rPr>
                <w:sz w:val="24"/>
                <w:szCs w:val="24"/>
              </w:rPr>
            </w:pPr>
            <w:r>
              <w:rPr>
                <w:sz w:val="24"/>
                <w:szCs w:val="24"/>
              </w:rPr>
              <w:t>Mailing Address (Street Number and Name, City, State, Zip Code):      </w:t>
            </w:r>
          </w:p>
          <w:p w:rsidR="00541406" w:rsidRDefault="00974A0E">
            <w:pPr>
              <w:rPr>
                <w:sz w:val="24"/>
                <w:szCs w:val="24"/>
              </w:rPr>
            </w:pPr>
            <w:r>
              <w:rPr>
                <w:sz w:val="24"/>
                <w:szCs w:val="24"/>
              </w:rPr>
              <w:t> </w:t>
            </w:r>
          </w:p>
          <w:p w:rsidR="00541406" w:rsidRDefault="00974A0E">
            <w:pPr>
              <w:rPr>
                <w:sz w:val="24"/>
                <w:szCs w:val="24"/>
              </w:rPr>
            </w:pPr>
            <w:r>
              <w:rPr>
                <w:sz w:val="24"/>
                <w:szCs w:val="24"/>
              </w:rPr>
              <w:t>Email Address of Authorized Representative of the School Division:      </w:t>
            </w:r>
          </w:p>
          <w:p w:rsidR="00541406" w:rsidRDefault="00974A0E">
            <w:pPr>
              <w:rPr>
                <w:sz w:val="24"/>
                <w:szCs w:val="24"/>
              </w:rPr>
            </w:pPr>
            <w:r>
              <w:rPr>
                <w:sz w:val="24"/>
                <w:szCs w:val="24"/>
              </w:rPr>
              <w:t> </w:t>
            </w:r>
          </w:p>
        </w:tc>
      </w:tr>
      <w:tr w:rsidR="00541406">
        <w:tc>
          <w:tcPr>
            <w:tcW w:w="9442" w:type="dxa"/>
            <w:gridSpan w:val="2"/>
            <w:tcBorders>
              <w:top w:val="single" w:sz="6" w:space="0" w:color="000000"/>
              <w:left w:val="single" w:sz="6" w:space="0" w:color="000000"/>
              <w:bottom w:val="single" w:sz="6" w:space="0" w:color="000000"/>
              <w:right w:val="single" w:sz="6" w:space="0" w:color="000000"/>
            </w:tcBorders>
            <w:shd w:val="clear" w:color="auto" w:fill="auto"/>
          </w:tcPr>
          <w:p w:rsidR="00541406" w:rsidRDefault="00974A0E">
            <w:pPr>
              <w:rPr>
                <w:sz w:val="22"/>
                <w:szCs w:val="22"/>
              </w:rPr>
            </w:pPr>
            <w:bookmarkStart w:id="2" w:name="_heading=h.30j0zll" w:colFirst="0" w:colLast="0"/>
            <w:bookmarkEnd w:id="2"/>
            <w:r>
              <w:rPr>
                <w:sz w:val="22"/>
                <w:szCs w:val="22"/>
              </w:rPr>
              <w:t>I certify to the best of my knowledge and belief, all of the information in this application is true and co</w:t>
            </w:r>
            <w:r>
              <w:rPr>
                <w:sz w:val="22"/>
                <w:szCs w:val="22"/>
              </w:rPr>
              <w:t>rrect.  I further understand that knowingly making a false statement or misrepresentation on this application may subject me to criminal or civil penalties under applicable state and federal laws.</w:t>
            </w:r>
          </w:p>
          <w:p w:rsidR="00541406" w:rsidRDefault="00541406">
            <w:pPr>
              <w:rPr>
                <w:sz w:val="24"/>
                <w:szCs w:val="24"/>
              </w:rPr>
            </w:pPr>
          </w:p>
        </w:tc>
      </w:tr>
      <w:tr w:rsidR="00541406">
        <w:tc>
          <w:tcPr>
            <w:tcW w:w="6025" w:type="dxa"/>
            <w:tcBorders>
              <w:top w:val="nil"/>
              <w:left w:val="single" w:sz="6" w:space="0" w:color="000000"/>
              <w:bottom w:val="single" w:sz="6" w:space="0" w:color="000000"/>
              <w:right w:val="single" w:sz="6" w:space="0" w:color="000000"/>
            </w:tcBorders>
            <w:shd w:val="clear" w:color="auto" w:fill="auto"/>
          </w:tcPr>
          <w:p w:rsidR="00541406" w:rsidRDefault="00974A0E">
            <w:pPr>
              <w:rPr>
                <w:sz w:val="24"/>
                <w:szCs w:val="24"/>
              </w:rPr>
            </w:pPr>
            <w:r>
              <w:rPr>
                <w:sz w:val="24"/>
                <w:szCs w:val="24"/>
              </w:rPr>
              <w:t>Authorized Representative of the School Division (Typed Name): </w:t>
            </w:r>
          </w:p>
          <w:p w:rsidR="00541406" w:rsidRDefault="00974A0E">
            <w:pPr>
              <w:rPr>
                <w:sz w:val="24"/>
                <w:szCs w:val="24"/>
              </w:rPr>
            </w:pPr>
            <w:r>
              <w:rPr>
                <w:sz w:val="24"/>
                <w:szCs w:val="24"/>
              </w:rPr>
              <w:t>      </w:t>
            </w:r>
          </w:p>
          <w:p w:rsidR="00541406" w:rsidRDefault="00541406">
            <w:pPr>
              <w:rPr>
                <w:sz w:val="24"/>
                <w:szCs w:val="24"/>
              </w:rPr>
            </w:pPr>
          </w:p>
        </w:tc>
        <w:tc>
          <w:tcPr>
            <w:tcW w:w="3417" w:type="dxa"/>
            <w:tcBorders>
              <w:top w:val="nil"/>
              <w:left w:val="nil"/>
              <w:bottom w:val="single" w:sz="6" w:space="0" w:color="000000"/>
              <w:right w:val="single" w:sz="6" w:space="0" w:color="000000"/>
            </w:tcBorders>
            <w:shd w:val="clear" w:color="auto" w:fill="auto"/>
          </w:tcPr>
          <w:p w:rsidR="00541406" w:rsidRDefault="00974A0E">
            <w:pPr>
              <w:rPr>
                <w:sz w:val="24"/>
                <w:szCs w:val="24"/>
              </w:rPr>
            </w:pPr>
            <w:r>
              <w:rPr>
                <w:sz w:val="24"/>
                <w:szCs w:val="24"/>
              </w:rPr>
              <w:t>Telephone: </w:t>
            </w:r>
          </w:p>
          <w:p w:rsidR="00541406" w:rsidRDefault="00974A0E">
            <w:pPr>
              <w:rPr>
                <w:sz w:val="24"/>
                <w:szCs w:val="24"/>
              </w:rPr>
            </w:pPr>
            <w:r>
              <w:rPr>
                <w:sz w:val="24"/>
                <w:szCs w:val="24"/>
              </w:rPr>
              <w:t>      </w:t>
            </w:r>
          </w:p>
          <w:p w:rsidR="00541406" w:rsidRDefault="00974A0E">
            <w:pPr>
              <w:rPr>
                <w:sz w:val="24"/>
                <w:szCs w:val="24"/>
              </w:rPr>
            </w:pPr>
            <w:r>
              <w:rPr>
                <w:sz w:val="24"/>
                <w:szCs w:val="24"/>
              </w:rPr>
              <w:t> </w:t>
            </w:r>
          </w:p>
        </w:tc>
      </w:tr>
      <w:tr w:rsidR="00541406">
        <w:tc>
          <w:tcPr>
            <w:tcW w:w="6025" w:type="dxa"/>
            <w:tcBorders>
              <w:top w:val="nil"/>
              <w:left w:val="single" w:sz="6" w:space="0" w:color="000000"/>
              <w:bottom w:val="single" w:sz="6" w:space="0" w:color="000000"/>
              <w:right w:val="single" w:sz="6" w:space="0" w:color="000000"/>
            </w:tcBorders>
            <w:shd w:val="clear" w:color="auto" w:fill="auto"/>
          </w:tcPr>
          <w:p w:rsidR="00541406" w:rsidRDefault="00974A0E">
            <w:pPr>
              <w:rPr>
                <w:sz w:val="24"/>
                <w:szCs w:val="24"/>
              </w:rPr>
            </w:pPr>
            <w:r>
              <w:rPr>
                <w:sz w:val="24"/>
                <w:szCs w:val="24"/>
              </w:rPr>
              <w:t>Signature of Authorized Representative of the School Division: </w:t>
            </w:r>
          </w:p>
          <w:p w:rsidR="00541406" w:rsidRDefault="00974A0E">
            <w:pPr>
              <w:rPr>
                <w:sz w:val="24"/>
                <w:szCs w:val="24"/>
              </w:rPr>
            </w:pPr>
            <w:r>
              <w:rPr>
                <w:sz w:val="24"/>
                <w:szCs w:val="24"/>
              </w:rPr>
              <w:t> </w:t>
            </w:r>
          </w:p>
        </w:tc>
        <w:tc>
          <w:tcPr>
            <w:tcW w:w="3417" w:type="dxa"/>
            <w:tcBorders>
              <w:top w:val="nil"/>
              <w:left w:val="nil"/>
              <w:bottom w:val="single" w:sz="6" w:space="0" w:color="000000"/>
              <w:right w:val="single" w:sz="6" w:space="0" w:color="000000"/>
            </w:tcBorders>
            <w:shd w:val="clear" w:color="auto" w:fill="auto"/>
          </w:tcPr>
          <w:p w:rsidR="00541406" w:rsidRDefault="00974A0E">
            <w:pPr>
              <w:rPr>
                <w:sz w:val="24"/>
                <w:szCs w:val="24"/>
              </w:rPr>
            </w:pPr>
            <w:r>
              <w:rPr>
                <w:sz w:val="24"/>
                <w:szCs w:val="24"/>
              </w:rPr>
              <w:t> Date: </w:t>
            </w:r>
          </w:p>
          <w:p w:rsidR="00541406" w:rsidRDefault="00974A0E">
            <w:pPr>
              <w:rPr>
                <w:sz w:val="24"/>
                <w:szCs w:val="24"/>
              </w:rPr>
            </w:pPr>
            <w:r>
              <w:rPr>
                <w:sz w:val="24"/>
                <w:szCs w:val="24"/>
              </w:rPr>
              <w:t>     </w:t>
            </w:r>
          </w:p>
          <w:p w:rsidR="00541406" w:rsidRDefault="00541406">
            <w:pPr>
              <w:rPr>
                <w:sz w:val="24"/>
                <w:szCs w:val="24"/>
              </w:rPr>
            </w:pPr>
          </w:p>
        </w:tc>
      </w:tr>
    </w:tbl>
    <w:p w:rsidR="00541406" w:rsidRDefault="00974A0E">
      <w:pPr>
        <w:spacing w:after="160" w:line="259" w:lineRule="auto"/>
        <w:rPr>
          <w:b/>
          <w:sz w:val="22"/>
          <w:szCs w:val="22"/>
        </w:rPr>
      </w:pPr>
      <w:r>
        <w:br w:type="page"/>
      </w:r>
    </w:p>
    <w:p w:rsidR="00541406" w:rsidRDefault="00974A0E">
      <w:pPr>
        <w:keepNext/>
        <w:keepLines/>
        <w:spacing w:before="240" w:line="259" w:lineRule="auto"/>
        <w:jc w:val="center"/>
        <w:rPr>
          <w:b/>
          <w:sz w:val="24"/>
          <w:szCs w:val="24"/>
        </w:rPr>
      </w:pPr>
      <w:r>
        <w:rPr>
          <w:b/>
          <w:sz w:val="24"/>
          <w:szCs w:val="24"/>
        </w:rPr>
        <w:t>Appendix A</w:t>
      </w:r>
    </w:p>
    <w:p w:rsidR="00541406" w:rsidRDefault="00974A0E">
      <w:pPr>
        <w:spacing w:after="160" w:line="259" w:lineRule="auto"/>
        <w:jc w:val="center"/>
        <w:rPr>
          <w:b/>
          <w:sz w:val="24"/>
          <w:szCs w:val="24"/>
        </w:rPr>
      </w:pPr>
      <w:r>
        <w:rPr>
          <w:b/>
          <w:sz w:val="24"/>
          <w:szCs w:val="24"/>
        </w:rPr>
        <w:t>Acknowledgements and General Assurance</w:t>
      </w:r>
    </w:p>
    <w:p w:rsidR="00541406" w:rsidRDefault="00974A0E">
      <w:pPr>
        <w:spacing w:after="160" w:line="259" w:lineRule="auto"/>
        <w:rPr>
          <w:sz w:val="22"/>
          <w:szCs w:val="22"/>
        </w:rPr>
      </w:pPr>
      <w:r>
        <w:rPr>
          <w:sz w:val="22"/>
          <w:szCs w:val="22"/>
        </w:rPr>
        <w:t xml:space="preserve">All applying school divisions must agree to the acknowledgements and general assurance to be eligible for the grant. The “X” beside each item </w:t>
      </w:r>
      <w:r>
        <w:rPr>
          <w:b/>
          <w:sz w:val="22"/>
          <w:szCs w:val="22"/>
        </w:rPr>
        <w:t>and</w:t>
      </w:r>
      <w:r>
        <w:rPr>
          <w:sz w:val="22"/>
          <w:szCs w:val="22"/>
        </w:rPr>
        <w:t xml:space="preserve"> the Authorized Representative’s signature at the bottom of Appendix A certifies that the school divisions will</w:t>
      </w:r>
      <w:r>
        <w:rPr>
          <w:sz w:val="22"/>
          <w:szCs w:val="22"/>
        </w:rPr>
        <w:t xml:space="preserve"> consent to the acknowledgements and abide by the assurance below.</w:t>
      </w:r>
    </w:p>
    <w:p w:rsidR="00541406" w:rsidRDefault="00974A0E">
      <w:pPr>
        <w:spacing w:after="160" w:line="259" w:lineRule="auto"/>
        <w:rPr>
          <w:sz w:val="22"/>
          <w:szCs w:val="22"/>
        </w:rPr>
      </w:pPr>
      <w:r>
        <w:rPr>
          <w:sz w:val="22"/>
          <w:szCs w:val="22"/>
        </w:rPr>
        <w:t>The school division acknowledges:</w:t>
      </w:r>
    </w:p>
    <w:p w:rsidR="00541406" w:rsidRDefault="00974A0E">
      <w:pPr>
        <w:ind w:left="720" w:hanging="450"/>
        <w:rPr>
          <w:sz w:val="22"/>
          <w:szCs w:val="22"/>
        </w:rPr>
      </w:pPr>
      <w:sdt>
        <w:sdtPr>
          <w:tag w:val="goog_rdk_0"/>
          <w:id w:val="-35581444"/>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This is a one-time grant meant to assist in easing the financial burden in procuring an analytics solution until LASER is more fully developed;</w:t>
      </w:r>
    </w:p>
    <w:p w:rsidR="00541406" w:rsidRDefault="00974A0E">
      <w:pPr>
        <w:ind w:left="720" w:hanging="450"/>
        <w:rPr>
          <w:sz w:val="22"/>
          <w:szCs w:val="22"/>
        </w:rPr>
      </w:pPr>
      <w:sdt>
        <w:sdtPr>
          <w:tag w:val="goog_rdk_1"/>
          <w:id w:val="936875421"/>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r>
      <w:r>
        <w:rPr>
          <w:sz w:val="22"/>
          <w:szCs w:val="22"/>
        </w:rPr>
        <w:t>Future adoption of LASER is required to be awarded this grant.</w:t>
      </w:r>
    </w:p>
    <w:p w:rsidR="00541406" w:rsidRDefault="00974A0E">
      <w:pPr>
        <w:ind w:left="720" w:hanging="450"/>
        <w:rPr>
          <w:sz w:val="22"/>
          <w:szCs w:val="22"/>
        </w:rPr>
      </w:pPr>
      <w:sdt>
        <w:sdtPr>
          <w:tag w:val="goog_rdk_2"/>
          <w:id w:val="154264361"/>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The approved grant amounts will be in five bands based on the number of student enrollment, and the granted amounts may not be the same as the actual costs charged by the selected vendor f</w:t>
      </w:r>
      <w:r>
        <w:rPr>
          <w:sz w:val="22"/>
          <w:szCs w:val="22"/>
        </w:rPr>
        <w:t>or the tool.</w:t>
      </w:r>
    </w:p>
    <w:p w:rsidR="00541406" w:rsidRDefault="00974A0E">
      <w:pPr>
        <w:ind w:left="720" w:hanging="450"/>
        <w:rPr>
          <w:sz w:val="22"/>
          <w:szCs w:val="22"/>
        </w:rPr>
      </w:pPr>
      <w:sdt>
        <w:sdtPr>
          <w:tag w:val="goog_rdk_3"/>
          <w:id w:val="-80762146"/>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The grant is intended only for the procurement of a student performance analytics tool for the 2021-2022 school year, and it is not for other products.</w:t>
      </w:r>
    </w:p>
    <w:p w:rsidR="00541406" w:rsidRDefault="00974A0E">
      <w:pPr>
        <w:ind w:left="720" w:hanging="450"/>
        <w:rPr>
          <w:sz w:val="22"/>
          <w:szCs w:val="22"/>
        </w:rPr>
      </w:pPr>
      <w:sdt>
        <w:sdtPr>
          <w:tag w:val="goog_rdk_4"/>
          <w:id w:val="1463998892"/>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The grant will be issued to awarded school divisions in two installments: June-Au</w:t>
      </w:r>
      <w:r>
        <w:rPr>
          <w:sz w:val="22"/>
          <w:szCs w:val="22"/>
        </w:rPr>
        <w:t>gust, 2021 and January-February, 2021.</w:t>
      </w:r>
    </w:p>
    <w:p w:rsidR="00541406" w:rsidRDefault="00974A0E">
      <w:pPr>
        <w:ind w:left="720" w:hanging="450"/>
        <w:rPr>
          <w:sz w:val="22"/>
          <w:szCs w:val="22"/>
        </w:rPr>
      </w:pPr>
      <w:sdt>
        <w:sdtPr>
          <w:tag w:val="goog_rdk_5"/>
          <w:id w:val="-151218262"/>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The first half of the granted amount will be released in June-August, 2021, conditioned upon the submission of the signed contract with the selected vendor or the final invoice for the procurement of the selected</w:t>
      </w:r>
      <w:r>
        <w:rPr>
          <w:sz w:val="22"/>
          <w:szCs w:val="22"/>
        </w:rPr>
        <w:t xml:space="preserve"> tool. </w:t>
      </w:r>
    </w:p>
    <w:bookmarkStart w:id="3" w:name="_heading=h.1fob9te" w:colFirst="0" w:colLast="0"/>
    <w:bookmarkEnd w:id="3"/>
    <w:p w:rsidR="00541406" w:rsidRDefault="00974A0E">
      <w:pPr>
        <w:ind w:left="720" w:hanging="450"/>
        <w:rPr>
          <w:sz w:val="22"/>
          <w:szCs w:val="22"/>
        </w:rPr>
      </w:pPr>
      <w:sdt>
        <w:sdtPr>
          <w:tag w:val="goog_rdk_6"/>
          <w:id w:val="-1214271719"/>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 xml:space="preserve">The second half of the granted amount will be released in January-February, 2021, conditioned upon the submission of proof to indicate that the procured tool is being actively and meaningfully used. </w:t>
      </w:r>
      <w:r>
        <w:rPr>
          <w:sz w:val="22"/>
          <w:szCs w:val="22"/>
          <w:highlight w:val="yellow"/>
        </w:rPr>
        <w:t>More information will be provided on the for</w:t>
      </w:r>
      <w:r>
        <w:rPr>
          <w:sz w:val="22"/>
          <w:szCs w:val="22"/>
          <w:highlight w:val="yellow"/>
        </w:rPr>
        <w:t>mat of this requirement with the Notice of Award.</w:t>
      </w:r>
      <w:r>
        <w:rPr>
          <w:sz w:val="22"/>
          <w:szCs w:val="22"/>
        </w:rPr>
        <w:t xml:space="preserve"> </w:t>
      </w:r>
    </w:p>
    <w:bookmarkStart w:id="4" w:name="_heading=h.vf2wqqn3f5o6" w:colFirst="0" w:colLast="0"/>
    <w:bookmarkEnd w:id="4"/>
    <w:p w:rsidR="00541406" w:rsidRDefault="00974A0E">
      <w:pPr>
        <w:ind w:left="720" w:hanging="450"/>
        <w:rPr>
          <w:sz w:val="22"/>
          <w:szCs w:val="22"/>
        </w:rPr>
      </w:pPr>
      <w:sdt>
        <w:sdtPr>
          <w:tag w:val="goog_rdk_7"/>
          <w:id w:val="-951471647"/>
        </w:sdtPr>
        <w:sdtEndPr/>
        <w:sdtContent>
          <w:r>
            <w:rPr>
              <w:rFonts w:ascii="Arial Unicode MS" w:eastAsia="Arial Unicode MS" w:hAnsi="Arial Unicode MS" w:cs="Arial Unicode MS"/>
              <w:sz w:val="22"/>
              <w:szCs w:val="22"/>
            </w:rPr>
            <w:t>☐</w:t>
          </w:r>
        </w:sdtContent>
      </w:sdt>
      <w:r>
        <w:rPr>
          <w:sz w:val="22"/>
          <w:szCs w:val="22"/>
        </w:rPr>
        <w:t xml:space="preserve"> </w:t>
      </w:r>
      <w:r>
        <w:rPr>
          <w:sz w:val="22"/>
          <w:szCs w:val="22"/>
        </w:rPr>
        <w:tab/>
        <w:t>Grant funds will be returned if the procured tool is not being sufficiently used between the beginning of the 2021-2022 school year and the time at which the division adopts LASER.</w:t>
      </w:r>
    </w:p>
    <w:p w:rsidR="00541406" w:rsidRDefault="00541406">
      <w:pPr>
        <w:rPr>
          <w:sz w:val="22"/>
          <w:szCs w:val="22"/>
        </w:rPr>
      </w:pPr>
    </w:p>
    <w:p w:rsidR="00541406" w:rsidRDefault="00541406">
      <w:pPr>
        <w:rPr>
          <w:sz w:val="22"/>
          <w:szCs w:val="22"/>
        </w:rPr>
      </w:pPr>
    </w:p>
    <w:p w:rsidR="00541406" w:rsidRDefault="00974A0E">
      <w:pPr>
        <w:jc w:val="center"/>
        <w:rPr>
          <w:sz w:val="24"/>
          <w:szCs w:val="24"/>
        </w:rPr>
      </w:pPr>
      <w:r>
        <w:rPr>
          <w:sz w:val="24"/>
          <w:szCs w:val="24"/>
        </w:rPr>
        <w:t>General Assurance</w:t>
      </w:r>
      <w:r>
        <w:rPr>
          <w:sz w:val="24"/>
          <w:szCs w:val="24"/>
        </w:rPr>
        <w:t xml:space="preserve"> for Grant Application</w:t>
      </w:r>
    </w:p>
    <w:p w:rsidR="00541406" w:rsidRDefault="00541406">
      <w:pPr>
        <w:jc w:val="center"/>
        <w:rPr>
          <w:sz w:val="24"/>
          <w:szCs w:val="24"/>
        </w:rPr>
      </w:pPr>
    </w:p>
    <w:p w:rsidR="00541406" w:rsidRDefault="00974A0E">
      <w:pPr>
        <w:rPr>
          <w:sz w:val="22"/>
          <w:szCs w:val="22"/>
        </w:rPr>
      </w:pPr>
      <w:r>
        <w:rPr>
          <w:sz w:val="22"/>
          <w:szCs w:val="22"/>
        </w:rPr>
        <w:t>By signing and submitting the above acknowledgements and this Statement of Assurance, the school division assures that its participating schools will adhere to state and federal laws and regulations governing public schools in the C</w:t>
      </w:r>
      <w:r>
        <w:rPr>
          <w:sz w:val="22"/>
          <w:szCs w:val="22"/>
        </w:rPr>
        <w:t xml:space="preserve">ommonwealth of Virginia. </w:t>
      </w:r>
    </w:p>
    <w:p w:rsidR="00541406" w:rsidRDefault="00541406">
      <w:pPr>
        <w:spacing w:after="160" w:line="259" w:lineRule="auto"/>
        <w:rPr>
          <w:b/>
          <w:sz w:val="24"/>
          <w:szCs w:val="24"/>
        </w:rPr>
      </w:pPr>
    </w:p>
    <w:tbl>
      <w:tblPr>
        <w:tblStyle w:val="a2"/>
        <w:tblW w:w="94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025"/>
        <w:gridCol w:w="3417"/>
      </w:tblGrid>
      <w:tr w:rsidR="00541406">
        <w:tc>
          <w:tcPr>
            <w:tcW w:w="6025" w:type="dxa"/>
            <w:tcBorders>
              <w:right w:val="nil"/>
            </w:tcBorders>
            <w:shd w:val="clear" w:color="auto" w:fill="auto"/>
          </w:tcPr>
          <w:p w:rsidR="00541406" w:rsidRDefault="00974A0E">
            <w:pPr>
              <w:rPr>
                <w:sz w:val="24"/>
                <w:szCs w:val="24"/>
              </w:rPr>
            </w:pPr>
            <w:r>
              <w:rPr>
                <w:sz w:val="24"/>
                <w:szCs w:val="24"/>
              </w:rPr>
              <w:t>Authorized Representative of the School Division (Typed Name): </w:t>
            </w:r>
          </w:p>
          <w:p w:rsidR="00541406" w:rsidRDefault="00541406">
            <w:pPr>
              <w:rPr>
                <w:sz w:val="24"/>
                <w:szCs w:val="24"/>
              </w:rPr>
            </w:pPr>
          </w:p>
          <w:p w:rsidR="00541406" w:rsidRDefault="00974A0E">
            <w:pPr>
              <w:rPr>
                <w:sz w:val="24"/>
                <w:szCs w:val="24"/>
              </w:rPr>
            </w:pPr>
            <w:r>
              <w:rPr>
                <w:sz w:val="24"/>
                <w:szCs w:val="24"/>
              </w:rPr>
              <w:t>      </w:t>
            </w:r>
          </w:p>
        </w:tc>
        <w:tc>
          <w:tcPr>
            <w:tcW w:w="3417" w:type="dxa"/>
            <w:tcBorders>
              <w:left w:val="nil"/>
            </w:tcBorders>
            <w:shd w:val="clear" w:color="auto" w:fill="auto"/>
          </w:tcPr>
          <w:p w:rsidR="00541406" w:rsidRDefault="00974A0E">
            <w:pPr>
              <w:rPr>
                <w:sz w:val="22"/>
                <w:szCs w:val="22"/>
              </w:rPr>
            </w:pPr>
            <w:r>
              <w:rPr>
                <w:sz w:val="22"/>
                <w:szCs w:val="22"/>
              </w:rPr>
              <w:t> </w:t>
            </w:r>
          </w:p>
        </w:tc>
      </w:tr>
      <w:tr w:rsidR="00541406">
        <w:tc>
          <w:tcPr>
            <w:tcW w:w="6025" w:type="dxa"/>
            <w:shd w:val="clear" w:color="auto" w:fill="auto"/>
          </w:tcPr>
          <w:p w:rsidR="00541406" w:rsidRDefault="00974A0E">
            <w:pPr>
              <w:rPr>
                <w:sz w:val="24"/>
                <w:szCs w:val="24"/>
              </w:rPr>
            </w:pPr>
            <w:r>
              <w:rPr>
                <w:sz w:val="24"/>
                <w:szCs w:val="24"/>
              </w:rPr>
              <w:t xml:space="preserve">Signature of Authorized Representative of the </w:t>
            </w:r>
          </w:p>
          <w:p w:rsidR="00541406" w:rsidRDefault="00974A0E">
            <w:pPr>
              <w:rPr>
                <w:sz w:val="24"/>
                <w:szCs w:val="24"/>
              </w:rPr>
            </w:pPr>
            <w:r>
              <w:rPr>
                <w:sz w:val="24"/>
                <w:szCs w:val="24"/>
              </w:rPr>
              <w:t>School Division: </w:t>
            </w:r>
          </w:p>
          <w:p w:rsidR="00541406" w:rsidRDefault="00541406">
            <w:pPr>
              <w:rPr>
                <w:sz w:val="24"/>
                <w:szCs w:val="24"/>
              </w:rPr>
            </w:pPr>
          </w:p>
          <w:p w:rsidR="00541406" w:rsidRDefault="00974A0E">
            <w:pPr>
              <w:rPr>
                <w:sz w:val="24"/>
                <w:szCs w:val="24"/>
              </w:rPr>
            </w:pPr>
            <w:r>
              <w:rPr>
                <w:sz w:val="24"/>
                <w:szCs w:val="24"/>
              </w:rPr>
              <w:t> </w:t>
            </w:r>
          </w:p>
        </w:tc>
        <w:tc>
          <w:tcPr>
            <w:tcW w:w="3417" w:type="dxa"/>
            <w:shd w:val="clear" w:color="auto" w:fill="auto"/>
          </w:tcPr>
          <w:p w:rsidR="00541406" w:rsidRDefault="00974A0E">
            <w:pPr>
              <w:rPr>
                <w:sz w:val="24"/>
                <w:szCs w:val="24"/>
              </w:rPr>
            </w:pPr>
            <w:r>
              <w:rPr>
                <w:sz w:val="24"/>
                <w:szCs w:val="24"/>
              </w:rPr>
              <w:t> Date: </w:t>
            </w:r>
          </w:p>
          <w:p w:rsidR="00541406" w:rsidRDefault="00974A0E">
            <w:pPr>
              <w:rPr>
                <w:sz w:val="24"/>
                <w:szCs w:val="24"/>
              </w:rPr>
            </w:pPr>
            <w:r>
              <w:rPr>
                <w:sz w:val="24"/>
                <w:szCs w:val="24"/>
              </w:rPr>
              <w:t>     </w:t>
            </w:r>
          </w:p>
        </w:tc>
      </w:tr>
    </w:tbl>
    <w:p w:rsidR="00541406" w:rsidRDefault="00541406">
      <w:pPr>
        <w:rPr>
          <w:color w:val="000000"/>
          <w:sz w:val="22"/>
          <w:szCs w:val="22"/>
        </w:rPr>
      </w:pPr>
    </w:p>
    <w:sectPr w:rsidR="0054140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4A0E">
      <w:r>
        <w:separator/>
      </w:r>
    </w:p>
  </w:endnote>
  <w:endnote w:type="continuationSeparator" w:id="0">
    <w:p w:rsidR="00000000" w:rsidRDefault="0097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rus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A0E" w:rsidRDefault="00974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06" w:rsidRDefault="00974A0E">
    <w:pPr>
      <w:widowControl w:val="0"/>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06" w:rsidRDefault="00541406">
    <w:pPr>
      <w:widowControl w:val="0"/>
      <w:pBdr>
        <w:top w:val="nil"/>
        <w:left w:val="nil"/>
        <w:bottom w:val="nil"/>
        <w:right w:val="nil"/>
        <w:between w:val="nil"/>
      </w:pBdr>
      <w:tabs>
        <w:tab w:val="center" w:pos="4320"/>
        <w:tab w:val="right" w:pos="8640"/>
      </w:tabs>
      <w:rPr>
        <w:rFonts w:ascii="Arrus BT" w:eastAsia="Arrus BT" w:hAnsi="Arrus BT" w:cs="Arrus BT"/>
        <w:color w:val="000000"/>
        <w:sz w:val="24"/>
        <w:szCs w:val="24"/>
      </w:rPr>
    </w:pPr>
  </w:p>
  <w:p w:rsidR="00541406" w:rsidRDefault="00541406">
    <w:pPr>
      <w:widowControl w:val="0"/>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4A0E">
      <w:r>
        <w:separator/>
      </w:r>
    </w:p>
  </w:footnote>
  <w:footnote w:type="continuationSeparator" w:id="0">
    <w:p w:rsidR="00000000" w:rsidRDefault="0097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A0E" w:rsidRDefault="00974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06" w:rsidRDefault="00974A0E">
    <w:pPr>
      <w:spacing w:line="276" w:lineRule="auto"/>
      <w:jc w:val="right"/>
      <w:rPr>
        <w:color w:val="666666"/>
      </w:rPr>
    </w:pPr>
    <w:r>
      <w:rPr>
        <w:color w:val="666666"/>
      </w:rPr>
      <w:t>Attachment A</w:t>
    </w:r>
    <w:bookmarkStart w:id="5" w:name="_GoBack"/>
    <w:bookmarkEnd w:id="5"/>
  </w:p>
  <w:p w:rsidR="00541406" w:rsidRDefault="00974A0E">
    <w:pPr>
      <w:spacing w:line="276" w:lineRule="auto"/>
      <w:jc w:val="right"/>
      <w:rPr>
        <w:color w:val="666666"/>
      </w:rPr>
    </w:pPr>
    <w:r>
      <w:rPr>
        <w:color w:val="666666"/>
      </w:rPr>
      <w:t>Superintendent’s Memo #126-21</w:t>
    </w:r>
  </w:p>
  <w:p w:rsidR="00541406" w:rsidRDefault="00974A0E">
    <w:pPr>
      <w:spacing w:line="276" w:lineRule="auto"/>
      <w:jc w:val="right"/>
    </w:pPr>
    <w:r>
      <w:rPr>
        <w:color w:val="666666"/>
      </w:rPr>
      <w:t>May 7,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06" w:rsidRDefault="00974A0E">
    <w:pPr>
      <w:spacing w:line="276" w:lineRule="auto"/>
      <w:jc w:val="right"/>
      <w:rPr>
        <w:color w:val="666666"/>
      </w:rPr>
    </w:pPr>
    <w:r>
      <w:rPr>
        <w:color w:val="666666"/>
      </w:rPr>
      <w:t>Attachment A</w:t>
    </w:r>
  </w:p>
  <w:p w:rsidR="00541406" w:rsidRDefault="00974A0E">
    <w:pPr>
      <w:spacing w:line="276" w:lineRule="auto"/>
      <w:jc w:val="right"/>
      <w:rPr>
        <w:color w:val="666666"/>
      </w:rPr>
    </w:pPr>
    <w:r>
      <w:rPr>
        <w:color w:val="666666"/>
      </w:rPr>
      <w:t>Superintendent’s Memo #126-21</w:t>
    </w:r>
  </w:p>
  <w:p w:rsidR="00541406" w:rsidRDefault="00974A0E">
    <w:pPr>
      <w:spacing w:line="276" w:lineRule="auto"/>
      <w:jc w:val="right"/>
      <w:rPr>
        <w:color w:val="666666"/>
      </w:rPr>
    </w:pPr>
    <w:r>
      <w:rPr>
        <w:color w:val="666666"/>
      </w:rPr>
      <w:t>May 7,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FB"/>
    <w:multiLevelType w:val="multilevel"/>
    <w:tmpl w:val="A6A46FCE"/>
    <w:lvl w:ilvl="0">
      <w:start w:val="1"/>
      <w:numFmt w:val="bullet"/>
      <w:lvlText w:val="●"/>
      <w:lvlJc w:val="left"/>
      <w:pPr>
        <w:ind w:left="720" w:hanging="360"/>
      </w:pPr>
      <w:rPr>
        <w:rFonts w:ascii="Noto Sans Symbols" w:eastAsia="Noto Sans Symbols" w:hAnsi="Noto Sans Symbols" w:cs="Noto Sans Symbols"/>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0558A"/>
    <w:multiLevelType w:val="multilevel"/>
    <w:tmpl w:val="D2940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D0857"/>
    <w:multiLevelType w:val="multilevel"/>
    <w:tmpl w:val="366E9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5612C"/>
    <w:multiLevelType w:val="multilevel"/>
    <w:tmpl w:val="369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9D2671"/>
    <w:multiLevelType w:val="multilevel"/>
    <w:tmpl w:val="D8863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C84DC4"/>
    <w:multiLevelType w:val="multilevel"/>
    <w:tmpl w:val="2F00A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C7049E"/>
    <w:multiLevelType w:val="multilevel"/>
    <w:tmpl w:val="8AFC71B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06"/>
    <w:rsid w:val="00541406"/>
    <w:rsid w:val="0097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DA347"/>
  <w15:docId w15:val="{989E7CEB-C8FC-4E40-92C8-487FDC56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61"/>
  </w:style>
  <w:style w:type="paragraph" w:styleId="Heading1">
    <w:name w:val="heading 1"/>
    <w:basedOn w:val="Normal"/>
    <w:next w:val="Normal"/>
    <w:qFormat/>
    <w:rsid w:val="00701E42"/>
    <w:pPr>
      <w:keepNext/>
      <w:ind w:left="720" w:firstLine="360"/>
      <w:outlineLvl w:val="0"/>
    </w:pPr>
    <w:rPr>
      <w:u w:val="single"/>
    </w:rPr>
  </w:style>
  <w:style w:type="paragraph" w:styleId="Heading2">
    <w:name w:val="heading 2"/>
    <w:basedOn w:val="Normal"/>
    <w:next w:val="Normal"/>
    <w:link w:val="Heading2Char"/>
    <w:qFormat/>
    <w:rsid w:val="00701E42"/>
    <w:pPr>
      <w:keepNext/>
      <w:tabs>
        <w:tab w:val="left" w:pos="396"/>
        <w:tab w:val="left" w:pos="720"/>
        <w:tab w:val="left" w:pos="10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snapToGrid w:val="0"/>
      <w:sz w:val="16"/>
    </w:rPr>
  </w:style>
  <w:style w:type="paragraph" w:styleId="Heading3">
    <w:name w:val="heading 3"/>
    <w:basedOn w:val="Normal"/>
    <w:next w:val="Normal"/>
    <w:qFormat/>
    <w:rsid w:val="00701E42"/>
    <w:pPr>
      <w:keepNext/>
      <w:tabs>
        <w:tab w:val="center" w:pos="4680"/>
        <w:tab w:val="left" w:pos="5040"/>
        <w:tab w:val="left" w:pos="5760"/>
        <w:tab w:val="left" w:pos="6480"/>
        <w:tab w:val="left" w:pos="7200"/>
        <w:tab w:val="left" w:pos="7920"/>
        <w:tab w:val="left" w:pos="8640"/>
        <w:tab w:val="left" w:pos="9360"/>
      </w:tabs>
      <w:jc w:val="center"/>
      <w:outlineLvl w:val="2"/>
    </w:pPr>
    <w:rPr>
      <w:b/>
      <w:snapToGrid w:val="0"/>
      <w:sz w:val="24"/>
    </w:rPr>
  </w:style>
  <w:style w:type="paragraph" w:styleId="Heading4">
    <w:name w:val="heading 4"/>
    <w:basedOn w:val="Normal"/>
    <w:next w:val="Normal"/>
    <w:qFormat/>
    <w:rsid w:val="00701E42"/>
    <w:pPr>
      <w:keepNext/>
      <w:ind w:left="1080"/>
      <w:outlineLvl w:val="3"/>
    </w:pPr>
    <w:rPr>
      <w:u w:val="single"/>
    </w:rPr>
  </w:style>
  <w:style w:type="paragraph" w:styleId="Heading5">
    <w:name w:val="heading 5"/>
    <w:basedOn w:val="Normal"/>
    <w:next w:val="Normal"/>
    <w:qFormat/>
    <w:rsid w:val="00701E42"/>
    <w:pPr>
      <w:keepNext/>
      <w:jc w:val="center"/>
      <w:outlineLvl w:val="4"/>
    </w:pPr>
    <w:rPr>
      <w:sz w:val="24"/>
    </w:rPr>
  </w:style>
  <w:style w:type="paragraph" w:styleId="Heading6">
    <w:name w:val="heading 6"/>
    <w:basedOn w:val="Normal"/>
    <w:next w:val="Normal"/>
    <w:qFormat/>
    <w:rsid w:val="00701E42"/>
    <w:pPr>
      <w:keepNext/>
      <w:jc w:val="center"/>
      <w:outlineLvl w:val="5"/>
    </w:pPr>
    <w:rPr>
      <w:b/>
      <w:bCs/>
      <w:sz w:val="22"/>
    </w:rPr>
  </w:style>
  <w:style w:type="paragraph" w:styleId="Heading7">
    <w:name w:val="heading 7"/>
    <w:basedOn w:val="Normal"/>
    <w:next w:val="Normal"/>
    <w:qFormat/>
    <w:rsid w:val="00701E42"/>
    <w:pPr>
      <w:keepNext/>
      <w:ind w:left="720"/>
      <w:jc w:val="center"/>
      <w:outlineLvl w:val="6"/>
    </w:pPr>
    <w:rPr>
      <w:b/>
      <w:bCs/>
    </w:rPr>
  </w:style>
  <w:style w:type="paragraph" w:styleId="Heading8">
    <w:name w:val="heading 8"/>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7"/>
    </w:pPr>
    <w:rPr>
      <w:b/>
      <w:bCs/>
      <w:sz w:val="22"/>
    </w:rPr>
  </w:style>
  <w:style w:type="paragraph" w:styleId="Heading9">
    <w:name w:val="heading 9"/>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1E42"/>
    <w:pPr>
      <w:tabs>
        <w:tab w:val="left" w:pos="0"/>
        <w:tab w:val="left" w:pos="361"/>
        <w:tab w:val="left" w:pos="1160"/>
        <w:tab w:val="left" w:pos="1477"/>
        <w:tab w:val="left" w:pos="1794"/>
        <w:tab w:val="left" w:pos="21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1" w:right="361"/>
      <w:jc w:val="center"/>
    </w:pPr>
    <w:rPr>
      <w:b/>
      <w:bCs/>
    </w:rPr>
  </w:style>
  <w:style w:type="paragraph" w:styleId="Header">
    <w:name w:val="header"/>
    <w:basedOn w:val="Normal"/>
    <w:rsid w:val="00701E42"/>
    <w:pPr>
      <w:widowControl w:val="0"/>
      <w:tabs>
        <w:tab w:val="center" w:pos="4320"/>
        <w:tab w:val="right" w:pos="8640"/>
      </w:tabs>
    </w:pPr>
    <w:rPr>
      <w:rFonts w:ascii="Arrus BT" w:hAnsi="Arrus BT"/>
      <w:snapToGrid w:val="0"/>
      <w:sz w:val="24"/>
    </w:rPr>
  </w:style>
  <w:style w:type="paragraph" w:styleId="Footer">
    <w:name w:val="footer"/>
    <w:basedOn w:val="Normal"/>
    <w:link w:val="FooterChar"/>
    <w:uiPriority w:val="99"/>
    <w:rsid w:val="00701E42"/>
    <w:pPr>
      <w:widowControl w:val="0"/>
      <w:tabs>
        <w:tab w:val="center" w:pos="4320"/>
        <w:tab w:val="right" w:pos="8640"/>
      </w:tabs>
    </w:pPr>
    <w:rPr>
      <w:rFonts w:ascii="Arrus BT" w:hAnsi="Arrus BT"/>
      <w:snapToGrid w:val="0"/>
      <w:sz w:val="24"/>
    </w:rPr>
  </w:style>
  <w:style w:type="character" w:styleId="PageNumber">
    <w:name w:val="page number"/>
    <w:basedOn w:val="DefaultParagraphFont"/>
    <w:rsid w:val="00701E42"/>
  </w:style>
  <w:style w:type="paragraph" w:styleId="BodyText">
    <w:name w:val="Body Text"/>
    <w:basedOn w:val="Normal"/>
    <w:rsid w:val="00701E42"/>
    <w:pPr>
      <w:tabs>
        <w:tab w:val="left" w:pos="0"/>
        <w:tab w:val="left" w:pos="211"/>
        <w:tab w:val="left" w:pos="422"/>
        <w:tab w:val="left" w:pos="633"/>
        <w:tab w:val="left" w:pos="844"/>
        <w:tab w:val="left" w:pos="1056"/>
        <w:tab w:val="left" w:pos="1267"/>
        <w:tab w:val="left" w:pos="5040"/>
        <w:tab w:val="left" w:pos="5760"/>
        <w:tab w:val="left" w:pos="6480"/>
        <w:tab w:val="left" w:pos="7200"/>
        <w:tab w:val="left" w:pos="7920"/>
        <w:tab w:val="left" w:pos="8640"/>
        <w:tab w:val="left" w:pos="9360"/>
      </w:tabs>
      <w:jc w:val="both"/>
    </w:pPr>
    <w:rPr>
      <w:snapToGrid w:val="0"/>
      <w:sz w:val="24"/>
    </w:rPr>
  </w:style>
  <w:style w:type="paragraph" w:styleId="BodyText2">
    <w:name w:val="Body Text 2"/>
    <w:basedOn w:val="Normal"/>
    <w:link w:val="BodyText2Char"/>
    <w:rsid w:val="00701E42"/>
    <w:rPr>
      <w:sz w:val="22"/>
    </w:rPr>
  </w:style>
  <w:style w:type="paragraph" w:styleId="BodyTextIndent">
    <w:name w:val="Body Text Indent"/>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rPr>
  </w:style>
  <w:style w:type="paragraph" w:styleId="BodyText3">
    <w:name w:val="Body Text 3"/>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BodyTextIndent2">
    <w:name w:val="Body Text Indent 2"/>
    <w:basedOn w:val="Normal"/>
    <w:link w:val="BodyTextIndent2Char"/>
    <w:rsid w:val="00701E42"/>
    <w:pPr>
      <w:ind w:left="1440" w:hanging="1440"/>
    </w:pPr>
    <w:rPr>
      <w:iCs/>
    </w:rPr>
  </w:style>
  <w:style w:type="paragraph" w:styleId="BodyTextIndent3">
    <w:name w:val="Body Text Indent 3"/>
    <w:basedOn w:val="Normal"/>
    <w:rsid w:val="00701E42"/>
    <w:pPr>
      <w:ind w:left="720"/>
    </w:pPr>
    <w:rPr>
      <w:sz w:val="24"/>
    </w:rPr>
  </w:style>
  <w:style w:type="paragraph" w:styleId="Subtitle">
    <w:name w:val="Subtitle"/>
    <w:basedOn w:val="Normal"/>
    <w:next w:val="Normal"/>
    <w:pPr>
      <w:ind w:left="720"/>
    </w:pPr>
    <w:rPr>
      <w:sz w:val="24"/>
      <w:szCs w:val="24"/>
    </w:rPr>
  </w:style>
  <w:style w:type="character" w:styleId="Hyperlink">
    <w:name w:val="Hyperlink"/>
    <w:basedOn w:val="DefaultParagraphFont"/>
    <w:rsid w:val="00701E42"/>
    <w:rPr>
      <w:color w:val="0000FF"/>
      <w:u w:val="single"/>
    </w:rPr>
  </w:style>
  <w:style w:type="character" w:styleId="FollowedHyperlink">
    <w:name w:val="FollowedHyperlink"/>
    <w:basedOn w:val="DefaultParagraphFont"/>
    <w:rsid w:val="00701E42"/>
    <w:rPr>
      <w:color w:val="800080"/>
      <w:u w:val="single"/>
    </w:rPr>
  </w:style>
  <w:style w:type="paragraph" w:styleId="FootnoteText">
    <w:name w:val="footnote text"/>
    <w:basedOn w:val="Normal"/>
    <w:semiHidden/>
    <w:rsid w:val="00701E42"/>
  </w:style>
  <w:style w:type="character" w:styleId="FootnoteReference">
    <w:name w:val="footnote reference"/>
    <w:basedOn w:val="DefaultParagraphFont"/>
    <w:semiHidden/>
    <w:rsid w:val="00701E42"/>
    <w:rPr>
      <w:vertAlign w:val="superscript"/>
    </w:rPr>
  </w:style>
  <w:style w:type="paragraph" w:styleId="Caption">
    <w:name w:val="caption"/>
    <w:basedOn w:val="Normal"/>
    <w:next w:val="Normal"/>
    <w:qFormat/>
    <w:rsid w:val="00701E42"/>
    <w:pPr>
      <w:ind w:left="-1080" w:right="-990"/>
    </w:pPr>
    <w:rPr>
      <w:b/>
      <w:bCs/>
      <w:sz w:val="24"/>
      <w:u w:val="single"/>
    </w:rPr>
  </w:style>
  <w:style w:type="paragraph" w:styleId="ListParagraph">
    <w:name w:val="List Paragraph"/>
    <w:basedOn w:val="Normal"/>
    <w:uiPriority w:val="34"/>
    <w:qFormat/>
    <w:rsid w:val="00F71E6D"/>
    <w:pPr>
      <w:ind w:left="720"/>
      <w:contextualSpacing/>
    </w:pPr>
  </w:style>
  <w:style w:type="character" w:customStyle="1" w:styleId="s1">
    <w:name w:val="s1"/>
    <w:basedOn w:val="DefaultParagraphFont"/>
    <w:rsid w:val="00F71E6D"/>
    <w:rPr>
      <w:sz w:val="24"/>
      <w:szCs w:val="24"/>
    </w:rPr>
  </w:style>
  <w:style w:type="character" w:styleId="CommentReference">
    <w:name w:val="annotation reference"/>
    <w:basedOn w:val="DefaultParagraphFont"/>
    <w:uiPriority w:val="99"/>
    <w:semiHidden/>
    <w:unhideWhenUsed/>
    <w:rsid w:val="00783195"/>
    <w:rPr>
      <w:sz w:val="16"/>
      <w:szCs w:val="16"/>
    </w:rPr>
  </w:style>
  <w:style w:type="paragraph" w:styleId="CommentText">
    <w:name w:val="annotation text"/>
    <w:basedOn w:val="Normal"/>
    <w:link w:val="CommentTextChar"/>
    <w:uiPriority w:val="99"/>
    <w:semiHidden/>
    <w:unhideWhenUsed/>
    <w:rsid w:val="00783195"/>
  </w:style>
  <w:style w:type="character" w:customStyle="1" w:styleId="CommentTextChar">
    <w:name w:val="Comment Text Char"/>
    <w:basedOn w:val="DefaultParagraphFont"/>
    <w:link w:val="CommentText"/>
    <w:uiPriority w:val="99"/>
    <w:semiHidden/>
    <w:rsid w:val="00783195"/>
  </w:style>
  <w:style w:type="paragraph" w:styleId="CommentSubject">
    <w:name w:val="annotation subject"/>
    <w:basedOn w:val="CommentText"/>
    <w:next w:val="CommentText"/>
    <w:link w:val="CommentSubjectChar"/>
    <w:semiHidden/>
    <w:unhideWhenUsed/>
    <w:rsid w:val="00783195"/>
    <w:rPr>
      <w:b/>
      <w:bCs/>
    </w:rPr>
  </w:style>
  <w:style w:type="character" w:customStyle="1" w:styleId="CommentSubjectChar">
    <w:name w:val="Comment Subject Char"/>
    <w:basedOn w:val="CommentTextChar"/>
    <w:link w:val="CommentSubject"/>
    <w:semiHidden/>
    <w:rsid w:val="00783195"/>
    <w:rPr>
      <w:b/>
      <w:bCs/>
    </w:rPr>
  </w:style>
  <w:style w:type="paragraph" w:styleId="BalloonText">
    <w:name w:val="Balloon Text"/>
    <w:basedOn w:val="Normal"/>
    <w:link w:val="BalloonTextChar"/>
    <w:semiHidden/>
    <w:unhideWhenUsed/>
    <w:rsid w:val="00783195"/>
    <w:rPr>
      <w:rFonts w:ascii="Segoe UI" w:hAnsi="Segoe UI" w:cs="Segoe UI"/>
      <w:sz w:val="18"/>
      <w:szCs w:val="18"/>
    </w:rPr>
  </w:style>
  <w:style w:type="character" w:customStyle="1" w:styleId="BalloonTextChar">
    <w:name w:val="Balloon Text Char"/>
    <w:basedOn w:val="DefaultParagraphFont"/>
    <w:link w:val="BalloonText"/>
    <w:semiHidden/>
    <w:rsid w:val="00783195"/>
    <w:rPr>
      <w:rFonts w:ascii="Segoe UI" w:hAnsi="Segoe UI" w:cs="Segoe UI"/>
      <w:sz w:val="18"/>
      <w:szCs w:val="18"/>
    </w:rPr>
  </w:style>
  <w:style w:type="paragraph" w:styleId="Revision">
    <w:name w:val="Revision"/>
    <w:hidden/>
    <w:uiPriority w:val="99"/>
    <w:semiHidden/>
    <w:rsid w:val="005B698E"/>
  </w:style>
  <w:style w:type="character" w:customStyle="1" w:styleId="BodyText2Char">
    <w:name w:val="Body Text 2 Char"/>
    <w:basedOn w:val="DefaultParagraphFont"/>
    <w:link w:val="BodyText2"/>
    <w:rsid w:val="00E961C9"/>
    <w:rPr>
      <w:sz w:val="22"/>
    </w:rPr>
  </w:style>
  <w:style w:type="character" w:customStyle="1" w:styleId="BodyTextIndent2Char">
    <w:name w:val="Body Text Indent 2 Char"/>
    <w:basedOn w:val="DefaultParagraphFont"/>
    <w:link w:val="BodyTextIndent2"/>
    <w:rsid w:val="00A36791"/>
    <w:rPr>
      <w:iCs/>
    </w:rPr>
  </w:style>
  <w:style w:type="paragraph" w:styleId="NormalWeb">
    <w:name w:val="Normal (Web)"/>
    <w:basedOn w:val="Normal"/>
    <w:uiPriority w:val="99"/>
    <w:unhideWhenUsed/>
    <w:rsid w:val="00A36791"/>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D5685C"/>
    <w:rPr>
      <w:rFonts w:ascii="Arrus BT" w:hAnsi="Arrus BT"/>
      <w:snapToGrid w:val="0"/>
      <w:sz w:val="24"/>
    </w:rPr>
  </w:style>
  <w:style w:type="character" w:customStyle="1" w:styleId="Heading2Char">
    <w:name w:val="Heading 2 Char"/>
    <w:basedOn w:val="DefaultParagraphFont"/>
    <w:link w:val="Heading2"/>
    <w:rsid w:val="00975A61"/>
    <w:rPr>
      <w:b/>
      <w:snapToGrid w:val="0"/>
      <w:sz w:val="16"/>
    </w:rPr>
  </w:style>
  <w:style w:type="table" w:customStyle="1" w:styleId="a">
    <w:basedOn w:val="TableNormal"/>
    <w:tblPr>
      <w:tblStyleRowBandSize w:val="1"/>
      <w:tblStyleColBandSize w:val="1"/>
      <w:tblCellMar>
        <w:left w:w="58" w:type="dxa"/>
        <w:right w:w="0" w:type="dxa"/>
      </w:tblCellMar>
    </w:tblPr>
  </w:style>
  <w:style w:type="table" w:customStyle="1" w:styleId="a0">
    <w:basedOn w:val="TableNormal"/>
    <w:tblPr>
      <w:tblStyleRowBandSize w:val="1"/>
      <w:tblStyleColBandSize w:val="1"/>
      <w:tblCellMar>
        <w:left w:w="58" w:type="dxa"/>
        <w:right w:w="0" w:type="dxa"/>
      </w:tblCellMar>
    </w:tblPr>
  </w:style>
  <w:style w:type="table" w:customStyle="1" w:styleId="a1">
    <w:basedOn w:val="TableNormal"/>
    <w:tblPr>
      <w:tblStyleRowBandSize w:val="1"/>
      <w:tblStyleColBandSize w:val="1"/>
      <w:tblCellMar>
        <w:left w:w="58" w:type="dxa"/>
        <w:right w:w="0" w:type="dxa"/>
      </w:tblCellMar>
    </w:tblPr>
  </w:style>
  <w:style w:type="table" w:customStyle="1" w:styleId="a2">
    <w:basedOn w:val="TableNormal"/>
    <w:tblPr>
      <w:tblStyleRowBandSize w:val="1"/>
      <w:tblStyleColBandSize w:val="1"/>
      <w:tblCellMar>
        <w:left w:w="5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urveymonkey.com/r/TK9L7MZ" TargetMode="External"/><Relationship Id="rId13" Type="http://schemas.openxmlformats.org/officeDocument/2006/relationships/hyperlink" Target="mailto:Paul.Corbett@doe.virgini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Corbett@doe.virgini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Corbett@doe.virgini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ul.Corbett@doe.virgini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doe.virginia.gov/administrators/superintendents_memos/2021/103-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58jHR/en8CY4ulNKTQS812RCZQ==">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Laura (DOE)</dc:creator>
  <cp:lastModifiedBy>VITA Program</cp:lastModifiedBy>
  <cp:revision>2</cp:revision>
  <dcterms:created xsi:type="dcterms:W3CDTF">2021-05-07T18:57:00Z</dcterms:created>
  <dcterms:modified xsi:type="dcterms:W3CDTF">2021-05-07T18:57:00Z</dcterms:modified>
</cp:coreProperties>
</file>