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28" w:rsidRDefault="00AD6766">
      <w:pPr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3903980" cy="868680"/>
            <wp:effectExtent l="0" t="0" r="0" b="0"/>
            <wp:docPr id="2" name="image1.png" descr="Text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 Box"/>
                    <pic:cNvPicPr preferRelativeResize="0"/>
                  </pic:nvPicPr>
                  <pic:blipFill>
                    <a:blip r:embed="rId7"/>
                    <a:srcRect l="3073"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868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7428" w:rsidRDefault="00AD676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EIRI Assessment Schedule</w:t>
      </w:r>
    </w:p>
    <w:tbl>
      <w:tblPr>
        <w:tblStyle w:val="a"/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185"/>
        <w:gridCol w:w="2520"/>
        <w:gridCol w:w="2340"/>
      </w:tblGrid>
      <w:tr w:rsidR="00BD7428">
        <w:tc>
          <w:tcPr>
            <w:tcW w:w="1500" w:type="dxa"/>
          </w:tcPr>
          <w:p w:rsidR="00BD7428" w:rsidRDefault="00BD7428"/>
        </w:tc>
        <w:tc>
          <w:tcPr>
            <w:tcW w:w="2185" w:type="dxa"/>
          </w:tcPr>
          <w:p w:rsidR="00BD7428" w:rsidRDefault="00AD6766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520" w:type="dxa"/>
          </w:tcPr>
          <w:p w:rsidR="00BD7428" w:rsidRDefault="00AD6766">
            <w:pPr>
              <w:jc w:val="center"/>
              <w:rPr>
                <w:b/>
              </w:rPr>
            </w:pPr>
            <w:r>
              <w:rPr>
                <w:b/>
              </w:rPr>
              <w:t>Mid-Year</w:t>
            </w:r>
          </w:p>
        </w:tc>
        <w:tc>
          <w:tcPr>
            <w:tcW w:w="2340" w:type="dxa"/>
          </w:tcPr>
          <w:p w:rsidR="00BD7428" w:rsidRDefault="00AD6766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</w:tr>
      <w:tr w:rsidR="00BD7428">
        <w:trPr>
          <w:trHeight w:val="1771"/>
        </w:trPr>
        <w:tc>
          <w:tcPr>
            <w:tcW w:w="150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Kindergarten</w:t>
            </w:r>
          </w:p>
        </w:tc>
        <w:tc>
          <w:tcPr>
            <w:tcW w:w="2185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students screened</w:t>
            </w:r>
          </w:p>
        </w:tc>
        <w:tc>
          <w:tcPr>
            <w:tcW w:w="252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Optional progress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monitoring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window</w:t>
            </w:r>
          </w:p>
        </w:tc>
        <w:tc>
          <w:tcPr>
            <w:tcW w:w="234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students screened</w:t>
            </w:r>
          </w:p>
        </w:tc>
      </w:tr>
      <w:tr w:rsidR="00BD7428">
        <w:trPr>
          <w:trHeight w:val="1771"/>
        </w:trPr>
        <w:tc>
          <w:tcPr>
            <w:tcW w:w="150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First Grade</w:t>
            </w:r>
          </w:p>
        </w:tc>
        <w:tc>
          <w:tcPr>
            <w:tcW w:w="2185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students screened</w:t>
            </w:r>
          </w:p>
        </w:tc>
        <w:tc>
          <w:tcPr>
            <w:tcW w:w="252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Optional progress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monitoring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window</w:t>
            </w:r>
          </w:p>
        </w:tc>
        <w:tc>
          <w:tcPr>
            <w:tcW w:w="234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students without a "high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benchmark* score" are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screened</w:t>
            </w:r>
          </w:p>
        </w:tc>
      </w:tr>
      <w:tr w:rsidR="00BD7428">
        <w:trPr>
          <w:trHeight w:val="1771"/>
        </w:trPr>
        <w:tc>
          <w:tcPr>
            <w:tcW w:w="150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Second Grade</w:t>
            </w:r>
          </w:p>
        </w:tc>
        <w:tc>
          <w:tcPr>
            <w:tcW w:w="2185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students screened</w:t>
            </w:r>
          </w:p>
        </w:tc>
        <w:tc>
          <w:tcPr>
            <w:tcW w:w="252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Optional progress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monitoring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window</w:t>
            </w:r>
          </w:p>
        </w:tc>
        <w:tc>
          <w:tcPr>
            <w:tcW w:w="234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students without a "high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benchmark* score" are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screened</w:t>
            </w:r>
          </w:p>
        </w:tc>
      </w:tr>
      <w:tr w:rsidR="00BD7428">
        <w:trPr>
          <w:trHeight w:val="1771"/>
        </w:trPr>
        <w:tc>
          <w:tcPr>
            <w:tcW w:w="150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Third Grade</w:t>
            </w:r>
          </w:p>
        </w:tc>
        <w:tc>
          <w:tcPr>
            <w:tcW w:w="2185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who are new to Virginia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schools and students who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received summer intervention are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screened</w:t>
            </w:r>
          </w:p>
        </w:tc>
        <w:tc>
          <w:tcPr>
            <w:tcW w:w="252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Optional progress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monitoring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window</w:t>
            </w:r>
          </w:p>
        </w:tc>
        <w:tc>
          <w:tcPr>
            <w:tcW w:w="2340" w:type="dxa"/>
          </w:tcPr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 students take the SOL</w:t>
            </w:r>
          </w:p>
          <w:p w:rsidR="00BD7428" w:rsidRDefault="00AD6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English/ reading test</w:t>
            </w:r>
          </w:p>
        </w:tc>
      </w:tr>
    </w:tbl>
    <w:p w:rsidR="00BD7428" w:rsidRDefault="00BD7428">
      <w:pPr>
        <w:rPr>
          <w:rFonts w:ascii="Times New Roman" w:eastAsia="Times New Roman" w:hAnsi="Times New Roman" w:cs="Times New Roman"/>
        </w:rPr>
      </w:pPr>
    </w:p>
    <w:p w:rsidR="00BD7428" w:rsidRDefault="00AD676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*The purpose of the high benchmark is to exempt from future PALS screenings those students whose</w:t>
      </w:r>
    </w:p>
    <w:p w:rsidR="00BD7428" w:rsidRDefault="00AD676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PALS scores are so high in spri</w:t>
      </w:r>
      <w:r>
        <w:rPr>
          <w:rFonts w:ascii="Times New Roman" w:eastAsia="Times New Roman" w:hAnsi="Times New Roman" w:cs="Times New Roman"/>
        </w:rPr>
        <w:t>ng of second grade, that it is unlikely that future PALS screenings will</w:t>
      </w:r>
    </w:p>
    <w:p w:rsidR="00BD7428" w:rsidRDefault="00AD676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identify</w:t>
      </w:r>
      <w:proofErr w:type="gramEnd"/>
      <w:r>
        <w:rPr>
          <w:rFonts w:ascii="Times New Roman" w:eastAsia="Times New Roman" w:hAnsi="Times New Roman" w:cs="Times New Roman"/>
        </w:rPr>
        <w:t xml:space="preserve"> them for additional instruction. Students meeting the high benchmark do not need to take PALS in the future unless the teacher wishes to administer PALS to those students for</w:t>
      </w:r>
      <w:r>
        <w:rPr>
          <w:rFonts w:ascii="Times New Roman" w:eastAsia="Times New Roman" w:hAnsi="Times New Roman" w:cs="Times New Roman"/>
        </w:rPr>
        <w:t xml:space="preserve"> instructional purposes.</w:t>
      </w:r>
    </w:p>
    <w:p w:rsidR="00BD7428" w:rsidRDefault="00BD742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BD7428" w:rsidRDefault="00BD742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BD7428">
      <w:headerReference w:type="default" r:id="rId8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66" w:rsidRDefault="00AD6766">
      <w:pPr>
        <w:spacing w:after="0" w:line="240" w:lineRule="auto"/>
      </w:pPr>
      <w:r>
        <w:separator/>
      </w:r>
    </w:p>
  </w:endnote>
  <w:endnote w:type="continuationSeparator" w:id="0">
    <w:p w:rsidR="00AD6766" w:rsidRDefault="00A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66" w:rsidRDefault="00AD6766">
      <w:pPr>
        <w:spacing w:after="0" w:line="240" w:lineRule="auto"/>
      </w:pPr>
      <w:r>
        <w:separator/>
      </w:r>
    </w:p>
  </w:footnote>
  <w:footnote w:type="continuationSeparator" w:id="0">
    <w:p w:rsidR="00AD6766" w:rsidRDefault="00A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28" w:rsidRDefault="00AD6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Attachment A</w:t>
    </w:r>
    <w:r>
      <w:rPr>
        <w:color w:val="000000"/>
      </w:rPr>
      <w:br/>
      <w:t>Sup</w:t>
    </w:r>
    <w:r w:rsidR="006B2E5F">
      <w:rPr>
        <w:color w:val="000000"/>
      </w:rPr>
      <w:t>erintendent’s Memorandum #071-21</w:t>
    </w:r>
  </w:p>
  <w:p w:rsidR="00BD7428" w:rsidRDefault="00AD67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t>March 19</w:t>
    </w:r>
    <w:r>
      <w:rPr>
        <w:color w:val="000000"/>
      </w:rPr>
      <w:t>, 2021</w:t>
    </w:r>
  </w:p>
  <w:p w:rsidR="00BD7428" w:rsidRDefault="00BD74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28"/>
    <w:rsid w:val="006B2E5F"/>
    <w:rsid w:val="00AD6766"/>
    <w:rsid w:val="00B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4F21"/>
  <w15:docId w15:val="{A763C3BC-5641-436C-AA10-7540AE3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B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459"/>
  </w:style>
  <w:style w:type="paragraph" w:styleId="Footer">
    <w:name w:val="footer"/>
    <w:basedOn w:val="Normal"/>
    <w:link w:val="FooterChar"/>
    <w:uiPriority w:val="99"/>
    <w:unhideWhenUsed/>
    <w:rsid w:val="00C6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45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k4tcno1qB13WhlUOwE3CMkuwDA==">AMUW2mXJ6S1L4IfHLlrXpITc1GeuUPBQzt+Bf5JskjO+QtWxdTaCCbXeox9eckZghGsyqApSbimRN5Ue25Cj2INqg56kBHJ7Mb43GWVzuHeOHjL5rtceMwzRPBqYRfZLzEttoSytHVHk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Jennings, Laura (DOE)</cp:lastModifiedBy>
  <cp:revision>2</cp:revision>
  <dcterms:created xsi:type="dcterms:W3CDTF">2021-03-16T20:38:00Z</dcterms:created>
  <dcterms:modified xsi:type="dcterms:W3CDTF">2021-03-16T20:38:00Z</dcterms:modified>
</cp:coreProperties>
</file>