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8A" w:rsidRDefault="003A5208" w:rsidP="003A52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Attachment A</w:t>
      </w:r>
    </w:p>
    <w:p w:rsidR="003A5208" w:rsidRDefault="003A5208" w:rsidP="003A52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Superintendent’s Memo 208-22</w:t>
      </w:r>
    </w:p>
    <w:p w:rsidR="003A5208" w:rsidRDefault="003A5208" w:rsidP="003A52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September 9, 2022</w:t>
      </w:r>
    </w:p>
    <w:p w:rsidR="0022038A" w:rsidRDefault="003A520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Subaward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Subcontract, and Professional Service Agreements Determinations</w:t>
      </w:r>
    </w:p>
    <w:p w:rsidR="0022038A" w:rsidRDefault="003A5208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classification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subawards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subcontracts, and professional service agreements is a difficult topic to address because it cannot be applied universally. The Uniform Guidance states the determining factor in </w:t>
      </w:r>
      <w:hyperlink r:id="rId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 xml:space="preserve">2 CFR 200.331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Subrecipient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 xml:space="preserve"> and contractor </w:t>
        </w:r>
        <w:proofErr w:type="gramStart"/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 xml:space="preserve">determinations 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>, “In determining whether an agreement between a pass-through entity and another non-Federal entity casts the lat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subrecipient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 a contractor,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the substance of the relationship is more important than the form of the agreement</w:t>
      </w:r>
      <w:r>
        <w:rPr>
          <w:rFonts w:ascii="Times New Roman" w:eastAsia="Times New Roman" w:hAnsi="Times New Roman" w:cs="Times New Roman"/>
          <w:sz w:val="20"/>
          <w:szCs w:val="20"/>
        </w:rPr>
        <w:t>.” The chart below was derived from the Uniform Guidance:  </w:t>
      </w:r>
    </w:p>
    <w:tbl>
      <w:tblPr>
        <w:tblStyle w:val="a"/>
        <w:tblW w:w="16931" w:type="dxa"/>
        <w:tblLayout w:type="fixed"/>
        <w:tblLook w:val="0400" w:firstRow="0" w:lastRow="0" w:firstColumn="0" w:lastColumn="0" w:noHBand="0" w:noVBand="1"/>
      </w:tblPr>
      <w:tblGrid>
        <w:gridCol w:w="1556"/>
        <w:gridCol w:w="6025"/>
        <w:gridCol w:w="4675"/>
        <w:gridCol w:w="4675"/>
      </w:tblGrid>
      <w:tr w:rsidR="0022038A"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Relationship Substance </w:t>
            </w:r>
          </w:p>
        </w:tc>
        <w:tc>
          <w:tcPr>
            <w:tcW w:w="6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Subaward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Subcontract 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038A" w:rsidRDefault="003A52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Professional Services </w:t>
            </w:r>
          </w:p>
        </w:tc>
      </w:tr>
      <w:tr w:rsidR="0022038A" w:rsidTr="003A5208">
        <w:trPr>
          <w:trHeight w:val="2005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Defi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nition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subaward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for the purpose of carrying out a portion of a Federal award and creates a Federal assistance relationship with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subrecipient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See 2 C.F.R. § 200.92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Subaward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. 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A contract is for the purpose of obtaining goods and services for the non-Federal entity's own use and creates a procurement relationship with the contractor.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See 2 C.F.R. §200.22 Contract. 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38A" w:rsidRDefault="003A5208" w:rsidP="003A5208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Costs of professional and consultant services rendered by persons who are members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of a particular profession or possess a special skill, and who are not officers or employees of the non-Federal entity, are allowable, subject to paragraphs (b) and (c) when reasonable in relation to the services rendered and when not contingent upon reco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very of the costs from the Federal Government.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See 2 C.F.R. § 200.459   Professional service costs.</w:t>
              </w:r>
            </w:hyperlink>
          </w:p>
        </w:tc>
      </w:tr>
      <w:tr w:rsidR="0022038A" w:rsidTr="003A5208">
        <w:trPr>
          <w:trHeight w:val="9853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Characteristics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Determines who is eligible to receive what Federal assistance;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(2) Has its performance measured in relation to whether objectives of a Federal program were met;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 Has responsibility for programmatic decision making;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(4) Is responsible for adherence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applicable Federal program requirements specified in the Federal award; and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 In accordance with its agreement, uses the Federal funds to carry out a program for a public purpose specified in authorizing statute, as opposed to providing goods or services for the benefit of the pass-through entity.</w:t>
            </w:r>
          </w:p>
          <w:p w:rsidR="0022038A" w:rsidRDefault="003A5208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Provides the goods and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rvices within normal business operations;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(2) Provides similar goods or services to many different purchasers;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 Normally operates in a competitive environment;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(4) Provides goods or services that are ancillary to the operation of the Federal program; 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 Is not subject to compliance requirements of the Federal program as a result of the agreement, though similar requirements may apply for other reasons.</w:t>
            </w:r>
          </w:p>
          <w:p w:rsidR="0022038A" w:rsidRDefault="003A5208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38A" w:rsidRDefault="003A5208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(b) In determining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allowability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costs in a particular case, no single factor or any special combination of factors is necessarily determinative. However, the following factors are relevant: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The nature and scope of the service rendered in relatio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to the service required.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(2) The necessity of contracting for the service, considering the non-Federal entity's capability in the particular area.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 The past pattern of such costs, particularly in the years prior to Federal awards.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(4) The impact of Fe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deral awards on the non-Federal entity's business (i.e., what new problems have arisen).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 Whether the proportion of Federal work to the non-Federal entity's total business is such as to influence the non-Federal entity in favor of incurring the cost, pa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rticularly where the services rendered are not of a continuing nature and have little relationship to work under Federal awards.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(6) Whether the service can be performed more economically by direct employment rather than contracting.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(7) The qualifications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the individual or concern rendering the service and the customary fees charged, especially on non-federally funded activities.</w:t>
            </w:r>
          </w:p>
          <w:p w:rsidR="0022038A" w:rsidRDefault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(8) Adequacy of the contractual agreement for the service (e.g., description of the service, estimate of time required, rate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compensation, and termination provisions).</w:t>
            </w:r>
          </w:p>
          <w:p w:rsidR="0022038A" w:rsidRDefault="003A5208" w:rsidP="003A5208">
            <w:pPr>
              <w:shd w:val="clear" w:color="auto" w:fill="FFFFFF"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(c) In addition to the factors in paragraph (b) of this section, to be allowable, retainer fees must be supported by evidence of bona fide services available or rendered.</w:t>
            </w:r>
          </w:p>
        </w:tc>
      </w:tr>
      <w:tr w:rsidR="0022038A"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Treatment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Generally, subject to exclusion of amounts over $25,000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CFR 200.68 Modified Total Direct Cost</w:t>
            </w:r>
            <w:bookmarkStart w:id="1" w:name="_GoBack"/>
            <w:bookmarkEnd w:id="1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38A" w:rsidRDefault="003A52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Generally, subject to exclusion of amounts over $25,000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CFR 200.68 Modified Total Direct Cost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38A" w:rsidRDefault="003A52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Generally, not subject to exclusion of amounts over $25,000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providing an auxiliary expertise normally provided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inhouse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22038A" w:rsidRDefault="0022038A">
      <w:pPr>
        <w:rPr>
          <w:sz w:val="20"/>
          <w:szCs w:val="20"/>
        </w:rPr>
      </w:pPr>
    </w:p>
    <w:sectPr w:rsidR="0022038A">
      <w:pgSz w:w="23811" w:h="16838" w:orient="landscape"/>
      <w:pgMar w:top="144" w:right="1440" w:bottom="1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8A"/>
    <w:rsid w:val="0022038A"/>
    <w:rsid w:val="003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8904"/>
  <w15:docId w15:val="{8F9D4102-906B-4BCF-9E7F-5816EDC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6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182F6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82F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2F6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E7FB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8338e32b5b0cf02c057e2456ddd19f4e&amp;mc=true&amp;node=se2.1.200_1459&amp;rgn=di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2/subtitle-A/chapter-II/part-200/subpart-A/subject-group-ECFR2a6a0087862fd2c/section-200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fr.gov/current/title-2/subtitle-A/chapter-II/part-200/subpart-A/subject-group-ECFR2a6a0087862fd2c/section-200.1" TargetMode="External"/><Relationship Id="rId5" Type="http://schemas.openxmlformats.org/officeDocument/2006/relationships/hyperlink" Target="https://www.ecfr.gov/cgi-bin/text-idx?SID=b2b3388a95553d5e5ac2224de9c7bae1&amp;mc=true&amp;node=se2.1.200_1331&amp;rgn=div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vk1mGwvC9PhJSMZMN7HoXiaDg==">AMUW2mXKVlojDUUYjPYxH4oOetOZioz1VmVWiBFqD4WJFR7K+nc5cok/aVZ8C8YmedqZz6FOmu5kDVuP4bq/gTosOmUNSCrBZc3ew3ZD8WJE2MiTj2sEQufzi8cjlK0RT+uF0dFO2/It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4205</Characters>
  <Application>Microsoft Office Word</Application>
  <DocSecurity>0</DocSecurity>
  <Lines>262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Hylton, Andre</dc:creator>
  <cp:lastModifiedBy>VITA Program</cp:lastModifiedBy>
  <cp:revision>2</cp:revision>
  <dcterms:created xsi:type="dcterms:W3CDTF">2022-09-08T16:05:00Z</dcterms:created>
  <dcterms:modified xsi:type="dcterms:W3CDTF">2022-09-08T16:05:00Z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