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16680" w:rsidR="00B83A8C" w:rsidP="261ECE7D" w:rsidRDefault="00BE13E1" w14:paraId="260B87C6" w14:textId="0A472E13">
      <w:pPr>
        <w:spacing w:after="0" w:line="240" w:lineRule="auto"/>
        <w:rPr>
          <w:b w:val="1"/>
          <w:bCs w:val="1"/>
          <w:color w:val="003C71"/>
          <w:sz w:val="28"/>
          <w:szCs w:val="28"/>
        </w:rPr>
      </w:pPr>
      <w:r w:rsidRPr="00B16680">
        <w:rPr>
          <w:noProof/>
          <w:color w:val="003C7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59F450" wp14:editId="5E52448A">
            <wp:simplePos x="0" y="0"/>
            <wp:positionH relativeFrom="margin">
              <wp:align>right</wp:align>
            </wp:positionH>
            <wp:positionV relativeFrom="paragraph">
              <wp:posOffset>-330200</wp:posOffset>
            </wp:positionV>
            <wp:extent cx="1346368" cy="876300"/>
            <wp:effectExtent l="0" t="0" r="0" b="0"/>
            <wp:wrapNone/>
            <wp:docPr id="272319649" name="Picture 2" descr="Logo, company name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19649" name="Picture 2" descr="Logo, company name&#10;&#10;Description automatically generated"/>
                    <pic:cNvPicPr/>
                  </pic:nvPicPr>
                  <pic:blipFill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636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61ECE7D" w:rsidR="00A41B7C">
        <w:rPr>
          <w:b w:val="1"/>
          <w:bCs w:val="1"/>
          <w:color w:val="003C71"/>
          <w:sz w:val="28"/>
          <w:szCs w:val="28"/>
        </w:rPr>
        <w:t>Target</w:t>
      </w:r>
      <w:r w:rsidRPr="261ECE7D" w:rsidR="008F14AE">
        <w:rPr>
          <w:b w:val="1"/>
          <w:bCs w:val="1"/>
          <w:color w:val="003C71"/>
          <w:sz w:val="28"/>
          <w:szCs w:val="28"/>
        </w:rPr>
        <w:t>ed</w:t>
      </w:r>
      <w:r w:rsidRPr="261ECE7D" w:rsidR="00A41B7C">
        <w:rPr>
          <w:b w:val="1"/>
          <w:bCs w:val="1"/>
          <w:color w:val="003C71"/>
          <w:sz w:val="28"/>
          <w:szCs w:val="28"/>
        </w:rPr>
        <w:t xml:space="preserve"> Extended/Enriched S</w:t>
      </w:r>
      <w:r w:rsidRPr="261ECE7D" w:rsidR="0F49345A">
        <w:rPr>
          <w:b w:val="1"/>
          <w:bCs w:val="1"/>
          <w:color w:val="003C71"/>
          <w:sz w:val="28"/>
          <w:szCs w:val="28"/>
        </w:rPr>
        <w:t xml:space="preserve">chool </w:t>
      </w:r>
      <w:r w:rsidRPr="261ECE7D" w:rsidR="00046CAE">
        <w:rPr>
          <w:b w:val="1"/>
          <w:bCs w:val="1"/>
          <w:color w:val="003C71"/>
          <w:sz w:val="28"/>
          <w:szCs w:val="28"/>
        </w:rPr>
        <w:t>Y</w:t>
      </w:r>
      <w:r w:rsidRPr="261ECE7D" w:rsidR="2B2F0FEF">
        <w:rPr>
          <w:b w:val="1"/>
          <w:bCs w:val="1"/>
          <w:color w:val="003C71"/>
          <w:sz w:val="28"/>
          <w:szCs w:val="28"/>
        </w:rPr>
        <w:t>ear</w:t>
      </w:r>
      <w:r w:rsidRPr="261ECE7D" w:rsidR="00A41B7C">
        <w:rPr>
          <w:b w:val="1"/>
          <w:bCs w:val="1"/>
          <w:color w:val="003C71"/>
          <w:sz w:val="28"/>
          <w:szCs w:val="28"/>
        </w:rPr>
        <w:t xml:space="preserve"> and </w:t>
      </w:r>
    </w:p>
    <w:p w:rsidRPr="00B16680" w:rsidR="00B83A8C" w:rsidP="261ECE7D" w:rsidRDefault="00BE13E1" w14:paraId="53CC6011" w14:textId="3F2CA0A4">
      <w:pPr>
        <w:spacing w:after="0" w:line="240" w:lineRule="auto"/>
        <w:rPr>
          <w:b w:val="1"/>
          <w:bCs w:val="1"/>
          <w:color w:val="003C71"/>
          <w:sz w:val="28"/>
          <w:szCs w:val="28"/>
        </w:rPr>
      </w:pPr>
      <w:r w:rsidRPr="261ECE7D" w:rsidR="00A41B7C">
        <w:rPr>
          <w:b w:val="1"/>
          <w:bCs w:val="1"/>
          <w:color w:val="003C71"/>
          <w:sz w:val="28"/>
          <w:szCs w:val="28"/>
        </w:rPr>
        <w:t xml:space="preserve">Y</w:t>
      </w:r>
      <w:r w:rsidRPr="261ECE7D" w:rsidR="09368844">
        <w:rPr>
          <w:b w:val="1"/>
          <w:bCs w:val="1"/>
          <w:color w:val="003C71"/>
          <w:sz w:val="28"/>
          <w:szCs w:val="28"/>
        </w:rPr>
        <w:t xml:space="preserve">ear-</w:t>
      </w:r>
      <w:r w:rsidRPr="261ECE7D" w:rsidR="00046CAE">
        <w:rPr>
          <w:b w:val="1"/>
          <w:bCs w:val="1"/>
          <w:color w:val="003C71"/>
          <w:sz w:val="28"/>
          <w:szCs w:val="28"/>
        </w:rPr>
        <w:t>R</w:t>
      </w:r>
      <w:r w:rsidRPr="261ECE7D" w:rsidR="5D1ABE74">
        <w:rPr>
          <w:b w:val="1"/>
          <w:bCs w:val="1"/>
          <w:color w:val="003C71"/>
          <w:sz w:val="28"/>
          <w:szCs w:val="28"/>
        </w:rPr>
        <w:t xml:space="preserve">ound </w:t>
      </w:r>
      <w:r w:rsidRPr="261ECE7D" w:rsidR="00046CAE">
        <w:rPr>
          <w:b w:val="1"/>
          <w:bCs w:val="1"/>
          <w:color w:val="003C71"/>
          <w:sz w:val="28"/>
          <w:szCs w:val="28"/>
        </w:rPr>
        <w:t>S</w:t>
      </w:r>
      <w:r w:rsidRPr="261ECE7D" w:rsidR="3EEF24BE">
        <w:rPr>
          <w:b w:val="1"/>
          <w:bCs w:val="1"/>
          <w:color w:val="003C71"/>
          <w:sz w:val="28"/>
          <w:szCs w:val="28"/>
        </w:rPr>
        <w:t>chool</w:t>
      </w:r>
      <w:r w:rsidRPr="261ECE7D" w:rsidR="00A41B7C">
        <w:rPr>
          <w:b w:val="1"/>
          <w:bCs w:val="1"/>
          <w:color w:val="003C71"/>
          <w:sz w:val="28"/>
          <w:szCs w:val="28"/>
        </w:rPr>
        <w:t xml:space="preserve"> Grant</w:t>
      </w:r>
      <w:r w:rsidRPr="261ECE7D" w:rsidR="67AB4EE4">
        <w:rPr>
          <w:b w:val="1"/>
          <w:bCs w:val="1"/>
          <w:color w:val="003C71"/>
          <w:sz w:val="28"/>
          <w:szCs w:val="28"/>
        </w:rPr>
        <w:t xml:space="preserve"> Overview</w:t>
      </w:r>
    </w:p>
    <w:p w:rsidR="00875C80" w:rsidP="00B16680" w:rsidRDefault="00875C80" w14:paraId="0B4E14EE" w14:textId="685B81DA" w14:noSpellErr="1">
      <w:pPr>
        <w:spacing w:after="0" w:line="240" w:lineRule="auto"/>
        <w:rPr>
          <w:b w:val="1"/>
          <w:bCs w:val="1"/>
          <w:color w:val="003C71"/>
          <w:sz w:val="28"/>
          <w:szCs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261ECE7D" w:rsidTr="15974B7B" w14:paraId="48074D23">
        <w:trPr>
          <w:trHeight w:val="300"/>
        </w:trPr>
        <w:tc>
          <w:tcPr>
            <w:tcW w:w="10800" w:type="dxa"/>
            <w:shd w:val="clear" w:color="auto" w:fill="DAE9F7" w:themeFill="text2" w:themeFillTint="1A"/>
            <w:tcMar/>
          </w:tcPr>
          <w:p w:rsidR="67AB4EE4" w:rsidP="261ECE7D" w:rsidRDefault="67AB4EE4" w14:paraId="2B369C58" w14:textId="4242066A">
            <w:pPr>
              <w:pStyle w:val="ListParagraph"/>
              <w:numPr>
                <w:ilvl w:val="0"/>
                <w:numId w:val="17"/>
              </w:numPr>
              <w:rPr>
                <w:b w:val="1"/>
                <w:bCs w:val="1"/>
                <w:color w:val="003C71"/>
              </w:rPr>
            </w:pPr>
            <w:r w:rsidRPr="261ECE7D" w:rsidR="67AB4EE4">
              <w:rPr>
                <w:b w:val="1"/>
                <w:bCs w:val="1"/>
                <w:color w:val="003C71"/>
              </w:rPr>
              <w:t>Definitions</w:t>
            </w:r>
          </w:p>
        </w:tc>
      </w:tr>
      <w:tr w:rsidR="261ECE7D" w:rsidTr="15974B7B" w14:paraId="7ACF5FA2">
        <w:trPr>
          <w:trHeight w:val="300"/>
        </w:trPr>
        <w:tc>
          <w:tcPr>
            <w:tcW w:w="10800" w:type="dxa"/>
            <w:tcMar/>
          </w:tcPr>
          <w:p w:rsidR="67AB4EE4" w:rsidP="261ECE7D" w:rsidRDefault="67AB4EE4" w14:paraId="59E18BF7" w14:textId="59BE79D9">
            <w:pPr>
              <w:pStyle w:val="Normal"/>
              <w:ind w:left="0" w:hanging="0"/>
              <w:rPr>
                <w:color w:val="003C71"/>
              </w:rPr>
            </w:pPr>
            <w:r w:rsidRPr="261ECE7D" w:rsidR="67AB4EE4">
              <w:rPr>
                <w:b w:val="1"/>
                <w:bCs w:val="1"/>
                <w:color w:val="003C71"/>
              </w:rPr>
              <w:t xml:space="preserve">Targeted Extended/Enriched School Year (ESY) - </w:t>
            </w:r>
            <w:r w:rsidRPr="261ECE7D" w:rsidR="67AB4EE4">
              <w:rPr>
                <w:color w:val="003C71"/>
              </w:rPr>
              <w:t>A program that extends the school year beyond the traditional calendar year to support the needs of a targeted group of students that demonstrates a need for additional support.</w:t>
            </w:r>
          </w:p>
          <w:p w:rsidR="67AB4EE4" w:rsidP="261ECE7D" w:rsidRDefault="67AB4EE4" w14:paraId="173A7F82" w14:textId="7418E87F">
            <w:pPr>
              <w:pStyle w:val="Normal"/>
              <w:ind w:left="0" w:hanging="0"/>
              <w:rPr>
                <w:color w:val="003C71"/>
              </w:rPr>
            </w:pPr>
            <w:r w:rsidRPr="261ECE7D" w:rsidR="67AB4EE4">
              <w:rPr>
                <w:b w:val="1"/>
                <w:bCs w:val="1"/>
                <w:color w:val="003C71"/>
              </w:rPr>
              <w:t>Year-Round School (YRS) -</w:t>
            </w:r>
            <w:r w:rsidRPr="261ECE7D" w:rsidR="67AB4EE4">
              <w:rPr>
                <w:color w:val="003C71"/>
              </w:rPr>
              <w:t xml:space="preserve"> A decision to redistribute the traditional 10-month school calendar across 11 or 12 months.</w:t>
            </w:r>
          </w:p>
        </w:tc>
      </w:tr>
    </w:tbl>
    <w:p w:rsidR="261ECE7D" w:rsidP="261ECE7D" w:rsidRDefault="261ECE7D" w14:paraId="2967266C" w14:textId="637D2404">
      <w:pPr>
        <w:pStyle w:val="Normal"/>
        <w:spacing w:after="0" w:line="240" w:lineRule="auto"/>
        <w:rPr>
          <w:b w:val="1"/>
          <w:bCs w:val="1"/>
          <w:color w:val="003C71"/>
          <w:sz w:val="28"/>
          <w:szCs w:val="28"/>
        </w:rPr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Pr="00E65744" w:rsidR="00E65744" w:rsidTr="15974B7B" w14:paraId="3878B2F5" w14:textId="77777777">
        <w:tc>
          <w:tcPr>
            <w:tcW w:w="10785" w:type="dxa"/>
            <w:shd w:val="clear" w:color="auto" w:fill="DAE9F7" w:themeFill="text2" w:themeFillTint="1A"/>
            <w:tcMar/>
          </w:tcPr>
          <w:p w:rsidRPr="00E65744" w:rsidR="00E65744" w:rsidP="261ECE7D" w:rsidRDefault="00E65744" w14:paraId="21A455B5" w14:textId="06038727">
            <w:pPr>
              <w:pStyle w:val="ListParagraph"/>
              <w:numPr>
                <w:ilvl w:val="0"/>
                <w:numId w:val="17"/>
              </w:numPr>
              <w:ind/>
              <w:rPr>
                <w:b w:val="1"/>
                <w:bCs w:val="1"/>
                <w:color w:val="003C71"/>
              </w:rPr>
            </w:pPr>
            <w:r w:rsidRPr="15974B7B" w:rsidR="19A2100B">
              <w:rPr>
                <w:b w:val="1"/>
                <w:bCs w:val="1"/>
                <w:color w:val="003C71"/>
              </w:rPr>
              <w:t>Background of the Grant</w:t>
            </w:r>
          </w:p>
        </w:tc>
      </w:tr>
      <w:tr w:rsidRPr="00E65744" w:rsidR="00E65744" w:rsidTr="15974B7B" w14:paraId="1601960F" w14:textId="77777777">
        <w:tc>
          <w:tcPr>
            <w:tcW w:w="10785" w:type="dxa"/>
            <w:tcMar/>
          </w:tcPr>
          <w:p w:rsidRPr="00B16680" w:rsidR="00691FD0" w:rsidP="00B16680" w:rsidRDefault="00000000" w14:paraId="5D33E733" w14:textId="56197F88">
            <w:pPr>
              <w:pStyle w:val="ListParagraph"/>
              <w:numPr>
                <w:ilvl w:val="0"/>
                <w:numId w:val="15"/>
              </w:numPr>
              <w:ind w:left="360" w:hanging="216"/>
              <w:rPr>
                <w:color w:val="003C71"/>
              </w:rPr>
            </w:pPr>
            <w:hyperlink r:id="R15dfa862d80b4d0e">
              <w:r w:rsidRPr="15974B7B" w:rsidR="43F87280">
                <w:rPr>
                  <w:rStyle w:val="Hyperlink"/>
                </w:rPr>
                <w:t xml:space="preserve">The 2012 </w:t>
              </w:r>
              <w:r w:rsidRPr="15974B7B" w:rsidR="00691FD0">
                <w:rPr>
                  <w:rStyle w:val="Hyperlink"/>
                </w:rPr>
                <w:t>JLARC Report</w:t>
              </w:r>
            </w:hyperlink>
            <w:r w:rsidRPr="15974B7B" w:rsidR="22122252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</w:t>
            </w:r>
            <w:r w:rsidRPr="15974B7B" w:rsidR="22122252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>identified</w:t>
            </w:r>
            <w:r w:rsidRPr="15974B7B" w:rsidR="22122252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benefits</w:t>
            </w:r>
            <w:r w:rsidRPr="15974B7B" w:rsidR="65280E1C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of Year-Round School calendars, specifically for students from black, </w:t>
            </w:r>
            <w:r w:rsidRPr="15974B7B" w:rsidR="397AEA43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>Hispanic</w:t>
            </w:r>
            <w:r w:rsidRPr="15974B7B" w:rsidR="65280E1C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and English Learner student groups</w:t>
            </w:r>
            <w:r w:rsidRPr="15974B7B" w:rsidR="537883A4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. </w:t>
            </w:r>
          </w:p>
          <w:p w:rsidRPr="00B16680" w:rsidR="00691FD0" w:rsidP="00B16680" w:rsidRDefault="00000000" w14:paraId="2C0550D2" w14:textId="15892A92">
            <w:pPr>
              <w:pStyle w:val="ListParagraph"/>
              <w:numPr>
                <w:ilvl w:val="0"/>
                <w:numId w:val="15"/>
              </w:numPr>
              <w:ind w:left="360" w:hanging="216"/>
              <w:rPr>
                <w:color w:val="003C71"/>
              </w:rPr>
            </w:pPr>
            <w:r w:rsidRPr="15974B7B" w:rsidR="1911FF1B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The General Assembly began including funding appropriations for Targeted Extended/Enriched School Year and Year-Round Schools </w:t>
            </w:r>
            <w:r w:rsidRPr="15974B7B" w:rsidR="45798DC6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>in 2014. Currently, the Virginia Department of Education, Office of School Quality administers the voluntary</w:t>
            </w:r>
            <w:r w:rsidRPr="15974B7B" w:rsidR="7543395B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grant application and award process.</w:t>
            </w:r>
            <w:r w:rsidRPr="15974B7B" w:rsidR="1D2D4625">
              <w:rPr>
                <w:rFonts w:ascii="Aptos" w:hAnsi="Aptos" w:eastAsia="Aptos" w:cs="" w:asciiTheme="minorAscii" w:hAnsiTheme="minorAscii" w:eastAsiaTheme="minorAscii" w:cstheme="minorBidi"/>
                <w:color w:val="003C71"/>
                <w:sz w:val="22"/>
                <w:szCs w:val="22"/>
                <w:lang w:eastAsia="en-US" w:bidi="ar-SA"/>
              </w:rPr>
              <w:t xml:space="preserve"> </w:t>
            </w:r>
            <w:hyperlink r:id="R4e7249504b3d4abe">
              <w:r w:rsidRPr="15974B7B" w:rsidR="1D2D4625">
                <w:rPr>
                  <w:rStyle w:val="Hyperlink"/>
                  <w:rFonts w:eastAsia="" w:eastAsiaTheme="minorEastAsia"/>
                </w:rPr>
                <w:t>Item 136.M.1-7 (June 2024)</w:t>
              </w:r>
            </w:hyperlink>
          </w:p>
          <w:p w:rsidRPr="00A92C6B" w:rsidR="00816863" w:rsidP="00B16680" w:rsidRDefault="00816863" w14:paraId="09762F4F" w14:textId="1E7B862D">
            <w:pPr>
              <w:pStyle w:val="ListParagraph"/>
              <w:numPr>
                <w:ilvl w:val="0"/>
                <w:numId w:val="15"/>
              </w:numPr>
              <w:ind w:left="360" w:hanging="216"/>
              <w:rPr>
                <w:color w:val="003C71"/>
              </w:rPr>
            </w:pPr>
            <w:r w:rsidRPr="261ECE7D" w:rsidR="00A92C6B">
              <w:rPr>
                <w:color w:val="003C71"/>
              </w:rPr>
              <w:t xml:space="preserve">In the ten years of dedicated appropriations for this grant, </w:t>
            </w:r>
            <w:r w:rsidRPr="261ECE7D" w:rsidR="00A92C6B">
              <w:rPr>
                <w:color w:val="003C71"/>
                <w:u w:val="none"/>
              </w:rPr>
              <w:t>35 different school divisions</w:t>
            </w:r>
            <w:r w:rsidRPr="261ECE7D" w:rsidR="00A92C6B">
              <w:rPr>
                <w:color w:val="003C71"/>
                <w:u w:val="none"/>
              </w:rPr>
              <w:t xml:space="preserve"> have received awards to conduct planning and/or start-up activities.</w:t>
            </w:r>
          </w:p>
        </w:tc>
      </w:tr>
    </w:tbl>
    <w:p w:rsidR="00BE13E1" w:rsidP="00B16680" w:rsidRDefault="00BE13E1" w14:paraId="6BD0EE8F" w14:textId="0B64AEA1">
      <w:pPr>
        <w:spacing w:after="0" w:line="240" w:lineRule="auto"/>
        <w:rPr>
          <w:b w:val="1"/>
          <w:bCs w:val="1"/>
          <w:color w:val="003C71"/>
          <w:sz w:val="28"/>
          <w:szCs w:val="28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10770"/>
      </w:tblGrid>
      <w:tr w:rsidRPr="00E65744" w:rsidR="00E65744" w:rsidTr="15974B7B" w14:paraId="3CEC121E" w14:textId="77777777">
        <w:trPr>
          <w:trHeight w:val="300"/>
        </w:trPr>
        <w:tc>
          <w:tcPr>
            <w:tcW w:w="10770" w:type="dxa"/>
            <w:shd w:val="clear" w:color="auto" w:fill="DAE9F7" w:themeFill="text2" w:themeFillTint="1A"/>
            <w:tcMar/>
          </w:tcPr>
          <w:p w:rsidRPr="00E65744" w:rsidR="00E65744" w:rsidP="15974B7B" w:rsidRDefault="00E65744" w14:paraId="389EBE02" w14:textId="48753B79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b w:val="1"/>
                <w:bCs w:val="1"/>
                <w:color w:val="003C71"/>
              </w:rPr>
            </w:pPr>
            <w:r w:rsidRPr="15974B7B" w:rsidR="3CF81054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  <w:t xml:space="preserve">Types of Grants </w:t>
            </w:r>
            <w:r w:rsidRPr="15974B7B" w:rsidR="0DD2CBED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  <w:t>Grant Funding and Awards</w:t>
            </w:r>
          </w:p>
        </w:tc>
      </w:tr>
      <w:tr w:rsidRPr="00E65744" w:rsidR="00E65744" w:rsidTr="15974B7B" w14:paraId="0E419452" w14:textId="77777777">
        <w:tc>
          <w:tcPr>
            <w:tcW w:w="10770" w:type="dxa"/>
            <w:tcMar/>
          </w:tcPr>
          <w:p w:rsidRPr="00B16680" w:rsidR="00B16680" w:rsidP="15974B7B" w:rsidRDefault="00B16680" w14:paraId="5B3AB32D" w14:textId="474832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color w:val="003C71"/>
              </w:rPr>
            </w:pPr>
            <w:r w:rsidRPr="15974B7B" w:rsidR="0DD2CBED">
              <w:rPr>
                <w:color w:val="003C71"/>
              </w:rPr>
              <w:t>The grant application can be written for a planning grant or a start-up grant:</w:t>
            </w:r>
          </w:p>
          <w:p w:rsidRPr="00B16680" w:rsidR="00B16680" w:rsidP="15974B7B" w:rsidRDefault="00B16680" w14:paraId="5950C75B" w14:textId="312D71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color w:val="003C71"/>
              </w:rPr>
            </w:pPr>
            <w:r w:rsidRPr="15974B7B" w:rsidR="0DD2CBED">
              <w:rPr>
                <w:b w:val="1"/>
                <w:bCs w:val="1"/>
                <w:color w:val="003C71"/>
              </w:rPr>
              <w:t>Planning Grant</w:t>
            </w:r>
            <w:r w:rsidRPr="15974B7B" w:rsidR="0DD2CBED">
              <w:rPr>
                <w:color w:val="003C71"/>
              </w:rPr>
              <w:t xml:space="preserve"> - </w:t>
            </w:r>
            <w:r w:rsidRPr="15974B7B" w:rsidR="115F1E56">
              <w:rPr>
                <w:color w:val="003C71"/>
              </w:rPr>
              <w:t>Supports schools with planning and/or piloting activities to prepare for a successful start-up.</w:t>
            </w:r>
          </w:p>
          <w:p w:rsidRPr="00B16680" w:rsidR="00B16680" w:rsidP="15974B7B" w:rsidRDefault="00B16680" w14:paraId="21577C9B" w14:textId="14CCF103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color w:val="003C71"/>
              </w:rPr>
            </w:pPr>
            <w:r w:rsidRPr="15974B7B" w:rsidR="115F1E56">
              <w:rPr>
                <w:color w:val="003C71"/>
              </w:rPr>
              <w:t>Common activities include stakeholder engagement events</w:t>
            </w:r>
            <w:r w:rsidRPr="15974B7B" w:rsidR="1F8EF6FC">
              <w:rPr>
                <w:color w:val="003C71"/>
              </w:rPr>
              <w:t xml:space="preserve">, </w:t>
            </w:r>
            <w:r w:rsidRPr="15974B7B" w:rsidR="75F56657">
              <w:rPr>
                <w:color w:val="003C71"/>
              </w:rPr>
              <w:t>curriculum development, planning committee</w:t>
            </w:r>
            <w:r w:rsidRPr="15974B7B" w:rsidR="58344F71">
              <w:rPr>
                <w:color w:val="003C71"/>
              </w:rPr>
              <w:t xml:space="preserve"> meetings,</w:t>
            </w:r>
            <w:r w:rsidRPr="15974B7B" w:rsidR="0505384F">
              <w:rPr>
                <w:color w:val="003C71"/>
              </w:rPr>
              <w:t xml:space="preserve"> </w:t>
            </w:r>
            <w:r w:rsidRPr="15974B7B" w:rsidR="58344F71">
              <w:rPr>
                <w:color w:val="003C71"/>
              </w:rPr>
              <w:t xml:space="preserve">partnership </w:t>
            </w:r>
            <w:r w:rsidRPr="15974B7B" w:rsidR="58344F71">
              <w:rPr>
                <w:color w:val="003C71"/>
              </w:rPr>
              <w:t>collaboration</w:t>
            </w:r>
            <w:r w:rsidRPr="15974B7B" w:rsidR="45E83219">
              <w:rPr>
                <w:color w:val="003C71"/>
              </w:rPr>
              <w:t>,</w:t>
            </w:r>
            <w:r w:rsidRPr="15974B7B" w:rsidR="08B281DC">
              <w:rPr>
                <w:color w:val="003C71"/>
              </w:rPr>
              <w:t xml:space="preserve"> </w:t>
            </w:r>
            <w:r w:rsidRPr="15974B7B" w:rsidR="45E83219">
              <w:rPr>
                <w:color w:val="003C71"/>
              </w:rPr>
              <w:t>and</w:t>
            </w:r>
            <w:r w:rsidRPr="15974B7B" w:rsidR="45E83219">
              <w:rPr>
                <w:color w:val="003C71"/>
              </w:rPr>
              <w:t xml:space="preserve"> professional learning</w:t>
            </w:r>
            <w:r w:rsidRPr="15974B7B" w:rsidR="58344F71">
              <w:rPr>
                <w:color w:val="003C71"/>
              </w:rPr>
              <w:t>.</w:t>
            </w:r>
          </w:p>
          <w:p w:rsidRPr="00B16680" w:rsidR="00B16680" w:rsidP="15974B7B" w:rsidRDefault="00B16680" w14:paraId="71626D81" w14:textId="6E3377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color w:val="003C71"/>
              </w:rPr>
            </w:pPr>
            <w:r w:rsidRPr="15974B7B" w:rsidR="0DD2CBED">
              <w:rPr>
                <w:b w:val="1"/>
                <w:bCs w:val="1"/>
                <w:color w:val="003C71"/>
              </w:rPr>
              <w:t>Start-up Grant</w:t>
            </w:r>
            <w:r w:rsidRPr="15974B7B" w:rsidR="0DD2CBED">
              <w:rPr>
                <w:color w:val="003C71"/>
              </w:rPr>
              <w:t xml:space="preserve"> </w:t>
            </w:r>
            <w:r w:rsidRPr="15974B7B" w:rsidR="6166FC90">
              <w:rPr>
                <w:color w:val="003C71"/>
              </w:rPr>
              <w:t>- Supports schools with starting a year-round calendar or an extended/enriched school year program the directly serves and supports students.</w:t>
            </w:r>
          </w:p>
          <w:p w:rsidRPr="00B16680" w:rsidR="00B16680" w:rsidP="15974B7B" w:rsidRDefault="00B16680" w14:paraId="477FD600" w14:textId="0CFCBA2C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color w:val="003C71"/>
              </w:rPr>
            </w:pPr>
            <w:r w:rsidRPr="15974B7B" w:rsidR="5D62D272">
              <w:rPr>
                <w:color w:val="003C71"/>
              </w:rPr>
              <w:t>Common activities include various levels of program implementation</w:t>
            </w:r>
            <w:r w:rsidRPr="15974B7B" w:rsidR="106E16E4">
              <w:rPr>
                <w:color w:val="003C71"/>
              </w:rPr>
              <w:t xml:space="preserve">, data analysis to evaluate program effectiveness and student progress, </w:t>
            </w:r>
            <w:r w:rsidRPr="15974B7B" w:rsidR="3521EC98">
              <w:rPr>
                <w:color w:val="003C71"/>
              </w:rPr>
              <w:t>stakeholder feedback</w:t>
            </w:r>
            <w:r w:rsidRPr="15974B7B" w:rsidR="2102FA62">
              <w:rPr>
                <w:color w:val="003C71"/>
              </w:rPr>
              <w:t xml:space="preserve">, </w:t>
            </w:r>
            <w:r w:rsidRPr="15974B7B" w:rsidR="7BE20A70">
              <w:rPr>
                <w:color w:val="003C71"/>
              </w:rPr>
              <w:t xml:space="preserve">and </w:t>
            </w:r>
            <w:r w:rsidRPr="15974B7B" w:rsidR="2102FA62">
              <w:rPr>
                <w:color w:val="003C71"/>
              </w:rPr>
              <w:t>internal and external collaboration</w:t>
            </w:r>
            <w:r w:rsidRPr="15974B7B" w:rsidR="7918C67B">
              <w:rPr>
                <w:color w:val="003C71"/>
              </w:rPr>
              <w:t>.</w:t>
            </w:r>
            <w:r w:rsidRPr="15974B7B" w:rsidR="2102FA62">
              <w:rPr>
                <w:color w:val="003C71"/>
              </w:rPr>
              <w:t xml:space="preserve"> </w:t>
            </w:r>
          </w:p>
        </w:tc>
      </w:tr>
    </w:tbl>
    <w:p w:rsidR="00E65744" w:rsidP="00B16680" w:rsidRDefault="00E65744" w14:paraId="3569D860" w14:textId="77777777">
      <w:pPr>
        <w:spacing w:after="0" w:line="240" w:lineRule="auto"/>
        <w:rPr>
          <w:b/>
          <w:bCs/>
          <w:color w:val="003C71"/>
          <w:sz w:val="28"/>
          <w:szCs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E65744" w:rsidR="00E65744" w:rsidTr="1F4C1E60" w14:paraId="7ED13BE1" w14:textId="77777777">
        <w:tc>
          <w:tcPr>
            <w:tcW w:w="10800" w:type="dxa"/>
            <w:shd w:val="clear" w:color="auto" w:fill="DAE9F7" w:themeFill="text2" w:themeFillTint="1A"/>
            <w:tcMar/>
          </w:tcPr>
          <w:p w:rsidRPr="00E65744" w:rsidR="00E65744" w:rsidP="15974B7B" w:rsidRDefault="00E65744" w14:paraId="7B477144" w14:textId="00D5E62E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</w:pPr>
            <w:r w:rsidRPr="15974B7B" w:rsidR="70EB339D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  <w:t>Grant Funding and Awards</w:t>
            </w:r>
          </w:p>
        </w:tc>
      </w:tr>
      <w:tr w:rsidRPr="00E65744" w:rsidR="00E65744" w:rsidTr="1F4C1E60" w14:paraId="797D450E" w14:textId="77777777">
        <w:tc>
          <w:tcPr>
            <w:tcW w:w="10800" w:type="dxa"/>
            <w:tcMar/>
          </w:tcPr>
          <w:p w:rsidRPr="00B16680" w:rsidR="00B16680" w:rsidP="15974B7B" w:rsidRDefault="00B16680" w14:paraId="360BC899" w14:textId="75B7C1B9">
            <w:pPr>
              <w:pStyle w:val="ListParagraph"/>
              <w:numPr>
                <w:ilvl w:val="0"/>
                <w:numId w:val="13"/>
              </w:numPr>
              <w:ind w:left="360" w:hanging="216"/>
              <w:rPr>
                <w:color w:val="003C71"/>
              </w:rPr>
            </w:pPr>
            <w:r w:rsidRPr="15974B7B" w:rsidR="56A7345B">
              <w:rPr>
                <w:color w:val="003C71"/>
              </w:rPr>
              <w:t>Grants will be reimbursed through OMEGA rather than disbursed to the division in three equal payments (this is a program update starting with the FY 25 Round 2 application cycles).</w:t>
            </w:r>
          </w:p>
          <w:p w:rsidRPr="00B16680" w:rsidR="00B16680" w:rsidP="15974B7B" w:rsidRDefault="00B16680" w14:paraId="74AF80EF" w14:textId="7C7728BE">
            <w:pPr>
              <w:pStyle w:val="ListParagraph"/>
              <w:numPr>
                <w:ilvl w:val="0"/>
                <w:numId w:val="13"/>
              </w:numPr>
              <w:ind w:left="360" w:hanging="216"/>
              <w:rPr>
                <w:b w:val="0"/>
                <w:bCs w:val="0"/>
                <w:color w:val="003C71"/>
              </w:rPr>
            </w:pPr>
            <w:r w:rsidRPr="1F4C1E60" w:rsidR="56A7345B">
              <w:rPr>
                <w:b w:val="0"/>
                <w:bCs w:val="0"/>
                <w:color w:val="003C71"/>
              </w:rPr>
              <w:t xml:space="preserve">Grant Award will begin </w:t>
            </w:r>
            <w:r w:rsidRPr="1F4C1E60" w:rsidR="3686D67E">
              <w:rPr>
                <w:b w:val="0"/>
                <w:bCs w:val="0"/>
                <w:color w:val="003C71"/>
              </w:rPr>
              <w:t xml:space="preserve">February </w:t>
            </w:r>
            <w:r w:rsidRPr="1F4C1E60" w:rsidR="5F323F37">
              <w:rPr>
                <w:b w:val="0"/>
                <w:bCs w:val="0"/>
                <w:color w:val="003C71"/>
              </w:rPr>
              <w:t>2</w:t>
            </w:r>
            <w:r w:rsidRPr="1F4C1E60" w:rsidR="3686D67E">
              <w:rPr>
                <w:b w:val="0"/>
                <w:bCs w:val="0"/>
                <w:color w:val="003C71"/>
              </w:rPr>
              <w:t>8</w:t>
            </w:r>
            <w:r w:rsidRPr="1F4C1E60" w:rsidR="56A7345B">
              <w:rPr>
                <w:b w:val="0"/>
                <w:bCs w:val="0"/>
                <w:color w:val="003C71"/>
              </w:rPr>
              <w:t xml:space="preserve">, 2025 (or upon application approval) and extend until </w:t>
            </w:r>
            <w:r w:rsidRPr="1F4C1E60" w:rsidR="5A36CA40">
              <w:rPr>
                <w:b w:val="0"/>
                <w:bCs w:val="0"/>
                <w:color w:val="003C71"/>
              </w:rPr>
              <w:t>February 28</w:t>
            </w:r>
            <w:r w:rsidRPr="1F4C1E60" w:rsidR="56A7345B">
              <w:rPr>
                <w:b w:val="0"/>
                <w:bCs w:val="0"/>
                <w:color w:val="003C71"/>
              </w:rPr>
              <w:t>, 2026.</w:t>
            </w:r>
          </w:p>
          <w:p w:rsidRPr="00B16680" w:rsidR="00B16680" w:rsidP="15974B7B" w:rsidRDefault="00B16680" w14:paraId="3195FE78" w14:textId="1D893260">
            <w:pPr>
              <w:pStyle w:val="ListParagraph"/>
              <w:numPr>
                <w:ilvl w:val="0"/>
                <w:numId w:val="13"/>
              </w:numPr>
              <w:ind w:left="360" w:hanging="216"/>
              <w:rPr>
                <w:color w:val="003C71"/>
              </w:rPr>
            </w:pPr>
            <w:r w:rsidRPr="15974B7B" w:rsidR="56A7345B">
              <w:rPr>
                <w:b w:val="1"/>
                <w:bCs w:val="1"/>
                <w:color w:val="003C71"/>
              </w:rPr>
              <w:t>Planning Grant Awards</w:t>
            </w:r>
            <w:r w:rsidRPr="15974B7B" w:rsidR="56A7345B">
              <w:rPr>
                <w:b w:val="0"/>
                <w:bCs w:val="0"/>
                <w:color w:val="003C71"/>
              </w:rPr>
              <w:t xml:space="preserve"> are a maximum of $50,000 per school.</w:t>
            </w:r>
          </w:p>
          <w:p w:rsidRPr="00B16680" w:rsidR="00B16680" w:rsidP="15974B7B" w:rsidRDefault="00B16680" w14:paraId="23560BA8" w14:textId="19957762">
            <w:pPr>
              <w:pStyle w:val="ListParagraph"/>
              <w:numPr>
                <w:ilvl w:val="0"/>
                <w:numId w:val="13"/>
              </w:numPr>
              <w:ind w:left="360" w:hanging="216"/>
              <w:rPr>
                <w:color w:val="003C71"/>
              </w:rPr>
            </w:pPr>
            <w:r w:rsidRPr="15974B7B" w:rsidR="6A8086CE">
              <w:rPr>
                <w:b w:val="1"/>
                <w:bCs w:val="1"/>
                <w:color w:val="003C71"/>
              </w:rPr>
              <w:t>Start-up Grant Awards</w:t>
            </w:r>
            <w:r w:rsidRPr="15974B7B" w:rsidR="6A8086CE">
              <w:rPr>
                <w:b w:val="0"/>
                <w:bCs w:val="0"/>
                <w:color w:val="003C71"/>
              </w:rPr>
              <w:t xml:space="preserve"> are a maximum of $400,000 per </w:t>
            </w:r>
            <w:r w:rsidRPr="15974B7B" w:rsidR="6A8086CE">
              <w:rPr>
                <w:color w:val="003C71"/>
              </w:rPr>
              <w:t>school</w:t>
            </w:r>
            <w:r w:rsidRPr="15974B7B" w:rsidR="6A8086CE">
              <w:rPr>
                <w:i w:val="1"/>
                <w:iCs w:val="1"/>
                <w:color w:val="003C71"/>
              </w:rPr>
              <w:t xml:space="preserve"> </w:t>
            </w:r>
            <w:r w:rsidRPr="15974B7B" w:rsidR="6A8086CE">
              <w:rPr>
                <w:b w:val="1"/>
                <w:bCs w:val="1"/>
                <w:i w:val="1"/>
                <w:iCs w:val="1"/>
                <w:color w:val="003C71"/>
              </w:rPr>
              <w:t>if</w:t>
            </w:r>
            <w:r w:rsidRPr="15974B7B" w:rsidR="6A8086CE">
              <w:rPr>
                <w:i w:val="1"/>
                <w:iCs w:val="1"/>
                <w:color w:val="003C71"/>
              </w:rPr>
              <w:t xml:space="preserve"> </w:t>
            </w:r>
            <w:r w:rsidRPr="15974B7B" w:rsidR="6A8086CE">
              <w:rPr>
                <w:color w:val="003C71"/>
              </w:rPr>
              <w:t xml:space="preserve">the school is accredited with conditions and has two or more Level 3 school quality indicators. Awards will be granted up to $300,000 per school </w:t>
            </w:r>
            <w:r w:rsidRPr="15974B7B" w:rsidR="6A8086CE">
              <w:rPr>
                <w:b w:val="1"/>
                <w:bCs w:val="1"/>
                <w:i w:val="1"/>
                <w:iCs w:val="1"/>
                <w:color w:val="003C71"/>
              </w:rPr>
              <w:t>if</w:t>
            </w:r>
            <w:r w:rsidRPr="15974B7B" w:rsidR="6A8086CE">
              <w:rPr>
                <w:b w:val="1"/>
                <w:bCs w:val="1"/>
                <w:color w:val="003C71"/>
              </w:rPr>
              <w:t xml:space="preserve"> </w:t>
            </w:r>
            <w:r w:rsidRPr="15974B7B" w:rsidR="6A8086CE">
              <w:rPr>
                <w:color w:val="003C71"/>
              </w:rPr>
              <w:t xml:space="preserve">the school is accredited and </w:t>
            </w:r>
            <w:r w:rsidRPr="15974B7B" w:rsidR="6A8086CE">
              <w:rPr>
                <w:color w:val="003C71"/>
                <w:u w:val="single"/>
              </w:rPr>
              <w:t>does not</w:t>
            </w:r>
            <w:r w:rsidRPr="15974B7B" w:rsidR="6A8086CE">
              <w:rPr>
                <w:color w:val="003C71"/>
              </w:rPr>
              <w:t xml:space="preserve"> have two or more Level 3 school quality indicators.</w:t>
            </w:r>
          </w:p>
          <w:p w:rsidRPr="00B16680" w:rsidR="00B16680" w:rsidP="15974B7B" w:rsidRDefault="00B16680" w14:paraId="3BF32272" w14:textId="2A3BE984">
            <w:pPr>
              <w:pStyle w:val="Normal"/>
              <w:ind w:left="0" w:hanging="0"/>
              <w:rPr>
                <w:color w:val="003C71"/>
              </w:rPr>
            </w:pPr>
            <w:r w:rsidRPr="15974B7B" w:rsidR="31A94BE1">
              <w:rPr>
                <w:color w:val="003C71"/>
              </w:rPr>
              <w:t>*Funding priority is based on schools federal and state accreditation needs. Priority</w:t>
            </w:r>
            <w:r w:rsidRPr="15974B7B" w:rsidR="2CBBBBAD">
              <w:rPr>
                <w:color w:val="003C71"/>
              </w:rPr>
              <w:t xml:space="preserve"> is awarded to schools that are accredited with conditions and have two or more level 3 school quality indicators. </w:t>
            </w:r>
            <w:r w:rsidRPr="15974B7B" w:rsidR="31A94BE1">
              <w:rPr>
                <w:color w:val="003C71"/>
              </w:rPr>
              <w:t xml:space="preserve"> </w:t>
            </w:r>
          </w:p>
        </w:tc>
      </w:tr>
    </w:tbl>
    <w:p w:rsidR="00E65744" w:rsidP="00B16680" w:rsidRDefault="00E65744" w14:paraId="31EA0ED3" w14:textId="77777777">
      <w:pPr>
        <w:spacing w:after="0" w:line="240" w:lineRule="auto"/>
        <w:rPr>
          <w:b/>
          <w:bCs/>
          <w:color w:val="003C71"/>
          <w:sz w:val="28"/>
          <w:szCs w:val="28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Pr="00E65744" w:rsidR="00E65744" w:rsidTr="1F4C1E60" w14:paraId="0213FAE3" w14:textId="77777777">
        <w:tc>
          <w:tcPr>
            <w:tcW w:w="10830" w:type="dxa"/>
            <w:shd w:val="clear" w:color="auto" w:fill="DAE9F7" w:themeFill="text2" w:themeFillTint="1A"/>
            <w:tcMar/>
          </w:tcPr>
          <w:p w:rsidRPr="00E65744" w:rsidR="00E65744" w:rsidP="15974B7B" w:rsidRDefault="00B16680" w14:paraId="4AC1A641" w14:textId="1CB3DFE4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</w:pPr>
            <w:r w:rsidRPr="15974B7B" w:rsidR="342E6770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003C71"/>
                <w:sz w:val="22"/>
                <w:szCs w:val="22"/>
                <w:lang w:eastAsia="en-US" w:bidi="ar-SA"/>
              </w:rPr>
              <w:t>Timeline</w:t>
            </w:r>
          </w:p>
        </w:tc>
      </w:tr>
      <w:tr w:rsidRPr="00E65744" w:rsidR="00E65744" w:rsidTr="1F4C1E60" w14:paraId="5010A5AF" w14:textId="77777777">
        <w:tc>
          <w:tcPr>
            <w:tcW w:w="10830" w:type="dxa"/>
            <w:tcMar/>
          </w:tcPr>
          <w:p w:rsidRPr="007C6D79" w:rsidR="007C6D79" w:rsidP="15974B7B" w:rsidRDefault="007C6D79" w14:paraId="7DA17D96" w14:textId="626B5DAA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10B2F1EA">
              <w:rPr>
                <w:color w:val="003C71"/>
              </w:rPr>
              <w:t xml:space="preserve">Round 2 grant applications open </w:t>
            </w:r>
            <w:r w:rsidRPr="1F4C1E60" w:rsidR="5A027530">
              <w:rPr>
                <w:color w:val="003C71"/>
              </w:rPr>
              <w:t>December 3</w:t>
            </w:r>
            <w:r w:rsidRPr="1F4C1E60" w:rsidR="10B2F1EA">
              <w:rPr>
                <w:color w:val="003C71"/>
              </w:rPr>
              <w:t>, 2024</w:t>
            </w:r>
          </w:p>
          <w:p w:rsidRPr="007C6D79" w:rsidR="007C6D79" w:rsidP="15974B7B" w:rsidRDefault="007C6D79" w14:paraId="44358DAC" w14:textId="27DD57EE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10B2F1EA">
              <w:rPr>
                <w:color w:val="003C71"/>
              </w:rPr>
              <w:t xml:space="preserve">Round 2 grant applications are due prior to </w:t>
            </w:r>
            <w:r w:rsidRPr="1F4C1E60" w:rsidR="7B2C068A">
              <w:rPr>
                <w:color w:val="003C71"/>
              </w:rPr>
              <w:t>January 17</w:t>
            </w:r>
            <w:r w:rsidRPr="1F4C1E60" w:rsidR="10B2F1EA">
              <w:rPr>
                <w:color w:val="003C71"/>
              </w:rPr>
              <w:t xml:space="preserve">, </w:t>
            </w:r>
            <w:r w:rsidRPr="1F4C1E60" w:rsidR="10B2F1EA">
              <w:rPr>
                <w:color w:val="003C71"/>
              </w:rPr>
              <w:t>202</w:t>
            </w:r>
            <w:r w:rsidRPr="1F4C1E60" w:rsidR="71F1C914">
              <w:rPr>
                <w:color w:val="003C71"/>
              </w:rPr>
              <w:t>5</w:t>
            </w:r>
            <w:r w:rsidRPr="1F4C1E60" w:rsidR="23620776">
              <w:rPr>
                <w:color w:val="003C71"/>
              </w:rPr>
              <w:t>,</w:t>
            </w:r>
            <w:r w:rsidRPr="1F4C1E60" w:rsidR="10B2F1EA">
              <w:rPr>
                <w:color w:val="003C71"/>
              </w:rPr>
              <w:t xml:space="preserve"> by 5 p.m.</w:t>
            </w:r>
          </w:p>
          <w:p w:rsidRPr="007C6D79" w:rsidR="007C6D79" w:rsidP="15974B7B" w:rsidRDefault="007C6D79" w14:paraId="46751A9A" w14:textId="1BF32445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4A878B58">
              <w:rPr>
                <w:color w:val="003C71"/>
              </w:rPr>
              <w:t xml:space="preserve">Selection committee </w:t>
            </w:r>
            <w:r w:rsidRPr="1F4C1E60" w:rsidR="4A878B58">
              <w:rPr>
                <w:color w:val="003C71"/>
              </w:rPr>
              <w:t>convenes</w:t>
            </w:r>
            <w:r w:rsidRPr="1F4C1E60" w:rsidR="4A878B58">
              <w:rPr>
                <w:color w:val="003C71"/>
              </w:rPr>
              <w:t xml:space="preserve"> to select grant award winners between </w:t>
            </w:r>
            <w:r w:rsidRPr="1F4C1E60" w:rsidR="170440A5">
              <w:rPr>
                <w:color w:val="003C71"/>
              </w:rPr>
              <w:t>January 17, 2025</w:t>
            </w:r>
            <w:r w:rsidRPr="1F4C1E60" w:rsidR="4A878B58">
              <w:rPr>
                <w:color w:val="003C71"/>
              </w:rPr>
              <w:t xml:space="preserve"> – </w:t>
            </w:r>
            <w:r w:rsidRPr="1F4C1E60" w:rsidR="2D8752B5">
              <w:rPr>
                <w:color w:val="003C71"/>
              </w:rPr>
              <w:t>February 28</w:t>
            </w:r>
            <w:r w:rsidRPr="1F4C1E60" w:rsidR="2E0CAD0D">
              <w:rPr>
                <w:color w:val="003C71"/>
              </w:rPr>
              <w:t>, 2025</w:t>
            </w:r>
          </w:p>
          <w:p w:rsidRPr="007C6D79" w:rsidR="007C6D79" w:rsidP="15974B7B" w:rsidRDefault="007C6D79" w14:paraId="33C66303" w14:textId="3D5AD033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1797B2CF">
              <w:rPr>
                <w:color w:val="003C71"/>
              </w:rPr>
              <w:t xml:space="preserve">Grant award notifications around </w:t>
            </w:r>
            <w:r w:rsidRPr="1F4C1E60" w:rsidR="35BDABE0">
              <w:rPr>
                <w:color w:val="003C71"/>
              </w:rPr>
              <w:t>February 28</w:t>
            </w:r>
            <w:r w:rsidRPr="1F4C1E60" w:rsidR="1797B2CF">
              <w:rPr>
                <w:color w:val="003C71"/>
              </w:rPr>
              <w:t>, 2025</w:t>
            </w:r>
          </w:p>
          <w:p w:rsidRPr="007C6D79" w:rsidR="007C6D79" w:rsidP="15974B7B" w:rsidRDefault="007C6D79" w14:paraId="5B293CB2" w14:textId="037E0A1F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1797B2CF">
              <w:rPr>
                <w:color w:val="003C71"/>
              </w:rPr>
              <w:t xml:space="preserve">Grant award period from </w:t>
            </w:r>
            <w:r w:rsidRPr="1F4C1E60" w:rsidR="106D6CE1">
              <w:rPr>
                <w:color w:val="003C71"/>
              </w:rPr>
              <w:t>February 28</w:t>
            </w:r>
            <w:r w:rsidRPr="1F4C1E60" w:rsidR="1797B2CF">
              <w:rPr>
                <w:color w:val="003C71"/>
              </w:rPr>
              <w:t xml:space="preserve">, </w:t>
            </w:r>
            <w:r w:rsidRPr="1F4C1E60" w:rsidR="1797B2CF">
              <w:rPr>
                <w:color w:val="003C71"/>
              </w:rPr>
              <w:t>2025</w:t>
            </w:r>
            <w:r w:rsidRPr="1F4C1E60" w:rsidR="089BFAD4">
              <w:rPr>
                <w:color w:val="003C71"/>
              </w:rPr>
              <w:t>,</w:t>
            </w:r>
            <w:r w:rsidRPr="1F4C1E60" w:rsidR="1797B2CF">
              <w:rPr>
                <w:color w:val="003C71"/>
              </w:rPr>
              <w:t xml:space="preserve"> through </w:t>
            </w:r>
            <w:r w:rsidRPr="1F4C1E60" w:rsidR="07057A8A">
              <w:rPr>
                <w:color w:val="003C71"/>
              </w:rPr>
              <w:t>February 28</w:t>
            </w:r>
            <w:r w:rsidRPr="1F4C1E60" w:rsidR="1797B2CF">
              <w:rPr>
                <w:color w:val="003C71"/>
              </w:rPr>
              <w:t>, 2026</w:t>
            </w:r>
          </w:p>
          <w:p w:rsidRPr="007C6D79" w:rsidR="007C6D79" w:rsidP="15974B7B" w:rsidRDefault="007C6D79" w14:paraId="03E78211" w14:textId="6A8F0F56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5974B7B" w:rsidR="522134AA">
              <w:rPr>
                <w:color w:val="003C71"/>
              </w:rPr>
              <w:t xml:space="preserve">Annual Report </w:t>
            </w:r>
            <w:r w:rsidRPr="15974B7B" w:rsidR="522134AA">
              <w:rPr>
                <w:color w:val="003C71"/>
              </w:rPr>
              <w:t>submitted</w:t>
            </w:r>
            <w:r w:rsidRPr="15974B7B" w:rsidR="522134AA">
              <w:rPr>
                <w:color w:val="003C71"/>
              </w:rPr>
              <w:t xml:space="preserve"> by the division with current expense report and progress measures by July 15, 202</w:t>
            </w:r>
            <w:r w:rsidRPr="15974B7B" w:rsidR="4597DB63">
              <w:rPr>
                <w:color w:val="003C71"/>
              </w:rPr>
              <w:t>5</w:t>
            </w:r>
          </w:p>
          <w:p w:rsidRPr="007C6D79" w:rsidR="007C6D79" w:rsidP="15974B7B" w:rsidRDefault="007C6D79" w14:paraId="538C7FD3" w14:textId="245F4FC4">
            <w:pPr>
              <w:pStyle w:val="ListParagraph"/>
              <w:numPr>
                <w:ilvl w:val="0"/>
                <w:numId w:val="16"/>
              </w:numPr>
              <w:ind w:left="216" w:hanging="216"/>
              <w:rPr>
                <w:color w:val="003C71"/>
              </w:rPr>
            </w:pPr>
            <w:r w:rsidRPr="1F4C1E60" w:rsidR="5FA6598B">
              <w:rPr>
                <w:color w:val="003C71"/>
              </w:rPr>
              <w:t xml:space="preserve">Final Report </w:t>
            </w:r>
            <w:r w:rsidRPr="1F4C1E60" w:rsidR="5FA6598B">
              <w:rPr>
                <w:color w:val="003C71"/>
              </w:rPr>
              <w:t>submitted</w:t>
            </w:r>
            <w:r w:rsidRPr="1F4C1E60" w:rsidR="5FA6598B">
              <w:rPr>
                <w:color w:val="003C71"/>
              </w:rPr>
              <w:t xml:space="preserve"> by the division with expense report and program outcomes by </w:t>
            </w:r>
            <w:r w:rsidRPr="1F4C1E60" w:rsidR="57B41560">
              <w:rPr>
                <w:color w:val="003C71"/>
              </w:rPr>
              <w:t>February 28</w:t>
            </w:r>
            <w:r w:rsidRPr="1F4C1E60" w:rsidR="5FA6598B">
              <w:rPr>
                <w:color w:val="003C71"/>
              </w:rPr>
              <w:t>, 2026</w:t>
            </w:r>
          </w:p>
        </w:tc>
      </w:tr>
    </w:tbl>
    <w:p w:rsidR="15974B7B" w:rsidP="15974B7B" w:rsidRDefault="15974B7B" w14:paraId="3F518285" w14:textId="5F30581B">
      <w:pPr>
        <w:pStyle w:val="Normal"/>
        <w:spacing w:after="240" w:line="240" w:lineRule="auto"/>
        <w:jc w:val="left"/>
        <w:rPr>
          <w:b w:val="0"/>
          <w:bCs w:val="0"/>
          <w:color w:val="003C71"/>
          <w:sz w:val="22"/>
          <w:szCs w:val="22"/>
        </w:rPr>
      </w:pPr>
    </w:p>
    <w:p w:rsidRPr="00BE13E1" w:rsidR="00E65744" w:rsidP="15974B7B" w:rsidRDefault="00E65744" w14:paraId="0787623C" w14:textId="2D315B59">
      <w:pPr>
        <w:pStyle w:val="Normal"/>
        <w:spacing w:after="240" w:line="240" w:lineRule="auto"/>
        <w:jc w:val="left"/>
        <w:rPr>
          <w:b w:val="0"/>
          <w:bCs w:val="0"/>
          <w:color w:val="003C71"/>
          <w:sz w:val="22"/>
          <w:szCs w:val="22"/>
        </w:rPr>
      </w:pPr>
      <w:r w:rsidRPr="15974B7B" w:rsidR="5B6EAEF1">
        <w:rPr>
          <w:b w:val="0"/>
          <w:bCs w:val="0"/>
          <w:color w:val="003C71"/>
          <w:sz w:val="22"/>
          <w:szCs w:val="22"/>
        </w:rPr>
        <w:t xml:space="preserve">For further information </w:t>
      </w:r>
      <w:r w:rsidRPr="15974B7B" w:rsidR="5B6EAEF1">
        <w:rPr>
          <w:b w:val="0"/>
          <w:bCs w:val="0"/>
          <w:color w:val="003C71"/>
          <w:sz w:val="22"/>
          <w:szCs w:val="22"/>
        </w:rPr>
        <w:t>regarding</w:t>
      </w:r>
      <w:r w:rsidRPr="15974B7B" w:rsidR="5B6EAEF1">
        <w:rPr>
          <w:b w:val="0"/>
          <w:bCs w:val="0"/>
          <w:color w:val="003C71"/>
          <w:sz w:val="22"/>
          <w:szCs w:val="22"/>
        </w:rPr>
        <w:t xml:space="preserve"> the Extended/Enriched School Year and Year-Round School application or grant program, please contact the Office of School Quality </w:t>
      </w:r>
      <w:r w:rsidRPr="15974B7B" w:rsidR="1B1BCB1F">
        <w:rPr>
          <w:b w:val="0"/>
          <w:bCs w:val="0"/>
          <w:color w:val="003C71"/>
          <w:sz w:val="22"/>
          <w:szCs w:val="22"/>
        </w:rPr>
        <w:t>(osq@doe.virginia.gov)</w:t>
      </w:r>
      <w:r w:rsidRPr="15974B7B" w:rsidR="1BD33E2C">
        <w:rPr>
          <w:b w:val="0"/>
          <w:bCs w:val="0"/>
          <w:color w:val="003C71"/>
          <w:sz w:val="22"/>
          <w:szCs w:val="22"/>
        </w:rPr>
        <w:t>.</w:t>
      </w:r>
    </w:p>
    <w:sectPr w:rsidRPr="00BE13E1" w:rsidR="00E65744" w:rsidSect="0005444E">
      <w:pgSz w:w="12240" w:h="15840" w:orient="portrait"/>
      <w:pgMar w:top="720" w:right="432" w:bottom="432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fdec3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65c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9bb3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bd710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6795e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A5751FC"/>
    <w:multiLevelType w:val="hybridMultilevel"/>
    <w:tmpl w:val="3306B836"/>
    <w:lvl w:ilvl="0" w:tplc="8E42E672">
      <w:start w:val="1"/>
      <w:numFmt w:val="upperLetter"/>
      <w:lvlText w:val="(%1.)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32C"/>
    <w:multiLevelType w:val="hybridMultilevel"/>
    <w:tmpl w:val="65E8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958"/>
    <w:multiLevelType w:val="hybridMultilevel"/>
    <w:tmpl w:val="4B9A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32F0"/>
    <w:multiLevelType w:val="hybridMultilevel"/>
    <w:tmpl w:val="4C36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0491"/>
    <w:multiLevelType w:val="hybridMultilevel"/>
    <w:tmpl w:val="D6F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9220D4"/>
    <w:multiLevelType w:val="hybridMultilevel"/>
    <w:tmpl w:val="6A5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4F8C"/>
    <w:multiLevelType w:val="hybridMultilevel"/>
    <w:tmpl w:val="00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9D13E6"/>
    <w:multiLevelType w:val="hybridMultilevel"/>
    <w:tmpl w:val="65E8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34AD"/>
    <w:multiLevelType w:val="hybridMultilevel"/>
    <w:tmpl w:val="045A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364A"/>
    <w:multiLevelType w:val="hybridMultilevel"/>
    <w:tmpl w:val="02B419D4"/>
    <w:lvl w:ilvl="0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10" w15:restartNumberingAfterBreak="0">
    <w:nsid w:val="454370BB"/>
    <w:multiLevelType w:val="hybridMultilevel"/>
    <w:tmpl w:val="E66A3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1069C9"/>
    <w:multiLevelType w:val="hybridMultilevel"/>
    <w:tmpl w:val="D31A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E325F"/>
    <w:multiLevelType w:val="hybridMultilevel"/>
    <w:tmpl w:val="5E6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A95404"/>
    <w:multiLevelType w:val="hybridMultilevel"/>
    <w:tmpl w:val="C81214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841291"/>
    <w:multiLevelType w:val="hybridMultilevel"/>
    <w:tmpl w:val="621A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730E5"/>
    <w:multiLevelType w:val="hybridMultilevel"/>
    <w:tmpl w:val="9640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360542150">
    <w:abstractNumId w:val="3"/>
  </w:num>
  <w:num w:numId="2" w16cid:durableId="645863412">
    <w:abstractNumId w:val="2"/>
  </w:num>
  <w:num w:numId="3" w16cid:durableId="1022973081">
    <w:abstractNumId w:val="6"/>
  </w:num>
  <w:num w:numId="4" w16cid:durableId="102238203">
    <w:abstractNumId w:val="13"/>
  </w:num>
  <w:num w:numId="5" w16cid:durableId="1401630679">
    <w:abstractNumId w:val="8"/>
  </w:num>
  <w:num w:numId="6" w16cid:durableId="848954756">
    <w:abstractNumId w:val="0"/>
  </w:num>
  <w:num w:numId="7" w16cid:durableId="1758476966">
    <w:abstractNumId w:val="5"/>
  </w:num>
  <w:num w:numId="8" w16cid:durableId="1436560587">
    <w:abstractNumId w:val="14"/>
  </w:num>
  <w:num w:numId="9" w16cid:durableId="989554615">
    <w:abstractNumId w:val="1"/>
  </w:num>
  <w:num w:numId="10" w16cid:durableId="486676237">
    <w:abstractNumId w:val="7"/>
  </w:num>
  <w:num w:numId="11" w16cid:durableId="606273573">
    <w:abstractNumId w:val="15"/>
  </w:num>
  <w:num w:numId="12" w16cid:durableId="454181197">
    <w:abstractNumId w:val="11"/>
  </w:num>
  <w:num w:numId="13" w16cid:durableId="654604214">
    <w:abstractNumId w:val="10"/>
  </w:num>
  <w:num w:numId="14" w16cid:durableId="1911764463">
    <w:abstractNumId w:val="12"/>
  </w:num>
  <w:num w:numId="15" w16cid:durableId="1923417682">
    <w:abstractNumId w:val="4"/>
  </w:num>
  <w:num w:numId="16" w16cid:durableId="548811046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7C"/>
    <w:rsid w:val="00030E3F"/>
    <w:rsid w:val="000408D7"/>
    <w:rsid w:val="00046CAE"/>
    <w:rsid w:val="0005444E"/>
    <w:rsid w:val="00072DA3"/>
    <w:rsid w:val="000800CF"/>
    <w:rsid w:val="000A783C"/>
    <w:rsid w:val="000C4D94"/>
    <w:rsid w:val="000C6A7A"/>
    <w:rsid w:val="000D2E22"/>
    <w:rsid w:val="000E03B1"/>
    <w:rsid w:val="000E07BD"/>
    <w:rsid w:val="000F167A"/>
    <w:rsid w:val="00101A5A"/>
    <w:rsid w:val="00116841"/>
    <w:rsid w:val="00123C29"/>
    <w:rsid w:val="001446AD"/>
    <w:rsid w:val="00154955"/>
    <w:rsid w:val="00173A0D"/>
    <w:rsid w:val="001C6D6F"/>
    <w:rsid w:val="001D0F2A"/>
    <w:rsid w:val="001D7968"/>
    <w:rsid w:val="0024164E"/>
    <w:rsid w:val="0025473A"/>
    <w:rsid w:val="00266E52"/>
    <w:rsid w:val="00296A94"/>
    <w:rsid w:val="002B3A95"/>
    <w:rsid w:val="002E057B"/>
    <w:rsid w:val="002E7454"/>
    <w:rsid w:val="0030498D"/>
    <w:rsid w:val="00304C41"/>
    <w:rsid w:val="003132D0"/>
    <w:rsid w:val="003612E9"/>
    <w:rsid w:val="00373479"/>
    <w:rsid w:val="00385221"/>
    <w:rsid w:val="003A0122"/>
    <w:rsid w:val="003C294B"/>
    <w:rsid w:val="003E5769"/>
    <w:rsid w:val="003E7511"/>
    <w:rsid w:val="00426B14"/>
    <w:rsid w:val="00464670"/>
    <w:rsid w:val="004666BE"/>
    <w:rsid w:val="004A79B2"/>
    <w:rsid w:val="004B12F4"/>
    <w:rsid w:val="004B6FEB"/>
    <w:rsid w:val="004C7408"/>
    <w:rsid w:val="004F2BDB"/>
    <w:rsid w:val="0050109A"/>
    <w:rsid w:val="005213C7"/>
    <w:rsid w:val="00525C19"/>
    <w:rsid w:val="005C6E3A"/>
    <w:rsid w:val="005F38B6"/>
    <w:rsid w:val="005F4355"/>
    <w:rsid w:val="00665EF3"/>
    <w:rsid w:val="00676D8A"/>
    <w:rsid w:val="00684BCD"/>
    <w:rsid w:val="00691FD0"/>
    <w:rsid w:val="006D2DD0"/>
    <w:rsid w:val="00717128"/>
    <w:rsid w:val="00773F26"/>
    <w:rsid w:val="00786BFB"/>
    <w:rsid w:val="007904B4"/>
    <w:rsid w:val="007931B9"/>
    <w:rsid w:val="007C6D79"/>
    <w:rsid w:val="007D70A4"/>
    <w:rsid w:val="0080442B"/>
    <w:rsid w:val="00810E1C"/>
    <w:rsid w:val="00816863"/>
    <w:rsid w:val="008352C7"/>
    <w:rsid w:val="00875C80"/>
    <w:rsid w:val="00883583"/>
    <w:rsid w:val="008F14AE"/>
    <w:rsid w:val="009256A8"/>
    <w:rsid w:val="00944A99"/>
    <w:rsid w:val="0095374E"/>
    <w:rsid w:val="009676BF"/>
    <w:rsid w:val="009E4553"/>
    <w:rsid w:val="00A06796"/>
    <w:rsid w:val="00A1148B"/>
    <w:rsid w:val="00A41B7C"/>
    <w:rsid w:val="00A435DE"/>
    <w:rsid w:val="00A529A4"/>
    <w:rsid w:val="00A66114"/>
    <w:rsid w:val="00A822FB"/>
    <w:rsid w:val="00A8655E"/>
    <w:rsid w:val="00A90522"/>
    <w:rsid w:val="00A92C6B"/>
    <w:rsid w:val="00AC3E8F"/>
    <w:rsid w:val="00AF3C9A"/>
    <w:rsid w:val="00B16680"/>
    <w:rsid w:val="00B3586C"/>
    <w:rsid w:val="00B6736F"/>
    <w:rsid w:val="00B83A8C"/>
    <w:rsid w:val="00B85F79"/>
    <w:rsid w:val="00BC2890"/>
    <w:rsid w:val="00BD26BC"/>
    <w:rsid w:val="00BE13E1"/>
    <w:rsid w:val="00C01ED3"/>
    <w:rsid w:val="00C04E93"/>
    <w:rsid w:val="00C104FA"/>
    <w:rsid w:val="00C23AF1"/>
    <w:rsid w:val="00C735E3"/>
    <w:rsid w:val="00C74AAE"/>
    <w:rsid w:val="00C9677A"/>
    <w:rsid w:val="00D71824"/>
    <w:rsid w:val="00D76246"/>
    <w:rsid w:val="00D800D9"/>
    <w:rsid w:val="00DA55C8"/>
    <w:rsid w:val="00DBD51E"/>
    <w:rsid w:val="00E232DB"/>
    <w:rsid w:val="00E432FE"/>
    <w:rsid w:val="00E65744"/>
    <w:rsid w:val="00EF4B7F"/>
    <w:rsid w:val="00EF5EFD"/>
    <w:rsid w:val="00F2569E"/>
    <w:rsid w:val="00F36C0D"/>
    <w:rsid w:val="00F85734"/>
    <w:rsid w:val="02469733"/>
    <w:rsid w:val="038421AC"/>
    <w:rsid w:val="03E1D002"/>
    <w:rsid w:val="04C4F229"/>
    <w:rsid w:val="04F3042A"/>
    <w:rsid w:val="0501522A"/>
    <w:rsid w:val="0505384F"/>
    <w:rsid w:val="05415908"/>
    <w:rsid w:val="05629F2B"/>
    <w:rsid w:val="07057A8A"/>
    <w:rsid w:val="073CDA74"/>
    <w:rsid w:val="07844C34"/>
    <w:rsid w:val="089BFAD4"/>
    <w:rsid w:val="08B281DC"/>
    <w:rsid w:val="09368844"/>
    <w:rsid w:val="0A6611AF"/>
    <w:rsid w:val="0A8CC6C4"/>
    <w:rsid w:val="0AA90545"/>
    <w:rsid w:val="0C63438D"/>
    <w:rsid w:val="0D4B57B7"/>
    <w:rsid w:val="0DD2CBED"/>
    <w:rsid w:val="0F1DDB08"/>
    <w:rsid w:val="0F49345A"/>
    <w:rsid w:val="106D6CE1"/>
    <w:rsid w:val="106E16E4"/>
    <w:rsid w:val="107B7F34"/>
    <w:rsid w:val="10B2F1EA"/>
    <w:rsid w:val="10B5C40C"/>
    <w:rsid w:val="10CC196B"/>
    <w:rsid w:val="115F1E56"/>
    <w:rsid w:val="1242DBE3"/>
    <w:rsid w:val="1455CF66"/>
    <w:rsid w:val="15974B7B"/>
    <w:rsid w:val="170440A5"/>
    <w:rsid w:val="1797B2CF"/>
    <w:rsid w:val="17BD7970"/>
    <w:rsid w:val="17C6A2F3"/>
    <w:rsid w:val="1911FF1B"/>
    <w:rsid w:val="19A2100B"/>
    <w:rsid w:val="1A9F98AC"/>
    <w:rsid w:val="1B1BCB1F"/>
    <w:rsid w:val="1B5BFF55"/>
    <w:rsid w:val="1B77BF00"/>
    <w:rsid w:val="1B98B910"/>
    <w:rsid w:val="1BB1DFFC"/>
    <w:rsid w:val="1BD33E2C"/>
    <w:rsid w:val="1BE40E60"/>
    <w:rsid w:val="1D2D4625"/>
    <w:rsid w:val="1D89CCCF"/>
    <w:rsid w:val="1F4C1E60"/>
    <w:rsid w:val="1F8EF6FC"/>
    <w:rsid w:val="20615E6D"/>
    <w:rsid w:val="20AA51D6"/>
    <w:rsid w:val="2102FA62"/>
    <w:rsid w:val="21FC43FD"/>
    <w:rsid w:val="22122252"/>
    <w:rsid w:val="22C1DB77"/>
    <w:rsid w:val="230906E1"/>
    <w:rsid w:val="23620776"/>
    <w:rsid w:val="24B10D53"/>
    <w:rsid w:val="24B6223B"/>
    <w:rsid w:val="252370A1"/>
    <w:rsid w:val="261ECE7D"/>
    <w:rsid w:val="2692856F"/>
    <w:rsid w:val="26A95C18"/>
    <w:rsid w:val="2746E702"/>
    <w:rsid w:val="27551331"/>
    <w:rsid w:val="28342B68"/>
    <w:rsid w:val="28455964"/>
    <w:rsid w:val="2A627567"/>
    <w:rsid w:val="2AE92CE4"/>
    <w:rsid w:val="2B2F0FEF"/>
    <w:rsid w:val="2CBBBBAD"/>
    <w:rsid w:val="2D8752B5"/>
    <w:rsid w:val="2DAD2E97"/>
    <w:rsid w:val="2E0CAD0D"/>
    <w:rsid w:val="2E510A86"/>
    <w:rsid w:val="31A94BE1"/>
    <w:rsid w:val="32139843"/>
    <w:rsid w:val="324E4BF2"/>
    <w:rsid w:val="325597E2"/>
    <w:rsid w:val="33066AD7"/>
    <w:rsid w:val="342C0489"/>
    <w:rsid w:val="342E6770"/>
    <w:rsid w:val="34A709C8"/>
    <w:rsid w:val="3521EC98"/>
    <w:rsid w:val="35BDABE0"/>
    <w:rsid w:val="363DEFDB"/>
    <w:rsid w:val="3686D67E"/>
    <w:rsid w:val="380BBECA"/>
    <w:rsid w:val="397AEA43"/>
    <w:rsid w:val="3A83F021"/>
    <w:rsid w:val="3B225315"/>
    <w:rsid w:val="3B7F93BC"/>
    <w:rsid w:val="3C89F2E8"/>
    <w:rsid w:val="3C964DE5"/>
    <w:rsid w:val="3CF81054"/>
    <w:rsid w:val="3D3C4BDD"/>
    <w:rsid w:val="3E90F9F0"/>
    <w:rsid w:val="3E9526A6"/>
    <w:rsid w:val="3EEF24BE"/>
    <w:rsid w:val="3FDA7702"/>
    <w:rsid w:val="4034F73C"/>
    <w:rsid w:val="403DC013"/>
    <w:rsid w:val="40FC0B2C"/>
    <w:rsid w:val="422FF408"/>
    <w:rsid w:val="43F87280"/>
    <w:rsid w:val="44E77A31"/>
    <w:rsid w:val="453BCCF9"/>
    <w:rsid w:val="45798DC6"/>
    <w:rsid w:val="4597DB63"/>
    <w:rsid w:val="45E83219"/>
    <w:rsid w:val="46C118AC"/>
    <w:rsid w:val="46CF0F8E"/>
    <w:rsid w:val="47D46342"/>
    <w:rsid w:val="47E00060"/>
    <w:rsid w:val="483704F0"/>
    <w:rsid w:val="4888B60B"/>
    <w:rsid w:val="4946F205"/>
    <w:rsid w:val="4A82F9B4"/>
    <w:rsid w:val="4A878B58"/>
    <w:rsid w:val="4B4E43D3"/>
    <w:rsid w:val="4B6E5BAF"/>
    <w:rsid w:val="4BED835A"/>
    <w:rsid w:val="4BF39924"/>
    <w:rsid w:val="4C6E0CCA"/>
    <w:rsid w:val="4C7940A1"/>
    <w:rsid w:val="4CF236A5"/>
    <w:rsid w:val="4E57D9F3"/>
    <w:rsid w:val="4EC1C894"/>
    <w:rsid w:val="50FD6C67"/>
    <w:rsid w:val="522134AA"/>
    <w:rsid w:val="52B82B48"/>
    <w:rsid w:val="52C922F8"/>
    <w:rsid w:val="5372DB96"/>
    <w:rsid w:val="537883A4"/>
    <w:rsid w:val="53E01875"/>
    <w:rsid w:val="56A7345B"/>
    <w:rsid w:val="56DBC8C5"/>
    <w:rsid w:val="57B41560"/>
    <w:rsid w:val="57CABB43"/>
    <w:rsid w:val="58344F71"/>
    <w:rsid w:val="5842838E"/>
    <w:rsid w:val="587ADF41"/>
    <w:rsid w:val="5A027530"/>
    <w:rsid w:val="5A36CA40"/>
    <w:rsid w:val="5A833209"/>
    <w:rsid w:val="5B4BB0C7"/>
    <w:rsid w:val="5B6EAEF1"/>
    <w:rsid w:val="5BE783AC"/>
    <w:rsid w:val="5C2ADB5F"/>
    <w:rsid w:val="5C48F86D"/>
    <w:rsid w:val="5C4C9A9D"/>
    <w:rsid w:val="5D1ABE74"/>
    <w:rsid w:val="5D62D272"/>
    <w:rsid w:val="5D75B9A1"/>
    <w:rsid w:val="5DB84488"/>
    <w:rsid w:val="5DEB677A"/>
    <w:rsid w:val="5E65B5F5"/>
    <w:rsid w:val="5E8E7B93"/>
    <w:rsid w:val="5F323F37"/>
    <w:rsid w:val="5F5C19C8"/>
    <w:rsid w:val="5FA01805"/>
    <w:rsid w:val="5FA6598B"/>
    <w:rsid w:val="6009391F"/>
    <w:rsid w:val="60692247"/>
    <w:rsid w:val="610DB627"/>
    <w:rsid w:val="6166FC90"/>
    <w:rsid w:val="619CD441"/>
    <w:rsid w:val="62C365B4"/>
    <w:rsid w:val="641759FA"/>
    <w:rsid w:val="65280E1C"/>
    <w:rsid w:val="6540C7C4"/>
    <w:rsid w:val="66C6437C"/>
    <w:rsid w:val="6756B5EB"/>
    <w:rsid w:val="67AB4EE4"/>
    <w:rsid w:val="6890394A"/>
    <w:rsid w:val="6A8086CE"/>
    <w:rsid w:val="6AA086D7"/>
    <w:rsid w:val="6B544824"/>
    <w:rsid w:val="703132D6"/>
    <w:rsid w:val="70AFE992"/>
    <w:rsid w:val="70EB339D"/>
    <w:rsid w:val="718805F4"/>
    <w:rsid w:val="71F1C914"/>
    <w:rsid w:val="73593E42"/>
    <w:rsid w:val="73DDC7F8"/>
    <w:rsid w:val="74E42435"/>
    <w:rsid w:val="74F06132"/>
    <w:rsid w:val="7543395B"/>
    <w:rsid w:val="75F56657"/>
    <w:rsid w:val="77906073"/>
    <w:rsid w:val="78D115F6"/>
    <w:rsid w:val="78D18B86"/>
    <w:rsid w:val="7918C67B"/>
    <w:rsid w:val="7985FBD5"/>
    <w:rsid w:val="7AA5809B"/>
    <w:rsid w:val="7B09C3F1"/>
    <w:rsid w:val="7B2C068A"/>
    <w:rsid w:val="7B64BEFE"/>
    <w:rsid w:val="7BE20A70"/>
    <w:rsid w:val="7EACCCB7"/>
    <w:rsid w:val="7F788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ED37"/>
  <w15:chartTrackingRefBased/>
  <w15:docId w15:val="{BFFAEA3B-6CDB-4C4E-A503-9CDAFF9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B7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B7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1B7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1B7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41B7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1B7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1B7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1B7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1B7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1B7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1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B7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1B7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B7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41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B7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1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B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B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F36C0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E057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46C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C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7968"/>
    <w:pPr>
      <w:spacing w:before="100" w:beforeAutospacing="1" w:after="100" w:afterAutospacing="1" w:line="240" w:lineRule="auto"/>
    </w:pPr>
    <w:rPr>
      <w:rFonts w:cs="Times New Roman" w:eastAsiaTheme="minorEastAsia"/>
      <w:kern w:val="0"/>
      <w:szCs w:val="24"/>
      <w14:ligatures w14:val="none"/>
    </w:rPr>
  </w:style>
  <w:style w:type="paragraph" w:styleId="Default" w:customStyle="1">
    <w:name w:val="Default"/>
    <w:rsid w:val="001D796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 w:eastAsiaTheme="minorEastAsia"/>
      <w:color w:val="000000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doe.virginia.gov/home/showpublisheddocument/1264/637946482350100000" TargetMode="External" Id="R15dfa862d80b4d0e" /><Relationship Type="http://schemas.openxmlformats.org/officeDocument/2006/relationships/hyperlink" Target="https://budget.lis.virginia.gov/item/2024/2/HB6002/Chapter/1/136/" TargetMode="External" Id="R4e7249504b3d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A78F69606AE42B951B83825388AA6" ma:contentTypeVersion="13" ma:contentTypeDescription="Create a new document." ma:contentTypeScope="" ma:versionID="d7f4403c57b4f847a50d1c2474f6551a">
  <xsd:schema xmlns:xsd="http://www.w3.org/2001/XMLSchema" xmlns:xs="http://www.w3.org/2001/XMLSchema" xmlns:p="http://schemas.microsoft.com/office/2006/metadata/properties" xmlns:ns2="2a42484b-d2b7-42f5-abdd-8ca46af18b8a" xmlns:ns3="4d0cf8a6-db13-44ff-9be7-8993c21021b7" targetNamespace="http://schemas.microsoft.com/office/2006/metadata/properties" ma:root="true" ma:fieldsID="7a6e623aa63b4d7f587ef7b4fceb8edd" ns2:_="" ns3:_="">
    <xsd:import namespace="2a42484b-d2b7-42f5-abdd-8ca46af18b8a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484b-d2b7-42f5-abdd-8ca46af1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3c4559-9452-4051-a68a-31fe16d9f444}" ma:internalName="TaxCatchAll" ma:showField="CatchAllData" ma:web="4d0cf8a6-db13-44ff-9be7-8993c2102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cf8a6-db13-44ff-9be7-8993c21021b7" xsi:nil="true"/>
    <lcf76f155ced4ddcb4097134ff3c332f xmlns="2a42484b-d2b7-42f5-abdd-8ca46af18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46CB6-208D-4BF8-B1F5-DE8AB14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C4AB8-85F7-4F82-BB7A-5D259C99BC47}"/>
</file>

<file path=customXml/itemProps3.xml><?xml version="1.0" encoding="utf-8"?>
<ds:datastoreItem xmlns:ds="http://schemas.openxmlformats.org/officeDocument/2006/customXml" ds:itemID="{1193A3E6-7378-494E-B48C-9DCD6390B405}">
  <ds:schemaRefs>
    <ds:schemaRef ds:uri="http://schemas.microsoft.com/office/2006/metadata/properties"/>
    <ds:schemaRef ds:uri="http://schemas.microsoft.com/office/infopath/2007/PartnerControls"/>
    <ds:schemaRef ds:uri="4d0cf8a6-db13-44ff-9be7-8993c21021b7"/>
    <ds:schemaRef ds:uri="bc7859b9-5717-42f6-ada5-7b436250c4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Powers, Martha (DOE)</dc:creator>
  <keywords/>
  <dc:description/>
  <lastModifiedBy>Drzymala, Lisa (DOE)</lastModifiedBy>
  <revision>9</revision>
  <lastPrinted>2024-07-24T00:26:00.0000000Z</lastPrinted>
  <dcterms:created xsi:type="dcterms:W3CDTF">2024-09-19T12:16:00.0000000Z</dcterms:created>
  <dcterms:modified xsi:type="dcterms:W3CDTF">2024-11-09T15:42:38.7227040Z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0x010100647A78F69606AE42B951B83825388AA6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