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3F93B" w14:textId="77777777" w:rsidR="00380085" w:rsidRPr="005E33F5" w:rsidRDefault="00380085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Department o</w:t>
      </w:r>
      <w:r w:rsidRPr="005E33F5">
        <w:rPr>
          <w:rFonts w:cs="Times New Roman"/>
          <w:sz w:val="28"/>
          <w:szCs w:val="28"/>
        </w:rPr>
        <w:t>f Education</w:t>
      </w:r>
    </w:p>
    <w:p w14:paraId="712D44FE" w14:textId="77777777" w:rsidR="00380085" w:rsidRPr="000E48AE" w:rsidRDefault="00380085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0E48AE">
        <w:rPr>
          <w:rFonts w:cs="Times New Roman"/>
          <w:sz w:val="28"/>
          <w:szCs w:val="28"/>
        </w:rPr>
        <w:t>P. O. BOX 2120</w:t>
      </w:r>
    </w:p>
    <w:p w14:paraId="70BCA826" w14:textId="77777777" w:rsidR="00380085" w:rsidRDefault="00380085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0E48AE">
        <w:rPr>
          <w:rFonts w:cs="Times New Roman"/>
          <w:sz w:val="28"/>
          <w:szCs w:val="28"/>
        </w:rPr>
        <w:t>Richmond, Virginia 23218-2120</w:t>
      </w:r>
    </w:p>
    <w:p w14:paraId="0ACA35BA" w14:textId="77777777" w:rsidR="00912B2D" w:rsidRPr="000E48AE" w:rsidRDefault="00912B2D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108BBEF5" w14:textId="027A1C78" w:rsidR="006571D7" w:rsidRPr="006571D7" w:rsidRDefault="006571D7" w:rsidP="006571D7">
      <w:pPr>
        <w:jc w:val="center"/>
        <w:rPr>
          <w:b/>
          <w:szCs w:val="24"/>
        </w:rPr>
      </w:pPr>
      <w:r w:rsidRPr="006571D7">
        <w:rPr>
          <w:b/>
          <w:szCs w:val="24"/>
        </w:rPr>
        <w:t>CAREER AND TECHNICAL EDUCATION MEMO NO</w:t>
      </w:r>
      <w:r w:rsidRPr="005D5B49">
        <w:rPr>
          <w:b/>
          <w:szCs w:val="24"/>
        </w:rPr>
        <w:t xml:space="preserve">. </w:t>
      </w:r>
      <w:r w:rsidR="00125516">
        <w:rPr>
          <w:b/>
          <w:szCs w:val="24"/>
        </w:rPr>
        <w:t>25</w:t>
      </w:r>
      <w:r w:rsidR="00F0292A">
        <w:rPr>
          <w:b/>
          <w:szCs w:val="24"/>
        </w:rPr>
        <w:t>4-24</w:t>
      </w:r>
    </w:p>
    <w:p w14:paraId="5C2967F0" w14:textId="48280239" w:rsidR="006571D7" w:rsidRPr="006571D7" w:rsidRDefault="006571D7" w:rsidP="006571D7">
      <w:pPr>
        <w:spacing w:after="0" w:line="240" w:lineRule="auto"/>
        <w:rPr>
          <w:rFonts w:cs="Times New Roman"/>
          <w:szCs w:val="24"/>
        </w:rPr>
      </w:pPr>
      <w:r w:rsidRPr="006571D7">
        <w:rPr>
          <w:rFonts w:cs="Times New Roman"/>
          <w:b/>
          <w:szCs w:val="24"/>
        </w:rPr>
        <w:t>DATE:</w:t>
      </w:r>
      <w:r w:rsidRPr="006571D7">
        <w:rPr>
          <w:rFonts w:cs="Times New Roman"/>
          <w:szCs w:val="24"/>
        </w:rPr>
        <w:tab/>
      </w:r>
      <w:r w:rsidR="00912B2D">
        <w:rPr>
          <w:rFonts w:cs="Times New Roman"/>
          <w:szCs w:val="24"/>
        </w:rPr>
        <w:t xml:space="preserve">September </w:t>
      </w:r>
      <w:r w:rsidR="00125516">
        <w:rPr>
          <w:rFonts w:cs="Times New Roman"/>
          <w:szCs w:val="24"/>
        </w:rPr>
        <w:t>11</w:t>
      </w:r>
      <w:r w:rsidRPr="006571D7">
        <w:rPr>
          <w:rFonts w:cs="Times New Roman"/>
          <w:szCs w:val="24"/>
        </w:rPr>
        <w:t xml:space="preserve">, 2024   </w:t>
      </w:r>
    </w:p>
    <w:p w14:paraId="3B853F19" w14:textId="77777777" w:rsidR="006571D7" w:rsidRPr="006571D7" w:rsidRDefault="006571D7" w:rsidP="006571D7">
      <w:pPr>
        <w:spacing w:after="0" w:line="240" w:lineRule="auto"/>
        <w:rPr>
          <w:rFonts w:cs="Times New Roman"/>
          <w:szCs w:val="24"/>
        </w:rPr>
      </w:pPr>
    </w:p>
    <w:p w14:paraId="01D284EB" w14:textId="77777777" w:rsidR="006571D7" w:rsidRPr="006571D7" w:rsidRDefault="006571D7" w:rsidP="006571D7">
      <w:pPr>
        <w:spacing w:after="0" w:line="240" w:lineRule="auto"/>
        <w:rPr>
          <w:rFonts w:cs="Times New Roman"/>
          <w:b/>
          <w:szCs w:val="24"/>
        </w:rPr>
      </w:pPr>
      <w:r w:rsidRPr="006571D7">
        <w:rPr>
          <w:rFonts w:cs="Times New Roman"/>
          <w:b/>
          <w:szCs w:val="24"/>
        </w:rPr>
        <w:t xml:space="preserve">TO: </w:t>
      </w:r>
      <w:r w:rsidRPr="006571D7">
        <w:rPr>
          <w:rFonts w:cs="Times New Roman"/>
          <w:b/>
          <w:szCs w:val="24"/>
        </w:rPr>
        <w:tab/>
      </w:r>
      <w:r w:rsidRPr="006571D7">
        <w:rPr>
          <w:rFonts w:cs="Times New Roman"/>
          <w:b/>
          <w:szCs w:val="24"/>
        </w:rPr>
        <w:tab/>
      </w:r>
      <w:r w:rsidRPr="009A2B2D">
        <w:rPr>
          <w:rFonts w:cs="Times New Roman"/>
          <w:bCs/>
          <w:szCs w:val="24"/>
        </w:rPr>
        <w:t>CTE Administrators</w:t>
      </w:r>
    </w:p>
    <w:p w14:paraId="0441CEE4" w14:textId="77777777" w:rsidR="006571D7" w:rsidRPr="006571D7" w:rsidRDefault="006571D7" w:rsidP="006571D7">
      <w:pPr>
        <w:spacing w:after="0" w:line="240" w:lineRule="auto"/>
        <w:rPr>
          <w:rFonts w:cs="Times New Roman"/>
          <w:szCs w:val="24"/>
        </w:rPr>
      </w:pPr>
    </w:p>
    <w:p w14:paraId="6BAAB80D" w14:textId="77777777" w:rsidR="006571D7" w:rsidRPr="006571D7" w:rsidRDefault="006571D7" w:rsidP="006571D7">
      <w:pPr>
        <w:spacing w:after="0" w:line="240" w:lineRule="auto"/>
        <w:rPr>
          <w:rFonts w:cs="Times New Roman"/>
          <w:szCs w:val="24"/>
        </w:rPr>
      </w:pPr>
      <w:r w:rsidRPr="006571D7">
        <w:rPr>
          <w:rFonts w:cs="Times New Roman"/>
          <w:b/>
          <w:szCs w:val="24"/>
        </w:rPr>
        <w:t>FROM:</w:t>
      </w:r>
      <w:r w:rsidRPr="006571D7">
        <w:rPr>
          <w:rFonts w:cs="Times New Roman"/>
          <w:szCs w:val="24"/>
        </w:rPr>
        <w:tab/>
        <w:t>Dr. J. Anthony Williams, Director</w:t>
      </w:r>
    </w:p>
    <w:p w14:paraId="0F63B68A" w14:textId="2EB91BD5" w:rsidR="006571D7" w:rsidRPr="006571D7" w:rsidRDefault="006571D7" w:rsidP="006571D7">
      <w:pPr>
        <w:spacing w:after="0" w:line="240" w:lineRule="auto"/>
        <w:ind w:left="720" w:firstLine="720"/>
        <w:rPr>
          <w:rFonts w:cs="Times New Roman"/>
          <w:szCs w:val="24"/>
        </w:rPr>
      </w:pPr>
      <w:r w:rsidRPr="006571D7">
        <w:rPr>
          <w:rFonts w:cs="Times New Roman"/>
          <w:szCs w:val="24"/>
        </w:rPr>
        <w:t>Office of Career</w:t>
      </w:r>
      <w:r w:rsidR="005D5B49">
        <w:rPr>
          <w:rFonts w:cs="Times New Roman"/>
          <w:szCs w:val="24"/>
        </w:rPr>
        <w:t xml:space="preserve"> and </w:t>
      </w:r>
      <w:r w:rsidRPr="006571D7">
        <w:rPr>
          <w:rFonts w:cs="Times New Roman"/>
          <w:szCs w:val="24"/>
        </w:rPr>
        <w:t>Technical Education</w:t>
      </w:r>
    </w:p>
    <w:p w14:paraId="7F5E7F01" w14:textId="77777777" w:rsidR="00380085" w:rsidRPr="000E48AE" w:rsidRDefault="00380085" w:rsidP="00380085">
      <w:pPr>
        <w:spacing w:after="0" w:line="240" w:lineRule="auto"/>
        <w:rPr>
          <w:rFonts w:cs="Times New Roman"/>
          <w:szCs w:val="24"/>
        </w:rPr>
      </w:pPr>
    </w:p>
    <w:p w14:paraId="673B5660" w14:textId="6DFA44EE" w:rsidR="002F30FE" w:rsidRPr="00930927" w:rsidRDefault="00380085" w:rsidP="009A3F47">
      <w:pPr>
        <w:tabs>
          <w:tab w:val="left" w:pos="1440"/>
          <w:tab w:val="left" w:pos="1800"/>
          <w:tab w:val="left" w:pos="2340"/>
        </w:tabs>
        <w:spacing w:after="0" w:line="240" w:lineRule="auto"/>
        <w:ind w:left="1440" w:hanging="1440"/>
        <w:rPr>
          <w:szCs w:val="24"/>
        </w:rPr>
      </w:pPr>
      <w:r w:rsidRPr="009A3F47">
        <w:rPr>
          <w:b/>
        </w:rPr>
        <w:t>SUBJECT:</w:t>
      </w:r>
      <w:r w:rsidRPr="009A3F47">
        <w:rPr>
          <w:b/>
        </w:rPr>
        <w:tab/>
      </w:r>
      <w:r w:rsidR="009A3F47">
        <w:rPr>
          <w:b/>
        </w:rPr>
        <w:t xml:space="preserve">PUBLIC NOTICE: </w:t>
      </w:r>
      <w:r w:rsidR="002F30FE" w:rsidRPr="00930927">
        <w:rPr>
          <w:b/>
          <w:szCs w:val="24"/>
        </w:rPr>
        <w:t>Public Comment Period</w:t>
      </w:r>
      <w:r w:rsidR="001915B3" w:rsidRPr="00930927">
        <w:rPr>
          <w:b/>
          <w:szCs w:val="24"/>
        </w:rPr>
        <w:t>s</w:t>
      </w:r>
      <w:r w:rsidR="002F30FE" w:rsidRPr="00930927">
        <w:rPr>
          <w:b/>
          <w:szCs w:val="24"/>
        </w:rPr>
        <w:t xml:space="preserve"> for Strengthening Career and Technical Education</w:t>
      </w:r>
      <w:r w:rsidR="009A3F47">
        <w:rPr>
          <w:b/>
          <w:szCs w:val="24"/>
        </w:rPr>
        <w:t xml:space="preserve"> </w:t>
      </w:r>
      <w:r w:rsidR="002F30FE" w:rsidRPr="00930927">
        <w:rPr>
          <w:b/>
          <w:szCs w:val="24"/>
        </w:rPr>
        <w:t>for the 21</w:t>
      </w:r>
      <w:r w:rsidR="002F30FE" w:rsidRPr="00930927">
        <w:rPr>
          <w:b/>
          <w:szCs w:val="24"/>
          <w:vertAlign w:val="superscript"/>
        </w:rPr>
        <w:t>st</w:t>
      </w:r>
      <w:r w:rsidR="002F30FE" w:rsidRPr="00930927">
        <w:rPr>
          <w:b/>
          <w:szCs w:val="24"/>
        </w:rPr>
        <w:t xml:space="preserve"> Century Act (Perkins V) State </w:t>
      </w:r>
      <w:r w:rsidR="00287F28">
        <w:rPr>
          <w:b/>
          <w:szCs w:val="24"/>
        </w:rPr>
        <w:t>Determined Performance Levels</w:t>
      </w:r>
    </w:p>
    <w:p w14:paraId="6A6D9B61" w14:textId="77777777" w:rsidR="009A3F47" w:rsidRDefault="009A3F47" w:rsidP="002F30FE">
      <w:pPr>
        <w:spacing w:after="0" w:line="240" w:lineRule="auto"/>
        <w:rPr>
          <w:color w:val="000000"/>
          <w:szCs w:val="24"/>
        </w:rPr>
      </w:pPr>
    </w:p>
    <w:p w14:paraId="762C151F" w14:textId="75D33128" w:rsidR="001B7F1E" w:rsidRDefault="002F30FE" w:rsidP="002F30FE">
      <w:pPr>
        <w:spacing w:after="0" w:line="240" w:lineRule="auto"/>
        <w:rPr>
          <w:szCs w:val="24"/>
        </w:rPr>
      </w:pPr>
      <w:r w:rsidRPr="00930927">
        <w:rPr>
          <w:color w:val="000000"/>
          <w:szCs w:val="24"/>
        </w:rPr>
        <w:t>In accordance with the provisions of the Strengthening Career and Technical Education Act for the 21</w:t>
      </w:r>
      <w:r w:rsidRPr="00930927">
        <w:rPr>
          <w:color w:val="000000"/>
          <w:szCs w:val="24"/>
          <w:vertAlign w:val="superscript"/>
        </w:rPr>
        <w:t>st</w:t>
      </w:r>
      <w:r w:rsidRPr="00930927">
        <w:rPr>
          <w:color w:val="000000"/>
          <w:szCs w:val="24"/>
        </w:rPr>
        <w:t xml:space="preserve"> Century (Perkins V), the </w:t>
      </w:r>
      <w:r w:rsidR="00287F28">
        <w:rPr>
          <w:color w:val="000000"/>
          <w:szCs w:val="24"/>
        </w:rPr>
        <w:t>Virginia Department of Education</w:t>
      </w:r>
      <w:r w:rsidR="00852D47">
        <w:rPr>
          <w:color w:val="000000"/>
          <w:szCs w:val="24"/>
        </w:rPr>
        <w:t xml:space="preserve"> (VDOE)</w:t>
      </w:r>
      <w:r w:rsidR="00287F28">
        <w:rPr>
          <w:color w:val="000000"/>
          <w:szCs w:val="24"/>
        </w:rPr>
        <w:t xml:space="preserve">, Office of Career and Technical Education </w:t>
      </w:r>
      <w:r w:rsidRPr="00930927">
        <w:rPr>
          <w:szCs w:val="24"/>
        </w:rPr>
        <w:t xml:space="preserve">shall provide stakeholders with the opportunity to provide written comments to the eligible agency, which shall be included in the State </w:t>
      </w:r>
      <w:r w:rsidR="00A23E97">
        <w:rPr>
          <w:szCs w:val="24"/>
        </w:rPr>
        <w:t>P</w:t>
      </w:r>
      <w:r w:rsidRPr="00930927">
        <w:rPr>
          <w:szCs w:val="24"/>
        </w:rPr>
        <w:t xml:space="preserve">lan, regarding </w:t>
      </w:r>
      <w:r w:rsidR="001B7F1E">
        <w:rPr>
          <w:szCs w:val="24"/>
        </w:rPr>
        <w:t>the update</w:t>
      </w:r>
      <w:r w:rsidRPr="00930927">
        <w:rPr>
          <w:szCs w:val="24"/>
        </w:rPr>
        <w:t xml:space="preserve"> </w:t>
      </w:r>
      <w:r w:rsidR="00FD58E3">
        <w:rPr>
          <w:szCs w:val="24"/>
        </w:rPr>
        <w:t xml:space="preserve">of </w:t>
      </w:r>
      <w:r w:rsidRPr="00930927">
        <w:rPr>
          <w:szCs w:val="24"/>
        </w:rPr>
        <w:t xml:space="preserve">the </w:t>
      </w:r>
      <w:r w:rsidR="001B7F1E">
        <w:rPr>
          <w:szCs w:val="24"/>
        </w:rPr>
        <w:t xml:space="preserve">State Determined Performance </w:t>
      </w:r>
      <w:r w:rsidR="00A23E97">
        <w:rPr>
          <w:szCs w:val="24"/>
        </w:rPr>
        <w:t>L</w:t>
      </w:r>
      <w:r w:rsidR="001B7F1E">
        <w:rPr>
          <w:szCs w:val="24"/>
        </w:rPr>
        <w:t>evels (SDPLs) for school year 2024</w:t>
      </w:r>
      <w:r w:rsidR="00FD58E3">
        <w:rPr>
          <w:szCs w:val="24"/>
        </w:rPr>
        <w:t>-</w:t>
      </w:r>
      <w:r w:rsidR="001B7F1E">
        <w:rPr>
          <w:szCs w:val="24"/>
        </w:rPr>
        <w:t>202</w:t>
      </w:r>
      <w:r w:rsidR="00FD58E3">
        <w:rPr>
          <w:szCs w:val="24"/>
        </w:rPr>
        <w:t>5</w:t>
      </w:r>
      <w:r w:rsidR="001B7F1E">
        <w:rPr>
          <w:szCs w:val="24"/>
        </w:rPr>
        <w:t xml:space="preserve">. </w:t>
      </w:r>
    </w:p>
    <w:p w14:paraId="517AB405" w14:textId="77777777" w:rsidR="00FD58E3" w:rsidRDefault="00FD58E3" w:rsidP="002F30FE">
      <w:pPr>
        <w:spacing w:after="0" w:line="240" w:lineRule="auto"/>
        <w:rPr>
          <w:szCs w:val="24"/>
        </w:rPr>
      </w:pPr>
    </w:p>
    <w:p w14:paraId="52C82804" w14:textId="036F55B3" w:rsidR="00FD58E3" w:rsidRDefault="00FD58E3" w:rsidP="002F30FE">
      <w:pPr>
        <w:spacing w:after="0" w:line="240" w:lineRule="auto"/>
        <w:rPr>
          <w:szCs w:val="24"/>
        </w:rPr>
      </w:pPr>
      <w:r>
        <w:rPr>
          <w:szCs w:val="24"/>
        </w:rPr>
        <w:t xml:space="preserve">States that have submitted revised plans rather than four-year plans have been directed </w:t>
      </w:r>
      <w:r w:rsidR="007E40BE">
        <w:rPr>
          <w:szCs w:val="24"/>
        </w:rPr>
        <w:t xml:space="preserve">by the U.S. Department of Education </w:t>
      </w:r>
      <w:r>
        <w:rPr>
          <w:szCs w:val="24"/>
        </w:rPr>
        <w:t xml:space="preserve">to submit SDPLs associated </w:t>
      </w:r>
      <w:r w:rsidR="007E40BE">
        <w:rPr>
          <w:szCs w:val="24"/>
        </w:rPr>
        <w:t>with the performance for the operating State Plan of 2024-</w:t>
      </w:r>
      <w:r w:rsidR="00A23E97">
        <w:rPr>
          <w:szCs w:val="24"/>
        </w:rPr>
        <w:t>20</w:t>
      </w:r>
      <w:r w:rsidR="007E40BE">
        <w:rPr>
          <w:szCs w:val="24"/>
        </w:rPr>
        <w:t>25. SDPL</w:t>
      </w:r>
      <w:r w:rsidR="008E7645">
        <w:rPr>
          <w:szCs w:val="24"/>
        </w:rPr>
        <w:t xml:space="preserve">s </w:t>
      </w:r>
      <w:r w:rsidR="007E40BE">
        <w:rPr>
          <w:szCs w:val="24"/>
        </w:rPr>
        <w:t xml:space="preserve">must be higher than the average actual performance for the two most recent program years </w:t>
      </w:r>
      <w:r w:rsidR="008E7645">
        <w:rPr>
          <w:szCs w:val="24"/>
        </w:rPr>
        <w:t>(202</w:t>
      </w:r>
      <w:r w:rsidR="00371046">
        <w:rPr>
          <w:szCs w:val="24"/>
        </w:rPr>
        <w:t>1</w:t>
      </w:r>
      <w:r w:rsidR="008E7645">
        <w:rPr>
          <w:szCs w:val="24"/>
        </w:rPr>
        <w:t>-202</w:t>
      </w:r>
      <w:r w:rsidR="00371046">
        <w:rPr>
          <w:szCs w:val="24"/>
        </w:rPr>
        <w:t>2</w:t>
      </w:r>
      <w:r w:rsidR="008E7645">
        <w:rPr>
          <w:szCs w:val="24"/>
        </w:rPr>
        <w:t xml:space="preserve"> and 202</w:t>
      </w:r>
      <w:r w:rsidR="00371046">
        <w:rPr>
          <w:szCs w:val="24"/>
        </w:rPr>
        <w:t>2</w:t>
      </w:r>
      <w:r w:rsidR="008E7645">
        <w:rPr>
          <w:szCs w:val="24"/>
        </w:rPr>
        <w:t>-202</w:t>
      </w:r>
      <w:r w:rsidR="00371046">
        <w:rPr>
          <w:szCs w:val="24"/>
        </w:rPr>
        <w:t>3</w:t>
      </w:r>
      <w:r w:rsidR="008E7645">
        <w:rPr>
          <w:szCs w:val="24"/>
        </w:rPr>
        <w:t xml:space="preserve">) </w:t>
      </w:r>
      <w:r w:rsidR="007E40BE">
        <w:rPr>
          <w:szCs w:val="24"/>
        </w:rPr>
        <w:t xml:space="preserve">in accordance with Section </w:t>
      </w:r>
      <w:r w:rsidR="007E40BE" w:rsidRPr="0085193E">
        <w:rPr>
          <w:szCs w:val="24"/>
        </w:rPr>
        <w:t>113(b)(3)(</w:t>
      </w:r>
      <w:r w:rsidR="007E40BE">
        <w:rPr>
          <w:szCs w:val="24"/>
        </w:rPr>
        <w:t>A</w:t>
      </w:r>
      <w:r w:rsidR="007E40BE" w:rsidRPr="0085193E">
        <w:rPr>
          <w:szCs w:val="24"/>
        </w:rPr>
        <w:t>)</w:t>
      </w:r>
      <w:r w:rsidR="00C21BEA">
        <w:rPr>
          <w:szCs w:val="24"/>
        </w:rPr>
        <w:t>(i)</w:t>
      </w:r>
      <w:r w:rsidR="007E40BE" w:rsidRPr="0085193E">
        <w:rPr>
          <w:szCs w:val="24"/>
        </w:rPr>
        <w:t>(</w:t>
      </w:r>
      <w:r w:rsidR="00C21BEA">
        <w:rPr>
          <w:szCs w:val="24"/>
        </w:rPr>
        <w:t>III</w:t>
      </w:r>
      <w:r w:rsidR="007E40BE" w:rsidRPr="0085193E">
        <w:rPr>
          <w:szCs w:val="24"/>
        </w:rPr>
        <w:t>)</w:t>
      </w:r>
      <w:r w:rsidR="00C21BEA">
        <w:rPr>
          <w:szCs w:val="24"/>
        </w:rPr>
        <w:t>(</w:t>
      </w:r>
      <w:proofErr w:type="spellStart"/>
      <w:r w:rsidR="00C21BEA">
        <w:rPr>
          <w:szCs w:val="24"/>
        </w:rPr>
        <w:t>ee</w:t>
      </w:r>
      <w:proofErr w:type="spellEnd"/>
      <w:r w:rsidR="00C21BEA">
        <w:rPr>
          <w:szCs w:val="24"/>
        </w:rPr>
        <w:t>)</w:t>
      </w:r>
      <w:r w:rsidR="007E40BE">
        <w:rPr>
          <w:szCs w:val="24"/>
        </w:rPr>
        <w:t>. The proposed SDPLs will comply with Perkins V, S</w:t>
      </w:r>
      <w:r w:rsidR="007E40BE" w:rsidRPr="0085193E">
        <w:rPr>
          <w:szCs w:val="24"/>
        </w:rPr>
        <w:t>ection 113(b)(3)(</w:t>
      </w:r>
      <w:r w:rsidR="007E40BE">
        <w:rPr>
          <w:szCs w:val="24"/>
        </w:rPr>
        <w:t>B</w:t>
      </w:r>
      <w:r w:rsidR="007E40BE" w:rsidRPr="0085193E">
        <w:rPr>
          <w:szCs w:val="24"/>
        </w:rPr>
        <w:t>)(i</w:t>
      </w:r>
      <w:r w:rsidR="007E40BE">
        <w:rPr>
          <w:szCs w:val="24"/>
        </w:rPr>
        <w:t>i</w:t>
      </w:r>
      <w:r w:rsidR="007E40BE" w:rsidRPr="0085193E">
        <w:rPr>
          <w:szCs w:val="24"/>
        </w:rPr>
        <w:t>)</w:t>
      </w:r>
      <w:r w:rsidR="007E40BE">
        <w:rPr>
          <w:szCs w:val="24"/>
        </w:rPr>
        <w:t xml:space="preserve"> a</w:t>
      </w:r>
      <w:r w:rsidR="00852D47">
        <w:rPr>
          <w:szCs w:val="24"/>
        </w:rPr>
        <w:t xml:space="preserve">nd must be aligned in both the Perkins V State Plan and the </w:t>
      </w:r>
      <w:r w:rsidR="00852D47" w:rsidRPr="00852D47">
        <w:rPr>
          <w:szCs w:val="24"/>
        </w:rPr>
        <w:t>Workforce Innovation and Opportunity Act (WIOA)</w:t>
      </w:r>
      <w:r w:rsidR="00852D47">
        <w:rPr>
          <w:szCs w:val="24"/>
        </w:rPr>
        <w:t xml:space="preserve"> Combined State Plan</w:t>
      </w:r>
      <w:r w:rsidR="00EA7079">
        <w:rPr>
          <w:szCs w:val="24"/>
        </w:rPr>
        <w:t xml:space="preserve">. </w:t>
      </w:r>
      <w:r w:rsidR="00852D47">
        <w:rPr>
          <w:szCs w:val="24"/>
        </w:rPr>
        <w:t>Additionally, i</w:t>
      </w:r>
      <w:r w:rsidR="00852D47" w:rsidRPr="00930927">
        <w:rPr>
          <w:szCs w:val="24"/>
        </w:rPr>
        <w:t xml:space="preserve">n the </w:t>
      </w:r>
      <w:r w:rsidR="00852D47">
        <w:rPr>
          <w:szCs w:val="24"/>
        </w:rPr>
        <w:t xml:space="preserve">revised </w:t>
      </w:r>
      <w:r w:rsidR="00A23E97">
        <w:rPr>
          <w:szCs w:val="24"/>
        </w:rPr>
        <w:t>S</w:t>
      </w:r>
      <w:r w:rsidR="00852D47">
        <w:rPr>
          <w:szCs w:val="24"/>
        </w:rPr>
        <w:t xml:space="preserve">tate </w:t>
      </w:r>
      <w:r w:rsidR="00A23E97">
        <w:rPr>
          <w:szCs w:val="24"/>
        </w:rPr>
        <w:t>P</w:t>
      </w:r>
      <w:r w:rsidR="00852D47" w:rsidRPr="00930927">
        <w:rPr>
          <w:szCs w:val="24"/>
        </w:rPr>
        <w:t>lan</w:t>
      </w:r>
      <w:r w:rsidR="00852D47">
        <w:rPr>
          <w:szCs w:val="24"/>
        </w:rPr>
        <w:t>,</w:t>
      </w:r>
      <w:r w:rsidR="00852D47" w:rsidRPr="00930927">
        <w:rPr>
          <w:szCs w:val="24"/>
        </w:rPr>
        <w:t xml:space="preserve"> the </w:t>
      </w:r>
      <w:r w:rsidR="00852D47">
        <w:rPr>
          <w:szCs w:val="24"/>
        </w:rPr>
        <w:t xml:space="preserve">VDOE </w:t>
      </w:r>
      <w:r w:rsidR="00852D47" w:rsidRPr="00930927">
        <w:rPr>
          <w:szCs w:val="24"/>
        </w:rPr>
        <w:t xml:space="preserve">shall provide an assurance that public comments were </w:t>
      </w:r>
      <w:proofErr w:type="gramStart"/>
      <w:r w:rsidR="00852D47" w:rsidRPr="00930927">
        <w:rPr>
          <w:szCs w:val="24"/>
        </w:rPr>
        <w:t>taken into account</w:t>
      </w:r>
      <w:proofErr w:type="gramEnd"/>
      <w:r w:rsidR="00852D47" w:rsidRPr="00930927">
        <w:rPr>
          <w:szCs w:val="24"/>
        </w:rPr>
        <w:t xml:space="preserve"> in the development of the State </w:t>
      </w:r>
      <w:r w:rsidR="00EA7079">
        <w:rPr>
          <w:szCs w:val="24"/>
        </w:rPr>
        <w:t>P</w:t>
      </w:r>
      <w:r w:rsidR="00852D47" w:rsidRPr="00930927">
        <w:rPr>
          <w:szCs w:val="24"/>
        </w:rPr>
        <w:t>lan</w:t>
      </w:r>
      <w:r w:rsidR="00EA7079">
        <w:rPr>
          <w:szCs w:val="24"/>
        </w:rPr>
        <w:t>s</w:t>
      </w:r>
      <w:r w:rsidR="00852D47" w:rsidRPr="00930927">
        <w:rPr>
          <w:szCs w:val="24"/>
        </w:rPr>
        <w:t>.</w:t>
      </w:r>
      <w:r w:rsidR="00EA7079">
        <w:rPr>
          <w:szCs w:val="24"/>
        </w:rPr>
        <w:t xml:space="preserve"> </w:t>
      </w:r>
    </w:p>
    <w:p w14:paraId="04888DF7" w14:textId="77777777" w:rsidR="00EA7079" w:rsidRDefault="00EA7079" w:rsidP="002F30FE">
      <w:pPr>
        <w:spacing w:after="0" w:line="240" w:lineRule="auto"/>
        <w:rPr>
          <w:szCs w:val="24"/>
        </w:rPr>
      </w:pPr>
    </w:p>
    <w:p w14:paraId="6D760BC1" w14:textId="2831A95B" w:rsidR="00EA7079" w:rsidRPr="00EA7079" w:rsidRDefault="00EA7079" w:rsidP="002F30FE">
      <w:pPr>
        <w:spacing w:after="0" w:line="240" w:lineRule="auto"/>
        <w:rPr>
          <w:szCs w:val="24"/>
        </w:rPr>
      </w:pPr>
      <w:r>
        <w:rPr>
          <w:szCs w:val="24"/>
        </w:rPr>
        <w:t xml:space="preserve">Proposed </w:t>
      </w:r>
      <w:r w:rsidRPr="00EA7079">
        <w:rPr>
          <w:szCs w:val="24"/>
        </w:rPr>
        <w:t>Secondary SDPLs:</w:t>
      </w:r>
    </w:p>
    <w:p w14:paraId="0A014493" w14:textId="77777777" w:rsidR="001B7F1E" w:rsidRDefault="001B7F1E" w:rsidP="002F30FE">
      <w:pPr>
        <w:spacing w:after="0" w:line="240" w:lineRule="auto"/>
        <w:rPr>
          <w:szCs w:val="24"/>
        </w:rPr>
      </w:pPr>
    </w:p>
    <w:tbl>
      <w:tblPr>
        <w:tblStyle w:val="TableGrid1"/>
        <w:tblW w:w="8905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5215"/>
        <w:gridCol w:w="2070"/>
      </w:tblGrid>
      <w:tr w:rsidR="007E40BE" w:rsidRPr="00BD6549" w14:paraId="7D42F2CF" w14:textId="77777777" w:rsidTr="007E40BE">
        <w:trPr>
          <w:trHeight w:val="683"/>
          <w:tblHeader/>
          <w:jc w:val="center"/>
        </w:trPr>
        <w:tc>
          <w:tcPr>
            <w:tcW w:w="1620" w:type="dxa"/>
            <w:vAlign w:val="center"/>
          </w:tcPr>
          <w:p w14:paraId="744D42C6" w14:textId="48D04E47" w:rsidR="007E40BE" w:rsidRPr="00BD6549" w:rsidRDefault="007E40BE" w:rsidP="00BD6549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BD6549">
              <w:rPr>
                <w:rFonts w:eastAsia="Times New Roman" w:cs="Times New Roman"/>
                <w:b/>
                <w:sz w:val="22"/>
              </w:rPr>
              <w:t>Core Indicator Code</w:t>
            </w:r>
          </w:p>
        </w:tc>
        <w:tc>
          <w:tcPr>
            <w:tcW w:w="5215" w:type="dxa"/>
            <w:vAlign w:val="center"/>
          </w:tcPr>
          <w:p w14:paraId="793B950A" w14:textId="77777777" w:rsidR="007E40BE" w:rsidRPr="00BD6549" w:rsidRDefault="007E40BE" w:rsidP="00BD6549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BD6549">
              <w:rPr>
                <w:rFonts w:eastAsia="Times New Roman" w:cs="Times New Roman"/>
                <w:b/>
                <w:sz w:val="22"/>
              </w:rPr>
              <w:t xml:space="preserve">Secondary </w:t>
            </w:r>
          </w:p>
          <w:p w14:paraId="53079E57" w14:textId="596E583A" w:rsidR="007E40BE" w:rsidRPr="00BD6549" w:rsidRDefault="007E40BE" w:rsidP="00BD6549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BD6549">
              <w:rPr>
                <w:rFonts w:eastAsia="Times New Roman" w:cs="Times New Roman"/>
                <w:b/>
                <w:sz w:val="22"/>
              </w:rPr>
              <w:t>Core Indicator of Performance</w:t>
            </w:r>
          </w:p>
        </w:tc>
        <w:tc>
          <w:tcPr>
            <w:tcW w:w="2070" w:type="dxa"/>
            <w:vAlign w:val="center"/>
          </w:tcPr>
          <w:p w14:paraId="45721FB3" w14:textId="41B11B0A" w:rsidR="007E40BE" w:rsidRDefault="007E40BE" w:rsidP="00BD6549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BD6549">
              <w:rPr>
                <w:rFonts w:eastAsia="Times New Roman" w:cs="Times New Roman"/>
                <w:b/>
                <w:sz w:val="22"/>
              </w:rPr>
              <w:t>State Determined Performance Level</w:t>
            </w:r>
          </w:p>
          <w:p w14:paraId="6652458C" w14:textId="71B8297A" w:rsidR="007E40BE" w:rsidRPr="00BD6549" w:rsidRDefault="00A23E97" w:rsidP="00BD6549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20</w:t>
            </w:r>
            <w:r w:rsidR="007E40BE">
              <w:rPr>
                <w:rFonts w:eastAsia="Times New Roman" w:cs="Times New Roman"/>
                <w:b/>
                <w:sz w:val="22"/>
              </w:rPr>
              <w:t>24-</w:t>
            </w:r>
            <w:r>
              <w:rPr>
                <w:rFonts w:eastAsia="Times New Roman" w:cs="Times New Roman"/>
                <w:b/>
                <w:sz w:val="22"/>
              </w:rPr>
              <w:t>20</w:t>
            </w:r>
            <w:r w:rsidR="007E40BE">
              <w:rPr>
                <w:rFonts w:eastAsia="Times New Roman" w:cs="Times New Roman"/>
                <w:b/>
                <w:sz w:val="22"/>
              </w:rPr>
              <w:t>25</w:t>
            </w:r>
            <w:r>
              <w:rPr>
                <w:rFonts w:eastAsia="Times New Roman" w:cs="Times New Roman"/>
                <w:b/>
                <w:sz w:val="22"/>
              </w:rPr>
              <w:t xml:space="preserve"> (%)</w:t>
            </w:r>
          </w:p>
        </w:tc>
      </w:tr>
      <w:tr w:rsidR="007E40BE" w:rsidRPr="00BD6549" w14:paraId="1C767E4D" w14:textId="77777777" w:rsidTr="007E40BE">
        <w:trPr>
          <w:trHeight w:val="440"/>
          <w:jc w:val="center"/>
        </w:trPr>
        <w:tc>
          <w:tcPr>
            <w:tcW w:w="1620" w:type="dxa"/>
            <w:vAlign w:val="center"/>
          </w:tcPr>
          <w:p w14:paraId="0C69DF12" w14:textId="77777777" w:rsidR="007E40BE" w:rsidRPr="00BD6549" w:rsidRDefault="007E40BE" w:rsidP="00BD6549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D6549">
              <w:rPr>
                <w:rFonts w:eastAsia="Times New Roman" w:cs="Times New Roman"/>
                <w:sz w:val="22"/>
              </w:rPr>
              <w:t>1S1</w:t>
            </w:r>
          </w:p>
        </w:tc>
        <w:tc>
          <w:tcPr>
            <w:tcW w:w="5215" w:type="dxa"/>
            <w:vAlign w:val="center"/>
          </w:tcPr>
          <w:p w14:paraId="549F705B" w14:textId="77777777" w:rsidR="007E40BE" w:rsidRPr="00BD6549" w:rsidRDefault="007E40BE" w:rsidP="00BD6549">
            <w:pPr>
              <w:snapToGri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BD6549">
              <w:rPr>
                <w:rFonts w:eastAsia="Times New Roman" w:cs="Times New Roman"/>
                <w:sz w:val="22"/>
              </w:rPr>
              <w:t>Four Year Graduation Rate</w:t>
            </w:r>
          </w:p>
        </w:tc>
        <w:tc>
          <w:tcPr>
            <w:tcW w:w="2070" w:type="dxa"/>
            <w:vAlign w:val="center"/>
          </w:tcPr>
          <w:p w14:paraId="03A64374" w14:textId="0A4EFE38" w:rsidR="007E40BE" w:rsidRPr="00BD6549" w:rsidRDefault="007E40BE" w:rsidP="00BD6549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D6549">
              <w:rPr>
                <w:rFonts w:eastAsia="Times New Roman" w:cs="Times New Roman"/>
                <w:sz w:val="22"/>
              </w:rPr>
              <w:t>98.50</w:t>
            </w:r>
          </w:p>
        </w:tc>
      </w:tr>
      <w:tr w:rsidR="007E40BE" w:rsidRPr="00BD6549" w14:paraId="51BD18C6" w14:textId="77777777" w:rsidTr="007E40BE">
        <w:trPr>
          <w:trHeight w:val="413"/>
          <w:jc w:val="center"/>
        </w:trPr>
        <w:tc>
          <w:tcPr>
            <w:tcW w:w="1620" w:type="dxa"/>
            <w:vAlign w:val="center"/>
          </w:tcPr>
          <w:p w14:paraId="08D81C8E" w14:textId="77777777" w:rsidR="007E40BE" w:rsidRPr="00BD6549" w:rsidRDefault="007E40BE" w:rsidP="00BD6549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D6549">
              <w:rPr>
                <w:rFonts w:eastAsia="Times New Roman" w:cs="Times New Roman"/>
                <w:sz w:val="22"/>
              </w:rPr>
              <w:t>2S1</w:t>
            </w:r>
          </w:p>
        </w:tc>
        <w:tc>
          <w:tcPr>
            <w:tcW w:w="5215" w:type="dxa"/>
            <w:vAlign w:val="center"/>
          </w:tcPr>
          <w:p w14:paraId="65CC191F" w14:textId="77777777" w:rsidR="007E40BE" w:rsidRPr="00BD6549" w:rsidRDefault="007E40BE" w:rsidP="00BD6549">
            <w:pPr>
              <w:snapToGrid w:val="0"/>
              <w:spacing w:after="0" w:line="240" w:lineRule="auto"/>
              <w:ind w:hanging="18"/>
              <w:rPr>
                <w:rFonts w:eastAsia="Times New Roman" w:cs="Times New Roman"/>
                <w:sz w:val="22"/>
                <w:lang w:eastAsia="ar-SA"/>
              </w:rPr>
            </w:pPr>
            <w:r w:rsidRPr="00BD6549">
              <w:rPr>
                <w:rFonts w:eastAsia="Times New Roman" w:cs="Times New Roman"/>
                <w:sz w:val="22"/>
              </w:rPr>
              <w:t>Academic Proficiency in Reading Language Arts</w:t>
            </w:r>
          </w:p>
        </w:tc>
        <w:tc>
          <w:tcPr>
            <w:tcW w:w="2070" w:type="dxa"/>
            <w:vAlign w:val="center"/>
          </w:tcPr>
          <w:p w14:paraId="61ECBA8A" w14:textId="7F9449E8" w:rsidR="007E40BE" w:rsidRPr="00BD6549" w:rsidRDefault="007E40BE" w:rsidP="00BD6549">
            <w:pPr>
              <w:snapToGrid w:val="0"/>
              <w:spacing w:after="0" w:line="240" w:lineRule="auto"/>
              <w:ind w:hanging="18"/>
              <w:jc w:val="center"/>
              <w:rPr>
                <w:rFonts w:eastAsia="Times New Roman" w:cs="Times New Roman"/>
                <w:sz w:val="22"/>
              </w:rPr>
            </w:pPr>
            <w:r w:rsidRPr="00BD6549">
              <w:rPr>
                <w:rFonts w:eastAsia="Times New Roman" w:cs="Times New Roman"/>
                <w:sz w:val="22"/>
              </w:rPr>
              <w:t>95.71</w:t>
            </w:r>
          </w:p>
        </w:tc>
      </w:tr>
      <w:tr w:rsidR="007E40BE" w:rsidRPr="00BD6549" w14:paraId="1ABC3C15" w14:textId="77777777" w:rsidTr="007E40BE">
        <w:trPr>
          <w:trHeight w:val="395"/>
          <w:jc w:val="center"/>
        </w:trPr>
        <w:tc>
          <w:tcPr>
            <w:tcW w:w="1620" w:type="dxa"/>
            <w:vAlign w:val="center"/>
          </w:tcPr>
          <w:p w14:paraId="5E6C3932" w14:textId="77777777" w:rsidR="007E40BE" w:rsidRPr="00BD6549" w:rsidRDefault="007E40BE" w:rsidP="00BD6549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D6549">
              <w:rPr>
                <w:rFonts w:eastAsia="Times New Roman" w:cs="Times New Roman"/>
                <w:sz w:val="22"/>
              </w:rPr>
              <w:t>2S2</w:t>
            </w:r>
          </w:p>
        </w:tc>
        <w:tc>
          <w:tcPr>
            <w:tcW w:w="5215" w:type="dxa"/>
            <w:vAlign w:val="center"/>
          </w:tcPr>
          <w:p w14:paraId="78DB2820" w14:textId="77777777" w:rsidR="007E40BE" w:rsidRPr="00BD6549" w:rsidRDefault="007E40BE" w:rsidP="00BD6549">
            <w:pPr>
              <w:snapToGri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BD6549">
              <w:rPr>
                <w:rFonts w:eastAsia="Times New Roman" w:cs="Times New Roman"/>
                <w:sz w:val="22"/>
              </w:rPr>
              <w:t>Academic Proficiency in Mathematics</w:t>
            </w:r>
          </w:p>
        </w:tc>
        <w:tc>
          <w:tcPr>
            <w:tcW w:w="2070" w:type="dxa"/>
            <w:vAlign w:val="center"/>
          </w:tcPr>
          <w:p w14:paraId="0A9F4239" w14:textId="2BD60EF9" w:rsidR="007E40BE" w:rsidRPr="00BD6549" w:rsidRDefault="007E40BE" w:rsidP="00BD6549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D6549">
              <w:rPr>
                <w:rFonts w:eastAsia="Times New Roman" w:cs="Times New Roman"/>
                <w:sz w:val="22"/>
              </w:rPr>
              <w:t>94.51</w:t>
            </w:r>
          </w:p>
        </w:tc>
      </w:tr>
      <w:tr w:rsidR="007E40BE" w:rsidRPr="00BD6549" w14:paraId="0CA4D543" w14:textId="77777777" w:rsidTr="007E40BE">
        <w:trPr>
          <w:trHeight w:val="350"/>
          <w:jc w:val="center"/>
        </w:trPr>
        <w:tc>
          <w:tcPr>
            <w:tcW w:w="1620" w:type="dxa"/>
            <w:vAlign w:val="center"/>
          </w:tcPr>
          <w:p w14:paraId="4259AE05" w14:textId="77777777" w:rsidR="007E40BE" w:rsidRPr="00BD6549" w:rsidRDefault="007E40BE" w:rsidP="00BD6549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D6549">
              <w:rPr>
                <w:rFonts w:eastAsia="Times New Roman" w:cs="Times New Roman"/>
                <w:sz w:val="22"/>
              </w:rPr>
              <w:t>2S3</w:t>
            </w:r>
          </w:p>
        </w:tc>
        <w:tc>
          <w:tcPr>
            <w:tcW w:w="5215" w:type="dxa"/>
            <w:vAlign w:val="center"/>
          </w:tcPr>
          <w:p w14:paraId="0575DF18" w14:textId="77777777" w:rsidR="007E40BE" w:rsidRPr="00BD6549" w:rsidRDefault="007E40BE" w:rsidP="00BD6549">
            <w:pPr>
              <w:snapToGri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BD6549">
              <w:rPr>
                <w:rFonts w:eastAsia="Times New Roman" w:cs="Times New Roman"/>
                <w:sz w:val="22"/>
              </w:rPr>
              <w:t>Academic Proficiency in Science</w:t>
            </w:r>
          </w:p>
        </w:tc>
        <w:tc>
          <w:tcPr>
            <w:tcW w:w="2070" w:type="dxa"/>
            <w:vAlign w:val="center"/>
          </w:tcPr>
          <w:p w14:paraId="15FC5711" w14:textId="50739DA1" w:rsidR="007E40BE" w:rsidRPr="00BD6549" w:rsidRDefault="007E40BE" w:rsidP="00BD6549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D6549">
              <w:rPr>
                <w:rFonts w:eastAsia="Times New Roman" w:cs="Times New Roman"/>
                <w:sz w:val="22"/>
              </w:rPr>
              <w:t>90.30</w:t>
            </w:r>
          </w:p>
        </w:tc>
      </w:tr>
      <w:tr w:rsidR="007E40BE" w:rsidRPr="00BD6549" w14:paraId="3A076F78" w14:textId="77777777" w:rsidTr="007E40BE">
        <w:trPr>
          <w:trHeight w:val="377"/>
          <w:jc w:val="center"/>
        </w:trPr>
        <w:tc>
          <w:tcPr>
            <w:tcW w:w="1620" w:type="dxa"/>
            <w:vAlign w:val="center"/>
          </w:tcPr>
          <w:p w14:paraId="2A9613A7" w14:textId="77777777" w:rsidR="007E40BE" w:rsidRPr="00BD6549" w:rsidRDefault="007E40BE" w:rsidP="00BD6549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D6549">
              <w:rPr>
                <w:rFonts w:eastAsia="Times New Roman" w:cs="Times New Roman"/>
                <w:sz w:val="22"/>
              </w:rPr>
              <w:t>3S1</w:t>
            </w:r>
          </w:p>
        </w:tc>
        <w:tc>
          <w:tcPr>
            <w:tcW w:w="5215" w:type="dxa"/>
            <w:vAlign w:val="center"/>
          </w:tcPr>
          <w:p w14:paraId="5A7CBCDE" w14:textId="77777777" w:rsidR="007E40BE" w:rsidRPr="00BD6549" w:rsidRDefault="007E40BE" w:rsidP="00BD6549">
            <w:pPr>
              <w:snapToGri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BD6549">
              <w:rPr>
                <w:rFonts w:eastAsia="Times New Roman" w:cs="Times New Roman"/>
                <w:sz w:val="22"/>
              </w:rPr>
              <w:t>Post-Program Placement</w:t>
            </w:r>
          </w:p>
        </w:tc>
        <w:tc>
          <w:tcPr>
            <w:tcW w:w="2070" w:type="dxa"/>
            <w:vAlign w:val="center"/>
          </w:tcPr>
          <w:p w14:paraId="7E666A42" w14:textId="20391DD3" w:rsidR="007E40BE" w:rsidRPr="00BD6549" w:rsidRDefault="007E40BE" w:rsidP="00BD6549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D6549">
              <w:rPr>
                <w:rFonts w:eastAsia="Times New Roman" w:cs="Times New Roman"/>
                <w:sz w:val="22"/>
              </w:rPr>
              <w:t>96.23</w:t>
            </w:r>
          </w:p>
        </w:tc>
      </w:tr>
      <w:tr w:rsidR="007E40BE" w:rsidRPr="00BD6549" w14:paraId="606FDE36" w14:textId="77777777" w:rsidTr="007E40BE">
        <w:trPr>
          <w:trHeight w:val="413"/>
          <w:jc w:val="center"/>
        </w:trPr>
        <w:tc>
          <w:tcPr>
            <w:tcW w:w="1620" w:type="dxa"/>
            <w:vAlign w:val="center"/>
          </w:tcPr>
          <w:p w14:paraId="4A4C346C" w14:textId="77777777" w:rsidR="007E40BE" w:rsidRPr="00BD6549" w:rsidRDefault="007E40BE" w:rsidP="00BD6549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D6549">
              <w:rPr>
                <w:rFonts w:eastAsia="Times New Roman" w:cs="Times New Roman"/>
                <w:sz w:val="22"/>
              </w:rPr>
              <w:t>4S1</w:t>
            </w:r>
          </w:p>
        </w:tc>
        <w:tc>
          <w:tcPr>
            <w:tcW w:w="5215" w:type="dxa"/>
            <w:vAlign w:val="center"/>
          </w:tcPr>
          <w:p w14:paraId="6883E74D" w14:textId="77777777" w:rsidR="007E40BE" w:rsidRPr="00BD6549" w:rsidRDefault="007E40BE" w:rsidP="00BD6549">
            <w:pPr>
              <w:snapToGri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BD6549">
              <w:rPr>
                <w:rFonts w:eastAsia="Times New Roman" w:cs="Times New Roman"/>
                <w:sz w:val="22"/>
              </w:rPr>
              <w:t>Nontraditional Program Concentration</w:t>
            </w:r>
          </w:p>
        </w:tc>
        <w:tc>
          <w:tcPr>
            <w:tcW w:w="2070" w:type="dxa"/>
            <w:vAlign w:val="center"/>
          </w:tcPr>
          <w:p w14:paraId="274D6D89" w14:textId="2A2AC08E" w:rsidR="007E40BE" w:rsidRPr="00BD6549" w:rsidRDefault="007E40BE" w:rsidP="00BD6549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D6549">
              <w:rPr>
                <w:rFonts w:eastAsia="Times New Roman" w:cs="Times New Roman"/>
                <w:sz w:val="22"/>
              </w:rPr>
              <w:t>31.85</w:t>
            </w:r>
          </w:p>
        </w:tc>
      </w:tr>
      <w:tr w:rsidR="007E40BE" w:rsidRPr="00BD6549" w14:paraId="23B759C2" w14:textId="77777777" w:rsidTr="007E40BE">
        <w:trPr>
          <w:trHeight w:val="530"/>
          <w:jc w:val="center"/>
        </w:trPr>
        <w:tc>
          <w:tcPr>
            <w:tcW w:w="1620" w:type="dxa"/>
            <w:vAlign w:val="center"/>
          </w:tcPr>
          <w:p w14:paraId="3EAC955C" w14:textId="77777777" w:rsidR="007E40BE" w:rsidRPr="00BD6549" w:rsidRDefault="007E40BE" w:rsidP="00BD6549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D6549">
              <w:rPr>
                <w:rFonts w:eastAsia="Times New Roman" w:cs="Times New Roman"/>
                <w:sz w:val="22"/>
              </w:rPr>
              <w:lastRenderedPageBreak/>
              <w:t>5S1</w:t>
            </w:r>
          </w:p>
        </w:tc>
        <w:tc>
          <w:tcPr>
            <w:tcW w:w="5215" w:type="dxa"/>
            <w:vAlign w:val="center"/>
          </w:tcPr>
          <w:p w14:paraId="7DEAB8CB" w14:textId="77777777" w:rsidR="007E40BE" w:rsidRPr="00BD6549" w:rsidRDefault="007E40BE" w:rsidP="00BD6549">
            <w:pPr>
              <w:snapToGri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BD6549">
              <w:rPr>
                <w:rFonts w:eastAsia="Times New Roman" w:cs="Times New Roman"/>
                <w:sz w:val="22"/>
              </w:rPr>
              <w:t>Program Quality—Attained Recognized</w:t>
            </w:r>
          </w:p>
          <w:p w14:paraId="30C043CD" w14:textId="77777777" w:rsidR="007E40BE" w:rsidRPr="00BD6549" w:rsidRDefault="007E40BE" w:rsidP="00BD6549">
            <w:pPr>
              <w:snapToGri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BD6549">
              <w:rPr>
                <w:rFonts w:eastAsia="Times New Roman" w:cs="Times New Roman"/>
                <w:sz w:val="22"/>
              </w:rPr>
              <w:t>Postsecondary Credential</w:t>
            </w:r>
          </w:p>
        </w:tc>
        <w:tc>
          <w:tcPr>
            <w:tcW w:w="2070" w:type="dxa"/>
            <w:vAlign w:val="center"/>
          </w:tcPr>
          <w:p w14:paraId="5AF5D348" w14:textId="726F27A1" w:rsidR="007E40BE" w:rsidRPr="00BD6549" w:rsidRDefault="007E40BE" w:rsidP="00BD6549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D6549">
              <w:rPr>
                <w:rFonts w:eastAsia="Times New Roman" w:cs="Times New Roman"/>
                <w:sz w:val="22"/>
              </w:rPr>
              <w:t>89.43</w:t>
            </w:r>
          </w:p>
        </w:tc>
      </w:tr>
      <w:tr w:rsidR="007E40BE" w:rsidRPr="00BD6549" w14:paraId="694ADDA5" w14:textId="77777777" w:rsidTr="007E40BE">
        <w:trPr>
          <w:trHeight w:val="440"/>
          <w:jc w:val="center"/>
        </w:trPr>
        <w:tc>
          <w:tcPr>
            <w:tcW w:w="1620" w:type="dxa"/>
            <w:vAlign w:val="center"/>
          </w:tcPr>
          <w:p w14:paraId="4BFB30D5" w14:textId="77777777" w:rsidR="007E40BE" w:rsidRPr="00BD6549" w:rsidRDefault="007E40BE" w:rsidP="00BD6549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D6549">
              <w:rPr>
                <w:rFonts w:eastAsia="Times New Roman" w:cs="Times New Roman"/>
                <w:sz w:val="22"/>
              </w:rPr>
              <w:t>5S3</w:t>
            </w:r>
          </w:p>
        </w:tc>
        <w:tc>
          <w:tcPr>
            <w:tcW w:w="5215" w:type="dxa"/>
            <w:vAlign w:val="center"/>
          </w:tcPr>
          <w:p w14:paraId="7E8D2E8C" w14:textId="77777777" w:rsidR="007E40BE" w:rsidRPr="00BD6549" w:rsidRDefault="007E40BE" w:rsidP="00BD6549">
            <w:pPr>
              <w:snapToGri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BD6549">
              <w:rPr>
                <w:rFonts w:eastAsia="Times New Roman" w:cs="Times New Roman"/>
                <w:sz w:val="22"/>
              </w:rPr>
              <w:t>Program Quality—Participated in Work-Based Learning</w:t>
            </w:r>
          </w:p>
        </w:tc>
        <w:tc>
          <w:tcPr>
            <w:tcW w:w="2070" w:type="dxa"/>
            <w:vAlign w:val="center"/>
          </w:tcPr>
          <w:p w14:paraId="093FA287" w14:textId="7B32A587" w:rsidR="007E40BE" w:rsidRPr="00BD6549" w:rsidRDefault="007E40BE" w:rsidP="00BD6549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D6549">
              <w:rPr>
                <w:rFonts w:eastAsia="Times New Roman" w:cs="Times New Roman"/>
                <w:sz w:val="22"/>
              </w:rPr>
              <w:t>33.91</w:t>
            </w:r>
          </w:p>
        </w:tc>
      </w:tr>
      <w:tr w:rsidR="007E40BE" w:rsidRPr="00BD6549" w14:paraId="455FA435" w14:textId="77777777" w:rsidTr="007E40BE">
        <w:trPr>
          <w:trHeight w:val="368"/>
          <w:jc w:val="center"/>
        </w:trPr>
        <w:tc>
          <w:tcPr>
            <w:tcW w:w="1620" w:type="dxa"/>
            <w:vAlign w:val="center"/>
          </w:tcPr>
          <w:p w14:paraId="78260384" w14:textId="77777777" w:rsidR="007E40BE" w:rsidRPr="00BD6549" w:rsidRDefault="007E40BE" w:rsidP="00BD6549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D6549">
              <w:rPr>
                <w:rFonts w:eastAsia="Times New Roman" w:cs="Times New Roman"/>
                <w:sz w:val="22"/>
              </w:rPr>
              <w:t>5S4</w:t>
            </w:r>
          </w:p>
        </w:tc>
        <w:tc>
          <w:tcPr>
            <w:tcW w:w="5215" w:type="dxa"/>
            <w:vAlign w:val="center"/>
          </w:tcPr>
          <w:p w14:paraId="6561D377" w14:textId="77777777" w:rsidR="007E40BE" w:rsidRPr="00BD6549" w:rsidRDefault="007E40BE" w:rsidP="00BD6549">
            <w:pPr>
              <w:snapToGri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BD6549">
              <w:rPr>
                <w:rFonts w:eastAsia="Times New Roman" w:cs="Times New Roman"/>
                <w:sz w:val="22"/>
              </w:rPr>
              <w:t>Program Quality—Technical Skills Attainment</w:t>
            </w:r>
          </w:p>
        </w:tc>
        <w:tc>
          <w:tcPr>
            <w:tcW w:w="2070" w:type="dxa"/>
            <w:vAlign w:val="center"/>
          </w:tcPr>
          <w:p w14:paraId="74FA6773" w14:textId="1FA7513E" w:rsidR="007E40BE" w:rsidRPr="00BD6549" w:rsidRDefault="007E40BE" w:rsidP="00BD6549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D6549">
              <w:rPr>
                <w:rFonts w:eastAsia="Times New Roman" w:cs="Times New Roman"/>
                <w:sz w:val="22"/>
              </w:rPr>
              <w:t>94.17</w:t>
            </w:r>
          </w:p>
        </w:tc>
      </w:tr>
    </w:tbl>
    <w:p w14:paraId="2AD859E3" w14:textId="77777777" w:rsidR="00E417AA" w:rsidRDefault="00E417AA" w:rsidP="002F30FE">
      <w:pPr>
        <w:spacing w:after="0" w:line="240" w:lineRule="auto"/>
        <w:rPr>
          <w:rFonts w:cs="Times New Roman"/>
          <w:sz w:val="22"/>
        </w:rPr>
      </w:pPr>
    </w:p>
    <w:p w14:paraId="23F12C23" w14:textId="75F24E39" w:rsidR="00FD58E3" w:rsidRPr="00EA7079" w:rsidRDefault="00EA7079" w:rsidP="002F30FE">
      <w:pPr>
        <w:spacing w:after="0" w:line="240" w:lineRule="auto"/>
        <w:rPr>
          <w:rFonts w:cs="Times New Roman"/>
          <w:szCs w:val="24"/>
        </w:rPr>
      </w:pPr>
      <w:r w:rsidRPr="00EA7079">
        <w:rPr>
          <w:rFonts w:cs="Times New Roman"/>
          <w:szCs w:val="24"/>
        </w:rPr>
        <w:t>Proposed Postsecondary SDPLs:</w:t>
      </w:r>
    </w:p>
    <w:p w14:paraId="0F6EE099" w14:textId="77777777" w:rsidR="00EA7079" w:rsidRPr="00BD6549" w:rsidRDefault="00EA7079" w:rsidP="002F30FE">
      <w:pPr>
        <w:spacing w:after="0" w:line="240" w:lineRule="auto"/>
        <w:rPr>
          <w:rFonts w:cs="Times New Roman"/>
          <w:sz w:val="22"/>
        </w:rPr>
      </w:pPr>
    </w:p>
    <w:tbl>
      <w:tblPr>
        <w:tblW w:w="8910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5220"/>
        <w:gridCol w:w="2070"/>
      </w:tblGrid>
      <w:tr w:rsidR="00BD6549" w:rsidRPr="00BD6549" w14:paraId="239EB3B4" w14:textId="77777777" w:rsidTr="008E7645">
        <w:trPr>
          <w:trHeight w:val="727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DFAFDB" w14:textId="0579B910" w:rsidR="00BD6549" w:rsidRPr="00BD6549" w:rsidRDefault="00BD6549" w:rsidP="00BD654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BD6549">
              <w:rPr>
                <w:rFonts w:eastAsia="Times New Roman" w:cs="Times New Roman"/>
                <w:b/>
                <w:sz w:val="22"/>
              </w:rPr>
              <w:t>Core Indicator Code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F26D39" w14:textId="7B2581E0" w:rsidR="00BD6549" w:rsidRPr="00BD6549" w:rsidRDefault="00BD6549" w:rsidP="00BD6549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BD6549">
              <w:rPr>
                <w:rFonts w:eastAsia="Times New Roman" w:cs="Times New Roman"/>
                <w:b/>
                <w:sz w:val="22"/>
              </w:rPr>
              <w:t xml:space="preserve">Postsecondary </w:t>
            </w:r>
          </w:p>
          <w:p w14:paraId="6A7C13AE" w14:textId="72551452" w:rsidR="00BD6549" w:rsidRPr="00BD6549" w:rsidRDefault="00BD6549" w:rsidP="00BD654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BD6549">
              <w:rPr>
                <w:rFonts w:eastAsia="Times New Roman" w:cs="Times New Roman"/>
                <w:b/>
                <w:sz w:val="22"/>
              </w:rPr>
              <w:t>Core Indicator of Performance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65A7B7" w14:textId="77777777" w:rsidR="00BD6549" w:rsidRDefault="00BD6549" w:rsidP="00BD654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BD6549">
              <w:rPr>
                <w:rFonts w:eastAsia="Times New Roman" w:cs="Times New Roman"/>
                <w:b/>
                <w:sz w:val="22"/>
              </w:rPr>
              <w:t>State Determined Performance Level</w:t>
            </w:r>
          </w:p>
          <w:p w14:paraId="350BE00A" w14:textId="1BDFDB71" w:rsidR="00A23E97" w:rsidRPr="00BD6549" w:rsidRDefault="00A23E97" w:rsidP="00BD654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2024-2025 (%)</w:t>
            </w:r>
          </w:p>
        </w:tc>
      </w:tr>
      <w:tr w:rsidR="00BD6549" w:rsidRPr="00BD6549" w14:paraId="56C8A212" w14:textId="77777777" w:rsidTr="008E7645">
        <w:trPr>
          <w:trHeight w:val="43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0D297" w14:textId="77777777" w:rsidR="00BD6549" w:rsidRPr="00BD6549" w:rsidRDefault="00BD6549" w:rsidP="00BD6549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D6549">
              <w:rPr>
                <w:rFonts w:eastAsia="Times New Roman" w:cs="Times New Roman"/>
                <w:sz w:val="22"/>
              </w:rPr>
              <w:t>1P1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7BA84D" w14:textId="77777777" w:rsidR="00BD6549" w:rsidRPr="00BD6549" w:rsidRDefault="00BD6549" w:rsidP="00BD6549">
            <w:pPr>
              <w:snapToGri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BD6549">
              <w:rPr>
                <w:rFonts w:eastAsia="Times New Roman" w:cs="Times New Roman"/>
                <w:sz w:val="22"/>
              </w:rPr>
              <w:t xml:space="preserve"> Post-Program Placement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F4435A" w14:textId="32D1C1EB" w:rsidR="00BD6549" w:rsidRPr="00BD6549" w:rsidRDefault="00BD6549" w:rsidP="00BD6549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D6549">
              <w:rPr>
                <w:rFonts w:eastAsia="Times New Roman" w:cs="Times New Roman"/>
                <w:sz w:val="22"/>
              </w:rPr>
              <w:t>79.8</w:t>
            </w:r>
            <w:r w:rsidR="009A2B2D">
              <w:rPr>
                <w:rFonts w:eastAsia="Times New Roman" w:cs="Times New Roman"/>
                <w:sz w:val="22"/>
              </w:rPr>
              <w:t>0</w:t>
            </w:r>
          </w:p>
        </w:tc>
      </w:tr>
      <w:tr w:rsidR="00BD6549" w:rsidRPr="00BD6549" w14:paraId="0F7B6318" w14:textId="77777777" w:rsidTr="008E7645">
        <w:trPr>
          <w:trHeight w:val="43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FE663A" w14:textId="77777777" w:rsidR="00BD6549" w:rsidRPr="00BD6549" w:rsidRDefault="00BD6549" w:rsidP="00BD6549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D6549">
              <w:rPr>
                <w:rFonts w:eastAsia="Times New Roman" w:cs="Times New Roman"/>
                <w:sz w:val="22"/>
              </w:rPr>
              <w:t>2P1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4A92B" w14:textId="77777777" w:rsidR="00BD6549" w:rsidRPr="00BD6549" w:rsidRDefault="00BD6549" w:rsidP="00BD6549">
            <w:pPr>
              <w:snapToGri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BD6549">
              <w:rPr>
                <w:rFonts w:eastAsia="Times New Roman" w:cs="Times New Roman"/>
                <w:sz w:val="22"/>
              </w:rPr>
              <w:t xml:space="preserve"> Earned Recognized Postsecondary Credential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FAB841" w14:textId="34092273" w:rsidR="00BD6549" w:rsidRPr="00BD6549" w:rsidRDefault="00BD6549" w:rsidP="00BD6549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D6549">
              <w:rPr>
                <w:rFonts w:eastAsia="Times New Roman" w:cs="Times New Roman"/>
                <w:sz w:val="22"/>
              </w:rPr>
              <w:t>47.2</w:t>
            </w:r>
            <w:r w:rsidR="009A2B2D">
              <w:rPr>
                <w:rFonts w:eastAsia="Times New Roman" w:cs="Times New Roman"/>
                <w:sz w:val="22"/>
              </w:rPr>
              <w:t>0</w:t>
            </w:r>
          </w:p>
        </w:tc>
      </w:tr>
      <w:tr w:rsidR="00BD6549" w:rsidRPr="00BD6549" w14:paraId="30C72898" w14:textId="77777777" w:rsidTr="008E7645">
        <w:trPr>
          <w:trHeight w:val="52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953C28" w14:textId="77777777" w:rsidR="00BD6549" w:rsidRPr="00BD6549" w:rsidRDefault="00BD6549" w:rsidP="00BD6549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D6549">
              <w:rPr>
                <w:rFonts w:eastAsia="Times New Roman" w:cs="Times New Roman"/>
                <w:sz w:val="22"/>
              </w:rPr>
              <w:t>3P1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3172FD" w14:textId="33B9B77D" w:rsidR="00BD6549" w:rsidRPr="00BD6549" w:rsidRDefault="00BD6549" w:rsidP="00BD6549">
            <w:pPr>
              <w:snapToGri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BD6549">
              <w:rPr>
                <w:rFonts w:eastAsia="Times New Roman" w:cs="Times New Roman"/>
                <w:sz w:val="22"/>
              </w:rPr>
              <w:t xml:space="preserve"> Non</w:t>
            </w:r>
            <w:r w:rsidR="00A23E97">
              <w:rPr>
                <w:rFonts w:eastAsia="Times New Roman" w:cs="Times New Roman"/>
                <w:sz w:val="22"/>
              </w:rPr>
              <w:t>t</w:t>
            </w:r>
            <w:r w:rsidRPr="00BD6549">
              <w:rPr>
                <w:rFonts w:eastAsia="Times New Roman" w:cs="Times New Roman"/>
                <w:sz w:val="22"/>
              </w:rPr>
              <w:t>raditional Program Concentration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155769" w14:textId="5D7B5397" w:rsidR="00BD6549" w:rsidRPr="00BD6549" w:rsidRDefault="00BD6549" w:rsidP="00BD6549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D6549">
              <w:rPr>
                <w:rFonts w:eastAsia="Times New Roman" w:cs="Times New Roman"/>
                <w:sz w:val="22"/>
              </w:rPr>
              <w:t>17.6</w:t>
            </w:r>
            <w:r w:rsidR="009A2B2D">
              <w:rPr>
                <w:rFonts w:eastAsia="Times New Roman" w:cs="Times New Roman"/>
                <w:sz w:val="22"/>
              </w:rPr>
              <w:t>0</w:t>
            </w:r>
          </w:p>
        </w:tc>
      </w:tr>
    </w:tbl>
    <w:p w14:paraId="3463EBFC" w14:textId="77777777" w:rsidR="00A41041" w:rsidRPr="00930927" w:rsidRDefault="00A41041" w:rsidP="002F30FE">
      <w:pPr>
        <w:spacing w:after="0" w:line="240" w:lineRule="auto"/>
        <w:rPr>
          <w:szCs w:val="24"/>
        </w:rPr>
      </w:pPr>
    </w:p>
    <w:p w14:paraId="7860E7A1" w14:textId="74AF9B33" w:rsidR="00A41041" w:rsidRDefault="00A41041" w:rsidP="002F30FE">
      <w:pPr>
        <w:spacing w:after="0" w:line="240" w:lineRule="auto"/>
        <w:rPr>
          <w:szCs w:val="24"/>
        </w:rPr>
      </w:pPr>
      <w:r w:rsidRPr="00930927">
        <w:rPr>
          <w:szCs w:val="24"/>
        </w:rPr>
        <w:t xml:space="preserve">Public comments regarding the </w:t>
      </w:r>
      <w:r w:rsidR="008E7645">
        <w:rPr>
          <w:szCs w:val="24"/>
        </w:rPr>
        <w:t>2024-</w:t>
      </w:r>
      <w:r w:rsidR="00A23E97">
        <w:rPr>
          <w:szCs w:val="24"/>
        </w:rPr>
        <w:t>20</w:t>
      </w:r>
      <w:r w:rsidR="008E7645">
        <w:rPr>
          <w:szCs w:val="24"/>
        </w:rPr>
        <w:t xml:space="preserve">25 </w:t>
      </w:r>
      <w:r w:rsidR="008E7645">
        <w:t xml:space="preserve">SDPLs </w:t>
      </w:r>
      <w:r w:rsidRPr="00930927">
        <w:rPr>
          <w:szCs w:val="24"/>
        </w:rPr>
        <w:t xml:space="preserve">will be received at </w:t>
      </w:r>
      <w:hyperlink r:id="rId6" w:history="1">
        <w:r w:rsidRPr="00930927">
          <w:rPr>
            <w:rStyle w:val="Hyperlink"/>
            <w:szCs w:val="24"/>
          </w:rPr>
          <w:t>cte@doe.virginia.gov</w:t>
        </w:r>
      </w:hyperlink>
      <w:r w:rsidR="006571D7">
        <w:rPr>
          <w:szCs w:val="24"/>
        </w:rPr>
        <w:t xml:space="preserve"> </w:t>
      </w:r>
      <w:r w:rsidR="008E7645">
        <w:rPr>
          <w:szCs w:val="24"/>
        </w:rPr>
        <w:t xml:space="preserve">until </w:t>
      </w:r>
      <w:r w:rsidR="00852D47">
        <w:rPr>
          <w:szCs w:val="24"/>
        </w:rPr>
        <w:t>September 20</w:t>
      </w:r>
      <w:r w:rsidR="008E7645">
        <w:rPr>
          <w:szCs w:val="24"/>
        </w:rPr>
        <w:t>, 2024</w:t>
      </w:r>
      <w:r w:rsidRPr="0085193E">
        <w:rPr>
          <w:szCs w:val="24"/>
        </w:rPr>
        <w:t>.</w:t>
      </w:r>
    </w:p>
    <w:p w14:paraId="38A2F776" w14:textId="77777777" w:rsidR="00A41041" w:rsidRPr="00930927" w:rsidRDefault="00A41041" w:rsidP="002F30FE">
      <w:pPr>
        <w:spacing w:after="0" w:line="240" w:lineRule="auto"/>
        <w:rPr>
          <w:szCs w:val="24"/>
        </w:rPr>
      </w:pPr>
    </w:p>
    <w:p w14:paraId="0D48993E" w14:textId="02855796" w:rsidR="001F0AD3" w:rsidRPr="00912B2D" w:rsidRDefault="006571D7">
      <w:pPr>
        <w:rPr>
          <w:color w:val="000000"/>
          <w:szCs w:val="24"/>
        </w:rPr>
      </w:pPr>
      <w:r w:rsidRPr="006571D7">
        <w:rPr>
          <w:color w:val="000000"/>
          <w:szCs w:val="24"/>
        </w:rPr>
        <w:t>JAW/</w:t>
      </w:r>
      <w:proofErr w:type="spellStart"/>
      <w:r w:rsidRPr="006571D7">
        <w:rPr>
          <w:color w:val="000000"/>
          <w:szCs w:val="24"/>
        </w:rPr>
        <w:t>jts</w:t>
      </w:r>
      <w:proofErr w:type="spellEnd"/>
    </w:p>
    <w:sectPr w:rsidR="001F0AD3" w:rsidRPr="00912B2D" w:rsidSect="00912B2D">
      <w:footerReference w:type="default" r:id="rId7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5ECF4" w14:textId="77777777" w:rsidR="000C2D4C" w:rsidRDefault="000C2D4C" w:rsidP="009A2B2D">
      <w:pPr>
        <w:spacing w:after="0" w:line="240" w:lineRule="auto"/>
      </w:pPr>
      <w:r>
        <w:separator/>
      </w:r>
    </w:p>
  </w:endnote>
  <w:endnote w:type="continuationSeparator" w:id="0">
    <w:p w14:paraId="13B672D4" w14:textId="77777777" w:rsidR="000C2D4C" w:rsidRDefault="000C2D4C" w:rsidP="009A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49251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F92272" w14:textId="344609E2" w:rsidR="009A2B2D" w:rsidRDefault="009A2B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D0D9E" w14:textId="77777777" w:rsidR="009A2B2D" w:rsidRDefault="009A2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02D1A" w14:textId="77777777" w:rsidR="000C2D4C" w:rsidRDefault="000C2D4C" w:rsidP="009A2B2D">
      <w:pPr>
        <w:spacing w:after="0" w:line="240" w:lineRule="auto"/>
      </w:pPr>
      <w:r>
        <w:separator/>
      </w:r>
    </w:p>
  </w:footnote>
  <w:footnote w:type="continuationSeparator" w:id="0">
    <w:p w14:paraId="20BDABCC" w14:textId="77777777" w:rsidR="000C2D4C" w:rsidRDefault="000C2D4C" w:rsidP="009A2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0FE"/>
    <w:rsid w:val="0002664A"/>
    <w:rsid w:val="000C2D4C"/>
    <w:rsid w:val="00125516"/>
    <w:rsid w:val="00152B5C"/>
    <w:rsid w:val="001643F7"/>
    <w:rsid w:val="001915B3"/>
    <w:rsid w:val="001B7F1E"/>
    <w:rsid w:val="001C2140"/>
    <w:rsid w:val="001D6179"/>
    <w:rsid w:val="001F0AD3"/>
    <w:rsid w:val="00211D98"/>
    <w:rsid w:val="00220AD1"/>
    <w:rsid w:val="00287A65"/>
    <w:rsid w:val="00287F28"/>
    <w:rsid w:val="002D4461"/>
    <w:rsid w:val="002F30FE"/>
    <w:rsid w:val="00343EB4"/>
    <w:rsid w:val="00351F72"/>
    <w:rsid w:val="00371046"/>
    <w:rsid w:val="00380085"/>
    <w:rsid w:val="0042585F"/>
    <w:rsid w:val="0045624A"/>
    <w:rsid w:val="004D6393"/>
    <w:rsid w:val="00502CCB"/>
    <w:rsid w:val="00566D76"/>
    <w:rsid w:val="005C52D9"/>
    <w:rsid w:val="005D5B49"/>
    <w:rsid w:val="006053FE"/>
    <w:rsid w:val="00605853"/>
    <w:rsid w:val="006571D7"/>
    <w:rsid w:val="007678F8"/>
    <w:rsid w:val="007E40BE"/>
    <w:rsid w:val="0085193E"/>
    <w:rsid w:val="00852D47"/>
    <w:rsid w:val="00886913"/>
    <w:rsid w:val="008E7645"/>
    <w:rsid w:val="00912B2D"/>
    <w:rsid w:val="00930927"/>
    <w:rsid w:val="00972844"/>
    <w:rsid w:val="009A2B2D"/>
    <w:rsid w:val="009A3F47"/>
    <w:rsid w:val="00A23E97"/>
    <w:rsid w:val="00A41041"/>
    <w:rsid w:val="00BA2AB9"/>
    <w:rsid w:val="00BD6549"/>
    <w:rsid w:val="00C21BEA"/>
    <w:rsid w:val="00C5337E"/>
    <w:rsid w:val="00C53D0A"/>
    <w:rsid w:val="00C6161F"/>
    <w:rsid w:val="00CA5FE8"/>
    <w:rsid w:val="00D92E8A"/>
    <w:rsid w:val="00DD7879"/>
    <w:rsid w:val="00E417AA"/>
    <w:rsid w:val="00E7350D"/>
    <w:rsid w:val="00E83116"/>
    <w:rsid w:val="00EA7079"/>
    <w:rsid w:val="00F0292A"/>
    <w:rsid w:val="00F17CA5"/>
    <w:rsid w:val="00F31338"/>
    <w:rsid w:val="00F56242"/>
    <w:rsid w:val="00FD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80A80"/>
  <w15:chartTrackingRefBased/>
  <w15:docId w15:val="{6CC07410-B85B-4F2A-868A-80FBB488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0FE"/>
    <w:pPr>
      <w:spacing w:after="200" w:line="276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30FE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0FE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0FE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F30FE"/>
    <w:rPr>
      <w:rFonts w:ascii="Times New Roman" w:hAnsi="Times New Roman"/>
      <w:b/>
      <w:sz w:val="24"/>
    </w:rPr>
  </w:style>
  <w:style w:type="character" w:styleId="Strong">
    <w:name w:val="Strong"/>
    <w:basedOn w:val="DefaultParagraphFont"/>
    <w:uiPriority w:val="22"/>
    <w:rsid w:val="002F30F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F30F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F30FE"/>
    <w:rPr>
      <w:color w:val="0563C1" w:themeColor="hyperlink"/>
      <w:u w:val="single"/>
    </w:rPr>
  </w:style>
  <w:style w:type="paragraph" w:customStyle="1" w:styleId="Default">
    <w:name w:val="Default"/>
    <w:rsid w:val="002F3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4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E8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8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2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B2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2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B2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te@doe.virginia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CTE Directors Memo 152-20</vt:lpstr>
    </vt:vector>
  </TitlesOfParts>
  <Company>Virginia IT Infrastructure Partnership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Directors Memo 152-20</dc:title>
  <dc:subject/>
  <dc:creator>Hatch, William (DOE)</dc:creator>
  <cp:keywords/>
  <dc:description/>
  <cp:lastModifiedBy>Robbins, Ashley (DOE)</cp:lastModifiedBy>
  <cp:revision>2</cp:revision>
  <cp:lastPrinted>2024-09-05T16:41:00Z</cp:lastPrinted>
  <dcterms:created xsi:type="dcterms:W3CDTF">2024-09-30T19:34:00Z</dcterms:created>
  <dcterms:modified xsi:type="dcterms:W3CDTF">2024-09-30T19:34:00Z</dcterms:modified>
</cp:coreProperties>
</file>