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E158F" w14:textId="5717205E" w:rsidR="00167950" w:rsidRPr="00D534B4" w:rsidRDefault="00C24D60" w:rsidP="00167950">
      <w:pPr>
        <w:pStyle w:val="Heading1"/>
        <w:tabs>
          <w:tab w:val="left" w:pos="1440"/>
        </w:tabs>
      </w:pPr>
      <w:r>
        <w:t>S</w:t>
      </w:r>
      <w:r w:rsidR="00BE15FB">
        <w:t>C</w:t>
      </w:r>
      <w:r>
        <w:t xml:space="preserve">NP </w:t>
      </w:r>
      <w:r w:rsidR="00167950">
        <w:t>Memo #</w:t>
      </w:r>
      <w:r w:rsidR="00FD2088">
        <w:t>202</w:t>
      </w:r>
      <w:r w:rsidR="00611CB0">
        <w:t>4</w:t>
      </w:r>
      <w:r w:rsidR="00FD2088">
        <w:t>-202</w:t>
      </w:r>
      <w:r w:rsidR="00611CB0">
        <w:t>5</w:t>
      </w:r>
      <w:r w:rsidR="00FD2088">
        <w:t>-</w:t>
      </w:r>
      <w:r w:rsidR="007F26A2">
        <w:t>06</w:t>
      </w:r>
    </w:p>
    <w:p w14:paraId="3DDDD6CE" w14:textId="77777777" w:rsidR="00167950" w:rsidRDefault="00167950" w:rsidP="00167950">
      <w:pPr>
        <w:jc w:val="center"/>
      </w:pPr>
      <w:r>
        <w:rPr>
          <w:noProof/>
        </w:rPr>
        <w:drawing>
          <wp:inline distT="0" distB="0" distL="0" distR="0" wp14:anchorId="536341C9" wp14:editId="21DFA6B8">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02867E19" w14:textId="61F21EDD" w:rsidR="00167950" w:rsidRPr="00A65EE6" w:rsidRDefault="00167950" w:rsidP="00167950">
      <w:r w:rsidRPr="00A65EE6">
        <w:t>DATE:</w:t>
      </w:r>
      <w:r w:rsidR="00336A7C">
        <w:t xml:space="preserve"> </w:t>
      </w:r>
      <w:r w:rsidR="006B7BAE">
        <w:t xml:space="preserve">August </w:t>
      </w:r>
      <w:r w:rsidR="00BE15FB">
        <w:t>8</w:t>
      </w:r>
      <w:r w:rsidR="00831165">
        <w:t>, 2024</w:t>
      </w:r>
    </w:p>
    <w:p w14:paraId="7CA02FB6" w14:textId="77777777" w:rsidR="00167950" w:rsidRPr="00A65EE6" w:rsidRDefault="00167950" w:rsidP="00167950">
      <w:r w:rsidRPr="00A65EE6">
        <w:t xml:space="preserve">TO: </w:t>
      </w:r>
      <w:r w:rsidR="003D79AA">
        <w:t>Directors, Supervisors, and Contact Persons Addressed</w:t>
      </w:r>
    </w:p>
    <w:p w14:paraId="285366E3" w14:textId="017ABA43"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w:t>
      </w:r>
      <w:r w:rsidR="00855F76">
        <w:rPr>
          <w:b/>
          <w:i/>
          <w:color w:val="000000"/>
          <w:szCs w:val="24"/>
        </w:rPr>
        <w:t>dy</w:t>
      </w:r>
    </w:p>
    <w:p w14:paraId="4220F44E" w14:textId="4EFFF63D" w:rsidR="003F7108" w:rsidRPr="00906141" w:rsidRDefault="00D2218A" w:rsidP="003F7108">
      <w:pPr>
        <w:pStyle w:val="Heading2"/>
        <w:rPr>
          <w:sz w:val="32"/>
          <w:szCs w:val="32"/>
        </w:rPr>
      </w:pPr>
      <w:r w:rsidRPr="00906141">
        <w:rPr>
          <w:sz w:val="32"/>
          <w:szCs w:val="32"/>
        </w:rPr>
        <w:t xml:space="preserve">SUBJECT: </w:t>
      </w:r>
      <w:r w:rsidR="00BB2AC3" w:rsidRPr="00906141">
        <w:rPr>
          <w:sz w:val="32"/>
          <w:szCs w:val="32"/>
        </w:rPr>
        <w:t>School Year</w:t>
      </w:r>
      <w:r w:rsidR="005F1B7C" w:rsidRPr="00906141">
        <w:rPr>
          <w:sz w:val="32"/>
          <w:szCs w:val="32"/>
        </w:rPr>
        <w:t xml:space="preserve"> 2024</w:t>
      </w:r>
      <w:r w:rsidR="00341F5A">
        <w:rPr>
          <w:rFonts w:cs="Times New Roman"/>
          <w:sz w:val="32"/>
          <w:szCs w:val="32"/>
        </w:rPr>
        <w:t>–</w:t>
      </w:r>
      <w:r w:rsidR="005F1B7C" w:rsidRPr="00906141">
        <w:rPr>
          <w:sz w:val="32"/>
          <w:szCs w:val="32"/>
        </w:rPr>
        <w:t>2025 School Nutrition Program</w:t>
      </w:r>
      <w:r w:rsidR="00C46535" w:rsidRPr="00906141">
        <w:rPr>
          <w:sz w:val="32"/>
          <w:szCs w:val="32"/>
        </w:rPr>
        <w:t xml:space="preserve"> and Child and Adult Care</w:t>
      </w:r>
      <w:r w:rsidR="00995B8F" w:rsidRPr="00906141">
        <w:rPr>
          <w:sz w:val="32"/>
          <w:szCs w:val="32"/>
        </w:rPr>
        <w:t xml:space="preserve"> Food Program</w:t>
      </w:r>
      <w:r w:rsidR="005F1B7C" w:rsidRPr="00906141">
        <w:rPr>
          <w:sz w:val="32"/>
          <w:szCs w:val="32"/>
        </w:rPr>
        <w:t xml:space="preserve"> Reimbursement Rates</w:t>
      </w:r>
      <w:r w:rsidR="00BB2AC3" w:rsidRPr="00906141">
        <w:rPr>
          <w:sz w:val="32"/>
          <w:szCs w:val="32"/>
        </w:rPr>
        <w:t xml:space="preserve"> </w:t>
      </w:r>
      <w:r w:rsidR="005F1B7C" w:rsidRPr="00906141">
        <w:rPr>
          <w:sz w:val="32"/>
          <w:szCs w:val="32"/>
        </w:rPr>
        <w:t xml:space="preserve">and </w:t>
      </w:r>
      <w:r w:rsidR="00CD1662" w:rsidRPr="00906141">
        <w:rPr>
          <w:sz w:val="32"/>
          <w:szCs w:val="32"/>
        </w:rPr>
        <w:t xml:space="preserve">Increased </w:t>
      </w:r>
      <w:r w:rsidR="00A84C2E" w:rsidRPr="00906141">
        <w:rPr>
          <w:sz w:val="32"/>
          <w:szCs w:val="32"/>
        </w:rPr>
        <w:t>Fiscal Year 202</w:t>
      </w:r>
      <w:r w:rsidR="00165BDC" w:rsidRPr="00906141">
        <w:rPr>
          <w:sz w:val="32"/>
          <w:szCs w:val="32"/>
        </w:rPr>
        <w:t>5</w:t>
      </w:r>
      <w:r w:rsidR="00341F5A">
        <w:rPr>
          <w:rFonts w:cs="Times New Roman"/>
          <w:sz w:val="32"/>
          <w:szCs w:val="32"/>
        </w:rPr>
        <w:t>–</w:t>
      </w:r>
      <w:r w:rsidR="00A84C2E" w:rsidRPr="00906141">
        <w:rPr>
          <w:sz w:val="32"/>
          <w:szCs w:val="32"/>
        </w:rPr>
        <w:t>2026 State Funding for Breakfast Incentive Payments</w:t>
      </w:r>
    </w:p>
    <w:p w14:paraId="22783F95" w14:textId="2604937D" w:rsidR="006A17F2" w:rsidRPr="004D43FE" w:rsidRDefault="006A17F2" w:rsidP="00906141">
      <w:pPr>
        <w:pStyle w:val="Heading3"/>
        <w:rPr>
          <w:szCs w:val="24"/>
        </w:rPr>
      </w:pPr>
      <w:r w:rsidRPr="00906141">
        <w:rPr>
          <w:sz w:val="24"/>
          <w:szCs w:val="24"/>
        </w:rPr>
        <w:t>School Year 2024</w:t>
      </w:r>
      <w:r w:rsidR="00341F5A">
        <w:rPr>
          <w:rFonts w:cs="Times New Roman"/>
          <w:sz w:val="24"/>
          <w:szCs w:val="24"/>
        </w:rPr>
        <w:t>–</w:t>
      </w:r>
      <w:r w:rsidRPr="00906141">
        <w:rPr>
          <w:sz w:val="24"/>
          <w:szCs w:val="24"/>
        </w:rPr>
        <w:t>2025 Reimbursement Rates</w:t>
      </w:r>
    </w:p>
    <w:p w14:paraId="72C78593" w14:textId="14FBD16B" w:rsidR="0062171E" w:rsidRPr="008901C1" w:rsidRDefault="009E76B6" w:rsidP="008901C1">
      <w:pPr>
        <w:rPr>
          <w:rFonts w:cs="Times New Roman"/>
          <w:color w:val="000000"/>
          <w:szCs w:val="24"/>
        </w:rPr>
      </w:pPr>
      <w:r w:rsidRPr="008901C1">
        <w:rPr>
          <w:rFonts w:cs="Times New Roman"/>
          <w:szCs w:val="24"/>
        </w:rPr>
        <w:t xml:space="preserve">The chart below details the federal reimbursement rates for school </w:t>
      </w:r>
      <w:r w:rsidR="00B71ECF" w:rsidRPr="008901C1">
        <w:rPr>
          <w:rFonts w:cs="Times New Roman"/>
          <w:szCs w:val="24"/>
        </w:rPr>
        <w:t>year 2024</w:t>
      </w:r>
      <w:r w:rsidR="006B7BAE">
        <w:rPr>
          <w:rFonts w:cs="Times New Roman"/>
          <w:szCs w:val="24"/>
        </w:rPr>
        <w:t>–</w:t>
      </w:r>
      <w:r w:rsidR="00B71ECF" w:rsidRPr="008901C1">
        <w:rPr>
          <w:rFonts w:cs="Times New Roman"/>
          <w:szCs w:val="24"/>
        </w:rPr>
        <w:t xml:space="preserve">2025 for </w:t>
      </w:r>
      <w:r w:rsidR="007D7226" w:rsidRPr="008901C1">
        <w:rPr>
          <w:rFonts w:cs="Times New Roman"/>
          <w:color w:val="000000"/>
          <w:szCs w:val="24"/>
        </w:rPr>
        <w:t>the National School Lunch Program (NSLP), the School Breakfast Program (SBP), the Afterschool Snack Program (ASP), the Special Milk Program (SMP)</w:t>
      </w:r>
      <w:r w:rsidR="00C46535">
        <w:rPr>
          <w:rFonts w:cs="Times New Roman"/>
          <w:color w:val="000000"/>
          <w:szCs w:val="24"/>
        </w:rPr>
        <w:t>, and the</w:t>
      </w:r>
      <w:r w:rsidR="00995B8F">
        <w:rPr>
          <w:rFonts w:cs="Times New Roman"/>
          <w:color w:val="000000"/>
          <w:szCs w:val="24"/>
        </w:rPr>
        <w:t xml:space="preserve"> </w:t>
      </w:r>
      <w:r w:rsidR="00A82D61" w:rsidRPr="00A530FA">
        <w:rPr>
          <w:szCs w:val="24"/>
        </w:rPr>
        <w:t xml:space="preserve">At-Risk </w:t>
      </w:r>
      <w:r w:rsidR="00995B8F">
        <w:rPr>
          <w:rFonts w:cs="Times New Roman"/>
          <w:color w:val="000000"/>
          <w:szCs w:val="24"/>
        </w:rPr>
        <w:t xml:space="preserve">Child and Adult Care Food </w:t>
      </w:r>
      <w:r w:rsidR="00995B8F" w:rsidRPr="00995B8F">
        <w:rPr>
          <w:rFonts w:cs="Times New Roman"/>
          <w:szCs w:val="24"/>
        </w:rPr>
        <w:t>Program</w:t>
      </w:r>
      <w:r w:rsidR="00C46535" w:rsidRPr="00995B8F">
        <w:rPr>
          <w:rFonts w:cs="Times New Roman"/>
          <w:szCs w:val="24"/>
        </w:rPr>
        <w:t xml:space="preserve"> </w:t>
      </w:r>
      <w:r w:rsidR="00995B8F" w:rsidRPr="00995B8F">
        <w:rPr>
          <w:rFonts w:cs="Times New Roman"/>
          <w:szCs w:val="24"/>
        </w:rPr>
        <w:t>(</w:t>
      </w:r>
      <w:r w:rsidR="00C46535" w:rsidRPr="00995B8F">
        <w:rPr>
          <w:rFonts w:cs="Times New Roman"/>
          <w:szCs w:val="24"/>
        </w:rPr>
        <w:t>CACFP</w:t>
      </w:r>
      <w:r w:rsidR="00995B8F" w:rsidRPr="00995B8F">
        <w:rPr>
          <w:rFonts w:cs="Times New Roman"/>
          <w:szCs w:val="24"/>
        </w:rPr>
        <w:t>)</w:t>
      </w:r>
      <w:r w:rsidR="007D7226" w:rsidRPr="00995B8F">
        <w:rPr>
          <w:rFonts w:cs="Times New Roman"/>
          <w:szCs w:val="24"/>
        </w:rPr>
        <w:t xml:space="preserve">. </w:t>
      </w:r>
      <w:r w:rsidR="007D7226" w:rsidRPr="008901C1">
        <w:rPr>
          <w:rFonts w:cs="Times New Roman"/>
          <w:color w:val="000000"/>
          <w:szCs w:val="24"/>
        </w:rPr>
        <w:t xml:space="preserve">The rates are updated </w:t>
      </w:r>
      <w:r w:rsidR="006B7BAE">
        <w:rPr>
          <w:rFonts w:cs="Times New Roman"/>
          <w:color w:val="000000"/>
          <w:szCs w:val="24"/>
        </w:rPr>
        <w:t>annually</w:t>
      </w:r>
      <w:r w:rsidR="007D7226" w:rsidRPr="008901C1">
        <w:rPr>
          <w:rFonts w:cs="Times New Roman"/>
          <w:color w:val="000000"/>
          <w:szCs w:val="24"/>
        </w:rPr>
        <w:t xml:space="preserve"> and are effective July 1, 202</w:t>
      </w:r>
      <w:r w:rsidR="00071047" w:rsidRPr="008901C1">
        <w:rPr>
          <w:rFonts w:cs="Times New Roman"/>
          <w:color w:val="000000"/>
          <w:szCs w:val="24"/>
        </w:rPr>
        <w:t>4</w:t>
      </w:r>
      <w:r w:rsidR="007D7226" w:rsidRPr="008901C1">
        <w:rPr>
          <w:rFonts w:cs="Times New Roman"/>
          <w:color w:val="000000"/>
          <w:szCs w:val="24"/>
        </w:rPr>
        <w:t>–June 30, 202</w:t>
      </w:r>
      <w:r w:rsidR="00071047" w:rsidRPr="008901C1">
        <w:rPr>
          <w:rFonts w:cs="Times New Roman"/>
          <w:color w:val="000000"/>
          <w:szCs w:val="24"/>
        </w:rPr>
        <w:t>5</w:t>
      </w:r>
      <w:r w:rsidR="007D7226" w:rsidRPr="008901C1">
        <w:rPr>
          <w:rFonts w:cs="Times New Roman"/>
          <w:color w:val="000000"/>
          <w:szCs w:val="24"/>
        </w:rPr>
        <w:t>.</w:t>
      </w:r>
    </w:p>
    <w:tbl>
      <w:tblPr>
        <w:tblStyle w:val="TableGrid"/>
        <w:tblW w:w="9360" w:type="dxa"/>
        <w:tblInd w:w="-5" w:type="dxa"/>
        <w:tblLook w:val="04A0" w:firstRow="1" w:lastRow="0" w:firstColumn="1" w:lastColumn="0" w:noHBand="0" w:noVBand="1"/>
        <w:tblCaption w:val="SNP Reimbursement Rates effective July 1, 2022 to June 30, 2022"/>
        <w:tblDescription w:val="SNP Reimbursement Rates effective July 1, 2022, to June 30, 2022"/>
      </w:tblPr>
      <w:tblGrid>
        <w:gridCol w:w="1530"/>
        <w:gridCol w:w="2885"/>
        <w:gridCol w:w="1060"/>
        <w:gridCol w:w="15"/>
        <w:gridCol w:w="1350"/>
        <w:gridCol w:w="2520"/>
      </w:tblGrid>
      <w:tr w:rsidR="00813589" w:rsidRPr="008901C1" w14:paraId="7B739786" w14:textId="77777777" w:rsidTr="00906141">
        <w:trPr>
          <w:trHeight w:val="315"/>
          <w:tblHeader/>
        </w:trPr>
        <w:tc>
          <w:tcPr>
            <w:tcW w:w="1530" w:type="dxa"/>
            <w:tcBorders>
              <w:bottom w:val="single" w:sz="4" w:space="0" w:color="auto"/>
            </w:tcBorders>
            <w:shd w:val="clear" w:color="auto" w:fill="F2F2F2" w:themeFill="background1" w:themeFillShade="F2"/>
            <w:noWrap/>
            <w:vAlign w:val="center"/>
            <w:hideMark/>
          </w:tcPr>
          <w:p w14:paraId="50D5AF00" w14:textId="77777777" w:rsidR="00813589" w:rsidRPr="008901C1" w:rsidRDefault="00813589" w:rsidP="008901C1">
            <w:pPr>
              <w:spacing w:line="276" w:lineRule="auto"/>
              <w:jc w:val="center"/>
              <w:rPr>
                <w:rFonts w:cs="Times New Roman"/>
                <w:b/>
                <w:color w:val="000000"/>
                <w:szCs w:val="24"/>
              </w:rPr>
            </w:pPr>
            <w:r w:rsidRPr="008901C1">
              <w:rPr>
                <w:rFonts w:cs="Times New Roman"/>
                <w:b/>
                <w:color w:val="000000"/>
                <w:szCs w:val="24"/>
              </w:rPr>
              <w:t>Meal Type</w:t>
            </w:r>
          </w:p>
        </w:tc>
        <w:tc>
          <w:tcPr>
            <w:tcW w:w="2885" w:type="dxa"/>
            <w:tcBorders>
              <w:bottom w:val="single" w:sz="4" w:space="0" w:color="auto"/>
            </w:tcBorders>
            <w:shd w:val="clear" w:color="auto" w:fill="F2F2F2" w:themeFill="background1" w:themeFillShade="F2"/>
            <w:noWrap/>
            <w:vAlign w:val="center"/>
            <w:hideMark/>
          </w:tcPr>
          <w:p w14:paraId="30A778AE" w14:textId="77777777" w:rsidR="00813589" w:rsidRPr="008901C1" w:rsidRDefault="00813589" w:rsidP="008901C1">
            <w:pPr>
              <w:spacing w:line="276" w:lineRule="auto"/>
              <w:jc w:val="center"/>
              <w:rPr>
                <w:rFonts w:cs="Times New Roman"/>
                <w:b/>
                <w:color w:val="000000"/>
                <w:szCs w:val="24"/>
              </w:rPr>
            </w:pPr>
            <w:r w:rsidRPr="008901C1">
              <w:rPr>
                <w:rFonts w:cs="Times New Roman"/>
                <w:b/>
                <w:color w:val="000000"/>
                <w:szCs w:val="24"/>
              </w:rPr>
              <w:t>Category</w:t>
            </w:r>
          </w:p>
        </w:tc>
        <w:tc>
          <w:tcPr>
            <w:tcW w:w="1060" w:type="dxa"/>
            <w:tcBorders>
              <w:bottom w:val="single" w:sz="4" w:space="0" w:color="auto"/>
            </w:tcBorders>
            <w:shd w:val="clear" w:color="auto" w:fill="F2F2F2" w:themeFill="background1" w:themeFillShade="F2"/>
            <w:noWrap/>
            <w:vAlign w:val="center"/>
            <w:hideMark/>
          </w:tcPr>
          <w:p w14:paraId="23CD7159" w14:textId="77777777" w:rsidR="00813589" w:rsidRPr="008901C1" w:rsidRDefault="00813589" w:rsidP="008901C1">
            <w:pPr>
              <w:spacing w:line="276" w:lineRule="auto"/>
              <w:jc w:val="center"/>
              <w:rPr>
                <w:rFonts w:cs="Times New Roman"/>
                <w:b/>
                <w:color w:val="000000"/>
                <w:szCs w:val="24"/>
              </w:rPr>
            </w:pPr>
            <w:r w:rsidRPr="008901C1">
              <w:rPr>
                <w:rFonts w:cs="Times New Roman"/>
                <w:b/>
                <w:color w:val="000000"/>
                <w:szCs w:val="24"/>
              </w:rPr>
              <w:t>Free</w:t>
            </w:r>
          </w:p>
        </w:tc>
        <w:tc>
          <w:tcPr>
            <w:tcW w:w="1365" w:type="dxa"/>
            <w:gridSpan w:val="2"/>
            <w:shd w:val="clear" w:color="auto" w:fill="F2F2F2" w:themeFill="background1" w:themeFillShade="F2"/>
            <w:noWrap/>
            <w:hideMark/>
          </w:tcPr>
          <w:p w14:paraId="1B821769" w14:textId="77777777" w:rsidR="00813589" w:rsidRPr="008901C1" w:rsidRDefault="00813589" w:rsidP="008901C1">
            <w:pPr>
              <w:spacing w:line="276" w:lineRule="auto"/>
              <w:jc w:val="center"/>
              <w:rPr>
                <w:rFonts w:cs="Times New Roman"/>
                <w:b/>
                <w:color w:val="000000"/>
                <w:szCs w:val="24"/>
              </w:rPr>
            </w:pPr>
            <w:r w:rsidRPr="008901C1">
              <w:rPr>
                <w:rFonts w:cs="Times New Roman"/>
                <w:b/>
                <w:color w:val="000000"/>
                <w:szCs w:val="24"/>
              </w:rPr>
              <w:t>Reduced-Price</w:t>
            </w:r>
          </w:p>
        </w:tc>
        <w:tc>
          <w:tcPr>
            <w:tcW w:w="2520" w:type="dxa"/>
            <w:shd w:val="clear" w:color="auto" w:fill="F2F2F2" w:themeFill="background1" w:themeFillShade="F2"/>
            <w:noWrap/>
            <w:vAlign w:val="center"/>
            <w:hideMark/>
          </w:tcPr>
          <w:p w14:paraId="68C8D3D6" w14:textId="77777777" w:rsidR="00813589" w:rsidRPr="008901C1" w:rsidRDefault="00813589" w:rsidP="008901C1">
            <w:pPr>
              <w:spacing w:line="276" w:lineRule="auto"/>
              <w:jc w:val="center"/>
              <w:rPr>
                <w:rFonts w:cs="Times New Roman"/>
                <w:b/>
                <w:color w:val="000000"/>
                <w:szCs w:val="24"/>
              </w:rPr>
            </w:pPr>
            <w:r w:rsidRPr="008901C1">
              <w:rPr>
                <w:rFonts w:cs="Times New Roman"/>
                <w:b/>
                <w:color w:val="000000"/>
                <w:szCs w:val="24"/>
              </w:rPr>
              <w:t>Paid</w:t>
            </w:r>
          </w:p>
        </w:tc>
      </w:tr>
      <w:tr w:rsidR="003A3A1F" w:rsidRPr="008901C1" w14:paraId="3FF7F2FE" w14:textId="77777777" w:rsidTr="00906141">
        <w:trPr>
          <w:trHeight w:val="315"/>
        </w:trPr>
        <w:tc>
          <w:tcPr>
            <w:tcW w:w="1530" w:type="dxa"/>
            <w:tcBorders>
              <w:right w:val="single" w:sz="4" w:space="0" w:color="auto"/>
            </w:tcBorders>
            <w:noWrap/>
            <w:vAlign w:val="center"/>
            <w:hideMark/>
          </w:tcPr>
          <w:p w14:paraId="1C88E745" w14:textId="769D483D" w:rsidR="003A3A1F" w:rsidRPr="008901C1" w:rsidRDefault="003A3A1F" w:rsidP="00900CAA">
            <w:pPr>
              <w:spacing w:line="276" w:lineRule="auto"/>
              <w:jc w:val="center"/>
              <w:rPr>
                <w:rFonts w:cs="Times New Roman"/>
                <w:color w:val="000000"/>
                <w:szCs w:val="24"/>
              </w:rPr>
            </w:pPr>
            <w:r w:rsidRPr="008901C1">
              <w:rPr>
                <w:rFonts w:cs="Times New Roman"/>
                <w:color w:val="000000"/>
                <w:szCs w:val="24"/>
              </w:rPr>
              <w:t>SBP</w:t>
            </w:r>
          </w:p>
        </w:tc>
        <w:tc>
          <w:tcPr>
            <w:tcW w:w="2885" w:type="dxa"/>
            <w:tcBorders>
              <w:left w:val="single" w:sz="4" w:space="0" w:color="auto"/>
              <w:bottom w:val="single" w:sz="4" w:space="0" w:color="auto"/>
              <w:right w:val="single" w:sz="4" w:space="0" w:color="auto"/>
            </w:tcBorders>
            <w:noWrap/>
            <w:hideMark/>
          </w:tcPr>
          <w:p w14:paraId="4B1CF1A5" w14:textId="77777777" w:rsidR="003A3A1F" w:rsidRPr="008901C1" w:rsidRDefault="003A3A1F" w:rsidP="008901C1">
            <w:pPr>
              <w:spacing w:line="276" w:lineRule="auto"/>
              <w:rPr>
                <w:rFonts w:cs="Times New Roman"/>
                <w:color w:val="000000"/>
                <w:szCs w:val="24"/>
              </w:rPr>
            </w:pPr>
            <w:r w:rsidRPr="008901C1">
              <w:rPr>
                <w:rFonts w:cs="Times New Roman"/>
                <w:color w:val="000000"/>
                <w:szCs w:val="24"/>
              </w:rPr>
              <w:t>Severe Need</w:t>
            </w:r>
          </w:p>
        </w:tc>
        <w:tc>
          <w:tcPr>
            <w:tcW w:w="1060" w:type="dxa"/>
            <w:tcBorders>
              <w:left w:val="single" w:sz="4" w:space="0" w:color="auto"/>
              <w:bottom w:val="single" w:sz="4" w:space="0" w:color="auto"/>
            </w:tcBorders>
            <w:noWrap/>
            <w:hideMark/>
          </w:tcPr>
          <w:p w14:paraId="306F2DE5" w14:textId="532091B8" w:rsidR="003A3A1F" w:rsidRPr="008901C1" w:rsidRDefault="003A3A1F" w:rsidP="008901C1">
            <w:pPr>
              <w:spacing w:line="276" w:lineRule="auto"/>
              <w:jc w:val="center"/>
              <w:rPr>
                <w:rFonts w:cs="Times New Roman"/>
                <w:color w:val="000000"/>
                <w:szCs w:val="24"/>
              </w:rPr>
            </w:pPr>
            <w:r w:rsidRPr="008901C1">
              <w:rPr>
                <w:rFonts w:cs="Times New Roman"/>
                <w:color w:val="000000"/>
                <w:szCs w:val="24"/>
              </w:rPr>
              <w:t>$</w:t>
            </w:r>
            <w:r w:rsidR="00CB1A6B" w:rsidRPr="008901C1">
              <w:rPr>
                <w:rFonts w:cs="Times New Roman"/>
                <w:color w:val="000000"/>
                <w:szCs w:val="24"/>
              </w:rPr>
              <w:t>2.84</w:t>
            </w:r>
          </w:p>
        </w:tc>
        <w:tc>
          <w:tcPr>
            <w:tcW w:w="1365" w:type="dxa"/>
            <w:gridSpan w:val="2"/>
            <w:noWrap/>
            <w:hideMark/>
          </w:tcPr>
          <w:p w14:paraId="344073B2" w14:textId="164127F8" w:rsidR="003A3A1F" w:rsidRPr="008901C1" w:rsidRDefault="003A3A1F" w:rsidP="008901C1">
            <w:pPr>
              <w:spacing w:line="276" w:lineRule="auto"/>
              <w:jc w:val="center"/>
              <w:rPr>
                <w:rFonts w:cs="Times New Roman"/>
                <w:color w:val="000000"/>
                <w:szCs w:val="24"/>
              </w:rPr>
            </w:pPr>
            <w:r w:rsidRPr="008901C1">
              <w:rPr>
                <w:rFonts w:cs="Times New Roman"/>
                <w:color w:val="000000"/>
                <w:szCs w:val="24"/>
              </w:rPr>
              <w:t>$</w:t>
            </w:r>
            <w:r w:rsidR="00CB1A6B" w:rsidRPr="008901C1">
              <w:rPr>
                <w:rFonts w:cs="Times New Roman"/>
                <w:color w:val="000000"/>
                <w:szCs w:val="24"/>
              </w:rPr>
              <w:t>2.54</w:t>
            </w:r>
          </w:p>
        </w:tc>
        <w:tc>
          <w:tcPr>
            <w:tcW w:w="2520" w:type="dxa"/>
            <w:noWrap/>
            <w:hideMark/>
          </w:tcPr>
          <w:p w14:paraId="27A354C6" w14:textId="1B9F5F6D" w:rsidR="003A3A1F" w:rsidRPr="008901C1" w:rsidRDefault="003A3A1F" w:rsidP="008901C1">
            <w:pPr>
              <w:spacing w:line="276" w:lineRule="auto"/>
              <w:jc w:val="center"/>
              <w:rPr>
                <w:rFonts w:cs="Times New Roman"/>
                <w:color w:val="000000"/>
                <w:szCs w:val="24"/>
              </w:rPr>
            </w:pPr>
            <w:r w:rsidRPr="008901C1">
              <w:rPr>
                <w:rFonts w:cs="Times New Roman"/>
                <w:color w:val="000000"/>
                <w:szCs w:val="24"/>
              </w:rPr>
              <w:t>$</w:t>
            </w:r>
            <w:r w:rsidR="00D16999" w:rsidRPr="008901C1">
              <w:rPr>
                <w:rFonts w:cs="Times New Roman"/>
                <w:color w:val="000000"/>
                <w:szCs w:val="24"/>
              </w:rPr>
              <w:t>0.39</w:t>
            </w:r>
          </w:p>
        </w:tc>
      </w:tr>
      <w:tr w:rsidR="003A3A1F" w:rsidRPr="008901C1" w14:paraId="59B0DD87" w14:textId="77777777" w:rsidTr="00906141">
        <w:trPr>
          <w:trHeight w:val="242"/>
        </w:trPr>
        <w:tc>
          <w:tcPr>
            <w:tcW w:w="1530" w:type="dxa"/>
            <w:tcBorders>
              <w:bottom w:val="single" w:sz="4" w:space="0" w:color="auto"/>
              <w:right w:val="single" w:sz="4" w:space="0" w:color="auto"/>
            </w:tcBorders>
            <w:noWrap/>
            <w:vAlign w:val="center"/>
            <w:hideMark/>
          </w:tcPr>
          <w:p w14:paraId="2631C38E" w14:textId="4C14C350" w:rsidR="003A3A1F" w:rsidRPr="008901C1" w:rsidRDefault="00900CAA" w:rsidP="00906141">
            <w:pPr>
              <w:spacing w:line="276" w:lineRule="auto"/>
              <w:jc w:val="center"/>
              <w:rPr>
                <w:rFonts w:cs="Times New Roman"/>
                <w:color w:val="000000"/>
                <w:szCs w:val="24"/>
              </w:rPr>
            </w:pPr>
            <w:r>
              <w:rPr>
                <w:rFonts w:cs="Times New Roman"/>
                <w:color w:val="000000"/>
                <w:szCs w:val="24"/>
              </w:rPr>
              <w:t>SBP</w:t>
            </w:r>
          </w:p>
        </w:tc>
        <w:tc>
          <w:tcPr>
            <w:tcW w:w="2885" w:type="dxa"/>
            <w:tcBorders>
              <w:top w:val="single" w:sz="4" w:space="0" w:color="auto"/>
              <w:left w:val="single" w:sz="4" w:space="0" w:color="auto"/>
              <w:bottom w:val="single" w:sz="4" w:space="0" w:color="auto"/>
              <w:right w:val="single" w:sz="4" w:space="0" w:color="auto"/>
            </w:tcBorders>
            <w:noWrap/>
            <w:hideMark/>
          </w:tcPr>
          <w:p w14:paraId="5E27EAC9" w14:textId="77777777" w:rsidR="003A3A1F" w:rsidRPr="008901C1" w:rsidRDefault="003A3A1F" w:rsidP="008901C1">
            <w:pPr>
              <w:spacing w:line="276" w:lineRule="auto"/>
              <w:rPr>
                <w:rFonts w:cs="Times New Roman"/>
                <w:color w:val="000000"/>
                <w:szCs w:val="24"/>
              </w:rPr>
            </w:pPr>
            <w:r w:rsidRPr="008901C1">
              <w:rPr>
                <w:rFonts w:cs="Times New Roman"/>
                <w:color w:val="000000"/>
                <w:szCs w:val="24"/>
              </w:rPr>
              <w:t>Non-Severe Need</w:t>
            </w:r>
          </w:p>
        </w:tc>
        <w:tc>
          <w:tcPr>
            <w:tcW w:w="1060" w:type="dxa"/>
            <w:tcBorders>
              <w:top w:val="single" w:sz="4" w:space="0" w:color="auto"/>
              <w:left w:val="single" w:sz="4" w:space="0" w:color="auto"/>
            </w:tcBorders>
            <w:noWrap/>
            <w:hideMark/>
          </w:tcPr>
          <w:p w14:paraId="3C6716CF" w14:textId="63BBF574" w:rsidR="003A3A1F" w:rsidRPr="008901C1" w:rsidRDefault="003A3A1F" w:rsidP="008901C1">
            <w:pPr>
              <w:spacing w:line="276" w:lineRule="auto"/>
              <w:jc w:val="center"/>
              <w:rPr>
                <w:rFonts w:cs="Times New Roman"/>
                <w:color w:val="000000"/>
                <w:szCs w:val="24"/>
              </w:rPr>
            </w:pPr>
            <w:r w:rsidRPr="008901C1">
              <w:rPr>
                <w:rFonts w:cs="Times New Roman"/>
                <w:color w:val="000000"/>
                <w:szCs w:val="24"/>
              </w:rPr>
              <w:t>$</w:t>
            </w:r>
            <w:r w:rsidR="00D16999" w:rsidRPr="008901C1">
              <w:rPr>
                <w:rFonts w:cs="Times New Roman"/>
                <w:color w:val="000000"/>
                <w:szCs w:val="24"/>
              </w:rPr>
              <w:t>2.37</w:t>
            </w:r>
          </w:p>
        </w:tc>
        <w:tc>
          <w:tcPr>
            <w:tcW w:w="1365" w:type="dxa"/>
            <w:gridSpan w:val="2"/>
            <w:noWrap/>
            <w:hideMark/>
          </w:tcPr>
          <w:p w14:paraId="59E2CB5B" w14:textId="757E5DA5" w:rsidR="003A3A1F" w:rsidRPr="008901C1" w:rsidRDefault="003A3A1F" w:rsidP="008901C1">
            <w:pPr>
              <w:spacing w:line="276" w:lineRule="auto"/>
              <w:jc w:val="center"/>
              <w:rPr>
                <w:rFonts w:cs="Times New Roman"/>
                <w:color w:val="000000"/>
                <w:szCs w:val="24"/>
              </w:rPr>
            </w:pPr>
            <w:r w:rsidRPr="008901C1">
              <w:rPr>
                <w:rFonts w:cs="Times New Roman"/>
                <w:color w:val="000000"/>
                <w:szCs w:val="24"/>
              </w:rPr>
              <w:t>$</w:t>
            </w:r>
            <w:r w:rsidR="00D16999" w:rsidRPr="008901C1">
              <w:rPr>
                <w:rFonts w:cs="Times New Roman"/>
                <w:color w:val="000000"/>
                <w:szCs w:val="24"/>
              </w:rPr>
              <w:t>2.07</w:t>
            </w:r>
          </w:p>
        </w:tc>
        <w:tc>
          <w:tcPr>
            <w:tcW w:w="2520" w:type="dxa"/>
            <w:noWrap/>
            <w:hideMark/>
          </w:tcPr>
          <w:p w14:paraId="6CA038D3" w14:textId="5EF97C70" w:rsidR="003A3A1F" w:rsidRPr="008901C1" w:rsidRDefault="003A3A1F" w:rsidP="008901C1">
            <w:pPr>
              <w:spacing w:line="276" w:lineRule="auto"/>
              <w:jc w:val="center"/>
              <w:rPr>
                <w:rFonts w:cs="Times New Roman"/>
                <w:color w:val="000000"/>
                <w:szCs w:val="24"/>
              </w:rPr>
            </w:pPr>
            <w:r w:rsidRPr="008901C1">
              <w:rPr>
                <w:rFonts w:cs="Times New Roman"/>
                <w:color w:val="000000"/>
                <w:szCs w:val="24"/>
              </w:rPr>
              <w:t>$</w:t>
            </w:r>
            <w:r w:rsidR="00D16999" w:rsidRPr="008901C1">
              <w:rPr>
                <w:rFonts w:cs="Times New Roman"/>
                <w:color w:val="000000"/>
                <w:szCs w:val="24"/>
              </w:rPr>
              <w:t>0.39</w:t>
            </w:r>
          </w:p>
        </w:tc>
      </w:tr>
      <w:tr w:rsidR="00900CAA" w:rsidRPr="008901C1" w14:paraId="4174A255" w14:textId="77777777" w:rsidTr="00906141">
        <w:trPr>
          <w:trHeight w:val="315"/>
        </w:trPr>
        <w:tc>
          <w:tcPr>
            <w:tcW w:w="1530" w:type="dxa"/>
            <w:tcBorders>
              <w:right w:val="single" w:sz="4" w:space="0" w:color="auto"/>
            </w:tcBorders>
            <w:noWrap/>
            <w:vAlign w:val="center"/>
            <w:hideMark/>
          </w:tcPr>
          <w:p w14:paraId="712F6D04" w14:textId="77777777" w:rsidR="00900CAA" w:rsidRPr="008901C1" w:rsidRDefault="00900CAA" w:rsidP="00900CAA">
            <w:pPr>
              <w:spacing w:line="276" w:lineRule="auto"/>
              <w:jc w:val="center"/>
              <w:rPr>
                <w:rFonts w:cs="Times New Roman"/>
                <w:color w:val="000000"/>
                <w:szCs w:val="24"/>
              </w:rPr>
            </w:pPr>
            <w:r w:rsidRPr="008901C1">
              <w:rPr>
                <w:rFonts w:cs="Times New Roman"/>
                <w:color w:val="000000"/>
                <w:szCs w:val="24"/>
              </w:rPr>
              <w:t>NSLP</w:t>
            </w:r>
          </w:p>
        </w:tc>
        <w:tc>
          <w:tcPr>
            <w:tcW w:w="2885" w:type="dxa"/>
            <w:tcBorders>
              <w:left w:val="single" w:sz="4" w:space="0" w:color="auto"/>
              <w:bottom w:val="single" w:sz="4" w:space="0" w:color="auto"/>
              <w:right w:val="single" w:sz="4" w:space="0" w:color="auto"/>
            </w:tcBorders>
            <w:noWrap/>
            <w:hideMark/>
          </w:tcPr>
          <w:p w14:paraId="43761EA6" w14:textId="77777777" w:rsidR="00900CAA" w:rsidRPr="008901C1" w:rsidRDefault="00900CAA" w:rsidP="008901C1">
            <w:pPr>
              <w:spacing w:line="276" w:lineRule="auto"/>
              <w:rPr>
                <w:rFonts w:cs="Times New Roman"/>
                <w:color w:val="000000"/>
                <w:szCs w:val="24"/>
              </w:rPr>
            </w:pPr>
            <w:r w:rsidRPr="008901C1">
              <w:rPr>
                <w:rFonts w:cs="Times New Roman"/>
                <w:color w:val="000000"/>
                <w:szCs w:val="24"/>
              </w:rPr>
              <w:t>60% or more</w:t>
            </w:r>
          </w:p>
        </w:tc>
        <w:tc>
          <w:tcPr>
            <w:tcW w:w="1060" w:type="dxa"/>
            <w:tcBorders>
              <w:left w:val="single" w:sz="4" w:space="0" w:color="auto"/>
              <w:bottom w:val="single" w:sz="4" w:space="0" w:color="auto"/>
            </w:tcBorders>
            <w:noWrap/>
            <w:hideMark/>
          </w:tcPr>
          <w:p w14:paraId="2582AB3C" w14:textId="29705B95" w:rsidR="00900CAA" w:rsidRPr="008901C1" w:rsidRDefault="00900CAA" w:rsidP="008901C1">
            <w:pPr>
              <w:spacing w:line="276" w:lineRule="auto"/>
              <w:jc w:val="center"/>
              <w:rPr>
                <w:rFonts w:cs="Times New Roman"/>
                <w:color w:val="000000"/>
                <w:szCs w:val="24"/>
              </w:rPr>
            </w:pPr>
            <w:r w:rsidRPr="008901C1">
              <w:rPr>
                <w:rFonts w:cs="Times New Roman"/>
                <w:color w:val="000000"/>
                <w:szCs w:val="24"/>
              </w:rPr>
              <w:t>$4.45</w:t>
            </w:r>
          </w:p>
        </w:tc>
        <w:tc>
          <w:tcPr>
            <w:tcW w:w="1365" w:type="dxa"/>
            <w:gridSpan w:val="2"/>
            <w:noWrap/>
            <w:hideMark/>
          </w:tcPr>
          <w:p w14:paraId="20EFE9FA" w14:textId="4CCC7043" w:rsidR="00900CAA" w:rsidRPr="008901C1" w:rsidRDefault="00900CAA" w:rsidP="008901C1">
            <w:pPr>
              <w:spacing w:line="276" w:lineRule="auto"/>
              <w:jc w:val="center"/>
              <w:rPr>
                <w:rFonts w:cs="Times New Roman"/>
                <w:color w:val="000000"/>
                <w:szCs w:val="24"/>
              </w:rPr>
            </w:pPr>
            <w:r w:rsidRPr="008901C1">
              <w:rPr>
                <w:rFonts w:cs="Times New Roman"/>
                <w:color w:val="000000"/>
                <w:szCs w:val="24"/>
              </w:rPr>
              <w:t>$4.05</w:t>
            </w:r>
          </w:p>
        </w:tc>
        <w:tc>
          <w:tcPr>
            <w:tcW w:w="2520" w:type="dxa"/>
            <w:noWrap/>
            <w:hideMark/>
          </w:tcPr>
          <w:p w14:paraId="2EEFD2BE" w14:textId="2C918556" w:rsidR="00900CAA" w:rsidRPr="008901C1" w:rsidRDefault="00900CAA" w:rsidP="008901C1">
            <w:pPr>
              <w:spacing w:line="276" w:lineRule="auto"/>
              <w:jc w:val="center"/>
              <w:rPr>
                <w:rFonts w:cs="Times New Roman"/>
                <w:color w:val="000000"/>
                <w:szCs w:val="24"/>
              </w:rPr>
            </w:pPr>
            <w:r w:rsidRPr="008901C1">
              <w:rPr>
                <w:rFonts w:cs="Times New Roman"/>
                <w:color w:val="000000"/>
                <w:szCs w:val="24"/>
              </w:rPr>
              <w:t>$0.44</w:t>
            </w:r>
          </w:p>
        </w:tc>
      </w:tr>
      <w:tr w:rsidR="00900CAA" w:rsidRPr="008901C1" w14:paraId="0365B51B" w14:textId="77777777" w:rsidTr="00906141">
        <w:trPr>
          <w:trHeight w:val="305"/>
        </w:trPr>
        <w:tc>
          <w:tcPr>
            <w:tcW w:w="1530" w:type="dxa"/>
            <w:tcBorders>
              <w:bottom w:val="single" w:sz="4" w:space="0" w:color="auto"/>
              <w:right w:val="single" w:sz="4" w:space="0" w:color="auto"/>
            </w:tcBorders>
            <w:noWrap/>
            <w:vAlign w:val="center"/>
            <w:hideMark/>
          </w:tcPr>
          <w:p w14:paraId="32847284" w14:textId="75FFD178" w:rsidR="00900CAA" w:rsidRPr="008901C1" w:rsidRDefault="00900CAA" w:rsidP="00906141">
            <w:pPr>
              <w:spacing w:line="276" w:lineRule="auto"/>
              <w:jc w:val="center"/>
              <w:rPr>
                <w:rFonts w:cs="Times New Roman"/>
                <w:color w:val="000000"/>
                <w:szCs w:val="24"/>
              </w:rPr>
            </w:pPr>
            <w:r>
              <w:rPr>
                <w:rFonts w:cs="Times New Roman"/>
                <w:color w:val="000000"/>
                <w:szCs w:val="24"/>
              </w:rPr>
              <w:t>NSLP</w:t>
            </w:r>
          </w:p>
        </w:tc>
        <w:tc>
          <w:tcPr>
            <w:tcW w:w="2885" w:type="dxa"/>
            <w:tcBorders>
              <w:top w:val="single" w:sz="4" w:space="0" w:color="auto"/>
              <w:left w:val="single" w:sz="4" w:space="0" w:color="auto"/>
              <w:bottom w:val="single" w:sz="4" w:space="0" w:color="auto"/>
              <w:right w:val="single" w:sz="4" w:space="0" w:color="auto"/>
            </w:tcBorders>
            <w:noWrap/>
            <w:hideMark/>
          </w:tcPr>
          <w:p w14:paraId="1E2A116A" w14:textId="77777777" w:rsidR="00900CAA" w:rsidRPr="008901C1" w:rsidRDefault="00900CAA" w:rsidP="008901C1">
            <w:pPr>
              <w:spacing w:line="276" w:lineRule="auto"/>
              <w:rPr>
                <w:rFonts w:cs="Times New Roman"/>
                <w:color w:val="000000"/>
                <w:szCs w:val="24"/>
              </w:rPr>
            </w:pPr>
            <w:r w:rsidRPr="008901C1">
              <w:rPr>
                <w:rFonts w:cs="Times New Roman"/>
                <w:color w:val="000000"/>
                <w:szCs w:val="24"/>
              </w:rPr>
              <w:t>Less than 60%</w:t>
            </w:r>
          </w:p>
        </w:tc>
        <w:tc>
          <w:tcPr>
            <w:tcW w:w="1060" w:type="dxa"/>
            <w:tcBorders>
              <w:top w:val="single" w:sz="4" w:space="0" w:color="auto"/>
              <w:left w:val="single" w:sz="4" w:space="0" w:color="auto"/>
            </w:tcBorders>
            <w:noWrap/>
            <w:hideMark/>
          </w:tcPr>
          <w:p w14:paraId="4EEAD2B8" w14:textId="6E4E6788" w:rsidR="00900CAA" w:rsidRPr="008901C1" w:rsidRDefault="00900CAA" w:rsidP="008901C1">
            <w:pPr>
              <w:spacing w:line="276" w:lineRule="auto"/>
              <w:jc w:val="center"/>
              <w:rPr>
                <w:rFonts w:cs="Times New Roman"/>
                <w:color w:val="000000"/>
                <w:szCs w:val="24"/>
              </w:rPr>
            </w:pPr>
            <w:r w:rsidRPr="008901C1">
              <w:rPr>
                <w:rFonts w:cs="Times New Roman"/>
                <w:color w:val="000000"/>
                <w:szCs w:val="24"/>
              </w:rPr>
              <w:t>$4.43</w:t>
            </w:r>
          </w:p>
        </w:tc>
        <w:tc>
          <w:tcPr>
            <w:tcW w:w="1365" w:type="dxa"/>
            <w:gridSpan w:val="2"/>
            <w:noWrap/>
            <w:hideMark/>
          </w:tcPr>
          <w:p w14:paraId="21A2B410" w14:textId="302C2978" w:rsidR="00900CAA" w:rsidRPr="008901C1" w:rsidRDefault="00900CAA" w:rsidP="008901C1">
            <w:pPr>
              <w:spacing w:line="276" w:lineRule="auto"/>
              <w:jc w:val="center"/>
              <w:rPr>
                <w:rFonts w:cs="Times New Roman"/>
                <w:color w:val="000000"/>
                <w:szCs w:val="24"/>
              </w:rPr>
            </w:pPr>
            <w:r w:rsidRPr="008901C1">
              <w:rPr>
                <w:rFonts w:cs="Times New Roman"/>
                <w:color w:val="000000"/>
                <w:szCs w:val="24"/>
              </w:rPr>
              <w:t>$</w:t>
            </w:r>
            <w:r w:rsidR="0035581B">
              <w:rPr>
                <w:rFonts w:cs="Times New Roman"/>
                <w:color w:val="000000"/>
                <w:szCs w:val="24"/>
              </w:rPr>
              <w:t>4</w:t>
            </w:r>
            <w:r w:rsidRPr="008901C1">
              <w:rPr>
                <w:rFonts w:cs="Times New Roman"/>
                <w:color w:val="000000"/>
                <w:szCs w:val="24"/>
              </w:rPr>
              <w:t>.03</w:t>
            </w:r>
          </w:p>
        </w:tc>
        <w:tc>
          <w:tcPr>
            <w:tcW w:w="2520" w:type="dxa"/>
            <w:noWrap/>
            <w:hideMark/>
          </w:tcPr>
          <w:p w14:paraId="79E28DC5" w14:textId="3B95C8E3" w:rsidR="00900CAA" w:rsidRPr="008901C1" w:rsidRDefault="00900CAA" w:rsidP="008901C1">
            <w:pPr>
              <w:spacing w:line="276" w:lineRule="auto"/>
              <w:jc w:val="center"/>
              <w:rPr>
                <w:rFonts w:cs="Times New Roman"/>
                <w:color w:val="000000"/>
                <w:szCs w:val="24"/>
              </w:rPr>
            </w:pPr>
            <w:r w:rsidRPr="008901C1">
              <w:rPr>
                <w:rFonts w:cs="Times New Roman"/>
                <w:color w:val="000000"/>
                <w:szCs w:val="24"/>
              </w:rPr>
              <w:t>$0.42</w:t>
            </w:r>
          </w:p>
        </w:tc>
      </w:tr>
      <w:tr w:rsidR="000F5BC8" w:rsidRPr="008901C1" w14:paraId="0DEB0AC0" w14:textId="77777777" w:rsidTr="00906141">
        <w:trPr>
          <w:trHeight w:val="315"/>
        </w:trPr>
        <w:tc>
          <w:tcPr>
            <w:tcW w:w="1530" w:type="dxa"/>
            <w:tcBorders>
              <w:right w:val="single" w:sz="4" w:space="0" w:color="auto"/>
            </w:tcBorders>
            <w:noWrap/>
            <w:vAlign w:val="center"/>
          </w:tcPr>
          <w:p w14:paraId="0105A90E" w14:textId="24687EAF" w:rsidR="000F5BC8" w:rsidRPr="008901C1" w:rsidRDefault="00900CAA" w:rsidP="008901C1">
            <w:pPr>
              <w:jc w:val="center"/>
              <w:rPr>
                <w:rFonts w:cs="Times New Roman"/>
                <w:color w:val="000000"/>
                <w:szCs w:val="24"/>
              </w:rPr>
            </w:pPr>
            <w:r>
              <w:rPr>
                <w:rFonts w:cs="Times New Roman"/>
                <w:color w:val="000000"/>
                <w:szCs w:val="24"/>
              </w:rPr>
              <w:t>N/A</w:t>
            </w:r>
          </w:p>
        </w:tc>
        <w:tc>
          <w:tcPr>
            <w:tcW w:w="2885" w:type="dxa"/>
            <w:tcBorders>
              <w:left w:val="single" w:sz="4" w:space="0" w:color="auto"/>
              <w:bottom w:val="single" w:sz="4" w:space="0" w:color="auto"/>
              <w:right w:val="single" w:sz="4" w:space="0" w:color="auto"/>
            </w:tcBorders>
            <w:noWrap/>
          </w:tcPr>
          <w:p w14:paraId="51333203" w14:textId="385C4FCC" w:rsidR="000F5BC8" w:rsidRPr="008901C1" w:rsidRDefault="000F5BC8" w:rsidP="008901C1">
            <w:pPr>
              <w:rPr>
                <w:rFonts w:cs="Times New Roman"/>
                <w:color w:val="000000"/>
                <w:szCs w:val="24"/>
              </w:rPr>
            </w:pPr>
            <w:r>
              <w:rPr>
                <w:rFonts w:cs="Times New Roman"/>
                <w:color w:val="000000"/>
                <w:szCs w:val="24"/>
              </w:rPr>
              <w:t xml:space="preserve">Federal </w:t>
            </w:r>
            <w:r w:rsidR="00341F5A">
              <w:rPr>
                <w:rFonts w:cs="Times New Roman"/>
                <w:color w:val="000000"/>
                <w:szCs w:val="24"/>
              </w:rPr>
              <w:t>Performance-Based</w:t>
            </w:r>
            <w:r>
              <w:rPr>
                <w:rFonts w:cs="Times New Roman"/>
                <w:color w:val="000000"/>
                <w:szCs w:val="24"/>
              </w:rPr>
              <w:t xml:space="preserve"> Reimbursement</w:t>
            </w:r>
          </w:p>
        </w:tc>
        <w:tc>
          <w:tcPr>
            <w:tcW w:w="1060" w:type="dxa"/>
            <w:tcBorders>
              <w:left w:val="single" w:sz="4" w:space="0" w:color="auto"/>
              <w:bottom w:val="single" w:sz="4" w:space="0" w:color="auto"/>
            </w:tcBorders>
            <w:noWrap/>
            <w:vAlign w:val="center"/>
          </w:tcPr>
          <w:p w14:paraId="34127236" w14:textId="6B6A5AC2" w:rsidR="000F5BC8" w:rsidRPr="008901C1" w:rsidRDefault="000F5BC8" w:rsidP="00AE194F">
            <w:pPr>
              <w:jc w:val="center"/>
              <w:rPr>
                <w:rFonts w:cs="Times New Roman"/>
                <w:color w:val="000000"/>
                <w:szCs w:val="24"/>
              </w:rPr>
            </w:pPr>
            <w:r>
              <w:rPr>
                <w:rFonts w:cs="Times New Roman"/>
                <w:color w:val="000000"/>
                <w:szCs w:val="24"/>
              </w:rPr>
              <w:t>$0.09</w:t>
            </w:r>
          </w:p>
        </w:tc>
        <w:tc>
          <w:tcPr>
            <w:tcW w:w="1365" w:type="dxa"/>
            <w:gridSpan w:val="2"/>
            <w:noWrap/>
            <w:vAlign w:val="center"/>
          </w:tcPr>
          <w:p w14:paraId="42B44DBF" w14:textId="7244518F" w:rsidR="000F5BC8" w:rsidRPr="008901C1" w:rsidRDefault="000F5BC8" w:rsidP="00AE194F">
            <w:pPr>
              <w:jc w:val="center"/>
              <w:rPr>
                <w:rFonts w:cs="Times New Roman"/>
                <w:color w:val="000000"/>
                <w:szCs w:val="24"/>
              </w:rPr>
            </w:pPr>
            <w:r>
              <w:rPr>
                <w:rFonts w:cs="Times New Roman"/>
                <w:color w:val="000000"/>
                <w:szCs w:val="24"/>
              </w:rPr>
              <w:t>$0.09</w:t>
            </w:r>
          </w:p>
        </w:tc>
        <w:tc>
          <w:tcPr>
            <w:tcW w:w="2520" w:type="dxa"/>
            <w:noWrap/>
            <w:vAlign w:val="center"/>
          </w:tcPr>
          <w:p w14:paraId="1A1760D8" w14:textId="4AECA82C" w:rsidR="000F5BC8" w:rsidRPr="008901C1" w:rsidRDefault="000F5BC8" w:rsidP="00AE194F">
            <w:pPr>
              <w:jc w:val="center"/>
              <w:rPr>
                <w:rFonts w:cs="Times New Roman"/>
                <w:color w:val="000000"/>
                <w:szCs w:val="24"/>
              </w:rPr>
            </w:pPr>
            <w:r>
              <w:rPr>
                <w:rFonts w:cs="Times New Roman"/>
                <w:color w:val="000000"/>
                <w:szCs w:val="24"/>
              </w:rPr>
              <w:t>$0.09</w:t>
            </w:r>
          </w:p>
        </w:tc>
      </w:tr>
      <w:tr w:rsidR="003A3A1F" w:rsidRPr="008901C1" w14:paraId="560C0BC7" w14:textId="77777777" w:rsidTr="00906141">
        <w:trPr>
          <w:trHeight w:val="315"/>
        </w:trPr>
        <w:tc>
          <w:tcPr>
            <w:tcW w:w="1530" w:type="dxa"/>
            <w:tcBorders>
              <w:right w:val="single" w:sz="4" w:space="0" w:color="auto"/>
            </w:tcBorders>
            <w:noWrap/>
            <w:vAlign w:val="center"/>
            <w:hideMark/>
          </w:tcPr>
          <w:p w14:paraId="6FE18E12" w14:textId="77777777" w:rsidR="003A3A1F" w:rsidRPr="008901C1" w:rsidRDefault="003A3A1F" w:rsidP="008901C1">
            <w:pPr>
              <w:spacing w:line="276" w:lineRule="auto"/>
              <w:jc w:val="center"/>
              <w:rPr>
                <w:rFonts w:cs="Times New Roman"/>
                <w:color w:val="000000"/>
                <w:szCs w:val="24"/>
              </w:rPr>
            </w:pPr>
            <w:r w:rsidRPr="008901C1">
              <w:rPr>
                <w:rFonts w:cs="Times New Roman"/>
                <w:color w:val="000000"/>
                <w:szCs w:val="24"/>
              </w:rPr>
              <w:t>ASP</w:t>
            </w:r>
          </w:p>
        </w:tc>
        <w:tc>
          <w:tcPr>
            <w:tcW w:w="2885" w:type="dxa"/>
            <w:tcBorders>
              <w:left w:val="single" w:sz="4" w:space="0" w:color="auto"/>
              <w:bottom w:val="single" w:sz="4" w:space="0" w:color="auto"/>
              <w:right w:val="single" w:sz="4" w:space="0" w:color="auto"/>
            </w:tcBorders>
            <w:noWrap/>
            <w:hideMark/>
          </w:tcPr>
          <w:p w14:paraId="3B142A65" w14:textId="1BE6A434" w:rsidR="003A3A1F" w:rsidRPr="008901C1" w:rsidRDefault="008901C1" w:rsidP="008901C1">
            <w:pPr>
              <w:spacing w:line="276" w:lineRule="auto"/>
              <w:rPr>
                <w:rFonts w:cs="Times New Roman"/>
                <w:color w:val="000000"/>
                <w:szCs w:val="24"/>
              </w:rPr>
            </w:pPr>
            <w:r w:rsidRPr="008901C1">
              <w:rPr>
                <w:rFonts w:cs="Times New Roman"/>
                <w:color w:val="000000"/>
                <w:szCs w:val="24"/>
              </w:rPr>
              <w:t>N/A</w:t>
            </w:r>
          </w:p>
        </w:tc>
        <w:tc>
          <w:tcPr>
            <w:tcW w:w="1060" w:type="dxa"/>
            <w:tcBorders>
              <w:left w:val="single" w:sz="4" w:space="0" w:color="auto"/>
              <w:bottom w:val="single" w:sz="4" w:space="0" w:color="auto"/>
            </w:tcBorders>
            <w:noWrap/>
            <w:hideMark/>
          </w:tcPr>
          <w:p w14:paraId="0FAB473A" w14:textId="1B7E7C61" w:rsidR="003A3A1F" w:rsidRPr="008901C1" w:rsidRDefault="003A3A1F" w:rsidP="008901C1">
            <w:pPr>
              <w:spacing w:line="276" w:lineRule="auto"/>
              <w:jc w:val="center"/>
              <w:rPr>
                <w:rFonts w:cs="Times New Roman"/>
                <w:color w:val="000000"/>
                <w:szCs w:val="24"/>
              </w:rPr>
            </w:pPr>
            <w:r w:rsidRPr="008901C1">
              <w:rPr>
                <w:rFonts w:cs="Times New Roman"/>
                <w:color w:val="000000"/>
                <w:szCs w:val="24"/>
              </w:rPr>
              <w:t>$</w:t>
            </w:r>
            <w:r w:rsidR="00A150AE">
              <w:rPr>
                <w:rFonts w:cs="Times New Roman"/>
                <w:color w:val="000000"/>
                <w:szCs w:val="24"/>
              </w:rPr>
              <w:t>1.21</w:t>
            </w:r>
          </w:p>
        </w:tc>
        <w:tc>
          <w:tcPr>
            <w:tcW w:w="1365" w:type="dxa"/>
            <w:gridSpan w:val="2"/>
            <w:noWrap/>
            <w:hideMark/>
          </w:tcPr>
          <w:p w14:paraId="38D82A14" w14:textId="230EE6A0" w:rsidR="003A3A1F" w:rsidRPr="008901C1" w:rsidRDefault="008901C1" w:rsidP="008901C1">
            <w:pPr>
              <w:spacing w:line="276" w:lineRule="auto"/>
              <w:jc w:val="center"/>
              <w:rPr>
                <w:rFonts w:cs="Times New Roman"/>
                <w:color w:val="000000"/>
                <w:szCs w:val="24"/>
              </w:rPr>
            </w:pPr>
            <w:r w:rsidRPr="008901C1">
              <w:rPr>
                <w:rFonts w:cs="Times New Roman"/>
                <w:color w:val="000000"/>
                <w:szCs w:val="24"/>
              </w:rPr>
              <w:t>$</w:t>
            </w:r>
            <w:r w:rsidR="00A150AE">
              <w:rPr>
                <w:rFonts w:cs="Times New Roman"/>
                <w:color w:val="000000"/>
                <w:szCs w:val="24"/>
              </w:rPr>
              <w:t>0.60</w:t>
            </w:r>
          </w:p>
        </w:tc>
        <w:tc>
          <w:tcPr>
            <w:tcW w:w="2520" w:type="dxa"/>
            <w:noWrap/>
            <w:hideMark/>
          </w:tcPr>
          <w:p w14:paraId="57D308F9" w14:textId="00C339B9" w:rsidR="003A3A1F" w:rsidRPr="008901C1" w:rsidRDefault="008901C1" w:rsidP="008901C1">
            <w:pPr>
              <w:spacing w:line="276" w:lineRule="auto"/>
              <w:jc w:val="center"/>
              <w:rPr>
                <w:rFonts w:cs="Times New Roman"/>
                <w:color w:val="000000"/>
                <w:szCs w:val="24"/>
              </w:rPr>
            </w:pPr>
            <w:r w:rsidRPr="008901C1">
              <w:rPr>
                <w:rFonts w:cs="Times New Roman"/>
                <w:color w:val="000000"/>
                <w:szCs w:val="24"/>
              </w:rPr>
              <w:t>$</w:t>
            </w:r>
            <w:r w:rsidR="00A150AE">
              <w:rPr>
                <w:rFonts w:cs="Times New Roman"/>
                <w:color w:val="000000"/>
                <w:szCs w:val="24"/>
              </w:rPr>
              <w:t>0.11</w:t>
            </w:r>
          </w:p>
        </w:tc>
      </w:tr>
      <w:tr w:rsidR="00813589" w:rsidRPr="008901C1" w14:paraId="3514FD73" w14:textId="77777777" w:rsidTr="00906141">
        <w:trPr>
          <w:trHeight w:val="315"/>
        </w:trPr>
        <w:tc>
          <w:tcPr>
            <w:tcW w:w="1530" w:type="dxa"/>
            <w:tcBorders>
              <w:right w:val="single" w:sz="4" w:space="0" w:color="auto"/>
            </w:tcBorders>
            <w:noWrap/>
            <w:vAlign w:val="center"/>
            <w:hideMark/>
          </w:tcPr>
          <w:p w14:paraId="63D2176C" w14:textId="77777777" w:rsidR="00813589" w:rsidRPr="008901C1" w:rsidRDefault="00813589" w:rsidP="008901C1">
            <w:pPr>
              <w:spacing w:line="276" w:lineRule="auto"/>
              <w:jc w:val="center"/>
              <w:rPr>
                <w:rFonts w:cs="Times New Roman"/>
                <w:color w:val="000000"/>
                <w:szCs w:val="24"/>
              </w:rPr>
            </w:pPr>
            <w:r w:rsidRPr="008901C1">
              <w:rPr>
                <w:rFonts w:cs="Times New Roman"/>
                <w:color w:val="000000"/>
                <w:szCs w:val="24"/>
              </w:rPr>
              <w:t>SMP</w:t>
            </w:r>
          </w:p>
        </w:tc>
        <w:tc>
          <w:tcPr>
            <w:tcW w:w="2885" w:type="dxa"/>
            <w:tcBorders>
              <w:left w:val="single" w:sz="4" w:space="0" w:color="auto"/>
              <w:right w:val="single" w:sz="4" w:space="0" w:color="auto"/>
            </w:tcBorders>
            <w:noWrap/>
            <w:hideMark/>
          </w:tcPr>
          <w:p w14:paraId="0DD97563" w14:textId="74B6358E" w:rsidR="00813589" w:rsidRPr="008901C1" w:rsidRDefault="00813589" w:rsidP="008901C1">
            <w:pPr>
              <w:spacing w:line="276" w:lineRule="auto"/>
              <w:rPr>
                <w:rFonts w:cs="Times New Roman"/>
                <w:color w:val="000000"/>
                <w:szCs w:val="24"/>
              </w:rPr>
            </w:pPr>
            <w:r w:rsidRPr="008901C1">
              <w:rPr>
                <w:rFonts w:cs="Times New Roman"/>
                <w:color w:val="000000"/>
                <w:szCs w:val="24"/>
              </w:rPr>
              <w:t>N/A</w:t>
            </w:r>
          </w:p>
        </w:tc>
        <w:tc>
          <w:tcPr>
            <w:tcW w:w="1060" w:type="dxa"/>
            <w:tcBorders>
              <w:left w:val="single" w:sz="4" w:space="0" w:color="auto"/>
            </w:tcBorders>
            <w:noWrap/>
            <w:hideMark/>
          </w:tcPr>
          <w:p w14:paraId="6A7900B3" w14:textId="3A05B004" w:rsidR="00813589" w:rsidRPr="008901C1" w:rsidRDefault="00813589" w:rsidP="008901C1">
            <w:pPr>
              <w:spacing w:line="276" w:lineRule="auto"/>
              <w:jc w:val="center"/>
              <w:rPr>
                <w:rFonts w:cs="Times New Roman"/>
                <w:color w:val="000000"/>
                <w:szCs w:val="24"/>
              </w:rPr>
            </w:pPr>
            <w:r w:rsidRPr="008901C1">
              <w:rPr>
                <w:rFonts w:cs="Times New Roman"/>
                <w:color w:val="000000"/>
                <w:szCs w:val="24"/>
              </w:rPr>
              <w:t>$</w:t>
            </w:r>
            <w:r w:rsidR="00906FEF" w:rsidRPr="008901C1">
              <w:rPr>
                <w:rFonts w:cs="Times New Roman"/>
                <w:color w:val="000000"/>
                <w:szCs w:val="24"/>
              </w:rPr>
              <w:t>0.27</w:t>
            </w:r>
          </w:p>
        </w:tc>
        <w:tc>
          <w:tcPr>
            <w:tcW w:w="1365" w:type="dxa"/>
            <w:gridSpan w:val="2"/>
          </w:tcPr>
          <w:p w14:paraId="3F1CB389" w14:textId="67D9C630" w:rsidR="00813589" w:rsidRPr="008901C1" w:rsidRDefault="00813589" w:rsidP="008901C1">
            <w:pPr>
              <w:spacing w:line="276" w:lineRule="auto"/>
              <w:jc w:val="center"/>
              <w:rPr>
                <w:rFonts w:cs="Times New Roman"/>
                <w:color w:val="000000"/>
                <w:szCs w:val="24"/>
              </w:rPr>
            </w:pPr>
            <w:r w:rsidRPr="008901C1">
              <w:rPr>
                <w:rFonts w:cs="Times New Roman"/>
                <w:color w:val="000000"/>
                <w:szCs w:val="24"/>
              </w:rPr>
              <w:t>$</w:t>
            </w:r>
            <w:r w:rsidR="00906FEF" w:rsidRPr="008901C1">
              <w:rPr>
                <w:rFonts w:cs="Times New Roman"/>
                <w:color w:val="000000"/>
                <w:szCs w:val="24"/>
              </w:rPr>
              <w:t>0.27</w:t>
            </w:r>
          </w:p>
        </w:tc>
        <w:tc>
          <w:tcPr>
            <w:tcW w:w="2520" w:type="dxa"/>
          </w:tcPr>
          <w:p w14:paraId="4B2066CF" w14:textId="12546BCB" w:rsidR="00813589" w:rsidRPr="008901C1" w:rsidRDefault="00813589" w:rsidP="008901C1">
            <w:pPr>
              <w:spacing w:line="276" w:lineRule="auto"/>
              <w:jc w:val="center"/>
              <w:rPr>
                <w:rFonts w:cs="Times New Roman"/>
                <w:color w:val="000000"/>
                <w:szCs w:val="24"/>
              </w:rPr>
            </w:pPr>
            <w:r w:rsidRPr="008901C1">
              <w:rPr>
                <w:rFonts w:cs="Times New Roman"/>
                <w:color w:val="000000"/>
                <w:szCs w:val="24"/>
              </w:rPr>
              <w:t>$</w:t>
            </w:r>
            <w:r w:rsidR="00906FEF" w:rsidRPr="008901C1">
              <w:rPr>
                <w:rFonts w:cs="Times New Roman"/>
                <w:color w:val="000000"/>
                <w:szCs w:val="24"/>
              </w:rPr>
              <w:t>0.27</w:t>
            </w:r>
          </w:p>
        </w:tc>
      </w:tr>
      <w:tr w:rsidR="006B7BAE" w:rsidRPr="008901C1" w14:paraId="2603D5A8" w14:textId="77777777" w:rsidTr="00906141">
        <w:trPr>
          <w:trHeight w:val="315"/>
        </w:trPr>
        <w:tc>
          <w:tcPr>
            <w:tcW w:w="1530" w:type="dxa"/>
            <w:tcBorders>
              <w:right w:val="single" w:sz="4" w:space="0" w:color="auto"/>
            </w:tcBorders>
            <w:noWrap/>
            <w:vAlign w:val="center"/>
          </w:tcPr>
          <w:p w14:paraId="1C254023" w14:textId="097D71E5" w:rsidR="006B7BAE" w:rsidRDefault="006B7BAE" w:rsidP="008901C1">
            <w:pPr>
              <w:jc w:val="center"/>
              <w:rPr>
                <w:rFonts w:cs="Times New Roman"/>
                <w:color w:val="000000"/>
                <w:szCs w:val="24"/>
              </w:rPr>
            </w:pPr>
            <w:r>
              <w:rPr>
                <w:rFonts w:cs="Times New Roman"/>
                <w:color w:val="000000"/>
                <w:szCs w:val="24"/>
              </w:rPr>
              <w:t>At-Risk</w:t>
            </w:r>
          </w:p>
          <w:p w14:paraId="523529E1" w14:textId="447D7604" w:rsidR="006B7BAE" w:rsidRPr="008901C1" w:rsidRDefault="006B7BAE" w:rsidP="008901C1">
            <w:pPr>
              <w:jc w:val="center"/>
              <w:rPr>
                <w:rFonts w:cs="Times New Roman"/>
                <w:color w:val="000000"/>
                <w:szCs w:val="24"/>
              </w:rPr>
            </w:pPr>
            <w:r>
              <w:rPr>
                <w:rFonts w:cs="Times New Roman"/>
                <w:color w:val="000000"/>
                <w:szCs w:val="24"/>
              </w:rPr>
              <w:t>CACFP</w:t>
            </w:r>
          </w:p>
        </w:tc>
        <w:tc>
          <w:tcPr>
            <w:tcW w:w="2885" w:type="dxa"/>
            <w:tcBorders>
              <w:left w:val="single" w:sz="4" w:space="0" w:color="auto"/>
              <w:right w:val="single" w:sz="4" w:space="0" w:color="auto"/>
            </w:tcBorders>
            <w:noWrap/>
            <w:vAlign w:val="center"/>
          </w:tcPr>
          <w:p w14:paraId="5C946BA3" w14:textId="6E56C9E8" w:rsidR="006B7BAE" w:rsidRPr="008901C1" w:rsidRDefault="006B7BAE" w:rsidP="00D34AE5">
            <w:pPr>
              <w:rPr>
                <w:rFonts w:cs="Times New Roman"/>
                <w:color w:val="000000"/>
                <w:szCs w:val="24"/>
              </w:rPr>
            </w:pPr>
            <w:r>
              <w:rPr>
                <w:rFonts w:cs="Times New Roman"/>
                <w:color w:val="000000"/>
                <w:szCs w:val="24"/>
              </w:rPr>
              <w:t>Breakfast</w:t>
            </w:r>
          </w:p>
        </w:tc>
        <w:tc>
          <w:tcPr>
            <w:tcW w:w="1075" w:type="dxa"/>
            <w:gridSpan w:val="2"/>
            <w:tcBorders>
              <w:left w:val="single" w:sz="4" w:space="0" w:color="auto"/>
            </w:tcBorders>
            <w:noWrap/>
            <w:vAlign w:val="center"/>
          </w:tcPr>
          <w:p w14:paraId="4A904ABF" w14:textId="77777777" w:rsidR="006B7BAE" w:rsidRPr="008901C1" w:rsidRDefault="006B7BAE" w:rsidP="00906141">
            <w:pPr>
              <w:jc w:val="center"/>
              <w:rPr>
                <w:rFonts w:cs="Times New Roman"/>
                <w:color w:val="000000"/>
                <w:szCs w:val="24"/>
              </w:rPr>
            </w:pPr>
            <w:r>
              <w:rPr>
                <w:rFonts w:cs="Times New Roman"/>
                <w:color w:val="000000"/>
                <w:szCs w:val="24"/>
              </w:rPr>
              <w:t>$2.37</w:t>
            </w:r>
          </w:p>
        </w:tc>
        <w:tc>
          <w:tcPr>
            <w:tcW w:w="1350" w:type="dxa"/>
            <w:tcBorders>
              <w:left w:val="single" w:sz="4" w:space="0" w:color="auto"/>
            </w:tcBorders>
            <w:vAlign w:val="center"/>
          </w:tcPr>
          <w:p w14:paraId="6C84290B" w14:textId="09018108" w:rsidR="006B7BAE" w:rsidRPr="008901C1" w:rsidRDefault="00900CAA" w:rsidP="00906141">
            <w:pPr>
              <w:jc w:val="center"/>
              <w:rPr>
                <w:rFonts w:cs="Times New Roman"/>
                <w:color w:val="000000"/>
                <w:szCs w:val="24"/>
              </w:rPr>
            </w:pPr>
            <w:r>
              <w:rPr>
                <w:rFonts w:cs="Times New Roman"/>
                <w:color w:val="000000"/>
                <w:szCs w:val="24"/>
              </w:rPr>
              <w:t>N/A</w:t>
            </w:r>
          </w:p>
        </w:tc>
        <w:tc>
          <w:tcPr>
            <w:tcW w:w="2520" w:type="dxa"/>
            <w:tcBorders>
              <w:left w:val="nil"/>
              <w:bottom w:val="single" w:sz="4" w:space="0" w:color="auto"/>
            </w:tcBorders>
            <w:vAlign w:val="center"/>
          </w:tcPr>
          <w:p w14:paraId="6C2D6EE2" w14:textId="0A160EE2" w:rsidR="006B7BAE" w:rsidRPr="008901C1" w:rsidRDefault="00900CAA" w:rsidP="00906141">
            <w:pPr>
              <w:jc w:val="center"/>
              <w:rPr>
                <w:rFonts w:cs="Times New Roman"/>
                <w:color w:val="000000"/>
                <w:szCs w:val="24"/>
              </w:rPr>
            </w:pPr>
            <w:r>
              <w:rPr>
                <w:rFonts w:cs="Times New Roman"/>
                <w:color w:val="000000"/>
                <w:szCs w:val="24"/>
              </w:rPr>
              <w:t>N/A</w:t>
            </w:r>
          </w:p>
        </w:tc>
      </w:tr>
      <w:tr w:rsidR="00341F5A" w:rsidRPr="008901C1" w14:paraId="7B840822" w14:textId="77777777" w:rsidTr="00900CAA">
        <w:trPr>
          <w:trHeight w:val="315"/>
        </w:trPr>
        <w:tc>
          <w:tcPr>
            <w:tcW w:w="1530" w:type="dxa"/>
            <w:tcBorders>
              <w:right w:val="single" w:sz="4" w:space="0" w:color="auto"/>
            </w:tcBorders>
            <w:noWrap/>
            <w:vAlign w:val="center"/>
          </w:tcPr>
          <w:p w14:paraId="2D09F9C9" w14:textId="2032014B" w:rsidR="00341F5A" w:rsidRDefault="00900CAA" w:rsidP="008901C1">
            <w:pPr>
              <w:jc w:val="center"/>
              <w:rPr>
                <w:rFonts w:cs="Times New Roman"/>
                <w:color w:val="000000"/>
                <w:szCs w:val="24"/>
              </w:rPr>
            </w:pPr>
            <w:r>
              <w:rPr>
                <w:rFonts w:cs="Times New Roman"/>
                <w:color w:val="000000"/>
                <w:szCs w:val="24"/>
              </w:rPr>
              <w:t>At-Risk CACFP</w:t>
            </w:r>
          </w:p>
        </w:tc>
        <w:tc>
          <w:tcPr>
            <w:tcW w:w="2885" w:type="dxa"/>
            <w:tcBorders>
              <w:left w:val="single" w:sz="4" w:space="0" w:color="auto"/>
              <w:right w:val="single" w:sz="4" w:space="0" w:color="auto"/>
            </w:tcBorders>
            <w:noWrap/>
          </w:tcPr>
          <w:p w14:paraId="72C05102" w14:textId="1D061A03" w:rsidR="00341F5A" w:rsidRDefault="00341F5A" w:rsidP="008901C1">
            <w:pPr>
              <w:rPr>
                <w:rFonts w:cs="Times New Roman"/>
                <w:color w:val="000000"/>
                <w:szCs w:val="24"/>
              </w:rPr>
            </w:pPr>
            <w:r>
              <w:rPr>
                <w:rFonts w:cs="Times New Roman"/>
                <w:color w:val="000000"/>
                <w:szCs w:val="24"/>
              </w:rPr>
              <w:t>Lunch/Supper</w:t>
            </w:r>
          </w:p>
        </w:tc>
        <w:tc>
          <w:tcPr>
            <w:tcW w:w="1075" w:type="dxa"/>
            <w:gridSpan w:val="2"/>
            <w:tcBorders>
              <w:left w:val="single" w:sz="4" w:space="0" w:color="auto"/>
            </w:tcBorders>
            <w:noWrap/>
            <w:vAlign w:val="center"/>
          </w:tcPr>
          <w:p w14:paraId="4A646C41" w14:textId="77777777" w:rsidR="00341F5A" w:rsidRPr="008901C1" w:rsidRDefault="00341F5A" w:rsidP="00906141">
            <w:pPr>
              <w:jc w:val="center"/>
              <w:rPr>
                <w:rFonts w:cs="Times New Roman"/>
                <w:color w:val="000000"/>
                <w:szCs w:val="24"/>
              </w:rPr>
            </w:pPr>
            <w:r>
              <w:rPr>
                <w:rFonts w:cs="Times New Roman"/>
                <w:color w:val="000000"/>
                <w:szCs w:val="24"/>
              </w:rPr>
              <w:t>$4.43</w:t>
            </w:r>
          </w:p>
        </w:tc>
        <w:tc>
          <w:tcPr>
            <w:tcW w:w="1350" w:type="dxa"/>
            <w:tcBorders>
              <w:left w:val="single" w:sz="4" w:space="0" w:color="auto"/>
            </w:tcBorders>
            <w:vAlign w:val="center"/>
          </w:tcPr>
          <w:p w14:paraId="071CB444" w14:textId="7E4EF3D9" w:rsidR="00341F5A" w:rsidRPr="008901C1" w:rsidRDefault="00900CAA" w:rsidP="00906141">
            <w:pPr>
              <w:jc w:val="center"/>
              <w:rPr>
                <w:rFonts w:cs="Times New Roman"/>
                <w:color w:val="000000"/>
                <w:szCs w:val="24"/>
              </w:rPr>
            </w:pPr>
            <w:r>
              <w:rPr>
                <w:rFonts w:cs="Times New Roman"/>
                <w:color w:val="000000"/>
                <w:szCs w:val="24"/>
              </w:rPr>
              <w:t>N/A</w:t>
            </w:r>
          </w:p>
        </w:tc>
        <w:tc>
          <w:tcPr>
            <w:tcW w:w="2520" w:type="dxa"/>
            <w:tcBorders>
              <w:left w:val="nil"/>
              <w:bottom w:val="single" w:sz="4" w:space="0" w:color="auto"/>
            </w:tcBorders>
            <w:vAlign w:val="center"/>
          </w:tcPr>
          <w:p w14:paraId="505582B4" w14:textId="29AF9A40" w:rsidR="00341F5A" w:rsidRPr="008901C1" w:rsidRDefault="00900CAA" w:rsidP="00906141">
            <w:pPr>
              <w:jc w:val="center"/>
              <w:rPr>
                <w:rFonts w:cs="Times New Roman"/>
                <w:color w:val="000000"/>
                <w:szCs w:val="24"/>
              </w:rPr>
            </w:pPr>
            <w:r>
              <w:rPr>
                <w:rFonts w:cs="Times New Roman"/>
                <w:color w:val="000000"/>
                <w:szCs w:val="24"/>
              </w:rPr>
              <w:t>N/A</w:t>
            </w:r>
          </w:p>
        </w:tc>
      </w:tr>
      <w:tr w:rsidR="00341F5A" w:rsidRPr="008901C1" w14:paraId="1AC91868" w14:textId="77777777" w:rsidTr="00900CAA">
        <w:trPr>
          <w:trHeight w:val="315"/>
        </w:trPr>
        <w:tc>
          <w:tcPr>
            <w:tcW w:w="1530" w:type="dxa"/>
            <w:tcBorders>
              <w:right w:val="single" w:sz="4" w:space="0" w:color="auto"/>
            </w:tcBorders>
            <w:noWrap/>
            <w:vAlign w:val="center"/>
          </w:tcPr>
          <w:p w14:paraId="45DDE73E" w14:textId="464DE9C3" w:rsidR="00341F5A" w:rsidRDefault="00900CAA" w:rsidP="008901C1">
            <w:pPr>
              <w:jc w:val="center"/>
              <w:rPr>
                <w:rFonts w:cs="Times New Roman"/>
                <w:color w:val="000000"/>
                <w:szCs w:val="24"/>
              </w:rPr>
            </w:pPr>
            <w:r>
              <w:rPr>
                <w:rFonts w:cs="Times New Roman"/>
                <w:color w:val="000000"/>
                <w:szCs w:val="24"/>
              </w:rPr>
              <w:lastRenderedPageBreak/>
              <w:t>At-Risk CACFP</w:t>
            </w:r>
          </w:p>
        </w:tc>
        <w:tc>
          <w:tcPr>
            <w:tcW w:w="2885" w:type="dxa"/>
            <w:tcBorders>
              <w:left w:val="single" w:sz="4" w:space="0" w:color="auto"/>
              <w:right w:val="single" w:sz="4" w:space="0" w:color="auto"/>
            </w:tcBorders>
            <w:noWrap/>
          </w:tcPr>
          <w:p w14:paraId="6CFD0F5C" w14:textId="716FEF87" w:rsidR="00341F5A" w:rsidRDefault="00341F5A" w:rsidP="008901C1">
            <w:pPr>
              <w:rPr>
                <w:rFonts w:cs="Times New Roman"/>
                <w:color w:val="000000"/>
                <w:szCs w:val="24"/>
              </w:rPr>
            </w:pPr>
            <w:r>
              <w:rPr>
                <w:rFonts w:cs="Times New Roman"/>
                <w:color w:val="000000"/>
                <w:szCs w:val="24"/>
              </w:rPr>
              <w:t>Snack</w:t>
            </w:r>
          </w:p>
        </w:tc>
        <w:tc>
          <w:tcPr>
            <w:tcW w:w="1075" w:type="dxa"/>
            <w:gridSpan w:val="2"/>
            <w:tcBorders>
              <w:left w:val="single" w:sz="4" w:space="0" w:color="auto"/>
            </w:tcBorders>
            <w:noWrap/>
            <w:vAlign w:val="center"/>
          </w:tcPr>
          <w:p w14:paraId="2BA3FA57" w14:textId="77777777" w:rsidR="00341F5A" w:rsidRPr="008901C1" w:rsidRDefault="00341F5A" w:rsidP="00906141">
            <w:pPr>
              <w:jc w:val="center"/>
              <w:rPr>
                <w:rFonts w:cs="Times New Roman"/>
                <w:color w:val="000000"/>
                <w:szCs w:val="24"/>
              </w:rPr>
            </w:pPr>
            <w:r>
              <w:rPr>
                <w:rFonts w:cs="Times New Roman"/>
                <w:color w:val="000000"/>
                <w:szCs w:val="24"/>
              </w:rPr>
              <w:t>$1.21</w:t>
            </w:r>
          </w:p>
        </w:tc>
        <w:tc>
          <w:tcPr>
            <w:tcW w:w="1350" w:type="dxa"/>
            <w:tcBorders>
              <w:left w:val="single" w:sz="4" w:space="0" w:color="auto"/>
            </w:tcBorders>
            <w:vAlign w:val="center"/>
          </w:tcPr>
          <w:p w14:paraId="40E8B596" w14:textId="5EF8EE32" w:rsidR="00341F5A" w:rsidRPr="008901C1" w:rsidRDefault="00900CAA" w:rsidP="00906141">
            <w:pPr>
              <w:jc w:val="center"/>
              <w:rPr>
                <w:rFonts w:cs="Times New Roman"/>
                <w:color w:val="000000"/>
                <w:szCs w:val="24"/>
              </w:rPr>
            </w:pPr>
            <w:r>
              <w:rPr>
                <w:rFonts w:cs="Times New Roman"/>
                <w:color w:val="000000"/>
                <w:szCs w:val="24"/>
              </w:rPr>
              <w:t>N/A</w:t>
            </w:r>
          </w:p>
        </w:tc>
        <w:tc>
          <w:tcPr>
            <w:tcW w:w="2520" w:type="dxa"/>
            <w:tcBorders>
              <w:left w:val="nil"/>
            </w:tcBorders>
            <w:vAlign w:val="center"/>
          </w:tcPr>
          <w:p w14:paraId="30CBF029" w14:textId="00505F17" w:rsidR="00341F5A" w:rsidRPr="008901C1" w:rsidRDefault="00900CAA" w:rsidP="00906141">
            <w:pPr>
              <w:jc w:val="center"/>
              <w:rPr>
                <w:rFonts w:cs="Times New Roman"/>
                <w:color w:val="000000"/>
                <w:szCs w:val="24"/>
              </w:rPr>
            </w:pPr>
            <w:r>
              <w:rPr>
                <w:rFonts w:cs="Times New Roman"/>
                <w:color w:val="000000"/>
                <w:szCs w:val="24"/>
              </w:rPr>
              <w:t>N/A</w:t>
            </w:r>
          </w:p>
        </w:tc>
      </w:tr>
    </w:tbl>
    <w:p w14:paraId="7B04EBB8" w14:textId="35C9EF17" w:rsidR="00865259" w:rsidRPr="00865259" w:rsidRDefault="00DB0777" w:rsidP="00DB0777">
      <w:pPr>
        <w:spacing w:before="240" w:after="240"/>
      </w:pPr>
      <w:r>
        <w:t>Please note that the Cash in Lieu portion of the USDA Foods reimbursement rate has not yet been published. This information will be provided when it is made available from the Federal Register.</w:t>
      </w:r>
    </w:p>
    <w:p w14:paraId="7004DA3B" w14:textId="117EED73" w:rsidR="006A17F2" w:rsidRPr="004D43FE" w:rsidRDefault="00782507" w:rsidP="00906141">
      <w:pPr>
        <w:pStyle w:val="Heading3"/>
        <w:rPr>
          <w:szCs w:val="24"/>
        </w:rPr>
      </w:pPr>
      <w:r w:rsidRPr="00906141">
        <w:rPr>
          <w:sz w:val="24"/>
          <w:szCs w:val="24"/>
        </w:rPr>
        <w:t>Fiscal Year 2025-2026 Breakfast Incentive Payments</w:t>
      </w:r>
    </w:p>
    <w:p w14:paraId="58E630E8" w14:textId="7A989011" w:rsidR="009766FF" w:rsidRPr="008901C1" w:rsidRDefault="00632451" w:rsidP="008901C1">
      <w:pPr>
        <w:rPr>
          <w:rFonts w:eastAsia="Times New Roman" w:cs="Times New Roman"/>
          <w:color w:val="333333"/>
          <w:szCs w:val="24"/>
        </w:rPr>
      </w:pPr>
      <w:r w:rsidRPr="008901C1">
        <w:rPr>
          <w:rFonts w:cs="Times New Roman"/>
          <w:szCs w:val="24"/>
        </w:rPr>
        <w:t xml:space="preserve">The General Assembly appropriated </w:t>
      </w:r>
      <w:r w:rsidR="00B90F04" w:rsidRPr="008901C1">
        <w:rPr>
          <w:rFonts w:cs="Times New Roman"/>
          <w:szCs w:val="24"/>
          <w:shd w:val="clear" w:color="auto" w:fill="FFFFFF"/>
        </w:rPr>
        <w:t>$2.4 million</w:t>
      </w:r>
      <w:r w:rsidR="00B90F04" w:rsidRPr="008901C1">
        <w:rPr>
          <w:rFonts w:cs="Times New Roman"/>
          <w:szCs w:val="24"/>
        </w:rPr>
        <w:t xml:space="preserve"> and </w:t>
      </w:r>
      <w:r w:rsidR="00B90F04" w:rsidRPr="008901C1">
        <w:rPr>
          <w:rFonts w:cs="Times New Roman"/>
          <w:szCs w:val="24"/>
          <w:shd w:val="clear" w:color="auto" w:fill="FFFFFF"/>
        </w:rPr>
        <w:t>$2.7 million general funds for</w:t>
      </w:r>
      <w:r w:rsidR="00B90F04" w:rsidRPr="008901C1">
        <w:rPr>
          <w:rFonts w:cs="Times New Roman"/>
          <w:szCs w:val="24"/>
        </w:rPr>
        <w:t xml:space="preserve"> fiscal year (</w:t>
      </w:r>
      <w:r w:rsidR="004A7835" w:rsidRPr="008901C1">
        <w:rPr>
          <w:rFonts w:cs="Times New Roman"/>
          <w:szCs w:val="24"/>
          <w:shd w:val="clear" w:color="auto" w:fill="FFFFFF"/>
        </w:rPr>
        <w:t>FY</w:t>
      </w:r>
      <w:r w:rsidR="00B90F04" w:rsidRPr="008901C1">
        <w:rPr>
          <w:rFonts w:cs="Times New Roman"/>
          <w:szCs w:val="24"/>
          <w:shd w:val="clear" w:color="auto" w:fill="FFFFFF"/>
        </w:rPr>
        <w:t>)</w:t>
      </w:r>
      <w:r w:rsidR="004A7835" w:rsidRPr="008901C1">
        <w:rPr>
          <w:rFonts w:cs="Times New Roman"/>
          <w:szCs w:val="24"/>
          <w:shd w:val="clear" w:color="auto" w:fill="FFFFFF"/>
        </w:rPr>
        <w:t xml:space="preserve"> 2025</w:t>
      </w:r>
      <w:r w:rsidR="00B90F04" w:rsidRPr="008901C1">
        <w:rPr>
          <w:rFonts w:cs="Times New Roman"/>
          <w:szCs w:val="24"/>
          <w:shd w:val="clear" w:color="auto" w:fill="FFFFFF"/>
        </w:rPr>
        <w:t xml:space="preserve"> and</w:t>
      </w:r>
      <w:r w:rsidR="004A7835" w:rsidRPr="008901C1">
        <w:rPr>
          <w:rFonts w:cs="Times New Roman"/>
          <w:szCs w:val="24"/>
          <w:shd w:val="clear" w:color="auto" w:fill="FFFFFF"/>
        </w:rPr>
        <w:t xml:space="preserve"> FY 2026</w:t>
      </w:r>
      <w:r w:rsidR="00B90F04" w:rsidRPr="008901C1">
        <w:rPr>
          <w:rFonts w:cs="Times New Roman"/>
          <w:szCs w:val="24"/>
          <w:shd w:val="clear" w:color="auto" w:fill="FFFFFF"/>
        </w:rPr>
        <w:t>, respectively,</w:t>
      </w:r>
      <w:r w:rsidR="004A7835" w:rsidRPr="008901C1">
        <w:rPr>
          <w:rFonts w:cs="Times New Roman"/>
          <w:szCs w:val="24"/>
          <w:shd w:val="clear" w:color="auto" w:fill="FFFFFF"/>
        </w:rPr>
        <w:t xml:space="preserve"> </w:t>
      </w:r>
      <w:r w:rsidR="004A7835" w:rsidRPr="008901C1">
        <w:rPr>
          <w:rFonts w:cs="Times New Roman"/>
          <w:b/>
          <w:bCs/>
          <w:szCs w:val="24"/>
          <w:shd w:val="clear" w:color="auto" w:fill="FFFFFF"/>
        </w:rPr>
        <w:t>to increase the reimbursement rate for school breakfasts from $0.22 to $0.28 per</w:t>
      </w:r>
      <w:r w:rsidR="00456D58" w:rsidRPr="008901C1">
        <w:rPr>
          <w:rFonts w:cs="Times New Roman"/>
          <w:b/>
          <w:bCs/>
          <w:szCs w:val="24"/>
          <w:shd w:val="clear" w:color="auto" w:fill="FFFFFF"/>
        </w:rPr>
        <w:t xml:space="preserve"> breakfast</w:t>
      </w:r>
      <w:r w:rsidR="004A7835" w:rsidRPr="008901C1">
        <w:rPr>
          <w:rFonts w:cs="Times New Roman"/>
          <w:b/>
          <w:bCs/>
          <w:szCs w:val="24"/>
          <w:shd w:val="clear" w:color="auto" w:fill="FFFFFF"/>
        </w:rPr>
        <w:t xml:space="preserve"> meal</w:t>
      </w:r>
      <w:r w:rsidR="00456D58" w:rsidRPr="008901C1">
        <w:rPr>
          <w:rFonts w:cs="Times New Roman"/>
          <w:b/>
          <w:bCs/>
          <w:szCs w:val="24"/>
          <w:shd w:val="clear" w:color="auto" w:fill="FFFFFF"/>
        </w:rPr>
        <w:t xml:space="preserve"> served above the base year number</w:t>
      </w:r>
      <w:r w:rsidR="004A7835" w:rsidRPr="008901C1">
        <w:rPr>
          <w:rFonts w:cs="Times New Roman"/>
          <w:szCs w:val="24"/>
          <w:shd w:val="clear" w:color="auto" w:fill="FFFFFF"/>
        </w:rPr>
        <w:t xml:space="preserve">. </w:t>
      </w:r>
      <w:r w:rsidR="004A7835" w:rsidRPr="008901C1">
        <w:rPr>
          <w:rFonts w:cs="Times New Roman"/>
          <w:szCs w:val="24"/>
        </w:rPr>
        <w:t>These funds are</w:t>
      </w:r>
      <w:r w:rsidR="00EB744B" w:rsidRPr="008901C1">
        <w:rPr>
          <w:rFonts w:eastAsia="Times New Roman" w:cs="Times New Roman"/>
          <w:color w:val="333333"/>
          <w:szCs w:val="24"/>
        </w:rPr>
        <w:t xml:space="preserve"> to continue a </w:t>
      </w:r>
      <w:r w:rsidR="00341F5A">
        <w:rPr>
          <w:rFonts w:eastAsia="Times New Roman" w:cs="Times New Roman"/>
          <w:color w:val="333333"/>
          <w:szCs w:val="24"/>
        </w:rPr>
        <w:t>state-funded</w:t>
      </w:r>
      <w:r w:rsidR="00EB744B" w:rsidRPr="008901C1">
        <w:rPr>
          <w:rFonts w:eastAsia="Times New Roman" w:cs="Times New Roman"/>
          <w:color w:val="333333"/>
          <w:szCs w:val="24"/>
        </w:rPr>
        <w:t xml:space="preserve"> incentive program to maximize federal school nutrition revenues and increase student participation in the </w:t>
      </w:r>
      <w:r w:rsidR="00341F5A">
        <w:rPr>
          <w:rFonts w:eastAsia="Times New Roman" w:cs="Times New Roman"/>
          <w:color w:val="333333"/>
          <w:szCs w:val="24"/>
        </w:rPr>
        <w:t>SBP.</w:t>
      </w:r>
      <w:r w:rsidR="00EB744B" w:rsidRPr="008901C1">
        <w:rPr>
          <w:rFonts w:eastAsia="Times New Roman" w:cs="Times New Roman"/>
          <w:color w:val="333333"/>
          <w:szCs w:val="24"/>
        </w:rPr>
        <w:t xml:space="preserve"> </w:t>
      </w:r>
    </w:p>
    <w:p w14:paraId="59B8ECAC" w14:textId="18E1B9F6" w:rsidR="00EB744B" w:rsidRPr="008901C1" w:rsidRDefault="009766FF" w:rsidP="008901C1">
      <w:pPr>
        <w:rPr>
          <w:rFonts w:cs="Times New Roman"/>
          <w:szCs w:val="24"/>
        </w:rPr>
      </w:pPr>
      <w:r w:rsidRPr="008901C1">
        <w:rPr>
          <w:rFonts w:cs="Times New Roman"/>
          <w:szCs w:val="24"/>
        </w:rPr>
        <w:t>Incentive</w:t>
      </w:r>
      <w:r w:rsidR="00EB744B" w:rsidRPr="008901C1">
        <w:rPr>
          <w:rFonts w:cs="Times New Roman"/>
          <w:szCs w:val="24"/>
        </w:rPr>
        <w:t xml:space="preserve"> funds are available to any </w:t>
      </w:r>
      <w:r w:rsidR="001D7009" w:rsidRPr="008901C1">
        <w:rPr>
          <w:rFonts w:cs="Times New Roman"/>
          <w:szCs w:val="24"/>
        </w:rPr>
        <w:t>public-school</w:t>
      </w:r>
      <w:r w:rsidR="00EB744B" w:rsidRPr="008901C1">
        <w:rPr>
          <w:rFonts w:cs="Times New Roman"/>
          <w:szCs w:val="24"/>
        </w:rPr>
        <w:t xml:space="preserve"> division as a reimbursement for breakfast meals served that are </w:t>
      </w:r>
      <w:proofErr w:type="gramStart"/>
      <w:r w:rsidR="00EB744B" w:rsidRPr="008901C1">
        <w:rPr>
          <w:rFonts w:cs="Times New Roman"/>
          <w:szCs w:val="24"/>
        </w:rPr>
        <w:t>in excess of</w:t>
      </w:r>
      <w:proofErr w:type="gramEnd"/>
      <w:r w:rsidR="00EB744B" w:rsidRPr="008901C1">
        <w:rPr>
          <w:rFonts w:cs="Times New Roman"/>
          <w:szCs w:val="24"/>
        </w:rPr>
        <w:t xml:space="preserve"> the baseline established by the</w:t>
      </w:r>
      <w:r w:rsidR="00B41CE9" w:rsidRPr="008901C1">
        <w:rPr>
          <w:rFonts w:cs="Times New Roman"/>
          <w:szCs w:val="24"/>
        </w:rPr>
        <w:t xml:space="preserve"> Virginia</w:t>
      </w:r>
      <w:r w:rsidR="00EB744B" w:rsidRPr="008901C1">
        <w:rPr>
          <w:rFonts w:cs="Times New Roman"/>
          <w:szCs w:val="24"/>
        </w:rPr>
        <w:t xml:space="preserve"> Department of Education</w:t>
      </w:r>
      <w:r w:rsidR="00B41CE9" w:rsidRPr="008901C1">
        <w:rPr>
          <w:rFonts w:cs="Times New Roman"/>
          <w:szCs w:val="24"/>
        </w:rPr>
        <w:t xml:space="preserve"> (VDOE</w:t>
      </w:r>
      <w:r w:rsidR="00341F5A">
        <w:rPr>
          <w:rFonts w:cs="Times New Roman"/>
          <w:szCs w:val="24"/>
        </w:rPr>
        <w:t>)</w:t>
      </w:r>
      <w:r w:rsidR="00CF7FDE" w:rsidRPr="008901C1">
        <w:rPr>
          <w:rFonts w:cs="Times New Roman"/>
          <w:szCs w:val="24"/>
        </w:rPr>
        <w:t xml:space="preserve">. </w:t>
      </w:r>
      <w:r w:rsidR="00341F5A">
        <w:rPr>
          <w:rFonts w:cs="Times New Roman"/>
          <w:szCs w:val="24"/>
        </w:rPr>
        <w:t xml:space="preserve">The </w:t>
      </w:r>
      <w:r w:rsidR="00B41CE9" w:rsidRPr="008901C1">
        <w:rPr>
          <w:rFonts w:cs="Times New Roman"/>
          <w:szCs w:val="24"/>
        </w:rPr>
        <w:t xml:space="preserve">VDOE </w:t>
      </w:r>
      <w:r w:rsidR="00EB744B" w:rsidRPr="008901C1">
        <w:rPr>
          <w:rFonts w:cs="Times New Roman"/>
          <w:szCs w:val="24"/>
        </w:rPr>
        <w:t xml:space="preserve">is authorized, but not required to reduce this amount proportionately </w:t>
      </w:r>
      <w:r w:rsidR="00341F5A">
        <w:rPr>
          <w:rFonts w:cs="Times New Roman"/>
          <w:szCs w:val="24"/>
        </w:rPr>
        <w:t>if</w:t>
      </w:r>
      <w:r w:rsidR="00EB744B" w:rsidRPr="008901C1">
        <w:rPr>
          <w:rFonts w:cs="Times New Roman"/>
          <w:szCs w:val="24"/>
        </w:rPr>
        <w:t xml:space="preserve"> the actual number of meals to be reimbursed exceeds the number on which this appropriation is based so that this appropriation is not exceeded. </w:t>
      </w:r>
    </w:p>
    <w:p w14:paraId="3F45395B" w14:textId="5438B173" w:rsidR="00396FCF" w:rsidRPr="008901C1" w:rsidRDefault="00B56FD6" w:rsidP="008901C1">
      <w:pPr>
        <w:rPr>
          <w:rFonts w:cs="Times New Roman"/>
          <w:szCs w:val="24"/>
        </w:rPr>
      </w:pPr>
      <w:r w:rsidRPr="008901C1">
        <w:rPr>
          <w:rFonts w:cs="Times New Roman"/>
          <w:szCs w:val="24"/>
        </w:rPr>
        <w:t xml:space="preserve">These funds must be credited to the </w:t>
      </w:r>
      <w:r w:rsidR="00DC3056" w:rsidRPr="008901C1">
        <w:rPr>
          <w:rFonts w:cs="Times New Roman"/>
          <w:szCs w:val="24"/>
        </w:rPr>
        <w:t>nonprofit school nutrition</w:t>
      </w:r>
      <w:r w:rsidRPr="008901C1">
        <w:rPr>
          <w:rFonts w:cs="Times New Roman"/>
          <w:szCs w:val="24"/>
        </w:rPr>
        <w:t xml:space="preserve"> account and may not be used for any other purpose</w:t>
      </w:r>
      <w:r w:rsidR="002D41CA" w:rsidRPr="008901C1">
        <w:rPr>
          <w:rFonts w:cs="Times New Roman"/>
          <w:szCs w:val="24"/>
        </w:rPr>
        <w:t>.</w:t>
      </w:r>
      <w:r w:rsidRPr="008901C1">
        <w:rPr>
          <w:rFonts w:cs="Times New Roman"/>
          <w:szCs w:val="24"/>
        </w:rPr>
        <w:t xml:space="preserve"> </w:t>
      </w:r>
      <w:r w:rsidR="00932BC3" w:rsidRPr="008901C1">
        <w:rPr>
          <w:rFonts w:cs="Times New Roman"/>
          <w:szCs w:val="24"/>
        </w:rPr>
        <w:t>Incentive</w:t>
      </w:r>
      <w:r w:rsidR="00341F5A">
        <w:rPr>
          <w:rFonts w:cs="Times New Roman"/>
          <w:szCs w:val="24"/>
        </w:rPr>
        <w:t>s</w:t>
      </w:r>
      <w:r w:rsidR="00932BC3" w:rsidRPr="008901C1">
        <w:rPr>
          <w:rFonts w:cs="Times New Roman"/>
          <w:szCs w:val="24"/>
        </w:rPr>
        <w:t xml:space="preserve"> </w:t>
      </w:r>
      <w:r w:rsidR="00262A38" w:rsidRPr="008901C1">
        <w:rPr>
          <w:rFonts w:cs="Times New Roman"/>
          <w:szCs w:val="24"/>
        </w:rPr>
        <w:t xml:space="preserve">are </w:t>
      </w:r>
      <w:r w:rsidR="00341F5A">
        <w:rPr>
          <w:rFonts w:cs="Times New Roman"/>
          <w:szCs w:val="24"/>
        </w:rPr>
        <w:t>paid</w:t>
      </w:r>
      <w:r w:rsidR="00262A38" w:rsidRPr="008901C1">
        <w:rPr>
          <w:rFonts w:cs="Times New Roman"/>
          <w:szCs w:val="24"/>
        </w:rPr>
        <w:t xml:space="preserve"> on a</w:t>
      </w:r>
      <w:r w:rsidR="002B427F" w:rsidRPr="008901C1">
        <w:rPr>
          <w:rFonts w:cs="Times New Roman"/>
          <w:szCs w:val="24"/>
        </w:rPr>
        <w:t xml:space="preserve"> semimonthly basis, </w:t>
      </w:r>
      <w:r w:rsidR="00262A38" w:rsidRPr="008901C1">
        <w:rPr>
          <w:rFonts w:cs="Times New Roman"/>
          <w:szCs w:val="24"/>
        </w:rPr>
        <w:t xml:space="preserve">from </w:t>
      </w:r>
      <w:r w:rsidR="002B427F" w:rsidRPr="008901C1">
        <w:rPr>
          <w:rFonts w:cs="Times New Roman"/>
          <w:szCs w:val="24"/>
        </w:rPr>
        <w:t>January</w:t>
      </w:r>
      <w:r w:rsidR="00341F5A">
        <w:rPr>
          <w:rFonts w:cs="Times New Roman"/>
          <w:szCs w:val="24"/>
        </w:rPr>
        <w:t>–</w:t>
      </w:r>
      <w:r w:rsidR="002B427F" w:rsidRPr="008901C1">
        <w:rPr>
          <w:rFonts w:cs="Times New Roman"/>
          <w:szCs w:val="24"/>
        </w:rPr>
        <w:t xml:space="preserve">June. More information for </w:t>
      </w:r>
      <w:r w:rsidR="007F02A3" w:rsidRPr="008901C1">
        <w:rPr>
          <w:rFonts w:cs="Times New Roman"/>
          <w:szCs w:val="24"/>
        </w:rPr>
        <w:t xml:space="preserve">FY 2024 </w:t>
      </w:r>
      <w:r w:rsidR="00E874BC" w:rsidRPr="008901C1">
        <w:rPr>
          <w:rFonts w:cs="Times New Roman"/>
          <w:szCs w:val="24"/>
        </w:rPr>
        <w:t xml:space="preserve">breakfast incentive payments </w:t>
      </w:r>
      <w:r w:rsidR="00341F5A">
        <w:rPr>
          <w:rFonts w:cs="Times New Roman"/>
          <w:szCs w:val="24"/>
        </w:rPr>
        <w:t>is</w:t>
      </w:r>
      <w:r w:rsidR="00341F5A" w:rsidRPr="008901C1">
        <w:rPr>
          <w:rFonts w:cs="Times New Roman"/>
          <w:szCs w:val="24"/>
        </w:rPr>
        <w:t xml:space="preserve"> </w:t>
      </w:r>
      <w:r w:rsidR="00E874BC" w:rsidRPr="008901C1">
        <w:rPr>
          <w:rFonts w:cs="Times New Roman"/>
          <w:szCs w:val="24"/>
        </w:rPr>
        <w:t xml:space="preserve">found </w:t>
      </w:r>
      <w:r w:rsidR="00341F5A">
        <w:rPr>
          <w:rFonts w:cs="Times New Roman"/>
          <w:szCs w:val="24"/>
        </w:rPr>
        <w:t>i</w:t>
      </w:r>
      <w:r w:rsidR="00E874BC" w:rsidRPr="008901C1">
        <w:rPr>
          <w:rFonts w:cs="Times New Roman"/>
          <w:szCs w:val="24"/>
        </w:rPr>
        <w:t xml:space="preserve">n </w:t>
      </w:r>
      <w:hyperlink r:id="rId10" w:history="1">
        <w:r w:rsidR="00DA106E" w:rsidRPr="008901C1">
          <w:rPr>
            <w:rStyle w:val="Hyperlink"/>
            <w:rFonts w:cs="Times New Roman"/>
            <w:szCs w:val="24"/>
          </w:rPr>
          <w:t>SCNP Memo #2023-2024-71</w:t>
        </w:r>
      </w:hyperlink>
      <w:r w:rsidR="00DA106E" w:rsidRPr="008901C1">
        <w:rPr>
          <w:rFonts w:cs="Times New Roman"/>
          <w:szCs w:val="24"/>
        </w:rPr>
        <w:t xml:space="preserve">. </w:t>
      </w:r>
    </w:p>
    <w:p w14:paraId="549802A1" w14:textId="4C582B38" w:rsidR="00027765" w:rsidRDefault="00477AB4" w:rsidP="008901C1">
      <w:pPr>
        <w:rPr>
          <w:rFonts w:cs="Times New Roman"/>
          <w:szCs w:val="24"/>
        </w:rPr>
      </w:pPr>
      <w:r w:rsidRPr="008901C1">
        <w:rPr>
          <w:rFonts w:cs="Times New Roman"/>
          <w:szCs w:val="24"/>
        </w:rPr>
        <w:t xml:space="preserve">A </w:t>
      </w:r>
      <w:r w:rsidR="00D56E08" w:rsidRPr="008901C1">
        <w:rPr>
          <w:rFonts w:cs="Times New Roman"/>
          <w:szCs w:val="24"/>
        </w:rPr>
        <w:t xml:space="preserve">director’s </w:t>
      </w:r>
      <w:r w:rsidRPr="008901C1">
        <w:rPr>
          <w:rFonts w:cs="Times New Roman"/>
          <w:szCs w:val="24"/>
        </w:rPr>
        <w:t xml:space="preserve">memo will be </w:t>
      </w:r>
      <w:r w:rsidR="00D56E08" w:rsidRPr="008901C1">
        <w:rPr>
          <w:rFonts w:cs="Times New Roman"/>
          <w:szCs w:val="24"/>
        </w:rPr>
        <w:t xml:space="preserve">distributed at the beginning of </w:t>
      </w:r>
      <w:r w:rsidRPr="008901C1">
        <w:rPr>
          <w:rFonts w:cs="Times New Roman"/>
          <w:szCs w:val="24"/>
        </w:rPr>
        <w:t xml:space="preserve">2025 with more information on the incentives and </w:t>
      </w:r>
      <w:r w:rsidR="00D60C12">
        <w:rPr>
          <w:rFonts w:cs="Times New Roman"/>
          <w:szCs w:val="24"/>
        </w:rPr>
        <w:t xml:space="preserve">payment timeline. </w:t>
      </w:r>
    </w:p>
    <w:p w14:paraId="11A7CFBE" w14:textId="35E1524B" w:rsidR="001D7009" w:rsidRDefault="001D7009" w:rsidP="008901C1">
      <w:pPr>
        <w:rPr>
          <w:rFonts w:cs="Times New Roman"/>
          <w:szCs w:val="24"/>
        </w:rPr>
      </w:pPr>
      <w:r>
        <w:rPr>
          <w:rFonts w:cs="Times New Roman"/>
          <w:szCs w:val="24"/>
        </w:rPr>
        <w:t xml:space="preserve">Please note that claims for the current month cannot be submitted until the first day of the following month. A best practice is to submit claims once for the month and within 30 days of the end of the month. </w:t>
      </w:r>
    </w:p>
    <w:p w14:paraId="5849C1B8" w14:textId="0820B7D5" w:rsidR="00D60C12" w:rsidRPr="008901C1" w:rsidRDefault="00D60C12" w:rsidP="008901C1">
      <w:pPr>
        <w:rPr>
          <w:rFonts w:cs="Times New Roman"/>
          <w:szCs w:val="24"/>
        </w:rPr>
      </w:pPr>
      <w:r>
        <w:rPr>
          <w:rFonts w:cs="Times New Roman"/>
          <w:szCs w:val="24"/>
        </w:rPr>
        <w:t xml:space="preserve">Questions regarding the meal reimbursement rates should be directed to </w:t>
      </w:r>
      <w:r w:rsidR="00B444E0">
        <w:rPr>
          <w:rFonts w:cs="Times New Roman"/>
          <w:szCs w:val="24"/>
        </w:rPr>
        <w:t xml:space="preserve">your assigned regional specialist. </w:t>
      </w:r>
    </w:p>
    <w:p w14:paraId="6D2415C4" w14:textId="4398A5B8" w:rsidR="00027765" w:rsidRPr="008901C1" w:rsidRDefault="00747A84" w:rsidP="008901C1">
      <w:pPr>
        <w:rPr>
          <w:rFonts w:cs="Times New Roman"/>
          <w:szCs w:val="24"/>
        </w:rPr>
      </w:pPr>
      <w:r w:rsidRPr="008901C1">
        <w:rPr>
          <w:rFonts w:cs="Times New Roman"/>
          <w:szCs w:val="24"/>
        </w:rPr>
        <w:t xml:space="preserve">Questions regarding the School Breakfast Incentive payment formula should be directed to the Budget Office via email at </w:t>
      </w:r>
      <w:hyperlink r:id="rId11" w:history="1">
        <w:r w:rsidRPr="008901C1">
          <w:rPr>
            <w:rStyle w:val="Hyperlink"/>
            <w:rFonts w:cs="Times New Roman"/>
            <w:szCs w:val="24"/>
          </w:rPr>
          <w:t>doe.budgetoffice@doe.virginia.gov</w:t>
        </w:r>
      </w:hyperlink>
      <w:r w:rsidRPr="008901C1">
        <w:rPr>
          <w:rFonts w:cs="Times New Roman"/>
          <w:szCs w:val="24"/>
        </w:rPr>
        <w:t>.</w:t>
      </w:r>
    </w:p>
    <w:p w14:paraId="43786920" w14:textId="5A4D9398" w:rsidR="00130FCB" w:rsidRPr="008901C1" w:rsidRDefault="00D565C0" w:rsidP="008901C1">
      <w:pPr>
        <w:rPr>
          <w:rFonts w:cs="Times New Roman"/>
          <w:color w:val="000000"/>
          <w:szCs w:val="24"/>
        </w:rPr>
      </w:pPr>
      <w:r w:rsidRPr="008901C1">
        <w:rPr>
          <w:rFonts w:cs="Times New Roman"/>
          <w:szCs w:val="24"/>
        </w:rPr>
        <w:t>SCC/SMG/</w:t>
      </w:r>
      <w:proofErr w:type="spellStart"/>
      <w:r w:rsidRPr="008901C1">
        <w:rPr>
          <w:rFonts w:cs="Times New Roman"/>
          <w:szCs w:val="24"/>
        </w:rPr>
        <w:t>fpb</w:t>
      </w:r>
      <w:proofErr w:type="spellEnd"/>
    </w:p>
    <w:sectPr w:rsidR="00130FCB" w:rsidRPr="008901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B654F" w14:textId="77777777" w:rsidR="003172AF" w:rsidRDefault="003172AF" w:rsidP="00B25322">
      <w:pPr>
        <w:spacing w:after="0" w:line="240" w:lineRule="auto"/>
      </w:pPr>
      <w:r>
        <w:separator/>
      </w:r>
    </w:p>
  </w:endnote>
  <w:endnote w:type="continuationSeparator" w:id="0">
    <w:p w14:paraId="5DE7B581" w14:textId="77777777" w:rsidR="003172AF" w:rsidRDefault="003172AF"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9B4F8" w14:textId="77777777" w:rsidR="003172AF" w:rsidRDefault="003172AF" w:rsidP="00B25322">
      <w:pPr>
        <w:spacing w:after="0" w:line="240" w:lineRule="auto"/>
      </w:pPr>
      <w:r>
        <w:separator/>
      </w:r>
    </w:p>
  </w:footnote>
  <w:footnote w:type="continuationSeparator" w:id="0">
    <w:p w14:paraId="1E08BBD7" w14:textId="77777777" w:rsidR="003172AF" w:rsidRDefault="003172AF"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890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17096"/>
    <w:rsid w:val="0001713D"/>
    <w:rsid w:val="00027765"/>
    <w:rsid w:val="000375B8"/>
    <w:rsid w:val="00062952"/>
    <w:rsid w:val="00065C27"/>
    <w:rsid w:val="00071047"/>
    <w:rsid w:val="000711A9"/>
    <w:rsid w:val="00082849"/>
    <w:rsid w:val="00082C96"/>
    <w:rsid w:val="00091C87"/>
    <w:rsid w:val="000C39E1"/>
    <w:rsid w:val="000D01CC"/>
    <w:rsid w:val="000D3280"/>
    <w:rsid w:val="000E2D83"/>
    <w:rsid w:val="000F5BC8"/>
    <w:rsid w:val="000F6B21"/>
    <w:rsid w:val="00113781"/>
    <w:rsid w:val="00130FCB"/>
    <w:rsid w:val="001328EB"/>
    <w:rsid w:val="001346C6"/>
    <w:rsid w:val="001459F4"/>
    <w:rsid w:val="001509F2"/>
    <w:rsid w:val="00165BDC"/>
    <w:rsid w:val="00167950"/>
    <w:rsid w:val="001A1297"/>
    <w:rsid w:val="001A78A6"/>
    <w:rsid w:val="001A793D"/>
    <w:rsid w:val="001C1641"/>
    <w:rsid w:val="001C51CB"/>
    <w:rsid w:val="001C582F"/>
    <w:rsid w:val="001D7009"/>
    <w:rsid w:val="001F5BEF"/>
    <w:rsid w:val="001F78BF"/>
    <w:rsid w:val="0020658C"/>
    <w:rsid w:val="00223595"/>
    <w:rsid w:val="00224F28"/>
    <w:rsid w:val="00227B1E"/>
    <w:rsid w:val="00241511"/>
    <w:rsid w:val="00245B88"/>
    <w:rsid w:val="002505BC"/>
    <w:rsid w:val="00262A38"/>
    <w:rsid w:val="002672D0"/>
    <w:rsid w:val="0027145D"/>
    <w:rsid w:val="00273F3F"/>
    <w:rsid w:val="00274F30"/>
    <w:rsid w:val="002A6350"/>
    <w:rsid w:val="002B418B"/>
    <w:rsid w:val="002B427F"/>
    <w:rsid w:val="002B51AE"/>
    <w:rsid w:val="002D0EFA"/>
    <w:rsid w:val="002D41CA"/>
    <w:rsid w:val="002E027B"/>
    <w:rsid w:val="002E0B52"/>
    <w:rsid w:val="002F2DAF"/>
    <w:rsid w:val="00300081"/>
    <w:rsid w:val="00301E97"/>
    <w:rsid w:val="00310C56"/>
    <w:rsid w:val="0031177E"/>
    <w:rsid w:val="00314F1F"/>
    <w:rsid w:val="003172AF"/>
    <w:rsid w:val="003238EA"/>
    <w:rsid w:val="00336A7C"/>
    <w:rsid w:val="00340E2E"/>
    <w:rsid w:val="00341F5A"/>
    <w:rsid w:val="00352DB7"/>
    <w:rsid w:val="0035581B"/>
    <w:rsid w:val="00363787"/>
    <w:rsid w:val="003639E1"/>
    <w:rsid w:val="003649B6"/>
    <w:rsid w:val="00396FCF"/>
    <w:rsid w:val="003A3A1F"/>
    <w:rsid w:val="003B7452"/>
    <w:rsid w:val="003C2EFA"/>
    <w:rsid w:val="003C4B37"/>
    <w:rsid w:val="003D79AA"/>
    <w:rsid w:val="003F7108"/>
    <w:rsid w:val="00406FF4"/>
    <w:rsid w:val="004125ED"/>
    <w:rsid w:val="004238A6"/>
    <w:rsid w:val="00436535"/>
    <w:rsid w:val="0044476F"/>
    <w:rsid w:val="00450A2A"/>
    <w:rsid w:val="00455269"/>
    <w:rsid w:val="00456D58"/>
    <w:rsid w:val="004574DA"/>
    <w:rsid w:val="004730D4"/>
    <w:rsid w:val="00477AB4"/>
    <w:rsid w:val="00480879"/>
    <w:rsid w:val="004829E4"/>
    <w:rsid w:val="00485E6E"/>
    <w:rsid w:val="00487EDC"/>
    <w:rsid w:val="0049697A"/>
    <w:rsid w:val="004A7835"/>
    <w:rsid w:val="004D01FA"/>
    <w:rsid w:val="004D43FE"/>
    <w:rsid w:val="004F340D"/>
    <w:rsid w:val="004F6547"/>
    <w:rsid w:val="004F7847"/>
    <w:rsid w:val="00536B40"/>
    <w:rsid w:val="00540BE5"/>
    <w:rsid w:val="00544584"/>
    <w:rsid w:val="0055372F"/>
    <w:rsid w:val="00557CCA"/>
    <w:rsid w:val="005600E2"/>
    <w:rsid w:val="005620A8"/>
    <w:rsid w:val="005C008F"/>
    <w:rsid w:val="005C09B1"/>
    <w:rsid w:val="005D61E2"/>
    <w:rsid w:val="005E06EF"/>
    <w:rsid w:val="005E1117"/>
    <w:rsid w:val="005F1B7C"/>
    <w:rsid w:val="005F66C6"/>
    <w:rsid w:val="006055C1"/>
    <w:rsid w:val="00606E92"/>
    <w:rsid w:val="00611CB0"/>
    <w:rsid w:val="00617930"/>
    <w:rsid w:val="0062171E"/>
    <w:rsid w:val="006246F7"/>
    <w:rsid w:val="00625A9B"/>
    <w:rsid w:val="00630C1F"/>
    <w:rsid w:val="00632451"/>
    <w:rsid w:val="00635BB8"/>
    <w:rsid w:val="0063637F"/>
    <w:rsid w:val="006434B5"/>
    <w:rsid w:val="00653DCC"/>
    <w:rsid w:val="006A17F2"/>
    <w:rsid w:val="006B5D03"/>
    <w:rsid w:val="006B7BAE"/>
    <w:rsid w:val="006C23B4"/>
    <w:rsid w:val="006F7352"/>
    <w:rsid w:val="00703884"/>
    <w:rsid w:val="007155F3"/>
    <w:rsid w:val="0073236D"/>
    <w:rsid w:val="007346FF"/>
    <w:rsid w:val="00747A84"/>
    <w:rsid w:val="00760FDE"/>
    <w:rsid w:val="00777B8E"/>
    <w:rsid w:val="00782507"/>
    <w:rsid w:val="00787807"/>
    <w:rsid w:val="00793593"/>
    <w:rsid w:val="00793E7B"/>
    <w:rsid w:val="007A73B4"/>
    <w:rsid w:val="007C0B3F"/>
    <w:rsid w:val="007C3E67"/>
    <w:rsid w:val="007D64FF"/>
    <w:rsid w:val="007D7226"/>
    <w:rsid w:val="007F02A3"/>
    <w:rsid w:val="007F26A2"/>
    <w:rsid w:val="00813589"/>
    <w:rsid w:val="00831165"/>
    <w:rsid w:val="00846B0C"/>
    <w:rsid w:val="00851C0B"/>
    <w:rsid w:val="00855727"/>
    <w:rsid w:val="00855F76"/>
    <w:rsid w:val="008631A7"/>
    <w:rsid w:val="00865259"/>
    <w:rsid w:val="008901C1"/>
    <w:rsid w:val="00896302"/>
    <w:rsid w:val="008A27D1"/>
    <w:rsid w:val="008A47E5"/>
    <w:rsid w:val="008B1AAE"/>
    <w:rsid w:val="008C4A46"/>
    <w:rsid w:val="008D4AC8"/>
    <w:rsid w:val="008D66A8"/>
    <w:rsid w:val="008E483D"/>
    <w:rsid w:val="00900CAA"/>
    <w:rsid w:val="0090147A"/>
    <w:rsid w:val="00906141"/>
    <w:rsid w:val="00906FEF"/>
    <w:rsid w:val="0092067D"/>
    <w:rsid w:val="00921FFF"/>
    <w:rsid w:val="00932BC3"/>
    <w:rsid w:val="00934B74"/>
    <w:rsid w:val="0093786B"/>
    <w:rsid w:val="00964AC8"/>
    <w:rsid w:val="009766FF"/>
    <w:rsid w:val="00977AFA"/>
    <w:rsid w:val="009925E6"/>
    <w:rsid w:val="00995B8F"/>
    <w:rsid w:val="009A2F46"/>
    <w:rsid w:val="009B51FA"/>
    <w:rsid w:val="009B6E04"/>
    <w:rsid w:val="009C5E00"/>
    <w:rsid w:val="009C7253"/>
    <w:rsid w:val="009E29F0"/>
    <w:rsid w:val="009E76B6"/>
    <w:rsid w:val="009F184A"/>
    <w:rsid w:val="00A001FE"/>
    <w:rsid w:val="00A150AE"/>
    <w:rsid w:val="00A17126"/>
    <w:rsid w:val="00A26586"/>
    <w:rsid w:val="00A30BC9"/>
    <w:rsid w:val="00A31259"/>
    <w:rsid w:val="00A3144F"/>
    <w:rsid w:val="00A4563F"/>
    <w:rsid w:val="00A530FA"/>
    <w:rsid w:val="00A61436"/>
    <w:rsid w:val="00A65EE6"/>
    <w:rsid w:val="00A677DC"/>
    <w:rsid w:val="00A67B2F"/>
    <w:rsid w:val="00A75C55"/>
    <w:rsid w:val="00A82D61"/>
    <w:rsid w:val="00A8444F"/>
    <w:rsid w:val="00A84C2E"/>
    <w:rsid w:val="00AD228F"/>
    <w:rsid w:val="00AD3A80"/>
    <w:rsid w:val="00AE194F"/>
    <w:rsid w:val="00AE2DF1"/>
    <w:rsid w:val="00AE4F93"/>
    <w:rsid w:val="00AE65FD"/>
    <w:rsid w:val="00B01E92"/>
    <w:rsid w:val="00B17BA8"/>
    <w:rsid w:val="00B25322"/>
    <w:rsid w:val="00B41CE9"/>
    <w:rsid w:val="00B444E0"/>
    <w:rsid w:val="00B56FD6"/>
    <w:rsid w:val="00B71ECF"/>
    <w:rsid w:val="00B83C04"/>
    <w:rsid w:val="00B90F04"/>
    <w:rsid w:val="00B95A4C"/>
    <w:rsid w:val="00BB1BA9"/>
    <w:rsid w:val="00BB2AC3"/>
    <w:rsid w:val="00BC1A9C"/>
    <w:rsid w:val="00BC3ED7"/>
    <w:rsid w:val="00BC7894"/>
    <w:rsid w:val="00BE00E6"/>
    <w:rsid w:val="00BE15FB"/>
    <w:rsid w:val="00BE3057"/>
    <w:rsid w:val="00C07DFE"/>
    <w:rsid w:val="00C23584"/>
    <w:rsid w:val="00C24D60"/>
    <w:rsid w:val="00C25FA1"/>
    <w:rsid w:val="00C33964"/>
    <w:rsid w:val="00C43DD3"/>
    <w:rsid w:val="00C46535"/>
    <w:rsid w:val="00C67A1D"/>
    <w:rsid w:val="00C707D4"/>
    <w:rsid w:val="00C748C8"/>
    <w:rsid w:val="00CA4767"/>
    <w:rsid w:val="00CA70A4"/>
    <w:rsid w:val="00CA770E"/>
    <w:rsid w:val="00CB1A6B"/>
    <w:rsid w:val="00CB4CB0"/>
    <w:rsid w:val="00CC6E63"/>
    <w:rsid w:val="00CD1662"/>
    <w:rsid w:val="00CF0233"/>
    <w:rsid w:val="00CF3C17"/>
    <w:rsid w:val="00CF7FDE"/>
    <w:rsid w:val="00D16999"/>
    <w:rsid w:val="00D2218A"/>
    <w:rsid w:val="00D25F61"/>
    <w:rsid w:val="00D319DC"/>
    <w:rsid w:val="00D34AE5"/>
    <w:rsid w:val="00D534B4"/>
    <w:rsid w:val="00D55B56"/>
    <w:rsid w:val="00D565C0"/>
    <w:rsid w:val="00D56E08"/>
    <w:rsid w:val="00D60C12"/>
    <w:rsid w:val="00D72E53"/>
    <w:rsid w:val="00D908FE"/>
    <w:rsid w:val="00DA106E"/>
    <w:rsid w:val="00DA14B1"/>
    <w:rsid w:val="00DB0777"/>
    <w:rsid w:val="00DB34BC"/>
    <w:rsid w:val="00DC3056"/>
    <w:rsid w:val="00DD368F"/>
    <w:rsid w:val="00DE2DDC"/>
    <w:rsid w:val="00DE36A1"/>
    <w:rsid w:val="00DE59FC"/>
    <w:rsid w:val="00E02F94"/>
    <w:rsid w:val="00E12E2F"/>
    <w:rsid w:val="00E17D35"/>
    <w:rsid w:val="00E32EF6"/>
    <w:rsid w:val="00E4085F"/>
    <w:rsid w:val="00E442AF"/>
    <w:rsid w:val="00E47753"/>
    <w:rsid w:val="00E75FCE"/>
    <w:rsid w:val="00E760E6"/>
    <w:rsid w:val="00E874BC"/>
    <w:rsid w:val="00EA0E16"/>
    <w:rsid w:val="00EA17C1"/>
    <w:rsid w:val="00EB138E"/>
    <w:rsid w:val="00EB268B"/>
    <w:rsid w:val="00EB2F6A"/>
    <w:rsid w:val="00EB744B"/>
    <w:rsid w:val="00ED07E4"/>
    <w:rsid w:val="00ED79E7"/>
    <w:rsid w:val="00EF4CDE"/>
    <w:rsid w:val="00EF66C7"/>
    <w:rsid w:val="00F02260"/>
    <w:rsid w:val="00F12A99"/>
    <w:rsid w:val="00F146C0"/>
    <w:rsid w:val="00F233CD"/>
    <w:rsid w:val="00F37F97"/>
    <w:rsid w:val="00F41943"/>
    <w:rsid w:val="00F73FAA"/>
    <w:rsid w:val="00F810ED"/>
    <w:rsid w:val="00F81813"/>
    <w:rsid w:val="00F86D6E"/>
    <w:rsid w:val="00F90FDC"/>
    <w:rsid w:val="00F91607"/>
    <w:rsid w:val="00FD0ACF"/>
    <w:rsid w:val="00FD2088"/>
    <w:rsid w:val="00FE3EE4"/>
    <w:rsid w:val="00FE4F64"/>
    <w:rsid w:val="00FE6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E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table" w:styleId="TableGrid">
    <w:name w:val="Table Grid"/>
    <w:basedOn w:val="TableNormal"/>
    <w:uiPriority w:val="59"/>
    <w:rsid w:val="002E0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20A8"/>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5C008F"/>
    <w:rPr>
      <w:color w:val="605E5C"/>
      <w:shd w:val="clear" w:color="auto" w:fill="E1DFDD"/>
    </w:rPr>
  </w:style>
  <w:style w:type="paragraph" w:customStyle="1" w:styleId="section-text">
    <w:name w:val="section-text"/>
    <w:basedOn w:val="Normal"/>
    <w:rsid w:val="00EB744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50710">
      <w:bodyDiv w:val="1"/>
      <w:marLeft w:val="0"/>
      <w:marRight w:val="0"/>
      <w:marTop w:val="0"/>
      <w:marBottom w:val="0"/>
      <w:divBdr>
        <w:top w:val="none" w:sz="0" w:space="0" w:color="auto"/>
        <w:left w:val="none" w:sz="0" w:space="0" w:color="auto"/>
        <w:bottom w:val="none" w:sz="0" w:space="0" w:color="auto"/>
        <w:right w:val="none" w:sz="0" w:space="0" w:color="auto"/>
      </w:divBdr>
    </w:div>
    <w:div w:id="168960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e.budgetoffice@doe.virginia.gov" TargetMode="External"/><Relationship Id="rId5" Type="http://schemas.openxmlformats.org/officeDocument/2006/relationships/webSettings" Target="webSettings.xml"/><Relationship Id="rId10" Type="http://schemas.openxmlformats.org/officeDocument/2006/relationships/hyperlink" Target="https://www.doe.virginia.gov/programs-services/school-operations-support-services/school-nutrition/regulations-memos/director-s-memos-on-nutrition"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9599-2D21-4B34-8C52-872BEB4F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SNP Memo No. 2024-2025-XX, School Year 2024–2025 School Nutrition Program and Child and Adult Care Food Program Reimbursement Rates and Increased Fiscal Year 2025–2026 State Funding for Breakfast Incentive Payments</vt:lpstr>
    </vt:vector>
  </TitlesOfParts>
  <Manager/>
  <Company/>
  <LinksUpToDate>false</LinksUpToDate>
  <CharactersWithSpaces>3414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SCNP Memo No. 2024-2025-1, School Year 2024–2025 School Nutrition Program and Child and Adult Care Food Program Reimbursement Rates and Increased Fiscal Year 2025–2026 State Funding for Breakfast Incentive Payments</dc:title>
  <dc:subject/>
  <dc:creator/>
  <cp:keywords/>
  <dc:description/>
  <cp:lastModifiedBy/>
  <cp:revision>1</cp:revision>
  <dcterms:created xsi:type="dcterms:W3CDTF">2024-08-08T13:00:00Z</dcterms:created>
  <dcterms:modified xsi:type="dcterms:W3CDTF">2024-08-08T13:00:00Z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ee7af1cc484dc45d879347376210795b14cf9b0f675bede74c6b6eac219d363a</vt:lpwstr>
  </property>
</Properties>
</file>