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D3363" w14:textId="22CBCED1" w:rsidR="00A416ED" w:rsidRDefault="00A178A4" w:rsidP="00A416ED">
      <w:pPr>
        <w:pStyle w:val="Title"/>
        <w:rPr>
          <w:b w:val="0"/>
        </w:rPr>
      </w:pPr>
      <w:r>
        <w:t xml:space="preserve"> </w:t>
      </w:r>
      <w:r w:rsidR="00A416ED">
        <w:t>COVER PAGE FOR HEARING DECISION, NOT TO BE PUBLISHED</w:t>
      </w:r>
    </w:p>
    <w:p w14:paraId="75A968DA" w14:textId="77777777" w:rsidR="00A416ED" w:rsidRDefault="00A416ED" w:rsidP="00A416ED">
      <w:pPr>
        <w:pStyle w:val="Title"/>
        <w:jc w:val="both"/>
        <w:rPr>
          <w:b w:val="0"/>
        </w:rPr>
      </w:pPr>
    </w:p>
    <w:p w14:paraId="4E97D986" w14:textId="6645955E" w:rsidR="00EB3432" w:rsidRDefault="00EB3432" w:rsidP="00EB3432">
      <w:r>
        <w:t>VIRGINIA:</w:t>
      </w:r>
    </w:p>
    <w:p w14:paraId="3280CEE9" w14:textId="77777777" w:rsidR="00EB3432" w:rsidRPr="00C326E1" w:rsidRDefault="00EB3432" w:rsidP="00C326E1">
      <w:pPr>
        <w:pStyle w:val="Heading1"/>
      </w:pPr>
      <w:r w:rsidRPr="00C326E1">
        <w:t>SPECIAL EDUCATION DUE PROCESS HEARING</w:t>
      </w:r>
    </w:p>
    <w:p w14:paraId="128E8355" w14:textId="77777777" w:rsidR="00EB3432" w:rsidRDefault="00EB3432" w:rsidP="00EB3432">
      <w:pPr>
        <w:jc w:val="center"/>
      </w:pPr>
    </w:p>
    <w:p w14:paraId="005120AF" w14:textId="6582CD4A" w:rsidR="00D17FFD" w:rsidRPr="00CC7FBC" w:rsidRDefault="00E80A2F" w:rsidP="00D17FFD">
      <w:pPr>
        <w:pStyle w:val="Default"/>
        <w:widowControl w:val="0"/>
        <w:pBdr>
          <w:top w:val="none" w:sz="0" w:space="0" w:color="auto"/>
          <w:left w:val="none" w:sz="0" w:space="0" w:color="auto"/>
          <w:bottom w:val="none" w:sz="0" w:space="0" w:color="auto"/>
          <w:right w:val="none" w:sz="0" w:space="0" w:color="auto"/>
        </w:pBdr>
        <w:suppressAutoHyphens/>
        <w:rPr>
          <w:rFonts w:ascii="Times New Roman" w:hAnsi="Times New Roman" w:cs="Times New Roman"/>
          <w:sz w:val="24"/>
          <w:szCs w:val="24"/>
        </w:rPr>
      </w:pPr>
      <w:r w:rsidRPr="00F53540">
        <w:rPr>
          <w:rFonts w:ascii="Times New Roman" w:hAnsi="Times New Roman"/>
          <w:sz w:val="24"/>
          <w:szCs w:val="24"/>
        </w:rPr>
        <w:t xml:space="preserve">         </w:t>
      </w:r>
      <w:r w:rsidR="00D17FFD" w:rsidRPr="00F53540">
        <w:rPr>
          <w:rFonts w:ascii="Times New Roman" w:hAnsi="Times New Roman"/>
          <w:sz w:val="24"/>
          <w:szCs w:val="24"/>
        </w:rPr>
        <w:t>,</w:t>
      </w:r>
      <w:r w:rsidR="00D17FFD" w:rsidRPr="00CC7FBC">
        <w:rPr>
          <w:rFonts w:ascii="Times New Roman" w:hAnsi="Times New Roman"/>
          <w:sz w:val="24"/>
          <w:szCs w:val="24"/>
        </w:rPr>
        <w:t xml:space="preserve"> by and through </w:t>
      </w:r>
      <w:r>
        <w:rPr>
          <w:rFonts w:ascii="Times New Roman" w:hAnsi="Times New Roman"/>
          <w:sz w:val="24"/>
          <w:szCs w:val="24"/>
        </w:rPr>
        <w:t xml:space="preserve"> </w:t>
      </w:r>
      <w:r w:rsidRPr="00F53540">
        <w:rPr>
          <w:rFonts w:ascii="Times New Roman" w:hAnsi="Times New Roman"/>
          <w:sz w:val="24"/>
          <w:szCs w:val="24"/>
        </w:rPr>
        <w:t xml:space="preserve">         ,</w:t>
      </w:r>
      <w:r w:rsidRPr="00CC7FBC">
        <w:rPr>
          <w:rFonts w:ascii="Times New Roman" w:hAnsi="Times New Roman"/>
          <w:sz w:val="24"/>
          <w:szCs w:val="24"/>
        </w:rPr>
        <w:t xml:space="preserve"> </w:t>
      </w:r>
      <w:r>
        <w:rPr>
          <w:rFonts w:ascii="Times New Roman" w:hAnsi="Times New Roman"/>
          <w:sz w:val="24"/>
          <w:szCs w:val="24"/>
        </w:rPr>
        <w:t xml:space="preserve"> </w:t>
      </w:r>
      <w:r w:rsidR="00D17FFD" w:rsidRPr="00CC7FBC">
        <w:rPr>
          <w:rFonts w:ascii="Times New Roman" w:hAnsi="Times New Roman"/>
          <w:sz w:val="24"/>
          <w:szCs w:val="24"/>
        </w:rPr>
        <w:t>Parent</w:t>
      </w:r>
      <w:r w:rsidR="008D06FF">
        <w:rPr>
          <w:rFonts w:ascii="Times New Roman" w:hAnsi="Times New Roman"/>
          <w:sz w:val="24"/>
          <w:szCs w:val="24"/>
        </w:rPr>
        <w:t>s</w:t>
      </w:r>
      <w:r w:rsidR="00D17FFD" w:rsidRPr="00CC7FBC">
        <w:rPr>
          <w:rFonts w:ascii="Times New Roman" w:hAnsi="Times New Roman"/>
          <w:sz w:val="24"/>
          <w:szCs w:val="24"/>
        </w:rPr>
        <w:t>,                         </w:t>
      </w:r>
      <w:r w:rsidR="00D17FFD" w:rsidRPr="00CC7FBC">
        <w:rPr>
          <w:rFonts w:ascii="Times New Roman" w:hAnsi="Times New Roman"/>
          <w:sz w:val="24"/>
          <w:szCs w:val="24"/>
        </w:rPr>
        <w:tab/>
      </w:r>
      <w:r w:rsidR="00D17FFD" w:rsidRPr="00CC7FBC">
        <w:rPr>
          <w:rFonts w:ascii="Times New Roman" w:hAnsi="Times New Roman" w:cs="Times New Roman"/>
          <w:sz w:val="24"/>
          <w:szCs w:val="24"/>
        </w:rPr>
        <w:tab/>
      </w:r>
    </w:p>
    <w:p w14:paraId="435F9405" w14:textId="4F2D4DD1" w:rsidR="00EB3432" w:rsidRDefault="00A178A4" w:rsidP="00D17FFD">
      <w:pPr>
        <w:jc w:val="both"/>
      </w:pPr>
      <w:r w:rsidRPr="00A178A4">
        <w:rPr>
          <w:highlight w:val="black"/>
          <w:lang w:val="de-DE"/>
        </w:rPr>
        <w:t>XXXXX</w:t>
      </w:r>
      <w:r w:rsidR="008D06FF">
        <w:rPr>
          <w:lang w:val="de-DE"/>
        </w:rPr>
        <w:t xml:space="preserve"> &amp; </w:t>
      </w:r>
      <w:r w:rsidRPr="00A178A4">
        <w:rPr>
          <w:highlight w:val="black"/>
          <w:lang w:val="de-DE"/>
        </w:rPr>
        <w:t>XXXXX</w:t>
      </w:r>
      <w:r w:rsidR="008D06FF">
        <w:rPr>
          <w:lang w:val="de-DE"/>
        </w:rPr>
        <w:t xml:space="preserve"> </w:t>
      </w:r>
      <w:r w:rsidRPr="00A178A4">
        <w:rPr>
          <w:highlight w:val="black"/>
          <w:lang w:val="de-DE"/>
        </w:rPr>
        <w:t>XXXXXX</w:t>
      </w:r>
      <w:r w:rsidR="00D17FFD" w:rsidRPr="00CC7FBC">
        <w:rPr>
          <w:lang w:val="de-DE"/>
        </w:rPr>
        <w:t>,</w:t>
      </w:r>
      <w:r w:rsidR="00D530CB" w:rsidRPr="00CC7FBC">
        <w:rPr>
          <w:lang w:val="de-DE"/>
        </w:rPr>
        <w:t xml:space="preserve">             </w:t>
      </w:r>
      <w:r w:rsidR="00D530CB">
        <w:rPr>
          <w:b/>
          <w:bCs/>
          <w:lang w:val="de-DE"/>
        </w:rPr>
        <w:t xml:space="preserve">                                 </w:t>
      </w:r>
      <w:r w:rsidR="003A47FD">
        <w:tab/>
      </w:r>
      <w:r w:rsidR="008D06FF">
        <w:t xml:space="preserve">          </w:t>
      </w:r>
      <w:r w:rsidR="00EB3432">
        <w:t>Complainant</w:t>
      </w:r>
      <w:r w:rsidR="008D06FF">
        <w:t>s</w:t>
      </w:r>
    </w:p>
    <w:p w14:paraId="44BE515E" w14:textId="77777777" w:rsidR="00EB3432" w:rsidRDefault="00EB3432" w:rsidP="00EB3432">
      <w:pPr>
        <w:jc w:val="both"/>
      </w:pPr>
    </w:p>
    <w:p w14:paraId="54446B4C" w14:textId="77777777" w:rsidR="00EB3432" w:rsidRDefault="00EB3432" w:rsidP="00EB3432">
      <w:pPr>
        <w:jc w:val="both"/>
      </w:pPr>
      <w:r>
        <w:t>v.</w:t>
      </w:r>
    </w:p>
    <w:p w14:paraId="5FD52EE1" w14:textId="77777777" w:rsidR="00EB3432" w:rsidRDefault="00EB3432" w:rsidP="00EB3432">
      <w:pPr>
        <w:jc w:val="both"/>
      </w:pPr>
    </w:p>
    <w:p w14:paraId="107459A3" w14:textId="74442DD0" w:rsidR="00EB3432" w:rsidRDefault="00A178A4" w:rsidP="00EB3432">
      <w:pPr>
        <w:jc w:val="both"/>
      </w:pPr>
      <w:r w:rsidRPr="00A178A4">
        <w:rPr>
          <w:highlight w:val="black"/>
        </w:rPr>
        <w:t>XXXXXXXXXXXXXX</w:t>
      </w:r>
      <w:r w:rsidR="00CC7FBC">
        <w:t xml:space="preserve"> PUBLIC SCHOOLS   </w:t>
      </w:r>
      <w:r w:rsidR="00D530CB">
        <w:t xml:space="preserve">    </w:t>
      </w:r>
      <w:r w:rsidR="00EB3432">
        <w:tab/>
      </w:r>
      <w:r w:rsidR="00EB3432">
        <w:tab/>
      </w:r>
      <w:r w:rsidR="00EB3432">
        <w:tab/>
      </w:r>
      <w:r w:rsidR="003D5F4F">
        <w:tab/>
      </w:r>
      <w:r w:rsidR="008D06FF">
        <w:t xml:space="preserve">           </w:t>
      </w:r>
      <w:r w:rsidR="00EB3432">
        <w:t>Respondent.</w:t>
      </w:r>
    </w:p>
    <w:p w14:paraId="5A9F8B45" w14:textId="77777777" w:rsidR="00A416ED" w:rsidRDefault="00A416ED" w:rsidP="00EB3432">
      <w:pPr>
        <w:jc w:val="both"/>
      </w:pPr>
    </w:p>
    <w:p w14:paraId="35AEB3BA" w14:textId="77777777" w:rsidR="00A416ED" w:rsidRDefault="00A416ED" w:rsidP="00EB3432">
      <w:pPr>
        <w:jc w:val="both"/>
      </w:pPr>
    </w:p>
    <w:p w14:paraId="0A31C25C" w14:textId="77777777" w:rsidR="00A416ED" w:rsidRDefault="00A416ED" w:rsidP="00EB3432">
      <w:pPr>
        <w:jc w:val="both"/>
      </w:pPr>
    </w:p>
    <w:p w14:paraId="31FA0A75" w14:textId="77777777" w:rsidR="00A416ED" w:rsidRDefault="00EB755B" w:rsidP="00A416ED">
      <w:pPr>
        <w:tabs>
          <w:tab w:val="left" w:pos="-1440"/>
        </w:tabs>
        <w:ind w:left="5040" w:hanging="5040"/>
        <w:jc w:val="both"/>
      </w:pPr>
      <w:r>
        <w:rPr>
          <w:b/>
          <w:bCs/>
        </w:rPr>
        <w:t>Student</w:t>
      </w:r>
      <w:r w:rsidR="00916325">
        <w:rPr>
          <w:b/>
          <w:bCs/>
        </w:rPr>
        <w:t xml:space="preserve"> &amp; Parent</w:t>
      </w:r>
      <w:r w:rsidR="00A416ED">
        <w:rPr>
          <w:b/>
          <w:bCs/>
        </w:rPr>
        <w:t>:</w:t>
      </w:r>
      <w:r w:rsidR="00A416ED">
        <w:tab/>
      </w:r>
      <w:r w:rsidR="00A416ED">
        <w:tab/>
      </w:r>
      <w:r w:rsidR="00A416ED">
        <w:tab/>
      </w:r>
      <w:r w:rsidR="00A416ED">
        <w:tab/>
      </w:r>
      <w:r w:rsidR="00A416ED">
        <w:tab/>
      </w:r>
      <w:r w:rsidR="00A416ED">
        <w:rPr>
          <w:b/>
          <w:bCs/>
        </w:rPr>
        <w:t>Administrative Hearing Officer:</w:t>
      </w:r>
    </w:p>
    <w:p w14:paraId="606FE579" w14:textId="07321B1B" w:rsidR="00A416ED" w:rsidRDefault="00A178A4" w:rsidP="00A178A4">
      <w:pPr>
        <w:tabs>
          <w:tab w:val="left" w:pos="-1440"/>
        </w:tabs>
        <w:jc w:val="both"/>
      </w:pPr>
      <w:r w:rsidRPr="00A178A4">
        <w:rPr>
          <w:highlight w:val="black"/>
        </w:rPr>
        <w:t>Xxxxxx</w:t>
      </w:r>
      <w:r w:rsidR="008D06FF" w:rsidRPr="00A178A4">
        <w:rPr>
          <w:highlight w:val="black"/>
        </w:rPr>
        <w:t xml:space="preserve"> </w:t>
      </w:r>
      <w:r w:rsidRPr="00A178A4">
        <w:rPr>
          <w:highlight w:val="black"/>
        </w:rPr>
        <w:t>X</w:t>
      </w:r>
      <w:r w:rsidR="008D06FF" w:rsidRPr="00A178A4">
        <w:rPr>
          <w:highlight w:val="black"/>
        </w:rPr>
        <w:t xml:space="preserve">. </w:t>
      </w:r>
      <w:r w:rsidRPr="00A178A4">
        <w:rPr>
          <w:highlight w:val="black"/>
        </w:rPr>
        <w:t>XXXXXx</w:t>
      </w:r>
      <w:r w:rsidR="00D17FFD">
        <w:tab/>
      </w:r>
      <w:r w:rsidR="00D17FFD">
        <w:tab/>
      </w:r>
      <w:r>
        <w:tab/>
      </w:r>
      <w:r>
        <w:tab/>
      </w:r>
      <w:r>
        <w:tab/>
      </w:r>
      <w:r>
        <w:tab/>
      </w:r>
      <w:r w:rsidR="00A416ED">
        <w:t>John V. Robinson, Esq</w:t>
      </w:r>
      <w:r w:rsidR="00D17FFD">
        <w:t>.</w:t>
      </w:r>
    </w:p>
    <w:p w14:paraId="3FC32AEC" w14:textId="3EE1E480" w:rsidR="00A416ED" w:rsidRDefault="00A178A4" w:rsidP="00A416ED">
      <w:pPr>
        <w:tabs>
          <w:tab w:val="left" w:pos="-1440"/>
        </w:tabs>
        <w:ind w:left="5040" w:hanging="5040"/>
        <w:jc w:val="both"/>
      </w:pPr>
      <w:r w:rsidRPr="00A178A4">
        <w:rPr>
          <w:highlight w:val="black"/>
        </w:rPr>
        <w:t>XXXXX</w:t>
      </w:r>
      <w:r w:rsidR="008D06FF">
        <w:t xml:space="preserve"> &amp; </w:t>
      </w:r>
      <w:r w:rsidRPr="00A178A4">
        <w:rPr>
          <w:highlight w:val="black"/>
        </w:rPr>
        <w:t>XXXXX</w:t>
      </w:r>
      <w:r w:rsidR="008D06FF" w:rsidRPr="00A178A4">
        <w:rPr>
          <w:highlight w:val="black"/>
        </w:rPr>
        <w:t xml:space="preserve"> </w:t>
      </w:r>
      <w:r w:rsidRPr="00A178A4">
        <w:rPr>
          <w:highlight w:val="black"/>
        </w:rPr>
        <w:t>XXXXXx</w:t>
      </w:r>
      <w:r w:rsidR="00D530CB">
        <w:t xml:space="preserve">                         </w:t>
      </w:r>
      <w:r w:rsidR="00A416ED">
        <w:tab/>
      </w:r>
      <w:r w:rsidR="00A416ED">
        <w:tab/>
        <w:t>7102 Three Chopt Road</w:t>
      </w:r>
    </w:p>
    <w:p w14:paraId="3D528304" w14:textId="77777777" w:rsidR="00A416ED" w:rsidRDefault="00A416ED" w:rsidP="00C57262">
      <w:pPr>
        <w:ind w:left="5040" w:firstLine="720"/>
        <w:jc w:val="both"/>
      </w:pPr>
      <w:smartTag w:uri="urn:schemas-microsoft-com:office:smarttags" w:element="place">
        <w:smartTag w:uri="urn:schemas-microsoft-com:office:smarttags" w:element="City">
          <w:r>
            <w:t>Richmond</w:t>
          </w:r>
        </w:smartTag>
        <w:r>
          <w:t xml:space="preserve">, </w:t>
        </w:r>
        <w:smartTag w:uri="urn:schemas-microsoft-com:office:smarttags" w:element="State">
          <w:r>
            <w:t>Virginia</w:t>
          </w:r>
        </w:smartTag>
        <w:r>
          <w:t xml:space="preserve"> </w:t>
        </w:r>
        <w:smartTag w:uri="urn:schemas-microsoft-com:office:smarttags" w:element="PostalCode">
          <w:r>
            <w:t>23226</w:t>
          </w:r>
        </w:smartTag>
      </w:smartTag>
    </w:p>
    <w:p w14:paraId="2178FDC8" w14:textId="0D5C653C" w:rsidR="00EB755B" w:rsidRDefault="00A416ED" w:rsidP="00EB755B">
      <w:pPr>
        <w:tabs>
          <w:tab w:val="left" w:pos="-1440"/>
        </w:tabs>
        <w:ind w:left="5040" w:hanging="5040"/>
        <w:jc w:val="both"/>
      </w:pPr>
      <w:r>
        <w:rPr>
          <w:b/>
          <w:bCs/>
        </w:rPr>
        <w:t>Child</w:t>
      </w:r>
      <w:r w:rsidR="00EB755B">
        <w:rPr>
          <w:rFonts w:ascii="WP TypographicSymbols" w:hAnsi="WP TypographicSymbols"/>
          <w:b/>
          <w:bCs/>
        </w:rPr>
        <w:t>'</w:t>
      </w:r>
      <w:r>
        <w:rPr>
          <w:b/>
          <w:bCs/>
        </w:rPr>
        <w:t>s A</w:t>
      </w:r>
      <w:r w:rsidR="00CC7FBC">
        <w:rPr>
          <w:b/>
          <w:bCs/>
        </w:rPr>
        <w:t>t</w:t>
      </w:r>
      <w:r w:rsidR="008D06FF">
        <w:rPr>
          <w:b/>
          <w:bCs/>
        </w:rPr>
        <w:t>torney</w:t>
      </w:r>
      <w:r>
        <w:rPr>
          <w:b/>
          <w:bCs/>
        </w:rPr>
        <w:t>:</w:t>
      </w:r>
      <w:r>
        <w:tab/>
      </w:r>
      <w:r>
        <w:tab/>
        <w:t>(804) 282-2987</w:t>
      </w:r>
      <w:r w:rsidR="00016F96">
        <w:t xml:space="preserve"> (Telephone)</w:t>
      </w:r>
    </w:p>
    <w:p w14:paraId="39ACA684" w14:textId="412B09C2" w:rsidR="00A416ED" w:rsidRDefault="008D06FF" w:rsidP="00A416ED">
      <w:pPr>
        <w:tabs>
          <w:tab w:val="left" w:pos="-1440"/>
        </w:tabs>
        <w:ind w:left="5040" w:hanging="5040"/>
        <w:jc w:val="both"/>
      </w:pPr>
      <w:r>
        <w:t xml:space="preserve">None                           </w:t>
      </w:r>
      <w:r w:rsidR="00016F96">
        <w:tab/>
      </w:r>
      <w:r w:rsidR="00C57262">
        <w:tab/>
        <w:t>(</w:t>
      </w:r>
      <w:r w:rsidR="00A416ED">
        <w:t>804)282-2989 (</w:t>
      </w:r>
      <w:r w:rsidR="00016F96">
        <w:t>F</w:t>
      </w:r>
      <w:r w:rsidR="00A416ED">
        <w:t>acsimil</w:t>
      </w:r>
      <w:r w:rsidR="00C57262">
        <w:t>e)</w:t>
      </w:r>
    </w:p>
    <w:p w14:paraId="2F7CED05" w14:textId="2F6F3D93" w:rsidR="00016F96" w:rsidRDefault="00C57262" w:rsidP="00C57262">
      <w:pPr>
        <w:tabs>
          <w:tab w:val="left" w:pos="-1440"/>
        </w:tabs>
        <w:jc w:val="both"/>
      </w:pPr>
      <w:r>
        <w:tab/>
      </w:r>
      <w:r>
        <w:tab/>
      </w:r>
      <w:r w:rsidR="00016F96">
        <w:tab/>
      </w:r>
      <w:r w:rsidR="00016F96">
        <w:tab/>
      </w:r>
      <w:r w:rsidR="00016F96">
        <w:tab/>
      </w:r>
      <w:r w:rsidR="00016F96">
        <w:tab/>
      </w:r>
      <w:r w:rsidR="00016F96">
        <w:tab/>
      </w:r>
      <w:r w:rsidR="00016F96">
        <w:tab/>
        <w:t>jvr@jvrlawpc.com (E-mail)</w:t>
      </w:r>
    </w:p>
    <w:p w14:paraId="669DB533" w14:textId="77777777" w:rsidR="00A416ED" w:rsidRDefault="00A416ED" w:rsidP="00A416ED">
      <w:pPr>
        <w:jc w:val="both"/>
      </w:pPr>
    </w:p>
    <w:p w14:paraId="4B3D644E" w14:textId="77777777" w:rsidR="00CC7FBC" w:rsidRDefault="00A416ED" w:rsidP="00EB755B">
      <w:pPr>
        <w:jc w:val="both"/>
        <w:rPr>
          <w:b/>
          <w:bCs/>
        </w:rPr>
      </w:pPr>
      <w:r>
        <w:rPr>
          <w:b/>
          <w:bCs/>
        </w:rPr>
        <w:t>LEA</w:t>
      </w:r>
      <w:r w:rsidR="00EB755B">
        <w:rPr>
          <w:rFonts w:ascii="WP TypographicSymbols" w:hAnsi="WP TypographicSymbols"/>
          <w:b/>
          <w:bCs/>
        </w:rPr>
        <w:t>'</w:t>
      </w:r>
      <w:r>
        <w:rPr>
          <w:b/>
          <w:bCs/>
        </w:rPr>
        <w:t>s Attorney:</w:t>
      </w:r>
    </w:p>
    <w:p w14:paraId="0D3DEB11" w14:textId="77777777" w:rsidR="00CC7FBC" w:rsidRPr="00CC7FBC" w:rsidRDefault="008D06FF" w:rsidP="00CC7FBC">
      <w:pPr>
        <w:jc w:val="both"/>
      </w:pPr>
      <w:r>
        <w:t>Joi N. Brown</w:t>
      </w:r>
      <w:r w:rsidR="00CC7FBC" w:rsidRPr="00CC7FBC">
        <w:t>, Esq.</w:t>
      </w:r>
    </w:p>
    <w:p w14:paraId="1B6F9FC7" w14:textId="77777777" w:rsidR="00CC7FBC" w:rsidRPr="00CC7FBC" w:rsidRDefault="00CC7FBC" w:rsidP="00CC7FBC">
      <w:pPr>
        <w:jc w:val="both"/>
      </w:pPr>
    </w:p>
    <w:p w14:paraId="24515C67" w14:textId="77777777" w:rsidR="00CC7FBC" w:rsidRDefault="00CC7FBC" w:rsidP="00EB755B">
      <w:pPr>
        <w:jc w:val="both"/>
      </w:pPr>
    </w:p>
    <w:p w14:paraId="60529D5A" w14:textId="77777777" w:rsidR="00A416ED" w:rsidRDefault="00A416ED" w:rsidP="00EB3432">
      <w:pPr>
        <w:jc w:val="both"/>
      </w:pPr>
    </w:p>
    <w:p w14:paraId="5C6B7FE7" w14:textId="77777777" w:rsidR="00A416ED" w:rsidRDefault="00A416ED" w:rsidP="00EB3432">
      <w:pPr>
        <w:jc w:val="both"/>
        <w:sectPr w:rsidR="00A416ED" w:rsidSect="003E0BAC">
          <w:endnotePr>
            <w:numFmt w:val="decimal"/>
          </w:endnotePr>
          <w:pgSz w:w="12240" w:h="15840"/>
          <w:pgMar w:top="1440" w:right="1440" w:bottom="1440" w:left="1440" w:header="1440" w:footer="1440" w:gutter="0"/>
          <w:pgNumType w:start="1"/>
          <w:cols w:space="720"/>
          <w:noEndnote/>
        </w:sectPr>
      </w:pPr>
    </w:p>
    <w:p w14:paraId="2316A493" w14:textId="77777777" w:rsidR="00EB3432" w:rsidRDefault="00EB3432" w:rsidP="00EB3432">
      <w:pPr>
        <w:jc w:val="both"/>
      </w:pPr>
    </w:p>
    <w:p w14:paraId="36B46535" w14:textId="77777777" w:rsidR="002B2EE9" w:rsidRPr="00A178A4" w:rsidRDefault="002B2EE9" w:rsidP="00A178A4">
      <w:pPr>
        <w:pStyle w:val="Heading2"/>
        <w:rPr>
          <w:u w:val="none"/>
        </w:rPr>
      </w:pPr>
      <w:r w:rsidRPr="00A178A4">
        <w:rPr>
          <w:u w:val="none"/>
        </w:rPr>
        <w:t>DECISION OF THE HEARING OFFICER</w:t>
      </w:r>
    </w:p>
    <w:p w14:paraId="419B78DF" w14:textId="77777777" w:rsidR="002B2EE9" w:rsidRDefault="002B2EE9" w:rsidP="002B2EE9">
      <w:pPr>
        <w:jc w:val="center"/>
      </w:pPr>
    </w:p>
    <w:p w14:paraId="0478DBF5" w14:textId="77777777" w:rsidR="008B2414" w:rsidRDefault="008B2414" w:rsidP="002B2EE9">
      <w:pPr>
        <w:jc w:val="center"/>
      </w:pPr>
    </w:p>
    <w:p w14:paraId="2B9AEA6C" w14:textId="77777777" w:rsidR="008B2414" w:rsidRPr="007C749F" w:rsidRDefault="008B2414" w:rsidP="007C749F">
      <w:pPr>
        <w:pStyle w:val="Heading2"/>
        <w:rPr>
          <w:u w:val="none"/>
        </w:rPr>
      </w:pPr>
      <w:r w:rsidRPr="007C749F">
        <w:rPr>
          <w:u w:val="none"/>
        </w:rPr>
        <w:t>I.  Findings of Fact</w:t>
      </w:r>
      <w:r w:rsidR="00C632EE" w:rsidRPr="007C749F">
        <w:rPr>
          <w:rStyle w:val="FootnoteReference"/>
          <w:u w:val="none"/>
          <w:vertAlign w:val="superscript"/>
        </w:rPr>
        <w:footnoteReference w:id="1"/>
      </w:r>
    </w:p>
    <w:p w14:paraId="711FEF59" w14:textId="77777777" w:rsidR="008B2414" w:rsidRDefault="008B2414" w:rsidP="008B2414">
      <w:pPr>
        <w:jc w:val="both"/>
      </w:pPr>
    </w:p>
    <w:p w14:paraId="712E196C" w14:textId="77777777" w:rsidR="00AB2623" w:rsidRDefault="008B2414" w:rsidP="006016E5">
      <w:pPr>
        <w:numPr>
          <w:ilvl w:val="0"/>
          <w:numId w:val="19"/>
        </w:numPr>
        <w:spacing w:line="480" w:lineRule="auto"/>
      </w:pPr>
      <w:r>
        <w:t>The requirements of notice to th</w:t>
      </w:r>
      <w:r w:rsidR="0008697A">
        <w:t xml:space="preserve">e </w:t>
      </w:r>
      <w:r w:rsidR="003D5F4F">
        <w:t>P</w:t>
      </w:r>
      <w:r w:rsidR="0008697A">
        <w:t>arent</w:t>
      </w:r>
      <w:r w:rsidR="009C25BE">
        <w:t>s</w:t>
      </w:r>
      <w:r w:rsidR="0008697A">
        <w:t xml:space="preserve"> were satisfied</w:t>
      </w:r>
      <w:r w:rsidR="007E36B9" w:rsidRPr="003F79C5">
        <w:rPr>
          <w:rStyle w:val="FootnoteReference"/>
          <w:vertAlign w:val="superscript"/>
        </w:rPr>
        <w:footnoteReference w:id="2"/>
      </w:r>
      <w:r w:rsidR="0008697A">
        <w:t xml:space="preserve">.  </w:t>
      </w:r>
      <w:r w:rsidR="00016F96">
        <w:t xml:space="preserve"> </w:t>
      </w:r>
    </w:p>
    <w:p w14:paraId="10923A40" w14:textId="401E2669" w:rsidR="00AB2623" w:rsidRDefault="0008697A" w:rsidP="006016E5">
      <w:pPr>
        <w:numPr>
          <w:ilvl w:val="0"/>
          <w:numId w:val="19"/>
        </w:numPr>
        <w:spacing w:line="480" w:lineRule="auto"/>
        <w:jc w:val="both"/>
      </w:pPr>
      <w:r>
        <w:t xml:space="preserve">The </w:t>
      </w:r>
      <w:r w:rsidR="003D5F4F">
        <w:t>S</w:t>
      </w:r>
      <w:r w:rsidR="008B2414">
        <w:t>tudent</w:t>
      </w:r>
      <w:r w:rsidR="00016F96">
        <w:t>'s</w:t>
      </w:r>
      <w:r w:rsidR="008B2414">
        <w:t xml:space="preserve"> date of birth is </w:t>
      </w:r>
      <w:r w:rsidR="00A178A4" w:rsidRPr="00A178A4">
        <w:rPr>
          <w:highlight w:val="black"/>
        </w:rPr>
        <w:t>Xxxxxxxxxxxxxxxxxxxx</w:t>
      </w:r>
      <w:r w:rsidR="008B2414">
        <w:t>.</w:t>
      </w:r>
      <w:r w:rsidR="003F79C5">
        <w:t xml:space="preserve">  </w:t>
      </w:r>
      <w:r w:rsidR="00A178A4" w:rsidRPr="00A178A4">
        <w:rPr>
          <w:highlight w:val="black"/>
        </w:rPr>
        <w:t>XX</w:t>
      </w:r>
      <w:r w:rsidR="00A178A4">
        <w:t>S</w:t>
      </w:r>
      <w:r w:rsidR="008F3D24">
        <w:t xml:space="preserve"> </w:t>
      </w:r>
      <w:r w:rsidR="009C25BE">
        <w:t>2</w:t>
      </w:r>
      <w:r w:rsidR="00C4119F" w:rsidRPr="000806B2">
        <w:rPr>
          <w:rStyle w:val="FootnoteReference"/>
          <w:vertAlign w:val="superscript"/>
        </w:rPr>
        <w:footnoteReference w:id="3"/>
      </w:r>
      <w:r w:rsidR="003F79C5">
        <w:t>.</w:t>
      </w:r>
      <w:r w:rsidR="008B2414">
        <w:t xml:space="preserve">  </w:t>
      </w:r>
    </w:p>
    <w:p w14:paraId="54D16006" w14:textId="3B640F13" w:rsidR="008B2414" w:rsidRPr="003E278A" w:rsidRDefault="006016E5" w:rsidP="006016E5">
      <w:pPr>
        <w:spacing w:line="480" w:lineRule="auto"/>
        <w:ind w:firstLine="720"/>
        <w:rPr>
          <w:iCs/>
        </w:rPr>
      </w:pPr>
      <w:r>
        <w:t>3.</w:t>
      </w:r>
      <w:r>
        <w:tab/>
      </w:r>
      <w:r w:rsidR="008B2414">
        <w:t xml:space="preserve">The </w:t>
      </w:r>
      <w:r>
        <w:t>Student is</w:t>
      </w:r>
      <w:r w:rsidR="008B2414">
        <w:t xml:space="preserve"> eligible to receive speci</w:t>
      </w:r>
      <w:r w:rsidR="00EB755B">
        <w:t>al</w:t>
      </w:r>
      <w:r w:rsidR="008B2414">
        <w:t xml:space="preserve"> education and related services</w:t>
      </w:r>
      <w:r w:rsidR="00AB2623">
        <w:t xml:space="preserve"> </w:t>
      </w:r>
      <w:r w:rsidR="009C25BE">
        <w:t>pursuant to</w:t>
      </w:r>
      <w:r w:rsidR="00AB2623">
        <w:t xml:space="preserve"> the</w:t>
      </w:r>
      <w:r>
        <w:t xml:space="preserve"> </w:t>
      </w:r>
      <w:r w:rsidR="00AB2623" w:rsidRPr="00AB2623">
        <w:rPr>
          <w:i/>
        </w:rPr>
        <w:t>Individuals with</w:t>
      </w:r>
      <w:r w:rsidR="00AB2623">
        <w:rPr>
          <w:i/>
        </w:rPr>
        <w:t xml:space="preserve"> </w:t>
      </w:r>
      <w:r w:rsidR="00AB2623" w:rsidRPr="00AB2623">
        <w:rPr>
          <w:i/>
        </w:rPr>
        <w:t>Disabilities Education Improvement Act of 2004 (</w:t>
      </w:r>
      <w:r w:rsidR="00AB2623" w:rsidRPr="00AB2623">
        <w:rPr>
          <w:iCs/>
        </w:rPr>
        <w:t>as amended, the “IDEA”</w:t>
      </w:r>
      <w:r w:rsidR="00AB2623" w:rsidRPr="00AB2623">
        <w:rPr>
          <w:i/>
        </w:rPr>
        <w:t>)</w:t>
      </w:r>
      <w:r w:rsidR="003E278A">
        <w:rPr>
          <w:iCs/>
        </w:rPr>
        <w:t xml:space="preserve"> as a student</w:t>
      </w:r>
      <w:r w:rsidR="009C25BE">
        <w:rPr>
          <w:iCs/>
        </w:rPr>
        <w:t xml:space="preserve"> under the disability category autism</w:t>
      </w:r>
      <w:r w:rsidR="008F3D24">
        <w:rPr>
          <w:iCs/>
        </w:rPr>
        <w:t xml:space="preserve">. </w:t>
      </w:r>
      <w:r w:rsidR="00A178A4" w:rsidRPr="00A178A4">
        <w:rPr>
          <w:iCs/>
          <w:highlight w:val="black"/>
        </w:rPr>
        <w:t>XX</w:t>
      </w:r>
      <w:r w:rsidR="00A178A4">
        <w:rPr>
          <w:iCs/>
        </w:rPr>
        <w:t>S</w:t>
      </w:r>
      <w:r w:rsidR="008F3D24">
        <w:rPr>
          <w:iCs/>
        </w:rPr>
        <w:t xml:space="preserve"> </w:t>
      </w:r>
      <w:r w:rsidR="009C25BE">
        <w:rPr>
          <w:iCs/>
        </w:rPr>
        <w:t>2 at 259</w:t>
      </w:r>
      <w:r w:rsidR="008F3D24">
        <w:rPr>
          <w:iCs/>
        </w:rPr>
        <w:t>.</w:t>
      </w:r>
      <w:r w:rsidR="003667BE">
        <w:rPr>
          <w:iCs/>
        </w:rPr>
        <w:t xml:space="preserve"> The student suffers from </w:t>
      </w:r>
      <w:r w:rsidR="00A178A4" w:rsidRPr="00A178A4">
        <w:rPr>
          <w:iCs/>
          <w:highlight w:val="black"/>
        </w:rPr>
        <w:t>XXXx</w:t>
      </w:r>
      <w:r w:rsidR="00A10F19">
        <w:rPr>
          <w:iCs/>
        </w:rPr>
        <w:t xml:space="preserve"> syndrome, a rare disorder. Tr. 13, </w:t>
      </w:r>
      <w:r w:rsidR="00041AAE">
        <w:rPr>
          <w:iCs/>
        </w:rPr>
        <w:t>141.</w:t>
      </w:r>
      <w:r w:rsidR="00A10F19">
        <w:rPr>
          <w:iCs/>
        </w:rPr>
        <w:t xml:space="preserve"> The student is </w:t>
      </w:r>
      <w:r w:rsidR="007C749F" w:rsidRPr="007C749F">
        <w:rPr>
          <w:iCs/>
          <w:highlight w:val="black"/>
        </w:rPr>
        <w:t>xxxxxxxxxxxx</w:t>
      </w:r>
      <w:r w:rsidR="00A10F19">
        <w:rPr>
          <w:iCs/>
        </w:rPr>
        <w:t xml:space="preserve"> and relies on augmentative communication devices. Tr 13.  The student needs full support with limited hand function and mobility. TR. 13.</w:t>
      </w:r>
    </w:p>
    <w:p w14:paraId="7F5D978C" w14:textId="77777777" w:rsidR="008B2414" w:rsidRDefault="003E278A" w:rsidP="00AF30A9">
      <w:pPr>
        <w:spacing w:line="480" w:lineRule="auto"/>
        <w:ind w:firstLine="720"/>
        <w:jc w:val="both"/>
      </w:pPr>
      <w:r>
        <w:rPr>
          <w:iCs/>
        </w:rPr>
        <w:t>4.</w:t>
      </w:r>
      <w:r>
        <w:tab/>
      </w:r>
      <w:r w:rsidR="00AB2623" w:rsidRPr="00AB2623">
        <w:t xml:space="preserve">The </w:t>
      </w:r>
      <w:r w:rsidR="004327E4">
        <w:t>P</w:t>
      </w:r>
      <w:r w:rsidR="00AB2623" w:rsidRPr="00AB2623">
        <w:t>arent</w:t>
      </w:r>
      <w:r w:rsidR="009C25BE">
        <w:t>s</w:t>
      </w:r>
      <w:r w:rsidR="004327E4">
        <w:t xml:space="preserve"> </w:t>
      </w:r>
      <w:r w:rsidR="00AB2623" w:rsidRPr="00AB2623">
        <w:t xml:space="preserve">requested an administrative due process hearing under the </w:t>
      </w:r>
      <w:r w:rsidR="009C25BE">
        <w:rPr>
          <w:iCs/>
        </w:rPr>
        <w:t>IDEA</w:t>
      </w:r>
      <w:r w:rsidR="00AB2623" w:rsidRPr="00AB2623">
        <w:t>, as specified in the</w:t>
      </w:r>
      <w:r w:rsidR="009C25BE">
        <w:t xml:space="preserve"> initial</w:t>
      </w:r>
      <w:r w:rsidR="00AB2623" w:rsidRPr="00AB2623">
        <w:t xml:space="preserve"> request for due process hearing</w:t>
      </w:r>
      <w:r w:rsidR="00AF30A9">
        <w:t xml:space="preserve"> received by the LEA and the SEA on October 24</w:t>
      </w:r>
      <w:r w:rsidR="00AF30A9" w:rsidRPr="005923B8">
        <w:t>, 202</w:t>
      </w:r>
      <w:r w:rsidR="00AF30A9">
        <w:t>3 (</w:t>
      </w:r>
      <w:r w:rsidR="004327E4" w:rsidRPr="004327E4">
        <w:t>the “Request”</w:t>
      </w:r>
      <w:r w:rsidR="00241C38">
        <w:t xml:space="preserve"> or the “Complaint”</w:t>
      </w:r>
      <w:r w:rsidR="004327E4" w:rsidRPr="004327E4">
        <w:t>), which is incorporated herein by this reference.</w:t>
      </w:r>
    </w:p>
    <w:p w14:paraId="448BE01A" w14:textId="77777777" w:rsidR="00AF30A9" w:rsidRDefault="00AF30A9" w:rsidP="00AF30A9">
      <w:pPr>
        <w:spacing w:line="480" w:lineRule="auto"/>
        <w:ind w:firstLine="720"/>
        <w:jc w:val="both"/>
      </w:pPr>
      <w:r>
        <w:t>5.</w:t>
      </w:r>
      <w:r>
        <w:tab/>
        <w:t>The Parents</w:t>
      </w:r>
      <w:r w:rsidRPr="00193C92">
        <w:t>,</w:t>
      </w:r>
      <w:r>
        <w:t xml:space="preserve"> the LEA’s Director of Special Education, the School Board’s attorney, the SEA evaluator and the hearing officer participated in </w:t>
      </w:r>
      <w:r w:rsidR="001B0AC9">
        <w:t>the first</w:t>
      </w:r>
      <w:r>
        <w:t xml:space="preserve"> prehearing conference call at 11:00 am on Monday, November 6, 2023.</w:t>
      </w:r>
    </w:p>
    <w:p w14:paraId="4521243B" w14:textId="77777777" w:rsidR="00AF30A9" w:rsidRDefault="00AF30A9" w:rsidP="00AF30A9">
      <w:pPr>
        <w:spacing w:line="480" w:lineRule="auto"/>
        <w:ind w:firstLine="720"/>
        <w:jc w:val="both"/>
      </w:pPr>
      <w:r>
        <w:t>6.</w:t>
      </w:r>
      <w:r>
        <w:tab/>
        <w:t>All participants agreed to written communication by email alone.</w:t>
      </w:r>
    </w:p>
    <w:p w14:paraId="2377BCA8" w14:textId="77777777" w:rsidR="001B0AC9" w:rsidRDefault="00AF30A9" w:rsidP="00AF30A9">
      <w:pPr>
        <w:spacing w:line="480" w:lineRule="auto"/>
        <w:ind w:firstLine="720"/>
        <w:jc w:val="both"/>
      </w:pPr>
      <w:r>
        <w:t>7.</w:t>
      </w:r>
      <w:r>
        <w:tab/>
        <w:t xml:space="preserve">On November 7, 2023, the School Board, by counsel, timely filed a Notice of </w:t>
      </w:r>
      <w:r>
        <w:lastRenderedPageBreak/>
        <w:t xml:space="preserve">Insufficiency and Motion to Dismiss. </w:t>
      </w:r>
    </w:p>
    <w:p w14:paraId="438D4EF9" w14:textId="77777777" w:rsidR="00AF30A9" w:rsidRDefault="001B0AC9" w:rsidP="00AF30A9">
      <w:pPr>
        <w:spacing w:line="480" w:lineRule="auto"/>
        <w:ind w:firstLine="720"/>
        <w:jc w:val="both"/>
      </w:pPr>
      <w:r>
        <w:t>8.</w:t>
      </w:r>
      <w:r>
        <w:tab/>
      </w:r>
      <w:r w:rsidR="00AF30A9">
        <w:t>Before the hearing officer ruled on the sufficiency challenge</w:t>
      </w:r>
      <w:r>
        <w:t>, o</w:t>
      </w:r>
      <w:r w:rsidR="00AF30A9">
        <w:t>n November 9, 2023, the Parents emailed to the hearing officer, the School Board and the Virginia Department of Education an amended request for due process hearing (the “Amended Request”). Accordingly, the sufficiency challenge was subsequently rendered moot when the hearing officer granted permission for the amendment.</w:t>
      </w:r>
    </w:p>
    <w:p w14:paraId="1F1B8D69" w14:textId="77777777" w:rsidR="00AF30A9" w:rsidRDefault="00AF30A9" w:rsidP="00AF30A9">
      <w:pPr>
        <w:spacing w:line="480" w:lineRule="auto"/>
        <w:ind w:firstLine="720"/>
        <w:jc w:val="both"/>
      </w:pPr>
      <w:r>
        <w:t>9.</w:t>
      </w:r>
      <w:r>
        <w:tab/>
        <w:t>On</w:t>
      </w:r>
      <w:r w:rsidRPr="00256C23">
        <w:rPr>
          <w:b/>
          <w:bCs/>
        </w:rPr>
        <w:t xml:space="preserve"> </w:t>
      </w:r>
      <w:r w:rsidRPr="00E4726A">
        <w:t>November 16, 2023, at 11:00 am</w:t>
      </w:r>
      <w:r w:rsidRPr="00F454DD">
        <w:rPr>
          <w:b/>
          <w:bCs/>
        </w:rPr>
        <w:t xml:space="preserve">, </w:t>
      </w:r>
      <w:r>
        <w:t>t</w:t>
      </w:r>
      <w:r w:rsidRPr="00C27314">
        <w:t xml:space="preserve">he parties </w:t>
      </w:r>
      <w:r>
        <w:t xml:space="preserve">held </w:t>
      </w:r>
      <w:r w:rsidRPr="00C27314">
        <w:t>a second pre-hearing conference call</w:t>
      </w:r>
      <w:r>
        <w:t>. The hearing officer granted permission for the Parents to file the Amended Request, which the hearing officer and the parties deemed filed on November 16, 2023.</w:t>
      </w:r>
    </w:p>
    <w:p w14:paraId="7F0CBEA5" w14:textId="77777777" w:rsidR="00AF30A9" w:rsidRDefault="00AF30A9" w:rsidP="00AF30A9">
      <w:pPr>
        <w:spacing w:line="480" w:lineRule="auto"/>
        <w:ind w:firstLine="720"/>
        <w:jc w:val="both"/>
      </w:pPr>
      <w:r>
        <w:t>10.</w:t>
      </w:r>
      <w:r>
        <w:tab/>
        <w:t>Accordingly, pursuant to 8VAC20-81-210(G), the timeline for the due process hearing began again November 16, 2023.</w:t>
      </w:r>
    </w:p>
    <w:p w14:paraId="26FAC76A" w14:textId="77777777" w:rsidR="001B0AC9" w:rsidRDefault="00AF30A9" w:rsidP="001B0AC9">
      <w:pPr>
        <w:spacing w:line="480" w:lineRule="auto"/>
        <w:ind w:firstLine="720"/>
        <w:jc w:val="both"/>
      </w:pPr>
      <w:r>
        <w:t>11.</w:t>
      </w:r>
      <w:r>
        <w:tab/>
      </w:r>
      <w:r w:rsidR="001B0AC9" w:rsidRPr="002F4B82">
        <w:t xml:space="preserve">Because </w:t>
      </w:r>
      <w:r w:rsidR="001B0AC9">
        <w:t>of a medical emergency, the Parents moved for a continuance of the hearing. The School Board did not object to the continuance and the hearing officer found good cause to continue the hearing to March 18 and 19, 2024, starting at 8:00 am. The hearing officer also found the continuance to be in the best interests of the student.</w:t>
      </w:r>
    </w:p>
    <w:p w14:paraId="7DC0F091" w14:textId="77777777" w:rsidR="001B0AC9" w:rsidRDefault="001B0AC9" w:rsidP="001B0AC9">
      <w:pPr>
        <w:spacing w:line="480" w:lineRule="auto"/>
        <w:ind w:firstLine="720"/>
        <w:jc w:val="both"/>
      </w:pPr>
      <w:r>
        <w:t>12.</w:t>
      </w:r>
      <w:r>
        <w:tab/>
        <w:t>On February 28, 2024,</w:t>
      </w:r>
      <w:r w:rsidR="00430710">
        <w:t xml:space="preserve"> following 5 prehearing conference calls, the hearing officer entered his Fourth Amended Scheduling Order, incorporated herein by this reference.</w:t>
      </w:r>
    </w:p>
    <w:p w14:paraId="6DD9DA51" w14:textId="77777777" w:rsidR="00AF30A9" w:rsidRDefault="00430710" w:rsidP="00AF30A9">
      <w:pPr>
        <w:spacing w:line="480" w:lineRule="auto"/>
        <w:ind w:firstLine="720"/>
        <w:jc w:val="both"/>
      </w:pPr>
      <w:r>
        <w:t>13.</w:t>
      </w:r>
      <w:r>
        <w:tab/>
        <w:t>The Scheduling Order specified the issue for hearing:</w:t>
      </w:r>
    </w:p>
    <w:p w14:paraId="59994824" w14:textId="77777777" w:rsidR="00430710" w:rsidRDefault="00430710" w:rsidP="00430710">
      <w:pPr>
        <w:ind w:firstLine="720"/>
        <w:jc w:val="both"/>
      </w:pPr>
      <w:r>
        <w:t>“</w:t>
      </w:r>
      <w:r w:rsidRPr="00430710">
        <w:t>Regarding the Student’s Individualized Education Programs (“IEPs”) for school years 2022-2023 and 2023-2024, the Parents contend that the Student was denied a free appropriate public education (“FAPE”) as a result of the LEA’s failure to provide the Student with services, related services and accommodations in conformance with the Student’s applicable IEPs. In short, the parents contend that the LEA materially failed to implement the subject IEPs.</w:t>
      </w:r>
      <w:r>
        <w:t>”</w:t>
      </w:r>
    </w:p>
    <w:p w14:paraId="68716A83" w14:textId="77777777" w:rsidR="00430710" w:rsidRDefault="00430710" w:rsidP="00430710">
      <w:pPr>
        <w:ind w:firstLine="720"/>
        <w:jc w:val="both"/>
      </w:pPr>
    </w:p>
    <w:p w14:paraId="621010D5" w14:textId="77777777" w:rsidR="00430710" w:rsidRDefault="00430710" w:rsidP="00430710">
      <w:pPr>
        <w:ind w:firstLine="720"/>
        <w:jc w:val="both"/>
      </w:pPr>
    </w:p>
    <w:p w14:paraId="1D62B524" w14:textId="77777777" w:rsidR="00736CE4" w:rsidRDefault="00430710" w:rsidP="00BB6328">
      <w:pPr>
        <w:spacing w:line="480" w:lineRule="auto"/>
        <w:ind w:firstLine="720"/>
        <w:jc w:val="both"/>
      </w:pPr>
      <w:r>
        <w:t>14.</w:t>
      </w:r>
      <w:r>
        <w:tab/>
      </w:r>
      <w:r w:rsidR="00736CE4">
        <w:t xml:space="preserve">The matter proceeded to a hearing on March </w:t>
      </w:r>
      <w:r w:rsidR="00BB6328">
        <w:t>18-19</w:t>
      </w:r>
      <w:r w:rsidR="00736CE4">
        <w:t>, 2024, on the issue specified above.</w:t>
      </w:r>
    </w:p>
    <w:p w14:paraId="6ECBDFEC" w14:textId="39087312" w:rsidR="00BB6328" w:rsidRDefault="00BB6328" w:rsidP="00BB6328">
      <w:pPr>
        <w:spacing w:line="480" w:lineRule="auto"/>
        <w:ind w:firstLine="720"/>
        <w:jc w:val="both"/>
      </w:pPr>
      <w:r>
        <w:t>15.</w:t>
      </w:r>
      <w:r>
        <w:tab/>
      </w:r>
      <w:bookmarkStart w:id="0" w:name="_Hlk164417507"/>
      <w:r>
        <w:t xml:space="preserve">The Student’s IEP created on August 5, 2022, for </w:t>
      </w:r>
      <w:r w:rsidR="00A178A4" w:rsidRPr="007C749F">
        <w:rPr>
          <w:highlight w:val="black"/>
        </w:rPr>
        <w:t>xxx</w:t>
      </w:r>
      <w:r w:rsidRPr="007C749F">
        <w:rPr>
          <w:highlight w:val="black"/>
        </w:rPr>
        <w:t xml:space="preserve"> </w:t>
      </w:r>
      <w:r w:rsidR="007C749F" w:rsidRPr="007C749F">
        <w:rPr>
          <w:highlight w:val="black"/>
        </w:rPr>
        <w:t>xxxxxxxxxx</w:t>
      </w:r>
      <w:r>
        <w:t xml:space="preserve"> year at </w:t>
      </w:r>
      <w:r w:rsidR="007C749F" w:rsidRPr="007C749F">
        <w:rPr>
          <w:highlight w:val="black"/>
        </w:rPr>
        <w:t>Xxxxx</w:t>
      </w:r>
      <w:r>
        <w:t xml:space="preserve"> School</w:t>
      </w:r>
      <w:r w:rsidR="002E1B1B">
        <w:t>, required specially designed instruction in reading for 100 minutes every 2 weeks in the general education setting; 100 minutes every 2 weeks of written language instruction in the general education setting; 90 minutes of study skills and work completion, 5 times every 2 weeks</w:t>
      </w:r>
      <w:r w:rsidR="002D33CC">
        <w:t xml:space="preserve"> in the special education setting. </w:t>
      </w:r>
      <w:r w:rsidR="00A178A4" w:rsidRPr="007C749F">
        <w:rPr>
          <w:highlight w:val="black"/>
        </w:rPr>
        <w:t>XX</w:t>
      </w:r>
      <w:r w:rsidR="00A178A4">
        <w:t>S</w:t>
      </w:r>
      <w:r w:rsidR="002D33CC">
        <w:t xml:space="preserve"> 2 at 103.</w:t>
      </w:r>
    </w:p>
    <w:bookmarkEnd w:id="0"/>
    <w:p w14:paraId="1E5A4344" w14:textId="2BA7DB0F" w:rsidR="002D33CC" w:rsidRDefault="002D33CC" w:rsidP="00BB6328">
      <w:pPr>
        <w:spacing w:line="480" w:lineRule="auto"/>
        <w:ind w:firstLine="720"/>
        <w:jc w:val="both"/>
      </w:pPr>
      <w:r>
        <w:t>16.</w:t>
      </w:r>
      <w:r>
        <w:tab/>
      </w:r>
      <w:bookmarkStart w:id="1" w:name="_Hlk164418375"/>
      <w:r>
        <w:t>In addition to a full-time one to one instructional aide, the LEA also provided the student with a nurse during the school day to assist with mobility, transitions, feeding, suctioning</w:t>
      </w:r>
      <w:r w:rsidR="00315C66">
        <w:t xml:space="preserve"> of saliva (using a machine)</w:t>
      </w:r>
      <w:r>
        <w:t>, toileting</w:t>
      </w:r>
      <w:r w:rsidR="00315C66">
        <w:t xml:space="preserve">, seizures, personal hygiene, and other needs. </w:t>
      </w:r>
      <w:r w:rsidR="00A178A4" w:rsidRPr="00A178A4">
        <w:rPr>
          <w:highlight w:val="black"/>
        </w:rPr>
        <w:t>XXS</w:t>
      </w:r>
      <w:r w:rsidR="00315C66">
        <w:t xml:space="preserve"> 2 at 102.</w:t>
      </w:r>
    </w:p>
    <w:bookmarkEnd w:id="1"/>
    <w:p w14:paraId="07D35C27" w14:textId="06F8D959" w:rsidR="00315C66" w:rsidRDefault="00315C66" w:rsidP="00BB6328">
      <w:pPr>
        <w:spacing w:line="480" w:lineRule="auto"/>
        <w:ind w:firstLine="720"/>
        <w:jc w:val="both"/>
      </w:pPr>
      <w:r>
        <w:t>17.</w:t>
      </w:r>
      <w:r>
        <w:tab/>
      </w:r>
      <w:bookmarkStart w:id="2" w:name="_Hlk164418572"/>
      <w:r>
        <w:t xml:space="preserve">The IEP also required related services, all in the general education setting, of speech language therapy of 30 minutes monthly; indirect physical therapy services of 80 minutes monthly; and indirect or consultative occupational therapy of 60 minutes monthly. </w:t>
      </w:r>
      <w:r w:rsidR="00A178A4" w:rsidRPr="007C749F">
        <w:rPr>
          <w:highlight w:val="black"/>
        </w:rPr>
        <w:t>XX</w:t>
      </w:r>
      <w:r w:rsidR="00A178A4">
        <w:t>S</w:t>
      </w:r>
      <w:r>
        <w:t xml:space="preserve"> 2 at 103.</w:t>
      </w:r>
    </w:p>
    <w:bookmarkEnd w:id="2"/>
    <w:p w14:paraId="5282EC7B" w14:textId="54861D3A" w:rsidR="00315C66" w:rsidRDefault="00315C66" w:rsidP="00BB6328">
      <w:pPr>
        <w:spacing w:line="480" w:lineRule="auto"/>
        <w:ind w:firstLine="720"/>
        <w:jc w:val="both"/>
      </w:pPr>
      <w:r>
        <w:t>18.</w:t>
      </w:r>
      <w:r>
        <w:tab/>
      </w:r>
      <w:bookmarkStart w:id="3" w:name="_Hlk164419053"/>
      <w:r w:rsidR="0010198E">
        <w:t xml:space="preserve">The IEP Amendment created on September 8, 2022, for the remainder of the student’s </w:t>
      </w:r>
      <w:r w:rsidR="007C749F" w:rsidRPr="007C749F">
        <w:rPr>
          <w:highlight w:val="black"/>
        </w:rPr>
        <w:t>xxxxxxxxxx</w:t>
      </w:r>
      <w:r w:rsidR="0010198E">
        <w:t xml:space="preserve"> year, continued these services and related services. </w:t>
      </w:r>
      <w:r w:rsidR="00A178A4" w:rsidRPr="007C749F">
        <w:rPr>
          <w:highlight w:val="black"/>
        </w:rPr>
        <w:t>XX</w:t>
      </w:r>
      <w:r w:rsidR="00A178A4">
        <w:t>S</w:t>
      </w:r>
      <w:r w:rsidR="0010198E">
        <w:t xml:space="preserve"> 2 at 209.</w:t>
      </w:r>
    </w:p>
    <w:bookmarkEnd w:id="3"/>
    <w:p w14:paraId="03B6F9E3" w14:textId="677D37E7" w:rsidR="009F19F4" w:rsidRDefault="0010198E" w:rsidP="00BB6328">
      <w:pPr>
        <w:spacing w:line="480" w:lineRule="auto"/>
        <w:ind w:firstLine="720"/>
        <w:jc w:val="both"/>
      </w:pPr>
      <w:r>
        <w:t>19.</w:t>
      </w:r>
      <w:r>
        <w:tab/>
      </w:r>
      <w:bookmarkStart w:id="4" w:name="_Hlk164419935"/>
      <w:r w:rsidR="00662612">
        <w:t xml:space="preserve">Numerous accommodations and modifications were provided concerning the student’s unique individualized educational programming. </w:t>
      </w:r>
      <w:r w:rsidR="00A178A4" w:rsidRPr="007C749F">
        <w:rPr>
          <w:highlight w:val="black"/>
        </w:rPr>
        <w:t>XX</w:t>
      </w:r>
      <w:r w:rsidR="00A178A4">
        <w:t>S</w:t>
      </w:r>
      <w:r w:rsidR="00662612">
        <w:t xml:space="preserve"> 2 at 94-97 and</w:t>
      </w:r>
      <w:r w:rsidR="009F19F4">
        <w:t xml:space="preserve"> 223-226.</w:t>
      </w:r>
    </w:p>
    <w:bookmarkEnd w:id="4"/>
    <w:p w14:paraId="1D9D2CB8" w14:textId="0FC20589" w:rsidR="0024191A" w:rsidRDefault="009F19F4" w:rsidP="009F19F4">
      <w:pPr>
        <w:spacing w:line="480" w:lineRule="auto"/>
        <w:ind w:firstLine="720"/>
        <w:jc w:val="both"/>
      </w:pPr>
      <w:r>
        <w:t>20.</w:t>
      </w:r>
      <w:r>
        <w:tab/>
      </w:r>
      <w:r w:rsidR="00662612">
        <w:t xml:space="preserve"> </w:t>
      </w:r>
      <w:r>
        <w:t xml:space="preserve">The Student’s IEP created on May 19, 2023, for </w:t>
      </w:r>
      <w:r w:rsidR="00A178A4" w:rsidRPr="007C749F">
        <w:rPr>
          <w:highlight w:val="black"/>
        </w:rPr>
        <w:t>xxx</w:t>
      </w:r>
      <w:r>
        <w:t xml:space="preserve"> </w:t>
      </w:r>
      <w:r w:rsidR="007C749F" w:rsidRPr="007C749F">
        <w:rPr>
          <w:highlight w:val="black"/>
        </w:rPr>
        <w:t>xxxxxxxxxxxx</w:t>
      </w:r>
      <w:r>
        <w:t xml:space="preserve"> year at </w:t>
      </w:r>
      <w:r w:rsidR="007C749F" w:rsidRPr="007C749F">
        <w:rPr>
          <w:highlight w:val="black"/>
        </w:rPr>
        <w:t>Xxxxx</w:t>
      </w:r>
      <w:r>
        <w:t xml:space="preserve"> School, </w:t>
      </w:r>
      <w:r w:rsidR="0024191A">
        <w:t>includ</w:t>
      </w:r>
      <w:r>
        <w:t>ed specially designed instruction in study skills and work completion for 450 minutes every 2 weeks in the special education setting</w:t>
      </w:r>
      <w:r w:rsidR="0024191A">
        <w:t xml:space="preserve">. </w:t>
      </w:r>
      <w:r w:rsidR="00A178A4" w:rsidRPr="007C749F">
        <w:rPr>
          <w:highlight w:val="black"/>
        </w:rPr>
        <w:t>XX</w:t>
      </w:r>
      <w:r w:rsidR="00A178A4">
        <w:t>S</w:t>
      </w:r>
      <w:r w:rsidR="0024191A">
        <w:t xml:space="preserve"> 2 at</w:t>
      </w:r>
      <w:r w:rsidR="00894F59">
        <w:t xml:space="preserve"> </w:t>
      </w:r>
      <w:r w:rsidR="0024191A">
        <w:t>137.</w:t>
      </w:r>
    </w:p>
    <w:p w14:paraId="31C94B9D" w14:textId="42C3F5E7" w:rsidR="0024191A" w:rsidRDefault="0024191A" w:rsidP="0024191A">
      <w:pPr>
        <w:spacing w:line="480" w:lineRule="auto"/>
        <w:ind w:firstLine="720"/>
        <w:jc w:val="both"/>
      </w:pPr>
      <w:r>
        <w:t>21.</w:t>
      </w:r>
      <w:r>
        <w:tab/>
      </w:r>
      <w:r w:rsidRPr="0024191A">
        <w:t xml:space="preserve">In addition to </w:t>
      </w:r>
      <w:r>
        <w:t>the</w:t>
      </w:r>
      <w:r w:rsidRPr="0024191A">
        <w:t xml:space="preserve"> full-time one to one instructional aide, the LEA also</w:t>
      </w:r>
      <w:r>
        <w:t xml:space="preserve"> continued to</w:t>
      </w:r>
      <w:r w:rsidRPr="0024191A">
        <w:t xml:space="preserve"> provide the student with a nurse during the school day to assist with mobility, transitions, feeding, suctioning of saliva (using a machine), toileting, seizures, personal hygiene, and other needs. </w:t>
      </w:r>
      <w:r w:rsidR="00A178A4" w:rsidRPr="007C749F">
        <w:rPr>
          <w:highlight w:val="black"/>
        </w:rPr>
        <w:t>XX</w:t>
      </w:r>
      <w:r w:rsidR="00A178A4">
        <w:t>S</w:t>
      </w:r>
      <w:r w:rsidRPr="0024191A">
        <w:t xml:space="preserve"> 2 at 1</w:t>
      </w:r>
      <w:r>
        <w:t>36</w:t>
      </w:r>
      <w:r w:rsidRPr="0024191A">
        <w:t>.</w:t>
      </w:r>
    </w:p>
    <w:p w14:paraId="1266856D" w14:textId="6C3E4015" w:rsidR="00894F59" w:rsidRDefault="0024191A" w:rsidP="00894F59">
      <w:pPr>
        <w:spacing w:line="480" w:lineRule="auto"/>
        <w:ind w:firstLine="720"/>
        <w:jc w:val="both"/>
      </w:pPr>
      <w:r>
        <w:t>22.</w:t>
      </w:r>
      <w:r>
        <w:tab/>
      </w:r>
      <w:r w:rsidR="00894F59" w:rsidRPr="00894F59">
        <w:t xml:space="preserve">The IEP also required related services, all in the general education setting, of indirect physical therapy services of 80 minutes monthly; indirect or consultative occupational therapy of </w:t>
      </w:r>
      <w:r w:rsidR="00894F59">
        <w:t>15</w:t>
      </w:r>
      <w:r w:rsidR="00894F59" w:rsidRPr="00894F59">
        <w:t xml:space="preserve"> minutes </w:t>
      </w:r>
      <w:r w:rsidR="00894F59">
        <w:t>every 9 weeks; and behavioral support of 300 minutes every 2 weeks</w:t>
      </w:r>
      <w:r w:rsidR="00894F59" w:rsidRPr="00894F59">
        <w:t xml:space="preserve">. </w:t>
      </w:r>
      <w:r w:rsidR="00A178A4" w:rsidRPr="007C749F">
        <w:rPr>
          <w:highlight w:val="black"/>
        </w:rPr>
        <w:t>XX</w:t>
      </w:r>
      <w:r w:rsidR="00A178A4">
        <w:t>S</w:t>
      </w:r>
      <w:r w:rsidR="00894F59" w:rsidRPr="00894F59">
        <w:t xml:space="preserve"> 2 at 103.</w:t>
      </w:r>
    </w:p>
    <w:p w14:paraId="021973B4" w14:textId="77777777" w:rsidR="00994A49" w:rsidRDefault="00894F59" w:rsidP="00894F59">
      <w:pPr>
        <w:spacing w:line="480" w:lineRule="auto"/>
        <w:ind w:firstLine="720"/>
        <w:jc w:val="both"/>
      </w:pPr>
      <w:r>
        <w:t>23.</w:t>
      </w:r>
      <w:r>
        <w:tab/>
        <w:t xml:space="preserve">The IEP Amendment created on June 14, 2023, </w:t>
      </w:r>
      <w:r w:rsidR="00994A49">
        <w:t>added speech therapy services of 60 minutes monthly back into the IEP, in the special education setting. Other than this addition, the services and related services continued to be the same.</w:t>
      </w:r>
    </w:p>
    <w:p w14:paraId="25787059" w14:textId="05D10357" w:rsidR="00994A49" w:rsidRDefault="00994A49" w:rsidP="00894F59">
      <w:pPr>
        <w:spacing w:line="480" w:lineRule="auto"/>
        <w:ind w:firstLine="720"/>
        <w:jc w:val="both"/>
      </w:pPr>
      <w:r>
        <w:t>24.</w:t>
      </w:r>
      <w:r>
        <w:tab/>
        <w:t xml:space="preserve">The IEP Amendment concerning the September 29, </w:t>
      </w:r>
      <w:r w:rsidR="00D84B9D">
        <w:t>2023,</w:t>
      </w:r>
      <w:r>
        <w:t xml:space="preserve"> IEP Team meeting, </w:t>
      </w:r>
      <w:r w:rsidR="00D84B9D">
        <w:t xml:space="preserve">dropped the services concerning study skills and work completion. </w:t>
      </w:r>
      <w:r w:rsidR="00A178A4" w:rsidRPr="007C749F">
        <w:rPr>
          <w:highlight w:val="black"/>
        </w:rPr>
        <w:t>XX</w:t>
      </w:r>
      <w:r w:rsidR="00A178A4">
        <w:t>S</w:t>
      </w:r>
      <w:r w:rsidR="00D84B9D">
        <w:t xml:space="preserve"> 2 at 269.</w:t>
      </w:r>
    </w:p>
    <w:p w14:paraId="187AC367" w14:textId="6190A965" w:rsidR="00D84B9D" w:rsidRDefault="00D84B9D" w:rsidP="00D84B9D">
      <w:pPr>
        <w:spacing w:line="480" w:lineRule="auto"/>
        <w:ind w:firstLine="720"/>
        <w:jc w:val="both"/>
      </w:pPr>
      <w:r>
        <w:t>25.</w:t>
      </w:r>
      <w:r>
        <w:tab/>
        <w:t>Again, n</w:t>
      </w:r>
      <w:r w:rsidRPr="00D84B9D">
        <w:t xml:space="preserve">umerous accommodations and modifications were provided </w:t>
      </w:r>
      <w:r>
        <w:t xml:space="preserve">to </w:t>
      </w:r>
      <w:r w:rsidRPr="00D84B9D">
        <w:t>the student</w:t>
      </w:r>
      <w:r>
        <w:t xml:space="preserve"> in the IEP</w:t>
      </w:r>
      <w:r w:rsidRPr="00D84B9D">
        <w:t xml:space="preserve">. </w:t>
      </w:r>
      <w:r w:rsidR="00A178A4" w:rsidRPr="007C749F">
        <w:rPr>
          <w:highlight w:val="black"/>
        </w:rPr>
        <w:t>XX</w:t>
      </w:r>
      <w:r w:rsidR="00A178A4">
        <w:t>S</w:t>
      </w:r>
      <w:r w:rsidRPr="00D84B9D">
        <w:t xml:space="preserve"> 2 at </w:t>
      </w:r>
      <w:r>
        <w:t>130</w:t>
      </w:r>
      <w:r w:rsidRPr="00D84B9D">
        <w:t>-</w:t>
      </w:r>
      <w:r>
        <w:t>133.</w:t>
      </w:r>
    </w:p>
    <w:p w14:paraId="38A71252" w14:textId="77777777" w:rsidR="00D84B9D" w:rsidRDefault="00D84B9D" w:rsidP="00D84B9D">
      <w:pPr>
        <w:spacing w:line="480" w:lineRule="auto"/>
        <w:ind w:firstLine="720"/>
        <w:jc w:val="both"/>
      </w:pPr>
      <w:r>
        <w:t>26.</w:t>
      </w:r>
      <w:r>
        <w:tab/>
      </w:r>
      <w:r w:rsidR="002910AF">
        <w:t>The Parents did not present probative evidence that the LEA failed to implement a material or significant portion of the IEPs covering school years 2022-2023 and 2023-2024.</w:t>
      </w:r>
    </w:p>
    <w:p w14:paraId="7C76ADB3" w14:textId="77777777" w:rsidR="002910AF" w:rsidRDefault="002910AF" w:rsidP="00D84B9D">
      <w:pPr>
        <w:spacing w:line="480" w:lineRule="auto"/>
        <w:ind w:firstLine="720"/>
        <w:jc w:val="both"/>
      </w:pPr>
      <w:r>
        <w:t xml:space="preserve">27. </w:t>
      </w:r>
      <w:r>
        <w:tab/>
        <w:t xml:space="preserve">While not required to prove this, the LEA presented significant evidence supporting its assertion that </w:t>
      </w:r>
      <w:r w:rsidR="00364BC2">
        <w:t>it reasonably and substantially implemented the subject IEPs for school years 2022-2023 and 2023-2024.</w:t>
      </w:r>
    </w:p>
    <w:p w14:paraId="6FF2AB07" w14:textId="77777777" w:rsidR="00364BC2" w:rsidRDefault="00364BC2" w:rsidP="00D84B9D">
      <w:pPr>
        <w:spacing w:line="480" w:lineRule="auto"/>
        <w:ind w:firstLine="720"/>
        <w:jc w:val="both"/>
      </w:pPr>
      <w:r>
        <w:t>28.</w:t>
      </w:r>
      <w:r>
        <w:tab/>
        <w:t>The LEA ensured that each subject IEP was accessible to each regular education teacher, related services provider, and any other service provider who was responsible for implementation</w:t>
      </w:r>
      <w:r w:rsidR="00D431CE">
        <w:t xml:space="preserve"> (collectively, the “Responsible Persons”)</w:t>
      </w:r>
      <w:r>
        <w:t xml:space="preserve">. </w:t>
      </w:r>
      <w:r w:rsidR="00D431CE">
        <w:rPr>
          <w:i/>
          <w:iCs/>
        </w:rPr>
        <w:t>See, e.g.,</w:t>
      </w:r>
      <w:r>
        <w:t xml:space="preserve">Tr. </w:t>
      </w:r>
      <w:r w:rsidR="00D431CE">
        <w:t xml:space="preserve">22, </w:t>
      </w:r>
      <w:r w:rsidR="004901A6">
        <w:t xml:space="preserve">31-32, </w:t>
      </w:r>
      <w:r>
        <w:t xml:space="preserve">207,  </w:t>
      </w:r>
      <w:r w:rsidR="00D431CE">
        <w:t>286, 289, 364.</w:t>
      </w:r>
    </w:p>
    <w:p w14:paraId="4B982740" w14:textId="77777777" w:rsidR="00D431CE" w:rsidRDefault="00D431CE" w:rsidP="00D84B9D">
      <w:pPr>
        <w:spacing w:line="480" w:lineRule="auto"/>
        <w:ind w:firstLine="720"/>
        <w:jc w:val="both"/>
      </w:pPr>
      <w:r>
        <w:t>29.</w:t>
      </w:r>
      <w:r>
        <w:tab/>
        <w:t>The Responsible Persons were familiar with the subject IEPs. Tr. 31-32, 55-56, 100, 105, 185, 364.</w:t>
      </w:r>
    </w:p>
    <w:p w14:paraId="272697E5" w14:textId="77777777" w:rsidR="00D431CE" w:rsidRDefault="00D431CE" w:rsidP="00D84B9D">
      <w:pPr>
        <w:spacing w:line="480" w:lineRule="auto"/>
        <w:ind w:firstLine="720"/>
        <w:jc w:val="both"/>
      </w:pPr>
      <w:r>
        <w:t xml:space="preserve">30. </w:t>
      </w:r>
      <w:r>
        <w:tab/>
        <w:t>The IEPs were implemented</w:t>
      </w:r>
      <w:r w:rsidR="00191D23">
        <w:t xml:space="preserve"> daily, with Responsible Persons acting in a collaborative and coordinated manner. Tr. 58, 61, 207, 356, 364.</w:t>
      </w:r>
    </w:p>
    <w:p w14:paraId="0E9DF746" w14:textId="77777777" w:rsidR="00191D23" w:rsidRDefault="00191D23" w:rsidP="00D84B9D">
      <w:pPr>
        <w:spacing w:line="480" w:lineRule="auto"/>
        <w:ind w:firstLine="720"/>
        <w:jc w:val="both"/>
      </w:pPr>
      <w:r>
        <w:t xml:space="preserve">31. </w:t>
      </w:r>
      <w:r>
        <w:tab/>
        <w:t>The IEPs were materially implemented concerning services, related services, accommodations, and modifications. Tr. 67, 157, 194-195, 325.</w:t>
      </w:r>
    </w:p>
    <w:p w14:paraId="5D23EC0E" w14:textId="77777777" w:rsidR="00191D23" w:rsidRDefault="00191D23" w:rsidP="00D84B9D">
      <w:pPr>
        <w:spacing w:line="480" w:lineRule="auto"/>
        <w:ind w:firstLine="720"/>
        <w:jc w:val="both"/>
      </w:pPr>
      <w:r>
        <w:t>32.</w:t>
      </w:r>
      <w:r>
        <w:tab/>
        <w:t>Concerning the subject IEPs, each Responsible Person was informed of his specific respo</w:t>
      </w:r>
      <w:r w:rsidR="003667BE">
        <w:t>nsibilities related to implementation, and the specific accommodations, modifications, and supports that must be provided for the student in accordance with the IEP.</w:t>
      </w:r>
    </w:p>
    <w:p w14:paraId="4623B4B2" w14:textId="77777777" w:rsidR="005E7C87" w:rsidRDefault="00041AAE" w:rsidP="00A00328">
      <w:pPr>
        <w:spacing w:line="480" w:lineRule="auto"/>
        <w:ind w:firstLine="720"/>
        <w:jc w:val="both"/>
      </w:pPr>
      <w:r>
        <w:t>33.</w:t>
      </w:r>
      <w:r>
        <w:tab/>
        <w:t>The testimony of the educators and the LEA witnesses was credible and consistent concerning the material issue before the hearing officer. The demeanor of such witnesses was open</w:t>
      </w:r>
      <w:r w:rsidR="00A00328">
        <w:t xml:space="preserve">, </w:t>
      </w:r>
      <w:r w:rsidR="00C3219B">
        <w:t>frank,</w:t>
      </w:r>
      <w:r w:rsidR="00A00328">
        <w:t xml:space="preserve"> and forthright.</w:t>
      </w:r>
    </w:p>
    <w:p w14:paraId="62D7E1CF" w14:textId="77777777" w:rsidR="00041AAE" w:rsidRPr="00E97E04" w:rsidRDefault="00BD52BA" w:rsidP="00041AAE">
      <w:pPr>
        <w:pStyle w:val="BodyText"/>
        <w:ind w:right="461"/>
        <w:jc w:val="both"/>
      </w:pPr>
      <w:r>
        <w:tab/>
      </w:r>
      <w:r w:rsidR="00E97E04">
        <w:t xml:space="preserve"> </w:t>
      </w:r>
    </w:p>
    <w:p w14:paraId="0EFEB78A" w14:textId="77777777" w:rsidR="00181D96" w:rsidRPr="007C749F" w:rsidRDefault="002B2EE9" w:rsidP="007C749F">
      <w:pPr>
        <w:pStyle w:val="Heading2"/>
        <w:rPr>
          <w:u w:val="none"/>
        </w:rPr>
      </w:pPr>
      <w:r w:rsidRPr="007C749F">
        <w:rPr>
          <w:u w:val="none"/>
        </w:rPr>
        <w:t xml:space="preserve">II.  </w:t>
      </w:r>
      <w:r w:rsidR="001C0734" w:rsidRPr="007C749F">
        <w:rPr>
          <w:u w:val="none"/>
        </w:rPr>
        <w:t xml:space="preserve">Additional Findings, </w:t>
      </w:r>
      <w:r w:rsidR="001C4386" w:rsidRPr="007C749F">
        <w:rPr>
          <w:u w:val="none"/>
        </w:rPr>
        <w:t>C</w:t>
      </w:r>
      <w:r w:rsidRPr="007C749F">
        <w:rPr>
          <w:u w:val="none"/>
        </w:rPr>
        <w:t>onclusions</w:t>
      </w:r>
      <w:r w:rsidR="001C4386" w:rsidRPr="007C749F">
        <w:rPr>
          <w:u w:val="none"/>
        </w:rPr>
        <w:t xml:space="preserve"> </w:t>
      </w:r>
      <w:r w:rsidRPr="007C749F">
        <w:rPr>
          <w:u w:val="none"/>
        </w:rPr>
        <w:t>of</w:t>
      </w:r>
      <w:r w:rsidR="001C4386" w:rsidRPr="007C749F">
        <w:rPr>
          <w:u w:val="none"/>
        </w:rPr>
        <w:t xml:space="preserve"> L</w:t>
      </w:r>
      <w:r w:rsidRPr="007C749F">
        <w:rPr>
          <w:u w:val="none"/>
        </w:rPr>
        <w:t>aw</w:t>
      </w:r>
      <w:r w:rsidR="001C4386" w:rsidRPr="007C749F">
        <w:rPr>
          <w:u w:val="none"/>
        </w:rPr>
        <w:t xml:space="preserve"> </w:t>
      </w:r>
      <w:r w:rsidRPr="007C749F">
        <w:rPr>
          <w:u w:val="none"/>
        </w:rPr>
        <w:t>and</w:t>
      </w:r>
      <w:r w:rsidR="001C4386" w:rsidRPr="007C749F">
        <w:rPr>
          <w:u w:val="none"/>
        </w:rPr>
        <w:t xml:space="preserve"> D</w:t>
      </w:r>
      <w:r w:rsidRPr="007C749F">
        <w:rPr>
          <w:u w:val="none"/>
        </w:rPr>
        <w:t>ecision</w:t>
      </w:r>
      <w:r w:rsidR="00517048" w:rsidRPr="007C749F">
        <w:rPr>
          <w:u w:val="none"/>
        </w:rPr>
        <w:tab/>
      </w:r>
    </w:p>
    <w:p w14:paraId="24F3099F" w14:textId="77777777" w:rsidR="007C749F" w:rsidRDefault="007C749F" w:rsidP="00181D96">
      <w:pPr>
        <w:ind w:firstLine="720"/>
        <w:jc w:val="both"/>
      </w:pPr>
    </w:p>
    <w:p w14:paraId="5CD3EDD7" w14:textId="7A94439E" w:rsidR="00181D96" w:rsidRPr="008279E1" w:rsidRDefault="00181D96" w:rsidP="00181D96">
      <w:pPr>
        <w:ind w:firstLine="720"/>
        <w:jc w:val="both"/>
      </w:pPr>
      <w:r w:rsidRPr="008279E1">
        <w:t>8 VAC 20-81-210(A) provides:</w:t>
      </w:r>
    </w:p>
    <w:p w14:paraId="49584099" w14:textId="77777777" w:rsidR="00181D96" w:rsidRPr="008279E1" w:rsidRDefault="00181D96" w:rsidP="00181D96">
      <w:pPr>
        <w:ind w:firstLine="720"/>
        <w:jc w:val="both"/>
      </w:pPr>
    </w:p>
    <w:p w14:paraId="59B31236" w14:textId="77777777" w:rsidR="00181D96" w:rsidRPr="008279E1" w:rsidRDefault="00181D96" w:rsidP="00181D96">
      <w:pPr>
        <w:ind w:firstLine="720"/>
        <w:jc w:val="both"/>
      </w:pPr>
    </w:p>
    <w:p w14:paraId="45CE7949" w14:textId="77777777" w:rsidR="00181D96" w:rsidRPr="008279E1" w:rsidRDefault="00181D96" w:rsidP="00181D96">
      <w:pPr>
        <w:ind w:left="720" w:right="360"/>
        <w:jc w:val="both"/>
      </w:pPr>
      <w:r w:rsidRPr="008279E1">
        <w:t>“A.  The Virginia Department of Education provides for an impartial special education due process hearing system to resolve disputes between parents and</w:t>
      </w:r>
      <w:r w:rsidRPr="008279E1">
        <w:rPr>
          <w:b/>
          <w:bCs/>
        </w:rPr>
        <w:t xml:space="preserve"> </w:t>
      </w:r>
      <w:r w:rsidRPr="008279E1">
        <w:t>local educational agencies with respect to any matter relating to the: (§ 22.1-214 of the Code of Virginia; 34 CFR 300.121 and 34 CFR 300.507 through 34 CFR 300.518)</w:t>
      </w:r>
    </w:p>
    <w:p w14:paraId="1D0FACEE" w14:textId="77777777" w:rsidR="00181D96" w:rsidRPr="008279E1" w:rsidRDefault="00181D96" w:rsidP="00181D96">
      <w:pPr>
        <w:ind w:right="360" w:firstLine="720"/>
        <w:jc w:val="both"/>
      </w:pPr>
    </w:p>
    <w:p w14:paraId="7D69DDE8" w14:textId="77777777" w:rsidR="00181D96" w:rsidRPr="008279E1" w:rsidRDefault="00181D96" w:rsidP="00181D96">
      <w:pPr>
        <w:ind w:right="360" w:firstLine="720"/>
        <w:jc w:val="both"/>
      </w:pPr>
    </w:p>
    <w:p w14:paraId="6172F701" w14:textId="77777777" w:rsidR="00181D96" w:rsidRPr="008279E1" w:rsidRDefault="00181D96" w:rsidP="00181D96">
      <w:pPr>
        <w:ind w:left="1440" w:right="360" w:hanging="600"/>
        <w:jc w:val="both"/>
      </w:pPr>
      <w:r w:rsidRPr="008279E1">
        <w:t xml:space="preserve">1.  </w:t>
      </w:r>
      <w:r w:rsidRPr="008279E1">
        <w:tab/>
        <w:t>Identification of a child with a disability, including initial eligibility, any change in categorical identification, any partial or complete termination of special education and related services;</w:t>
      </w:r>
    </w:p>
    <w:p w14:paraId="127AC698" w14:textId="77777777" w:rsidR="00181D96" w:rsidRPr="008279E1" w:rsidRDefault="00181D96" w:rsidP="00181D96">
      <w:pPr>
        <w:ind w:left="1440" w:right="360" w:hanging="600"/>
        <w:jc w:val="both"/>
      </w:pPr>
      <w:r w:rsidRPr="008279E1">
        <w:t xml:space="preserve">2.  </w:t>
      </w:r>
      <w:r w:rsidRPr="008279E1">
        <w:tab/>
        <w:t xml:space="preserve">Evaluation of a child with a disability (including disagreements regarding payment for an independent educational evaluation); </w:t>
      </w:r>
    </w:p>
    <w:p w14:paraId="0B2177E9" w14:textId="77777777" w:rsidR="00181D96" w:rsidRPr="008279E1" w:rsidRDefault="00181D96" w:rsidP="00181D96">
      <w:pPr>
        <w:ind w:right="360" w:firstLine="720"/>
        <w:jc w:val="both"/>
      </w:pPr>
      <w:r w:rsidRPr="008279E1">
        <w:t xml:space="preserve">  3.  </w:t>
      </w:r>
      <w:r w:rsidRPr="008279E1">
        <w:tab/>
        <w:t>Educational placement and services of the child; and</w:t>
      </w:r>
    </w:p>
    <w:p w14:paraId="1E01CC16" w14:textId="77777777" w:rsidR="00181D96" w:rsidRPr="008279E1" w:rsidRDefault="00181D96" w:rsidP="00181D96">
      <w:pPr>
        <w:ind w:right="360" w:firstLine="720"/>
        <w:jc w:val="both"/>
      </w:pPr>
      <w:r w:rsidRPr="008279E1">
        <w:t xml:space="preserve">  4.  </w:t>
      </w:r>
      <w:r w:rsidRPr="008279E1">
        <w:tab/>
        <w:t>Provision of a free appropriate public education to the child</w:t>
      </w:r>
      <w:r>
        <w:t>.</w:t>
      </w:r>
      <w:r w:rsidRPr="008279E1">
        <w:t>”</w:t>
      </w:r>
    </w:p>
    <w:p w14:paraId="45FF2270" w14:textId="77777777" w:rsidR="00181D96" w:rsidRDefault="00181D96" w:rsidP="00181D96">
      <w:pPr>
        <w:spacing w:line="480" w:lineRule="auto"/>
        <w:ind w:firstLine="720"/>
        <w:jc w:val="both"/>
      </w:pPr>
    </w:p>
    <w:p w14:paraId="67D8F03C" w14:textId="77777777" w:rsidR="00432FC2" w:rsidRDefault="00181D96" w:rsidP="002720BB">
      <w:pPr>
        <w:spacing w:line="480" w:lineRule="auto"/>
        <w:ind w:right="360" w:firstLine="720"/>
        <w:jc w:val="both"/>
        <w:rPr>
          <w:u w:val="single"/>
        </w:rPr>
      </w:pPr>
      <w:r>
        <w:t>H</w:t>
      </w:r>
      <w:r w:rsidRPr="008279E1">
        <w:t>earing officers are limited in subject matter jurisdiction or power in the types of disputes they can hear and decide to those enumerated above</w:t>
      </w:r>
      <w:r>
        <w:t xml:space="preserve"> and to certain school disciplinary matters</w:t>
      </w:r>
      <w:r w:rsidRPr="008279E1">
        <w:t xml:space="preserve">.  Hearing officers do not have even close to the plenary jurisdiction of state or federal judges.  </w:t>
      </w:r>
      <w:bookmarkStart w:id="5" w:name="_Hlk75001276"/>
      <w:r w:rsidR="00DA0B1B">
        <w:t>A</w:t>
      </w:r>
      <w:r w:rsidRPr="009F6478">
        <w:t>ny allegations raised by the Parent that do not relate to one of those issues must be dismissed and related requests for relief are denied.</w:t>
      </w:r>
      <w:bookmarkEnd w:id="5"/>
      <w:r w:rsidR="00DA0B1B">
        <w:t xml:space="preserve"> Accordingly, </w:t>
      </w:r>
      <w:r w:rsidR="006D3FCE">
        <w:t>the Parents’ request for relief of placement by the hearing officer within another school district is beyond the subject matter jurisdiction or power of the hearing officer and must be denied.</w:t>
      </w:r>
    </w:p>
    <w:p w14:paraId="08852DEE" w14:textId="77777777" w:rsidR="000A1346" w:rsidRDefault="00350469" w:rsidP="00130481">
      <w:pPr>
        <w:spacing w:line="480" w:lineRule="auto"/>
        <w:ind w:firstLine="720"/>
        <w:jc w:val="both"/>
      </w:pPr>
      <w:r w:rsidRPr="007E4867">
        <w:t xml:space="preserve">In </w:t>
      </w:r>
      <w:r w:rsidRPr="007E4867">
        <w:rPr>
          <w:i/>
          <w:szCs w:val="20"/>
        </w:rPr>
        <w:t>Endrew F. ex rel. Joseph F. v. Douglas Cty. Sch. Dist. RE-1</w:t>
      </w:r>
      <w:r w:rsidRPr="007E4867">
        <w:rPr>
          <w:szCs w:val="20"/>
        </w:rPr>
        <w:t xml:space="preserve">, 137 S. Ct. 988 (2017), </w:t>
      </w:r>
      <w:r w:rsidRPr="007E4867">
        <w:t xml:space="preserve">the Supreme Court reaffirmed and further explained the fundamental standard of appropriateness </w:t>
      </w:r>
      <w:r>
        <w:t xml:space="preserve">under the IDEA </w:t>
      </w:r>
      <w:r w:rsidRPr="007E4867">
        <w:t xml:space="preserve">first set out in its decision 35 years ago in </w:t>
      </w:r>
      <w:r w:rsidRPr="00292C2A">
        <w:rPr>
          <w:i/>
        </w:rPr>
        <w:t>Hendrick</w:t>
      </w:r>
      <w:r w:rsidRPr="007E4867">
        <w:rPr>
          <w:u w:val="single"/>
        </w:rPr>
        <w:t xml:space="preserve"> </w:t>
      </w:r>
      <w:r w:rsidRPr="007E4867">
        <w:rPr>
          <w:i/>
        </w:rPr>
        <w:t>Hudson Cent. Sch. Dist. v. Rowley</w:t>
      </w:r>
      <w:r w:rsidRPr="007E4867">
        <w:t xml:space="preserve">, 458 U.S. 176 (1982).  </w:t>
      </w:r>
      <w:r w:rsidR="006D3FCE">
        <w:t>In</w:t>
      </w:r>
      <w:r w:rsidR="006D3FCE" w:rsidRPr="006D3FCE">
        <w:rPr>
          <w:i/>
          <w:iCs/>
        </w:rPr>
        <w:t xml:space="preserve"> Endrew F.</w:t>
      </w:r>
      <w:r w:rsidR="006D3FCE">
        <w:t>, the</w:t>
      </w:r>
      <w:r w:rsidR="006D3FCE" w:rsidRPr="006D3FCE">
        <w:t xml:space="preserve"> Supreme Court refined the FAPE test, defining “some educational benefit” as requiring a school division to offer an IEP which is reasonably calculated to enable a child to make educational progress in light of the child’s individual circumstances.</w:t>
      </w:r>
      <w:r w:rsidR="006D3FCE" w:rsidRPr="006D3FCE">
        <w:rPr>
          <w:i/>
          <w:iCs/>
        </w:rPr>
        <w:t xml:space="preserve"> </w:t>
      </w:r>
    </w:p>
    <w:p w14:paraId="783FA7CC" w14:textId="77777777" w:rsidR="006D3FCE" w:rsidRDefault="006D3FCE" w:rsidP="00130481">
      <w:pPr>
        <w:spacing w:line="480" w:lineRule="auto"/>
        <w:ind w:firstLine="720"/>
        <w:jc w:val="both"/>
      </w:pPr>
      <w:r>
        <w:t>The</w:t>
      </w:r>
      <w:r>
        <w:rPr>
          <w:spacing w:val="-5"/>
        </w:rPr>
        <w:t xml:space="preserve"> </w:t>
      </w:r>
      <w:r>
        <w:t>United</w:t>
      </w:r>
      <w:r>
        <w:rPr>
          <w:spacing w:val="-4"/>
        </w:rPr>
        <w:t xml:space="preserve"> </w:t>
      </w:r>
      <w:r>
        <w:t>States</w:t>
      </w:r>
      <w:r>
        <w:rPr>
          <w:spacing w:val="-3"/>
        </w:rPr>
        <w:t xml:space="preserve"> </w:t>
      </w:r>
      <w:r>
        <w:t>Court</w:t>
      </w:r>
      <w:r>
        <w:rPr>
          <w:spacing w:val="-4"/>
        </w:rPr>
        <w:t xml:space="preserve"> </w:t>
      </w:r>
      <w:r>
        <w:t>of</w:t>
      </w:r>
      <w:r>
        <w:rPr>
          <w:spacing w:val="-5"/>
        </w:rPr>
        <w:t xml:space="preserve"> </w:t>
      </w:r>
      <w:r>
        <w:t>Appeals</w:t>
      </w:r>
      <w:r>
        <w:rPr>
          <w:spacing w:val="-2"/>
        </w:rPr>
        <w:t xml:space="preserve"> </w:t>
      </w:r>
      <w:r>
        <w:t>for</w:t>
      </w:r>
      <w:r>
        <w:rPr>
          <w:spacing w:val="-5"/>
        </w:rPr>
        <w:t xml:space="preserve"> </w:t>
      </w:r>
      <w:r>
        <w:t>the</w:t>
      </w:r>
      <w:r>
        <w:rPr>
          <w:spacing w:val="-3"/>
        </w:rPr>
        <w:t xml:space="preserve"> </w:t>
      </w:r>
      <w:r>
        <w:t>Fourth</w:t>
      </w:r>
      <w:r>
        <w:rPr>
          <w:spacing w:val="-4"/>
        </w:rPr>
        <w:t xml:space="preserve"> </w:t>
      </w:r>
      <w:r>
        <w:t>Circuit</w:t>
      </w:r>
      <w:r>
        <w:rPr>
          <w:spacing w:val="-3"/>
        </w:rPr>
        <w:t xml:space="preserve"> </w:t>
      </w:r>
      <w:r>
        <w:t xml:space="preserve">in </w:t>
      </w:r>
      <w:r w:rsidRPr="007331BE">
        <w:rPr>
          <w:i/>
          <w:iCs/>
        </w:rPr>
        <w:t>R.F.</w:t>
      </w:r>
      <w:r w:rsidRPr="007331BE">
        <w:rPr>
          <w:i/>
          <w:iCs/>
          <w:spacing w:val="-4"/>
        </w:rPr>
        <w:t xml:space="preserve"> </w:t>
      </w:r>
      <w:r w:rsidRPr="007331BE">
        <w:rPr>
          <w:i/>
          <w:iCs/>
        </w:rPr>
        <w:t>v.</w:t>
      </w:r>
      <w:r w:rsidRPr="007331BE">
        <w:rPr>
          <w:i/>
          <w:iCs/>
          <w:spacing w:val="-4"/>
        </w:rPr>
        <w:t xml:space="preserve"> </w:t>
      </w:r>
      <w:r w:rsidRPr="007331BE">
        <w:rPr>
          <w:i/>
          <w:iCs/>
        </w:rPr>
        <w:t>Cecil</w:t>
      </w:r>
      <w:r w:rsidRPr="007331BE">
        <w:rPr>
          <w:i/>
          <w:iCs/>
          <w:spacing w:val="-2"/>
        </w:rPr>
        <w:t xml:space="preserve"> </w:t>
      </w:r>
      <w:r w:rsidRPr="007331BE">
        <w:rPr>
          <w:i/>
          <w:iCs/>
        </w:rPr>
        <w:t>County</w:t>
      </w:r>
      <w:r w:rsidRPr="007331BE">
        <w:rPr>
          <w:i/>
          <w:iCs/>
          <w:spacing w:val="-3"/>
        </w:rPr>
        <w:t xml:space="preserve"> </w:t>
      </w:r>
      <w:r w:rsidRPr="007331BE">
        <w:rPr>
          <w:i/>
          <w:iCs/>
        </w:rPr>
        <w:t>Public</w:t>
      </w:r>
      <w:r w:rsidRPr="007331BE">
        <w:rPr>
          <w:i/>
          <w:iCs/>
          <w:spacing w:val="-5"/>
        </w:rPr>
        <w:t xml:space="preserve"> </w:t>
      </w:r>
      <w:r w:rsidRPr="007331BE">
        <w:rPr>
          <w:i/>
          <w:iCs/>
        </w:rPr>
        <w:t>Schools,</w:t>
      </w:r>
      <w:r w:rsidRPr="007331BE">
        <w:rPr>
          <w:i/>
          <w:iCs/>
          <w:spacing w:val="-57"/>
        </w:rPr>
        <w:t xml:space="preserve"> </w:t>
      </w:r>
      <w:r w:rsidRPr="007331BE">
        <w:rPr>
          <w:i/>
          <w:iCs/>
        </w:rPr>
        <w:t>et al</w:t>
      </w:r>
      <w:r w:rsidRPr="007331BE">
        <w:t>.</w:t>
      </w:r>
      <w:r>
        <w:t>, 919 F.3d 237 (4th Cir. 2019) stated that "this standard is framed in terms of each child's</w:t>
      </w:r>
      <w:r>
        <w:rPr>
          <w:spacing w:val="1"/>
        </w:rPr>
        <w:t xml:space="preserve"> </w:t>
      </w:r>
      <w:r>
        <w:t xml:space="preserve">unique circumstances because “a focus on the particular child is at the core of the IDEA.”"(citing </w:t>
      </w:r>
      <w:r>
        <w:rPr>
          <w:u w:val="single"/>
        </w:rPr>
        <w:t>Endrew F.</w:t>
      </w:r>
      <w:r>
        <w:t xml:space="preserve">, 137 S. Ct. at 999). </w:t>
      </w:r>
    </w:p>
    <w:p w14:paraId="3D1540FC" w14:textId="77777777" w:rsidR="00E02D2D" w:rsidRDefault="00F70479" w:rsidP="00BF1C1B">
      <w:pPr>
        <w:spacing w:line="480" w:lineRule="auto"/>
        <w:ind w:right="-288" w:firstLine="720"/>
      </w:pPr>
      <w:r>
        <w:t>Of course, t</w:t>
      </w:r>
      <w:r w:rsidRPr="00FA33BC">
        <w:t xml:space="preserve">he IEP is the backbone of a student's special education program. </w:t>
      </w:r>
      <w:r w:rsidR="00E02D2D" w:rsidRPr="00E02D2D">
        <w:rPr>
          <w:color w:val="030303"/>
          <w:w w:val="105"/>
        </w:rPr>
        <w:t>“Participation in</w:t>
      </w:r>
      <w:r w:rsidR="00E02D2D" w:rsidRPr="00E02D2D">
        <w:rPr>
          <w:color w:val="030303"/>
          <w:spacing w:val="-3"/>
          <w:w w:val="105"/>
        </w:rPr>
        <w:t xml:space="preserve"> </w:t>
      </w:r>
      <w:r w:rsidR="00E02D2D" w:rsidRPr="00E02D2D">
        <w:rPr>
          <w:color w:val="030303"/>
          <w:w w:val="105"/>
        </w:rPr>
        <w:t>the</w:t>
      </w:r>
      <w:r w:rsidR="00E02D2D" w:rsidRPr="00E02D2D">
        <w:rPr>
          <w:color w:val="030303"/>
          <w:spacing w:val="-15"/>
          <w:w w:val="105"/>
        </w:rPr>
        <w:t xml:space="preserve"> </w:t>
      </w:r>
      <w:r w:rsidR="00E02D2D" w:rsidRPr="00E02D2D">
        <w:rPr>
          <w:color w:val="030303"/>
          <w:w w:val="105"/>
        </w:rPr>
        <w:t>IEP</w:t>
      </w:r>
      <w:r w:rsidR="00E02D2D" w:rsidRPr="00E02D2D">
        <w:rPr>
          <w:color w:val="030303"/>
          <w:spacing w:val="-13"/>
          <w:w w:val="105"/>
        </w:rPr>
        <w:t xml:space="preserve"> </w:t>
      </w:r>
      <w:r w:rsidR="00E02D2D" w:rsidRPr="00E02D2D">
        <w:rPr>
          <w:color w:val="030303"/>
          <w:w w:val="105"/>
        </w:rPr>
        <w:t>and</w:t>
      </w:r>
      <w:r w:rsidR="00E02D2D" w:rsidRPr="00E02D2D">
        <w:rPr>
          <w:color w:val="030303"/>
          <w:spacing w:val="-11"/>
          <w:w w:val="105"/>
        </w:rPr>
        <w:t xml:space="preserve"> </w:t>
      </w:r>
      <w:r w:rsidR="00E02D2D" w:rsidRPr="00E02D2D">
        <w:rPr>
          <w:color w:val="030303"/>
          <w:w w:val="105"/>
        </w:rPr>
        <w:t>educational placement</w:t>
      </w:r>
      <w:r w:rsidR="00E02D2D" w:rsidRPr="00E02D2D">
        <w:rPr>
          <w:color w:val="030303"/>
          <w:spacing w:val="-5"/>
          <w:w w:val="105"/>
        </w:rPr>
        <w:t xml:space="preserve"> </w:t>
      </w:r>
      <w:r w:rsidR="00E02D2D" w:rsidRPr="00E02D2D">
        <w:rPr>
          <w:color w:val="030303"/>
          <w:w w:val="105"/>
        </w:rPr>
        <w:t>process</w:t>
      </w:r>
      <w:r w:rsidR="00E02D2D" w:rsidRPr="00E02D2D">
        <w:rPr>
          <w:color w:val="030303"/>
          <w:spacing w:val="-7"/>
          <w:w w:val="105"/>
        </w:rPr>
        <w:t xml:space="preserve"> </w:t>
      </w:r>
      <w:r w:rsidR="00E02D2D" w:rsidRPr="00E02D2D">
        <w:rPr>
          <w:color w:val="030303"/>
          <w:w w:val="105"/>
        </w:rPr>
        <w:t xml:space="preserve">is </w:t>
      </w:r>
      <w:r w:rsidR="00E02D2D" w:rsidRPr="00E02D2D">
        <w:rPr>
          <w:color w:val="030303"/>
          <w:w w:val="110"/>
        </w:rPr>
        <w:t>critical</w:t>
      </w:r>
      <w:r w:rsidR="00E02D2D" w:rsidRPr="00E02D2D">
        <w:rPr>
          <w:color w:val="030303"/>
          <w:spacing w:val="-16"/>
          <w:w w:val="110"/>
        </w:rPr>
        <w:t xml:space="preserve"> </w:t>
      </w:r>
      <w:r w:rsidR="00E02D2D" w:rsidRPr="00E02D2D">
        <w:rPr>
          <w:color w:val="030303"/>
          <w:w w:val="110"/>
        </w:rPr>
        <w:t>to</w:t>
      </w:r>
      <w:r w:rsidR="00E02D2D" w:rsidRPr="00E02D2D">
        <w:rPr>
          <w:color w:val="030303"/>
          <w:spacing w:val="-15"/>
          <w:w w:val="110"/>
        </w:rPr>
        <w:t xml:space="preserve"> </w:t>
      </w:r>
      <w:r w:rsidR="00E02D2D" w:rsidRPr="00E02D2D">
        <w:rPr>
          <w:color w:val="030303"/>
          <w:w w:val="110"/>
        </w:rPr>
        <w:t>the</w:t>
      </w:r>
      <w:r w:rsidR="00E02D2D" w:rsidRPr="00E02D2D">
        <w:rPr>
          <w:color w:val="030303"/>
          <w:spacing w:val="-15"/>
          <w:w w:val="110"/>
        </w:rPr>
        <w:t xml:space="preserve"> </w:t>
      </w:r>
      <w:r w:rsidR="00E02D2D" w:rsidRPr="00E02D2D">
        <w:rPr>
          <w:color w:val="030303"/>
          <w:w w:val="110"/>
        </w:rPr>
        <w:t>organization</w:t>
      </w:r>
      <w:r w:rsidR="00E02D2D" w:rsidRPr="00E02D2D">
        <w:rPr>
          <w:color w:val="030303"/>
          <w:spacing w:val="-15"/>
          <w:w w:val="110"/>
        </w:rPr>
        <w:t xml:space="preserve"> </w:t>
      </w:r>
      <w:r w:rsidR="00E02D2D" w:rsidRPr="00E02D2D">
        <w:rPr>
          <w:color w:val="030303"/>
          <w:w w:val="110"/>
        </w:rPr>
        <w:t>of</w:t>
      </w:r>
      <w:r w:rsidR="00E02D2D" w:rsidRPr="00E02D2D">
        <w:rPr>
          <w:color w:val="030303"/>
          <w:spacing w:val="-15"/>
          <w:w w:val="110"/>
        </w:rPr>
        <w:t xml:space="preserve"> </w:t>
      </w:r>
      <w:r w:rsidR="00E02D2D" w:rsidRPr="00E02D2D">
        <w:rPr>
          <w:color w:val="030303"/>
          <w:w w:val="110"/>
        </w:rPr>
        <w:t>the</w:t>
      </w:r>
      <w:r w:rsidR="00E02D2D" w:rsidRPr="00E02D2D">
        <w:rPr>
          <w:color w:val="030303"/>
          <w:spacing w:val="-15"/>
          <w:w w:val="110"/>
        </w:rPr>
        <w:t xml:space="preserve"> </w:t>
      </w:r>
      <w:r w:rsidR="00E02D2D" w:rsidRPr="00E02D2D">
        <w:rPr>
          <w:color w:val="030303"/>
          <w:w w:val="110"/>
        </w:rPr>
        <w:t>IDEA."</w:t>
      </w:r>
      <w:r w:rsidR="00E02D2D" w:rsidRPr="00E02D2D">
        <w:rPr>
          <w:color w:val="030303"/>
          <w:spacing w:val="-15"/>
          <w:w w:val="110"/>
        </w:rPr>
        <w:t xml:space="preserve"> </w:t>
      </w:r>
      <w:r w:rsidR="00E02D2D" w:rsidRPr="00E02D2D">
        <w:rPr>
          <w:i/>
          <w:color w:val="030303"/>
          <w:w w:val="110"/>
        </w:rPr>
        <w:t>Doug</w:t>
      </w:r>
      <w:r w:rsidR="00E02D2D" w:rsidRPr="00E02D2D">
        <w:rPr>
          <w:i/>
          <w:color w:val="030303"/>
          <w:spacing w:val="-16"/>
          <w:w w:val="110"/>
        </w:rPr>
        <w:t xml:space="preserve"> </w:t>
      </w:r>
      <w:r w:rsidR="00E02D2D" w:rsidRPr="00E02D2D">
        <w:rPr>
          <w:color w:val="030303"/>
          <w:w w:val="110"/>
        </w:rPr>
        <w:t>C.</w:t>
      </w:r>
      <w:r w:rsidR="00E02D2D" w:rsidRPr="00E02D2D">
        <w:rPr>
          <w:color w:val="030303"/>
          <w:spacing w:val="-18"/>
          <w:w w:val="110"/>
        </w:rPr>
        <w:t xml:space="preserve"> </w:t>
      </w:r>
      <w:r w:rsidR="00E02D2D" w:rsidRPr="00E02D2D">
        <w:rPr>
          <w:i/>
          <w:color w:val="030303"/>
          <w:w w:val="110"/>
        </w:rPr>
        <w:t>v.</w:t>
      </w:r>
      <w:r w:rsidR="00E02D2D" w:rsidRPr="00E02D2D">
        <w:rPr>
          <w:i/>
          <w:color w:val="030303"/>
          <w:spacing w:val="-16"/>
          <w:w w:val="110"/>
        </w:rPr>
        <w:t xml:space="preserve"> </w:t>
      </w:r>
      <w:r w:rsidR="00E02D2D" w:rsidRPr="00E02D2D">
        <w:rPr>
          <w:i/>
          <w:color w:val="030303"/>
          <w:w w:val="110"/>
        </w:rPr>
        <w:t>Hawaii</w:t>
      </w:r>
      <w:r w:rsidR="00E02D2D" w:rsidRPr="00E02D2D">
        <w:rPr>
          <w:i/>
          <w:color w:val="030303"/>
          <w:spacing w:val="-15"/>
          <w:w w:val="110"/>
        </w:rPr>
        <w:t xml:space="preserve"> </w:t>
      </w:r>
      <w:r w:rsidR="00E02D2D" w:rsidRPr="00E02D2D">
        <w:rPr>
          <w:i/>
          <w:color w:val="030303"/>
          <w:w w:val="110"/>
        </w:rPr>
        <w:t>Dept.</w:t>
      </w:r>
      <w:r w:rsidR="00E02D2D" w:rsidRPr="00E02D2D">
        <w:rPr>
          <w:i/>
          <w:color w:val="030303"/>
          <w:spacing w:val="-16"/>
          <w:w w:val="110"/>
        </w:rPr>
        <w:t xml:space="preserve"> </w:t>
      </w:r>
      <w:r w:rsidR="00E02D2D" w:rsidRPr="00E02D2D">
        <w:rPr>
          <w:i/>
          <w:color w:val="030303"/>
          <w:w w:val="110"/>
        </w:rPr>
        <w:t>of</w:t>
      </w:r>
      <w:r w:rsidR="00E02D2D" w:rsidRPr="00E02D2D">
        <w:rPr>
          <w:i/>
          <w:color w:val="030303"/>
          <w:spacing w:val="-16"/>
          <w:w w:val="110"/>
        </w:rPr>
        <w:t xml:space="preserve"> </w:t>
      </w:r>
      <w:r w:rsidR="00E02D2D" w:rsidRPr="00E02D2D">
        <w:rPr>
          <w:i/>
          <w:color w:val="030303"/>
          <w:w w:val="110"/>
        </w:rPr>
        <w:t>Educ.,</w:t>
      </w:r>
      <w:r w:rsidR="00E02D2D" w:rsidRPr="00E02D2D">
        <w:rPr>
          <w:i/>
          <w:color w:val="030303"/>
          <w:spacing w:val="-16"/>
          <w:w w:val="110"/>
        </w:rPr>
        <w:t xml:space="preserve"> </w:t>
      </w:r>
      <w:r w:rsidR="00E02D2D" w:rsidRPr="00E02D2D">
        <w:rPr>
          <w:color w:val="030303"/>
          <w:w w:val="110"/>
        </w:rPr>
        <w:t>720</w:t>
      </w:r>
      <w:r w:rsidR="00E02D2D" w:rsidRPr="00E02D2D">
        <w:rPr>
          <w:color w:val="030303"/>
          <w:spacing w:val="-15"/>
          <w:w w:val="110"/>
        </w:rPr>
        <w:t xml:space="preserve"> </w:t>
      </w:r>
      <w:r w:rsidR="00E02D2D" w:rsidRPr="00E02D2D">
        <w:rPr>
          <w:color w:val="030303"/>
          <w:w w:val="110"/>
        </w:rPr>
        <w:t>F.3d</w:t>
      </w:r>
      <w:r w:rsidR="00E02D2D" w:rsidRPr="00E02D2D">
        <w:rPr>
          <w:color w:val="030303"/>
          <w:spacing w:val="-15"/>
          <w:w w:val="110"/>
        </w:rPr>
        <w:t xml:space="preserve"> </w:t>
      </w:r>
      <w:r w:rsidR="00E02D2D" w:rsidRPr="00E02D2D">
        <w:rPr>
          <w:color w:val="030303"/>
          <w:w w:val="110"/>
        </w:rPr>
        <w:t>1038,</w:t>
      </w:r>
      <w:r w:rsidR="00E02D2D" w:rsidRPr="00E02D2D">
        <w:rPr>
          <w:color w:val="030303"/>
          <w:spacing w:val="-15"/>
          <w:w w:val="110"/>
        </w:rPr>
        <w:t xml:space="preserve"> </w:t>
      </w:r>
      <w:r w:rsidR="00E02D2D" w:rsidRPr="00E02D2D">
        <w:rPr>
          <w:color w:val="030303"/>
          <w:w w:val="110"/>
        </w:rPr>
        <w:t>1043 (9th Cir. 2013) (citations omitted).</w:t>
      </w:r>
    </w:p>
    <w:p w14:paraId="736AD165" w14:textId="77777777" w:rsidR="00F70479" w:rsidRDefault="00F70479" w:rsidP="00F70479">
      <w:pPr>
        <w:pStyle w:val="BodyText"/>
        <w:ind w:left="100" w:right="194" w:firstLine="620"/>
      </w:pPr>
      <w:r w:rsidRPr="00FA33BC">
        <w:t xml:space="preserve"> To that end, the Supreme Court of Virginia has recognized that an appropriate set of IEP goals is in and of itself is a significant factor in determining whether a school district has offered an appropriate program.  </w:t>
      </w:r>
      <w:smartTag w:uri="urn:schemas-microsoft-com:office:smarttags" w:element="PlaceName">
        <w:r w:rsidRPr="00FA33BC">
          <w:rPr>
            <w:i/>
          </w:rPr>
          <w:t>See</w:t>
        </w:r>
      </w:smartTag>
      <w:r w:rsidRPr="00FA33BC">
        <w:rPr>
          <w:i/>
        </w:rPr>
        <w:t xml:space="preserve"> </w:t>
      </w:r>
      <w:smartTag w:uri="urn:schemas-microsoft-com:office:smarttags" w:element="PlaceType">
        <w:r w:rsidRPr="00FA33BC">
          <w:rPr>
            <w:i/>
          </w:rPr>
          <w:t>School</w:t>
        </w:r>
      </w:smartTag>
      <w:r w:rsidRPr="00FA33BC">
        <w:rPr>
          <w:i/>
        </w:rPr>
        <w:t xml:space="preserve"> Bd. v. Beasley</w:t>
      </w:r>
      <w:r w:rsidRPr="00FA33BC">
        <w:t xml:space="preserve">, 238 </w:t>
      </w:r>
      <w:smartTag w:uri="urn:schemas-microsoft-com:office:smarttags" w:element="place">
        <w:smartTag w:uri="urn:schemas-microsoft-com:office:smarttags" w:element="State">
          <w:r w:rsidRPr="00FA33BC">
            <w:t>Va.</w:t>
          </w:r>
        </w:smartTag>
      </w:smartTag>
      <w:r w:rsidRPr="00FA33BC">
        <w:t xml:space="preserve"> 44, 52, 380 S.E.2d 884, 889 (1989). </w:t>
      </w:r>
    </w:p>
    <w:p w14:paraId="63F00554" w14:textId="77777777" w:rsidR="00F70479" w:rsidRDefault="00F70479" w:rsidP="00F70479">
      <w:pPr>
        <w:pStyle w:val="BodyText"/>
        <w:ind w:left="100" w:right="194" w:firstLine="620"/>
      </w:pPr>
      <w:r>
        <w:t>In this case, the Parents have hampered the LEA’s ability to develop an appropriate IEP because they have refused to consent to the LEA’s requests for reevaluation of the Student. As an aside, both parties now request that the hearing officer order an independent educational evaluation.</w:t>
      </w:r>
    </w:p>
    <w:p w14:paraId="0A094840" w14:textId="77777777" w:rsidR="00BF1C1B" w:rsidRDefault="00F70479" w:rsidP="00BF1C1B">
      <w:pPr>
        <w:pStyle w:val="BodyText"/>
        <w:ind w:left="100" w:right="194" w:firstLine="620"/>
      </w:pPr>
      <w:r>
        <w:t xml:space="preserve">Parental consent is required </w:t>
      </w:r>
      <w:r w:rsidR="00E02D2D">
        <w:t>for reevaluation. 34 CFR 300.300(c). If the parents refuse consent, the LEA may but is not required to pursue the consent override procedures in 34 CFR 300.300(a)(3).</w:t>
      </w:r>
      <w:r w:rsidR="00BF1C1B">
        <w:t xml:space="preserve"> </w:t>
      </w:r>
    </w:p>
    <w:p w14:paraId="212585D6" w14:textId="77777777" w:rsidR="00A71566" w:rsidRPr="00A71566" w:rsidRDefault="00D41A99" w:rsidP="00A71566">
      <w:pPr>
        <w:spacing w:line="480" w:lineRule="auto"/>
        <w:ind w:firstLine="360"/>
        <w:rPr>
          <w:rFonts w:eastAsia="Calibri"/>
        </w:rPr>
      </w:pPr>
      <w:r>
        <w:tab/>
      </w:r>
      <w:r w:rsidR="00BF1C1B">
        <w:t>As no</w:t>
      </w:r>
      <w:r w:rsidR="00BF1C1B" w:rsidRPr="00BF1C1B">
        <w:t xml:space="preserve"> assessments were made to measure the Student’s present levels of academic achievement and functional performance (the “PLAAFP”)</w:t>
      </w:r>
      <w:r w:rsidR="00BF1C1B">
        <w:t xml:space="preserve">, it was well nigh impossible for the LEA to </w:t>
      </w:r>
      <w:r w:rsidR="00BF1C1B" w:rsidRPr="00BF1C1B">
        <w:t xml:space="preserve">establish reliable baselines for the PLAAFPs in the applicable </w:t>
      </w:r>
      <w:r w:rsidR="002A672D" w:rsidRPr="00BF1C1B">
        <w:t>IEPs, for</w:t>
      </w:r>
      <w:r w:rsidR="00BF1C1B" w:rsidRPr="00BF1C1B">
        <w:t xml:space="preserve"> the IEP Teams to address each of the Student’s unique disability-based needs in the PLAAFP, and to develop meaningful and appropriate measurable annual goals, including academic and functional goal</w:t>
      </w:r>
      <w:r>
        <w:t>s.</w:t>
      </w:r>
      <w:r w:rsidR="00A71566" w:rsidRPr="00A71566">
        <w:rPr>
          <w:rFonts w:eastAsia="Calibri"/>
        </w:rPr>
        <w:t xml:space="preserve"> </w:t>
      </w:r>
      <w:r>
        <w:rPr>
          <w:rFonts w:eastAsia="Calibri"/>
        </w:rPr>
        <w:tab/>
      </w:r>
      <w:r w:rsidR="00A71566" w:rsidRPr="00A71566">
        <w:rPr>
          <w:rFonts w:eastAsia="Calibri"/>
        </w:rPr>
        <w:t>Congress expressed a state’s eligibility for federal IDEA funds in terms of whether a FAPE is “available” to all children with disabilities. 20 U.S.C. § 412(a)(1)(</w:t>
      </w:r>
      <w:r w:rsidRPr="00A71566">
        <w:rPr>
          <w:rFonts w:eastAsia="Calibri"/>
        </w:rPr>
        <w:t>A) &amp;</w:t>
      </w:r>
      <w:r>
        <w:rPr>
          <w:rFonts w:eastAsia="Calibri"/>
        </w:rPr>
        <w:t xml:space="preserve"> </w:t>
      </w:r>
      <w:r w:rsidR="00A71566" w:rsidRPr="00A71566">
        <w:rPr>
          <w:rFonts w:eastAsia="Calibri"/>
        </w:rPr>
        <w:t xml:space="preserve">(B). Thus, since the stated purpose of the regulations is to ensure that children with disabilities have FAPE “available to them” (34 C.F.R. § 300.1(a)), if a school district has made FAPE available, then neither the fact that a family does not access it nor the reason that they elected not to access it is evidence of a school district’s noncompliance with the IDEA. </w:t>
      </w:r>
    </w:p>
    <w:p w14:paraId="378C1A44" w14:textId="77777777" w:rsidR="00A71566" w:rsidRPr="00A71566" w:rsidRDefault="00D41A99" w:rsidP="00A71566">
      <w:pPr>
        <w:adjustRightInd/>
        <w:spacing w:line="480" w:lineRule="auto"/>
        <w:ind w:firstLine="360"/>
        <w:rPr>
          <w:rFonts w:eastAsia="Calibri"/>
        </w:rPr>
      </w:pPr>
      <w:r>
        <w:rPr>
          <w:rFonts w:eastAsia="Calibri"/>
        </w:rPr>
        <w:tab/>
      </w:r>
      <w:r w:rsidR="00A71566" w:rsidRPr="00A71566">
        <w:rPr>
          <w:rFonts w:eastAsia="Calibri"/>
        </w:rPr>
        <w:t xml:space="preserve">Compliance with the IDEA turns on the appropriateness of what was offered, not on whether a school district overcomes the misgivings of parents who are deciding whether to have their child attend the public-school program that is offered based on their own belief that their child is not safe at school. Congress did not express the duty in terms of whether each child actually attends public school and receives the public education that a school district makes available. </w:t>
      </w:r>
    </w:p>
    <w:p w14:paraId="14D86D09" w14:textId="77777777" w:rsidR="00A71566" w:rsidRDefault="00A71566" w:rsidP="00A71566">
      <w:pPr>
        <w:adjustRightInd/>
        <w:spacing w:line="480" w:lineRule="auto"/>
        <w:ind w:firstLine="360"/>
      </w:pPr>
      <w:r w:rsidRPr="00A71566">
        <w:rPr>
          <w:rFonts w:eastAsia="Calibri"/>
        </w:rPr>
        <w:t xml:space="preserve">Accordingly, </w:t>
      </w:r>
      <w:r w:rsidRPr="00A71566">
        <w:rPr>
          <w:rFonts w:eastAsia="Calibri"/>
          <w:b/>
          <w:bCs/>
        </w:rPr>
        <w:t>the availability of a FAPE</w:t>
      </w:r>
      <w:r w:rsidRPr="00A71566">
        <w:rPr>
          <w:rFonts w:eastAsia="Calibri"/>
        </w:rPr>
        <w:t xml:space="preserve"> is key under the IDEA, but if the family fails to allow the school district to provide the available educational opportunities because the parent refused to send the student to school, the school is not responsible for the provision of the services. See, e.g., </w:t>
      </w:r>
      <w:r w:rsidRPr="00A71566">
        <w:rPr>
          <w:rFonts w:eastAsia="Calibri"/>
          <w:i/>
          <w:iCs/>
        </w:rPr>
        <w:t>Pedraza v. Alameda Unified Sch. Dist</w:t>
      </w:r>
      <w:r w:rsidRPr="00A71566">
        <w:rPr>
          <w:rFonts w:eastAsia="Calibri"/>
        </w:rPr>
        <w:t xml:space="preserve">., 117 LRP 3792, 676 F.App'x 704 (9th Cir. 01/26/17, unpublished) (The three-judge panel echoed the District Court’s holding in </w:t>
      </w:r>
      <w:r w:rsidRPr="00A71566">
        <w:rPr>
          <w:rFonts w:eastAsia="Calibri"/>
          <w:i/>
          <w:iCs/>
        </w:rPr>
        <w:t>Pedraza v. Alameda Unified Sch. Dist</w:t>
      </w:r>
      <w:r w:rsidRPr="00A71566">
        <w:rPr>
          <w:rFonts w:eastAsia="Calibri"/>
        </w:rPr>
        <w:t>., No. 05-04977 CW, 2011 WL 4507111, at *11 (N.D. Cal. Sept. 29, 2011) that a school district is not liable for failing to provide services to a student when that failure is caused by the parents’ own lack of cooperation).</w:t>
      </w:r>
      <w:r w:rsidRPr="00A71566">
        <w:t xml:space="preserve"> </w:t>
      </w:r>
    </w:p>
    <w:p w14:paraId="4DDBACF0" w14:textId="77777777" w:rsidR="006C3234" w:rsidRPr="00A71566" w:rsidRDefault="006C3234" w:rsidP="00A71566">
      <w:pPr>
        <w:adjustRightInd/>
        <w:spacing w:line="480" w:lineRule="auto"/>
        <w:ind w:firstLine="360"/>
        <w:rPr>
          <w:color w:val="030303"/>
          <w:w w:val="105"/>
        </w:rPr>
      </w:pPr>
      <w:r>
        <w:tab/>
        <w:t>Nevertheless, as the LEA argues, by counsel, in its Post-Hearing Brief, LEA staff have made a good faith</w:t>
      </w:r>
      <w:r w:rsidR="002B3BD4">
        <w:t>, coordinated, collaborative</w:t>
      </w:r>
      <w:r>
        <w:t xml:space="preserve"> effort to </w:t>
      </w:r>
      <w:r w:rsidR="002B3BD4">
        <w:t xml:space="preserve">take measures, including </w:t>
      </w:r>
      <w:r>
        <w:t>conduct</w:t>
      </w:r>
      <w:r w:rsidR="002B3BD4">
        <w:t>ing</w:t>
      </w:r>
      <w:r>
        <w:t xml:space="preserve"> informal assessments</w:t>
      </w:r>
      <w:r w:rsidR="002B3BD4">
        <w:t xml:space="preserve"> (for which parental consent is not required),</w:t>
      </w:r>
      <w:r>
        <w:t xml:space="preserve"> in order to meet the needs of the Student. During the 2022-2023 school year, following the approval of the parents (later withdrawn), the LEA made a good faith attempt to meet the needs of the Student in a more restricted, self-contained setting</w:t>
      </w:r>
      <w:r w:rsidR="005003CC">
        <w:t xml:space="preserve">, for which the LEA has long been advocating. </w:t>
      </w:r>
    </w:p>
    <w:p w14:paraId="7F8655A4" w14:textId="77777777" w:rsidR="00AD6CC9" w:rsidRPr="00AD6CC9" w:rsidRDefault="00AD6CC9" w:rsidP="00AD6CC9">
      <w:pPr>
        <w:adjustRightInd/>
        <w:spacing w:line="480" w:lineRule="auto"/>
        <w:ind w:firstLine="180"/>
        <w:rPr>
          <w:b/>
          <w:bCs/>
          <w:u w:val="thick"/>
        </w:rPr>
      </w:pPr>
      <w:r>
        <w:rPr>
          <w:szCs w:val="22"/>
        </w:rPr>
        <w:tab/>
      </w:r>
      <w:r w:rsidRPr="00AD6CC9">
        <w:rPr>
          <w:szCs w:val="22"/>
        </w:rPr>
        <w:t>The</w:t>
      </w:r>
      <w:r w:rsidRPr="00AD6CC9">
        <w:rPr>
          <w:spacing w:val="61"/>
          <w:szCs w:val="22"/>
        </w:rPr>
        <w:t xml:space="preserve"> </w:t>
      </w:r>
      <w:r w:rsidRPr="00AD6CC9">
        <w:rPr>
          <w:szCs w:val="22"/>
        </w:rPr>
        <w:t>law</w:t>
      </w:r>
      <w:r w:rsidRPr="00AD6CC9">
        <w:rPr>
          <w:spacing w:val="63"/>
          <w:szCs w:val="22"/>
        </w:rPr>
        <w:t xml:space="preserve"> </w:t>
      </w:r>
      <w:r w:rsidRPr="00AD6CC9">
        <w:rPr>
          <w:szCs w:val="22"/>
        </w:rPr>
        <w:t>does</w:t>
      </w:r>
      <w:r w:rsidRPr="00AD6CC9">
        <w:rPr>
          <w:spacing w:val="64"/>
          <w:szCs w:val="22"/>
        </w:rPr>
        <w:t xml:space="preserve"> </w:t>
      </w:r>
      <w:r w:rsidRPr="00AD6CC9">
        <w:rPr>
          <w:szCs w:val="22"/>
        </w:rPr>
        <w:t>not</w:t>
      </w:r>
      <w:r w:rsidRPr="00AD6CC9">
        <w:rPr>
          <w:spacing w:val="63"/>
          <w:szCs w:val="22"/>
        </w:rPr>
        <w:t xml:space="preserve"> </w:t>
      </w:r>
      <w:r w:rsidRPr="00AD6CC9">
        <w:rPr>
          <w:szCs w:val="22"/>
        </w:rPr>
        <w:t>require</w:t>
      </w:r>
      <w:r w:rsidRPr="00AD6CC9">
        <w:rPr>
          <w:spacing w:val="62"/>
          <w:szCs w:val="22"/>
        </w:rPr>
        <w:t xml:space="preserve"> </w:t>
      </w:r>
      <w:r w:rsidRPr="00AD6CC9">
        <w:rPr>
          <w:szCs w:val="22"/>
        </w:rPr>
        <w:t>that</w:t>
      </w:r>
      <w:r w:rsidRPr="00AD6CC9">
        <w:rPr>
          <w:spacing w:val="64"/>
          <w:szCs w:val="22"/>
        </w:rPr>
        <w:t xml:space="preserve"> </w:t>
      </w:r>
      <w:r w:rsidRPr="00AD6CC9">
        <w:rPr>
          <w:szCs w:val="22"/>
        </w:rPr>
        <w:t>a</w:t>
      </w:r>
      <w:r w:rsidRPr="00AD6CC9">
        <w:rPr>
          <w:spacing w:val="62"/>
          <w:szCs w:val="22"/>
        </w:rPr>
        <w:t xml:space="preserve"> </w:t>
      </w:r>
      <w:r w:rsidRPr="00AD6CC9">
        <w:rPr>
          <w:szCs w:val="22"/>
        </w:rPr>
        <w:t>school</w:t>
      </w:r>
      <w:r w:rsidRPr="00AD6CC9">
        <w:rPr>
          <w:spacing w:val="63"/>
          <w:szCs w:val="22"/>
        </w:rPr>
        <w:t xml:space="preserve"> </w:t>
      </w:r>
      <w:r w:rsidRPr="00AD6CC9">
        <w:rPr>
          <w:szCs w:val="22"/>
        </w:rPr>
        <w:t>district</w:t>
      </w:r>
      <w:r w:rsidRPr="00AD6CC9">
        <w:rPr>
          <w:spacing w:val="64"/>
          <w:szCs w:val="22"/>
        </w:rPr>
        <w:t xml:space="preserve"> </w:t>
      </w:r>
      <w:r w:rsidRPr="00AD6CC9">
        <w:rPr>
          <w:szCs w:val="22"/>
        </w:rPr>
        <w:t>perfectly</w:t>
      </w:r>
      <w:r w:rsidRPr="00AD6CC9">
        <w:rPr>
          <w:spacing w:val="63"/>
          <w:szCs w:val="22"/>
        </w:rPr>
        <w:t xml:space="preserve"> </w:t>
      </w:r>
      <w:r w:rsidRPr="00AD6CC9">
        <w:rPr>
          <w:szCs w:val="22"/>
        </w:rPr>
        <w:t>adhere</w:t>
      </w:r>
      <w:r w:rsidRPr="00AD6CC9">
        <w:rPr>
          <w:spacing w:val="61"/>
          <w:szCs w:val="22"/>
        </w:rPr>
        <w:t xml:space="preserve"> </w:t>
      </w:r>
      <w:r w:rsidRPr="00AD6CC9">
        <w:rPr>
          <w:szCs w:val="22"/>
        </w:rPr>
        <w:t>to</w:t>
      </w:r>
      <w:r w:rsidRPr="00AD6CC9">
        <w:rPr>
          <w:spacing w:val="63"/>
          <w:szCs w:val="22"/>
        </w:rPr>
        <w:t xml:space="preserve"> </w:t>
      </w:r>
      <w:r w:rsidRPr="00AD6CC9">
        <w:rPr>
          <w:szCs w:val="22"/>
        </w:rPr>
        <w:t>an</w:t>
      </w:r>
      <w:r w:rsidRPr="00AD6CC9">
        <w:rPr>
          <w:spacing w:val="63"/>
          <w:szCs w:val="22"/>
        </w:rPr>
        <w:t xml:space="preserve"> </w:t>
      </w:r>
      <w:r w:rsidRPr="00AD6CC9">
        <w:rPr>
          <w:szCs w:val="22"/>
        </w:rPr>
        <w:t>IEP;</w:t>
      </w:r>
      <w:r w:rsidRPr="00AD6CC9">
        <w:rPr>
          <w:spacing w:val="64"/>
          <w:szCs w:val="22"/>
        </w:rPr>
        <w:t xml:space="preserve"> </w:t>
      </w:r>
      <w:r w:rsidRPr="00AD6CC9">
        <w:rPr>
          <w:spacing w:val="-2"/>
          <w:szCs w:val="22"/>
        </w:rPr>
        <w:t xml:space="preserve">minor implementation failures will not be deemed a denial of FAPE. </w:t>
      </w:r>
      <w:r w:rsidRPr="00AD6CC9">
        <w:rPr>
          <w:i/>
          <w:iCs/>
          <w:spacing w:val="-2"/>
          <w:szCs w:val="22"/>
        </w:rPr>
        <w:t>Van Duyn v. Baker Sch. Dist.,</w:t>
      </w:r>
      <w:r w:rsidRPr="00AD6CC9">
        <w:rPr>
          <w:spacing w:val="-2"/>
          <w:szCs w:val="22"/>
        </w:rPr>
        <w:t xml:space="preserve"> 502</w:t>
      </w:r>
    </w:p>
    <w:p w14:paraId="5F906857" w14:textId="77777777" w:rsidR="006D3FCE" w:rsidRDefault="00AD6CC9" w:rsidP="00D41A99">
      <w:pPr>
        <w:adjustRightInd/>
        <w:spacing w:line="480" w:lineRule="auto"/>
      </w:pPr>
      <w:r w:rsidRPr="00AD6CC9">
        <w:t>F.3d 811, 820-22 (9th Cir. 2007). However, a school district's "failure to implement</w:t>
      </w:r>
      <w:r>
        <w:t xml:space="preserve"> a material or significant portion of the</w:t>
      </w:r>
      <w:r w:rsidRPr="00AD6CC9">
        <w:t xml:space="preserve"> IEP </w:t>
      </w:r>
      <w:r w:rsidR="0084158F">
        <w:t xml:space="preserve">can </w:t>
      </w:r>
      <w:r w:rsidR="0084158F" w:rsidRPr="00AD6CC9">
        <w:t>amount</w:t>
      </w:r>
      <w:r>
        <w:t xml:space="preserve"> to a denial of FAPE</w:t>
      </w:r>
      <w:r w:rsidR="0084158F">
        <w:t xml:space="preserve">.” </w:t>
      </w:r>
      <w:r w:rsidR="0084158F">
        <w:rPr>
          <w:i/>
          <w:iCs/>
        </w:rPr>
        <w:t xml:space="preserve">Sumter Cty. Sch. </w:t>
      </w:r>
      <w:r w:rsidR="00D41A99">
        <w:rPr>
          <w:i/>
          <w:iCs/>
        </w:rPr>
        <w:t>Dist. v</w:t>
      </w:r>
      <w:r w:rsidR="0084158F">
        <w:rPr>
          <w:i/>
          <w:iCs/>
        </w:rPr>
        <w:t>. Heffernan,</w:t>
      </w:r>
      <w:r w:rsidR="0084158F">
        <w:t xml:space="preserve"> 642 F. 3d 478 (4</w:t>
      </w:r>
      <w:r w:rsidR="0084158F" w:rsidRPr="0084158F">
        <w:rPr>
          <w:vertAlign w:val="superscript"/>
        </w:rPr>
        <w:t>th</w:t>
      </w:r>
      <w:r w:rsidR="0084158F">
        <w:t xml:space="preserve"> Cir. 2011). </w:t>
      </w:r>
      <w:r w:rsidR="0084158F">
        <w:rPr>
          <w:i/>
          <w:iCs/>
        </w:rPr>
        <w:t xml:space="preserve">See also, Houston Indep. Sch. Dist. v. Bobby R., </w:t>
      </w:r>
      <w:r w:rsidR="0084158F">
        <w:t>200 F. 3d 341 (5</w:t>
      </w:r>
      <w:r w:rsidR="0084158F" w:rsidRPr="0084158F">
        <w:rPr>
          <w:vertAlign w:val="superscript"/>
        </w:rPr>
        <w:t>th</w:t>
      </w:r>
      <w:r w:rsidR="0084158F">
        <w:t xml:space="preserve"> Cir. 2000).</w:t>
      </w:r>
    </w:p>
    <w:p w14:paraId="41FFC3DF" w14:textId="77777777" w:rsidR="002B3BD4" w:rsidRPr="002B3BD4" w:rsidRDefault="002B3BD4" w:rsidP="002B3BD4">
      <w:pPr>
        <w:adjustRightInd/>
        <w:spacing w:line="480" w:lineRule="auto"/>
      </w:pPr>
      <w:r>
        <w:tab/>
      </w:r>
      <w:r w:rsidRPr="002B3BD4">
        <w:t>34 CFR § 300.323(d) provides:</w:t>
      </w:r>
    </w:p>
    <w:p w14:paraId="0C0A1BEE" w14:textId="77777777" w:rsidR="002B3BD4" w:rsidRPr="002B3BD4" w:rsidRDefault="002B3BD4" w:rsidP="002B4A06">
      <w:pPr>
        <w:adjustRightInd/>
      </w:pPr>
      <w:r w:rsidRPr="002B3BD4">
        <w:t>Each public agency must ensure that— (1) The child’s IEP is accessible to each regular education teacher, special education teacher, related services provider, and any other service provider who is responsible for its implementation; and (2) Each teacher and provider described in paragraph (d)(1) of this section is informed of— (i) His or her specific responsibilities related to implementing the child’s IEP; and (ii) The specific accommodations, modifications, and supports that must be provided for the child in accordance with the IEP.</w:t>
      </w:r>
    </w:p>
    <w:p w14:paraId="7ADE2BBC" w14:textId="77777777" w:rsidR="002B3BD4" w:rsidRDefault="002B3BD4" w:rsidP="00D41A99">
      <w:pPr>
        <w:adjustRightInd/>
        <w:spacing w:line="480" w:lineRule="auto"/>
      </w:pPr>
    </w:p>
    <w:p w14:paraId="3840C6EE" w14:textId="77777777" w:rsidR="002B3BD4" w:rsidRDefault="002B3BD4" w:rsidP="00D41A99">
      <w:pPr>
        <w:adjustRightInd/>
        <w:spacing w:line="480" w:lineRule="auto"/>
      </w:pPr>
      <w:r>
        <w:tab/>
      </w:r>
    </w:p>
    <w:p w14:paraId="281C6736" w14:textId="5B47F166" w:rsidR="005003CC" w:rsidRDefault="005003CC" w:rsidP="005003CC">
      <w:pPr>
        <w:spacing w:line="480" w:lineRule="auto"/>
      </w:pPr>
      <w:r>
        <w:tab/>
        <w:t>The LEA has</w:t>
      </w:r>
      <w:r w:rsidRPr="005003CC">
        <w:rPr>
          <w:w w:val="105"/>
          <w:sz w:val="23"/>
          <w:szCs w:val="23"/>
        </w:rPr>
        <w:t xml:space="preserve"> </w:t>
      </w:r>
      <w:r>
        <w:rPr>
          <w:w w:val="105"/>
          <w:sz w:val="23"/>
          <w:szCs w:val="23"/>
        </w:rPr>
        <w:t>taken</w:t>
      </w:r>
      <w:r w:rsidRPr="005003CC">
        <w:t xml:space="preserve"> reasonable steps to implement </w:t>
      </w:r>
      <w:r>
        <w:t>the Student’</w:t>
      </w:r>
      <w:r w:rsidRPr="005003CC">
        <w:t>s</w:t>
      </w:r>
      <w:r>
        <w:t xml:space="preserve"> applicable</w:t>
      </w:r>
      <w:r w:rsidRPr="005003CC">
        <w:t xml:space="preserve"> IEP</w:t>
      </w:r>
      <w:r>
        <w:t>,</w:t>
      </w:r>
      <w:r w:rsidRPr="005003CC">
        <w:t xml:space="preserve"> as written, including ensuring that assignments were modified, notes were provided, and </w:t>
      </w:r>
      <w:r>
        <w:t>the Student’ various</w:t>
      </w:r>
      <w:r w:rsidRPr="005003CC">
        <w:t xml:space="preserve"> communication devices were accessible to </w:t>
      </w:r>
      <w:r w:rsidR="00A178A4" w:rsidRPr="00ED355F">
        <w:rPr>
          <w:highlight w:val="black"/>
        </w:rPr>
        <w:t>xxx</w:t>
      </w:r>
      <w:r w:rsidRPr="005003CC">
        <w:t xml:space="preserve"> and in working order. </w:t>
      </w:r>
    </w:p>
    <w:p w14:paraId="64B058C8" w14:textId="3A0D6828" w:rsidR="005003CC" w:rsidRDefault="005003CC" w:rsidP="005003CC">
      <w:pPr>
        <w:spacing w:line="480" w:lineRule="auto"/>
      </w:pPr>
      <w:r>
        <w:tab/>
        <w:t>The LEA has</w:t>
      </w:r>
      <w:r w:rsidRPr="005003CC">
        <w:t xml:space="preserve"> monitored </w:t>
      </w:r>
      <w:r w:rsidR="00A178A4" w:rsidRPr="00ED355F">
        <w:rPr>
          <w:highlight w:val="black"/>
        </w:rPr>
        <w:t>xxx</w:t>
      </w:r>
      <w:r w:rsidRPr="005003CC">
        <w:t xml:space="preserve"> progress through regular and frequent communication of all staff working with </w:t>
      </w:r>
      <w:r>
        <w:t xml:space="preserve">the Student, </w:t>
      </w:r>
      <w:r w:rsidRPr="005003CC">
        <w:t xml:space="preserve">shared spreadsheets, and daily check-ins between </w:t>
      </w:r>
      <w:r>
        <w:t>the Student’s</w:t>
      </w:r>
      <w:r w:rsidRPr="005003CC">
        <w:t xml:space="preserve"> instructional assistant and case manager. </w:t>
      </w:r>
    </w:p>
    <w:p w14:paraId="5C4AEC83" w14:textId="77777777" w:rsidR="005003CC" w:rsidRPr="006D3FCE" w:rsidRDefault="005003CC" w:rsidP="0001483B">
      <w:pPr>
        <w:spacing w:line="480" w:lineRule="auto"/>
      </w:pPr>
      <w:r>
        <w:tab/>
      </w:r>
      <w:r w:rsidRPr="005003CC">
        <w:t xml:space="preserve">When </w:t>
      </w:r>
      <w:r>
        <w:t xml:space="preserve">LEA </w:t>
      </w:r>
      <w:r w:rsidRPr="005003CC">
        <w:t xml:space="preserve">staff reasonably felt that changes were needed to help </w:t>
      </w:r>
      <w:r>
        <w:t>the Student</w:t>
      </w:r>
      <w:r w:rsidRPr="005003CC">
        <w:t xml:space="preserve"> succeed, they attempted to communicate the needs with the </w:t>
      </w:r>
      <w:r>
        <w:t>Parents</w:t>
      </w:r>
      <w:r w:rsidRPr="005003CC">
        <w:t xml:space="preserve"> and documented when the recommended changes were rejected by the </w:t>
      </w:r>
      <w:r>
        <w:t>Parent</w:t>
      </w:r>
      <w:r w:rsidRPr="005003CC">
        <w:t>s.</w:t>
      </w:r>
    </w:p>
    <w:p w14:paraId="41604118" w14:textId="77777777" w:rsidR="0001483B" w:rsidRDefault="00604704" w:rsidP="00C3219B">
      <w:pPr>
        <w:spacing w:line="480" w:lineRule="auto"/>
        <w:ind w:firstLine="720"/>
        <w:jc w:val="both"/>
      </w:pPr>
      <w:r>
        <w:t>In a special education administrative due process proceeding initiated by the parents, the burden of p</w:t>
      </w:r>
      <w:r w:rsidR="00C3219B">
        <w:t>ersuasion</w:t>
      </w:r>
      <w:r>
        <w:t xml:space="preserve"> is on the parents</w:t>
      </w:r>
      <w:r w:rsidRPr="00504E4A">
        <w:t xml:space="preserve"> </w:t>
      </w:r>
      <w:r>
        <w:t>to establish by a preponderance of the evidence that the LEA has failed to provide the student with</w:t>
      </w:r>
      <w:r w:rsidR="002720BB">
        <w:t xml:space="preserve"> a free appropriate education</w:t>
      </w:r>
      <w:r>
        <w:t xml:space="preserve"> </w:t>
      </w:r>
      <w:r w:rsidR="002720BB">
        <w:t>(“</w:t>
      </w:r>
      <w:r>
        <w:t>FAPE</w:t>
      </w:r>
      <w:r w:rsidR="002720BB">
        <w:t>”)</w:t>
      </w:r>
      <w:r>
        <w:t xml:space="preserve"> concerning the issues they have raised.  </w:t>
      </w:r>
      <w:r w:rsidRPr="0070405A">
        <w:rPr>
          <w:i/>
        </w:rPr>
        <w:t>Schaffer, ex rel. Schaffer v. Weast</w:t>
      </w:r>
      <w:r>
        <w:t xml:space="preserve">, 546 </w:t>
      </w:r>
      <w:smartTag w:uri="urn:schemas-microsoft-com:office:smarttags" w:element="place">
        <w:smartTag w:uri="urn:schemas-microsoft-com:office:smarttags" w:element="country-region">
          <w:r>
            <w:t>U.S.</w:t>
          </w:r>
        </w:smartTag>
      </w:smartTag>
      <w:r>
        <w:t xml:space="preserve"> 49, 126 S.Ct. 528 (2005). </w:t>
      </w:r>
      <w:r w:rsidR="00C3219B">
        <w:t>Pursuant to the Scheduling Order, the burden of production was also on the Parents.</w:t>
      </w:r>
      <w:r>
        <w:tab/>
      </w:r>
    </w:p>
    <w:p w14:paraId="24AE17F4" w14:textId="4D07C891" w:rsidR="00FA33BC" w:rsidRDefault="0001483B" w:rsidP="00C3219B">
      <w:pPr>
        <w:spacing w:line="480" w:lineRule="auto"/>
        <w:ind w:firstLine="720"/>
        <w:jc w:val="both"/>
      </w:pPr>
      <w:r>
        <w:t>Many of the issues raised by the Parents in their Amended Complaint are not covered in the IEP and are therefore not subject to an implementation challenge. For example, “lack of staff training on AAC device”, “[Student] had limited</w:t>
      </w:r>
      <w:r w:rsidRPr="0001483B">
        <w:rPr>
          <w:sz w:val="22"/>
          <w:szCs w:val="22"/>
        </w:rPr>
        <w:t xml:space="preserve"> </w:t>
      </w:r>
      <w:r w:rsidRPr="0001483B">
        <w:t xml:space="preserve">access to communication and </w:t>
      </w:r>
      <w:r w:rsidR="00A178A4" w:rsidRPr="00ED355F">
        <w:rPr>
          <w:highlight w:val="black"/>
        </w:rPr>
        <w:t>xxx</w:t>
      </w:r>
      <w:r w:rsidRPr="0001483B">
        <w:t xml:space="preserve"> 1:1</w:t>
      </w:r>
      <w:r w:rsidRPr="0001483B">
        <w:rPr>
          <w:sz w:val="22"/>
          <w:szCs w:val="22"/>
        </w:rPr>
        <w:t xml:space="preserve"> </w:t>
      </w:r>
      <w:r w:rsidRPr="0001483B">
        <w:t>was not proficiently trained on working with</w:t>
      </w:r>
      <w:r w:rsidR="00F53AD9">
        <w:t xml:space="preserve"> [Student]”, etc. Furthermore, no probative evidence was presented concerning many of the parental complaints, while educator after educator testified convincingly and specifically to negate these allegations, including the allegations regarding abuse by the aide.</w:t>
      </w:r>
    </w:p>
    <w:p w14:paraId="45D9A423" w14:textId="77777777" w:rsidR="00FA33BC" w:rsidRDefault="00FA33BC" w:rsidP="00FA33BC">
      <w:pPr>
        <w:spacing w:line="480" w:lineRule="auto"/>
        <w:jc w:val="both"/>
      </w:pPr>
      <w:r>
        <w:tab/>
        <w:t xml:space="preserve">The IDEA and its accompanying regulations do not require the School Board to accede to a parent's demands at </w:t>
      </w:r>
      <w:r w:rsidR="00C3219B">
        <w:t>any</w:t>
      </w:r>
      <w:r>
        <w:t xml:space="preserve"> IEP meeting.  While the IDEA and the IEP process are designed to ensure parental participation in decisions concerning the educational programming for their child, the IDEA does not permit parents to usurp or otherwise hinder a LEA's authority and duty to provide FAPE to the student.</w:t>
      </w:r>
    </w:p>
    <w:p w14:paraId="497AAAE8" w14:textId="77777777" w:rsidR="00FA33BC" w:rsidRDefault="00FA33BC" w:rsidP="002A5B91">
      <w:pPr>
        <w:spacing w:line="480" w:lineRule="auto"/>
        <w:jc w:val="both"/>
      </w:pPr>
      <w:r>
        <w:tab/>
        <w:t xml:space="preserve">Such an interpretation could result in delays, stalemates and impasses that would leave educators hamstrung.  </w:t>
      </w:r>
      <w:r w:rsidR="00C3219B">
        <w:rPr>
          <w:i/>
        </w:rPr>
        <w:t xml:space="preserve">Fitzgerald v. </w:t>
      </w:r>
      <w:smartTag w:uri="urn:schemas-microsoft-com:office:smarttags" w:element="place">
        <w:smartTag w:uri="urn:schemas-microsoft-com:office:smarttags" w:element="PlaceName">
          <w:r w:rsidR="00C3219B">
            <w:rPr>
              <w:i/>
            </w:rPr>
            <w:t>Fairfax</w:t>
          </w:r>
        </w:smartTag>
        <w:r w:rsidR="00C3219B">
          <w:rPr>
            <w:i/>
          </w:rPr>
          <w:t xml:space="preserve"> </w:t>
        </w:r>
        <w:smartTag w:uri="urn:schemas-microsoft-com:office:smarttags" w:element="PlaceType">
          <w:r w:rsidR="00C3219B">
            <w:rPr>
              <w:i/>
            </w:rPr>
            <w:t>County</w:t>
          </w:r>
        </w:smartTag>
        <w:r w:rsidR="00C3219B">
          <w:rPr>
            <w:i/>
          </w:rPr>
          <w:t xml:space="preserve"> </w:t>
        </w:r>
        <w:smartTag w:uri="urn:schemas-microsoft-com:office:smarttags" w:element="PlaceName">
          <w:r w:rsidR="00C3219B">
            <w:rPr>
              <w:i/>
            </w:rPr>
            <w:t>Sch.</w:t>
          </w:r>
        </w:smartTag>
      </w:smartTag>
      <w:r w:rsidR="00C3219B">
        <w:rPr>
          <w:i/>
        </w:rPr>
        <w:t xml:space="preserve"> Bd.,</w:t>
      </w:r>
      <w:r w:rsidR="00C3219B">
        <w:t>, 556 F.Supp.2d 543 (E.D.Va. 2008).</w:t>
      </w:r>
    </w:p>
    <w:p w14:paraId="01FB581B" w14:textId="77777777" w:rsidR="00686427" w:rsidRDefault="00686427" w:rsidP="00686427">
      <w:pPr>
        <w:pStyle w:val="BodyText"/>
        <w:spacing w:before="90"/>
        <w:ind w:left="100" w:right="116" w:firstLine="620"/>
      </w:pPr>
      <w:r>
        <w:t xml:space="preserve">In </w:t>
      </w:r>
      <w:r w:rsidRPr="00686427">
        <w:rPr>
          <w:i/>
          <w:iCs/>
        </w:rPr>
        <w:t>Endrew F</w:t>
      </w:r>
      <w:r>
        <w:t>, the</w:t>
      </w:r>
      <w:r w:rsidRPr="005D4455">
        <w:t xml:space="preserve"> Supreme Court of the United States confirmed that deference must be given to the professional judgments of educators.  </w:t>
      </w:r>
      <w:r>
        <w:t>A</w:t>
      </w:r>
      <w:r w:rsidRPr="005D4455">
        <w:t xml:space="preserve"> court or hearing officer is required to give deference to the opinions of school board witnesses who are professional educators “based on the application of expertise and the exercise of judgment by school authorities.” </w:t>
      </w:r>
      <w:r w:rsidRPr="00686427">
        <w:rPr>
          <w:i/>
          <w:iCs/>
        </w:rPr>
        <w:t xml:space="preserve"> Endrew F. ex rel. Joseph F. v. Douglas Cnty. Sch. Dist. RE-1</w:t>
      </w:r>
      <w:r w:rsidRPr="005D4455">
        <w:t>, No. 15-827, 137 S.Ct. 988 (2017);</w:t>
      </w:r>
      <w:r w:rsidRPr="00686427">
        <w:rPr>
          <w:i/>
          <w:iCs/>
        </w:rPr>
        <w:t xml:space="preserve"> see also Rowley</w:t>
      </w:r>
      <w:r w:rsidRPr="005D4455">
        <w:t xml:space="preserve">, 458 U.S. at 206-208; </w:t>
      </w:r>
      <w:r w:rsidRPr="00686427">
        <w:rPr>
          <w:i/>
          <w:iCs/>
        </w:rPr>
        <w:t>M.M</w:t>
      </w:r>
      <w:r w:rsidRPr="005D4455">
        <w:t xml:space="preserve">., 303 F.3d at 533.  </w:t>
      </w:r>
    </w:p>
    <w:p w14:paraId="226FC4C6" w14:textId="77777777" w:rsidR="00686427" w:rsidRPr="00702B5E" w:rsidRDefault="00686427" w:rsidP="00686427">
      <w:pPr>
        <w:pStyle w:val="BodyText"/>
        <w:spacing w:before="90"/>
        <w:ind w:left="100" w:right="116" w:firstLine="620"/>
      </w:pPr>
      <w:r w:rsidRPr="00E25122">
        <w:t xml:space="preserve">Like </w:t>
      </w:r>
      <w:r w:rsidRPr="00686427">
        <w:rPr>
          <w:i/>
          <w:iCs/>
        </w:rPr>
        <w:t>Rowley</w:t>
      </w:r>
      <w:r w:rsidRPr="00E25122">
        <w:t xml:space="preserve">, </w:t>
      </w:r>
      <w:r w:rsidRPr="00686427">
        <w:rPr>
          <w:i/>
          <w:iCs/>
        </w:rPr>
        <w:t>Endrew F.</w:t>
      </w:r>
      <w:r w:rsidRPr="00E25122">
        <w:t xml:space="preserve">  is also careful to recognize the importance of leaving the business</w:t>
      </w:r>
      <w:r>
        <w:t xml:space="preserve"> of run</w:t>
      </w:r>
      <w:r w:rsidRPr="00702B5E">
        <w:t>ning schools to the considered judgment of local educators.  This Circuit has always recognized this mandate:</w:t>
      </w:r>
    </w:p>
    <w:p w14:paraId="34DCA5EB" w14:textId="7F6E39EB" w:rsidR="00686427" w:rsidRDefault="00686427" w:rsidP="00686427">
      <w:pPr>
        <w:pStyle w:val="BodyText"/>
        <w:spacing w:before="90"/>
        <w:ind w:left="100" w:right="116" w:firstLine="620"/>
      </w:pPr>
      <w:r w:rsidRPr="00702B5E">
        <w:t xml:space="preserve">In </w:t>
      </w:r>
      <w:r w:rsidRPr="00702B5E">
        <w:rPr>
          <w:i/>
        </w:rPr>
        <w:t>Hartmann v. Loudoun County</w:t>
      </w:r>
      <w:r w:rsidRPr="00702B5E">
        <w:t xml:space="preserve">, the Court stated: </w:t>
      </w:r>
      <w:r w:rsidR="007D0A10" w:rsidRPr="00702B5E">
        <w:rPr>
          <w:noProof/>
        </w:rPr>
        <w:drawing>
          <wp:inline distT="0" distB="0" distL="0" distR="0" wp14:anchorId="012BD7B2" wp14:editId="65D6F37C">
            <wp:extent cx="5943600" cy="24288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428875"/>
                    </a:xfrm>
                    <a:prstGeom prst="rect">
                      <a:avLst/>
                    </a:prstGeom>
                    <a:noFill/>
                    <a:ln>
                      <a:noFill/>
                    </a:ln>
                  </pic:spPr>
                </pic:pic>
              </a:graphicData>
            </a:graphic>
          </wp:inline>
        </w:drawing>
      </w:r>
    </w:p>
    <w:p w14:paraId="0FD5E584" w14:textId="77777777" w:rsidR="00686427" w:rsidRPr="00702B5E" w:rsidRDefault="00686427" w:rsidP="00686427">
      <w:pPr>
        <w:pStyle w:val="BodyText"/>
        <w:spacing w:before="90"/>
        <w:ind w:left="100" w:right="116" w:firstLine="620"/>
        <w:rPr>
          <w:bCs/>
        </w:rPr>
      </w:pPr>
      <w:r w:rsidRPr="00702B5E">
        <w:rPr>
          <w:i/>
        </w:rPr>
        <w:t>See also Springer v. Fairfax County</w:t>
      </w:r>
      <w:r w:rsidRPr="00702B5E">
        <w:t>, 134 F.3d 659, 663 (4</w:t>
      </w:r>
      <w:r w:rsidRPr="00702B5E">
        <w:rPr>
          <w:vertAlign w:val="superscript"/>
        </w:rPr>
        <w:t>th</w:t>
      </w:r>
      <w:r w:rsidRPr="00702B5E">
        <w:t xml:space="preserve"> Cir. 1998) (holding that “[a]bsent some statutory infraction, the task of education belongs to the educators who have been charged by society with that critical task”); </w:t>
      </w:r>
      <w:r w:rsidRPr="00702B5E">
        <w:rPr>
          <w:bCs/>
          <w:i/>
        </w:rPr>
        <w:t>Barnett v. Fairfax County School Board</w:t>
      </w:r>
      <w:r w:rsidRPr="00702B5E">
        <w:rPr>
          <w:bCs/>
        </w:rPr>
        <w:t>, 927 F.2d 146, 151-52 (4</w:t>
      </w:r>
      <w:r w:rsidRPr="00702B5E">
        <w:rPr>
          <w:bCs/>
          <w:vertAlign w:val="superscript"/>
        </w:rPr>
        <w:t>th</w:t>
      </w:r>
      <w:r w:rsidRPr="00702B5E">
        <w:rPr>
          <w:bCs/>
        </w:rPr>
        <w:t xml:space="preserve"> Cir.), </w:t>
      </w:r>
      <w:r w:rsidRPr="00702B5E">
        <w:rPr>
          <w:bCs/>
          <w:i/>
        </w:rPr>
        <w:t>cert. denied</w:t>
      </w:r>
      <w:r w:rsidRPr="00702B5E">
        <w:rPr>
          <w:bCs/>
        </w:rPr>
        <w:t xml:space="preserve">, 502 U.S. 859 (1991) (recognizing Congressional intent to leave education decisions to local school officials and recognizing the importance of giving school officials flexibility in designing educational programs for students); and </w:t>
      </w:r>
      <w:r w:rsidRPr="00702B5E">
        <w:rPr>
          <w:bCs/>
          <w:i/>
        </w:rPr>
        <w:t xml:space="preserve">Tice v. Botetourt County, </w:t>
      </w:r>
      <w:r w:rsidRPr="00702B5E">
        <w:rPr>
          <w:bCs/>
        </w:rPr>
        <w:t>908 F. 2d</w:t>
      </w:r>
      <w:r w:rsidRPr="00702B5E">
        <w:rPr>
          <w:bCs/>
          <w:i/>
        </w:rPr>
        <w:t xml:space="preserve"> </w:t>
      </w:r>
      <w:r w:rsidRPr="00702B5E">
        <w:rPr>
          <w:bCs/>
        </w:rPr>
        <w:t>1200 at 1207 (4</w:t>
      </w:r>
      <w:r w:rsidRPr="00702B5E">
        <w:rPr>
          <w:bCs/>
          <w:vertAlign w:val="superscript"/>
        </w:rPr>
        <w:t>th</w:t>
      </w:r>
      <w:r w:rsidRPr="00702B5E">
        <w:rPr>
          <w:bCs/>
        </w:rPr>
        <w:t xml:space="preserve"> Cir. 1990)</w:t>
      </w:r>
      <w:r w:rsidRPr="00702B5E">
        <w:rPr>
          <w:bCs/>
          <w:i/>
        </w:rPr>
        <w:t xml:space="preserve"> </w:t>
      </w:r>
      <w:r w:rsidRPr="00702B5E">
        <w:rPr>
          <w:bCs/>
        </w:rPr>
        <w:t>(once a “procedurally proper IEP has been formulated, a reviewing court should be reluctant . . . to second-guess the judgment of education professionals” – rather, the court should “defer to educators’ decisions as long as an IEP provided the basic floor of opportunity that access to special education and related services provides”).</w:t>
      </w:r>
    </w:p>
    <w:p w14:paraId="1BD2B4D3" w14:textId="77777777" w:rsidR="00686427" w:rsidRDefault="00686427" w:rsidP="00686427">
      <w:pPr>
        <w:pStyle w:val="BodyText"/>
        <w:spacing w:before="90"/>
        <w:ind w:left="100" w:right="116" w:firstLine="620"/>
        <w:rPr>
          <w:bCs/>
        </w:rPr>
      </w:pPr>
      <w:r w:rsidRPr="00702B5E">
        <w:rPr>
          <w:bCs/>
        </w:rPr>
        <w:t xml:space="preserve">Accordingly, hearing officers must not succumb to the temptation to substitute their judgment for that of local school authorities in IEP or educational matters.  </w:t>
      </w:r>
      <w:r w:rsidRPr="00702B5E">
        <w:rPr>
          <w:bCs/>
          <w:i/>
        </w:rPr>
        <w:t>Arlington County Sch. Bd. v. Smith</w:t>
      </w:r>
      <w:r w:rsidRPr="00702B5E">
        <w:rPr>
          <w:bCs/>
        </w:rPr>
        <w:t>, 230 F.Supp. 2d 704, 715 (E.D. Va. 2002).</w:t>
      </w:r>
    </w:p>
    <w:p w14:paraId="7D6FBB25" w14:textId="77777777" w:rsidR="00686427" w:rsidRPr="00FF4FB8" w:rsidRDefault="00686427" w:rsidP="00686427">
      <w:pPr>
        <w:pStyle w:val="BodyText"/>
        <w:spacing w:before="90"/>
        <w:ind w:left="100" w:right="116" w:firstLine="620"/>
        <w:rPr>
          <w:bCs/>
        </w:rPr>
      </w:pPr>
      <w:r w:rsidRPr="00FF4FB8">
        <w:rPr>
          <w:bCs/>
        </w:rPr>
        <w:t xml:space="preserve">Educators exercising their considered professional judgments to implement a procedurally correct IEP should be afforded significant academic autonomy and should not be easily second-guessed by reviewing persons.  </w:t>
      </w:r>
      <w:r w:rsidRPr="00FF4FB8">
        <w:rPr>
          <w:bCs/>
          <w:i/>
        </w:rPr>
        <w:t>Hartmann v. Loudoun County Bd. of Educ.,</w:t>
      </w:r>
      <w:r w:rsidRPr="00FF4FB8">
        <w:rPr>
          <w:bCs/>
        </w:rPr>
        <w:t xml:space="preserve"> 118 F.3d 996, 1000-1001 (4</w:t>
      </w:r>
      <w:r w:rsidRPr="00FF4FB8">
        <w:rPr>
          <w:bCs/>
          <w:vertAlign w:val="superscript"/>
        </w:rPr>
        <w:t>th</w:t>
      </w:r>
      <w:r w:rsidRPr="00FF4FB8">
        <w:rPr>
          <w:bCs/>
        </w:rPr>
        <w:t xml:space="preserve"> Cir. 1997); </w:t>
      </w:r>
      <w:r w:rsidRPr="00FF4FB8">
        <w:rPr>
          <w:bCs/>
          <w:i/>
        </w:rPr>
        <w:t>Johnson v. Cuyahoga County Comm. College</w:t>
      </w:r>
      <w:r w:rsidRPr="00FF4FB8">
        <w:rPr>
          <w:bCs/>
        </w:rPr>
        <w:t>, 29 Ohio Misc.2d 33, 498 N.E.2d 1088 (1985).</w:t>
      </w:r>
    </w:p>
    <w:p w14:paraId="426B78FF" w14:textId="77777777" w:rsidR="002B4A06" w:rsidRDefault="00686427" w:rsidP="00686427">
      <w:pPr>
        <w:pStyle w:val="BodyText"/>
        <w:spacing w:before="90"/>
        <w:ind w:left="100" w:right="116" w:firstLine="620"/>
      </w:pPr>
      <w:r w:rsidRPr="00FF4FB8">
        <w:rPr>
          <w:bCs/>
        </w:rPr>
        <w:t>Professional educators in the school division, who are the ones most familiar with the Student, the child study process, the special education eligibility process, and the educational programming available within the school division, have testified</w:t>
      </w:r>
      <w:r>
        <w:rPr>
          <w:bCs/>
        </w:rPr>
        <w:t xml:space="preserve"> consistently and convincingly</w:t>
      </w:r>
      <w:r w:rsidRPr="00FF4FB8">
        <w:rPr>
          <w:bCs/>
        </w:rPr>
        <w:t xml:space="preserve"> regarding the appropriateness of the educational decisions rendered </w:t>
      </w:r>
      <w:r>
        <w:rPr>
          <w:bCs/>
        </w:rPr>
        <w:t>concern</w:t>
      </w:r>
      <w:r w:rsidRPr="00FF4FB8">
        <w:rPr>
          <w:bCs/>
        </w:rPr>
        <w:t xml:space="preserve">ing the Student.   </w:t>
      </w:r>
    </w:p>
    <w:p w14:paraId="15D46FB4" w14:textId="7866A3F1" w:rsidR="00AF178D" w:rsidRDefault="00D41A99" w:rsidP="00ED355F">
      <w:pPr>
        <w:spacing w:line="480" w:lineRule="auto"/>
        <w:jc w:val="both"/>
      </w:pPr>
      <w:r>
        <w:tab/>
      </w:r>
    </w:p>
    <w:p w14:paraId="11CE0E41" w14:textId="77777777" w:rsidR="00AF178D" w:rsidRDefault="00AF178D" w:rsidP="00ED355F">
      <w:pPr>
        <w:pStyle w:val="Heading2"/>
        <w:rPr>
          <w:u w:val="none"/>
        </w:rPr>
      </w:pPr>
      <w:r w:rsidRPr="00ED355F">
        <w:rPr>
          <w:u w:val="none"/>
        </w:rPr>
        <w:t>DECISION</w:t>
      </w:r>
    </w:p>
    <w:p w14:paraId="63474673" w14:textId="77777777" w:rsidR="00ED355F" w:rsidRPr="00ED355F" w:rsidRDefault="00ED355F" w:rsidP="00ED355F"/>
    <w:p w14:paraId="2905A07E" w14:textId="1E0FA1E9" w:rsidR="00D12DC0" w:rsidRDefault="00C9158E" w:rsidP="00C9158E">
      <w:pPr>
        <w:adjustRightInd/>
        <w:spacing w:before="1" w:line="480" w:lineRule="auto"/>
        <w:ind w:left="100" w:right="220"/>
      </w:pPr>
      <w:r>
        <w:tab/>
      </w:r>
      <w:r w:rsidRPr="00C9158E">
        <w:t>Based on the documentary and testimonial evidence, P</w:t>
      </w:r>
      <w:r>
        <w:t>a</w:t>
      </w:r>
      <w:r w:rsidRPr="00C9158E">
        <w:t>r</w:t>
      </w:r>
      <w:r>
        <w:t>ent</w:t>
      </w:r>
      <w:r w:rsidRPr="00C9158E">
        <w:t xml:space="preserve"> ha</w:t>
      </w:r>
      <w:r w:rsidR="00D12DC0">
        <w:t>ve</w:t>
      </w:r>
      <w:r w:rsidRPr="00C9158E">
        <w:t xml:space="preserve"> not met </w:t>
      </w:r>
      <w:r w:rsidR="00D12DC0">
        <w:t>t</w:t>
      </w:r>
      <w:r>
        <w:t>he</w:t>
      </w:r>
      <w:r w:rsidR="00D12DC0">
        <w:t>i</w:t>
      </w:r>
      <w:r>
        <w:t>r</w:t>
      </w:r>
      <w:r w:rsidRPr="00C9158E">
        <w:t xml:space="preserve"> burden to show </w:t>
      </w:r>
      <w:r>
        <w:t xml:space="preserve">a denial of FAPE to the Student and the evidence warrants a decision in favor of </w:t>
      </w:r>
      <w:r w:rsidR="00A178A4" w:rsidRPr="00ED355F">
        <w:rPr>
          <w:highlight w:val="black"/>
        </w:rPr>
        <w:t>XX</w:t>
      </w:r>
      <w:r w:rsidR="00A178A4">
        <w:t>S</w:t>
      </w:r>
      <w:r>
        <w:t xml:space="preserve"> on all issues, and dismissal of this proceeding.</w:t>
      </w:r>
    </w:p>
    <w:p w14:paraId="57EAC32F" w14:textId="77777777" w:rsidR="00E43FD9" w:rsidRDefault="00AF178D" w:rsidP="00C9158E">
      <w:pPr>
        <w:adjustRightInd/>
        <w:spacing w:before="1" w:line="480" w:lineRule="auto"/>
        <w:ind w:left="100" w:right="220"/>
      </w:pPr>
      <w:r>
        <w:tab/>
      </w:r>
    </w:p>
    <w:p w14:paraId="644ED1DE" w14:textId="77777777" w:rsidR="002B4A06" w:rsidRDefault="00D12DC0" w:rsidP="00ED355F">
      <w:pPr>
        <w:pStyle w:val="Heading2"/>
        <w:rPr>
          <w:u w:val="none"/>
        </w:rPr>
      </w:pPr>
      <w:r w:rsidRPr="00ED355F">
        <w:rPr>
          <w:u w:val="none"/>
        </w:rPr>
        <w:t>ORDER</w:t>
      </w:r>
    </w:p>
    <w:p w14:paraId="3A831729" w14:textId="77777777" w:rsidR="00ED355F" w:rsidRPr="00ED355F" w:rsidRDefault="00ED355F" w:rsidP="00ED355F"/>
    <w:p w14:paraId="3ED60BCA" w14:textId="3ED5D9CE" w:rsidR="00D12DC0" w:rsidRPr="00D12DC0" w:rsidRDefault="00D12DC0" w:rsidP="00D12DC0">
      <w:pPr>
        <w:widowControl/>
        <w:autoSpaceDE/>
        <w:autoSpaceDN/>
        <w:adjustRightInd/>
        <w:spacing w:line="480" w:lineRule="auto"/>
        <w:ind w:firstLine="720"/>
        <w:rPr>
          <w:rFonts w:eastAsia="Calibri"/>
        </w:rPr>
      </w:pPr>
      <w:r>
        <w:rPr>
          <w:rFonts w:eastAsia="Calibri"/>
        </w:rPr>
        <w:t>In keeping with LEA’s policies and procedures, LEA/</w:t>
      </w:r>
      <w:r w:rsidRPr="00D12DC0">
        <w:rPr>
          <w:rFonts w:eastAsia="Calibri"/>
        </w:rPr>
        <w:t xml:space="preserve">Respondent shall fund independent educational evaluations (IEEs) by evaluators of </w:t>
      </w:r>
      <w:r>
        <w:rPr>
          <w:rFonts w:eastAsia="Calibri"/>
        </w:rPr>
        <w:t>the Parents’</w:t>
      </w:r>
      <w:r w:rsidRPr="00D12DC0">
        <w:rPr>
          <w:rFonts w:eastAsia="Calibri"/>
        </w:rPr>
        <w:t xml:space="preserve"> choosing of </w:t>
      </w:r>
      <w:r>
        <w:rPr>
          <w:rFonts w:eastAsia="Calibri"/>
        </w:rPr>
        <w:t>Student</w:t>
      </w:r>
      <w:r w:rsidRPr="00D12DC0">
        <w:rPr>
          <w:rFonts w:eastAsia="Calibri"/>
        </w:rPr>
        <w:t xml:space="preserve"> in all areas of suspected disability, including but not limited to autism and OHI related to </w:t>
      </w:r>
      <w:r w:rsidR="00A178A4" w:rsidRPr="00ED355F">
        <w:rPr>
          <w:rFonts w:eastAsia="Calibri"/>
          <w:highlight w:val="black"/>
        </w:rPr>
        <w:t>XXXx</w:t>
      </w:r>
      <w:r>
        <w:rPr>
          <w:rFonts w:eastAsia="Calibri"/>
        </w:rPr>
        <w:t xml:space="preserve"> syndrome,</w:t>
      </w:r>
      <w:r w:rsidRPr="00D12DC0">
        <w:rPr>
          <w:rFonts w:eastAsia="Calibri"/>
        </w:rPr>
        <w:t xml:space="preserve"> </w:t>
      </w:r>
      <w:r>
        <w:rPr>
          <w:rFonts w:eastAsia="Calibri"/>
        </w:rPr>
        <w:t>including an</w:t>
      </w:r>
      <w:r w:rsidRPr="00D12DC0">
        <w:rPr>
          <w:rFonts w:eastAsia="Calibri"/>
        </w:rPr>
        <w:t xml:space="preserve"> academic achievement assessment, a Functional Behavioral Assessment (FBA) by a Board-Certified Behavior Analyst (BCBA), an assistive technology (AT) assessment, and any additional assessments deemed necessary.</w:t>
      </w:r>
    </w:p>
    <w:p w14:paraId="348F0B91" w14:textId="77777777" w:rsidR="003F682F" w:rsidRDefault="00D12DC0" w:rsidP="003F682F">
      <w:pPr>
        <w:widowControl/>
        <w:autoSpaceDE/>
        <w:autoSpaceDN/>
        <w:adjustRightInd/>
        <w:spacing w:line="480" w:lineRule="auto"/>
        <w:ind w:firstLine="720"/>
        <w:rPr>
          <w:rFonts w:eastAsia="Calibri"/>
        </w:rPr>
      </w:pPr>
      <w:r>
        <w:rPr>
          <w:rFonts w:eastAsia="Calibri"/>
        </w:rPr>
        <w:t>The LEA</w:t>
      </w:r>
      <w:r w:rsidRPr="00D12DC0">
        <w:rPr>
          <w:rFonts w:eastAsia="Calibri"/>
        </w:rPr>
        <w:t xml:space="preserve"> should convene an IEP meeting within 30 days of the completed IEE, with payment for the attendance of the evaluators to attend the IEP meeting.</w:t>
      </w:r>
    </w:p>
    <w:p w14:paraId="0C56583A" w14:textId="12845A3B" w:rsidR="00686427" w:rsidRPr="00ED355F" w:rsidRDefault="003F682F" w:rsidP="00ED355F">
      <w:pPr>
        <w:widowControl/>
        <w:autoSpaceDE/>
        <w:autoSpaceDN/>
        <w:adjustRightInd/>
        <w:spacing w:line="480" w:lineRule="auto"/>
        <w:ind w:firstLine="720"/>
        <w:rPr>
          <w:rFonts w:eastAsia="Calibri"/>
        </w:rPr>
      </w:pPr>
      <w:r w:rsidRPr="003F682F">
        <w:t xml:space="preserve">Student's Parents shall cooperate and provide </w:t>
      </w:r>
      <w:r>
        <w:t>LEA</w:t>
      </w:r>
      <w:r w:rsidRPr="003F682F">
        <w:t xml:space="preserve"> with the necessary consents for evaluations.</w:t>
      </w:r>
    </w:p>
    <w:p w14:paraId="67836F5A" w14:textId="77777777" w:rsidR="001145F6" w:rsidRDefault="001145F6" w:rsidP="001145F6">
      <w:pPr>
        <w:pStyle w:val="BodyText"/>
        <w:rPr>
          <w:b/>
        </w:rPr>
      </w:pPr>
    </w:p>
    <w:p w14:paraId="3853B812" w14:textId="77777777" w:rsidR="0096686C" w:rsidRDefault="0008697A" w:rsidP="00C9158E">
      <w:pPr>
        <w:spacing w:line="480" w:lineRule="auto"/>
      </w:pPr>
      <w:r>
        <w:tab/>
      </w:r>
      <w:r w:rsidR="00F343EB" w:rsidRPr="00C326E1">
        <w:rPr>
          <w:b/>
          <w:bCs/>
        </w:rPr>
        <w:t>Right of Appeal</w:t>
      </w:r>
      <w:r w:rsidR="00F343EB">
        <w:t xml:space="preserve">.  </w:t>
      </w:r>
      <w:r>
        <w:t>This decision is final and binding unless either party appeals in a federal district court within 90 calendar days of the date of this decision, or in a state circuit court within 180 calendar days of the date of this decision.</w:t>
      </w:r>
    </w:p>
    <w:p w14:paraId="7EC96559" w14:textId="77777777" w:rsidR="004D7655" w:rsidRDefault="004D7655" w:rsidP="00130481">
      <w:pPr>
        <w:tabs>
          <w:tab w:val="left" w:pos="-1440"/>
        </w:tabs>
        <w:spacing w:line="480" w:lineRule="auto"/>
        <w:ind w:left="2160" w:hanging="2160"/>
        <w:jc w:val="both"/>
      </w:pPr>
    </w:p>
    <w:p w14:paraId="0F420D3B" w14:textId="77777777" w:rsidR="00F343EB" w:rsidRDefault="00F343EB" w:rsidP="00C9158E">
      <w:pPr>
        <w:tabs>
          <w:tab w:val="left" w:pos="-1440"/>
        </w:tabs>
        <w:spacing w:line="480" w:lineRule="auto"/>
        <w:ind w:left="2160" w:hanging="2160"/>
        <w:jc w:val="both"/>
      </w:pPr>
      <w:r>
        <w:t>ENTER:</w:t>
      </w:r>
      <w:r>
        <w:tab/>
      </w:r>
      <w:r w:rsidR="00C9158E">
        <w:t>4</w:t>
      </w:r>
      <w:r w:rsidR="004D7655">
        <w:t xml:space="preserve">   </w:t>
      </w:r>
      <w:r>
        <w:t>/</w:t>
      </w:r>
      <w:r w:rsidR="00D83B39">
        <w:t xml:space="preserve"> </w:t>
      </w:r>
      <w:r w:rsidR="00C9158E">
        <w:t>1</w:t>
      </w:r>
      <w:r w:rsidR="002B4A06">
        <w:t>9</w:t>
      </w:r>
      <w:r w:rsidR="00C9158E">
        <w:t xml:space="preserve"> </w:t>
      </w:r>
      <w:r w:rsidR="00E86E02">
        <w:t>/ 2024</w:t>
      </w:r>
    </w:p>
    <w:p w14:paraId="74025AAF" w14:textId="77777777" w:rsidR="00F343EB" w:rsidRDefault="00F343EB" w:rsidP="00130481">
      <w:pPr>
        <w:spacing w:line="480" w:lineRule="auto"/>
        <w:jc w:val="both"/>
      </w:pPr>
    </w:p>
    <w:p w14:paraId="4C6E70AF" w14:textId="5E7B62B7" w:rsidR="00C326E1" w:rsidRDefault="00C326E1" w:rsidP="00C9158E">
      <w:pPr>
        <w:spacing w:line="480" w:lineRule="auto"/>
        <w:jc w:val="both"/>
      </w:pPr>
      <w:r>
        <w:rPr>
          <w:noProof/>
        </w:rPr>
        <mc:AlternateContent>
          <mc:Choice Requires="wps">
            <w:drawing>
              <wp:anchor distT="0" distB="0" distL="114300" distR="114300" simplePos="0" relativeHeight="251659264" behindDoc="0" locked="0" layoutInCell="1" allowOverlap="1" wp14:anchorId="3E86F500" wp14:editId="0247D642">
                <wp:simplePos x="0" y="0"/>
                <wp:positionH relativeFrom="column">
                  <wp:posOffset>15240</wp:posOffset>
                </wp:positionH>
                <wp:positionV relativeFrom="paragraph">
                  <wp:posOffset>225278</wp:posOffset>
                </wp:positionV>
                <wp:extent cx="2256929" cy="0"/>
                <wp:effectExtent l="0" t="0" r="0" b="0"/>
                <wp:wrapNone/>
                <wp:docPr id="52057871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2569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19C637" id="Straight Connector 1"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7.75pt" to="178.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" strokecolor="black [3200]" strokeweight=".5pt">
                <v:stroke joinstyle="miter"/>
              </v:line>
            </w:pict>
          </mc:Fallback>
        </mc:AlternateContent>
      </w:r>
    </w:p>
    <w:p w14:paraId="4333A2BA" w14:textId="16802093" w:rsidR="00F343EB" w:rsidRDefault="00F343EB" w:rsidP="00C9158E">
      <w:pPr>
        <w:spacing w:line="480" w:lineRule="auto"/>
        <w:jc w:val="both"/>
      </w:pPr>
      <w:r>
        <w:t>John V. Robinson, Hearing Officer</w:t>
      </w:r>
    </w:p>
    <w:p w14:paraId="2EF69489" w14:textId="77777777" w:rsidR="008B2414" w:rsidRDefault="008B2414" w:rsidP="00130481">
      <w:pPr>
        <w:tabs>
          <w:tab w:val="left" w:pos="-1440"/>
        </w:tabs>
        <w:spacing w:line="480" w:lineRule="auto"/>
        <w:ind w:left="720" w:hanging="720"/>
        <w:jc w:val="both"/>
      </w:pPr>
    </w:p>
    <w:p w14:paraId="44AD12E0" w14:textId="77777777" w:rsidR="008414C3" w:rsidRDefault="008414C3" w:rsidP="00130481">
      <w:pPr>
        <w:tabs>
          <w:tab w:val="left" w:pos="-1440"/>
        </w:tabs>
        <w:spacing w:line="480" w:lineRule="auto"/>
        <w:ind w:left="720" w:hanging="720"/>
        <w:jc w:val="both"/>
      </w:pPr>
      <w:r>
        <w:t>cc:</w:t>
      </w:r>
      <w:r>
        <w:tab/>
        <w:t xml:space="preserve">Persons on the Attached Distribution List </w:t>
      </w:r>
    </w:p>
    <w:p w14:paraId="3EBA03AD" w14:textId="77777777" w:rsidR="0096686C" w:rsidRPr="0042343D" w:rsidRDefault="002944F1" w:rsidP="00731BAD">
      <w:pPr>
        <w:tabs>
          <w:tab w:val="left" w:pos="-1440"/>
        </w:tabs>
        <w:spacing w:line="480" w:lineRule="auto"/>
        <w:jc w:val="both"/>
        <w:rPr>
          <w:sz w:val="16"/>
          <w:szCs w:val="16"/>
        </w:rPr>
      </w:pPr>
      <w:r w:rsidRPr="0042343D">
        <w:rPr>
          <w:sz w:val="16"/>
          <w:szCs w:val="16"/>
        </w:rPr>
        <w:t xml:space="preserve"> </w:t>
      </w:r>
    </w:p>
    <w:sectPr w:rsidR="0096686C" w:rsidRPr="0042343D" w:rsidSect="003E0BAC">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9B9F4" w14:textId="77777777" w:rsidR="003E0BAC" w:rsidRDefault="003E0BAC">
      <w:r>
        <w:separator/>
      </w:r>
    </w:p>
  </w:endnote>
  <w:endnote w:type="continuationSeparator" w:id="0">
    <w:p w14:paraId="1284E53E" w14:textId="77777777" w:rsidR="003E0BAC" w:rsidRDefault="003E0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Corbel"/>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518BC" w14:textId="77777777" w:rsidR="003E0BAC" w:rsidRDefault="003E0BAC">
      <w:r>
        <w:separator/>
      </w:r>
    </w:p>
  </w:footnote>
  <w:footnote w:type="continuationSeparator" w:id="0">
    <w:p w14:paraId="438C9E09" w14:textId="77777777" w:rsidR="003E0BAC" w:rsidRDefault="003E0BAC">
      <w:r>
        <w:continuationSeparator/>
      </w:r>
    </w:p>
  </w:footnote>
  <w:footnote w:id="1">
    <w:p w14:paraId="4BE035F9" w14:textId="77777777" w:rsidR="00CA5830" w:rsidRDefault="00CA5830" w:rsidP="00C632EE">
      <w:pPr>
        <w:pStyle w:val="FootnoteText"/>
      </w:pPr>
      <w:r>
        <w:rPr>
          <w:rStyle w:val="FootnoteReference"/>
        </w:rPr>
        <w:footnoteRef/>
      </w:r>
      <w:r>
        <w:t xml:space="preserve"> </w:t>
      </w:r>
      <w:r>
        <w:tab/>
        <w:t xml:space="preserve">To the extent the other section entitled, “Additional Findings, Conclusions of Law and Decision” includes findings of fact, these findings are incorporated into this section.  </w:t>
      </w:r>
    </w:p>
  </w:footnote>
  <w:footnote w:id="2">
    <w:p w14:paraId="738376D5" w14:textId="77777777" w:rsidR="00CA5830" w:rsidRDefault="00CA5830">
      <w:pPr>
        <w:pStyle w:val="FootnoteText"/>
      </w:pPr>
      <w:r>
        <w:rPr>
          <w:rStyle w:val="FootnoteReference"/>
        </w:rPr>
        <w:footnoteRef/>
      </w:r>
      <w:r>
        <w:t xml:space="preserve"> </w:t>
      </w:r>
      <w:r>
        <w:tab/>
        <w:t>The Parent</w:t>
      </w:r>
      <w:r w:rsidR="009C25BE">
        <w:t>s</w:t>
      </w:r>
      <w:r>
        <w:t xml:space="preserve"> and the Student are referred to generically</w:t>
      </w:r>
      <w:r w:rsidR="009C25BE">
        <w:t xml:space="preserve"> </w:t>
      </w:r>
      <w:r>
        <w:t>to preserve privacy.</w:t>
      </w:r>
    </w:p>
  </w:footnote>
  <w:footnote w:id="3">
    <w:p w14:paraId="1572C05E" w14:textId="53A03BA5" w:rsidR="00CA5830" w:rsidRDefault="00CA5830">
      <w:pPr>
        <w:pStyle w:val="FootnoteText"/>
      </w:pPr>
      <w:r>
        <w:rPr>
          <w:rStyle w:val="FootnoteReference"/>
        </w:rPr>
        <w:footnoteRef/>
      </w:r>
      <w:r>
        <w:t xml:space="preserve"> </w:t>
      </w:r>
      <w:r>
        <w:tab/>
        <w:t>Exhibits submitted by the LEA and admitted into evidence in this proceeding are cited as "</w:t>
      </w:r>
      <w:r w:rsidR="00A178A4" w:rsidRPr="00A178A4">
        <w:rPr>
          <w:highlight w:val="black"/>
        </w:rPr>
        <w:t>XX</w:t>
      </w:r>
      <w:r w:rsidR="00A178A4">
        <w:t>S</w:t>
      </w:r>
      <w:r>
        <w:t xml:space="preserve"> &lt;Exhibit Number&gt; &lt;page reference, if any&gt;". </w:t>
      </w:r>
      <w:r w:rsidR="00CC7FBC">
        <w:t>T</w:t>
      </w:r>
      <w:r>
        <w:t>he transcript of the hearing</w:t>
      </w:r>
      <w:r w:rsidR="008F3D24">
        <w:t xml:space="preserve"> on March </w:t>
      </w:r>
      <w:r w:rsidR="008D06FF">
        <w:t>18-19</w:t>
      </w:r>
      <w:r w:rsidR="008F3D24">
        <w:t>, 2024,</w:t>
      </w:r>
      <w:r w:rsidR="008D06FF">
        <w:t xml:space="preserve"> is cited “Tr. page”.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lowerLetter"/>
      <w:pStyle w:val="Quicka"/>
      <w:lvlText w:val="%1."/>
      <w:lvlJc w:val="left"/>
      <w:pPr>
        <w:tabs>
          <w:tab w:val="num" w:pos="720"/>
        </w:tabs>
      </w:pPr>
      <w:rPr>
        <w:b/>
        <w:bCs/>
      </w:rPr>
    </w:lvl>
  </w:abstractNum>
  <w:abstractNum w:abstractNumId="1" w15:restartNumberingAfterBreak="0">
    <w:nsid w:val="05CC0B6E"/>
    <w:multiLevelType w:val="multilevel"/>
    <w:tmpl w:val="E9AE4DFC"/>
    <w:lvl w:ilvl="0">
      <w:start w:val="36"/>
      <w:numFmt w:val="none"/>
      <w:lvlText w:val=""/>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142220DA"/>
    <w:multiLevelType w:val="hybridMultilevel"/>
    <w:tmpl w:val="7EFCFD72"/>
    <w:lvl w:ilvl="0" w:tplc="00B692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A5A1DEB"/>
    <w:multiLevelType w:val="hybridMultilevel"/>
    <w:tmpl w:val="5E5ECFE0"/>
    <w:lvl w:ilvl="0" w:tplc="73CE3682">
      <w:start w:val="1"/>
      <w:numFmt w:val="decimal"/>
      <w:lvlText w:val="%1."/>
      <w:lvlJc w:val="left"/>
      <w:pPr>
        <w:ind w:left="1080" w:hanging="360"/>
      </w:pPr>
      <w:rPr>
        <w:rFonts w:hint="default"/>
        <w:b/>
        <w:bCs/>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DE32AF"/>
    <w:multiLevelType w:val="hybridMultilevel"/>
    <w:tmpl w:val="5EE4A51E"/>
    <w:lvl w:ilvl="0" w:tplc="E4D8D80C">
      <w:start w:val="1"/>
      <w:numFmt w:val="upperLetter"/>
      <w:lvlText w:val="%1."/>
      <w:lvlJc w:val="left"/>
      <w:pPr>
        <w:ind w:left="1540" w:hanging="720"/>
      </w:pPr>
      <w:rPr>
        <w:rFonts w:ascii="Times New Roman" w:eastAsia="Times New Roman" w:hAnsi="Times New Roman" w:cs="Times New Roman" w:hint="default"/>
        <w:b/>
        <w:bCs/>
        <w:i w:val="0"/>
        <w:iCs w:val="0"/>
        <w:w w:val="99"/>
        <w:sz w:val="24"/>
        <w:szCs w:val="24"/>
        <w:lang w:val="en-US" w:eastAsia="en-US" w:bidi="ar-SA"/>
      </w:rPr>
    </w:lvl>
    <w:lvl w:ilvl="1" w:tplc="E0024A84">
      <w:start w:val="1"/>
      <w:numFmt w:val="decimal"/>
      <w:lvlText w:val="(%2)"/>
      <w:lvlJc w:val="left"/>
      <w:pPr>
        <w:ind w:left="1878" w:hanging="339"/>
      </w:pPr>
      <w:rPr>
        <w:rFonts w:ascii="Times New Roman" w:eastAsia="Times New Roman" w:hAnsi="Times New Roman" w:cs="Times New Roman" w:hint="default"/>
        <w:b/>
        <w:bCs/>
        <w:i w:val="0"/>
        <w:iCs w:val="0"/>
        <w:w w:val="99"/>
        <w:sz w:val="24"/>
        <w:szCs w:val="24"/>
        <w:lang w:val="en-US" w:eastAsia="en-US" w:bidi="ar-SA"/>
      </w:rPr>
    </w:lvl>
    <w:lvl w:ilvl="2" w:tplc="09C06862">
      <w:numFmt w:val="bullet"/>
      <w:lvlText w:val="•"/>
      <w:lvlJc w:val="left"/>
      <w:pPr>
        <w:ind w:left="2735" w:hanging="339"/>
      </w:pPr>
      <w:rPr>
        <w:rFonts w:hint="default"/>
        <w:lang w:val="en-US" w:eastAsia="en-US" w:bidi="ar-SA"/>
      </w:rPr>
    </w:lvl>
    <w:lvl w:ilvl="3" w:tplc="EDE02DCC">
      <w:numFmt w:val="bullet"/>
      <w:lvlText w:val="•"/>
      <w:lvlJc w:val="left"/>
      <w:pPr>
        <w:ind w:left="3591" w:hanging="339"/>
      </w:pPr>
      <w:rPr>
        <w:rFonts w:hint="default"/>
        <w:lang w:val="en-US" w:eastAsia="en-US" w:bidi="ar-SA"/>
      </w:rPr>
    </w:lvl>
    <w:lvl w:ilvl="4" w:tplc="719A90EA">
      <w:numFmt w:val="bullet"/>
      <w:lvlText w:val="•"/>
      <w:lvlJc w:val="left"/>
      <w:pPr>
        <w:ind w:left="4446" w:hanging="339"/>
      </w:pPr>
      <w:rPr>
        <w:rFonts w:hint="default"/>
        <w:lang w:val="en-US" w:eastAsia="en-US" w:bidi="ar-SA"/>
      </w:rPr>
    </w:lvl>
    <w:lvl w:ilvl="5" w:tplc="D5F4915C">
      <w:numFmt w:val="bullet"/>
      <w:lvlText w:val="•"/>
      <w:lvlJc w:val="left"/>
      <w:pPr>
        <w:ind w:left="5302" w:hanging="339"/>
      </w:pPr>
      <w:rPr>
        <w:rFonts w:hint="default"/>
        <w:lang w:val="en-US" w:eastAsia="en-US" w:bidi="ar-SA"/>
      </w:rPr>
    </w:lvl>
    <w:lvl w:ilvl="6" w:tplc="FF6A266E">
      <w:numFmt w:val="bullet"/>
      <w:lvlText w:val="•"/>
      <w:lvlJc w:val="left"/>
      <w:pPr>
        <w:ind w:left="6157" w:hanging="339"/>
      </w:pPr>
      <w:rPr>
        <w:rFonts w:hint="default"/>
        <w:lang w:val="en-US" w:eastAsia="en-US" w:bidi="ar-SA"/>
      </w:rPr>
    </w:lvl>
    <w:lvl w:ilvl="7" w:tplc="C510ABAA">
      <w:numFmt w:val="bullet"/>
      <w:lvlText w:val="•"/>
      <w:lvlJc w:val="left"/>
      <w:pPr>
        <w:ind w:left="7013" w:hanging="339"/>
      </w:pPr>
      <w:rPr>
        <w:rFonts w:hint="default"/>
        <w:lang w:val="en-US" w:eastAsia="en-US" w:bidi="ar-SA"/>
      </w:rPr>
    </w:lvl>
    <w:lvl w:ilvl="8" w:tplc="0A00F3AC">
      <w:numFmt w:val="bullet"/>
      <w:lvlText w:val="•"/>
      <w:lvlJc w:val="left"/>
      <w:pPr>
        <w:ind w:left="7868" w:hanging="339"/>
      </w:pPr>
      <w:rPr>
        <w:rFonts w:hint="default"/>
        <w:lang w:val="en-US" w:eastAsia="en-US" w:bidi="ar-SA"/>
      </w:rPr>
    </w:lvl>
  </w:abstractNum>
  <w:abstractNum w:abstractNumId="5" w15:restartNumberingAfterBreak="0">
    <w:nsid w:val="27CA36F2"/>
    <w:multiLevelType w:val="hybridMultilevel"/>
    <w:tmpl w:val="34587EC4"/>
    <w:lvl w:ilvl="0" w:tplc="E0024A84">
      <w:start w:val="1"/>
      <w:numFmt w:val="decimal"/>
      <w:lvlText w:val="(%1)"/>
      <w:lvlJc w:val="left"/>
      <w:pPr>
        <w:ind w:left="1878" w:hanging="339"/>
      </w:pPr>
      <w:rPr>
        <w:rFonts w:ascii="Times New Roman" w:eastAsia="Times New Roman" w:hAnsi="Times New Roman" w:cs="Times New Roman" w:hint="default"/>
        <w:b/>
        <w:bCs/>
        <w:i w:val="0"/>
        <w:iCs w:val="0"/>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61E06"/>
    <w:multiLevelType w:val="hybridMultilevel"/>
    <w:tmpl w:val="282C6638"/>
    <w:lvl w:ilvl="0" w:tplc="138403A8">
      <w:start w:val="4"/>
      <w:numFmt w:val="upperLetter"/>
      <w:lvlText w:val="%1."/>
      <w:lvlJc w:val="left"/>
      <w:pPr>
        <w:ind w:left="1540" w:hanging="720"/>
      </w:pPr>
      <w:rPr>
        <w:rFonts w:ascii="Times New Roman" w:eastAsia="Times New Roman" w:hAnsi="Times New Roman" w:cs="Times New Roman" w:hint="default"/>
        <w:b/>
        <w:bCs/>
        <w:i w:val="0"/>
        <w:iCs w:val="0"/>
        <w:spacing w:val="-1"/>
        <w:w w:val="99"/>
        <w:sz w:val="24"/>
        <w:szCs w:val="24"/>
        <w:lang w:val="en-US" w:eastAsia="en-US" w:bidi="ar-SA"/>
      </w:rPr>
    </w:lvl>
    <w:lvl w:ilvl="1" w:tplc="ACA82276">
      <w:start w:val="1"/>
      <w:numFmt w:val="decimal"/>
      <w:lvlText w:val="(%2)"/>
      <w:lvlJc w:val="left"/>
      <w:pPr>
        <w:ind w:left="1540" w:hanging="339"/>
      </w:pPr>
      <w:rPr>
        <w:rFonts w:hint="default"/>
        <w:w w:val="99"/>
        <w:lang w:val="en-US" w:eastAsia="en-US" w:bidi="ar-SA"/>
      </w:rPr>
    </w:lvl>
    <w:lvl w:ilvl="2" w:tplc="58CA8FCE">
      <w:numFmt w:val="bullet"/>
      <w:lvlText w:val="•"/>
      <w:lvlJc w:val="left"/>
      <w:pPr>
        <w:ind w:left="3148" w:hanging="339"/>
      </w:pPr>
      <w:rPr>
        <w:rFonts w:hint="default"/>
        <w:lang w:val="en-US" w:eastAsia="en-US" w:bidi="ar-SA"/>
      </w:rPr>
    </w:lvl>
    <w:lvl w:ilvl="3" w:tplc="62F0F3FC">
      <w:numFmt w:val="bullet"/>
      <w:lvlText w:val="•"/>
      <w:lvlJc w:val="left"/>
      <w:pPr>
        <w:ind w:left="3952" w:hanging="339"/>
      </w:pPr>
      <w:rPr>
        <w:rFonts w:hint="default"/>
        <w:lang w:val="en-US" w:eastAsia="en-US" w:bidi="ar-SA"/>
      </w:rPr>
    </w:lvl>
    <w:lvl w:ilvl="4" w:tplc="BA8ABF3C">
      <w:numFmt w:val="bullet"/>
      <w:lvlText w:val="•"/>
      <w:lvlJc w:val="left"/>
      <w:pPr>
        <w:ind w:left="4756" w:hanging="339"/>
      </w:pPr>
      <w:rPr>
        <w:rFonts w:hint="default"/>
        <w:lang w:val="en-US" w:eastAsia="en-US" w:bidi="ar-SA"/>
      </w:rPr>
    </w:lvl>
    <w:lvl w:ilvl="5" w:tplc="EC9C9E4C">
      <w:numFmt w:val="bullet"/>
      <w:lvlText w:val="•"/>
      <w:lvlJc w:val="left"/>
      <w:pPr>
        <w:ind w:left="5560" w:hanging="339"/>
      </w:pPr>
      <w:rPr>
        <w:rFonts w:hint="default"/>
        <w:lang w:val="en-US" w:eastAsia="en-US" w:bidi="ar-SA"/>
      </w:rPr>
    </w:lvl>
    <w:lvl w:ilvl="6" w:tplc="31226C5A">
      <w:numFmt w:val="bullet"/>
      <w:lvlText w:val="•"/>
      <w:lvlJc w:val="left"/>
      <w:pPr>
        <w:ind w:left="6364" w:hanging="339"/>
      </w:pPr>
      <w:rPr>
        <w:rFonts w:hint="default"/>
        <w:lang w:val="en-US" w:eastAsia="en-US" w:bidi="ar-SA"/>
      </w:rPr>
    </w:lvl>
    <w:lvl w:ilvl="7" w:tplc="59F0A0AE">
      <w:numFmt w:val="bullet"/>
      <w:lvlText w:val="•"/>
      <w:lvlJc w:val="left"/>
      <w:pPr>
        <w:ind w:left="7168" w:hanging="339"/>
      </w:pPr>
      <w:rPr>
        <w:rFonts w:hint="default"/>
        <w:lang w:val="en-US" w:eastAsia="en-US" w:bidi="ar-SA"/>
      </w:rPr>
    </w:lvl>
    <w:lvl w:ilvl="8" w:tplc="9998E154">
      <w:numFmt w:val="bullet"/>
      <w:lvlText w:val="•"/>
      <w:lvlJc w:val="left"/>
      <w:pPr>
        <w:ind w:left="7972" w:hanging="339"/>
      </w:pPr>
      <w:rPr>
        <w:rFonts w:hint="default"/>
        <w:lang w:val="en-US" w:eastAsia="en-US" w:bidi="ar-SA"/>
      </w:rPr>
    </w:lvl>
  </w:abstractNum>
  <w:abstractNum w:abstractNumId="7" w15:restartNumberingAfterBreak="0">
    <w:nsid w:val="3AC021A7"/>
    <w:multiLevelType w:val="hybridMultilevel"/>
    <w:tmpl w:val="60C6E466"/>
    <w:lvl w:ilvl="0" w:tplc="B4443632">
      <w:start w:val="1"/>
      <w:numFmt w:val="decimal"/>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DE5B43"/>
    <w:multiLevelType w:val="hybridMultilevel"/>
    <w:tmpl w:val="802A2F12"/>
    <w:lvl w:ilvl="0" w:tplc="22687A0C">
      <w:start w:val="2"/>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68A68EF"/>
    <w:multiLevelType w:val="hybridMultilevel"/>
    <w:tmpl w:val="D5FA4FA8"/>
    <w:lvl w:ilvl="0" w:tplc="4B28A52A">
      <w:start w:val="1"/>
      <w:numFmt w:val="decimal"/>
      <w:lvlText w:val="(%1)"/>
      <w:lvlJc w:val="left"/>
      <w:pPr>
        <w:ind w:left="1540" w:hanging="720"/>
      </w:pPr>
      <w:rPr>
        <w:rFonts w:ascii="Times New Roman" w:eastAsia="Times New Roman" w:hAnsi="Times New Roman" w:cs="Times New Roman" w:hint="default"/>
        <w:b w:val="0"/>
        <w:bCs w:val="0"/>
        <w:i w:val="0"/>
        <w:iCs w:val="0"/>
        <w:w w:val="99"/>
        <w:sz w:val="24"/>
        <w:szCs w:val="24"/>
        <w:lang w:val="en-US" w:eastAsia="en-US" w:bidi="ar-SA"/>
      </w:rPr>
    </w:lvl>
    <w:lvl w:ilvl="1" w:tplc="DF2AE2B4">
      <w:start w:val="1"/>
      <w:numFmt w:val="lowerLetter"/>
      <w:lvlText w:val="(%2)"/>
      <w:lvlJc w:val="left"/>
      <w:pPr>
        <w:ind w:left="2261" w:hanging="721"/>
      </w:pPr>
      <w:rPr>
        <w:rFonts w:ascii="Times New Roman" w:eastAsia="Times New Roman" w:hAnsi="Times New Roman" w:cs="Times New Roman" w:hint="default"/>
        <w:b w:val="0"/>
        <w:bCs w:val="0"/>
        <w:i w:val="0"/>
        <w:iCs w:val="0"/>
        <w:spacing w:val="-2"/>
        <w:w w:val="99"/>
        <w:sz w:val="24"/>
        <w:szCs w:val="24"/>
        <w:lang w:val="en-US" w:eastAsia="en-US" w:bidi="ar-SA"/>
      </w:rPr>
    </w:lvl>
    <w:lvl w:ilvl="2" w:tplc="C0AE779C">
      <w:numFmt w:val="bullet"/>
      <w:lvlText w:val="•"/>
      <w:lvlJc w:val="left"/>
      <w:pPr>
        <w:ind w:left="3073" w:hanging="721"/>
      </w:pPr>
      <w:rPr>
        <w:rFonts w:hint="default"/>
        <w:lang w:val="en-US" w:eastAsia="en-US" w:bidi="ar-SA"/>
      </w:rPr>
    </w:lvl>
    <w:lvl w:ilvl="3" w:tplc="12C8E2D6">
      <w:numFmt w:val="bullet"/>
      <w:lvlText w:val="•"/>
      <w:lvlJc w:val="left"/>
      <w:pPr>
        <w:ind w:left="3886" w:hanging="721"/>
      </w:pPr>
      <w:rPr>
        <w:rFonts w:hint="default"/>
        <w:lang w:val="en-US" w:eastAsia="en-US" w:bidi="ar-SA"/>
      </w:rPr>
    </w:lvl>
    <w:lvl w:ilvl="4" w:tplc="C45C7B52">
      <w:numFmt w:val="bullet"/>
      <w:lvlText w:val="•"/>
      <w:lvlJc w:val="left"/>
      <w:pPr>
        <w:ind w:left="4700" w:hanging="721"/>
      </w:pPr>
      <w:rPr>
        <w:rFonts w:hint="default"/>
        <w:lang w:val="en-US" w:eastAsia="en-US" w:bidi="ar-SA"/>
      </w:rPr>
    </w:lvl>
    <w:lvl w:ilvl="5" w:tplc="5AC00C26">
      <w:numFmt w:val="bullet"/>
      <w:lvlText w:val="•"/>
      <w:lvlJc w:val="left"/>
      <w:pPr>
        <w:ind w:left="5513" w:hanging="721"/>
      </w:pPr>
      <w:rPr>
        <w:rFonts w:hint="default"/>
        <w:lang w:val="en-US" w:eastAsia="en-US" w:bidi="ar-SA"/>
      </w:rPr>
    </w:lvl>
    <w:lvl w:ilvl="6" w:tplc="87540452">
      <w:numFmt w:val="bullet"/>
      <w:lvlText w:val="•"/>
      <w:lvlJc w:val="left"/>
      <w:pPr>
        <w:ind w:left="6326" w:hanging="721"/>
      </w:pPr>
      <w:rPr>
        <w:rFonts w:hint="default"/>
        <w:lang w:val="en-US" w:eastAsia="en-US" w:bidi="ar-SA"/>
      </w:rPr>
    </w:lvl>
    <w:lvl w:ilvl="7" w:tplc="FED49ED4">
      <w:numFmt w:val="bullet"/>
      <w:lvlText w:val="•"/>
      <w:lvlJc w:val="left"/>
      <w:pPr>
        <w:ind w:left="7140" w:hanging="721"/>
      </w:pPr>
      <w:rPr>
        <w:rFonts w:hint="default"/>
        <w:lang w:val="en-US" w:eastAsia="en-US" w:bidi="ar-SA"/>
      </w:rPr>
    </w:lvl>
    <w:lvl w:ilvl="8" w:tplc="999A21A8">
      <w:numFmt w:val="bullet"/>
      <w:lvlText w:val="•"/>
      <w:lvlJc w:val="left"/>
      <w:pPr>
        <w:ind w:left="7953" w:hanging="721"/>
      </w:pPr>
      <w:rPr>
        <w:rFonts w:hint="default"/>
        <w:lang w:val="en-US" w:eastAsia="en-US" w:bidi="ar-SA"/>
      </w:rPr>
    </w:lvl>
  </w:abstractNum>
  <w:abstractNum w:abstractNumId="10" w15:restartNumberingAfterBreak="0">
    <w:nsid w:val="48011DC1"/>
    <w:multiLevelType w:val="hybridMultilevel"/>
    <w:tmpl w:val="A5761B82"/>
    <w:lvl w:ilvl="0" w:tplc="D52C93F2">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37285C"/>
    <w:multiLevelType w:val="hybridMultilevel"/>
    <w:tmpl w:val="094604D4"/>
    <w:lvl w:ilvl="0" w:tplc="0FEC390E">
      <w:start w:val="1"/>
      <w:numFmt w:val="lowerLetter"/>
      <w:lvlText w:val="%1."/>
      <w:lvlJc w:val="left"/>
      <w:pPr>
        <w:tabs>
          <w:tab w:val="num" w:pos="1440"/>
        </w:tabs>
        <w:ind w:left="1440" w:hanging="720"/>
      </w:pPr>
      <w:rPr>
        <w:rFonts w:hint="default"/>
      </w:rPr>
    </w:lvl>
    <w:lvl w:ilvl="1" w:tplc="A8703EEC">
      <w:start w:val="1"/>
      <w:numFmt w:val="decimal"/>
      <w:lvlText w:val="(%2)"/>
      <w:lvlJc w:val="left"/>
      <w:pPr>
        <w:tabs>
          <w:tab w:val="num" w:pos="2220"/>
        </w:tabs>
        <w:ind w:left="2220" w:hanging="78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1AD24B6"/>
    <w:multiLevelType w:val="hybridMultilevel"/>
    <w:tmpl w:val="016E5044"/>
    <w:lvl w:ilvl="0" w:tplc="DF3E13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C7A1087"/>
    <w:multiLevelType w:val="hybridMultilevel"/>
    <w:tmpl w:val="EB90B152"/>
    <w:lvl w:ilvl="0" w:tplc="8586062E">
      <w:start w:val="1"/>
      <w:numFmt w:val="decimal"/>
      <w:lvlText w:val="%1."/>
      <w:lvlJc w:val="left"/>
      <w:pPr>
        <w:ind w:left="1440" w:hanging="720"/>
      </w:pPr>
      <w:rPr>
        <w:rFonts w:eastAsia="Apto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8C5C85"/>
    <w:multiLevelType w:val="hybridMultilevel"/>
    <w:tmpl w:val="4E045EF6"/>
    <w:lvl w:ilvl="0" w:tplc="F78A00C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F423E9D"/>
    <w:multiLevelType w:val="multilevel"/>
    <w:tmpl w:val="5B346406"/>
    <w:lvl w:ilvl="0">
      <w:start w:val="2"/>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5F6B6172"/>
    <w:multiLevelType w:val="hybridMultilevel"/>
    <w:tmpl w:val="60F29762"/>
    <w:lvl w:ilvl="0" w:tplc="8378330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21D2BAF"/>
    <w:multiLevelType w:val="hybridMultilevel"/>
    <w:tmpl w:val="FB92D0AA"/>
    <w:lvl w:ilvl="0" w:tplc="8C701370">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67F14717"/>
    <w:multiLevelType w:val="hybridMultilevel"/>
    <w:tmpl w:val="00528480"/>
    <w:lvl w:ilvl="0" w:tplc="12D827B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6C123303"/>
    <w:multiLevelType w:val="hybridMultilevel"/>
    <w:tmpl w:val="7D9A0268"/>
    <w:lvl w:ilvl="0" w:tplc="9FC6048A">
      <w:start w:val="4"/>
      <w:numFmt w:val="upperLetter"/>
      <w:lvlText w:val="%1."/>
      <w:lvlJc w:val="left"/>
      <w:pPr>
        <w:ind w:left="1540" w:hanging="720"/>
      </w:pPr>
      <w:rPr>
        <w:rFonts w:ascii="Times New Roman" w:eastAsia="Times New Roman" w:hAnsi="Times New Roman" w:cs="Times New Roman" w:hint="default"/>
        <w:b/>
        <w:bCs/>
        <w:i w:val="0"/>
        <w:iCs w:val="0"/>
        <w:spacing w:val="-1"/>
        <w:w w:val="99"/>
        <w:sz w:val="24"/>
        <w:szCs w:val="24"/>
        <w:lang w:val="en-US" w:eastAsia="en-US" w:bidi="ar-SA"/>
      </w:rPr>
    </w:lvl>
    <w:lvl w:ilvl="1" w:tplc="7FCE8C4C">
      <w:start w:val="1"/>
      <w:numFmt w:val="decimal"/>
      <w:lvlText w:val="(%2)"/>
      <w:lvlJc w:val="left"/>
      <w:pPr>
        <w:ind w:left="1540" w:hanging="339"/>
      </w:pPr>
      <w:rPr>
        <w:rFonts w:hint="default"/>
        <w:w w:val="99"/>
        <w:lang w:val="en-US" w:eastAsia="en-US" w:bidi="ar-SA"/>
      </w:rPr>
    </w:lvl>
    <w:lvl w:ilvl="2" w:tplc="CFC2D23C">
      <w:numFmt w:val="bullet"/>
      <w:lvlText w:val="•"/>
      <w:lvlJc w:val="left"/>
      <w:pPr>
        <w:ind w:left="3148" w:hanging="339"/>
      </w:pPr>
      <w:rPr>
        <w:rFonts w:hint="default"/>
        <w:lang w:val="en-US" w:eastAsia="en-US" w:bidi="ar-SA"/>
      </w:rPr>
    </w:lvl>
    <w:lvl w:ilvl="3" w:tplc="BE72A1BC">
      <w:numFmt w:val="bullet"/>
      <w:lvlText w:val="•"/>
      <w:lvlJc w:val="left"/>
      <w:pPr>
        <w:ind w:left="3952" w:hanging="339"/>
      </w:pPr>
      <w:rPr>
        <w:rFonts w:hint="default"/>
        <w:lang w:val="en-US" w:eastAsia="en-US" w:bidi="ar-SA"/>
      </w:rPr>
    </w:lvl>
    <w:lvl w:ilvl="4" w:tplc="49A4A15E">
      <w:numFmt w:val="bullet"/>
      <w:lvlText w:val="•"/>
      <w:lvlJc w:val="left"/>
      <w:pPr>
        <w:ind w:left="4756" w:hanging="339"/>
      </w:pPr>
      <w:rPr>
        <w:rFonts w:hint="default"/>
        <w:lang w:val="en-US" w:eastAsia="en-US" w:bidi="ar-SA"/>
      </w:rPr>
    </w:lvl>
    <w:lvl w:ilvl="5" w:tplc="37E80D7C">
      <w:numFmt w:val="bullet"/>
      <w:lvlText w:val="•"/>
      <w:lvlJc w:val="left"/>
      <w:pPr>
        <w:ind w:left="5560" w:hanging="339"/>
      </w:pPr>
      <w:rPr>
        <w:rFonts w:hint="default"/>
        <w:lang w:val="en-US" w:eastAsia="en-US" w:bidi="ar-SA"/>
      </w:rPr>
    </w:lvl>
    <w:lvl w:ilvl="6" w:tplc="9CEC9E92">
      <w:numFmt w:val="bullet"/>
      <w:lvlText w:val="•"/>
      <w:lvlJc w:val="left"/>
      <w:pPr>
        <w:ind w:left="6364" w:hanging="339"/>
      </w:pPr>
      <w:rPr>
        <w:rFonts w:hint="default"/>
        <w:lang w:val="en-US" w:eastAsia="en-US" w:bidi="ar-SA"/>
      </w:rPr>
    </w:lvl>
    <w:lvl w:ilvl="7" w:tplc="E4BEF546">
      <w:numFmt w:val="bullet"/>
      <w:lvlText w:val="•"/>
      <w:lvlJc w:val="left"/>
      <w:pPr>
        <w:ind w:left="7168" w:hanging="339"/>
      </w:pPr>
      <w:rPr>
        <w:rFonts w:hint="default"/>
        <w:lang w:val="en-US" w:eastAsia="en-US" w:bidi="ar-SA"/>
      </w:rPr>
    </w:lvl>
    <w:lvl w:ilvl="8" w:tplc="1DB659EC">
      <w:numFmt w:val="bullet"/>
      <w:lvlText w:val="•"/>
      <w:lvlJc w:val="left"/>
      <w:pPr>
        <w:ind w:left="7972" w:hanging="339"/>
      </w:pPr>
      <w:rPr>
        <w:rFonts w:hint="default"/>
        <w:lang w:val="en-US" w:eastAsia="en-US" w:bidi="ar-SA"/>
      </w:rPr>
    </w:lvl>
  </w:abstractNum>
  <w:abstractNum w:abstractNumId="20" w15:restartNumberingAfterBreak="0">
    <w:nsid w:val="6CCE7962"/>
    <w:multiLevelType w:val="multilevel"/>
    <w:tmpl w:val="3D0C735A"/>
    <w:lvl w:ilvl="0">
      <w:start w:val="36"/>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6F4C13B3"/>
    <w:multiLevelType w:val="hybridMultilevel"/>
    <w:tmpl w:val="CFDA689C"/>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70EC5DEB"/>
    <w:multiLevelType w:val="hybridMultilevel"/>
    <w:tmpl w:val="7226B514"/>
    <w:lvl w:ilvl="0" w:tplc="7EDE9A06">
      <w:start w:val="1"/>
      <w:numFmt w:val="lowerLetter"/>
      <w:lvlText w:val="%1."/>
      <w:lvlJc w:val="left"/>
      <w:pPr>
        <w:tabs>
          <w:tab w:val="num" w:pos="1425"/>
        </w:tabs>
        <w:ind w:left="1425" w:hanging="7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61B4745"/>
    <w:multiLevelType w:val="hybridMultilevel"/>
    <w:tmpl w:val="0A5E1580"/>
    <w:lvl w:ilvl="0" w:tplc="257C72E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97127D7"/>
    <w:multiLevelType w:val="hybridMultilevel"/>
    <w:tmpl w:val="0DFCECE8"/>
    <w:lvl w:ilvl="0" w:tplc="FFFFFFFF">
      <w:start w:val="1"/>
      <w:numFmt w:val="decimal"/>
      <w:lvlText w:val="%1."/>
      <w:lvlJc w:val="left"/>
      <w:pPr>
        <w:ind w:left="1440" w:hanging="72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E682625"/>
    <w:multiLevelType w:val="hybridMultilevel"/>
    <w:tmpl w:val="03A88F3E"/>
    <w:lvl w:ilvl="0" w:tplc="0DA0329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B55C166C">
      <w:start w:val="1"/>
      <w:numFmt w:val="decimal"/>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664815570">
    <w:abstractNumId w:val="14"/>
  </w:num>
  <w:num w:numId="2" w16cid:durableId="1287273014">
    <w:abstractNumId w:val="11"/>
  </w:num>
  <w:num w:numId="3" w16cid:durableId="1799032387">
    <w:abstractNumId w:val="0"/>
    <w:lvlOverride w:ilvl="0">
      <w:startOverride w:val="1"/>
      <w:lvl w:ilvl="0">
        <w:start w:val="1"/>
        <w:numFmt w:val="lowerLetter"/>
        <w:pStyle w:val="Quicka"/>
        <w:lvlText w:val="%1."/>
        <w:lvlJc w:val="left"/>
      </w:lvl>
    </w:lvlOverride>
  </w:num>
  <w:num w:numId="4" w16cid:durableId="1464620773">
    <w:abstractNumId w:val="0"/>
    <w:lvlOverride w:ilvl="0">
      <w:startOverride w:val="1"/>
      <w:lvl w:ilvl="0">
        <w:start w:val="1"/>
        <w:numFmt w:val="lowerLetter"/>
        <w:pStyle w:val="Quicka"/>
        <w:lvlText w:val="%1."/>
        <w:lvlJc w:val="left"/>
      </w:lvl>
    </w:lvlOverride>
  </w:num>
  <w:num w:numId="5" w16cid:durableId="1253903374">
    <w:abstractNumId w:val="25"/>
  </w:num>
  <w:num w:numId="6" w16cid:durableId="652225504">
    <w:abstractNumId w:val="17"/>
  </w:num>
  <w:num w:numId="7" w16cid:durableId="1503084525">
    <w:abstractNumId w:val="23"/>
  </w:num>
  <w:num w:numId="8" w16cid:durableId="543371401">
    <w:abstractNumId w:val="16"/>
  </w:num>
  <w:num w:numId="9" w16cid:durableId="808018987">
    <w:abstractNumId w:val="22"/>
  </w:num>
  <w:num w:numId="10" w16cid:durableId="479887314">
    <w:abstractNumId w:val="8"/>
  </w:num>
  <w:num w:numId="11" w16cid:durableId="2028749325">
    <w:abstractNumId w:val="2"/>
  </w:num>
  <w:num w:numId="12" w16cid:durableId="488520672">
    <w:abstractNumId w:val="12"/>
  </w:num>
  <w:num w:numId="13" w16cid:durableId="1362973237">
    <w:abstractNumId w:val="20"/>
  </w:num>
  <w:num w:numId="14" w16cid:durableId="3166261">
    <w:abstractNumId w:val="1"/>
  </w:num>
  <w:num w:numId="15" w16cid:durableId="1487555360">
    <w:abstractNumId w:val="15"/>
  </w:num>
  <w:num w:numId="16" w16cid:durableId="1137723132">
    <w:abstractNumId w:val="18"/>
  </w:num>
  <w:num w:numId="17" w16cid:durableId="69233875">
    <w:abstractNumId w:val="21"/>
  </w:num>
  <w:num w:numId="18" w16cid:durableId="646396375">
    <w:abstractNumId w:val="7"/>
  </w:num>
  <w:num w:numId="19" w16cid:durableId="567571396">
    <w:abstractNumId w:val="24"/>
  </w:num>
  <w:num w:numId="20" w16cid:durableId="57631441">
    <w:abstractNumId w:val="9"/>
  </w:num>
  <w:num w:numId="21" w16cid:durableId="938148700">
    <w:abstractNumId w:val="4"/>
  </w:num>
  <w:num w:numId="22" w16cid:durableId="449084426">
    <w:abstractNumId w:val="5"/>
  </w:num>
  <w:num w:numId="23" w16cid:durableId="1504318190">
    <w:abstractNumId w:val="19"/>
  </w:num>
  <w:num w:numId="24" w16cid:durableId="1928226756">
    <w:abstractNumId w:val="6"/>
  </w:num>
  <w:num w:numId="25" w16cid:durableId="263922452">
    <w:abstractNumId w:val="10"/>
  </w:num>
  <w:num w:numId="26" w16cid:durableId="1821574504">
    <w:abstractNumId w:val="3"/>
  </w:num>
  <w:num w:numId="27" w16cid:durableId="5873525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58C"/>
    <w:rsid w:val="00012605"/>
    <w:rsid w:val="0001483B"/>
    <w:rsid w:val="00016F96"/>
    <w:rsid w:val="0001785C"/>
    <w:rsid w:val="000231F5"/>
    <w:rsid w:val="00041AAE"/>
    <w:rsid w:val="000430A7"/>
    <w:rsid w:val="00056776"/>
    <w:rsid w:val="00062522"/>
    <w:rsid w:val="0006656C"/>
    <w:rsid w:val="000763FE"/>
    <w:rsid w:val="000806B2"/>
    <w:rsid w:val="00083FA5"/>
    <w:rsid w:val="000841F2"/>
    <w:rsid w:val="0008668C"/>
    <w:rsid w:val="0008697A"/>
    <w:rsid w:val="00087022"/>
    <w:rsid w:val="000A1346"/>
    <w:rsid w:val="000A289A"/>
    <w:rsid w:val="000A7067"/>
    <w:rsid w:val="000C24EE"/>
    <w:rsid w:val="000C25B8"/>
    <w:rsid w:val="000C77D5"/>
    <w:rsid w:val="000E2F62"/>
    <w:rsid w:val="000F3914"/>
    <w:rsid w:val="000F7A91"/>
    <w:rsid w:val="0010132E"/>
    <w:rsid w:val="0010198E"/>
    <w:rsid w:val="0010306E"/>
    <w:rsid w:val="001068E5"/>
    <w:rsid w:val="00106B86"/>
    <w:rsid w:val="001145F6"/>
    <w:rsid w:val="001213EC"/>
    <w:rsid w:val="00121BDE"/>
    <w:rsid w:val="00124B48"/>
    <w:rsid w:val="00127B40"/>
    <w:rsid w:val="00130481"/>
    <w:rsid w:val="001313AB"/>
    <w:rsid w:val="00131FC9"/>
    <w:rsid w:val="001408B3"/>
    <w:rsid w:val="001431A6"/>
    <w:rsid w:val="00165A75"/>
    <w:rsid w:val="001676E5"/>
    <w:rsid w:val="00176A73"/>
    <w:rsid w:val="00180C18"/>
    <w:rsid w:val="00181D96"/>
    <w:rsid w:val="0018283F"/>
    <w:rsid w:val="00190C29"/>
    <w:rsid w:val="00191D23"/>
    <w:rsid w:val="001A3A38"/>
    <w:rsid w:val="001A4288"/>
    <w:rsid w:val="001B0AC9"/>
    <w:rsid w:val="001B116E"/>
    <w:rsid w:val="001C0734"/>
    <w:rsid w:val="001C4386"/>
    <w:rsid w:val="001C4C23"/>
    <w:rsid w:val="001C74D4"/>
    <w:rsid w:val="001D2130"/>
    <w:rsid w:val="001D61ED"/>
    <w:rsid w:val="001E0E75"/>
    <w:rsid w:val="001F1139"/>
    <w:rsid w:val="001F5ABB"/>
    <w:rsid w:val="0020086F"/>
    <w:rsid w:val="002158CE"/>
    <w:rsid w:val="0023196E"/>
    <w:rsid w:val="0023207C"/>
    <w:rsid w:val="0024191A"/>
    <w:rsid w:val="00241C38"/>
    <w:rsid w:val="00262300"/>
    <w:rsid w:val="00267EE6"/>
    <w:rsid w:val="002720BB"/>
    <w:rsid w:val="002723BB"/>
    <w:rsid w:val="0027325E"/>
    <w:rsid w:val="00274521"/>
    <w:rsid w:val="00276D8C"/>
    <w:rsid w:val="00280C53"/>
    <w:rsid w:val="002833CF"/>
    <w:rsid w:val="002910AF"/>
    <w:rsid w:val="002944F1"/>
    <w:rsid w:val="002A37DE"/>
    <w:rsid w:val="002A5B91"/>
    <w:rsid w:val="002A5FE8"/>
    <w:rsid w:val="002A672D"/>
    <w:rsid w:val="002A7046"/>
    <w:rsid w:val="002B2EE9"/>
    <w:rsid w:val="002B3BD4"/>
    <w:rsid w:val="002B4A06"/>
    <w:rsid w:val="002B6674"/>
    <w:rsid w:val="002C2765"/>
    <w:rsid w:val="002C39DE"/>
    <w:rsid w:val="002D33CC"/>
    <w:rsid w:val="002E1B1B"/>
    <w:rsid w:val="002E3FC7"/>
    <w:rsid w:val="002E61AD"/>
    <w:rsid w:val="002F74A8"/>
    <w:rsid w:val="0030177B"/>
    <w:rsid w:val="003028AB"/>
    <w:rsid w:val="0030411E"/>
    <w:rsid w:val="00311320"/>
    <w:rsid w:val="00315C66"/>
    <w:rsid w:val="0033001E"/>
    <w:rsid w:val="00341BC8"/>
    <w:rsid w:val="00344128"/>
    <w:rsid w:val="00350469"/>
    <w:rsid w:val="003546C2"/>
    <w:rsid w:val="00357F2E"/>
    <w:rsid w:val="00363ADD"/>
    <w:rsid w:val="00364BC2"/>
    <w:rsid w:val="003667BE"/>
    <w:rsid w:val="00381A06"/>
    <w:rsid w:val="003A1E20"/>
    <w:rsid w:val="003A1EC2"/>
    <w:rsid w:val="003A28CF"/>
    <w:rsid w:val="003A2938"/>
    <w:rsid w:val="003A47FD"/>
    <w:rsid w:val="003A5B5E"/>
    <w:rsid w:val="003C37EF"/>
    <w:rsid w:val="003C4DB0"/>
    <w:rsid w:val="003C6E53"/>
    <w:rsid w:val="003D0956"/>
    <w:rsid w:val="003D1E2B"/>
    <w:rsid w:val="003D40D3"/>
    <w:rsid w:val="003D4561"/>
    <w:rsid w:val="003D5F4F"/>
    <w:rsid w:val="003E0BAC"/>
    <w:rsid w:val="003E278A"/>
    <w:rsid w:val="003E4CE1"/>
    <w:rsid w:val="003F4680"/>
    <w:rsid w:val="003F682F"/>
    <w:rsid w:val="003F79C5"/>
    <w:rsid w:val="003F7E30"/>
    <w:rsid w:val="004174C4"/>
    <w:rsid w:val="0042297D"/>
    <w:rsid w:val="0042343D"/>
    <w:rsid w:val="00430710"/>
    <w:rsid w:val="004327E4"/>
    <w:rsid w:val="00432FC2"/>
    <w:rsid w:val="00447ED5"/>
    <w:rsid w:val="00457F2F"/>
    <w:rsid w:val="00461836"/>
    <w:rsid w:val="00465549"/>
    <w:rsid w:val="00472C33"/>
    <w:rsid w:val="00474034"/>
    <w:rsid w:val="00481567"/>
    <w:rsid w:val="004820D4"/>
    <w:rsid w:val="0048544C"/>
    <w:rsid w:val="004901A6"/>
    <w:rsid w:val="00495393"/>
    <w:rsid w:val="004A3DC4"/>
    <w:rsid w:val="004B0023"/>
    <w:rsid w:val="004C1F62"/>
    <w:rsid w:val="004C3ACC"/>
    <w:rsid w:val="004D086E"/>
    <w:rsid w:val="004D7655"/>
    <w:rsid w:val="004E473D"/>
    <w:rsid w:val="004F595C"/>
    <w:rsid w:val="005003CC"/>
    <w:rsid w:val="005042F1"/>
    <w:rsid w:val="00515051"/>
    <w:rsid w:val="00515383"/>
    <w:rsid w:val="005158B1"/>
    <w:rsid w:val="00517048"/>
    <w:rsid w:val="0052134A"/>
    <w:rsid w:val="0052371C"/>
    <w:rsid w:val="00527782"/>
    <w:rsid w:val="0053571D"/>
    <w:rsid w:val="005430FF"/>
    <w:rsid w:val="00554BA3"/>
    <w:rsid w:val="00557EB3"/>
    <w:rsid w:val="0056198A"/>
    <w:rsid w:val="00562D11"/>
    <w:rsid w:val="00565885"/>
    <w:rsid w:val="00577628"/>
    <w:rsid w:val="005963FB"/>
    <w:rsid w:val="005A0F7C"/>
    <w:rsid w:val="005A400C"/>
    <w:rsid w:val="005A4DF8"/>
    <w:rsid w:val="005A7114"/>
    <w:rsid w:val="005D013A"/>
    <w:rsid w:val="005D0833"/>
    <w:rsid w:val="005D4455"/>
    <w:rsid w:val="005E7C87"/>
    <w:rsid w:val="006016E5"/>
    <w:rsid w:val="00604704"/>
    <w:rsid w:val="00610E3A"/>
    <w:rsid w:val="00612914"/>
    <w:rsid w:val="0061671D"/>
    <w:rsid w:val="006300B3"/>
    <w:rsid w:val="006404EA"/>
    <w:rsid w:val="006435CB"/>
    <w:rsid w:val="0064705B"/>
    <w:rsid w:val="00657FBF"/>
    <w:rsid w:val="00660508"/>
    <w:rsid w:val="00662612"/>
    <w:rsid w:val="0066275B"/>
    <w:rsid w:val="00666776"/>
    <w:rsid w:val="00671F45"/>
    <w:rsid w:val="006728F2"/>
    <w:rsid w:val="006741F1"/>
    <w:rsid w:val="0067451E"/>
    <w:rsid w:val="00677174"/>
    <w:rsid w:val="00686427"/>
    <w:rsid w:val="006A1D53"/>
    <w:rsid w:val="006B2DA1"/>
    <w:rsid w:val="006B469A"/>
    <w:rsid w:val="006C3234"/>
    <w:rsid w:val="006C6666"/>
    <w:rsid w:val="006D3FCE"/>
    <w:rsid w:val="006E01E3"/>
    <w:rsid w:val="006E1AC0"/>
    <w:rsid w:val="006E60EB"/>
    <w:rsid w:val="006F4AAC"/>
    <w:rsid w:val="006F6BB1"/>
    <w:rsid w:val="006F7FAC"/>
    <w:rsid w:val="00702426"/>
    <w:rsid w:val="00702B5E"/>
    <w:rsid w:val="0070405A"/>
    <w:rsid w:val="00710E4F"/>
    <w:rsid w:val="007136F0"/>
    <w:rsid w:val="00721077"/>
    <w:rsid w:val="0072591B"/>
    <w:rsid w:val="00731BAD"/>
    <w:rsid w:val="007331BE"/>
    <w:rsid w:val="00736CE4"/>
    <w:rsid w:val="00754507"/>
    <w:rsid w:val="00763C8A"/>
    <w:rsid w:val="00767D90"/>
    <w:rsid w:val="00774454"/>
    <w:rsid w:val="0078227A"/>
    <w:rsid w:val="007860E5"/>
    <w:rsid w:val="00791238"/>
    <w:rsid w:val="0079492D"/>
    <w:rsid w:val="007A61D9"/>
    <w:rsid w:val="007A6B48"/>
    <w:rsid w:val="007A6FBD"/>
    <w:rsid w:val="007A79F2"/>
    <w:rsid w:val="007A7D37"/>
    <w:rsid w:val="007B26F0"/>
    <w:rsid w:val="007B6857"/>
    <w:rsid w:val="007C19A1"/>
    <w:rsid w:val="007C3ECC"/>
    <w:rsid w:val="007C4005"/>
    <w:rsid w:val="007C592D"/>
    <w:rsid w:val="007C62C8"/>
    <w:rsid w:val="007C749F"/>
    <w:rsid w:val="007C7CEA"/>
    <w:rsid w:val="007D0A10"/>
    <w:rsid w:val="007E2905"/>
    <w:rsid w:val="007E36B9"/>
    <w:rsid w:val="007E5583"/>
    <w:rsid w:val="007E7965"/>
    <w:rsid w:val="00807D26"/>
    <w:rsid w:val="008116F5"/>
    <w:rsid w:val="00813FFB"/>
    <w:rsid w:val="00820A99"/>
    <w:rsid w:val="0082363B"/>
    <w:rsid w:val="008414C3"/>
    <w:rsid w:val="0084158F"/>
    <w:rsid w:val="00842D11"/>
    <w:rsid w:val="00843509"/>
    <w:rsid w:val="008464F9"/>
    <w:rsid w:val="00847750"/>
    <w:rsid w:val="00855432"/>
    <w:rsid w:val="00856C35"/>
    <w:rsid w:val="008575C2"/>
    <w:rsid w:val="00860B1D"/>
    <w:rsid w:val="00864160"/>
    <w:rsid w:val="00880999"/>
    <w:rsid w:val="00884897"/>
    <w:rsid w:val="00894B70"/>
    <w:rsid w:val="00894F59"/>
    <w:rsid w:val="008A18D3"/>
    <w:rsid w:val="008A60DF"/>
    <w:rsid w:val="008A7457"/>
    <w:rsid w:val="008B2414"/>
    <w:rsid w:val="008D01A1"/>
    <w:rsid w:val="008D06FF"/>
    <w:rsid w:val="008D39F8"/>
    <w:rsid w:val="008D75DD"/>
    <w:rsid w:val="008E1118"/>
    <w:rsid w:val="008E6630"/>
    <w:rsid w:val="008F3729"/>
    <w:rsid w:val="008F3D24"/>
    <w:rsid w:val="008F49DD"/>
    <w:rsid w:val="008F5D32"/>
    <w:rsid w:val="008F5E4B"/>
    <w:rsid w:val="008F7CDA"/>
    <w:rsid w:val="00905A9B"/>
    <w:rsid w:val="009063C8"/>
    <w:rsid w:val="00916325"/>
    <w:rsid w:val="00932955"/>
    <w:rsid w:val="00935226"/>
    <w:rsid w:val="00944E21"/>
    <w:rsid w:val="00947558"/>
    <w:rsid w:val="00953952"/>
    <w:rsid w:val="00960D92"/>
    <w:rsid w:val="009624E2"/>
    <w:rsid w:val="0096686C"/>
    <w:rsid w:val="009736CF"/>
    <w:rsid w:val="00982F5F"/>
    <w:rsid w:val="00984F92"/>
    <w:rsid w:val="009858D2"/>
    <w:rsid w:val="00994A49"/>
    <w:rsid w:val="009973B3"/>
    <w:rsid w:val="009A03DA"/>
    <w:rsid w:val="009A16F2"/>
    <w:rsid w:val="009A4D66"/>
    <w:rsid w:val="009A68B8"/>
    <w:rsid w:val="009B02FF"/>
    <w:rsid w:val="009C25BE"/>
    <w:rsid w:val="009D42F5"/>
    <w:rsid w:val="009E092D"/>
    <w:rsid w:val="009E1443"/>
    <w:rsid w:val="009F19F4"/>
    <w:rsid w:val="009F7970"/>
    <w:rsid w:val="00A00328"/>
    <w:rsid w:val="00A04999"/>
    <w:rsid w:val="00A05E92"/>
    <w:rsid w:val="00A10AE2"/>
    <w:rsid w:val="00A10F19"/>
    <w:rsid w:val="00A161A4"/>
    <w:rsid w:val="00A178A4"/>
    <w:rsid w:val="00A17E36"/>
    <w:rsid w:val="00A2496A"/>
    <w:rsid w:val="00A25599"/>
    <w:rsid w:val="00A3565A"/>
    <w:rsid w:val="00A35922"/>
    <w:rsid w:val="00A416ED"/>
    <w:rsid w:val="00A42469"/>
    <w:rsid w:val="00A434A5"/>
    <w:rsid w:val="00A52A9C"/>
    <w:rsid w:val="00A54289"/>
    <w:rsid w:val="00A547CE"/>
    <w:rsid w:val="00A60D2F"/>
    <w:rsid w:val="00A63D38"/>
    <w:rsid w:val="00A71566"/>
    <w:rsid w:val="00A71A03"/>
    <w:rsid w:val="00A723ED"/>
    <w:rsid w:val="00A8169C"/>
    <w:rsid w:val="00A82236"/>
    <w:rsid w:val="00A831B0"/>
    <w:rsid w:val="00AB2623"/>
    <w:rsid w:val="00AB3E73"/>
    <w:rsid w:val="00AC0659"/>
    <w:rsid w:val="00AD6CC9"/>
    <w:rsid w:val="00AE514E"/>
    <w:rsid w:val="00AE5C5D"/>
    <w:rsid w:val="00AF178D"/>
    <w:rsid w:val="00AF30A9"/>
    <w:rsid w:val="00AF3620"/>
    <w:rsid w:val="00B05B35"/>
    <w:rsid w:val="00B06944"/>
    <w:rsid w:val="00B11EC0"/>
    <w:rsid w:val="00B16EA7"/>
    <w:rsid w:val="00B24B7E"/>
    <w:rsid w:val="00B473AF"/>
    <w:rsid w:val="00B47656"/>
    <w:rsid w:val="00B553D7"/>
    <w:rsid w:val="00B60274"/>
    <w:rsid w:val="00B7576B"/>
    <w:rsid w:val="00B75FCB"/>
    <w:rsid w:val="00B76CF6"/>
    <w:rsid w:val="00B80302"/>
    <w:rsid w:val="00B83E68"/>
    <w:rsid w:val="00BA2B43"/>
    <w:rsid w:val="00BA645E"/>
    <w:rsid w:val="00BA67D6"/>
    <w:rsid w:val="00BB295B"/>
    <w:rsid w:val="00BB3CC8"/>
    <w:rsid w:val="00BB6328"/>
    <w:rsid w:val="00BB7A0F"/>
    <w:rsid w:val="00BC02F0"/>
    <w:rsid w:val="00BC3917"/>
    <w:rsid w:val="00BD4852"/>
    <w:rsid w:val="00BD4D26"/>
    <w:rsid w:val="00BD52BA"/>
    <w:rsid w:val="00BE255B"/>
    <w:rsid w:val="00BF1C1B"/>
    <w:rsid w:val="00BF6FBE"/>
    <w:rsid w:val="00C02D2F"/>
    <w:rsid w:val="00C232AF"/>
    <w:rsid w:val="00C260DC"/>
    <w:rsid w:val="00C27138"/>
    <w:rsid w:val="00C3219B"/>
    <w:rsid w:val="00C326E1"/>
    <w:rsid w:val="00C33998"/>
    <w:rsid w:val="00C33B1A"/>
    <w:rsid w:val="00C4119F"/>
    <w:rsid w:val="00C5033C"/>
    <w:rsid w:val="00C52E65"/>
    <w:rsid w:val="00C57262"/>
    <w:rsid w:val="00C57BA5"/>
    <w:rsid w:val="00C614D3"/>
    <w:rsid w:val="00C61C92"/>
    <w:rsid w:val="00C632EE"/>
    <w:rsid w:val="00C800D9"/>
    <w:rsid w:val="00C804D8"/>
    <w:rsid w:val="00C82013"/>
    <w:rsid w:val="00C84ACD"/>
    <w:rsid w:val="00C9158E"/>
    <w:rsid w:val="00C94D8F"/>
    <w:rsid w:val="00CA529C"/>
    <w:rsid w:val="00CA5830"/>
    <w:rsid w:val="00CB58AA"/>
    <w:rsid w:val="00CC444D"/>
    <w:rsid w:val="00CC7FBC"/>
    <w:rsid w:val="00CD0FCD"/>
    <w:rsid w:val="00CD4ACF"/>
    <w:rsid w:val="00CE1785"/>
    <w:rsid w:val="00CE4E7C"/>
    <w:rsid w:val="00CE56B0"/>
    <w:rsid w:val="00CF7573"/>
    <w:rsid w:val="00D11B32"/>
    <w:rsid w:val="00D12DC0"/>
    <w:rsid w:val="00D17FFD"/>
    <w:rsid w:val="00D2477E"/>
    <w:rsid w:val="00D41A99"/>
    <w:rsid w:val="00D431CE"/>
    <w:rsid w:val="00D507F5"/>
    <w:rsid w:val="00D530CB"/>
    <w:rsid w:val="00D62920"/>
    <w:rsid w:val="00D62B15"/>
    <w:rsid w:val="00D770C7"/>
    <w:rsid w:val="00D83B39"/>
    <w:rsid w:val="00D84B9D"/>
    <w:rsid w:val="00D94E53"/>
    <w:rsid w:val="00D9658C"/>
    <w:rsid w:val="00DA0B1B"/>
    <w:rsid w:val="00DA1043"/>
    <w:rsid w:val="00DA7EE2"/>
    <w:rsid w:val="00DB3394"/>
    <w:rsid w:val="00DC0D53"/>
    <w:rsid w:val="00DC63C6"/>
    <w:rsid w:val="00DD1A9B"/>
    <w:rsid w:val="00DE2751"/>
    <w:rsid w:val="00DE4D31"/>
    <w:rsid w:val="00DF22B8"/>
    <w:rsid w:val="00DF2AB7"/>
    <w:rsid w:val="00DF3419"/>
    <w:rsid w:val="00DF5AF6"/>
    <w:rsid w:val="00E0143C"/>
    <w:rsid w:val="00E02D2D"/>
    <w:rsid w:val="00E04826"/>
    <w:rsid w:val="00E04D6B"/>
    <w:rsid w:val="00E05DE8"/>
    <w:rsid w:val="00E06668"/>
    <w:rsid w:val="00E124A0"/>
    <w:rsid w:val="00E12A97"/>
    <w:rsid w:val="00E14EDE"/>
    <w:rsid w:val="00E25122"/>
    <w:rsid w:val="00E25E18"/>
    <w:rsid w:val="00E26AB6"/>
    <w:rsid w:val="00E344C6"/>
    <w:rsid w:val="00E43A43"/>
    <w:rsid w:val="00E43FD9"/>
    <w:rsid w:val="00E50D9D"/>
    <w:rsid w:val="00E551F5"/>
    <w:rsid w:val="00E65C3C"/>
    <w:rsid w:val="00E73AEC"/>
    <w:rsid w:val="00E75FF5"/>
    <w:rsid w:val="00E771FE"/>
    <w:rsid w:val="00E803B2"/>
    <w:rsid w:val="00E80A2F"/>
    <w:rsid w:val="00E86E02"/>
    <w:rsid w:val="00E91A2F"/>
    <w:rsid w:val="00E97E04"/>
    <w:rsid w:val="00EA26D9"/>
    <w:rsid w:val="00EA5062"/>
    <w:rsid w:val="00EB3432"/>
    <w:rsid w:val="00EB3839"/>
    <w:rsid w:val="00EB4421"/>
    <w:rsid w:val="00EB755B"/>
    <w:rsid w:val="00EC1B0C"/>
    <w:rsid w:val="00EC4CED"/>
    <w:rsid w:val="00ED08B6"/>
    <w:rsid w:val="00ED355F"/>
    <w:rsid w:val="00ED5993"/>
    <w:rsid w:val="00EE57E3"/>
    <w:rsid w:val="00EF0F93"/>
    <w:rsid w:val="00F009DE"/>
    <w:rsid w:val="00F0365B"/>
    <w:rsid w:val="00F149E2"/>
    <w:rsid w:val="00F208AC"/>
    <w:rsid w:val="00F25A08"/>
    <w:rsid w:val="00F3278A"/>
    <w:rsid w:val="00F343EB"/>
    <w:rsid w:val="00F403B2"/>
    <w:rsid w:val="00F43149"/>
    <w:rsid w:val="00F434FC"/>
    <w:rsid w:val="00F45C34"/>
    <w:rsid w:val="00F53540"/>
    <w:rsid w:val="00F53AD9"/>
    <w:rsid w:val="00F5425E"/>
    <w:rsid w:val="00F558AD"/>
    <w:rsid w:val="00F55B43"/>
    <w:rsid w:val="00F570A7"/>
    <w:rsid w:val="00F70479"/>
    <w:rsid w:val="00F73DD1"/>
    <w:rsid w:val="00F8010A"/>
    <w:rsid w:val="00F91F05"/>
    <w:rsid w:val="00F91F0E"/>
    <w:rsid w:val="00F96956"/>
    <w:rsid w:val="00FA07C7"/>
    <w:rsid w:val="00FA33BC"/>
    <w:rsid w:val="00FA4054"/>
    <w:rsid w:val="00FC4166"/>
    <w:rsid w:val="00FC4E6A"/>
    <w:rsid w:val="00FC61A1"/>
    <w:rsid w:val="00FC7F5B"/>
    <w:rsid w:val="00FD7605"/>
    <w:rsid w:val="00FE1D78"/>
    <w:rsid w:val="00FF213A"/>
    <w:rsid w:val="00FF4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B0C0A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A6FBD"/>
    <w:pPr>
      <w:widowControl w:val="0"/>
      <w:autoSpaceDE w:val="0"/>
      <w:autoSpaceDN w:val="0"/>
      <w:adjustRightInd w:val="0"/>
    </w:pPr>
    <w:rPr>
      <w:sz w:val="24"/>
      <w:szCs w:val="24"/>
    </w:rPr>
  </w:style>
  <w:style w:type="paragraph" w:styleId="Heading1">
    <w:name w:val="heading 1"/>
    <w:basedOn w:val="Normal"/>
    <w:next w:val="Normal"/>
    <w:link w:val="Heading1Char"/>
    <w:qFormat/>
    <w:rsid w:val="00C326E1"/>
    <w:pPr>
      <w:keepNext/>
      <w:spacing w:before="240" w:after="60"/>
      <w:jc w:val="center"/>
      <w:outlineLvl w:val="0"/>
    </w:pPr>
    <w:rPr>
      <w:b/>
      <w:bCs/>
      <w:kern w:val="32"/>
    </w:rPr>
  </w:style>
  <w:style w:type="paragraph" w:styleId="Heading2">
    <w:name w:val="heading 2"/>
    <w:basedOn w:val="Normal"/>
    <w:next w:val="Normal"/>
    <w:qFormat/>
    <w:rsid w:val="002B2EE9"/>
    <w:pPr>
      <w:keepNext/>
      <w:widowControl/>
      <w:autoSpaceDE/>
      <w:autoSpaceDN/>
      <w:adjustRightInd/>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FootnoteText">
    <w:name w:val="footnote text"/>
    <w:basedOn w:val="Normal"/>
    <w:semiHidden/>
    <w:rsid w:val="00106B86"/>
    <w:rPr>
      <w:sz w:val="20"/>
      <w:szCs w:val="20"/>
    </w:rPr>
  </w:style>
  <w:style w:type="paragraph" w:customStyle="1" w:styleId="Quicka">
    <w:name w:val="Quick a."/>
    <w:basedOn w:val="Normal"/>
    <w:rsid w:val="004F595C"/>
    <w:pPr>
      <w:numPr>
        <w:numId w:val="3"/>
      </w:numPr>
      <w:ind w:left="1440" w:hanging="720"/>
    </w:pPr>
  </w:style>
  <w:style w:type="paragraph" w:styleId="BodyText">
    <w:name w:val="Body Text"/>
    <w:basedOn w:val="Normal"/>
    <w:rsid w:val="009A16F2"/>
    <w:pPr>
      <w:widowControl/>
      <w:autoSpaceDE/>
      <w:autoSpaceDN/>
      <w:adjustRightInd/>
      <w:spacing w:line="480" w:lineRule="auto"/>
    </w:pPr>
    <w:rPr>
      <w:szCs w:val="20"/>
    </w:rPr>
  </w:style>
  <w:style w:type="paragraph" w:styleId="BodyTextIndent2">
    <w:name w:val="Body Text Indent 2"/>
    <w:basedOn w:val="Normal"/>
    <w:rsid w:val="009A16F2"/>
    <w:pPr>
      <w:widowControl/>
      <w:autoSpaceDE/>
      <w:autoSpaceDN/>
      <w:adjustRightInd/>
      <w:ind w:right="12" w:firstLine="720"/>
      <w:jc w:val="both"/>
    </w:pPr>
    <w:rPr>
      <w:bCs/>
    </w:rPr>
  </w:style>
  <w:style w:type="paragraph" w:styleId="BalloonText">
    <w:name w:val="Balloon Text"/>
    <w:basedOn w:val="Normal"/>
    <w:semiHidden/>
    <w:rsid w:val="000C77D5"/>
    <w:rPr>
      <w:rFonts w:ascii="Tahoma" w:hAnsi="Tahoma" w:cs="Tahoma"/>
      <w:sz w:val="16"/>
      <w:szCs w:val="16"/>
    </w:rPr>
  </w:style>
  <w:style w:type="paragraph" w:styleId="Footer">
    <w:name w:val="footer"/>
    <w:basedOn w:val="Normal"/>
    <w:rsid w:val="00660508"/>
    <w:pPr>
      <w:tabs>
        <w:tab w:val="center" w:pos="4320"/>
        <w:tab w:val="right" w:pos="8640"/>
      </w:tabs>
    </w:pPr>
  </w:style>
  <w:style w:type="character" w:styleId="PageNumber">
    <w:name w:val="page number"/>
    <w:basedOn w:val="DefaultParagraphFont"/>
    <w:rsid w:val="00660508"/>
  </w:style>
  <w:style w:type="paragraph" w:styleId="Title">
    <w:name w:val="Title"/>
    <w:basedOn w:val="Normal"/>
    <w:qFormat/>
    <w:rsid w:val="00A416ED"/>
    <w:pPr>
      <w:widowControl/>
      <w:autoSpaceDE/>
      <w:autoSpaceDN/>
      <w:adjustRightInd/>
      <w:jc w:val="center"/>
    </w:pPr>
    <w:rPr>
      <w:b/>
      <w:bCs/>
    </w:rPr>
  </w:style>
  <w:style w:type="paragraph" w:customStyle="1" w:styleId="Default">
    <w:name w:val="Default"/>
    <w:rsid w:val="00D17FFD"/>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Neue" w:eastAsia="Arial Unicode MS" w:hAnsi="Helvetica Neue" w:cs="Arial Unicode MS"/>
      <w:color w:val="000000"/>
      <w:sz w:val="22"/>
      <w:szCs w:val="22"/>
      <w:u w:color="000000"/>
    </w:rPr>
  </w:style>
  <w:style w:type="paragraph" w:customStyle="1" w:styleId="Footnote">
    <w:name w:val="Footnote"/>
    <w:rsid w:val="00935226"/>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Neue" w:hAnsi="Helvetica Neue" w:cs="Helvetica Neue"/>
      <w:color w:val="000000"/>
      <w:sz w:val="22"/>
      <w:szCs w:val="22"/>
    </w:rPr>
  </w:style>
  <w:style w:type="paragraph" w:customStyle="1" w:styleId="ColorfulList-Accent11">
    <w:name w:val="Colorful List - Accent 11"/>
    <w:basedOn w:val="Normal"/>
    <w:rsid w:val="00062522"/>
    <w:pPr>
      <w:widowControl/>
      <w:overflowPunct w:val="0"/>
      <w:ind w:left="720"/>
      <w:contextualSpacing/>
      <w:textAlignment w:val="baseline"/>
    </w:pPr>
  </w:style>
  <w:style w:type="paragraph" w:customStyle="1" w:styleId="BodyA">
    <w:name w:val="Body A"/>
    <w:rsid w:val="00350469"/>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Neue" w:hAnsi="Helvetica Neue" w:cs="Helvetica Neue"/>
      <w:color w:val="000000"/>
      <w:sz w:val="22"/>
      <w:szCs w:val="22"/>
      <w:u w:color="000000"/>
    </w:rPr>
  </w:style>
  <w:style w:type="character" w:customStyle="1" w:styleId="Heading1Char">
    <w:name w:val="Heading 1 Char"/>
    <w:link w:val="Heading1"/>
    <w:rsid w:val="00C326E1"/>
    <w:rPr>
      <w:b/>
      <w:bCs/>
      <w:kern w:val="32"/>
      <w:sz w:val="24"/>
      <w:szCs w:val="24"/>
    </w:rPr>
  </w:style>
  <w:style w:type="paragraph" w:styleId="ListParagraph">
    <w:name w:val="List Paragraph"/>
    <w:basedOn w:val="Normal"/>
    <w:uiPriority w:val="1"/>
    <w:qFormat/>
    <w:rsid w:val="001145F6"/>
    <w:pPr>
      <w:adjustRightInd/>
      <w:ind w:left="1540" w:hanging="721"/>
    </w:pPr>
    <w:rPr>
      <w:sz w:val="22"/>
      <w:szCs w:val="22"/>
    </w:rPr>
  </w:style>
  <w:style w:type="paragraph" w:styleId="Header">
    <w:name w:val="header"/>
    <w:basedOn w:val="Normal"/>
    <w:link w:val="HeaderChar"/>
    <w:rsid w:val="00944E21"/>
    <w:pPr>
      <w:tabs>
        <w:tab w:val="center" w:pos="4680"/>
        <w:tab w:val="right" w:pos="9360"/>
      </w:tabs>
    </w:pPr>
  </w:style>
  <w:style w:type="character" w:customStyle="1" w:styleId="HeaderChar">
    <w:name w:val="Header Char"/>
    <w:basedOn w:val="DefaultParagraphFont"/>
    <w:link w:val="Header"/>
    <w:rsid w:val="00944E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A83A4-031F-427F-A7B3-86E9F59EC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3388</Words>
  <Characters>18376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Due Process Decision 24.022</vt:lpstr>
    </vt:vector>
  </TitlesOfParts>
  <Company/>
  <LinksUpToDate>false</LinksUpToDate>
  <CharactersWithSpaces>21721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Due Process Decision 24.022</dc:title>
  <dc:subject/>
  <dc:creator/>
  <cp:keywords/>
  <dc:description/>
  <cp:lastModifiedBy/>
  <cp:revision>1</cp:revision>
  <dcterms:created xsi:type="dcterms:W3CDTF">2024-07-25T16:03:00Z</dcterms:created>
  <dcterms:modified xsi:type="dcterms:W3CDTF">2024-07-25T16:03:00Z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