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EF0B" w14:textId="77777777" w:rsidR="008124FA" w:rsidRPr="000F403A" w:rsidRDefault="008124FA" w:rsidP="008124FA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F40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Virginia Department of Education</w:t>
      </w:r>
    </w:p>
    <w:p w14:paraId="2960669E" w14:textId="77777777" w:rsidR="008124FA" w:rsidRPr="000F403A" w:rsidRDefault="0039617B" w:rsidP="008124FA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F40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Office of ES</w:t>
      </w:r>
      <w:r w:rsidR="008124FA" w:rsidRPr="000F40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EA Programs</w:t>
      </w:r>
    </w:p>
    <w:p w14:paraId="724D8B45" w14:textId="77777777" w:rsidR="008124FA" w:rsidRPr="000F403A" w:rsidRDefault="00E16DBD" w:rsidP="008124FA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0F403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Instructions for Requesting to Transfer Funds</w:t>
      </w:r>
    </w:p>
    <w:p w14:paraId="23E4C809" w14:textId="77777777" w:rsidR="008124FA" w:rsidRPr="00E16DBD" w:rsidRDefault="008124FA" w:rsidP="00260656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ADABF63" w14:textId="77777777" w:rsidR="008124FA" w:rsidRPr="000F403A" w:rsidRDefault="008124FA" w:rsidP="008124FA">
      <w:pPr>
        <w:kinsoku w:val="0"/>
        <w:overflowPunct w:val="0"/>
        <w:spacing w:before="15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Section 5103 (b)(2) of ESSA allows divisions to transfer up to 100 percent of funds awarded </w:t>
      </w:r>
      <w:r w:rsidRPr="000F403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from </w:t>
      </w:r>
      <w:r w:rsidRPr="000F403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two program areas:</w:t>
      </w:r>
    </w:p>
    <w:p w14:paraId="54ED02B1" w14:textId="77777777" w:rsidR="008124FA" w:rsidRPr="000F403A" w:rsidRDefault="008124FA" w:rsidP="008124FA">
      <w:pPr>
        <w:numPr>
          <w:ilvl w:val="1"/>
          <w:numId w:val="2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color w:val="000092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 II, Part A</w:t>
      </w:r>
    </w:p>
    <w:p w14:paraId="238D3651" w14:textId="77777777" w:rsidR="008124FA" w:rsidRPr="000F403A" w:rsidRDefault="008124FA" w:rsidP="008124FA">
      <w:pPr>
        <w:numPr>
          <w:ilvl w:val="1"/>
          <w:numId w:val="2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color w:val="000092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 IV, Part A</w:t>
      </w:r>
    </w:p>
    <w:p w14:paraId="7B69781F" w14:textId="77777777" w:rsidR="008124FA" w:rsidRPr="000F403A" w:rsidRDefault="008124FA" w:rsidP="008124FA">
      <w:pPr>
        <w:pStyle w:val="NormalWeb"/>
        <w:kinsoku w:val="0"/>
        <w:overflowPunct w:val="0"/>
        <w:spacing w:before="154" w:beforeAutospacing="0" w:after="0" w:afterAutospacing="0"/>
        <w:textAlignment w:val="baseline"/>
      </w:pPr>
      <w:r w:rsidRPr="000F403A">
        <w:rPr>
          <w:color w:val="222222"/>
          <w:shd w:val="clear" w:color="auto" w:fill="FFFFFF"/>
        </w:rPr>
        <w:t xml:space="preserve">The same section also allows </w:t>
      </w:r>
      <w:r w:rsidRPr="000F403A">
        <w:rPr>
          <w:rFonts w:eastAsiaTheme="minorEastAsia"/>
        </w:rPr>
        <w:t xml:space="preserve">divisions to transfer funds </w:t>
      </w:r>
      <w:r w:rsidRPr="000F403A">
        <w:rPr>
          <w:rFonts w:eastAsiaTheme="minorEastAsia"/>
          <w:bCs/>
        </w:rPr>
        <w:t>to</w:t>
      </w:r>
      <w:r w:rsidRPr="000F403A">
        <w:rPr>
          <w:rFonts w:eastAsiaTheme="minorEastAsia"/>
        </w:rPr>
        <w:t xml:space="preserve"> several program areas:</w:t>
      </w:r>
    </w:p>
    <w:p w14:paraId="18322E08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I, Part A</w:t>
      </w:r>
    </w:p>
    <w:p w14:paraId="581CAA9E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I, Part C</w:t>
      </w:r>
    </w:p>
    <w:p w14:paraId="5ECA54B3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I, Part D</w:t>
      </w:r>
    </w:p>
    <w:p w14:paraId="1320470C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II, Part A</w:t>
      </w:r>
    </w:p>
    <w:p w14:paraId="5852600A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III, Part A</w:t>
      </w:r>
    </w:p>
    <w:p w14:paraId="6B3B40D0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proofErr w:type="spellStart"/>
      <w:r w:rsidRPr="000F403A">
        <w:rPr>
          <w:rFonts w:ascii="Times New Roman" w:eastAsia="Times New Roman" w:hAnsi="Times New Roman" w:cs="Times New Roman"/>
          <w:sz w:val="24"/>
          <w:szCs w:val="24"/>
        </w:rPr>
        <w:t>lV</w:t>
      </w:r>
      <w:proofErr w:type="spellEnd"/>
      <w:r w:rsidRPr="000F403A">
        <w:rPr>
          <w:rFonts w:ascii="Times New Roman" w:eastAsia="Times New Roman" w:hAnsi="Times New Roman" w:cs="Times New Roman"/>
          <w:sz w:val="24"/>
          <w:szCs w:val="24"/>
        </w:rPr>
        <w:t>, Part A</w:t>
      </w:r>
    </w:p>
    <w:p w14:paraId="5B325BF4" w14:textId="77777777" w:rsidR="008124FA" w:rsidRPr="000F403A" w:rsidRDefault="008124FA" w:rsidP="008124FA">
      <w:pPr>
        <w:numPr>
          <w:ilvl w:val="1"/>
          <w:numId w:val="3"/>
        </w:numPr>
        <w:kinsoku w:val="0"/>
        <w:overflowPunct w:val="0"/>
        <w:ind w:left="260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403A">
        <w:rPr>
          <w:rFonts w:ascii="Times New Roman" w:eastAsia="Times New Roman" w:hAnsi="Times New Roman" w:cs="Times New Roman"/>
          <w:sz w:val="24"/>
          <w:szCs w:val="24"/>
        </w:rPr>
        <w:t>Title V, Part B</w:t>
      </w:r>
    </w:p>
    <w:p w14:paraId="35FE8B2A" w14:textId="77777777" w:rsidR="008124FA" w:rsidRPr="000F403A" w:rsidRDefault="008124FA" w:rsidP="002606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D5233D" w14:textId="77777777" w:rsidR="008124FA" w:rsidRPr="000F403A" w:rsidRDefault="008124FA" w:rsidP="00260656">
      <w:pPr>
        <w:rPr>
          <w:rFonts w:ascii="Times New Roman" w:hAnsi="Times New Roman" w:cs="Times New Roman"/>
          <w:sz w:val="24"/>
          <w:szCs w:val="24"/>
        </w:rPr>
      </w:pPr>
    </w:p>
    <w:p w14:paraId="1DB5B3E1" w14:textId="0EF34105" w:rsidR="00217E3F" w:rsidRPr="000F403A" w:rsidRDefault="001551AE" w:rsidP="00217E3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="00F764F7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equesting to</w:t>
      </w:r>
      <w:r w:rsidR="00217E3F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transfer funds</w:t>
      </w:r>
      <w:r w:rsidR="00F764F7" w:rsidRPr="000F40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14:paraId="5EC2749C" w14:textId="77777777" w:rsidR="008124FA" w:rsidRPr="000F403A" w:rsidRDefault="008124FA" w:rsidP="00260656">
      <w:pPr>
        <w:rPr>
          <w:rFonts w:ascii="Times New Roman" w:hAnsi="Times New Roman" w:cs="Times New Roman"/>
          <w:sz w:val="24"/>
          <w:szCs w:val="24"/>
        </w:rPr>
      </w:pPr>
    </w:p>
    <w:p w14:paraId="65007583" w14:textId="77777777" w:rsidR="00C66D85" w:rsidRPr="000F403A" w:rsidRDefault="009B7B9E" w:rsidP="008D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Revise or a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mend </w:t>
      </w:r>
      <w:r w:rsidR="00217E3F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C66D85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application from which the funds are being transferred (Title II, Part A or Title IV, Part A).</w:t>
      </w:r>
    </w:p>
    <w:p w14:paraId="5DA9118F" w14:textId="77777777" w:rsidR="0023088D" w:rsidRPr="000F403A" w:rsidRDefault="00C66D85" w:rsidP="009E2A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Indicate the amount of funds that the division plans to </w:t>
      </w:r>
      <w:r w:rsidRPr="000F403A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transfer</w:t>
      </w:r>
      <w:r w:rsidR="00347743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to another program</w:t>
      </w:r>
      <w:r w:rsidR="00F764F7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 completing the Transferability section of the Narrative tab.</w:t>
      </w:r>
    </w:p>
    <w:p w14:paraId="3A13752A" w14:textId="77777777" w:rsidR="00F764F7" w:rsidRPr="000F403A" w:rsidRDefault="00F764F7" w:rsidP="009E2A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Revise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 amend 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other sections of the application if applicable</w:t>
      </w:r>
      <w:r w:rsidR="001376BA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7829A69" w14:textId="77777777" w:rsidR="00C66D85" w:rsidRPr="000F403A" w:rsidRDefault="00C66D85" w:rsidP="009E2A3A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Submit 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application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revision or 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amendment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86A72EF" w14:textId="77777777" w:rsidR="0023088D" w:rsidRPr="000F403A" w:rsidRDefault="009B7B9E" w:rsidP="002308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Revise or a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mend</w:t>
      </w:r>
      <w:r w:rsidR="00347743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 applications</w:t>
      </w:r>
      <w:r w:rsidR="0023088D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the funds are being transferred to.  </w:t>
      </w:r>
    </w:p>
    <w:p w14:paraId="76C7E48E" w14:textId="77777777" w:rsidR="0023088D" w:rsidRPr="000F403A" w:rsidRDefault="0023088D" w:rsidP="002308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Complete the Transferability tab based on the amount that was indicated in the application from which the funds were transferred.</w:t>
      </w:r>
    </w:p>
    <w:p w14:paraId="6D982274" w14:textId="77777777" w:rsidR="0023088D" w:rsidRPr="000F403A" w:rsidRDefault="0023088D" w:rsidP="0023088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Submit the application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revision or amendment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06EBA8D" w14:textId="2015D14D" w:rsidR="009B7B9E" w:rsidRPr="000F403A" w:rsidRDefault="00347743" w:rsidP="009B7B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403A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After the applications for the sending and receiving programs reflecting the amount to be transferred are fully approved</w:t>
      </w:r>
      <w:r w:rsidR="009B7B9E" w:rsidRPr="000F403A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,</w:t>
      </w:r>
      <w:r w:rsidR="009B7B9E" w:rsidRPr="000F403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complete the </w:t>
      </w:r>
      <w:r w:rsidR="009B7B9E" w:rsidRPr="00CA1FF2">
        <w:rPr>
          <w:rFonts w:ascii="Times New Roman" w:hAnsi="Times New Roman" w:cs="Times New Roman"/>
          <w:sz w:val="24"/>
          <w:szCs w:val="24"/>
          <w:shd w:val="clear" w:color="auto" w:fill="FFFFFF"/>
        </w:rPr>
        <w:t>Transfer Request form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submit the signed form to 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appropriate program specialist. Note: A transfer request cannot be approved until both program applications </w:t>
      </w:r>
      <w:r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reflecting transferability </w:t>
      </w:r>
      <w:r w:rsidR="009B7B9E" w:rsidRPr="000F4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fully approved.</w:t>
      </w:r>
    </w:p>
    <w:p w14:paraId="32F750D2" w14:textId="77777777" w:rsidR="00260656" w:rsidRPr="000F403A" w:rsidRDefault="00260656" w:rsidP="00260656">
      <w:pPr>
        <w:rPr>
          <w:rFonts w:ascii="Times New Roman" w:hAnsi="Times New Roman" w:cs="Times New Roman"/>
          <w:sz w:val="24"/>
          <w:szCs w:val="24"/>
        </w:rPr>
      </w:pPr>
    </w:p>
    <w:p w14:paraId="54E45876" w14:textId="65FFB6C2" w:rsidR="00283C69" w:rsidRPr="000F403A" w:rsidRDefault="00C37FD9">
      <w:pPr>
        <w:rPr>
          <w:rFonts w:ascii="Times New Roman" w:hAnsi="Times New Roman" w:cs="Times New Roman"/>
          <w:sz w:val="24"/>
          <w:szCs w:val="24"/>
        </w:rPr>
      </w:pPr>
      <w:r w:rsidRPr="000F403A">
        <w:rPr>
          <w:rFonts w:ascii="Times New Roman" w:hAnsi="Times New Roman" w:cs="Times New Roman"/>
          <w:sz w:val="24"/>
          <w:szCs w:val="24"/>
        </w:rPr>
        <w:t>Note:</w:t>
      </w:r>
      <w:r w:rsidR="00D4703C" w:rsidRPr="000F403A">
        <w:rPr>
          <w:rFonts w:ascii="Times New Roman" w:hAnsi="Times New Roman" w:cs="Times New Roman"/>
          <w:sz w:val="24"/>
          <w:szCs w:val="24"/>
        </w:rPr>
        <w:t xml:space="preserve"> </w:t>
      </w:r>
      <w:r w:rsidR="001376BA" w:rsidRPr="000F403A">
        <w:rPr>
          <w:rFonts w:ascii="Times New Roman" w:hAnsi="Times New Roman" w:cs="Times New Roman"/>
          <w:sz w:val="24"/>
          <w:szCs w:val="24"/>
        </w:rPr>
        <w:t xml:space="preserve">The approval process for transferring funds takes approximately </w:t>
      </w:r>
      <w:r w:rsidR="001551AE">
        <w:rPr>
          <w:rFonts w:ascii="Times New Roman" w:hAnsi="Times New Roman" w:cs="Times New Roman"/>
          <w:sz w:val="24"/>
          <w:szCs w:val="24"/>
        </w:rPr>
        <w:t>21</w:t>
      </w:r>
      <w:r w:rsidR="001376BA" w:rsidRPr="000F403A">
        <w:rPr>
          <w:rFonts w:ascii="Times New Roman" w:hAnsi="Times New Roman" w:cs="Times New Roman"/>
          <w:sz w:val="24"/>
          <w:szCs w:val="24"/>
        </w:rPr>
        <w:t xml:space="preserve">days. The Superintendent will receive notification via email when the transfer is approved. </w:t>
      </w:r>
      <w:r w:rsidRPr="000F403A">
        <w:rPr>
          <w:rFonts w:ascii="Times New Roman" w:hAnsi="Times New Roman" w:cs="Times New Roman"/>
          <w:sz w:val="24"/>
          <w:szCs w:val="24"/>
        </w:rPr>
        <w:t xml:space="preserve">The transferred funds will still appear under </w:t>
      </w:r>
      <w:r w:rsidR="00CA3382" w:rsidRPr="000F403A">
        <w:rPr>
          <w:rFonts w:ascii="Times New Roman" w:hAnsi="Times New Roman" w:cs="Times New Roman"/>
          <w:sz w:val="24"/>
          <w:szCs w:val="24"/>
        </w:rPr>
        <w:t xml:space="preserve">the original program area (Title II, Part A of </w:t>
      </w:r>
      <w:r w:rsidRPr="000F403A">
        <w:rPr>
          <w:rFonts w:ascii="Times New Roman" w:hAnsi="Times New Roman" w:cs="Times New Roman"/>
          <w:sz w:val="24"/>
          <w:szCs w:val="24"/>
        </w:rPr>
        <w:t>Title IV, Part A</w:t>
      </w:r>
      <w:r w:rsidR="00CA3382" w:rsidRPr="000F403A">
        <w:rPr>
          <w:rFonts w:ascii="Times New Roman" w:hAnsi="Times New Roman" w:cs="Times New Roman"/>
          <w:sz w:val="24"/>
          <w:szCs w:val="24"/>
        </w:rPr>
        <w:t>),</w:t>
      </w:r>
      <w:r w:rsidR="00783545" w:rsidRPr="000F403A">
        <w:rPr>
          <w:rFonts w:ascii="Times New Roman" w:hAnsi="Times New Roman" w:cs="Times New Roman"/>
          <w:sz w:val="24"/>
          <w:szCs w:val="24"/>
        </w:rPr>
        <w:t xml:space="preserve"> in OMEGA but </w:t>
      </w:r>
      <w:r w:rsidR="009B7B9E" w:rsidRPr="000F403A">
        <w:rPr>
          <w:rFonts w:ascii="Times New Roman" w:hAnsi="Times New Roman" w:cs="Times New Roman"/>
          <w:sz w:val="24"/>
          <w:szCs w:val="24"/>
        </w:rPr>
        <w:t xml:space="preserve">will be assigned </w:t>
      </w:r>
      <w:r w:rsidR="00783545" w:rsidRPr="000F403A">
        <w:rPr>
          <w:rFonts w:ascii="Times New Roman" w:hAnsi="Times New Roman" w:cs="Times New Roman"/>
          <w:sz w:val="24"/>
          <w:szCs w:val="24"/>
        </w:rPr>
        <w:t>an “ESSA Transfer” project code for the receiving program.</w:t>
      </w:r>
    </w:p>
    <w:p w14:paraId="572299D8" w14:textId="77777777" w:rsidR="00783545" w:rsidRPr="000F403A" w:rsidRDefault="00783545">
      <w:pPr>
        <w:rPr>
          <w:rFonts w:ascii="Times New Roman" w:hAnsi="Times New Roman" w:cs="Times New Roman"/>
          <w:sz w:val="24"/>
          <w:szCs w:val="24"/>
        </w:rPr>
      </w:pPr>
    </w:p>
    <w:p w14:paraId="6574D613" w14:textId="77777777" w:rsidR="00783545" w:rsidRPr="000F403A" w:rsidRDefault="00783545">
      <w:pPr>
        <w:rPr>
          <w:rFonts w:ascii="Times New Roman" w:hAnsi="Times New Roman" w:cs="Times New Roman"/>
          <w:sz w:val="24"/>
          <w:szCs w:val="24"/>
        </w:rPr>
      </w:pPr>
    </w:p>
    <w:sectPr w:rsidR="00783545" w:rsidRPr="000F403A" w:rsidSect="00F639F8">
      <w:footerReference w:type="default" r:id="rId7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1708" w14:textId="77777777" w:rsidR="00614145" w:rsidRDefault="00614145" w:rsidP="00040C03">
      <w:r>
        <w:separator/>
      </w:r>
    </w:p>
  </w:endnote>
  <w:endnote w:type="continuationSeparator" w:id="0">
    <w:p w14:paraId="5DA69174" w14:textId="77777777" w:rsidR="00614145" w:rsidRDefault="00614145" w:rsidP="0004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2AF6" w14:textId="77777777" w:rsidR="00040C03" w:rsidRPr="00040C03" w:rsidRDefault="00E16DBD" w:rsidP="00040C03">
    <w:pPr>
      <w:pStyle w:val="Footer"/>
      <w:jc w:val="right"/>
      <w:rPr>
        <w:i/>
      </w:rPr>
    </w:pPr>
    <w:r>
      <w:rPr>
        <w:i/>
      </w:rPr>
      <w:t>August 2022</w:t>
    </w:r>
  </w:p>
  <w:p w14:paraId="33F5D6E4" w14:textId="77777777" w:rsidR="00040C03" w:rsidRDefault="00040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781C" w14:textId="77777777" w:rsidR="00614145" w:rsidRDefault="00614145" w:rsidP="00040C03">
      <w:r>
        <w:separator/>
      </w:r>
    </w:p>
  </w:footnote>
  <w:footnote w:type="continuationSeparator" w:id="0">
    <w:p w14:paraId="342D235E" w14:textId="77777777" w:rsidR="00614145" w:rsidRDefault="00614145" w:rsidP="0004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E1DDA"/>
    <w:multiLevelType w:val="hybridMultilevel"/>
    <w:tmpl w:val="FD12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1BC"/>
    <w:multiLevelType w:val="hybridMultilevel"/>
    <w:tmpl w:val="966AF9D6"/>
    <w:lvl w:ilvl="0" w:tplc="1284BF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0E53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47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42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AFF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4E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CE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A62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21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597E"/>
    <w:multiLevelType w:val="hybridMultilevel"/>
    <w:tmpl w:val="FA320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672395"/>
    <w:multiLevelType w:val="hybridMultilevel"/>
    <w:tmpl w:val="DA58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06E1B"/>
    <w:multiLevelType w:val="hybridMultilevel"/>
    <w:tmpl w:val="AA32EE86"/>
    <w:lvl w:ilvl="0" w:tplc="20EE9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08F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09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1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2CD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3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D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02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CB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788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723165">
    <w:abstractNumId w:val="1"/>
  </w:num>
  <w:num w:numId="3" w16cid:durableId="89005623">
    <w:abstractNumId w:val="4"/>
  </w:num>
  <w:num w:numId="4" w16cid:durableId="667296603">
    <w:abstractNumId w:val="3"/>
  </w:num>
  <w:num w:numId="5" w16cid:durableId="105396695">
    <w:abstractNumId w:val="0"/>
  </w:num>
  <w:num w:numId="6" w16cid:durableId="693967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8C"/>
    <w:rsid w:val="00040C03"/>
    <w:rsid w:val="000F403A"/>
    <w:rsid w:val="001376BA"/>
    <w:rsid w:val="001551AE"/>
    <w:rsid w:val="001A5C42"/>
    <w:rsid w:val="001D258C"/>
    <w:rsid w:val="00217E3F"/>
    <w:rsid w:val="00220B0B"/>
    <w:rsid w:val="0023088D"/>
    <w:rsid w:val="00260656"/>
    <w:rsid w:val="00283C69"/>
    <w:rsid w:val="00347743"/>
    <w:rsid w:val="003629DF"/>
    <w:rsid w:val="0039617B"/>
    <w:rsid w:val="00614145"/>
    <w:rsid w:val="0066659B"/>
    <w:rsid w:val="00783545"/>
    <w:rsid w:val="008124FA"/>
    <w:rsid w:val="00836503"/>
    <w:rsid w:val="00987328"/>
    <w:rsid w:val="009B7B9E"/>
    <w:rsid w:val="00A911A1"/>
    <w:rsid w:val="00B10C7E"/>
    <w:rsid w:val="00C30179"/>
    <w:rsid w:val="00C37FD9"/>
    <w:rsid w:val="00C66D85"/>
    <w:rsid w:val="00CA1FF2"/>
    <w:rsid w:val="00CA3382"/>
    <w:rsid w:val="00D4703C"/>
    <w:rsid w:val="00D574EF"/>
    <w:rsid w:val="00E16DBD"/>
    <w:rsid w:val="00EE16D8"/>
    <w:rsid w:val="00F639F8"/>
    <w:rsid w:val="00F764F7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CAA6D6"/>
  <w15:chartTrackingRefBased/>
  <w15:docId w15:val="{B1A36FD1-C5C2-40D9-AC17-E744052C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56"/>
    <w:pPr>
      <w:ind w:left="720"/>
    </w:pPr>
  </w:style>
  <w:style w:type="character" w:customStyle="1" w:styleId="il">
    <w:name w:val="il"/>
    <w:basedOn w:val="DefaultParagraphFont"/>
    <w:rsid w:val="008124FA"/>
  </w:style>
  <w:style w:type="paragraph" w:styleId="NormalWeb">
    <w:name w:val="Normal (Web)"/>
    <w:basedOn w:val="Normal"/>
    <w:uiPriority w:val="99"/>
    <w:semiHidden/>
    <w:unhideWhenUsed/>
    <w:rsid w:val="008124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4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4F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C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0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5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3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4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Christopher (DOE)</dc:creator>
  <cp:keywords/>
  <dc:description/>
  <cp:lastModifiedBy>VITA Program</cp:lastModifiedBy>
  <cp:revision>3</cp:revision>
  <cp:lastPrinted>2019-06-05T12:01:00Z</cp:lastPrinted>
  <dcterms:created xsi:type="dcterms:W3CDTF">2024-07-08T15:12:00Z</dcterms:created>
  <dcterms:modified xsi:type="dcterms:W3CDTF">2024-07-08T15:12:00Z</dcterms:modified>
</cp:coreProperties>
</file>