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CF391" w14:textId="2BA8B561" w:rsidR="0098673E" w:rsidRPr="0098673E" w:rsidRDefault="0098673E" w:rsidP="0098673E">
      <w:pPr>
        <w:pStyle w:val="Heading1"/>
        <w:tabs>
          <w:tab w:val="left" w:pos="1440"/>
        </w:tabs>
        <w:spacing w:before="0" w:after="0"/>
        <w:jc w:val="right"/>
        <w:rPr>
          <w:rFonts w:ascii="Times New Roman" w:hAnsi="Times New Roman" w:cs="Times New Roman"/>
          <w:color w:val="auto"/>
          <w:sz w:val="24"/>
          <w:szCs w:val="24"/>
        </w:rPr>
      </w:pPr>
      <w:r w:rsidRPr="0098673E">
        <w:rPr>
          <w:rFonts w:ascii="Times New Roman" w:hAnsi="Times New Roman" w:cs="Times New Roman"/>
          <w:color w:val="auto"/>
          <w:sz w:val="24"/>
          <w:szCs w:val="24"/>
        </w:rPr>
        <w:t>SCNP Memo #2023-2024-88</w:t>
      </w:r>
    </w:p>
    <w:p w14:paraId="60F4D12A" w14:textId="3E4A1B84" w:rsidR="0098673E" w:rsidRPr="0098673E" w:rsidRDefault="0098673E" w:rsidP="0098673E">
      <w:pPr>
        <w:spacing w:after="240"/>
        <w:jc w:val="right"/>
        <w:rPr>
          <w:sz w:val="24"/>
          <w:szCs w:val="24"/>
        </w:rPr>
      </w:pPr>
      <w:r w:rsidRPr="0098673E">
        <w:rPr>
          <w:sz w:val="24"/>
          <w:szCs w:val="24"/>
        </w:rPr>
        <w:t>Attachment A</w:t>
      </w:r>
    </w:p>
    <w:p w14:paraId="4BC199E8" w14:textId="77777777" w:rsidR="00FB2D70" w:rsidRDefault="00FB2D70" w:rsidP="0098673E">
      <w:pPr>
        <w:spacing w:after="200" w:line="276" w:lineRule="auto"/>
        <w:jc w:val="center"/>
        <w:outlineLvl w:val="1"/>
        <w:rPr>
          <w:rFonts w:eastAsia="Calibri" w:cs="Times New Roman"/>
          <w:b/>
          <w:kern w:val="0"/>
          <w:sz w:val="31"/>
          <w:szCs w:val="31"/>
          <w14:ligatures w14:val="none"/>
        </w:rPr>
      </w:pPr>
      <w:r>
        <w:rPr>
          <w:noProof/>
        </w:rPr>
        <w:drawing>
          <wp:inline distT="0" distB="0" distL="0" distR="0" wp14:anchorId="7BBCF780" wp14:editId="574F0CC7">
            <wp:extent cx="3847514" cy="785945"/>
            <wp:effectExtent l="0" t="0" r="635" b="0"/>
            <wp:docPr id="51691844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18440"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94125" cy="795466"/>
                    </a:xfrm>
                    <a:prstGeom prst="rect">
                      <a:avLst/>
                    </a:prstGeom>
                  </pic:spPr>
                </pic:pic>
              </a:graphicData>
            </a:graphic>
          </wp:inline>
        </w:drawing>
      </w:r>
    </w:p>
    <w:p w14:paraId="77B094AC" w14:textId="61DBE3DE" w:rsidR="0098673E" w:rsidRDefault="0098673E" w:rsidP="0098673E">
      <w:pPr>
        <w:spacing w:after="200" w:line="276" w:lineRule="auto"/>
        <w:jc w:val="center"/>
        <w:outlineLvl w:val="1"/>
        <w:rPr>
          <w:rFonts w:eastAsia="Calibri" w:cs="Times New Roman"/>
          <w:b/>
          <w:kern w:val="0"/>
          <w:sz w:val="31"/>
          <w:szCs w:val="31"/>
          <w14:ligatures w14:val="none"/>
        </w:rPr>
      </w:pPr>
      <w:r w:rsidRPr="0098673E">
        <w:rPr>
          <w:rFonts w:eastAsia="Calibri" w:cs="Times New Roman"/>
          <w:b/>
          <w:kern w:val="0"/>
          <w:sz w:val="31"/>
          <w:szCs w:val="31"/>
          <w14:ligatures w14:val="none"/>
        </w:rPr>
        <w:t>Nonprogram Revenue Tool</w:t>
      </w:r>
    </w:p>
    <w:p w14:paraId="57F12315" w14:textId="77777777" w:rsidR="00FB2D70" w:rsidRPr="00FB2D70" w:rsidRDefault="00FB2D70" w:rsidP="00FB2D70">
      <w:pPr>
        <w:spacing w:after="200" w:line="276" w:lineRule="auto"/>
        <w:rPr>
          <w:rFonts w:eastAsia="Calibri" w:cs="Times New Roman"/>
          <w:kern w:val="0"/>
          <w:sz w:val="24"/>
          <w14:ligatures w14:val="none"/>
        </w:rPr>
      </w:pPr>
      <w:r w:rsidRPr="00FB2D70">
        <w:rPr>
          <w:rFonts w:eastAsia="Calibri" w:cs="Times New Roman"/>
          <w:kern w:val="0"/>
          <w:sz w:val="24"/>
          <w14:ligatures w14:val="none"/>
        </w:rPr>
        <w:t xml:space="preserve">The U.S. Department of Agriculture, Food and Nutrition Service (USDA-FNS) developed a tool to help SFAs calculate the amount of revenue from nonprogram foods required to meet their cost. The </w:t>
      </w:r>
      <w:r w:rsidRPr="00FB2D70">
        <w:rPr>
          <w:rFonts w:eastAsia="Calibri" w:cs="Times New Roman"/>
          <w:i/>
          <w:iCs/>
          <w:kern w:val="0"/>
          <w:sz w:val="24"/>
          <w14:ligatures w14:val="none"/>
        </w:rPr>
        <w:t>Nonprogram Revenue Tool</w:t>
      </w:r>
      <w:r w:rsidRPr="00FB2D70">
        <w:rPr>
          <w:rFonts w:eastAsia="Calibri" w:cs="Times New Roman"/>
          <w:kern w:val="0"/>
          <w:sz w:val="24"/>
          <w14:ligatures w14:val="none"/>
        </w:rPr>
        <w:t xml:space="preserve"> is available in the </w:t>
      </w:r>
      <w:r w:rsidRPr="00FB2D70">
        <w:rPr>
          <w:rFonts w:eastAsia="Calibri" w:cs="Times New Roman"/>
          <w:i/>
          <w:iCs/>
          <w:kern w:val="0"/>
          <w:sz w:val="24"/>
          <w14:ligatures w14:val="none"/>
        </w:rPr>
        <w:t>Download Forms</w:t>
      </w:r>
      <w:r w:rsidRPr="00FB2D70">
        <w:rPr>
          <w:rFonts w:eastAsia="Calibri" w:cs="Times New Roman"/>
          <w:kern w:val="0"/>
          <w:sz w:val="24"/>
          <w14:ligatures w14:val="none"/>
        </w:rPr>
        <w:t xml:space="preserve"> section of </w:t>
      </w:r>
      <w:proofErr w:type="spellStart"/>
      <w:r w:rsidRPr="00FB2D70">
        <w:rPr>
          <w:rFonts w:eastAsia="Calibri" w:cs="Times New Roman"/>
          <w:kern w:val="0"/>
          <w:sz w:val="24"/>
          <w14:ligatures w14:val="none"/>
        </w:rPr>
        <w:t>SNPWeb</w:t>
      </w:r>
      <w:proofErr w:type="spellEnd"/>
      <w:r w:rsidRPr="00FB2D70">
        <w:rPr>
          <w:rFonts w:eastAsia="Calibri" w:cs="Times New Roman"/>
          <w:kern w:val="0"/>
          <w:sz w:val="24"/>
          <w14:ligatures w14:val="none"/>
        </w:rPr>
        <w:t xml:space="preserve">. </w:t>
      </w:r>
    </w:p>
    <w:p w14:paraId="7D27664A" w14:textId="77777777" w:rsidR="0098673E" w:rsidRPr="0098673E" w:rsidRDefault="0098673E" w:rsidP="0098673E">
      <w:pPr>
        <w:spacing w:after="200" w:line="276" w:lineRule="auto"/>
        <w:outlineLvl w:val="2"/>
        <w:rPr>
          <w:rFonts w:eastAsia="Calibri" w:cs="Times New Roman"/>
          <w:b/>
          <w:kern w:val="0"/>
          <w:sz w:val="24"/>
          <w:szCs w:val="30"/>
          <w14:ligatures w14:val="none"/>
        </w:rPr>
      </w:pPr>
      <w:r w:rsidRPr="0098673E">
        <w:rPr>
          <w:rFonts w:eastAsia="Calibri" w:cs="Times New Roman"/>
          <w:b/>
          <w:kern w:val="0"/>
          <w:sz w:val="24"/>
          <w:szCs w:val="30"/>
          <w14:ligatures w14:val="none"/>
        </w:rPr>
        <w:t>New Simplified Approach</w:t>
      </w:r>
    </w:p>
    <w:p w14:paraId="6B8C29A7" w14:textId="77777777" w:rsidR="0098673E" w:rsidRPr="0098673E" w:rsidRDefault="0098673E" w:rsidP="0098673E">
      <w:pPr>
        <w:spacing w:after="200" w:line="276" w:lineRule="auto"/>
        <w:rPr>
          <w:rFonts w:eastAsia="Calibri" w:cs="Times New Roman"/>
          <w:kern w:val="0"/>
          <w:sz w:val="24"/>
          <w14:ligatures w14:val="none"/>
        </w:rPr>
      </w:pPr>
      <w:r w:rsidRPr="0098673E">
        <w:rPr>
          <w:rFonts w:eastAsia="Calibri" w:cs="Times New Roman"/>
          <w:kern w:val="0"/>
          <w:sz w:val="24"/>
          <w14:ligatures w14:val="none"/>
        </w:rPr>
        <w:t xml:space="preserve">The new simplified approach consists of the following five steps. </w:t>
      </w:r>
    </w:p>
    <w:p w14:paraId="7B26E6C6" w14:textId="77777777" w:rsidR="0098673E" w:rsidRPr="0098673E" w:rsidRDefault="0098673E" w:rsidP="0098673E">
      <w:pPr>
        <w:numPr>
          <w:ilvl w:val="0"/>
          <w:numId w:val="1"/>
        </w:numPr>
        <w:spacing w:before="120" w:after="120" w:line="276" w:lineRule="auto"/>
        <w:rPr>
          <w:rFonts w:eastAsia="Times New Roman" w:cs="Times New Roman"/>
          <w:kern w:val="0"/>
          <w:sz w:val="24"/>
          <w14:ligatures w14:val="none"/>
        </w:rPr>
      </w:pPr>
      <w:r w:rsidRPr="0098673E">
        <w:rPr>
          <w:rFonts w:eastAsia="Times New Roman" w:cs="Times New Roman"/>
          <w:kern w:val="0"/>
          <w:sz w:val="24"/>
          <w14:ligatures w14:val="none"/>
        </w:rPr>
        <w:t>Determine the reference period.</w:t>
      </w:r>
    </w:p>
    <w:p w14:paraId="1E70248E" w14:textId="77777777" w:rsidR="0098673E" w:rsidRPr="0098673E" w:rsidRDefault="0098673E" w:rsidP="0098673E">
      <w:pPr>
        <w:numPr>
          <w:ilvl w:val="0"/>
          <w:numId w:val="2"/>
        </w:numPr>
        <w:spacing w:after="200" w:line="276" w:lineRule="auto"/>
        <w:rPr>
          <w:rFonts w:eastAsia="Times New Roman" w:cs="Times New Roman"/>
          <w:color w:val="000000"/>
          <w:kern w:val="0"/>
          <w:sz w:val="24"/>
          <w:bdr w:val="none" w:sz="0" w:space="0" w:color="auto" w:frame="1"/>
          <w14:ligatures w14:val="none"/>
        </w:rPr>
      </w:pPr>
      <w:r w:rsidRPr="0098673E">
        <w:rPr>
          <w:rFonts w:eastAsia="Times New Roman" w:cs="Times New Roman"/>
          <w:color w:val="000000"/>
          <w:kern w:val="0"/>
          <w:sz w:val="24"/>
          <w:bdr w:val="none" w:sz="0" w:space="0" w:color="auto" w:frame="1"/>
          <w14:ligatures w14:val="none"/>
        </w:rPr>
        <w:t xml:space="preserve">SFAs must identify costs and revenues specifically for one month of operation. </w:t>
      </w:r>
    </w:p>
    <w:p w14:paraId="4F372158" w14:textId="77777777" w:rsidR="0098673E" w:rsidRPr="0098673E" w:rsidRDefault="0098673E" w:rsidP="0098673E">
      <w:pPr>
        <w:numPr>
          <w:ilvl w:val="0"/>
          <w:numId w:val="2"/>
        </w:numPr>
        <w:spacing w:after="200" w:line="276" w:lineRule="auto"/>
        <w:rPr>
          <w:rFonts w:eastAsia="Times New Roman" w:cs="Times New Roman"/>
          <w:color w:val="000000"/>
          <w:kern w:val="0"/>
          <w:sz w:val="24"/>
          <w:bdr w:val="none" w:sz="0" w:space="0" w:color="auto" w:frame="1"/>
          <w14:ligatures w14:val="none"/>
        </w:rPr>
      </w:pPr>
      <w:r w:rsidRPr="0098673E">
        <w:rPr>
          <w:rFonts w:eastAsia="Times New Roman" w:cs="Times New Roman"/>
          <w:color w:val="000000"/>
          <w:kern w:val="0"/>
          <w:sz w:val="24"/>
          <w:bdr w:val="none" w:sz="0" w:space="0" w:color="auto" w:frame="1"/>
          <w14:ligatures w14:val="none"/>
        </w:rPr>
        <w:t xml:space="preserve">The chosen month must reflect typical food service operations. Data from summer school, holidays, breaks, or special circumstances may distort the program and nonprogram foods data, and therefore, cannot be included. </w:t>
      </w:r>
    </w:p>
    <w:p w14:paraId="11070AEF" w14:textId="77777777" w:rsidR="0098673E" w:rsidRPr="0098673E" w:rsidRDefault="0098673E" w:rsidP="0098673E">
      <w:pPr>
        <w:numPr>
          <w:ilvl w:val="0"/>
          <w:numId w:val="2"/>
        </w:numPr>
        <w:spacing w:after="200" w:line="276" w:lineRule="auto"/>
        <w:rPr>
          <w:rFonts w:eastAsia="Times New Roman" w:cs="Times New Roman"/>
          <w:color w:val="000000"/>
          <w:kern w:val="0"/>
          <w:sz w:val="24"/>
          <w:bdr w:val="none" w:sz="0" w:space="0" w:color="auto" w:frame="1"/>
          <w14:ligatures w14:val="none"/>
        </w:rPr>
      </w:pPr>
      <w:r w:rsidRPr="0098673E">
        <w:rPr>
          <w:rFonts w:eastAsia="Times New Roman" w:cs="Times New Roman"/>
          <w:color w:val="000000"/>
          <w:kern w:val="0"/>
          <w:sz w:val="24"/>
          <w:bdr w:val="none" w:sz="0" w:space="0" w:color="auto" w:frame="1"/>
          <w14:ligatures w14:val="none"/>
        </w:rPr>
        <w:t>The VDOE-SCNP advises SFAs to use October or February.</w:t>
      </w:r>
    </w:p>
    <w:p w14:paraId="563B1DC2" w14:textId="77777777" w:rsidR="0098673E" w:rsidRPr="0098673E" w:rsidRDefault="0098673E" w:rsidP="0098673E">
      <w:pPr>
        <w:numPr>
          <w:ilvl w:val="0"/>
          <w:numId w:val="2"/>
        </w:numPr>
        <w:spacing w:after="200" w:line="276" w:lineRule="auto"/>
        <w:rPr>
          <w:rFonts w:eastAsia="Times New Roman" w:cs="Times New Roman"/>
          <w:color w:val="000000"/>
          <w:kern w:val="0"/>
          <w:sz w:val="24"/>
          <w:bdr w:val="none" w:sz="0" w:space="0" w:color="auto" w:frame="1"/>
          <w14:ligatures w14:val="none"/>
        </w:rPr>
      </w:pPr>
      <w:r w:rsidRPr="0098673E">
        <w:rPr>
          <w:rFonts w:eastAsia="Times New Roman" w:cs="Times New Roman"/>
          <w:color w:val="000000"/>
          <w:kern w:val="0"/>
          <w:sz w:val="24"/>
          <w:bdr w:val="none" w:sz="0" w:space="0" w:color="auto" w:frame="1"/>
          <w14:ligatures w14:val="none"/>
        </w:rPr>
        <w:t xml:space="preserve">If the SFA </w:t>
      </w:r>
      <w:proofErr w:type="gramStart"/>
      <w:r w:rsidRPr="0098673E">
        <w:rPr>
          <w:rFonts w:eastAsia="Times New Roman" w:cs="Times New Roman"/>
          <w:color w:val="000000"/>
          <w:kern w:val="0"/>
          <w:sz w:val="24"/>
          <w:bdr w:val="none" w:sz="0" w:space="0" w:color="auto" w:frame="1"/>
          <w14:ligatures w14:val="none"/>
        </w:rPr>
        <w:t>is able to</w:t>
      </w:r>
      <w:proofErr w:type="gramEnd"/>
      <w:r w:rsidRPr="0098673E">
        <w:rPr>
          <w:rFonts w:eastAsia="Times New Roman" w:cs="Times New Roman"/>
          <w:color w:val="000000"/>
          <w:kern w:val="0"/>
          <w:sz w:val="24"/>
          <w:bdr w:val="none" w:sz="0" w:space="0" w:color="auto" w:frame="1"/>
          <w14:ligatures w14:val="none"/>
        </w:rPr>
        <w:t xml:space="preserve"> show that the percentage of nonprogram revenue generated is at least as great as the percentage of nonprogram food costs incurred during the selected month, the SFA complies with Federal requirements.</w:t>
      </w:r>
    </w:p>
    <w:p w14:paraId="34F17863" w14:textId="77777777" w:rsidR="0098673E" w:rsidRPr="0098673E" w:rsidRDefault="0098673E" w:rsidP="0098673E">
      <w:pPr>
        <w:numPr>
          <w:ilvl w:val="0"/>
          <w:numId w:val="1"/>
        </w:numPr>
        <w:spacing w:before="120" w:after="12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Identify nonprogram foods.</w:t>
      </w:r>
    </w:p>
    <w:p w14:paraId="2EA450CC" w14:textId="77777777" w:rsidR="0098673E" w:rsidRPr="0098673E" w:rsidRDefault="0098673E" w:rsidP="0098673E">
      <w:pPr>
        <w:numPr>
          <w:ilvl w:val="0"/>
          <w:numId w:val="3"/>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SFA must identify all nonprogram foods that will be included in the tool, such as a la carte, adult meals, catering, and vended meals.</w:t>
      </w:r>
    </w:p>
    <w:p w14:paraId="70BC6BFC" w14:textId="77777777" w:rsidR="0098673E" w:rsidRPr="0098673E" w:rsidRDefault="0098673E" w:rsidP="0098673E">
      <w:pPr>
        <w:numPr>
          <w:ilvl w:val="0"/>
          <w:numId w:val="3"/>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Costs and revenues for catering, vended meals, or purchasing for other entities that occurred during the reference month are not required but can be included if this helps the assessment for the SFA. If the SFA chooses to add these costs, the revenues generated from these areas must also be included in the nonprogram revenue section. </w:t>
      </w:r>
    </w:p>
    <w:p w14:paraId="0787A680" w14:textId="77777777" w:rsidR="0098673E" w:rsidRPr="0098673E" w:rsidRDefault="0098673E" w:rsidP="0098673E">
      <w:pPr>
        <w:numPr>
          <w:ilvl w:val="0"/>
          <w:numId w:val="3"/>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SFAs should use their point of sale to run a sales activity or transaction report to identify all nonprogram foods that were sold in the reference month.</w:t>
      </w:r>
    </w:p>
    <w:p w14:paraId="7A0B2B07" w14:textId="77777777" w:rsidR="0098673E" w:rsidRPr="0098673E" w:rsidRDefault="0098673E" w:rsidP="0098673E">
      <w:pPr>
        <w:numPr>
          <w:ilvl w:val="0"/>
          <w:numId w:val="1"/>
        </w:numPr>
        <w:spacing w:before="120" w:after="120" w:line="276" w:lineRule="auto"/>
        <w:rPr>
          <w:rFonts w:eastAsia="Times New Roman" w:cs="Times New Roman"/>
          <w:kern w:val="0"/>
          <w:sz w:val="24"/>
          <w14:ligatures w14:val="none"/>
        </w:rPr>
      </w:pPr>
      <w:r w:rsidRPr="0098673E">
        <w:rPr>
          <w:rFonts w:eastAsia="Times New Roman" w:cs="Times New Roman"/>
          <w:kern w:val="0"/>
          <w:sz w:val="24"/>
          <w14:ligatures w14:val="none"/>
        </w:rPr>
        <w:lastRenderedPageBreak/>
        <w:t>Determine nonprogram food costs.</w:t>
      </w:r>
    </w:p>
    <w:p w14:paraId="197EA408" w14:textId="77777777" w:rsidR="0098673E" w:rsidRPr="0098673E" w:rsidRDefault="0098673E" w:rsidP="0098673E">
      <w:pPr>
        <w:numPr>
          <w:ilvl w:val="0"/>
          <w:numId w:val="6"/>
        </w:numPr>
        <w:spacing w:after="200" w:line="276" w:lineRule="auto"/>
        <w:ind w:left="1440"/>
        <w:rPr>
          <w:rFonts w:eastAsia="Times New Roman" w:cs="Times New Roman"/>
          <w:color w:val="000000"/>
          <w:kern w:val="0"/>
          <w:sz w:val="24"/>
          <w:bdr w:val="none" w:sz="0" w:space="0" w:color="auto" w:frame="1"/>
          <w14:ligatures w14:val="none"/>
        </w:rPr>
      </w:pPr>
      <w:r w:rsidRPr="0098673E">
        <w:rPr>
          <w:rFonts w:eastAsia="Times New Roman" w:cs="Times New Roman"/>
          <w:color w:val="000000"/>
          <w:kern w:val="0"/>
          <w:sz w:val="24"/>
          <w:bdr w:val="none" w:sz="0" w:space="0" w:color="auto" w:frame="1"/>
          <w14:ligatures w14:val="none"/>
        </w:rPr>
        <w:t xml:space="preserve">The SFA must use the new </w:t>
      </w:r>
      <w:r w:rsidRPr="0098673E">
        <w:rPr>
          <w:rFonts w:eastAsia="Times New Roman" w:cs="Times New Roman"/>
          <w:i/>
          <w:iCs/>
          <w:color w:val="000000"/>
          <w:kern w:val="0"/>
          <w:sz w:val="24"/>
          <w:bdr w:val="none" w:sz="0" w:space="0" w:color="auto" w:frame="1"/>
          <w14:ligatures w14:val="none"/>
        </w:rPr>
        <w:t>Nonprogram Food Tracking Tool</w:t>
      </w:r>
      <w:r w:rsidRPr="0098673E">
        <w:rPr>
          <w:rFonts w:eastAsia="Times New Roman" w:cs="Times New Roman"/>
          <w:color w:val="000000"/>
          <w:kern w:val="0"/>
          <w:sz w:val="24"/>
          <w:bdr w:val="none" w:sz="0" w:space="0" w:color="auto" w:frame="1"/>
          <w14:ligatures w14:val="none"/>
        </w:rPr>
        <w:t xml:space="preserve"> template found in </w:t>
      </w:r>
      <w:proofErr w:type="spellStart"/>
      <w:r w:rsidRPr="0098673E">
        <w:rPr>
          <w:rFonts w:eastAsia="Times New Roman" w:cs="Times New Roman"/>
          <w:color w:val="000000"/>
          <w:kern w:val="0"/>
          <w:sz w:val="24"/>
          <w:bdr w:val="none" w:sz="0" w:space="0" w:color="auto" w:frame="1"/>
          <w14:ligatures w14:val="none"/>
        </w:rPr>
        <w:t>SNPWeb</w:t>
      </w:r>
      <w:proofErr w:type="spellEnd"/>
      <w:r w:rsidRPr="0098673E">
        <w:rPr>
          <w:rFonts w:eastAsia="Times New Roman" w:cs="Times New Roman"/>
          <w:color w:val="000000"/>
          <w:kern w:val="0"/>
          <w:sz w:val="24"/>
          <w:bdr w:val="none" w:sz="0" w:space="0" w:color="auto" w:frame="1"/>
          <w14:ligatures w14:val="none"/>
        </w:rPr>
        <w:t xml:space="preserve"> </w:t>
      </w:r>
      <w:r w:rsidRPr="0098673E">
        <w:rPr>
          <w:rFonts w:eastAsia="Times New Roman" w:cs="Times New Roman"/>
          <w:i/>
          <w:iCs/>
          <w:color w:val="000000"/>
          <w:kern w:val="0"/>
          <w:sz w:val="24"/>
          <w:bdr w:val="none" w:sz="0" w:space="0" w:color="auto" w:frame="1"/>
          <w14:ligatures w14:val="none"/>
        </w:rPr>
        <w:t>Download Forms</w:t>
      </w:r>
      <w:r w:rsidRPr="0098673E">
        <w:rPr>
          <w:rFonts w:eastAsia="Times New Roman" w:cs="Times New Roman"/>
          <w:color w:val="000000"/>
          <w:kern w:val="0"/>
          <w:sz w:val="24"/>
          <w:bdr w:val="none" w:sz="0" w:space="0" w:color="auto" w:frame="1"/>
          <w14:ligatures w14:val="none"/>
        </w:rPr>
        <w:t xml:space="preserve">. VDOE-SCNP created the template to help SFAs determine total nonprogram food costs and revenues as well as a recommended selling price. The tool will help SFAs ensure they are charging at least the cost of their a la carte items. </w:t>
      </w:r>
    </w:p>
    <w:p w14:paraId="2A677D61" w14:textId="77777777" w:rsidR="0098673E" w:rsidRPr="0098673E" w:rsidRDefault="0098673E" w:rsidP="0098673E">
      <w:pPr>
        <w:numPr>
          <w:ilvl w:val="1"/>
          <w:numId w:val="1"/>
        </w:numPr>
        <w:spacing w:after="200" w:line="276" w:lineRule="auto"/>
        <w:ind w:left="1440"/>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 xml:space="preserve">Tool Tip - If the tool is started when the SFA prepares for the new school year, it will save time when completing the nonprogram food revenue tool at the end of the year. </w:t>
      </w:r>
    </w:p>
    <w:p w14:paraId="5F41CE19" w14:textId="77777777" w:rsidR="0098673E" w:rsidRPr="0098673E" w:rsidRDefault="0098673E" w:rsidP="0098673E">
      <w:pPr>
        <w:numPr>
          <w:ilvl w:val="1"/>
          <w:numId w:val="1"/>
        </w:numPr>
        <w:spacing w:after="200" w:line="276" w:lineRule="auto"/>
        <w:ind w:left="1440"/>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SFA will enter their name, the reference period month being used such as October or February, the name of the person completing the tool, and the date the template was completed in the green shaded cells.</w:t>
      </w:r>
    </w:p>
    <w:p w14:paraId="7A8C8971" w14:textId="77777777" w:rsidR="0098673E" w:rsidRPr="0098673E" w:rsidRDefault="0098673E" w:rsidP="0098673E">
      <w:pPr>
        <w:numPr>
          <w:ilvl w:val="1"/>
          <w:numId w:val="1"/>
        </w:numPr>
        <w:spacing w:after="200" w:line="276" w:lineRule="auto"/>
        <w:ind w:left="1440"/>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peach-colored cells within the tool are to be completed by the SFA.</w:t>
      </w:r>
    </w:p>
    <w:p w14:paraId="7C81B79F" w14:textId="77777777" w:rsidR="0098673E" w:rsidRPr="0098673E" w:rsidRDefault="0098673E" w:rsidP="0098673E">
      <w:pPr>
        <w:numPr>
          <w:ilvl w:val="1"/>
          <w:numId w:val="1"/>
        </w:numPr>
        <w:spacing w:after="200" w:line="276" w:lineRule="auto"/>
        <w:ind w:left="1440"/>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SFA will enter each nonprogram food item, its raw food cost, actual selling price, and actual number of units sold for the reference month.</w:t>
      </w:r>
    </w:p>
    <w:p w14:paraId="176E4D78" w14:textId="77777777" w:rsidR="0098673E" w:rsidRPr="0098673E" w:rsidRDefault="0098673E" w:rsidP="0098673E">
      <w:pPr>
        <w:numPr>
          <w:ilvl w:val="1"/>
          <w:numId w:val="1"/>
        </w:numPr>
        <w:spacing w:after="200" w:line="276" w:lineRule="auto"/>
        <w:ind w:left="1440"/>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Once the tracking tool is complete, the total cost of nonprogram foods (column H) and total nonprogram food revenue (column I) should be entered into the Nonprogram Revenue Tool.</w:t>
      </w:r>
    </w:p>
    <w:p w14:paraId="7D9EAE0F" w14:textId="77777777" w:rsidR="0098673E" w:rsidRPr="0098673E" w:rsidRDefault="0098673E" w:rsidP="0098673E">
      <w:pPr>
        <w:numPr>
          <w:ilvl w:val="0"/>
          <w:numId w:val="1"/>
        </w:numPr>
        <w:spacing w:before="120" w:after="200" w:line="276" w:lineRule="auto"/>
        <w:rPr>
          <w:rFonts w:eastAsia="Times New Roman" w:cs="Times New Roman"/>
          <w:kern w:val="0"/>
          <w:sz w:val="24"/>
          <w14:ligatures w14:val="none"/>
        </w:rPr>
      </w:pPr>
      <w:r w:rsidRPr="0098673E">
        <w:rPr>
          <w:rFonts w:eastAsia="Times New Roman" w:cs="Times New Roman"/>
          <w:kern w:val="0"/>
          <w:sz w:val="24"/>
          <w14:ligatures w14:val="none"/>
        </w:rPr>
        <w:t>Determine reimbursable meal food costs and total revenue.</w:t>
      </w:r>
    </w:p>
    <w:p w14:paraId="4B8881DD" w14:textId="77777777" w:rsidR="0098673E" w:rsidRPr="0098673E" w:rsidRDefault="0098673E" w:rsidP="0098673E">
      <w:pPr>
        <w:numPr>
          <w:ilvl w:val="0"/>
          <w:numId w:val="4"/>
        </w:numPr>
        <w:spacing w:before="120" w:after="200" w:line="276" w:lineRule="auto"/>
        <w:rPr>
          <w:rFonts w:eastAsia="Times New Roman" w:cs="Times New Roman"/>
          <w:kern w:val="0"/>
          <w:sz w:val="24"/>
          <w14:ligatures w14:val="none"/>
        </w:rPr>
      </w:pPr>
      <w:r w:rsidRPr="0098673E">
        <w:rPr>
          <w:rFonts w:eastAsia="Times New Roman" w:cs="Times New Roman"/>
          <w:kern w:val="0"/>
          <w:sz w:val="24"/>
          <w14:ligatures w14:val="none"/>
        </w:rPr>
        <w:t>The SFA must determine the cost of reimbursable meal food and total revenue.</w:t>
      </w:r>
    </w:p>
    <w:p w14:paraId="4EEAE469" w14:textId="77777777" w:rsidR="0098673E" w:rsidRPr="0098673E" w:rsidRDefault="0098673E" w:rsidP="0098673E">
      <w:pPr>
        <w:numPr>
          <w:ilvl w:val="0"/>
          <w:numId w:val="4"/>
        </w:numPr>
        <w:spacing w:after="200" w:line="276" w:lineRule="auto"/>
        <w:rPr>
          <w:rFonts w:eastAsia="Times New Roman" w:cs="Times New Roman"/>
          <w:kern w:val="0"/>
          <w:sz w:val="24"/>
          <w14:ligatures w14:val="none"/>
        </w:rPr>
      </w:pPr>
      <w:r w:rsidRPr="0098673E">
        <w:rPr>
          <w:rFonts w:eastAsia="Times New Roman" w:cs="Times New Roman"/>
          <w:kern w:val="0"/>
          <w:sz w:val="24"/>
          <w14:ligatures w14:val="none"/>
        </w:rPr>
        <w:t xml:space="preserve">The SFA can use the completed </w:t>
      </w:r>
      <w:proofErr w:type="spellStart"/>
      <w:r w:rsidRPr="0098673E">
        <w:rPr>
          <w:rFonts w:eastAsia="Times New Roman" w:cs="Times New Roman"/>
          <w:kern w:val="0"/>
          <w:sz w:val="24"/>
          <w14:ligatures w14:val="none"/>
        </w:rPr>
        <w:t>SNPWeb</w:t>
      </w:r>
      <w:proofErr w:type="spellEnd"/>
      <w:r w:rsidRPr="0098673E">
        <w:rPr>
          <w:rFonts w:eastAsia="Times New Roman" w:cs="Times New Roman"/>
          <w:kern w:val="0"/>
          <w:sz w:val="24"/>
          <w14:ligatures w14:val="none"/>
        </w:rPr>
        <w:t xml:space="preserve"> monthly financial report for the reference month or the SFAs revenue and expense reports from the NSFSA to determine these figures.</w:t>
      </w:r>
    </w:p>
    <w:p w14:paraId="244963EB" w14:textId="77777777" w:rsidR="0098673E" w:rsidRPr="0098673E" w:rsidRDefault="0098673E" w:rsidP="0098673E">
      <w:pPr>
        <w:numPr>
          <w:ilvl w:val="0"/>
          <w:numId w:val="4"/>
        </w:numPr>
        <w:spacing w:after="200" w:line="276" w:lineRule="auto"/>
        <w:rPr>
          <w:rFonts w:eastAsia="Times New Roman" w:cs="Times New Roman"/>
          <w:kern w:val="0"/>
          <w:sz w:val="24"/>
          <w14:ligatures w14:val="none"/>
        </w:rPr>
      </w:pPr>
      <w:r w:rsidRPr="0098673E">
        <w:rPr>
          <w:rFonts w:eastAsia="Times New Roman" w:cs="Times New Roman"/>
          <w:kern w:val="0"/>
          <w:sz w:val="24"/>
          <w14:ligatures w14:val="none"/>
        </w:rPr>
        <w:t xml:space="preserve">Total food cost is a protected cell in the Nonprogram Revenue Tool. If using the </w:t>
      </w:r>
      <w:proofErr w:type="spellStart"/>
      <w:r w:rsidRPr="0098673E">
        <w:rPr>
          <w:rFonts w:eastAsia="Times New Roman" w:cs="Times New Roman"/>
          <w:kern w:val="0"/>
          <w:sz w:val="24"/>
          <w14:ligatures w14:val="none"/>
        </w:rPr>
        <w:t>SNPWeb</w:t>
      </w:r>
      <w:proofErr w:type="spellEnd"/>
      <w:r w:rsidRPr="0098673E">
        <w:rPr>
          <w:rFonts w:eastAsia="Times New Roman" w:cs="Times New Roman"/>
          <w:kern w:val="0"/>
          <w:sz w:val="24"/>
          <w14:ligatures w14:val="none"/>
        </w:rPr>
        <w:t xml:space="preserve"> monthly financial report, the SFA will take the amount in line 21 </w:t>
      </w:r>
      <w:r w:rsidRPr="0098673E">
        <w:rPr>
          <w:rFonts w:eastAsia="Times New Roman" w:cs="Times New Roman"/>
          <w:i/>
          <w:iCs/>
          <w:kern w:val="0"/>
          <w:sz w:val="24"/>
          <w14:ligatures w14:val="none"/>
        </w:rPr>
        <w:t>Food Products</w:t>
      </w:r>
      <w:r w:rsidRPr="0098673E">
        <w:rPr>
          <w:rFonts w:eastAsia="Times New Roman" w:cs="Times New Roman"/>
          <w:kern w:val="0"/>
          <w:sz w:val="24"/>
          <w14:ligatures w14:val="none"/>
        </w:rPr>
        <w:t xml:space="preserve"> and deduct the cost of nonprogram food </w:t>
      </w:r>
      <w:proofErr w:type="gramStart"/>
      <w:r w:rsidRPr="0098673E">
        <w:rPr>
          <w:rFonts w:eastAsia="Times New Roman" w:cs="Times New Roman"/>
          <w:kern w:val="0"/>
          <w:sz w:val="24"/>
          <w14:ligatures w14:val="none"/>
        </w:rPr>
        <w:t>entered into</w:t>
      </w:r>
      <w:proofErr w:type="gramEnd"/>
      <w:r w:rsidRPr="0098673E">
        <w:rPr>
          <w:rFonts w:eastAsia="Times New Roman" w:cs="Times New Roman"/>
          <w:kern w:val="0"/>
          <w:sz w:val="24"/>
          <w14:ligatures w14:val="none"/>
        </w:rPr>
        <w:t xml:space="preserve"> the nonprogram revenue tool to determine the cost for reimbursable meal food. If using an expense report from the NSFSA, the cost of nonprogram foods must also be deducted from the total food costs unless the SFA separates program and nonprogram food costs.</w:t>
      </w:r>
    </w:p>
    <w:p w14:paraId="2E8AE4B2" w14:textId="77777777" w:rsidR="0098673E" w:rsidRPr="0098673E" w:rsidRDefault="0098673E" w:rsidP="0098673E">
      <w:pPr>
        <w:numPr>
          <w:ilvl w:val="0"/>
          <w:numId w:val="4"/>
        </w:numPr>
        <w:spacing w:after="200" w:line="276" w:lineRule="auto"/>
        <w:rPr>
          <w:rFonts w:eastAsia="Times New Roman" w:cs="Times New Roman"/>
          <w:kern w:val="0"/>
          <w:sz w:val="24"/>
          <w14:ligatures w14:val="none"/>
        </w:rPr>
      </w:pPr>
      <w:r w:rsidRPr="0098673E">
        <w:rPr>
          <w:rFonts w:eastAsia="Times New Roman" w:cs="Times New Roman"/>
          <w:i/>
          <w:iCs/>
          <w:kern w:val="0"/>
          <w:sz w:val="24"/>
          <w14:ligatures w14:val="none"/>
        </w:rPr>
        <w:t>Total Revenue</w:t>
      </w:r>
      <w:r w:rsidRPr="0098673E">
        <w:rPr>
          <w:rFonts w:eastAsia="Times New Roman" w:cs="Times New Roman"/>
          <w:kern w:val="0"/>
          <w:sz w:val="24"/>
          <w14:ligatures w14:val="none"/>
        </w:rPr>
        <w:t xml:space="preserve"> includes all money in the NSFSA. This is found in the </w:t>
      </w:r>
      <w:proofErr w:type="spellStart"/>
      <w:r w:rsidRPr="0098673E">
        <w:rPr>
          <w:rFonts w:eastAsia="Times New Roman" w:cs="Times New Roman"/>
          <w:kern w:val="0"/>
          <w:sz w:val="24"/>
          <w14:ligatures w14:val="none"/>
        </w:rPr>
        <w:t>SNPWeb</w:t>
      </w:r>
      <w:proofErr w:type="spellEnd"/>
      <w:r w:rsidRPr="0098673E">
        <w:rPr>
          <w:rFonts w:eastAsia="Times New Roman" w:cs="Times New Roman"/>
          <w:kern w:val="0"/>
          <w:sz w:val="24"/>
          <w14:ligatures w14:val="none"/>
        </w:rPr>
        <w:t xml:space="preserve"> monthly financial report under line 14. </w:t>
      </w:r>
    </w:p>
    <w:p w14:paraId="21744E97" w14:textId="77777777" w:rsidR="0098673E" w:rsidRPr="0098673E" w:rsidRDefault="0098673E" w:rsidP="0098673E">
      <w:pPr>
        <w:numPr>
          <w:ilvl w:val="0"/>
          <w:numId w:val="4"/>
        </w:numPr>
        <w:spacing w:after="200" w:line="276" w:lineRule="auto"/>
        <w:rPr>
          <w:rFonts w:eastAsia="Times New Roman" w:cs="Times New Roman"/>
          <w:kern w:val="0"/>
          <w:sz w:val="24"/>
          <w14:ligatures w14:val="none"/>
        </w:rPr>
      </w:pPr>
      <w:r w:rsidRPr="0098673E">
        <w:rPr>
          <w:rFonts w:eastAsia="Times New Roman" w:cs="Times New Roman"/>
          <w:kern w:val="0"/>
          <w:sz w:val="24"/>
          <w14:ligatures w14:val="none"/>
        </w:rPr>
        <w:t>Once all data is entered, the tool is complete.</w:t>
      </w:r>
    </w:p>
    <w:p w14:paraId="05F7CD1A" w14:textId="77777777" w:rsidR="0098673E" w:rsidRPr="0098673E" w:rsidRDefault="0098673E" w:rsidP="0098673E">
      <w:pPr>
        <w:numPr>
          <w:ilvl w:val="0"/>
          <w:numId w:val="1"/>
        </w:numPr>
        <w:spacing w:before="120" w:after="200" w:line="276" w:lineRule="auto"/>
        <w:rPr>
          <w:rFonts w:eastAsia="Times New Roman" w:cs="Times New Roman"/>
          <w:kern w:val="0"/>
          <w:sz w:val="24"/>
          <w14:ligatures w14:val="none"/>
        </w:rPr>
      </w:pPr>
      <w:r w:rsidRPr="0098673E">
        <w:rPr>
          <w:rFonts w:eastAsia="Times New Roman" w:cs="Times New Roman"/>
          <w:kern w:val="0"/>
          <w:sz w:val="24"/>
          <w14:ligatures w14:val="none"/>
        </w:rPr>
        <w:lastRenderedPageBreak/>
        <w:t>Interpret the results.</w:t>
      </w:r>
    </w:p>
    <w:p w14:paraId="0E84148C" w14:textId="77777777" w:rsidR="0098673E" w:rsidRPr="0098673E" w:rsidRDefault="0098673E" w:rsidP="0098673E">
      <w:pPr>
        <w:numPr>
          <w:ilvl w:val="0"/>
          <w:numId w:val="5"/>
        </w:numPr>
        <w:spacing w:before="120"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 xml:space="preserve">Once completed, the tool will calculate the minimum amount of revenue from nonprogram foods required to meet the nonprogram food revenue requirement. </w:t>
      </w:r>
    </w:p>
    <w:p w14:paraId="7C14F7E0" w14:textId="77777777" w:rsidR="0098673E" w:rsidRPr="0098673E" w:rsidRDefault="0098673E" w:rsidP="0098673E">
      <w:pPr>
        <w:numPr>
          <w:ilvl w:val="0"/>
          <w:numId w:val="5"/>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SFA must ensure that the nonprogram food revenue that is available supports the production of reimbursable meals and is not subsidized by revenues from program foods.</w:t>
      </w:r>
    </w:p>
    <w:p w14:paraId="4B765558" w14:textId="77777777" w:rsidR="0098673E" w:rsidRPr="0098673E" w:rsidRDefault="0098673E" w:rsidP="0098673E">
      <w:pPr>
        <w:numPr>
          <w:ilvl w:val="0"/>
          <w:numId w:val="5"/>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 xml:space="preserve">The </w:t>
      </w:r>
      <w:r w:rsidRPr="0098673E">
        <w:rPr>
          <w:rFonts w:eastAsia="Times New Roman" w:cs="Times New Roman"/>
          <w:i/>
          <w:iCs/>
          <w:color w:val="000000"/>
          <w:kern w:val="0"/>
          <w:sz w:val="24"/>
          <w:bdr w:val="none" w:sz="0" w:space="0" w:color="auto" w:frame="1"/>
          <w14:ligatures w14:val="none"/>
        </w:rPr>
        <w:t>Minimum Revenue Required from the Sale of Nonprogram Foods</w:t>
      </w:r>
      <w:r w:rsidRPr="0098673E">
        <w:rPr>
          <w:rFonts w:eastAsia="Times New Roman" w:cs="Times New Roman"/>
          <w:color w:val="000000"/>
          <w:kern w:val="0"/>
          <w:sz w:val="24"/>
          <w:bdr w:val="none" w:sz="0" w:space="0" w:color="auto" w:frame="1"/>
          <w14:ligatures w14:val="none"/>
        </w:rPr>
        <w:t xml:space="preserve"> is the minimum amount of nonprogram food revenue needed for compliance.</w:t>
      </w:r>
    </w:p>
    <w:p w14:paraId="15B4EC4F" w14:textId="77777777" w:rsidR="0098673E" w:rsidRPr="0098673E" w:rsidRDefault="0098673E" w:rsidP="0098673E">
      <w:pPr>
        <w:numPr>
          <w:ilvl w:val="0"/>
          <w:numId w:val="5"/>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 xml:space="preserve">If the minimum revenue required from the sale of nonprogram foods is equal to or less than the total nonprogram food revenue, the SFA </w:t>
      </w:r>
      <w:proofErr w:type="gramStart"/>
      <w:r w:rsidRPr="0098673E">
        <w:rPr>
          <w:rFonts w:eastAsia="Times New Roman" w:cs="Times New Roman"/>
          <w:color w:val="000000"/>
          <w:kern w:val="0"/>
          <w:sz w:val="24"/>
          <w:bdr w:val="none" w:sz="0" w:space="0" w:color="auto" w:frame="1"/>
          <w14:ligatures w14:val="none"/>
        </w:rPr>
        <w:t>is in compliance</w:t>
      </w:r>
      <w:proofErr w:type="gramEnd"/>
      <w:r w:rsidRPr="0098673E">
        <w:rPr>
          <w:rFonts w:eastAsia="Times New Roman" w:cs="Times New Roman"/>
          <w:color w:val="000000"/>
          <w:kern w:val="0"/>
          <w:sz w:val="24"/>
          <w:bdr w:val="none" w:sz="0" w:space="0" w:color="auto" w:frame="1"/>
          <w14:ligatures w14:val="none"/>
        </w:rPr>
        <w:t>.</w:t>
      </w:r>
    </w:p>
    <w:p w14:paraId="58DA5649" w14:textId="77777777" w:rsidR="0098673E" w:rsidRPr="0098673E" w:rsidRDefault="0098673E" w:rsidP="0098673E">
      <w:pPr>
        <w:numPr>
          <w:ilvl w:val="0"/>
          <w:numId w:val="5"/>
        </w:numPr>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 xml:space="preserve">If the </w:t>
      </w:r>
      <w:r w:rsidRPr="0098673E">
        <w:rPr>
          <w:rFonts w:eastAsia="Times New Roman" w:cs="Times New Roman"/>
          <w:i/>
          <w:iCs/>
          <w:color w:val="000000"/>
          <w:kern w:val="0"/>
          <w:sz w:val="24"/>
          <w:bdr w:val="none" w:sz="0" w:space="0" w:color="auto" w:frame="1"/>
          <w14:ligatures w14:val="none"/>
        </w:rPr>
        <w:t>Minimum Revenue Required from the Sale of Nonprogram Foods</w:t>
      </w:r>
      <w:r w:rsidRPr="0098673E">
        <w:rPr>
          <w:rFonts w:eastAsia="Times New Roman" w:cs="Times New Roman"/>
          <w:color w:val="000000"/>
          <w:kern w:val="0"/>
          <w:sz w:val="24"/>
          <w:bdr w:val="none" w:sz="0" w:space="0" w:color="auto" w:frame="1"/>
          <w14:ligatures w14:val="none"/>
        </w:rPr>
        <w:t xml:space="preserve"> is greater than the total nonprogram food revenue, the SFA is not in compliance.</w:t>
      </w:r>
    </w:p>
    <w:p w14:paraId="4B2D0237" w14:textId="77777777" w:rsidR="0098673E" w:rsidRPr="0098673E" w:rsidRDefault="0098673E" w:rsidP="0098673E">
      <w:pPr>
        <w:numPr>
          <w:ilvl w:val="0"/>
          <w:numId w:val="5"/>
        </w:numPr>
        <w:shd w:val="clear" w:color="auto" w:fill="FFFFFF"/>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The tool will calculate any additional revenue needed to comply. </w:t>
      </w:r>
    </w:p>
    <w:p w14:paraId="18BACDB3" w14:textId="77777777" w:rsidR="0098673E" w:rsidRPr="0098673E" w:rsidRDefault="0098673E" w:rsidP="0098673E">
      <w:pPr>
        <w:numPr>
          <w:ilvl w:val="0"/>
          <w:numId w:val="5"/>
        </w:numPr>
        <w:shd w:val="clear" w:color="auto" w:fill="FFFFFF"/>
        <w:spacing w:after="20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If not in compliance, the SFA will need to either add non-federal funds to the NSFSA or revise its nonprogram food pricing structure to increase the total nonprogram food revenue.</w:t>
      </w:r>
    </w:p>
    <w:p w14:paraId="51721E13" w14:textId="77777777" w:rsidR="0098673E" w:rsidRPr="0098673E" w:rsidRDefault="0098673E" w:rsidP="00DA1CE7">
      <w:pPr>
        <w:numPr>
          <w:ilvl w:val="0"/>
          <w:numId w:val="5"/>
        </w:numPr>
        <w:shd w:val="clear" w:color="auto" w:fill="FFFFFF"/>
        <w:spacing w:after="240" w:line="276" w:lineRule="auto"/>
        <w:rPr>
          <w:rFonts w:eastAsia="Times New Roman" w:cs="Times New Roman"/>
          <w:kern w:val="0"/>
          <w:sz w:val="24"/>
          <w14:ligatures w14:val="none"/>
        </w:rPr>
      </w:pPr>
      <w:r w:rsidRPr="0098673E">
        <w:rPr>
          <w:rFonts w:eastAsia="Times New Roman" w:cs="Times New Roman"/>
          <w:color w:val="000000"/>
          <w:kern w:val="0"/>
          <w:sz w:val="24"/>
          <w:bdr w:val="none" w:sz="0" w:space="0" w:color="auto" w:frame="1"/>
          <w14:ligatures w14:val="none"/>
        </w:rPr>
        <w:t>Documentation showing corrective action to meet requirements must be kept on hand.</w:t>
      </w:r>
    </w:p>
    <w:p w14:paraId="21F894C6" w14:textId="77777777" w:rsidR="0098673E" w:rsidRPr="0098673E" w:rsidRDefault="0098673E" w:rsidP="0098673E">
      <w:pPr>
        <w:ind w:left="1800"/>
        <w:rPr>
          <w:rFonts w:eastAsia="Times New Roman" w:cs="Times New Roman"/>
          <w:kern w:val="0"/>
          <w:sz w:val="24"/>
          <w14:ligatures w14:val="none"/>
        </w:rPr>
      </w:pPr>
    </w:p>
    <w:p w14:paraId="5870298C" w14:textId="77777777" w:rsidR="0098673E" w:rsidRPr="0098673E" w:rsidRDefault="0098673E" w:rsidP="00DA1CE7">
      <w:pPr>
        <w:spacing w:line="276" w:lineRule="auto"/>
        <w:rPr>
          <w:rFonts w:eastAsia="Calibri" w:cs="Times New Roman"/>
          <w:kern w:val="0"/>
          <w:sz w:val="24"/>
          <w14:ligatures w14:val="none"/>
        </w:rPr>
      </w:pPr>
      <w:r w:rsidRPr="0098673E">
        <w:rPr>
          <w:rFonts w:eastAsia="Calibri" w:cs="Times New Roman"/>
          <w:bCs/>
          <w:kern w:val="0"/>
          <w:sz w:val="24"/>
          <w14:ligatures w14:val="none"/>
        </w:rPr>
        <w:t xml:space="preserve">The tool, tracking template, any related SFA reports to complete the tool, and documentation of compliance must be kept on hand for three years plus the current year. The tool does not have to be submitted to VDOE-SCNP but may be reviewed during a Federal Program Administrative Review. </w:t>
      </w:r>
    </w:p>
    <w:p w14:paraId="61F6D3D9" w14:textId="77777777" w:rsidR="0098673E" w:rsidRPr="0098673E" w:rsidRDefault="0098673E" w:rsidP="00DA1CE7">
      <w:pPr>
        <w:spacing w:before="240" w:after="240" w:line="276" w:lineRule="auto"/>
        <w:outlineLvl w:val="2"/>
        <w:rPr>
          <w:rFonts w:eastAsia="Calibri" w:cs="Times New Roman"/>
          <w:b/>
          <w:kern w:val="0"/>
          <w:sz w:val="24"/>
          <w:szCs w:val="24"/>
          <w14:ligatures w14:val="none"/>
        </w:rPr>
      </w:pPr>
      <w:r w:rsidRPr="0098673E">
        <w:rPr>
          <w:rFonts w:eastAsia="Calibri" w:cs="Times New Roman"/>
          <w:b/>
          <w:kern w:val="0"/>
          <w:sz w:val="24"/>
          <w:szCs w:val="24"/>
          <w14:ligatures w14:val="none"/>
        </w:rPr>
        <w:t>Training Webinar</w:t>
      </w:r>
    </w:p>
    <w:p w14:paraId="552A0C90" w14:textId="77777777" w:rsidR="0098673E" w:rsidRPr="0098673E" w:rsidRDefault="0098673E" w:rsidP="0098673E">
      <w:pPr>
        <w:spacing w:before="240" w:after="240" w:line="276" w:lineRule="auto"/>
        <w:rPr>
          <w:rFonts w:eastAsia="Calibri" w:cs="Times New Roman"/>
          <w:b/>
          <w:bCs/>
          <w:color w:val="222222"/>
          <w:kern w:val="0"/>
          <w:sz w:val="24"/>
          <w:shd w:val="clear" w:color="auto" w:fill="FFFFFF"/>
          <w14:ligatures w14:val="none"/>
        </w:rPr>
      </w:pPr>
      <w:bookmarkStart w:id="0" w:name="_Hlk135378350"/>
      <w:r w:rsidRPr="0098673E">
        <w:rPr>
          <w:rFonts w:eastAsia="Calibri" w:cs="Times New Roman"/>
          <w:color w:val="222222"/>
          <w:kern w:val="0"/>
          <w:sz w:val="24"/>
          <w:shd w:val="clear" w:color="auto" w:fill="FFFFFF"/>
          <w:lang w:val="en"/>
          <w14:ligatures w14:val="none"/>
        </w:rPr>
        <w:t xml:space="preserve">To assist SFAs in completing the Nonprogram Revenue Tool, </w:t>
      </w:r>
      <w:r w:rsidRPr="0098673E">
        <w:rPr>
          <w:rFonts w:eastAsia="Calibri" w:cs="Times New Roman"/>
          <w:color w:val="222222"/>
          <w:kern w:val="0"/>
          <w:sz w:val="24"/>
          <w:shd w:val="clear" w:color="auto" w:fill="FFFFFF"/>
          <w14:ligatures w14:val="none"/>
        </w:rPr>
        <w:t xml:space="preserve">VDOE-SCNP has created a pre-recorded training webinar located in the VDOE-SCNP Training Hub in Virtual Virginia. The webinar walks through the new food tracking tool template and the five steps to complete the tool using the new simplified approach. </w:t>
      </w:r>
      <w:r w:rsidRPr="0098673E">
        <w:rPr>
          <w:rFonts w:eastAsia="Calibri" w:cs="Times New Roman"/>
          <w:bCs/>
          <w:color w:val="222222"/>
          <w:kern w:val="0"/>
          <w:sz w:val="24"/>
          <w:shd w:val="clear" w:color="auto" w:fill="FFFFFF"/>
          <w14:ligatures w14:val="none"/>
        </w:rPr>
        <w:t xml:space="preserve">SFAs should watch the training prior to filling out the Nonprogram Revenue Tool. </w:t>
      </w:r>
    </w:p>
    <w:bookmarkEnd w:id="0"/>
    <w:p w14:paraId="4E180DB8" w14:textId="77777777" w:rsidR="009E2D0C" w:rsidRDefault="009E2D0C"/>
    <w:sectPr w:rsidR="009E2D0C" w:rsidSect="00986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E7EF6"/>
    <w:multiLevelType w:val="hybridMultilevel"/>
    <w:tmpl w:val="CAFA8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9B343F"/>
    <w:multiLevelType w:val="hybridMultilevel"/>
    <w:tmpl w:val="24A42C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0A620F"/>
    <w:multiLevelType w:val="hybridMultilevel"/>
    <w:tmpl w:val="46082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D50107"/>
    <w:multiLevelType w:val="hybridMultilevel"/>
    <w:tmpl w:val="4F968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FC09B9"/>
    <w:multiLevelType w:val="hybridMultilevel"/>
    <w:tmpl w:val="69508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96191F"/>
    <w:multiLevelType w:val="hybridMultilevel"/>
    <w:tmpl w:val="E5D827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29863810">
    <w:abstractNumId w:val="1"/>
  </w:num>
  <w:num w:numId="2" w16cid:durableId="918488201">
    <w:abstractNumId w:val="2"/>
  </w:num>
  <w:num w:numId="3" w16cid:durableId="1373193294">
    <w:abstractNumId w:val="0"/>
  </w:num>
  <w:num w:numId="4" w16cid:durableId="1980837606">
    <w:abstractNumId w:val="4"/>
  </w:num>
  <w:num w:numId="5" w16cid:durableId="1040977962">
    <w:abstractNumId w:val="3"/>
  </w:num>
  <w:num w:numId="6" w16cid:durableId="1875577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3E"/>
    <w:rsid w:val="001C3547"/>
    <w:rsid w:val="003B3D02"/>
    <w:rsid w:val="006461E7"/>
    <w:rsid w:val="00781A93"/>
    <w:rsid w:val="007A7454"/>
    <w:rsid w:val="0098673E"/>
    <w:rsid w:val="009E2D0C"/>
    <w:rsid w:val="00DA1CE7"/>
    <w:rsid w:val="00E37A96"/>
    <w:rsid w:val="00FB2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B0D02"/>
  <w15:chartTrackingRefBased/>
  <w15:docId w15:val="{0A927F2C-1E5E-4345-82F9-ABA1586F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4"/>
    <w:qFormat/>
    <w:rsid w:val="007A7454"/>
    <w:rPr>
      <w:rFonts w:ascii="Times New Roman" w:hAnsi="Times New Roman"/>
    </w:rPr>
  </w:style>
  <w:style w:type="paragraph" w:styleId="Heading1">
    <w:name w:val="heading 1"/>
    <w:basedOn w:val="Normal"/>
    <w:next w:val="Normal"/>
    <w:link w:val="Heading1Char"/>
    <w:uiPriority w:val="9"/>
    <w:qFormat/>
    <w:rsid w:val="009867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7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73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454"/>
    <w:pPr>
      <w:keepNext/>
      <w:keepLines/>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67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67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7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7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7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A7454"/>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9867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7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73E"/>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9867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73E"/>
    <w:rPr>
      <w:rFonts w:eastAsiaTheme="majorEastAsia" w:cstheme="majorBidi"/>
      <w:color w:val="272727" w:themeColor="text1" w:themeTint="D8"/>
    </w:rPr>
  </w:style>
  <w:style w:type="paragraph" w:styleId="Title">
    <w:name w:val="Title"/>
    <w:basedOn w:val="Normal"/>
    <w:next w:val="Normal"/>
    <w:link w:val="TitleChar"/>
    <w:uiPriority w:val="10"/>
    <w:qFormat/>
    <w:rsid w:val="009867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7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7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673E"/>
    <w:rPr>
      <w:rFonts w:ascii="Times New Roman" w:hAnsi="Times New Roman"/>
      <w:i/>
      <w:iCs/>
      <w:color w:val="404040" w:themeColor="text1" w:themeTint="BF"/>
    </w:rPr>
  </w:style>
  <w:style w:type="paragraph" w:styleId="ListParagraph">
    <w:name w:val="List Paragraph"/>
    <w:basedOn w:val="Normal"/>
    <w:uiPriority w:val="34"/>
    <w:qFormat/>
    <w:rsid w:val="0098673E"/>
    <w:pPr>
      <w:ind w:left="720"/>
      <w:contextualSpacing/>
    </w:pPr>
  </w:style>
  <w:style w:type="character" w:styleId="IntenseEmphasis">
    <w:name w:val="Intense Emphasis"/>
    <w:basedOn w:val="DefaultParagraphFont"/>
    <w:uiPriority w:val="21"/>
    <w:qFormat/>
    <w:rsid w:val="0098673E"/>
    <w:rPr>
      <w:i/>
      <w:iCs/>
      <w:color w:val="0F4761" w:themeColor="accent1" w:themeShade="BF"/>
    </w:rPr>
  </w:style>
  <w:style w:type="paragraph" w:styleId="IntenseQuote">
    <w:name w:val="Intense Quote"/>
    <w:basedOn w:val="Normal"/>
    <w:next w:val="Normal"/>
    <w:link w:val="IntenseQuoteChar"/>
    <w:uiPriority w:val="30"/>
    <w:qFormat/>
    <w:rsid w:val="009867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73E"/>
    <w:rPr>
      <w:rFonts w:ascii="Times New Roman" w:hAnsi="Times New Roman"/>
      <w:i/>
      <w:iCs/>
      <w:color w:val="0F4761" w:themeColor="accent1" w:themeShade="BF"/>
    </w:rPr>
  </w:style>
  <w:style w:type="character" w:styleId="IntenseReference">
    <w:name w:val="Intense Reference"/>
    <w:basedOn w:val="DefaultParagraphFont"/>
    <w:uiPriority w:val="32"/>
    <w:qFormat/>
    <w:rsid w:val="0098673E"/>
    <w:rPr>
      <w:b/>
      <w:bCs/>
      <w:smallCaps/>
      <w:color w:val="0F4761" w:themeColor="accent1" w:themeShade="BF"/>
      <w:spacing w:val="5"/>
    </w:rPr>
  </w:style>
  <w:style w:type="character" w:styleId="CommentReference">
    <w:name w:val="annotation reference"/>
    <w:basedOn w:val="DefaultParagraphFont"/>
    <w:uiPriority w:val="99"/>
    <w:semiHidden/>
    <w:unhideWhenUsed/>
    <w:rsid w:val="001C3547"/>
    <w:rPr>
      <w:sz w:val="16"/>
      <w:szCs w:val="16"/>
    </w:rPr>
  </w:style>
  <w:style w:type="paragraph" w:styleId="CommentText">
    <w:name w:val="annotation text"/>
    <w:basedOn w:val="Normal"/>
    <w:link w:val="CommentTextChar"/>
    <w:uiPriority w:val="99"/>
    <w:unhideWhenUsed/>
    <w:rsid w:val="001C3547"/>
    <w:rPr>
      <w:sz w:val="20"/>
      <w:szCs w:val="20"/>
    </w:rPr>
  </w:style>
  <w:style w:type="character" w:customStyle="1" w:styleId="CommentTextChar">
    <w:name w:val="Comment Text Char"/>
    <w:basedOn w:val="DefaultParagraphFont"/>
    <w:link w:val="CommentText"/>
    <w:uiPriority w:val="99"/>
    <w:rsid w:val="001C354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C3547"/>
    <w:rPr>
      <w:b/>
      <w:bCs/>
    </w:rPr>
  </w:style>
  <w:style w:type="character" w:customStyle="1" w:styleId="CommentSubjectChar">
    <w:name w:val="Comment Subject Char"/>
    <w:basedOn w:val="CommentTextChar"/>
    <w:link w:val="CommentSubject"/>
    <w:uiPriority w:val="99"/>
    <w:semiHidden/>
    <w:rsid w:val="001C354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BD4C-0EE1-4257-AAD0-E886C77DF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832</Words>
  <Characters>4744</Characters>
  <Application>Microsoft Office Word</Application>
  <DocSecurity>0</DocSecurity>
  <Lines>39</Lines>
  <Paragraphs>11</Paragraphs>
  <ScaleCrop>false</ScaleCrop>
  <Company>VITA</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Pleasants-deborous, Fiora (DOE)</dc:creator>
  <cp:keywords/>
  <dc:description/>
  <cp:lastModifiedBy>Pleasants-deborous, Fiora (DOE)</cp:lastModifiedBy>
  <cp:revision>5</cp:revision>
  <dcterms:created xsi:type="dcterms:W3CDTF">2024-06-12T12:49:00Z</dcterms:created>
  <dcterms:modified xsi:type="dcterms:W3CDTF">2024-06-25T13:43:00Z</dcterms:modified>
</cp:coreProperties>
</file>