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default" r:id="rId8"/>
          <w:footerReference w:type="default" r:id="rId9"/>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472E33C2" w14:textId="08E33BB8" w:rsidR="006A4F11" w:rsidRPr="009A6551" w:rsidRDefault="006A4F11" w:rsidP="000C58A8">
            <w:pPr>
              <w:pStyle w:val="Subtitle"/>
              <w:rPr>
                <w:u w:val="none"/>
              </w:rPr>
            </w:pPr>
            <w:r>
              <w:rPr>
                <w:u w:val="none"/>
              </w:rPr>
              <w:t>20</w:t>
            </w:r>
            <w:r w:rsidR="005855E6">
              <w:rPr>
                <w:u w:val="none"/>
              </w:rPr>
              <w:t xml:space="preserve">24 </w:t>
            </w:r>
            <w:r w:rsidRPr="009A6551">
              <w:rPr>
                <w:u w:val="none"/>
              </w:rPr>
              <w:t xml:space="preserve">Grade </w:t>
            </w:r>
            <w:r w:rsidR="00CF4C95">
              <w:rPr>
                <w:u w:val="none"/>
              </w:rPr>
              <w:t>1</w:t>
            </w:r>
            <w:r w:rsidR="004704AD">
              <w:rPr>
                <w:u w:val="none"/>
              </w:rPr>
              <w:t>1</w:t>
            </w:r>
            <w:r w:rsidR="005855E6">
              <w:rPr>
                <w:u w:val="none"/>
              </w:rPr>
              <w:t xml:space="preserve"> </w:t>
            </w:r>
            <w:r w:rsidRPr="009A6551">
              <w:rPr>
                <w:u w:val="none"/>
              </w:rPr>
              <w:t>English Standards of Learning</w:t>
            </w:r>
          </w:p>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1DB627B3" w:rsidR="00CC65BA" w:rsidRDefault="00CC65BA" w:rsidP="0090146B">
            <w:pPr>
              <w:pStyle w:val="Subtitle"/>
              <w:jc w:val="left"/>
              <w:rPr>
                <w:sz w:val="20"/>
                <w:u w:val="none"/>
              </w:rPr>
            </w:pPr>
            <w:r>
              <w:rPr>
                <w:sz w:val="20"/>
                <w:u w:val="none"/>
              </w:rPr>
              <w:t>Correlation: Must address the standards. Use page number and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7B66E0">
        <w:trPr>
          <w:trHeight w:val="1255"/>
        </w:trPr>
        <w:tc>
          <w:tcPr>
            <w:tcW w:w="6469" w:type="dxa"/>
            <w:tcBorders>
              <w:top w:val="single" w:sz="2" w:space="0" w:color="auto"/>
              <w:bottom w:val="single" w:sz="2" w:space="0" w:color="auto"/>
              <w:right w:val="single" w:sz="6" w:space="0" w:color="auto"/>
            </w:tcBorders>
            <w:vAlign w:val="center"/>
          </w:tcPr>
          <w:p w14:paraId="66FA1CB1" w14:textId="3F4B72AE" w:rsidR="00CC65BA" w:rsidRPr="00E93D63" w:rsidRDefault="00847E16" w:rsidP="004704AD">
            <w:pPr>
              <w:rPr>
                <w:rFonts w:ascii="Times New Roman" w:eastAsiaTheme="majorEastAsia" w:hAnsi="Times New Roman"/>
                <w:color w:val="000000" w:themeColor="text1"/>
              </w:rPr>
            </w:pPr>
            <w:r w:rsidRPr="00E93D63">
              <w:rPr>
                <w:rFonts w:ascii="Times New Roman" w:eastAsiaTheme="majorEastAsia" w:hAnsi="Times New Roman"/>
                <w:b/>
                <w:bCs/>
                <w:color w:val="000000" w:themeColor="text1"/>
              </w:rPr>
              <w:t>11.RV The student will systematically build vocabulary and word knowledge based on grade eleven content and texts.</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9CFE54D" w14:textId="4C7B5626" w:rsidR="00CC65BA" w:rsidRPr="00E93D63" w:rsidRDefault="00847E16" w:rsidP="00CF4C95">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11.RV.1 A.  Develop and accurately use general academic and content-specific vocabulary through reading, discussing, and writing about grade-level texts and topics.</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0583605E" w14:textId="32A4E0F3" w:rsidR="00CC65BA" w:rsidRPr="00E93D63" w:rsidRDefault="00847E16" w:rsidP="009C5493">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11.RV.1 B.  Use context and sentence structure to clarify the meanings of words and phrases.</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7A568864" w:rsidR="00CC65BA" w:rsidRPr="00E93D63" w:rsidRDefault="00847E16" w:rsidP="007C50C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11.RV.1 C.  Use structural analysis of roots, affixes, and etymology to understand the meanings of unfamiliar and complex words.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r w:rsidR="00FD5DC0" w:rsidRPr="009A0A8C" w14:paraId="178DF248"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24F0D35" w14:textId="6DAFEE7A"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lastRenderedPageBreak/>
              <w:t>11.RV.1 D.  Analyze the nuances in the meaning of words with similar denotations (e.g., clever, cunning, brainy).</w:t>
            </w:r>
          </w:p>
          <w:p w14:paraId="353BB5EE" w14:textId="7DBA6D89" w:rsidR="00FD5DC0" w:rsidRPr="00956747" w:rsidRDefault="00FD5DC0" w:rsidP="009C5493">
            <w:pPr>
              <w:spacing w:line="240" w:lineRule="auto"/>
              <w:rPr>
                <w:rFonts w:ascii="Times New Roman" w:eastAsiaTheme="majorEastAsia" w:hAnsi="Times New Roman"/>
                <w:color w:val="000000" w:themeColor="text1"/>
              </w:rPr>
            </w:pPr>
          </w:p>
        </w:tc>
        <w:tc>
          <w:tcPr>
            <w:tcW w:w="6461" w:type="dxa"/>
            <w:tcBorders>
              <w:top w:val="single" w:sz="2" w:space="0" w:color="auto"/>
              <w:left w:val="single" w:sz="6" w:space="0" w:color="auto"/>
              <w:bottom w:val="single" w:sz="2" w:space="0" w:color="auto"/>
            </w:tcBorders>
          </w:tcPr>
          <w:p w14:paraId="4EBF2F7F" w14:textId="77777777" w:rsidR="00FD5DC0" w:rsidRPr="009A6551" w:rsidRDefault="00FD5DC0"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70"/>
        <w:gridCol w:w="6460"/>
      </w:tblGrid>
      <w:tr w:rsidR="00EE1684" w:rsidRPr="009A6551" w14:paraId="1E51ABBC" w14:textId="77777777" w:rsidTr="00F470A7">
        <w:trPr>
          <w:trHeight w:val="584"/>
          <w:tblHeader/>
        </w:trPr>
        <w:tc>
          <w:tcPr>
            <w:tcW w:w="12930" w:type="dxa"/>
            <w:gridSpan w:val="2"/>
            <w:tcBorders>
              <w:top w:val="double" w:sz="4" w:space="0" w:color="auto"/>
              <w:bottom w:val="single" w:sz="6" w:space="0" w:color="auto"/>
            </w:tcBorders>
            <w:shd w:val="clear" w:color="auto" w:fill="999999"/>
            <w:vAlign w:val="center"/>
          </w:tcPr>
          <w:p w14:paraId="656993A2" w14:textId="6619BFFC"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w:t>
            </w:r>
            <w:r w:rsidR="00CF4C95">
              <w:rPr>
                <w:u w:val="none"/>
              </w:rPr>
              <w:t>1</w:t>
            </w:r>
            <w:r w:rsidR="00847E16">
              <w:rPr>
                <w:u w:val="none"/>
              </w:rPr>
              <w:t>1</w:t>
            </w:r>
            <w:r w:rsidR="005855E6">
              <w:rPr>
                <w:u w:val="none"/>
              </w:rPr>
              <w:t xml:space="preserve"> </w:t>
            </w:r>
            <w:r w:rsidR="00EE1684" w:rsidRPr="009A6551">
              <w:rPr>
                <w:u w:val="none"/>
              </w:rPr>
              <w:t>English Standards of Learning</w:t>
            </w:r>
          </w:p>
        </w:tc>
      </w:tr>
      <w:tr w:rsidR="00743DF7" w:rsidRPr="009A6551" w14:paraId="0950F5B1" w14:textId="77777777" w:rsidTr="00F470A7">
        <w:trPr>
          <w:trHeight w:val="530"/>
          <w:tblHeader/>
        </w:trPr>
        <w:tc>
          <w:tcPr>
            <w:tcW w:w="6470"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460" w:type="dxa"/>
            <w:tcBorders>
              <w:top w:val="single" w:sz="6" w:space="0" w:color="auto"/>
              <w:left w:val="single" w:sz="6" w:space="0" w:color="auto"/>
              <w:bottom w:val="double" w:sz="4" w:space="0" w:color="auto"/>
            </w:tcBorders>
            <w:vAlign w:val="center"/>
          </w:tcPr>
          <w:p w14:paraId="3961B942" w14:textId="761B394F" w:rsidR="006A4F11" w:rsidRDefault="006A4F11" w:rsidP="006A4F11">
            <w:pPr>
              <w:pStyle w:val="Subtitle"/>
              <w:jc w:val="left"/>
              <w:rPr>
                <w:sz w:val="20"/>
                <w:u w:val="none"/>
              </w:rPr>
            </w:pPr>
            <w:r>
              <w:rPr>
                <w:sz w:val="20"/>
                <w:u w:val="none"/>
              </w:rPr>
              <w:t>Correlation: Must address both the standard</w:t>
            </w:r>
            <w:r w:rsidR="00DE5A03">
              <w:rPr>
                <w:sz w:val="20"/>
                <w:u w:val="none"/>
              </w:rPr>
              <w:t>s</w:t>
            </w:r>
            <w:r>
              <w:rPr>
                <w:sz w:val="20"/>
                <w:u w:val="none"/>
              </w:rPr>
              <w:t xml:space="preserve">.  Use page number </w:t>
            </w:r>
            <w:r w:rsidR="00CF4C95">
              <w:rPr>
                <w:sz w:val="20"/>
                <w:u w:val="none"/>
              </w:rPr>
              <w:t xml:space="preserve">and </w:t>
            </w:r>
            <w:r>
              <w:rPr>
                <w:sz w:val="20"/>
                <w:u w:val="none"/>
              </w:rPr>
              <w:t>CT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470A7">
        <w:trPr>
          <w:trHeight w:val="1152"/>
        </w:trPr>
        <w:tc>
          <w:tcPr>
            <w:tcW w:w="6470" w:type="dxa"/>
            <w:tcBorders>
              <w:top w:val="double" w:sz="4" w:space="0" w:color="auto"/>
              <w:left w:val="double" w:sz="4" w:space="0" w:color="auto"/>
              <w:bottom w:val="single" w:sz="2" w:space="0" w:color="auto"/>
              <w:right w:val="single" w:sz="6" w:space="0" w:color="auto"/>
            </w:tcBorders>
            <w:vAlign w:val="center"/>
          </w:tcPr>
          <w:p w14:paraId="01EE45DF" w14:textId="345D683F" w:rsidR="00EE1684"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11.RV.1 E. Explain and analyze idiomatic language in context.</w:t>
            </w:r>
          </w:p>
        </w:tc>
        <w:tc>
          <w:tcPr>
            <w:tcW w:w="6460"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BE34E80" w14:textId="7E74FF77" w:rsidR="00EE1684"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11.RV.1 F. Explain the meaning of figurative language and literary and classical allusions and analyze their role in texts.</w:t>
            </w:r>
          </w:p>
        </w:tc>
        <w:tc>
          <w:tcPr>
            <w:tcW w:w="6460"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5BEBACA" w14:textId="69797C7A" w:rsidR="00EE1684" w:rsidRPr="00E93D63" w:rsidRDefault="00847E16" w:rsidP="00D813F1">
            <w:pPr>
              <w:spacing w:line="240" w:lineRule="auto"/>
              <w:rPr>
                <w:rFonts w:ascii="Times New Roman" w:eastAsiaTheme="majorEastAsia" w:hAnsi="Times New Roman"/>
                <w:color w:val="000000" w:themeColor="text1"/>
              </w:rPr>
            </w:pPr>
            <w:r w:rsidRPr="00E93D63">
              <w:rPr>
                <w:rFonts w:ascii="Times New Roman" w:hAnsi="Times New Roman"/>
                <w:sz w:val="24"/>
                <w:szCs w:val="24"/>
              </w:rPr>
              <w:t xml:space="preserve">11.RV.1 G. </w:t>
            </w:r>
            <w:r w:rsidRPr="00E93D63">
              <w:rPr>
                <w:rFonts w:ascii="Times New Roman" w:eastAsiaTheme="majorEastAsia" w:hAnsi="Times New Roman"/>
                <w:color w:val="000000" w:themeColor="text1"/>
              </w:rPr>
              <w:t>Use newly learned words and phrases in multiple contexts, including in students’ discussions and speaking and writing activities.</w:t>
            </w:r>
          </w:p>
        </w:tc>
        <w:tc>
          <w:tcPr>
            <w:tcW w:w="6460"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743DF7" w:rsidRPr="009A6551" w14:paraId="21773E01" w14:textId="77777777" w:rsidTr="007B66E0">
        <w:trPr>
          <w:trHeight w:val="1152"/>
        </w:trPr>
        <w:tc>
          <w:tcPr>
            <w:tcW w:w="6470" w:type="dxa"/>
            <w:tcBorders>
              <w:top w:val="single" w:sz="2" w:space="0" w:color="auto"/>
              <w:bottom w:val="single" w:sz="2" w:space="0" w:color="auto"/>
              <w:right w:val="single" w:sz="6" w:space="0" w:color="auto"/>
            </w:tcBorders>
            <w:vAlign w:val="center"/>
          </w:tcPr>
          <w:p w14:paraId="5218D59F" w14:textId="2DB1F238" w:rsidR="00EE1684" w:rsidRPr="00E93D63" w:rsidRDefault="00847E16" w:rsidP="00E93D63">
            <w:pPr>
              <w:rPr>
                <w:rFonts w:ascii="Times New Roman" w:eastAsiaTheme="majorEastAsia" w:hAnsi="Times New Roman"/>
                <w:color w:val="000000" w:themeColor="text1"/>
                <w:sz w:val="28"/>
                <w:szCs w:val="28"/>
              </w:rPr>
            </w:pPr>
            <w:r w:rsidRPr="00E93D63">
              <w:rPr>
                <w:rFonts w:ascii="Times New Roman" w:eastAsiaTheme="majorEastAsia" w:hAnsi="Times New Roman"/>
                <w:b/>
                <w:bCs/>
                <w:color w:val="000000" w:themeColor="text1"/>
              </w:rPr>
              <w:t>11.RL The student will use textual evidence to demonstrate comprehension and build knowledge from a variety of grade-level complex literary texts read to include literary nonfiction (including world, British, and American literature), narratives, poetry, and drama, with an emphasis on American literature</w:t>
            </w:r>
            <w:r w:rsidRPr="00E93D63">
              <w:rPr>
                <w:rFonts w:ascii="Times New Roman" w:eastAsiaTheme="majorEastAsia" w:hAnsi="Times New Roman"/>
                <w:b/>
                <w:bCs/>
                <w:color w:val="000000" w:themeColor="text1"/>
                <w:sz w:val="28"/>
                <w:szCs w:val="28"/>
              </w:rPr>
              <w:t>.</w:t>
            </w:r>
          </w:p>
        </w:tc>
        <w:tc>
          <w:tcPr>
            <w:tcW w:w="6460" w:type="dxa"/>
            <w:tcBorders>
              <w:top w:val="single" w:sz="2" w:space="0" w:color="auto"/>
              <w:left w:val="single" w:sz="6" w:space="0" w:color="auto"/>
              <w:bottom w:val="single" w:sz="2" w:space="0" w:color="auto"/>
            </w:tcBorders>
            <w:shd w:val="clear" w:color="auto" w:fill="7F7F7F" w:themeFill="text1" w:themeFillTint="80"/>
          </w:tcPr>
          <w:p w14:paraId="1DC81FC3" w14:textId="77777777" w:rsidR="00EE1684" w:rsidRPr="009A6551" w:rsidRDefault="00EE1684" w:rsidP="00FB4F81">
            <w:pPr>
              <w:pStyle w:val="Subtitle"/>
              <w:jc w:val="left"/>
              <w:rPr>
                <w:b w:val="0"/>
                <w:bCs w:val="0"/>
                <w:u w:val="none"/>
              </w:rPr>
            </w:pPr>
          </w:p>
        </w:tc>
      </w:tr>
      <w:tr w:rsidR="00E93D63" w:rsidRPr="009A6551" w14:paraId="0DE6EC16"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37FA29B" w14:textId="53A8F8E2" w:rsidR="00E93D63" w:rsidRPr="00E93D63" w:rsidRDefault="00E93D63" w:rsidP="00E93D63">
            <w:pPr>
              <w:spacing w:line="240" w:lineRule="auto"/>
              <w:rPr>
                <w:rFonts w:ascii="Times New Roman" w:eastAsiaTheme="majorEastAsia" w:hAnsi="Times New Roman"/>
                <w:color w:val="000000" w:themeColor="text1"/>
              </w:rPr>
            </w:pPr>
            <w:r w:rsidRPr="00E93D63">
              <w:rPr>
                <w:rFonts w:ascii="Times New Roman" w:hAnsi="Times New Roman"/>
              </w:rPr>
              <w:lastRenderedPageBreak/>
              <w:t>11.RL.1 A. Analyze the development of universal themes (e.g., loss of innocence, coming of age, relationship with nature) prevalent in American literature (e.g., short stories, poems, plays, novels, essays, and literary nonfiction) of different eras.</w:t>
            </w:r>
          </w:p>
        </w:tc>
        <w:tc>
          <w:tcPr>
            <w:tcW w:w="6460" w:type="dxa"/>
            <w:tcBorders>
              <w:top w:val="single" w:sz="2" w:space="0" w:color="auto"/>
              <w:left w:val="single" w:sz="6" w:space="0" w:color="auto"/>
              <w:bottom w:val="single" w:sz="2" w:space="0" w:color="auto"/>
            </w:tcBorders>
          </w:tcPr>
          <w:p w14:paraId="328E0873" w14:textId="77777777" w:rsidR="00E93D63" w:rsidRPr="009A6551" w:rsidRDefault="00E93D63" w:rsidP="00FB4F81">
            <w:pPr>
              <w:pStyle w:val="Subtitle"/>
              <w:jc w:val="left"/>
              <w:rPr>
                <w:b w:val="0"/>
                <w:bCs w:val="0"/>
                <w:u w:val="none"/>
              </w:rPr>
            </w:pPr>
          </w:p>
        </w:tc>
      </w:tr>
      <w:tr w:rsidR="00743DF7" w:rsidRPr="009A6551" w14:paraId="6CA8D7F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6926EBF" w14:textId="1460CA66" w:rsidR="00EE1684"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11.RL.1 B. Describe how a particular sentence, chapter, scene, or stanza fits into the overall structure of a text and contributes to the development of the setting and plot.</w:t>
            </w:r>
          </w:p>
        </w:tc>
        <w:tc>
          <w:tcPr>
            <w:tcW w:w="6460" w:type="dxa"/>
            <w:tcBorders>
              <w:top w:val="single" w:sz="2" w:space="0" w:color="auto"/>
              <w:left w:val="single" w:sz="6" w:space="0" w:color="auto"/>
              <w:bottom w:val="single" w:sz="2" w:space="0" w:color="auto"/>
            </w:tcBorders>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4734B06" w14:textId="60416BCB" w:rsidR="00EE1684"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11.RL. 1C. Analyze how characters are revealed through particular lines of dialogue or events.</w:t>
            </w:r>
          </w:p>
        </w:tc>
        <w:tc>
          <w:tcPr>
            <w:tcW w:w="6460" w:type="dxa"/>
            <w:tcBorders>
              <w:top w:val="single" w:sz="2" w:space="0" w:color="auto"/>
              <w:left w:val="single" w:sz="6" w:space="0" w:color="auto"/>
              <w:bottom w:val="single" w:sz="2" w:space="0" w:color="auto"/>
            </w:tcBorders>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724A80" w14:textId="48D12230" w:rsidR="005F3C7F" w:rsidRPr="00E93D63" w:rsidRDefault="00847E16" w:rsidP="00D813F1">
            <w:pPr>
              <w:spacing w:line="240" w:lineRule="auto"/>
              <w:rPr>
                <w:rFonts w:ascii="Times New Roman" w:eastAsiaTheme="majorEastAsia" w:hAnsi="Times New Roman"/>
                <w:color w:val="000000" w:themeColor="text1"/>
              </w:rPr>
            </w:pPr>
            <w:r w:rsidRPr="00E93D63">
              <w:rPr>
                <w:rFonts w:ascii="Times New Roman" w:hAnsi="Times New Roman"/>
              </w:rPr>
              <w:t xml:space="preserve">11.RL.1 D. </w:t>
            </w:r>
            <w:r w:rsidRPr="00E93D63">
              <w:rPr>
                <w:rFonts w:ascii="Times New Roman" w:eastAsiaTheme="majorEastAsia" w:hAnsi="Times New Roman"/>
                <w:color w:val="000000" w:themeColor="text1"/>
              </w:rPr>
              <w:t>Analyze and evaluate how dramatic conventions (e.g., soliloquy, aside, narration, direct address to the audience) contribute to the theme and effect of plays from various cultures.</w:t>
            </w:r>
          </w:p>
        </w:tc>
        <w:tc>
          <w:tcPr>
            <w:tcW w:w="6460"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CEB51C1" w14:textId="1A19644E" w:rsidR="00743DF7" w:rsidRPr="00E93D63" w:rsidRDefault="00847E16" w:rsidP="00D813F1">
            <w:pPr>
              <w:spacing w:line="240" w:lineRule="auto"/>
              <w:rPr>
                <w:rFonts w:asciiTheme="majorHAnsi" w:eastAsiaTheme="majorEastAsia" w:hAnsiTheme="majorHAnsi" w:cstheme="majorBidi"/>
                <w:color w:val="000000" w:themeColor="text1"/>
              </w:rPr>
            </w:pPr>
            <w:r w:rsidRPr="00847E16">
              <w:rPr>
                <w:rFonts w:ascii="Times New Roman" w:hAnsi="Times New Roman"/>
              </w:rPr>
              <w:t xml:space="preserve">11.RL.2 A. </w:t>
            </w:r>
            <w:r w:rsidRPr="00847E16">
              <w:rPr>
                <w:rFonts w:asciiTheme="majorHAnsi" w:eastAsiaTheme="majorEastAsia" w:hAnsiTheme="majorHAnsi" w:cstheme="majorBidi"/>
                <w:color w:val="000000" w:themeColor="text1"/>
              </w:rPr>
              <w:t>Interpret and analyze how the sound and imagery of poetry support the subject, mood, form, and theme and appeal to the reader’s senses.</w:t>
            </w:r>
          </w:p>
        </w:tc>
        <w:tc>
          <w:tcPr>
            <w:tcW w:w="6460"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5E1B8DC" w14:textId="269D9A39" w:rsidR="00743DF7"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lastRenderedPageBreak/>
              <w:t>11.RL.2 B. Evaluate how authors use specific word choices, syntax, tone, and voice to convey the author’s intent and viewpoint.</w:t>
            </w:r>
          </w:p>
        </w:tc>
        <w:tc>
          <w:tcPr>
            <w:tcW w:w="6460"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F8D8FEF" w14:textId="07324DDC" w:rsidR="00743DF7"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11.RL.2 C. Critique how authors use key literary devices (e.g., imagery, personification, symbolism) to contribute to the meaning of a text, including its character development, theme, conflict, and archetypes.</w:t>
            </w:r>
          </w:p>
        </w:tc>
        <w:tc>
          <w:tcPr>
            <w:tcW w:w="6460"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49EBB52" w14:textId="2FE19989" w:rsidR="00743DF7" w:rsidRPr="00E93D63" w:rsidRDefault="00847E16" w:rsidP="00D813F1">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11.RL.2 D. Analyze the use of satire, sarcasm, irony, and understatement to differentiate between what is directly stated and what is implied.</w:t>
            </w:r>
          </w:p>
        </w:tc>
        <w:tc>
          <w:tcPr>
            <w:tcW w:w="6460"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956747" w:rsidRPr="009A6551" w14:paraId="21988C1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AAEF643" w14:textId="3495F4D1" w:rsidR="00956747" w:rsidRPr="00E93D63" w:rsidRDefault="00847E16" w:rsidP="00E93D63">
            <w:pPr>
              <w:spacing w:after="0"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11.RL.3 A. Explain the influence of the historical and cultural context on form, style, and point of view of texts that represent diverse voices and perspectives.</w:t>
            </w:r>
          </w:p>
        </w:tc>
        <w:tc>
          <w:tcPr>
            <w:tcW w:w="6460" w:type="dxa"/>
            <w:tcBorders>
              <w:top w:val="single" w:sz="2" w:space="0" w:color="auto"/>
              <w:left w:val="single" w:sz="6" w:space="0" w:color="auto"/>
              <w:bottom w:val="single" w:sz="2" w:space="0" w:color="auto"/>
            </w:tcBorders>
          </w:tcPr>
          <w:p w14:paraId="652A44A6" w14:textId="77777777" w:rsidR="00956747" w:rsidRPr="009A6551" w:rsidRDefault="00956747" w:rsidP="005F3C7F">
            <w:pPr>
              <w:pStyle w:val="Subtitle"/>
              <w:tabs>
                <w:tab w:val="left" w:pos="2052"/>
                <w:tab w:val="left" w:pos="3492"/>
              </w:tabs>
              <w:jc w:val="left"/>
              <w:rPr>
                <w:b w:val="0"/>
                <w:bCs w:val="0"/>
                <w:u w:val="none"/>
              </w:rPr>
            </w:pPr>
          </w:p>
        </w:tc>
      </w:tr>
      <w:tr w:rsidR="00157F73" w:rsidRPr="009A6551" w14:paraId="74BE17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2A1D54C" w14:textId="7CCBE17A" w:rsidR="00157F73" w:rsidRPr="00E93D63" w:rsidRDefault="00847E16" w:rsidP="00157F73">
            <w:pPr>
              <w:spacing w:line="240" w:lineRule="auto"/>
              <w:rPr>
                <w:rFonts w:asciiTheme="majorHAnsi" w:eastAsiaTheme="majorEastAsia" w:hAnsiTheme="majorHAnsi" w:cstheme="majorBidi"/>
                <w:color w:val="000000" w:themeColor="text1"/>
              </w:rPr>
            </w:pPr>
            <w:r w:rsidRPr="00847E16">
              <w:rPr>
                <w:rFonts w:ascii="Times New Roman" w:eastAsiaTheme="majorEastAsia" w:hAnsi="Times New Roman"/>
                <w:color w:val="000000" w:themeColor="text1"/>
              </w:rPr>
              <w:t xml:space="preserve">11.RL.3 B. </w:t>
            </w:r>
            <w:r w:rsidRPr="00847E16">
              <w:rPr>
                <w:rFonts w:asciiTheme="majorHAnsi" w:eastAsiaTheme="majorEastAsia" w:hAnsiTheme="majorHAnsi" w:cstheme="majorBidi"/>
                <w:color w:val="000000" w:themeColor="text1"/>
              </w:rPr>
              <w:t>Relate themes, patterns of events, or character types from myths, traditional stories, or religious works to contemporary stories, poems, or drama.</w:t>
            </w:r>
          </w:p>
        </w:tc>
        <w:tc>
          <w:tcPr>
            <w:tcW w:w="6460" w:type="dxa"/>
            <w:tcBorders>
              <w:top w:val="single" w:sz="2" w:space="0" w:color="auto"/>
              <w:left w:val="single" w:sz="6" w:space="0" w:color="auto"/>
              <w:bottom w:val="single" w:sz="2" w:space="0" w:color="auto"/>
            </w:tcBorders>
          </w:tcPr>
          <w:p w14:paraId="4580AEC8"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6A7CBAA0"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6D3EB21" w14:textId="4E89CEFD" w:rsidR="00157F73" w:rsidRPr="00E93D63" w:rsidRDefault="00847E16" w:rsidP="00157F73">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lastRenderedPageBreak/>
              <w:t>11.RL.3 C. Analyze how authors’ attitudes, viewpoints, and beliefs reflect larger historical, social, or cultural contexts.</w:t>
            </w:r>
          </w:p>
        </w:tc>
        <w:tc>
          <w:tcPr>
            <w:tcW w:w="6460" w:type="dxa"/>
            <w:tcBorders>
              <w:top w:val="single" w:sz="2" w:space="0" w:color="auto"/>
              <w:left w:val="single" w:sz="6" w:space="0" w:color="auto"/>
              <w:bottom w:val="single" w:sz="2" w:space="0" w:color="auto"/>
            </w:tcBorders>
          </w:tcPr>
          <w:p w14:paraId="7AF029B3"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77FBB447" w14:textId="77777777" w:rsidTr="007B66E0">
        <w:trPr>
          <w:trHeight w:val="1152"/>
        </w:trPr>
        <w:tc>
          <w:tcPr>
            <w:tcW w:w="6470" w:type="dxa"/>
            <w:tcBorders>
              <w:top w:val="single" w:sz="2" w:space="0" w:color="auto"/>
              <w:bottom w:val="single" w:sz="2" w:space="0" w:color="auto"/>
              <w:right w:val="single" w:sz="6" w:space="0" w:color="auto"/>
            </w:tcBorders>
            <w:vAlign w:val="center"/>
          </w:tcPr>
          <w:p w14:paraId="50C9A42B" w14:textId="17D69DF3" w:rsidR="00157F73" w:rsidRPr="00E93D63" w:rsidRDefault="00847E16" w:rsidP="00E93D63">
            <w:pPr>
              <w:rPr>
                <w:rFonts w:ascii="Times New Roman" w:eastAsiaTheme="majorEastAsia" w:hAnsi="Times New Roman"/>
                <w:color w:val="000000" w:themeColor="text1"/>
              </w:rPr>
            </w:pPr>
            <w:r w:rsidRPr="00E93D63">
              <w:rPr>
                <w:rFonts w:ascii="Times New Roman" w:eastAsiaTheme="majorEastAsia" w:hAnsi="Times New Roman"/>
                <w:b/>
                <w:bCs/>
                <w:color w:val="000000" w:themeColor="text1"/>
              </w:rPr>
              <w:t>11.RI The student will use textual evidence to demonstrate comprehension and build knowledge from grade-level complex informational texts read.</w:t>
            </w:r>
          </w:p>
        </w:tc>
        <w:tc>
          <w:tcPr>
            <w:tcW w:w="6460" w:type="dxa"/>
            <w:tcBorders>
              <w:top w:val="single" w:sz="2" w:space="0" w:color="auto"/>
              <w:left w:val="single" w:sz="6" w:space="0" w:color="auto"/>
              <w:bottom w:val="single" w:sz="2" w:space="0" w:color="auto"/>
            </w:tcBorders>
            <w:shd w:val="clear" w:color="auto" w:fill="7F7F7F" w:themeFill="text1" w:themeFillTint="80"/>
          </w:tcPr>
          <w:p w14:paraId="62ABE84D"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582C900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61D4126" w14:textId="471EC274" w:rsidR="00157F73" w:rsidRPr="00E93D63" w:rsidRDefault="00847E16" w:rsidP="00E93D63">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11.RI.1 A. Interpret and complete an application for employment or college admission, and summarize the intent, main ideas, and purpose of the workplace or technical documents.</w:t>
            </w:r>
          </w:p>
        </w:tc>
        <w:tc>
          <w:tcPr>
            <w:tcW w:w="6460" w:type="dxa"/>
            <w:tcBorders>
              <w:top w:val="single" w:sz="2" w:space="0" w:color="auto"/>
              <w:left w:val="single" w:sz="6" w:space="0" w:color="auto"/>
              <w:bottom w:val="single" w:sz="2" w:space="0" w:color="auto"/>
            </w:tcBorders>
          </w:tcPr>
          <w:p w14:paraId="6B5933FE" w14:textId="77777777" w:rsidR="00157F73" w:rsidRPr="009A6551" w:rsidRDefault="00157F73" w:rsidP="005F3C7F">
            <w:pPr>
              <w:pStyle w:val="Subtitle"/>
              <w:tabs>
                <w:tab w:val="left" w:pos="2052"/>
                <w:tab w:val="left" w:pos="3492"/>
              </w:tabs>
              <w:jc w:val="left"/>
              <w:rPr>
                <w:b w:val="0"/>
                <w:bCs w:val="0"/>
                <w:u w:val="none"/>
              </w:rPr>
            </w:pPr>
          </w:p>
        </w:tc>
      </w:tr>
      <w:tr w:rsidR="00E93D63" w:rsidRPr="009A6551" w14:paraId="1ECFEE85"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76DC7B4" w14:textId="625A8EA2" w:rsidR="00E93D63" w:rsidRPr="00E93D63" w:rsidRDefault="00E93D63"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 xml:space="preserve">11.RI.1 B. Analyze the hypotheses, data, analysis, and/or conclusions in informational, historical, scientific, or technical texts, verifying the data when possible and corroborating or challenging conclusions with other sources of information. </w:t>
            </w:r>
          </w:p>
        </w:tc>
        <w:tc>
          <w:tcPr>
            <w:tcW w:w="6460" w:type="dxa"/>
            <w:tcBorders>
              <w:top w:val="single" w:sz="2" w:space="0" w:color="auto"/>
              <w:left w:val="single" w:sz="6" w:space="0" w:color="auto"/>
              <w:bottom w:val="single" w:sz="2" w:space="0" w:color="auto"/>
            </w:tcBorders>
          </w:tcPr>
          <w:p w14:paraId="7993311C" w14:textId="77777777" w:rsidR="00E93D63" w:rsidRPr="009A6551" w:rsidRDefault="00E93D63" w:rsidP="005F3C7F">
            <w:pPr>
              <w:pStyle w:val="Subtitle"/>
              <w:tabs>
                <w:tab w:val="left" w:pos="2052"/>
                <w:tab w:val="left" w:pos="3492"/>
              </w:tabs>
              <w:jc w:val="left"/>
              <w:rPr>
                <w:b w:val="0"/>
                <w:bCs w:val="0"/>
                <w:u w:val="none"/>
              </w:rPr>
            </w:pPr>
          </w:p>
        </w:tc>
      </w:tr>
      <w:tr w:rsidR="00157F73" w:rsidRPr="009A6551" w14:paraId="5D7B97A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2557426" w14:textId="77777777"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11.RI.1 C. Evaluate the relevance and quality of an author’s premises, claims, counterclaims, and evidence by corroborating or challenging them with other information.</w:t>
            </w:r>
          </w:p>
          <w:p w14:paraId="0FF62D1F" w14:textId="6355A8E6" w:rsidR="00157F73" w:rsidRPr="00E93D63" w:rsidRDefault="00157F73" w:rsidP="00157F73">
            <w:pPr>
              <w:spacing w:after="0"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722DAE10"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02B7EE3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45D5FD" w14:textId="0F1ADA15"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lastRenderedPageBreak/>
              <w:t xml:space="preserve">11.RI.2 A. Examine how textual elements and organizational patterns contribute to meaning and the author’s purpose. </w:t>
            </w:r>
          </w:p>
          <w:p w14:paraId="0A79F71C" w14:textId="122EF15A" w:rsidR="00157F73" w:rsidRPr="00E93D63" w:rsidRDefault="00157F73" w:rsidP="00157F73">
            <w:pPr>
              <w:spacing w:after="0"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0409B02A"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7EEB626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80D789E" w14:textId="77777777"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 xml:space="preserve">11.RI.2 B. Analyze and interpret the key terms (e.g., content-specific words and phrases, technical terminology) and ideas of historical, scientific, technical, and employment texts to clarify concepts. </w:t>
            </w:r>
          </w:p>
          <w:p w14:paraId="7A0621BA" w14:textId="07D8FD00" w:rsidR="00157F73" w:rsidRPr="00E93D63" w:rsidRDefault="00157F73" w:rsidP="00157F73">
            <w:pPr>
              <w:spacing w:after="0"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5848E0F8"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4E33328C"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E562041" w14:textId="77777777"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11.RI.2 C. Recognize and analyze the author’s purpose and impact of ambiguity, contradiction, paradox, oxymoron, irony, sarcasm, overstatement, and understatement in informational texts.</w:t>
            </w:r>
          </w:p>
          <w:p w14:paraId="0E7D1426" w14:textId="092027CC" w:rsidR="00157F73" w:rsidRPr="00E93D63" w:rsidRDefault="00157F73" w:rsidP="00157F73">
            <w:pPr>
              <w:spacing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6F7A9F03"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5206AD11"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8889AD7" w14:textId="77777777"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11.RI.3 A. Analyze information within and between paired passages for similar and conflicting ideas and how authors reach similar or different conclusions.</w:t>
            </w:r>
          </w:p>
          <w:p w14:paraId="273BCE68" w14:textId="7BA8E6A6" w:rsidR="00157F73" w:rsidRPr="00E93D63" w:rsidRDefault="00157F73" w:rsidP="00157F73">
            <w:pPr>
              <w:spacing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3C6A3882"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25DD952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6432745" w14:textId="77777777" w:rsidR="00847E16" w:rsidRPr="00E93D63" w:rsidRDefault="00847E16" w:rsidP="00847E16">
            <w:pPr>
              <w:spacing w:line="240" w:lineRule="auto"/>
              <w:rPr>
                <w:rFonts w:ascii="Times New Roman" w:eastAsiaTheme="majorEastAsia" w:hAnsi="Times New Roman"/>
                <w:color w:val="000000" w:themeColor="text1"/>
              </w:rPr>
            </w:pPr>
            <w:r w:rsidRPr="00E93D63">
              <w:rPr>
                <w:rFonts w:ascii="Times New Roman" w:eastAsiaTheme="majorEastAsia" w:hAnsi="Times New Roman"/>
                <w:color w:val="000000" w:themeColor="text1"/>
              </w:rPr>
              <w:t xml:space="preserve">11.RI.3 B. </w:t>
            </w:r>
            <w:r w:rsidRPr="00E93D63">
              <w:rPr>
                <w:rStyle w:val="normaltextrun"/>
                <w:rFonts w:ascii="Times New Roman" w:eastAsiaTheme="majorEastAsia" w:hAnsi="Times New Roman"/>
                <w:color w:val="000000" w:themeColor="text1"/>
              </w:rPr>
              <w:t>Compare and contrast informational and technical texts for intent, content, and clarity. </w:t>
            </w:r>
          </w:p>
          <w:p w14:paraId="33774B6A" w14:textId="694662A6" w:rsidR="00157F73" w:rsidRPr="00E93D63" w:rsidRDefault="00157F73" w:rsidP="00157F73">
            <w:pPr>
              <w:spacing w:line="240" w:lineRule="auto"/>
              <w:rPr>
                <w:rFonts w:ascii="Times New Roman" w:eastAsiaTheme="majorEastAsia" w:hAnsi="Times New Roman"/>
                <w:color w:val="000000" w:themeColor="text1"/>
              </w:rPr>
            </w:pPr>
          </w:p>
        </w:tc>
        <w:tc>
          <w:tcPr>
            <w:tcW w:w="6460" w:type="dxa"/>
            <w:tcBorders>
              <w:top w:val="single" w:sz="2" w:space="0" w:color="auto"/>
              <w:left w:val="single" w:sz="6" w:space="0" w:color="auto"/>
              <w:bottom w:val="single" w:sz="2" w:space="0" w:color="auto"/>
            </w:tcBorders>
          </w:tcPr>
          <w:p w14:paraId="0294E9E5" w14:textId="77777777" w:rsidR="00157F73" w:rsidRPr="009A6551" w:rsidRDefault="00157F73" w:rsidP="005F3C7F">
            <w:pPr>
              <w:pStyle w:val="Subtitle"/>
              <w:tabs>
                <w:tab w:val="left" w:pos="2052"/>
                <w:tab w:val="left" w:pos="3492"/>
              </w:tabs>
              <w:jc w:val="left"/>
              <w:rPr>
                <w:b w:val="0"/>
                <w:bCs w:val="0"/>
                <w:u w:val="none"/>
              </w:rPr>
            </w:pPr>
          </w:p>
        </w:tc>
      </w:tr>
    </w:tbl>
    <w:p w14:paraId="38F89EB6" w14:textId="762BAAA8" w:rsidR="00433058" w:rsidRDefault="00433058"/>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38FF65FE"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532E011D"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62F4B040"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125EBD">
              <w:rPr>
                <w:rFonts w:ascii="Times New Roman" w:eastAsia="Times New Roman" w:hAnsi="Times New Roman"/>
                <w:bCs/>
              </w:rPr>
              <w:t>, is free of bias,</w:t>
            </w:r>
            <w:r w:rsidR="006A4F11" w:rsidRPr="00614DD2">
              <w:rPr>
                <w:rFonts w:ascii="Times New Roman" w:eastAsia="Times New Roman" w:hAnsi="Times New Roman"/>
                <w:bCs/>
              </w:rPr>
              <w:t xml:space="preserve"> and is 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3B2DDF89" w14:textId="3F985CD4" w:rsidR="006A4F11" w:rsidRPr="00E93D63"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11143044"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 xml:space="preserve">5.  </w:t>
            </w:r>
            <w:r w:rsidR="00E93D63" w:rsidRPr="00E93D63">
              <w:rPr>
                <w:rFonts w:ascii="Times New Roman" w:eastAsia="Times New Roman" w:hAnsi="Times New Roman"/>
                <w:bCs/>
              </w:rPr>
              <w:t>Texts are high quality, rigorous, rich in vocabulary, and meet appropriate complexity for the grade level.</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r w:rsidR="00E93D63" w:rsidRPr="00091DC6" w14:paraId="46EDF6C6" w14:textId="77777777" w:rsidTr="000C58A8">
        <w:trPr>
          <w:trHeight w:val="413"/>
        </w:trPr>
        <w:tc>
          <w:tcPr>
            <w:tcW w:w="6318" w:type="dxa"/>
            <w:vAlign w:val="center"/>
          </w:tcPr>
          <w:p w14:paraId="45EFE2AA" w14:textId="42D26739" w:rsidR="00E93D63" w:rsidRPr="00091DC6" w:rsidRDefault="00E93D63" w:rsidP="000C58A8">
            <w:pPr>
              <w:spacing w:after="0" w:line="240" w:lineRule="auto"/>
              <w:rPr>
                <w:rFonts w:ascii="Times New Roman" w:eastAsia="Times New Roman" w:hAnsi="Times New Roman"/>
                <w:bCs/>
              </w:rPr>
            </w:pPr>
            <w:r>
              <w:rPr>
                <w:rFonts w:ascii="Times New Roman" w:eastAsia="Times New Roman" w:hAnsi="Times New Roman"/>
                <w:bCs/>
              </w:rPr>
              <w:t xml:space="preserve">6. </w:t>
            </w:r>
            <w:r w:rsidRPr="00E93D63">
              <w:rPr>
                <w:rFonts w:ascii="Times New Roman" w:eastAsia="Times New Roman" w:hAnsi="Times New Roman"/>
                <w:bCs/>
              </w:rPr>
              <w:t>Texts and materials integrate reading, writing, and discussion to build knowledge on a topic.</w:t>
            </w:r>
          </w:p>
        </w:tc>
        <w:tc>
          <w:tcPr>
            <w:tcW w:w="6870" w:type="dxa"/>
          </w:tcPr>
          <w:p w14:paraId="1ED75BEB" w14:textId="77777777" w:rsidR="00E93D63" w:rsidRPr="008E0A69" w:rsidRDefault="00E93D63" w:rsidP="000C58A8">
            <w:pPr>
              <w:spacing w:after="0" w:line="240" w:lineRule="auto"/>
              <w:rPr>
                <w:rFonts w:ascii="Times New Roman" w:eastAsia="Times New Roman" w:hAnsi="Times New Roman"/>
              </w:rPr>
            </w:pPr>
          </w:p>
        </w:tc>
      </w:tr>
      <w:tr w:rsidR="00E93D63" w:rsidRPr="00091DC6" w14:paraId="1D44E7BD" w14:textId="77777777" w:rsidTr="000C58A8">
        <w:trPr>
          <w:trHeight w:val="413"/>
        </w:trPr>
        <w:tc>
          <w:tcPr>
            <w:tcW w:w="6318" w:type="dxa"/>
            <w:vAlign w:val="center"/>
          </w:tcPr>
          <w:p w14:paraId="36A6CC87" w14:textId="2DC30AE0" w:rsidR="00E93D63" w:rsidRPr="00091DC6" w:rsidRDefault="00E93D63" w:rsidP="000C58A8">
            <w:pPr>
              <w:spacing w:after="0" w:line="240" w:lineRule="auto"/>
              <w:rPr>
                <w:rFonts w:ascii="Times New Roman" w:eastAsia="Times New Roman" w:hAnsi="Times New Roman"/>
                <w:bCs/>
              </w:rPr>
            </w:pPr>
            <w:r>
              <w:rPr>
                <w:rFonts w:ascii="Times New Roman" w:eastAsia="Times New Roman" w:hAnsi="Times New Roman"/>
                <w:bCs/>
              </w:rPr>
              <w:t xml:space="preserve">7. </w:t>
            </w:r>
            <w:r w:rsidRPr="00E93D63">
              <w:rPr>
                <w:rFonts w:ascii="Times New Roman" w:eastAsia="Times New Roman" w:hAnsi="Times New Roman"/>
                <w:bCs/>
              </w:rPr>
              <w:t>Instructional strategies provide sufficient opportunities for students to build depth of understanding, and the purpose of teacher and student materials is clear</w:t>
            </w:r>
          </w:p>
        </w:tc>
        <w:tc>
          <w:tcPr>
            <w:tcW w:w="6870" w:type="dxa"/>
          </w:tcPr>
          <w:p w14:paraId="380119BB" w14:textId="77777777" w:rsidR="00E93D63" w:rsidRPr="008E0A69" w:rsidRDefault="00E93D63" w:rsidP="000C58A8">
            <w:pPr>
              <w:spacing w:after="0" w:line="240" w:lineRule="auto"/>
              <w:rPr>
                <w:rFonts w:ascii="Times New Roman" w:eastAsia="Times New Roman" w:hAnsi="Times New Roman"/>
              </w:rPr>
            </w:pPr>
          </w:p>
        </w:tc>
      </w:tr>
    </w:tbl>
    <w:p w14:paraId="73165F08" w14:textId="2C26DF80" w:rsidR="006A4F11" w:rsidRDefault="006A4F11" w:rsidP="009A6551">
      <w:pPr>
        <w:rPr>
          <w:rFonts w:ascii="Times New Roman" w:hAnsi="Times New Roman"/>
        </w:rPr>
      </w:pPr>
    </w:p>
    <w:p w14:paraId="5553C5D2" w14:textId="5B64536D" w:rsidR="009720AF" w:rsidRPr="009720AF" w:rsidRDefault="009720AF" w:rsidP="007B66E0">
      <w:pPr>
        <w:pStyle w:val="ListParagraph"/>
        <w:rPr>
          <w:rFonts w:ascii="Times New Roman" w:hAnsi="Times New Roman"/>
          <w:color w:val="FF0000"/>
        </w:rPr>
      </w:pPr>
    </w:p>
    <w:sectPr w:rsidR="009720AF" w:rsidRPr="009720AF" w:rsidSect="006A4F11">
      <w:headerReference w:type="default" r:id="rId10"/>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011A4FC4"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w:t>
            </w:r>
            <w:r w:rsidR="00D813F1">
              <w:rPr>
                <w:rFonts w:ascii="Times New Roman" w:hAnsi="Times New Roman"/>
                <w:sz w:val="20"/>
                <w:szCs w:val="20"/>
              </w:rPr>
              <w:t>1</w:t>
            </w:r>
            <w:r w:rsidR="004704AD">
              <w:rPr>
                <w:rFonts w:ascii="Times New Roman" w:hAnsi="Times New Roman"/>
                <w:sz w:val="20"/>
                <w:szCs w:val="20"/>
              </w:rPr>
              <w:t>1</w:t>
            </w:r>
            <w:r w:rsidRPr="00091DC6">
              <w:rPr>
                <w:rFonts w:ascii="Times New Roman" w:hAnsi="Times New Roman"/>
                <w:sz w:val="20"/>
                <w:szCs w:val="20"/>
              </w:rPr>
              <w:t xml:space="preserve"> </w:t>
            </w:r>
            <w:r w:rsidR="00D813F1">
              <w:rPr>
                <w:rFonts w:ascii="Times New Roman" w:hAnsi="Times New Roman"/>
                <w:sz w:val="20"/>
                <w:szCs w:val="20"/>
              </w:rPr>
              <w:t>Reading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76E76011"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 xml:space="preserve">-Grade </w:t>
    </w:r>
    <w:r w:rsidR="00CF4C95">
      <w:rPr>
        <w:rFonts w:ascii="Times New Roman" w:hAnsi="Times New Roman"/>
        <w:b/>
      </w:rPr>
      <w:t>1</w:t>
    </w:r>
    <w:r w:rsidR="004704AD">
      <w:rPr>
        <w:rFonts w:ascii="Times New Roman" w:hAnsi="Times New Roman"/>
        <w:b/>
      </w:rPr>
      <w:t>1</w:t>
    </w:r>
    <w:r w:rsidR="00CF4C95">
      <w:rPr>
        <w:rFonts w:ascii="Times New Roman" w:hAnsi="Times New Roman"/>
        <w:b/>
      </w:rPr>
      <w:t xml:space="preserve"> Reading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211BA325"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 xml:space="preserve">-Grade </w:t>
    </w:r>
    <w:r w:rsidR="00D813F1">
      <w:rPr>
        <w:rFonts w:ascii="Times New Roman" w:hAnsi="Times New Roman"/>
        <w:b/>
      </w:rPr>
      <w:t>1</w:t>
    </w:r>
    <w:r w:rsidR="004704AD">
      <w:rPr>
        <w:rFonts w:ascii="Times New Roman" w:hAnsi="Times New Roman"/>
        <w:b/>
      </w:rPr>
      <w:t>1</w:t>
    </w:r>
    <w:r w:rsidR="005855E6">
      <w:rPr>
        <w:rFonts w:ascii="Times New Roman" w:hAnsi="Times New Roman"/>
        <w:b/>
      </w:rPr>
      <w:t xml:space="preserve"> </w:t>
    </w:r>
    <w:r w:rsidR="009720AF">
      <w:rPr>
        <w:rFonts w:ascii="Times New Roman" w:hAnsi="Times New Roman"/>
        <w:b/>
      </w:rPr>
      <w:t>Reading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7FDD"/>
    <w:multiLevelType w:val="hybridMultilevel"/>
    <w:tmpl w:val="9A1CA532"/>
    <w:lvl w:ilvl="0" w:tplc="F3D03C66">
      <w:start w:val="1"/>
      <w:numFmt w:val="upperLetter"/>
      <w:lvlText w:val="%1."/>
      <w:lvlJc w:val="left"/>
      <w:pPr>
        <w:ind w:left="720" w:hanging="360"/>
      </w:pPr>
    </w:lvl>
    <w:lvl w:ilvl="1" w:tplc="7BAE4AD0">
      <w:start w:val="1"/>
      <w:numFmt w:val="lowerLetter"/>
      <w:lvlText w:val="%2."/>
      <w:lvlJc w:val="left"/>
      <w:pPr>
        <w:ind w:left="1440" w:hanging="360"/>
      </w:pPr>
    </w:lvl>
    <w:lvl w:ilvl="2" w:tplc="71B224D6">
      <w:start w:val="1"/>
      <w:numFmt w:val="lowerRoman"/>
      <w:lvlText w:val="%3."/>
      <w:lvlJc w:val="right"/>
      <w:pPr>
        <w:ind w:left="2160" w:hanging="180"/>
      </w:pPr>
    </w:lvl>
    <w:lvl w:ilvl="3" w:tplc="8A381CFC">
      <w:start w:val="1"/>
      <w:numFmt w:val="decimal"/>
      <w:lvlText w:val="%4."/>
      <w:lvlJc w:val="left"/>
      <w:pPr>
        <w:ind w:left="2880" w:hanging="360"/>
      </w:pPr>
    </w:lvl>
    <w:lvl w:ilvl="4" w:tplc="46DCDE80">
      <w:start w:val="1"/>
      <w:numFmt w:val="lowerLetter"/>
      <w:lvlText w:val="%5."/>
      <w:lvlJc w:val="left"/>
      <w:pPr>
        <w:ind w:left="3600" w:hanging="360"/>
      </w:pPr>
    </w:lvl>
    <w:lvl w:ilvl="5" w:tplc="63B0D8F4">
      <w:start w:val="1"/>
      <w:numFmt w:val="lowerRoman"/>
      <w:lvlText w:val="%6."/>
      <w:lvlJc w:val="right"/>
      <w:pPr>
        <w:ind w:left="4320" w:hanging="180"/>
      </w:pPr>
    </w:lvl>
    <w:lvl w:ilvl="6" w:tplc="A8AA167E">
      <w:start w:val="1"/>
      <w:numFmt w:val="decimal"/>
      <w:lvlText w:val="%7."/>
      <w:lvlJc w:val="left"/>
      <w:pPr>
        <w:ind w:left="5040" w:hanging="360"/>
      </w:pPr>
    </w:lvl>
    <w:lvl w:ilvl="7" w:tplc="413AB684">
      <w:start w:val="1"/>
      <w:numFmt w:val="lowerLetter"/>
      <w:lvlText w:val="%8."/>
      <w:lvlJc w:val="left"/>
      <w:pPr>
        <w:ind w:left="5760" w:hanging="360"/>
      </w:pPr>
    </w:lvl>
    <w:lvl w:ilvl="8" w:tplc="9384CD82">
      <w:start w:val="1"/>
      <w:numFmt w:val="lowerRoman"/>
      <w:lvlText w:val="%9."/>
      <w:lvlJc w:val="right"/>
      <w:pPr>
        <w:ind w:left="6480" w:hanging="180"/>
      </w:pPr>
    </w:lvl>
  </w:abstractNum>
  <w:abstractNum w:abstractNumId="2" w15:restartNumberingAfterBreak="0">
    <w:nsid w:val="25A74F28"/>
    <w:multiLevelType w:val="hybridMultilevel"/>
    <w:tmpl w:val="63D8D124"/>
    <w:lvl w:ilvl="0" w:tplc="FB3A95A0">
      <w:start w:val="1"/>
      <w:numFmt w:val="upperLetter"/>
      <w:lvlText w:val="%1."/>
      <w:lvlJc w:val="left"/>
      <w:pPr>
        <w:ind w:left="720" w:hanging="360"/>
      </w:pPr>
    </w:lvl>
    <w:lvl w:ilvl="1" w:tplc="C36CB1CE">
      <w:start w:val="1"/>
      <w:numFmt w:val="lowerLetter"/>
      <w:lvlText w:val="%2."/>
      <w:lvlJc w:val="left"/>
      <w:pPr>
        <w:ind w:left="1440" w:hanging="360"/>
      </w:pPr>
    </w:lvl>
    <w:lvl w:ilvl="2" w:tplc="DC6EE462">
      <w:start w:val="1"/>
      <w:numFmt w:val="lowerRoman"/>
      <w:lvlText w:val="%3."/>
      <w:lvlJc w:val="right"/>
      <w:pPr>
        <w:ind w:left="2160" w:hanging="180"/>
      </w:pPr>
    </w:lvl>
    <w:lvl w:ilvl="3" w:tplc="2522DD28">
      <w:start w:val="1"/>
      <w:numFmt w:val="decimal"/>
      <w:lvlText w:val="%4."/>
      <w:lvlJc w:val="left"/>
      <w:pPr>
        <w:ind w:left="2880" w:hanging="360"/>
      </w:pPr>
    </w:lvl>
    <w:lvl w:ilvl="4" w:tplc="06706A40">
      <w:start w:val="1"/>
      <w:numFmt w:val="lowerLetter"/>
      <w:lvlText w:val="%5."/>
      <w:lvlJc w:val="left"/>
      <w:pPr>
        <w:ind w:left="3600" w:hanging="360"/>
      </w:pPr>
    </w:lvl>
    <w:lvl w:ilvl="5" w:tplc="72025A60">
      <w:start w:val="1"/>
      <w:numFmt w:val="lowerRoman"/>
      <w:lvlText w:val="%6."/>
      <w:lvlJc w:val="right"/>
      <w:pPr>
        <w:ind w:left="4320" w:hanging="180"/>
      </w:pPr>
    </w:lvl>
    <w:lvl w:ilvl="6" w:tplc="B2666312">
      <w:start w:val="1"/>
      <w:numFmt w:val="decimal"/>
      <w:lvlText w:val="%7."/>
      <w:lvlJc w:val="left"/>
      <w:pPr>
        <w:ind w:left="5040" w:hanging="360"/>
      </w:pPr>
    </w:lvl>
    <w:lvl w:ilvl="7" w:tplc="32CC43D4">
      <w:start w:val="1"/>
      <w:numFmt w:val="lowerLetter"/>
      <w:lvlText w:val="%8."/>
      <w:lvlJc w:val="left"/>
      <w:pPr>
        <w:ind w:left="5760" w:hanging="360"/>
      </w:pPr>
    </w:lvl>
    <w:lvl w:ilvl="8" w:tplc="7AFA52F8">
      <w:start w:val="1"/>
      <w:numFmt w:val="lowerRoman"/>
      <w:lvlText w:val="%9."/>
      <w:lvlJc w:val="right"/>
      <w:pPr>
        <w:ind w:left="6480" w:hanging="180"/>
      </w:pPr>
    </w:lvl>
  </w:abstractNum>
  <w:abstractNum w:abstractNumId="3" w15:restartNumberingAfterBreak="0">
    <w:nsid w:val="3BAE0AD1"/>
    <w:multiLevelType w:val="hybridMultilevel"/>
    <w:tmpl w:val="88D6FA36"/>
    <w:lvl w:ilvl="0" w:tplc="6C22C57A">
      <w:start w:val="1"/>
      <w:numFmt w:val="upperLetter"/>
      <w:lvlText w:val="%1."/>
      <w:lvlJc w:val="left"/>
      <w:pPr>
        <w:ind w:left="720" w:hanging="360"/>
      </w:pPr>
    </w:lvl>
    <w:lvl w:ilvl="1" w:tplc="61E64006">
      <w:start w:val="1"/>
      <w:numFmt w:val="lowerLetter"/>
      <w:lvlText w:val="%2."/>
      <w:lvlJc w:val="left"/>
      <w:pPr>
        <w:ind w:left="1440" w:hanging="360"/>
      </w:pPr>
    </w:lvl>
    <w:lvl w:ilvl="2" w:tplc="BB02E746">
      <w:start w:val="1"/>
      <w:numFmt w:val="lowerRoman"/>
      <w:lvlText w:val="%3."/>
      <w:lvlJc w:val="right"/>
      <w:pPr>
        <w:ind w:left="2160" w:hanging="180"/>
      </w:pPr>
    </w:lvl>
    <w:lvl w:ilvl="3" w:tplc="307E9696">
      <w:start w:val="1"/>
      <w:numFmt w:val="decimal"/>
      <w:lvlText w:val="%4."/>
      <w:lvlJc w:val="left"/>
      <w:pPr>
        <w:ind w:left="2880" w:hanging="360"/>
      </w:pPr>
    </w:lvl>
    <w:lvl w:ilvl="4" w:tplc="72989048">
      <w:start w:val="1"/>
      <w:numFmt w:val="lowerLetter"/>
      <w:lvlText w:val="%5."/>
      <w:lvlJc w:val="left"/>
      <w:pPr>
        <w:ind w:left="3600" w:hanging="360"/>
      </w:pPr>
    </w:lvl>
    <w:lvl w:ilvl="5" w:tplc="8A08E4BC">
      <w:start w:val="1"/>
      <w:numFmt w:val="lowerRoman"/>
      <w:lvlText w:val="%6."/>
      <w:lvlJc w:val="right"/>
      <w:pPr>
        <w:ind w:left="4320" w:hanging="180"/>
      </w:pPr>
    </w:lvl>
    <w:lvl w:ilvl="6" w:tplc="BB6A7F9E">
      <w:start w:val="1"/>
      <w:numFmt w:val="decimal"/>
      <w:lvlText w:val="%7."/>
      <w:lvlJc w:val="left"/>
      <w:pPr>
        <w:ind w:left="5040" w:hanging="360"/>
      </w:pPr>
    </w:lvl>
    <w:lvl w:ilvl="7" w:tplc="3F7606AE">
      <w:start w:val="1"/>
      <w:numFmt w:val="lowerLetter"/>
      <w:lvlText w:val="%8."/>
      <w:lvlJc w:val="left"/>
      <w:pPr>
        <w:ind w:left="5760" w:hanging="360"/>
      </w:pPr>
    </w:lvl>
    <w:lvl w:ilvl="8" w:tplc="7E9E0080">
      <w:start w:val="1"/>
      <w:numFmt w:val="lowerRoman"/>
      <w:lvlText w:val="%9."/>
      <w:lvlJc w:val="right"/>
      <w:pPr>
        <w:ind w:left="6480" w:hanging="180"/>
      </w:pPr>
    </w:lvl>
  </w:abstractNum>
  <w:abstractNum w:abstractNumId="4" w15:restartNumberingAfterBreak="0">
    <w:nsid w:val="3F88B33C"/>
    <w:multiLevelType w:val="hybridMultilevel"/>
    <w:tmpl w:val="2ED27B4A"/>
    <w:lvl w:ilvl="0" w:tplc="45FAE892">
      <w:start w:val="1"/>
      <w:numFmt w:val="upperLetter"/>
      <w:lvlText w:val="%1."/>
      <w:lvlJc w:val="left"/>
      <w:pPr>
        <w:ind w:left="720" w:hanging="360"/>
      </w:pPr>
    </w:lvl>
    <w:lvl w:ilvl="1" w:tplc="EF1CA7E0">
      <w:start w:val="1"/>
      <w:numFmt w:val="lowerLetter"/>
      <w:lvlText w:val="%2."/>
      <w:lvlJc w:val="left"/>
      <w:pPr>
        <w:ind w:left="1440" w:hanging="360"/>
      </w:pPr>
    </w:lvl>
    <w:lvl w:ilvl="2" w:tplc="DE1C6508">
      <w:start w:val="1"/>
      <w:numFmt w:val="lowerRoman"/>
      <w:lvlText w:val="%3."/>
      <w:lvlJc w:val="right"/>
      <w:pPr>
        <w:ind w:left="2160" w:hanging="180"/>
      </w:pPr>
    </w:lvl>
    <w:lvl w:ilvl="3" w:tplc="70362D60">
      <w:start w:val="1"/>
      <w:numFmt w:val="decimal"/>
      <w:lvlText w:val="%4."/>
      <w:lvlJc w:val="left"/>
      <w:pPr>
        <w:ind w:left="2880" w:hanging="360"/>
      </w:pPr>
    </w:lvl>
    <w:lvl w:ilvl="4" w:tplc="37AAFF24">
      <w:start w:val="1"/>
      <w:numFmt w:val="lowerLetter"/>
      <w:lvlText w:val="%5."/>
      <w:lvlJc w:val="left"/>
      <w:pPr>
        <w:ind w:left="3600" w:hanging="360"/>
      </w:pPr>
    </w:lvl>
    <w:lvl w:ilvl="5" w:tplc="B80C3734">
      <w:start w:val="1"/>
      <w:numFmt w:val="lowerRoman"/>
      <w:lvlText w:val="%6."/>
      <w:lvlJc w:val="right"/>
      <w:pPr>
        <w:ind w:left="4320" w:hanging="180"/>
      </w:pPr>
    </w:lvl>
    <w:lvl w:ilvl="6" w:tplc="0D52806E">
      <w:start w:val="1"/>
      <w:numFmt w:val="decimal"/>
      <w:lvlText w:val="%7."/>
      <w:lvlJc w:val="left"/>
      <w:pPr>
        <w:ind w:left="5040" w:hanging="360"/>
      </w:pPr>
    </w:lvl>
    <w:lvl w:ilvl="7" w:tplc="9B3A8756">
      <w:start w:val="1"/>
      <w:numFmt w:val="lowerLetter"/>
      <w:lvlText w:val="%8."/>
      <w:lvlJc w:val="left"/>
      <w:pPr>
        <w:ind w:left="5760" w:hanging="360"/>
      </w:pPr>
    </w:lvl>
    <w:lvl w:ilvl="8" w:tplc="4DB21A76">
      <w:start w:val="1"/>
      <w:numFmt w:val="lowerRoman"/>
      <w:lvlText w:val="%9."/>
      <w:lvlJc w:val="right"/>
      <w:pPr>
        <w:ind w:left="6480" w:hanging="180"/>
      </w:pPr>
    </w:lvl>
  </w:abstractNum>
  <w:abstractNum w:abstractNumId="5" w15:restartNumberingAfterBreak="0">
    <w:nsid w:val="4DAAF1B9"/>
    <w:multiLevelType w:val="hybridMultilevel"/>
    <w:tmpl w:val="42B0BDA2"/>
    <w:lvl w:ilvl="0" w:tplc="A4B8920E">
      <w:start w:val="1"/>
      <w:numFmt w:val="upperLetter"/>
      <w:lvlText w:val="%1."/>
      <w:lvlJc w:val="left"/>
      <w:pPr>
        <w:ind w:left="720" w:hanging="360"/>
      </w:pPr>
    </w:lvl>
    <w:lvl w:ilvl="1" w:tplc="C5F86250">
      <w:start w:val="1"/>
      <w:numFmt w:val="lowerLetter"/>
      <w:lvlText w:val="%2."/>
      <w:lvlJc w:val="left"/>
      <w:pPr>
        <w:ind w:left="1440" w:hanging="360"/>
      </w:pPr>
    </w:lvl>
    <w:lvl w:ilvl="2" w:tplc="1E70091A">
      <w:start w:val="1"/>
      <w:numFmt w:val="lowerRoman"/>
      <w:lvlText w:val="%3."/>
      <w:lvlJc w:val="right"/>
      <w:pPr>
        <w:ind w:left="2160" w:hanging="180"/>
      </w:pPr>
    </w:lvl>
    <w:lvl w:ilvl="3" w:tplc="9B5C9A5C">
      <w:start w:val="1"/>
      <w:numFmt w:val="decimal"/>
      <w:lvlText w:val="%4."/>
      <w:lvlJc w:val="left"/>
      <w:pPr>
        <w:ind w:left="2880" w:hanging="360"/>
      </w:pPr>
    </w:lvl>
    <w:lvl w:ilvl="4" w:tplc="33D022FA">
      <w:start w:val="1"/>
      <w:numFmt w:val="lowerLetter"/>
      <w:lvlText w:val="%5."/>
      <w:lvlJc w:val="left"/>
      <w:pPr>
        <w:ind w:left="3600" w:hanging="360"/>
      </w:pPr>
    </w:lvl>
    <w:lvl w:ilvl="5" w:tplc="18A035C0">
      <w:start w:val="1"/>
      <w:numFmt w:val="lowerRoman"/>
      <w:lvlText w:val="%6."/>
      <w:lvlJc w:val="right"/>
      <w:pPr>
        <w:ind w:left="4320" w:hanging="180"/>
      </w:pPr>
    </w:lvl>
    <w:lvl w:ilvl="6" w:tplc="643E2530">
      <w:start w:val="1"/>
      <w:numFmt w:val="decimal"/>
      <w:lvlText w:val="%7."/>
      <w:lvlJc w:val="left"/>
      <w:pPr>
        <w:ind w:left="5040" w:hanging="360"/>
      </w:pPr>
    </w:lvl>
    <w:lvl w:ilvl="7" w:tplc="18609144">
      <w:start w:val="1"/>
      <w:numFmt w:val="lowerLetter"/>
      <w:lvlText w:val="%8."/>
      <w:lvlJc w:val="left"/>
      <w:pPr>
        <w:ind w:left="5760" w:hanging="360"/>
      </w:pPr>
    </w:lvl>
    <w:lvl w:ilvl="8" w:tplc="7836337C">
      <w:start w:val="1"/>
      <w:numFmt w:val="lowerRoman"/>
      <w:lvlText w:val="%9."/>
      <w:lvlJc w:val="right"/>
      <w:pPr>
        <w:ind w:left="6480" w:hanging="180"/>
      </w:pPr>
    </w:lvl>
  </w:abstractNum>
  <w:abstractNum w:abstractNumId="6" w15:restartNumberingAfterBreak="0">
    <w:nsid w:val="4E903081"/>
    <w:multiLevelType w:val="hybridMultilevel"/>
    <w:tmpl w:val="5964ABFE"/>
    <w:lvl w:ilvl="0" w:tplc="A06265C6">
      <w:start w:val="1"/>
      <w:numFmt w:val="upperLetter"/>
      <w:lvlText w:val="%1."/>
      <w:lvlJc w:val="left"/>
      <w:pPr>
        <w:ind w:left="720" w:hanging="360"/>
      </w:pPr>
    </w:lvl>
    <w:lvl w:ilvl="1" w:tplc="CD42E880">
      <w:start w:val="1"/>
      <w:numFmt w:val="lowerLetter"/>
      <w:lvlText w:val="%2."/>
      <w:lvlJc w:val="left"/>
      <w:pPr>
        <w:ind w:left="1440" w:hanging="360"/>
      </w:pPr>
    </w:lvl>
    <w:lvl w:ilvl="2" w:tplc="14067D50">
      <w:start w:val="1"/>
      <w:numFmt w:val="lowerRoman"/>
      <w:lvlText w:val="%3."/>
      <w:lvlJc w:val="right"/>
      <w:pPr>
        <w:ind w:left="2160" w:hanging="180"/>
      </w:pPr>
    </w:lvl>
    <w:lvl w:ilvl="3" w:tplc="0E02E5CA">
      <w:start w:val="1"/>
      <w:numFmt w:val="decimal"/>
      <w:lvlText w:val="%4."/>
      <w:lvlJc w:val="left"/>
      <w:pPr>
        <w:ind w:left="2880" w:hanging="360"/>
      </w:pPr>
    </w:lvl>
    <w:lvl w:ilvl="4" w:tplc="FD3EDDF0">
      <w:start w:val="1"/>
      <w:numFmt w:val="lowerLetter"/>
      <w:lvlText w:val="%5."/>
      <w:lvlJc w:val="left"/>
      <w:pPr>
        <w:ind w:left="3600" w:hanging="360"/>
      </w:pPr>
    </w:lvl>
    <w:lvl w:ilvl="5" w:tplc="E9FE562A">
      <w:start w:val="1"/>
      <w:numFmt w:val="lowerRoman"/>
      <w:lvlText w:val="%6."/>
      <w:lvlJc w:val="right"/>
      <w:pPr>
        <w:ind w:left="4320" w:hanging="180"/>
      </w:pPr>
    </w:lvl>
    <w:lvl w:ilvl="6" w:tplc="F69A2D90">
      <w:start w:val="1"/>
      <w:numFmt w:val="decimal"/>
      <w:lvlText w:val="%7."/>
      <w:lvlJc w:val="left"/>
      <w:pPr>
        <w:ind w:left="5040" w:hanging="360"/>
      </w:pPr>
    </w:lvl>
    <w:lvl w:ilvl="7" w:tplc="512C5D8A">
      <w:start w:val="1"/>
      <w:numFmt w:val="lowerLetter"/>
      <w:lvlText w:val="%8."/>
      <w:lvlJc w:val="left"/>
      <w:pPr>
        <w:ind w:left="5760" w:hanging="360"/>
      </w:pPr>
    </w:lvl>
    <w:lvl w:ilvl="8" w:tplc="E1A4F392">
      <w:start w:val="1"/>
      <w:numFmt w:val="lowerRoman"/>
      <w:lvlText w:val="%9."/>
      <w:lvlJc w:val="right"/>
      <w:pPr>
        <w:ind w:left="6480" w:hanging="180"/>
      </w:pPr>
    </w:lvl>
  </w:abstractNum>
  <w:abstractNum w:abstractNumId="7" w15:restartNumberingAfterBreak="0">
    <w:nsid w:val="61493218"/>
    <w:multiLevelType w:val="hybridMultilevel"/>
    <w:tmpl w:val="EDFC990C"/>
    <w:lvl w:ilvl="0" w:tplc="06203F24">
      <w:start w:val="1"/>
      <w:numFmt w:val="upperLetter"/>
      <w:lvlText w:val="%1."/>
      <w:lvlJc w:val="left"/>
      <w:pPr>
        <w:ind w:left="720" w:hanging="360"/>
      </w:pPr>
    </w:lvl>
    <w:lvl w:ilvl="1" w:tplc="CE24E81A">
      <w:start w:val="1"/>
      <w:numFmt w:val="lowerLetter"/>
      <w:lvlText w:val="%2."/>
      <w:lvlJc w:val="left"/>
      <w:pPr>
        <w:ind w:left="1440" w:hanging="360"/>
      </w:pPr>
    </w:lvl>
    <w:lvl w:ilvl="2" w:tplc="E724D6DE">
      <w:start w:val="1"/>
      <w:numFmt w:val="lowerRoman"/>
      <w:lvlText w:val="%3."/>
      <w:lvlJc w:val="right"/>
      <w:pPr>
        <w:ind w:left="2160" w:hanging="180"/>
      </w:pPr>
    </w:lvl>
    <w:lvl w:ilvl="3" w:tplc="99446450">
      <w:start w:val="1"/>
      <w:numFmt w:val="decimal"/>
      <w:lvlText w:val="%4."/>
      <w:lvlJc w:val="left"/>
      <w:pPr>
        <w:ind w:left="2880" w:hanging="360"/>
      </w:pPr>
    </w:lvl>
    <w:lvl w:ilvl="4" w:tplc="C5C251AA">
      <w:start w:val="1"/>
      <w:numFmt w:val="lowerLetter"/>
      <w:lvlText w:val="%5."/>
      <w:lvlJc w:val="left"/>
      <w:pPr>
        <w:ind w:left="3600" w:hanging="360"/>
      </w:pPr>
    </w:lvl>
    <w:lvl w:ilvl="5" w:tplc="5EFC4DC6">
      <w:start w:val="1"/>
      <w:numFmt w:val="lowerRoman"/>
      <w:lvlText w:val="%6."/>
      <w:lvlJc w:val="right"/>
      <w:pPr>
        <w:ind w:left="4320" w:hanging="180"/>
      </w:pPr>
    </w:lvl>
    <w:lvl w:ilvl="6" w:tplc="316690B4">
      <w:start w:val="1"/>
      <w:numFmt w:val="decimal"/>
      <w:lvlText w:val="%7."/>
      <w:lvlJc w:val="left"/>
      <w:pPr>
        <w:ind w:left="5040" w:hanging="360"/>
      </w:pPr>
    </w:lvl>
    <w:lvl w:ilvl="7" w:tplc="E4902150">
      <w:start w:val="1"/>
      <w:numFmt w:val="lowerLetter"/>
      <w:lvlText w:val="%8."/>
      <w:lvlJc w:val="left"/>
      <w:pPr>
        <w:ind w:left="5760" w:hanging="360"/>
      </w:pPr>
    </w:lvl>
    <w:lvl w:ilvl="8" w:tplc="4A621240">
      <w:start w:val="1"/>
      <w:numFmt w:val="lowerRoman"/>
      <w:lvlText w:val="%9."/>
      <w:lvlJc w:val="right"/>
      <w:pPr>
        <w:ind w:left="6480" w:hanging="180"/>
      </w:pPr>
    </w:lvl>
  </w:abstractNum>
  <w:num w:numId="1" w16cid:durableId="462118139">
    <w:abstractNumId w:val="0"/>
  </w:num>
  <w:num w:numId="2" w16cid:durableId="981957448">
    <w:abstractNumId w:val="2"/>
  </w:num>
  <w:num w:numId="3" w16cid:durableId="159198776">
    <w:abstractNumId w:val="7"/>
  </w:num>
  <w:num w:numId="4" w16cid:durableId="1682007670">
    <w:abstractNumId w:val="4"/>
  </w:num>
  <w:num w:numId="5" w16cid:durableId="491870282">
    <w:abstractNumId w:val="5"/>
  </w:num>
  <w:num w:numId="6" w16cid:durableId="53046633">
    <w:abstractNumId w:val="3"/>
  </w:num>
  <w:num w:numId="7" w16cid:durableId="1170020375">
    <w:abstractNumId w:val="6"/>
  </w:num>
  <w:num w:numId="8" w16cid:durableId="14762168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91DC6"/>
    <w:rsid w:val="000A42D7"/>
    <w:rsid w:val="000D0835"/>
    <w:rsid w:val="000E1B39"/>
    <w:rsid w:val="00125EBD"/>
    <w:rsid w:val="001357F3"/>
    <w:rsid w:val="00135AA2"/>
    <w:rsid w:val="00157F73"/>
    <w:rsid w:val="00165080"/>
    <w:rsid w:val="001758AE"/>
    <w:rsid w:val="00176699"/>
    <w:rsid w:val="00195C23"/>
    <w:rsid w:val="001A0E5E"/>
    <w:rsid w:val="001A6D8A"/>
    <w:rsid w:val="001B2135"/>
    <w:rsid w:val="00231D8C"/>
    <w:rsid w:val="0026493D"/>
    <w:rsid w:val="002A0DCE"/>
    <w:rsid w:val="002C246E"/>
    <w:rsid w:val="002F385D"/>
    <w:rsid w:val="00356F15"/>
    <w:rsid w:val="0039793F"/>
    <w:rsid w:val="003A420B"/>
    <w:rsid w:val="003A5062"/>
    <w:rsid w:val="003E0867"/>
    <w:rsid w:val="00412CF9"/>
    <w:rsid w:val="00433058"/>
    <w:rsid w:val="00445803"/>
    <w:rsid w:val="00462BF3"/>
    <w:rsid w:val="004704AD"/>
    <w:rsid w:val="00491FA6"/>
    <w:rsid w:val="00494191"/>
    <w:rsid w:val="004977AC"/>
    <w:rsid w:val="004A1EC5"/>
    <w:rsid w:val="004D76DC"/>
    <w:rsid w:val="0052262E"/>
    <w:rsid w:val="00537493"/>
    <w:rsid w:val="005464A3"/>
    <w:rsid w:val="00563DAA"/>
    <w:rsid w:val="00576542"/>
    <w:rsid w:val="0058532F"/>
    <w:rsid w:val="005855E6"/>
    <w:rsid w:val="005A58FC"/>
    <w:rsid w:val="005D6D83"/>
    <w:rsid w:val="005F3C7F"/>
    <w:rsid w:val="00614DD2"/>
    <w:rsid w:val="006A237C"/>
    <w:rsid w:val="006A4F11"/>
    <w:rsid w:val="00713C06"/>
    <w:rsid w:val="00727095"/>
    <w:rsid w:val="00743DF7"/>
    <w:rsid w:val="007731CA"/>
    <w:rsid w:val="007B66E0"/>
    <w:rsid w:val="007B6E4E"/>
    <w:rsid w:val="007C50C1"/>
    <w:rsid w:val="007F6193"/>
    <w:rsid w:val="00804BFC"/>
    <w:rsid w:val="0081098F"/>
    <w:rsid w:val="00835C92"/>
    <w:rsid w:val="00846ECA"/>
    <w:rsid w:val="00847E16"/>
    <w:rsid w:val="0085447C"/>
    <w:rsid w:val="00856430"/>
    <w:rsid w:val="0086020D"/>
    <w:rsid w:val="00864E37"/>
    <w:rsid w:val="00890383"/>
    <w:rsid w:val="00893C63"/>
    <w:rsid w:val="008A3305"/>
    <w:rsid w:val="008E0A69"/>
    <w:rsid w:val="0090146B"/>
    <w:rsid w:val="00910B9D"/>
    <w:rsid w:val="00924D87"/>
    <w:rsid w:val="00946240"/>
    <w:rsid w:val="00956747"/>
    <w:rsid w:val="009720AF"/>
    <w:rsid w:val="009A0A8C"/>
    <w:rsid w:val="009A6551"/>
    <w:rsid w:val="009C5493"/>
    <w:rsid w:val="00AA3D31"/>
    <w:rsid w:val="00AC2212"/>
    <w:rsid w:val="00AE09DB"/>
    <w:rsid w:val="00B03BB6"/>
    <w:rsid w:val="00B20801"/>
    <w:rsid w:val="00B30500"/>
    <w:rsid w:val="00B32F90"/>
    <w:rsid w:val="00B3569B"/>
    <w:rsid w:val="00B47B90"/>
    <w:rsid w:val="00B53E58"/>
    <w:rsid w:val="00B56A14"/>
    <w:rsid w:val="00B82C57"/>
    <w:rsid w:val="00BC1910"/>
    <w:rsid w:val="00BD06B0"/>
    <w:rsid w:val="00BE4254"/>
    <w:rsid w:val="00C23D84"/>
    <w:rsid w:val="00C3443C"/>
    <w:rsid w:val="00C83734"/>
    <w:rsid w:val="00C961A5"/>
    <w:rsid w:val="00CA3916"/>
    <w:rsid w:val="00CC65BA"/>
    <w:rsid w:val="00CF4C95"/>
    <w:rsid w:val="00D813F1"/>
    <w:rsid w:val="00D9216D"/>
    <w:rsid w:val="00DA1179"/>
    <w:rsid w:val="00DB2316"/>
    <w:rsid w:val="00DB2A6B"/>
    <w:rsid w:val="00DE5A03"/>
    <w:rsid w:val="00E21513"/>
    <w:rsid w:val="00E46A52"/>
    <w:rsid w:val="00E54109"/>
    <w:rsid w:val="00E71E37"/>
    <w:rsid w:val="00E86BEA"/>
    <w:rsid w:val="00E87F70"/>
    <w:rsid w:val="00E93D63"/>
    <w:rsid w:val="00EA06AD"/>
    <w:rsid w:val="00EC2A2A"/>
    <w:rsid w:val="00EC7D97"/>
    <w:rsid w:val="00EE1684"/>
    <w:rsid w:val="00EF1132"/>
    <w:rsid w:val="00F05231"/>
    <w:rsid w:val="00F46A8A"/>
    <w:rsid w:val="00F470A7"/>
    <w:rsid w:val="00F6569B"/>
    <w:rsid w:val="00F81BEA"/>
    <w:rsid w:val="00FA7868"/>
    <w:rsid w:val="00FB4F81"/>
    <w:rsid w:val="00FC2A20"/>
    <w:rsid w:val="00FC5578"/>
    <w:rsid w:val="00FC7414"/>
    <w:rsid w:val="00FD5DC0"/>
    <w:rsid w:val="00FD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7</cp:revision>
  <cp:lastPrinted>2011-10-13T19:22:00Z</cp:lastPrinted>
  <dcterms:created xsi:type="dcterms:W3CDTF">2024-04-16T12:22:00Z</dcterms:created>
  <dcterms:modified xsi:type="dcterms:W3CDTF">2024-04-16T15:21:00Z</dcterms:modified>
</cp:coreProperties>
</file>