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219" w:type="dxa"/>
          <w:right w:w="219" w:type="dxa"/>
        </w:tblCellMar>
        <w:tblLook w:val="0000" w:firstRow="0" w:lastRow="0" w:firstColumn="0" w:lastColumn="0" w:noHBand="0" w:noVBand="0"/>
      </w:tblPr>
      <w:tblGrid>
        <w:gridCol w:w="10080"/>
      </w:tblGrid>
      <w:tr w:rsidR="007205F0" w:rsidRPr="002B04F9" w14:paraId="05BE0941" w14:textId="77777777">
        <w:trPr>
          <w:trHeight w:val="2304"/>
          <w:jc w:val="center"/>
        </w:trPr>
        <w:tc>
          <w:tcPr>
            <w:tcW w:w="10080" w:type="dxa"/>
            <w:vAlign w:val="center"/>
          </w:tcPr>
          <w:p w14:paraId="12959640" w14:textId="77777777" w:rsidR="007205F0" w:rsidRDefault="007205F0" w:rsidP="005E6FCF">
            <w:pPr>
              <w:rPr>
                <w:b/>
                <w:sz w:val="40"/>
              </w:rPr>
            </w:pPr>
          </w:p>
          <w:p w14:paraId="0FB1C97A" w14:textId="77777777" w:rsidR="00B8196B" w:rsidRPr="002B04F9" w:rsidRDefault="00B8196B" w:rsidP="005E6FCF">
            <w:pPr>
              <w:tabs>
                <w:tab w:val="left" w:pos="6501"/>
              </w:tabs>
              <w:jc w:val="center"/>
              <w:rPr>
                <w:b/>
                <w:i/>
                <w:iCs/>
                <w:sz w:val="44"/>
                <w:szCs w:val="44"/>
              </w:rPr>
            </w:pPr>
            <w:r w:rsidRPr="002B04F9">
              <w:rPr>
                <w:b/>
                <w:i/>
                <w:iCs/>
                <w:sz w:val="44"/>
                <w:szCs w:val="44"/>
              </w:rPr>
              <w:t xml:space="preserve">Elementary and Secondary </w:t>
            </w:r>
          </w:p>
          <w:p w14:paraId="328B17F3" w14:textId="77777777" w:rsidR="00B8196B" w:rsidRPr="002B04F9" w:rsidRDefault="00B8196B" w:rsidP="005E6FCF">
            <w:pPr>
              <w:tabs>
                <w:tab w:val="left" w:pos="6501"/>
              </w:tabs>
              <w:jc w:val="center"/>
              <w:rPr>
                <w:b/>
                <w:i/>
                <w:iCs/>
                <w:sz w:val="44"/>
                <w:szCs w:val="44"/>
              </w:rPr>
            </w:pPr>
            <w:r w:rsidRPr="002B04F9">
              <w:rPr>
                <w:b/>
                <w:i/>
                <w:iCs/>
                <w:sz w:val="44"/>
                <w:szCs w:val="44"/>
              </w:rPr>
              <w:t xml:space="preserve">Education Act of 1965 </w:t>
            </w:r>
            <w:r w:rsidRPr="002B04F9">
              <w:rPr>
                <w:b/>
                <w:iCs/>
                <w:sz w:val="44"/>
                <w:szCs w:val="44"/>
              </w:rPr>
              <w:t>(ESEA),</w:t>
            </w:r>
            <w:r w:rsidRPr="002B04F9">
              <w:rPr>
                <w:b/>
                <w:i/>
                <w:iCs/>
                <w:sz w:val="44"/>
                <w:szCs w:val="44"/>
              </w:rPr>
              <w:t xml:space="preserve"> </w:t>
            </w:r>
          </w:p>
          <w:p w14:paraId="1D229BD2" w14:textId="77777777" w:rsidR="00B8196B" w:rsidRPr="002B04F9" w:rsidRDefault="00B8196B" w:rsidP="005E6FCF">
            <w:pPr>
              <w:tabs>
                <w:tab w:val="left" w:pos="6501"/>
              </w:tabs>
              <w:jc w:val="center"/>
              <w:rPr>
                <w:b/>
                <w:i/>
                <w:iCs/>
                <w:sz w:val="44"/>
                <w:szCs w:val="44"/>
              </w:rPr>
            </w:pPr>
            <w:r w:rsidRPr="002B04F9">
              <w:rPr>
                <w:iCs/>
                <w:sz w:val="44"/>
                <w:szCs w:val="44"/>
              </w:rPr>
              <w:t>as Amended by the</w:t>
            </w:r>
            <w:r w:rsidRPr="002B04F9">
              <w:rPr>
                <w:b/>
                <w:i/>
                <w:iCs/>
                <w:sz w:val="44"/>
                <w:szCs w:val="44"/>
              </w:rPr>
              <w:t xml:space="preserve"> </w:t>
            </w:r>
          </w:p>
          <w:p w14:paraId="53C09942" w14:textId="77777777" w:rsidR="00B8196B" w:rsidRPr="002B04F9" w:rsidRDefault="00F11B08" w:rsidP="005E6FCF">
            <w:pPr>
              <w:tabs>
                <w:tab w:val="left" w:pos="6501"/>
              </w:tabs>
              <w:jc w:val="center"/>
              <w:rPr>
                <w:b/>
                <w:i/>
                <w:iCs/>
                <w:sz w:val="44"/>
                <w:szCs w:val="44"/>
              </w:rPr>
            </w:pPr>
            <w:r w:rsidRPr="002B04F9">
              <w:rPr>
                <w:b/>
                <w:i/>
                <w:iCs/>
                <w:sz w:val="44"/>
                <w:szCs w:val="44"/>
              </w:rPr>
              <w:t xml:space="preserve">Every Student Succeeds Act of 2015 </w:t>
            </w:r>
            <w:r w:rsidR="00B8196B" w:rsidRPr="002B04F9">
              <w:rPr>
                <w:b/>
                <w:sz w:val="44"/>
                <w:szCs w:val="44"/>
              </w:rPr>
              <w:t>(</w:t>
            </w:r>
            <w:r w:rsidRPr="002B04F9">
              <w:rPr>
                <w:b/>
                <w:sz w:val="44"/>
                <w:szCs w:val="44"/>
              </w:rPr>
              <w:t>ESSA</w:t>
            </w:r>
            <w:r w:rsidR="00B8196B" w:rsidRPr="002B04F9">
              <w:rPr>
                <w:b/>
                <w:sz w:val="44"/>
                <w:szCs w:val="44"/>
              </w:rPr>
              <w:t>)</w:t>
            </w:r>
          </w:p>
          <w:p w14:paraId="70C5FE43" w14:textId="6BA9F94A" w:rsidR="007205F0" w:rsidRPr="002B04F9" w:rsidRDefault="007205F0" w:rsidP="005E6FCF"/>
          <w:p w14:paraId="72CD8976" w14:textId="77777777" w:rsidR="0061273D" w:rsidRPr="002B04F9" w:rsidRDefault="0061273D" w:rsidP="005E6FCF"/>
          <w:p w14:paraId="76B843F4" w14:textId="77777777" w:rsidR="007205F0" w:rsidRPr="002B04F9" w:rsidRDefault="007205F0" w:rsidP="005E6FCF"/>
          <w:p w14:paraId="1613CBF9" w14:textId="77777777" w:rsidR="007205F0" w:rsidRPr="002B04F9" w:rsidRDefault="007205F0" w:rsidP="005E6FCF"/>
          <w:p w14:paraId="1084CB54" w14:textId="77777777" w:rsidR="007205F0" w:rsidRPr="002B04F9" w:rsidRDefault="007205F0" w:rsidP="005E6FCF">
            <w:pPr>
              <w:jc w:val="center"/>
              <w:rPr>
                <w:b/>
                <w:sz w:val="48"/>
              </w:rPr>
            </w:pPr>
            <w:r w:rsidRPr="002B04F9">
              <w:rPr>
                <w:b/>
                <w:sz w:val="48"/>
              </w:rPr>
              <w:t xml:space="preserve">Title II, Part A </w:t>
            </w:r>
          </w:p>
          <w:p w14:paraId="51790E03" w14:textId="77777777" w:rsidR="007205F0" w:rsidRPr="002B04F9" w:rsidRDefault="000105AC" w:rsidP="005E6FCF">
            <w:pPr>
              <w:pStyle w:val="Heading3"/>
              <w:rPr>
                <w:sz w:val="48"/>
              </w:rPr>
            </w:pPr>
            <w:r w:rsidRPr="002B04F9">
              <w:rPr>
                <w:sz w:val="48"/>
              </w:rPr>
              <w:t>Supporting Effective Instruction</w:t>
            </w:r>
          </w:p>
          <w:p w14:paraId="2C1B6148" w14:textId="77777777" w:rsidR="007205F0" w:rsidRPr="002B04F9" w:rsidRDefault="007205F0" w:rsidP="005E6FCF"/>
          <w:p w14:paraId="316FD8FB" w14:textId="77777777" w:rsidR="007205F0" w:rsidRPr="002B04F9" w:rsidRDefault="007205F0" w:rsidP="005E6FCF"/>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7205F0" w:rsidRPr="002B04F9" w14:paraId="42579366" w14:textId="77777777">
              <w:tc>
                <w:tcPr>
                  <w:tcW w:w="8910" w:type="dxa"/>
                </w:tcPr>
                <w:p w14:paraId="2AE3D626" w14:textId="77777777" w:rsidR="007205F0" w:rsidRPr="002B04F9" w:rsidRDefault="007205F0" w:rsidP="005E6FCF">
                  <w:pPr>
                    <w:pStyle w:val="Heading3"/>
                    <w:rPr>
                      <w:sz w:val="48"/>
                    </w:rPr>
                  </w:pPr>
                  <w:r w:rsidRPr="002B04F9">
                    <w:rPr>
                      <w:sz w:val="48"/>
                    </w:rPr>
                    <w:t>Individual Application</w:t>
                  </w:r>
                </w:p>
                <w:p w14:paraId="019B35CB" w14:textId="77777777" w:rsidR="007205F0" w:rsidRPr="002B04F9" w:rsidRDefault="007205F0" w:rsidP="005E6FCF"/>
                <w:p w14:paraId="3A6B52E3" w14:textId="5D371566" w:rsidR="007205F0" w:rsidRPr="002B04F9" w:rsidRDefault="007205F0" w:rsidP="005E6FCF">
                  <w:pPr>
                    <w:rPr>
                      <w:sz w:val="48"/>
                    </w:rPr>
                  </w:pPr>
                  <w:r w:rsidRPr="002B04F9">
                    <w:rPr>
                      <w:b/>
                      <w:sz w:val="48"/>
                    </w:rPr>
                    <w:t xml:space="preserve">Guidelines </w:t>
                  </w:r>
                  <w:r w:rsidR="00CD105A" w:rsidRPr="002B04F9">
                    <w:rPr>
                      <w:rFonts w:ascii="ZapfDingbats" w:eastAsia="ZapfDingbats" w:hAnsi="ZapfDingbats" w:cs="ZapfDingbats"/>
                      <w:b/>
                      <w:sz w:val="32"/>
                    </w:rPr>
                    <w:t>u</w:t>
                  </w:r>
                  <w:r w:rsidRPr="002B04F9">
                    <w:rPr>
                      <w:b/>
                      <w:sz w:val="48"/>
                    </w:rPr>
                    <w:t xml:space="preserve"> Instructions </w:t>
                  </w:r>
                  <w:r w:rsidR="00CD105A" w:rsidRPr="002B04F9">
                    <w:rPr>
                      <w:rFonts w:ascii="ZapfDingbats" w:eastAsia="ZapfDingbats" w:hAnsi="ZapfDingbats" w:cs="ZapfDingbats"/>
                      <w:b/>
                      <w:sz w:val="32"/>
                    </w:rPr>
                    <w:t>u</w:t>
                  </w:r>
                  <w:r w:rsidRPr="002B04F9">
                    <w:rPr>
                      <w:b/>
                      <w:sz w:val="48"/>
                    </w:rPr>
                    <w:t xml:space="preserve"> Assurances</w:t>
                  </w:r>
                </w:p>
              </w:tc>
            </w:tr>
          </w:tbl>
          <w:p w14:paraId="34BE998E" w14:textId="77777777" w:rsidR="007205F0" w:rsidRPr="002B04F9" w:rsidRDefault="007205F0" w:rsidP="005E6FCF">
            <w:pPr>
              <w:pStyle w:val="Heading3"/>
              <w:rPr>
                <w:smallCaps/>
              </w:rPr>
            </w:pPr>
          </w:p>
          <w:p w14:paraId="0F15ACD6" w14:textId="77777777" w:rsidR="007205F0" w:rsidRPr="002B04F9" w:rsidRDefault="007205F0" w:rsidP="005E6FCF">
            <w:pPr>
              <w:jc w:val="center"/>
              <w:rPr>
                <w:b/>
                <w:sz w:val="36"/>
              </w:rPr>
            </w:pPr>
          </w:p>
          <w:p w14:paraId="4D9455D3" w14:textId="77777777" w:rsidR="007205F0" w:rsidRPr="002B04F9" w:rsidRDefault="007205F0" w:rsidP="005E6FCF">
            <w:pPr>
              <w:jc w:val="center"/>
              <w:rPr>
                <w:b/>
                <w:sz w:val="36"/>
              </w:rPr>
            </w:pPr>
          </w:p>
          <w:p w14:paraId="4EAD4F73" w14:textId="77777777" w:rsidR="00B8196B" w:rsidRPr="002B04F9" w:rsidRDefault="00B8196B" w:rsidP="005E6FCF">
            <w:pPr>
              <w:jc w:val="center"/>
              <w:rPr>
                <w:b/>
                <w:sz w:val="36"/>
              </w:rPr>
            </w:pPr>
            <w:r w:rsidRPr="002B04F9">
              <w:rPr>
                <w:b/>
                <w:sz w:val="36"/>
              </w:rPr>
              <w:t>Application Submission Date:</w:t>
            </w:r>
          </w:p>
          <w:p w14:paraId="69CDD9C6" w14:textId="147001C3" w:rsidR="00B8196B" w:rsidRPr="002B04F9" w:rsidRDefault="007C4E76" w:rsidP="005E6FCF">
            <w:pPr>
              <w:jc w:val="center"/>
              <w:rPr>
                <w:b/>
                <w:sz w:val="36"/>
              </w:rPr>
            </w:pPr>
            <w:r w:rsidRPr="002B04F9">
              <w:rPr>
                <w:b/>
                <w:sz w:val="36"/>
              </w:rPr>
              <w:t xml:space="preserve">July </w:t>
            </w:r>
            <w:r w:rsidR="00F91930" w:rsidRPr="002B04F9">
              <w:rPr>
                <w:b/>
                <w:sz w:val="36"/>
              </w:rPr>
              <w:t>1</w:t>
            </w:r>
            <w:r w:rsidRPr="002B04F9">
              <w:rPr>
                <w:b/>
                <w:sz w:val="36"/>
              </w:rPr>
              <w:t xml:space="preserve">, </w:t>
            </w:r>
            <w:r w:rsidR="00E4106D">
              <w:rPr>
                <w:b/>
                <w:sz w:val="36"/>
              </w:rPr>
              <w:t>2024</w:t>
            </w:r>
          </w:p>
          <w:p w14:paraId="19286975" w14:textId="77777777" w:rsidR="00B8196B" w:rsidRPr="002B04F9" w:rsidRDefault="00B8196B" w:rsidP="005E6FCF">
            <w:pPr>
              <w:jc w:val="center"/>
              <w:rPr>
                <w:b/>
                <w:sz w:val="36"/>
              </w:rPr>
            </w:pPr>
          </w:p>
          <w:p w14:paraId="616B551E" w14:textId="77777777" w:rsidR="00B8196B" w:rsidRPr="002B04F9" w:rsidRDefault="00B8196B" w:rsidP="005E6FCF">
            <w:pPr>
              <w:jc w:val="center"/>
              <w:rPr>
                <w:b/>
                <w:sz w:val="36"/>
              </w:rPr>
            </w:pPr>
          </w:p>
          <w:p w14:paraId="6DAD5130" w14:textId="77777777" w:rsidR="00B8196B" w:rsidRPr="002B04F9" w:rsidRDefault="00B8196B" w:rsidP="005E6FCF">
            <w:pPr>
              <w:jc w:val="center"/>
              <w:rPr>
                <w:b/>
                <w:sz w:val="36"/>
              </w:rPr>
            </w:pPr>
          </w:p>
          <w:p w14:paraId="2D1090DB" w14:textId="77777777" w:rsidR="00B8196B" w:rsidRPr="002B04F9" w:rsidRDefault="00B8196B" w:rsidP="005E6FCF">
            <w:pPr>
              <w:jc w:val="center"/>
              <w:rPr>
                <w:b/>
                <w:sz w:val="36"/>
              </w:rPr>
            </w:pPr>
            <w:r w:rsidRPr="002B04F9">
              <w:rPr>
                <w:b/>
                <w:sz w:val="36"/>
              </w:rPr>
              <w:t xml:space="preserve">ESEA Grant Award Period: </w:t>
            </w:r>
          </w:p>
          <w:p w14:paraId="6F91E31E" w14:textId="3095FCBE" w:rsidR="00B8196B" w:rsidRPr="002B04F9" w:rsidRDefault="00B8196B" w:rsidP="005E6FCF">
            <w:pPr>
              <w:jc w:val="center"/>
              <w:rPr>
                <w:b/>
                <w:sz w:val="36"/>
              </w:rPr>
            </w:pPr>
            <w:r w:rsidRPr="002B04F9">
              <w:rPr>
                <w:b/>
                <w:sz w:val="36"/>
              </w:rPr>
              <w:t xml:space="preserve">July </w:t>
            </w:r>
            <w:r w:rsidR="00F91930" w:rsidRPr="002B04F9">
              <w:rPr>
                <w:b/>
                <w:sz w:val="36"/>
              </w:rPr>
              <w:t>1</w:t>
            </w:r>
            <w:r w:rsidRPr="002B04F9">
              <w:rPr>
                <w:b/>
                <w:sz w:val="36"/>
              </w:rPr>
              <w:t xml:space="preserve">, </w:t>
            </w:r>
            <w:r w:rsidR="00E4106D">
              <w:rPr>
                <w:b/>
                <w:sz w:val="36"/>
              </w:rPr>
              <w:t>2024</w:t>
            </w:r>
            <w:r w:rsidRPr="002B04F9">
              <w:rPr>
                <w:b/>
                <w:sz w:val="36"/>
              </w:rPr>
              <w:t xml:space="preserve"> – September 30, </w:t>
            </w:r>
            <w:r w:rsidR="00E4106D">
              <w:rPr>
                <w:b/>
                <w:sz w:val="36"/>
              </w:rPr>
              <w:t>2025</w:t>
            </w:r>
          </w:p>
          <w:p w14:paraId="4AC2F3A1" w14:textId="77777777" w:rsidR="007205F0" w:rsidRPr="002B04F9" w:rsidRDefault="007205F0" w:rsidP="005E6FCF">
            <w:pPr>
              <w:jc w:val="center"/>
              <w:rPr>
                <w:b/>
                <w:color w:val="FF0000"/>
              </w:rPr>
            </w:pPr>
          </w:p>
          <w:p w14:paraId="34093989" w14:textId="77777777" w:rsidR="007205F0" w:rsidRPr="002B04F9" w:rsidRDefault="007205F0" w:rsidP="005E6FCF">
            <w:pPr>
              <w:jc w:val="center"/>
              <w:rPr>
                <w:b/>
              </w:rPr>
            </w:pPr>
          </w:p>
          <w:p w14:paraId="60F112A3" w14:textId="77777777" w:rsidR="007205F0" w:rsidRPr="002B04F9" w:rsidRDefault="007205F0" w:rsidP="005E6FCF">
            <w:pPr>
              <w:jc w:val="center"/>
              <w:rPr>
                <w:b/>
                <w:sz w:val="40"/>
              </w:rPr>
            </w:pPr>
          </w:p>
          <w:p w14:paraId="1B64D733" w14:textId="77777777" w:rsidR="007205F0" w:rsidRPr="002B04F9" w:rsidRDefault="007205F0" w:rsidP="005E6FCF">
            <w:pPr>
              <w:jc w:val="center"/>
              <w:rPr>
                <w:b/>
              </w:rPr>
            </w:pPr>
          </w:p>
          <w:p w14:paraId="06A08D28" w14:textId="77777777" w:rsidR="007205F0" w:rsidRPr="002B04F9" w:rsidRDefault="007205F0" w:rsidP="005E6FCF">
            <w:pPr>
              <w:jc w:val="center"/>
              <w:rPr>
                <w:b/>
              </w:rPr>
            </w:pPr>
          </w:p>
          <w:p w14:paraId="5853F1E6" w14:textId="77777777" w:rsidR="007205F0" w:rsidRPr="002B04F9" w:rsidRDefault="007205F0" w:rsidP="005E6FCF">
            <w:pPr>
              <w:jc w:val="center"/>
              <w:rPr>
                <w:b/>
                <w:sz w:val="24"/>
              </w:rPr>
            </w:pPr>
            <w:smartTag w:uri="urn:schemas-microsoft-com:office:smarttags" w:element="place">
              <w:smartTag w:uri="urn:schemas-microsoft-com:office:smarttags" w:element="PlaceName">
                <w:r w:rsidRPr="002B04F9">
                  <w:rPr>
                    <w:b/>
                    <w:sz w:val="24"/>
                  </w:rPr>
                  <w:t>Virginia</w:t>
                </w:r>
              </w:smartTag>
              <w:r w:rsidRPr="002B04F9">
                <w:rPr>
                  <w:b/>
                  <w:sz w:val="24"/>
                </w:rPr>
                <w:t xml:space="preserve"> </w:t>
              </w:r>
              <w:smartTag w:uri="urn:schemas-microsoft-com:office:smarttags" w:element="PlaceName">
                <w:r w:rsidRPr="002B04F9">
                  <w:rPr>
                    <w:b/>
                    <w:sz w:val="24"/>
                  </w:rPr>
                  <w:t>Department</w:t>
                </w:r>
              </w:smartTag>
            </w:smartTag>
            <w:r w:rsidRPr="002B04F9">
              <w:rPr>
                <w:b/>
                <w:sz w:val="24"/>
              </w:rPr>
              <w:t xml:space="preserve"> of Education</w:t>
            </w:r>
          </w:p>
          <w:p w14:paraId="12DED85B" w14:textId="01F27F4B" w:rsidR="00350944" w:rsidRPr="002B04F9" w:rsidRDefault="00392E09" w:rsidP="005E6FCF">
            <w:pPr>
              <w:jc w:val="center"/>
              <w:rPr>
                <w:b/>
                <w:sz w:val="24"/>
              </w:rPr>
            </w:pPr>
            <w:r w:rsidRPr="002B04F9">
              <w:rPr>
                <w:b/>
                <w:bCs/>
                <w:sz w:val="24"/>
              </w:rPr>
              <w:t>Department of Student Assessment, Accountability &amp; ESEA Programs</w:t>
            </w:r>
          </w:p>
          <w:p w14:paraId="26049963" w14:textId="0A1EDAAD" w:rsidR="007205F0" w:rsidRPr="002B04F9" w:rsidRDefault="00350944" w:rsidP="005E6FCF">
            <w:pPr>
              <w:jc w:val="center"/>
              <w:rPr>
                <w:b/>
                <w:sz w:val="24"/>
              </w:rPr>
            </w:pPr>
            <w:r w:rsidRPr="002B04F9">
              <w:rPr>
                <w:b/>
                <w:sz w:val="24"/>
              </w:rPr>
              <w:t>Office of ESEA Programs</w:t>
            </w:r>
          </w:p>
          <w:p w14:paraId="197D354C" w14:textId="77777777" w:rsidR="007205F0" w:rsidRPr="002B04F9" w:rsidRDefault="007205F0" w:rsidP="005E6FCF">
            <w:pPr>
              <w:jc w:val="center"/>
              <w:rPr>
                <w:b/>
                <w:sz w:val="24"/>
              </w:rPr>
            </w:pPr>
            <w:smartTag w:uri="urn:schemas-microsoft-com:office:smarttags" w:element="address">
              <w:smartTag w:uri="urn:schemas-microsoft-com:office:smarttags" w:element="Street">
                <w:r w:rsidRPr="002B04F9">
                  <w:rPr>
                    <w:b/>
                    <w:sz w:val="24"/>
                  </w:rPr>
                  <w:t>P. O. Box</w:t>
                </w:r>
              </w:smartTag>
              <w:r w:rsidRPr="002B04F9">
                <w:rPr>
                  <w:b/>
                  <w:sz w:val="24"/>
                </w:rPr>
                <w:t xml:space="preserve"> 2120</w:t>
              </w:r>
            </w:smartTag>
          </w:p>
          <w:p w14:paraId="73725F47" w14:textId="77777777" w:rsidR="007205F0" w:rsidRPr="002B04F9" w:rsidRDefault="007205F0" w:rsidP="005E6FCF">
            <w:pPr>
              <w:spacing w:after="180"/>
              <w:jc w:val="center"/>
              <w:rPr>
                <w:b/>
                <w:sz w:val="22"/>
              </w:rPr>
            </w:pPr>
            <w:r w:rsidRPr="002B04F9">
              <w:rPr>
                <w:b/>
                <w:sz w:val="24"/>
              </w:rPr>
              <w:t>Richmond, VA 23218-2120</w:t>
            </w:r>
          </w:p>
        </w:tc>
      </w:tr>
    </w:tbl>
    <w:p w14:paraId="5A71DA1C" w14:textId="77777777" w:rsidR="00E70E77" w:rsidRPr="002B04F9" w:rsidRDefault="00E70E77" w:rsidP="005E6FCF">
      <w:pPr>
        <w:pStyle w:val="Heading1"/>
        <w:ind w:left="0" w:firstLine="0"/>
        <w:jc w:val="center"/>
        <w:rPr>
          <w:b/>
          <w:bCs/>
          <w:sz w:val="22"/>
          <w:u w:val="none"/>
        </w:rPr>
      </w:pPr>
    </w:p>
    <w:p w14:paraId="6675A9CC" w14:textId="6037DEF9" w:rsidR="007205F0" w:rsidRPr="002B04F9" w:rsidRDefault="007205F0" w:rsidP="005E6FCF">
      <w:pPr>
        <w:pStyle w:val="Heading1"/>
        <w:ind w:left="0" w:firstLine="0"/>
        <w:jc w:val="center"/>
        <w:rPr>
          <w:b/>
          <w:bCs/>
          <w:sz w:val="22"/>
          <w:u w:val="none"/>
        </w:rPr>
      </w:pPr>
      <w:r w:rsidRPr="002B04F9">
        <w:rPr>
          <w:b/>
          <w:bCs/>
          <w:sz w:val="22"/>
          <w:u w:val="none"/>
        </w:rPr>
        <w:t>Application Guidelines</w:t>
      </w:r>
    </w:p>
    <w:p w14:paraId="4AFFF73D" w14:textId="77777777" w:rsidR="007205F0" w:rsidRPr="002B04F9" w:rsidRDefault="007205F0" w:rsidP="005E6FCF">
      <w:pPr>
        <w:pStyle w:val="Heading1"/>
        <w:ind w:left="0" w:firstLine="0"/>
        <w:rPr>
          <w:b/>
          <w:bCs/>
          <w:sz w:val="22"/>
          <w:u w:val="none"/>
        </w:rPr>
      </w:pPr>
    </w:p>
    <w:p w14:paraId="58BCA9DD" w14:textId="77777777" w:rsidR="007205F0" w:rsidRPr="002B04F9" w:rsidRDefault="007205F0" w:rsidP="005E6FCF">
      <w:pPr>
        <w:pStyle w:val="Heading1"/>
        <w:ind w:left="0" w:firstLine="0"/>
        <w:rPr>
          <w:b/>
          <w:bCs/>
          <w:sz w:val="22"/>
        </w:rPr>
      </w:pPr>
      <w:r w:rsidRPr="002B04F9">
        <w:rPr>
          <w:b/>
          <w:bCs/>
          <w:sz w:val="22"/>
        </w:rPr>
        <w:t>Purpose of Program and General Use of Funds</w:t>
      </w:r>
      <w:r w:rsidR="009875B9" w:rsidRPr="002B04F9">
        <w:rPr>
          <w:b/>
          <w:bCs/>
          <w:sz w:val="22"/>
        </w:rPr>
        <w:t xml:space="preserve"> </w:t>
      </w:r>
    </w:p>
    <w:p w14:paraId="58CD60CB" w14:textId="77777777" w:rsidR="00B8196B" w:rsidRPr="002B04F9" w:rsidRDefault="005E48E9" w:rsidP="005E6FCF">
      <w:pPr>
        <w:rPr>
          <w:sz w:val="22"/>
          <w:szCs w:val="22"/>
        </w:rPr>
      </w:pPr>
      <w:r w:rsidRPr="002B04F9">
        <w:rPr>
          <w:sz w:val="22"/>
        </w:rPr>
        <w:t xml:space="preserve">The </w:t>
      </w:r>
      <w:r w:rsidR="00CA4DBD" w:rsidRPr="002B04F9">
        <w:rPr>
          <w:sz w:val="22"/>
        </w:rPr>
        <w:t>overarching purpose of the grant</w:t>
      </w:r>
      <w:r w:rsidR="007205F0" w:rsidRPr="002B04F9">
        <w:rPr>
          <w:sz w:val="22"/>
        </w:rPr>
        <w:t xml:space="preserve"> is to </w:t>
      </w:r>
      <w:r w:rsidR="007205F0" w:rsidRPr="002B04F9">
        <w:rPr>
          <w:sz w:val="22"/>
          <w:szCs w:val="22"/>
        </w:rPr>
        <w:t>support</w:t>
      </w:r>
      <w:r w:rsidR="00B8196B" w:rsidRPr="002B04F9">
        <w:rPr>
          <w:sz w:val="22"/>
          <w:szCs w:val="22"/>
        </w:rPr>
        <w:t xml:space="preserve"> </w:t>
      </w:r>
      <w:r w:rsidR="00724525" w:rsidRPr="002B04F9">
        <w:rPr>
          <w:sz w:val="22"/>
          <w:szCs w:val="22"/>
        </w:rPr>
        <w:t>student achievement under Virginia’s Accountability Plan provisions, including the following</w:t>
      </w:r>
      <w:r w:rsidR="00B8196B" w:rsidRPr="002B04F9">
        <w:rPr>
          <w:sz w:val="22"/>
          <w:szCs w:val="22"/>
        </w:rPr>
        <w:t>:</w:t>
      </w:r>
    </w:p>
    <w:p w14:paraId="5A073FF5" w14:textId="52889445" w:rsidR="00940979" w:rsidRPr="002B04F9" w:rsidRDefault="00940979" w:rsidP="005E6FCF">
      <w:pPr>
        <w:numPr>
          <w:ilvl w:val="0"/>
          <w:numId w:val="22"/>
        </w:numPr>
        <w:spacing w:after="200" w:line="276" w:lineRule="auto"/>
        <w:contextualSpacing/>
        <w:rPr>
          <w:rFonts w:eastAsia="Calibri"/>
          <w:sz w:val="22"/>
          <w:szCs w:val="22"/>
        </w:rPr>
      </w:pPr>
      <w:r w:rsidRPr="002B04F9">
        <w:rPr>
          <w:rFonts w:eastAsia="Calibri"/>
          <w:sz w:val="22"/>
          <w:szCs w:val="22"/>
        </w:rPr>
        <w:t>Supporting student mastery of K-12 college and career</w:t>
      </w:r>
      <w:r w:rsidR="00CA015E" w:rsidRPr="002B04F9">
        <w:rPr>
          <w:rFonts w:eastAsia="Calibri"/>
          <w:sz w:val="22"/>
          <w:szCs w:val="22"/>
        </w:rPr>
        <w:t>-</w:t>
      </w:r>
      <w:r w:rsidRPr="002B04F9">
        <w:rPr>
          <w:rFonts w:eastAsia="Calibri"/>
          <w:sz w:val="22"/>
          <w:szCs w:val="22"/>
        </w:rPr>
        <w:t xml:space="preserve">ready reading and mathematics standards, and attainment of proficiency or better on corresponding </w:t>
      </w:r>
      <w:proofErr w:type="gramStart"/>
      <w:r w:rsidRPr="002B04F9">
        <w:rPr>
          <w:rFonts w:eastAsia="Calibri"/>
          <w:sz w:val="22"/>
          <w:szCs w:val="22"/>
        </w:rPr>
        <w:t>assessments;</w:t>
      </w:r>
      <w:proofErr w:type="gramEnd"/>
    </w:p>
    <w:p w14:paraId="632D8FA4" w14:textId="77777777" w:rsidR="00940979" w:rsidRPr="002B04F9" w:rsidRDefault="009A1406" w:rsidP="005E6FCF">
      <w:pPr>
        <w:numPr>
          <w:ilvl w:val="0"/>
          <w:numId w:val="22"/>
        </w:numPr>
        <w:spacing w:after="200" w:line="276" w:lineRule="auto"/>
        <w:contextualSpacing/>
        <w:rPr>
          <w:rFonts w:ascii="Calibri" w:eastAsia="Calibri" w:hAnsi="Calibri"/>
          <w:sz w:val="22"/>
          <w:szCs w:val="22"/>
        </w:rPr>
      </w:pPr>
      <w:r w:rsidRPr="002B04F9">
        <w:rPr>
          <w:rFonts w:eastAsia="Calibri"/>
          <w:sz w:val="22"/>
          <w:szCs w:val="22"/>
        </w:rPr>
        <w:t>For high schools with a graduating class, s</w:t>
      </w:r>
      <w:r w:rsidR="00940979" w:rsidRPr="002B04F9">
        <w:rPr>
          <w:rFonts w:eastAsia="Calibri"/>
          <w:sz w:val="22"/>
          <w:szCs w:val="22"/>
        </w:rPr>
        <w:t>upporting student completion of graduation requirements in a timely fashion; and</w:t>
      </w:r>
    </w:p>
    <w:p w14:paraId="65EC6729" w14:textId="77777777" w:rsidR="00940979" w:rsidRPr="002B04F9" w:rsidRDefault="00940979" w:rsidP="005E6FCF">
      <w:pPr>
        <w:numPr>
          <w:ilvl w:val="0"/>
          <w:numId w:val="22"/>
        </w:numPr>
        <w:spacing w:after="200" w:line="276" w:lineRule="auto"/>
        <w:contextualSpacing/>
        <w:rPr>
          <w:rFonts w:eastAsia="Calibri"/>
          <w:sz w:val="22"/>
          <w:szCs w:val="22"/>
        </w:rPr>
      </w:pPr>
      <w:r w:rsidRPr="002B04F9">
        <w:rPr>
          <w:rFonts w:eastAsia="Calibri"/>
          <w:sz w:val="22"/>
          <w:szCs w:val="22"/>
        </w:rPr>
        <w:t>Ensuring that students are taught by effective teachers meeting Virginia licensing and professional teaching requirements and providing meaningful professional development and support to promote effective instruction to increase student achievement.</w:t>
      </w:r>
    </w:p>
    <w:p w14:paraId="393E6EE8" w14:textId="77777777" w:rsidR="00724525" w:rsidRPr="002B04F9" w:rsidRDefault="00CA4DBD" w:rsidP="005E6FCF">
      <w:pPr>
        <w:pStyle w:val="Heading1"/>
        <w:ind w:left="0" w:firstLine="0"/>
        <w:rPr>
          <w:sz w:val="22"/>
          <w:u w:val="none"/>
        </w:rPr>
      </w:pPr>
      <w:r w:rsidRPr="002B04F9">
        <w:rPr>
          <w:sz w:val="22"/>
          <w:u w:val="none"/>
        </w:rPr>
        <w:t>Title II, Part A,</w:t>
      </w:r>
      <w:r w:rsidR="007205F0" w:rsidRPr="002B04F9">
        <w:rPr>
          <w:sz w:val="22"/>
          <w:u w:val="none"/>
        </w:rPr>
        <w:t xml:space="preserve"> funds are to be used to develop instructional programs that</w:t>
      </w:r>
      <w:r w:rsidR="00724525" w:rsidRPr="002B04F9">
        <w:rPr>
          <w:sz w:val="22"/>
          <w:u w:val="none"/>
        </w:rPr>
        <w:t>:</w:t>
      </w:r>
    </w:p>
    <w:p w14:paraId="2B317A0C" w14:textId="77777777" w:rsidR="00724525" w:rsidRPr="002B04F9" w:rsidRDefault="00724525" w:rsidP="005E6FCF">
      <w:pPr>
        <w:pStyle w:val="Heading1"/>
        <w:numPr>
          <w:ilvl w:val="0"/>
          <w:numId w:val="26"/>
        </w:numPr>
        <w:rPr>
          <w:sz w:val="22"/>
          <w:u w:val="none"/>
        </w:rPr>
      </w:pPr>
      <w:r w:rsidRPr="002B04F9">
        <w:rPr>
          <w:sz w:val="22"/>
          <w:u w:val="none"/>
        </w:rPr>
        <w:t>I</w:t>
      </w:r>
      <w:r w:rsidR="007205F0" w:rsidRPr="002B04F9">
        <w:rPr>
          <w:sz w:val="22"/>
          <w:u w:val="none"/>
        </w:rPr>
        <w:t xml:space="preserve">ncrease student academic achievement </w:t>
      </w:r>
      <w:r w:rsidRPr="002B04F9">
        <w:rPr>
          <w:sz w:val="22"/>
          <w:u w:val="none"/>
        </w:rPr>
        <w:t xml:space="preserve">consistent with challenging state academic </w:t>
      </w:r>
      <w:proofErr w:type="gramStart"/>
      <w:r w:rsidRPr="002B04F9">
        <w:rPr>
          <w:sz w:val="22"/>
          <w:u w:val="none"/>
        </w:rPr>
        <w:t>standards;</w:t>
      </w:r>
      <w:proofErr w:type="gramEnd"/>
    </w:p>
    <w:p w14:paraId="2423E7F1" w14:textId="77777777" w:rsidR="00724525" w:rsidRPr="002B04F9" w:rsidRDefault="00724525" w:rsidP="005E6FCF">
      <w:pPr>
        <w:pStyle w:val="Heading1"/>
        <w:numPr>
          <w:ilvl w:val="0"/>
          <w:numId w:val="26"/>
        </w:numPr>
        <w:rPr>
          <w:sz w:val="22"/>
          <w:u w:val="none"/>
        </w:rPr>
      </w:pPr>
      <w:r w:rsidRPr="002B04F9">
        <w:rPr>
          <w:sz w:val="22"/>
          <w:u w:val="none"/>
        </w:rPr>
        <w:t xml:space="preserve">Improve the quality and effectiveness of teachers, principals, and other school </w:t>
      </w:r>
      <w:proofErr w:type="gramStart"/>
      <w:r w:rsidRPr="002B04F9">
        <w:rPr>
          <w:sz w:val="22"/>
          <w:u w:val="none"/>
        </w:rPr>
        <w:t>leaders;</w:t>
      </w:r>
      <w:proofErr w:type="gramEnd"/>
    </w:p>
    <w:p w14:paraId="1085CA44" w14:textId="77777777" w:rsidR="00724525" w:rsidRPr="002B04F9" w:rsidRDefault="00724525" w:rsidP="005E6FCF">
      <w:pPr>
        <w:pStyle w:val="Heading1"/>
        <w:numPr>
          <w:ilvl w:val="0"/>
          <w:numId w:val="26"/>
        </w:numPr>
        <w:rPr>
          <w:sz w:val="22"/>
          <w:u w:val="none"/>
        </w:rPr>
      </w:pPr>
      <w:r w:rsidRPr="002B04F9">
        <w:rPr>
          <w:sz w:val="22"/>
          <w:u w:val="none"/>
        </w:rPr>
        <w:t>Increase the number of teachers, principals, and other school leaders who are effective in improving student academic achievement in schools; and</w:t>
      </w:r>
    </w:p>
    <w:p w14:paraId="77AD51A4" w14:textId="77777777" w:rsidR="00724525" w:rsidRPr="002B04F9" w:rsidRDefault="00724525" w:rsidP="005E6FCF">
      <w:pPr>
        <w:pStyle w:val="Heading1"/>
        <w:numPr>
          <w:ilvl w:val="0"/>
          <w:numId w:val="26"/>
        </w:numPr>
        <w:rPr>
          <w:sz w:val="22"/>
          <w:u w:val="none"/>
        </w:rPr>
      </w:pPr>
      <w:r w:rsidRPr="002B04F9">
        <w:rPr>
          <w:sz w:val="22"/>
          <w:u w:val="none"/>
        </w:rPr>
        <w:t>Provide low-income and minority students greater access to effective teachers, principals, and other school leaders.</w:t>
      </w:r>
    </w:p>
    <w:p w14:paraId="4F21F098" w14:textId="77777777" w:rsidR="003A6B63" w:rsidRPr="002B04F9" w:rsidRDefault="003A6B63" w:rsidP="005E6FCF"/>
    <w:p w14:paraId="6417E656" w14:textId="77777777" w:rsidR="007205F0" w:rsidRPr="002B04F9" w:rsidRDefault="007205F0" w:rsidP="005E6FCF">
      <w:pPr>
        <w:pStyle w:val="Heading1"/>
        <w:ind w:left="0" w:firstLine="0"/>
        <w:rPr>
          <w:b/>
          <w:bCs/>
          <w:sz w:val="22"/>
        </w:rPr>
      </w:pPr>
      <w:r w:rsidRPr="002B04F9">
        <w:rPr>
          <w:b/>
          <w:bCs/>
          <w:sz w:val="22"/>
        </w:rPr>
        <w:t>Application Submission and Approval Deadline</w:t>
      </w:r>
    </w:p>
    <w:p w14:paraId="03EC5966" w14:textId="7DE41035" w:rsidR="00F7266C" w:rsidRPr="002B04F9" w:rsidRDefault="00F7266C" w:rsidP="005E6FCF">
      <w:pPr>
        <w:numPr>
          <w:ilvl w:val="0"/>
          <w:numId w:val="6"/>
        </w:numPr>
        <w:rPr>
          <w:b/>
          <w:bCs/>
          <w:sz w:val="22"/>
          <w:u w:val="single"/>
        </w:rPr>
      </w:pPr>
      <w:r w:rsidRPr="002B04F9">
        <w:rPr>
          <w:sz w:val="22"/>
        </w:rPr>
        <w:t xml:space="preserve">The consolidated or individual application submission date is by </w:t>
      </w:r>
      <w:r w:rsidR="00F91930" w:rsidRPr="002B04F9">
        <w:rPr>
          <w:sz w:val="22"/>
        </w:rPr>
        <w:t>J</w:t>
      </w:r>
      <w:r w:rsidR="00FA6F17" w:rsidRPr="002B04F9">
        <w:rPr>
          <w:sz w:val="22"/>
        </w:rPr>
        <w:t xml:space="preserve">uly </w:t>
      </w:r>
      <w:r w:rsidR="00F91930" w:rsidRPr="002B04F9">
        <w:rPr>
          <w:sz w:val="22"/>
        </w:rPr>
        <w:t>1</w:t>
      </w:r>
      <w:r w:rsidRPr="002B04F9">
        <w:rPr>
          <w:sz w:val="22"/>
        </w:rPr>
        <w:t xml:space="preserve">, </w:t>
      </w:r>
      <w:r w:rsidR="00E4106D">
        <w:rPr>
          <w:sz w:val="22"/>
        </w:rPr>
        <w:t>2024</w:t>
      </w:r>
      <w:r w:rsidRPr="002B04F9">
        <w:rPr>
          <w:sz w:val="22"/>
        </w:rPr>
        <w:t>; the application may be submitted prior to July 1.</w:t>
      </w:r>
    </w:p>
    <w:p w14:paraId="1D2E3D9A" w14:textId="74CA307B" w:rsidR="00F7266C" w:rsidRPr="002B04F9" w:rsidRDefault="00F7266C" w:rsidP="005E6FCF">
      <w:pPr>
        <w:numPr>
          <w:ilvl w:val="0"/>
          <w:numId w:val="6"/>
        </w:numPr>
        <w:rPr>
          <w:b/>
          <w:bCs/>
          <w:sz w:val="22"/>
          <w:u w:val="single"/>
        </w:rPr>
      </w:pPr>
      <w:r w:rsidRPr="002B04F9">
        <w:rPr>
          <w:sz w:val="22"/>
        </w:rPr>
        <w:t xml:space="preserve">A school division that submits an approvable application by July </w:t>
      </w:r>
      <w:r w:rsidR="00F91930" w:rsidRPr="002B04F9">
        <w:rPr>
          <w:sz w:val="22"/>
        </w:rPr>
        <w:t>1</w:t>
      </w:r>
      <w:r w:rsidRPr="002B04F9">
        <w:rPr>
          <w:sz w:val="22"/>
        </w:rPr>
        <w:t xml:space="preserve">, </w:t>
      </w:r>
      <w:r w:rsidR="00E4106D">
        <w:rPr>
          <w:sz w:val="22"/>
        </w:rPr>
        <w:t>2024</w:t>
      </w:r>
      <w:r w:rsidRPr="002B04F9">
        <w:rPr>
          <w:sz w:val="22"/>
        </w:rPr>
        <w:t xml:space="preserve">, will have the </w:t>
      </w:r>
      <w:r w:rsidR="00E4106D">
        <w:rPr>
          <w:sz w:val="22"/>
        </w:rPr>
        <w:t>2024</w:t>
      </w:r>
      <w:r w:rsidRPr="002B04F9">
        <w:rPr>
          <w:sz w:val="22"/>
        </w:rPr>
        <w:t>-</w:t>
      </w:r>
      <w:r w:rsidR="00E4106D">
        <w:rPr>
          <w:sz w:val="22"/>
        </w:rPr>
        <w:t>2025</w:t>
      </w:r>
      <w:r w:rsidRPr="002B04F9">
        <w:rPr>
          <w:sz w:val="22"/>
        </w:rPr>
        <w:t xml:space="preserve"> funds available on a reimbursement basis as of July </w:t>
      </w:r>
      <w:r w:rsidR="00F91930" w:rsidRPr="002B04F9">
        <w:rPr>
          <w:sz w:val="22"/>
        </w:rPr>
        <w:t>1</w:t>
      </w:r>
      <w:r w:rsidRPr="002B04F9">
        <w:rPr>
          <w:sz w:val="22"/>
        </w:rPr>
        <w:t xml:space="preserve">, </w:t>
      </w:r>
      <w:r w:rsidR="00E4106D">
        <w:rPr>
          <w:sz w:val="22"/>
        </w:rPr>
        <w:t>2024</w:t>
      </w:r>
      <w:r w:rsidRPr="002B04F9">
        <w:rPr>
          <w:sz w:val="22"/>
        </w:rPr>
        <w:t xml:space="preserve">.  A school division that submits an approvable application after July 1, </w:t>
      </w:r>
      <w:r w:rsidR="00E4106D">
        <w:rPr>
          <w:sz w:val="22"/>
        </w:rPr>
        <w:t>2024</w:t>
      </w:r>
      <w:r w:rsidRPr="002B04F9">
        <w:rPr>
          <w:sz w:val="22"/>
        </w:rPr>
        <w:t xml:space="preserve">, will have the </w:t>
      </w:r>
      <w:r w:rsidR="00E4106D">
        <w:rPr>
          <w:sz w:val="22"/>
        </w:rPr>
        <w:t>2024</w:t>
      </w:r>
      <w:r w:rsidR="00B2001A" w:rsidRPr="002B04F9">
        <w:rPr>
          <w:sz w:val="22"/>
        </w:rPr>
        <w:t>-</w:t>
      </w:r>
      <w:r w:rsidR="00E4106D">
        <w:rPr>
          <w:sz w:val="22"/>
        </w:rPr>
        <w:t>2025</w:t>
      </w:r>
      <w:r w:rsidR="00B2001A" w:rsidRPr="002B04F9">
        <w:rPr>
          <w:sz w:val="22"/>
        </w:rPr>
        <w:t xml:space="preserve"> </w:t>
      </w:r>
      <w:r w:rsidRPr="002B04F9">
        <w:rPr>
          <w:sz w:val="22"/>
        </w:rPr>
        <w:t xml:space="preserve">funds available on a reimbursement basis as of the date the application is received at the Department.  </w:t>
      </w:r>
    </w:p>
    <w:p w14:paraId="11FE027B" w14:textId="77777777" w:rsidR="00F7266C" w:rsidRPr="002B04F9" w:rsidRDefault="00F7266C" w:rsidP="005E6FCF">
      <w:pPr>
        <w:numPr>
          <w:ilvl w:val="0"/>
          <w:numId w:val="6"/>
        </w:numPr>
        <w:rPr>
          <w:b/>
          <w:bCs/>
          <w:sz w:val="22"/>
          <w:u w:val="single"/>
        </w:rPr>
      </w:pPr>
      <w:r w:rsidRPr="002B04F9">
        <w:rPr>
          <w:sz w:val="22"/>
        </w:rPr>
        <w:t>The division should make every effort to submit program applications by the due date.</w:t>
      </w:r>
    </w:p>
    <w:p w14:paraId="66B88110" w14:textId="24F5E2B8" w:rsidR="00FA77DE" w:rsidRPr="002B04F9" w:rsidRDefault="00FA77DE" w:rsidP="005E6FCF">
      <w:pPr>
        <w:numPr>
          <w:ilvl w:val="0"/>
          <w:numId w:val="6"/>
        </w:numPr>
        <w:rPr>
          <w:b/>
          <w:bCs/>
          <w:sz w:val="22"/>
          <w:u w:val="single"/>
        </w:rPr>
      </w:pPr>
      <w:r w:rsidRPr="002B04F9">
        <w:rPr>
          <w:color w:val="000000"/>
          <w:sz w:val="22"/>
          <w:szCs w:val="22"/>
        </w:rPr>
        <w:t xml:space="preserve">Failure to adhere to the submission deadline may result in funding not being available for otherwise approvable programs and services.  Adherence to program deadlines is one indicator that processes are present to ensure that divisions </w:t>
      </w:r>
      <w:proofErr w:type="gramStart"/>
      <w:r w:rsidRPr="002B04F9">
        <w:rPr>
          <w:color w:val="000000"/>
          <w:sz w:val="22"/>
          <w:szCs w:val="22"/>
        </w:rPr>
        <w:t>implement</w:t>
      </w:r>
      <w:proofErr w:type="gramEnd"/>
      <w:r w:rsidRPr="002B04F9">
        <w:rPr>
          <w:color w:val="000000"/>
          <w:sz w:val="22"/>
          <w:szCs w:val="22"/>
        </w:rPr>
        <w:t xml:space="preserve"> and fund approved activities in a timely manner.</w:t>
      </w:r>
    </w:p>
    <w:p w14:paraId="3D93BD52" w14:textId="77777777" w:rsidR="00F7266C" w:rsidRPr="002B04F9" w:rsidRDefault="00F7266C" w:rsidP="005E6FCF">
      <w:pPr>
        <w:ind w:left="720"/>
        <w:rPr>
          <w:b/>
          <w:bCs/>
          <w:sz w:val="22"/>
          <w:u w:val="single"/>
        </w:rPr>
      </w:pPr>
    </w:p>
    <w:p w14:paraId="67D2CE93" w14:textId="77777777" w:rsidR="007205F0" w:rsidRPr="002B04F9" w:rsidRDefault="007205F0" w:rsidP="005E6FCF">
      <w:pPr>
        <w:rPr>
          <w:b/>
          <w:bCs/>
          <w:sz w:val="22"/>
        </w:rPr>
      </w:pPr>
      <w:r w:rsidRPr="002B04F9">
        <w:rPr>
          <w:b/>
          <w:bCs/>
          <w:sz w:val="22"/>
          <w:u w:val="single"/>
        </w:rPr>
        <w:t>Submissions to the Department of Education</w:t>
      </w:r>
    </w:p>
    <w:p w14:paraId="1D4BCACD" w14:textId="23C8D478" w:rsidR="007205F0" w:rsidRPr="002B04F9" w:rsidRDefault="007205F0" w:rsidP="005E6FCF">
      <w:pPr>
        <w:numPr>
          <w:ilvl w:val="0"/>
          <w:numId w:val="6"/>
        </w:numPr>
        <w:rPr>
          <w:sz w:val="22"/>
        </w:rPr>
      </w:pPr>
      <w:r w:rsidRPr="002B04F9">
        <w:rPr>
          <w:sz w:val="22"/>
        </w:rPr>
        <w:t>Applications will be submitted using the Web-based Online Management of Education Grant Awards (OMEGA) system.  See instructions for the electronic application completion and submission process on page</w:t>
      </w:r>
      <w:r w:rsidR="000A5BFB" w:rsidRPr="002B04F9">
        <w:rPr>
          <w:sz w:val="22"/>
        </w:rPr>
        <w:t>s</w:t>
      </w:r>
      <w:r w:rsidRPr="002B04F9">
        <w:rPr>
          <w:sz w:val="22"/>
        </w:rPr>
        <w:t xml:space="preserve"> 3</w:t>
      </w:r>
      <w:r w:rsidR="000A5BFB" w:rsidRPr="002B04F9">
        <w:rPr>
          <w:sz w:val="22"/>
        </w:rPr>
        <w:t>-4</w:t>
      </w:r>
      <w:r w:rsidRPr="002B04F9">
        <w:rPr>
          <w:sz w:val="22"/>
        </w:rPr>
        <w:t>.</w:t>
      </w:r>
    </w:p>
    <w:p w14:paraId="7FAFD570" w14:textId="3D00379B" w:rsidR="007205F0" w:rsidRPr="002B04F9" w:rsidRDefault="00F71E6D" w:rsidP="005E6FCF">
      <w:pPr>
        <w:numPr>
          <w:ilvl w:val="0"/>
          <w:numId w:val="6"/>
        </w:numPr>
        <w:rPr>
          <w:sz w:val="22"/>
        </w:rPr>
      </w:pPr>
      <w:r w:rsidRPr="002B04F9">
        <w:rPr>
          <w:color w:val="000000"/>
          <w:sz w:val="22"/>
        </w:rPr>
        <w:t xml:space="preserve">The application cover page signed by the division superintendent and the local school board chairperson should be retained and filed at the division level. The signed application cover page </w:t>
      </w:r>
      <w:r w:rsidRPr="002B04F9">
        <w:rPr>
          <w:b/>
          <w:bCs/>
          <w:color w:val="000000"/>
          <w:sz w:val="22"/>
          <w:u w:val="single"/>
        </w:rPr>
        <w:t>should not be submitted</w:t>
      </w:r>
      <w:r w:rsidRPr="002B04F9">
        <w:rPr>
          <w:color w:val="000000"/>
          <w:sz w:val="22"/>
        </w:rPr>
        <w:t xml:space="preserve"> to the Virginia Department of Education.</w:t>
      </w:r>
      <w:r w:rsidR="00BD4778" w:rsidRPr="002B04F9">
        <w:rPr>
          <w:color w:val="000000"/>
          <w:sz w:val="22"/>
        </w:rPr>
        <w:t xml:space="preserve"> </w:t>
      </w:r>
      <w:r w:rsidRPr="002B04F9">
        <w:rPr>
          <w:b/>
          <w:bCs/>
          <w:color w:val="000000"/>
          <w:sz w:val="22"/>
        </w:rPr>
        <w:t>The signed application cover page</w:t>
      </w:r>
      <w:r w:rsidR="00456AC5" w:rsidRPr="002B04F9">
        <w:rPr>
          <w:b/>
          <w:bCs/>
          <w:color w:val="000000"/>
          <w:sz w:val="22"/>
        </w:rPr>
        <w:t>,</w:t>
      </w:r>
      <w:r w:rsidRPr="002B04F9">
        <w:rPr>
          <w:b/>
          <w:bCs/>
          <w:color w:val="000000"/>
          <w:sz w:val="22"/>
        </w:rPr>
        <w:t xml:space="preserve"> retained at the local level</w:t>
      </w:r>
      <w:r w:rsidR="00456AC5" w:rsidRPr="002B04F9">
        <w:rPr>
          <w:b/>
          <w:bCs/>
          <w:color w:val="000000"/>
          <w:sz w:val="22"/>
        </w:rPr>
        <w:t>,</w:t>
      </w:r>
      <w:r w:rsidRPr="002B04F9">
        <w:rPr>
          <w:b/>
          <w:bCs/>
          <w:color w:val="000000"/>
          <w:sz w:val="22"/>
        </w:rPr>
        <w:t xml:space="preserve"> and the online certification by the superintendent</w:t>
      </w:r>
      <w:r w:rsidR="00E17D4B" w:rsidRPr="002B04F9">
        <w:rPr>
          <w:b/>
          <w:bCs/>
          <w:color w:val="000000"/>
          <w:sz w:val="22"/>
        </w:rPr>
        <w:t>,</w:t>
      </w:r>
      <w:r w:rsidRPr="002B04F9">
        <w:rPr>
          <w:b/>
          <w:bCs/>
          <w:color w:val="000000"/>
          <w:sz w:val="22"/>
        </w:rPr>
        <w:t xml:space="preserve"> will indicate compliance with application assurances.</w:t>
      </w:r>
      <w:r w:rsidRPr="002B04F9">
        <w:rPr>
          <w:color w:val="000000"/>
          <w:sz w:val="22"/>
        </w:rPr>
        <w:t xml:space="preserve">  Additional information on assurances is included in the “General Assurances and Program Specific Assurances” section on page 3.</w:t>
      </w:r>
    </w:p>
    <w:p w14:paraId="179C2805" w14:textId="77777777" w:rsidR="007205F0" w:rsidRPr="002B04F9" w:rsidRDefault="007205F0" w:rsidP="005E6FCF">
      <w:pPr>
        <w:ind w:left="1440"/>
        <w:rPr>
          <w:sz w:val="18"/>
        </w:rPr>
      </w:pPr>
    </w:p>
    <w:p w14:paraId="29105610" w14:textId="77777777" w:rsidR="009E228A" w:rsidRPr="002B04F9" w:rsidRDefault="009E228A" w:rsidP="005E6FCF">
      <w:pPr>
        <w:rPr>
          <w:b/>
          <w:bCs/>
          <w:sz w:val="22"/>
          <w:u w:val="single"/>
        </w:rPr>
      </w:pPr>
      <w:r w:rsidRPr="002B04F9">
        <w:rPr>
          <w:b/>
          <w:bCs/>
          <w:sz w:val="22"/>
          <w:u w:val="single"/>
        </w:rPr>
        <w:br w:type="page"/>
      </w:r>
    </w:p>
    <w:p w14:paraId="2A1D3463" w14:textId="77777777" w:rsidR="009E228A" w:rsidRPr="002B04F9" w:rsidRDefault="009E228A" w:rsidP="005E6FCF">
      <w:pPr>
        <w:jc w:val="both"/>
        <w:rPr>
          <w:b/>
          <w:bCs/>
          <w:sz w:val="22"/>
          <w:u w:val="single"/>
        </w:rPr>
      </w:pPr>
    </w:p>
    <w:p w14:paraId="5CB804E2" w14:textId="41530CC2" w:rsidR="007205F0" w:rsidRPr="002B04F9" w:rsidRDefault="007205F0" w:rsidP="005E6FCF">
      <w:pPr>
        <w:jc w:val="both"/>
        <w:rPr>
          <w:sz w:val="22"/>
        </w:rPr>
      </w:pPr>
      <w:r w:rsidRPr="002B04F9">
        <w:rPr>
          <w:b/>
          <w:bCs/>
          <w:sz w:val="22"/>
          <w:u w:val="single"/>
        </w:rPr>
        <w:t>Revisions and Amendments to Applications</w:t>
      </w:r>
    </w:p>
    <w:p w14:paraId="1AA02D5E" w14:textId="0225A9B5" w:rsidR="00CA5D41" w:rsidRPr="002B04F9" w:rsidRDefault="00CA5D41" w:rsidP="005E6FCF">
      <w:pPr>
        <w:numPr>
          <w:ilvl w:val="0"/>
          <w:numId w:val="14"/>
        </w:numPr>
        <w:rPr>
          <w:sz w:val="22"/>
        </w:rPr>
      </w:pPr>
      <w:r w:rsidRPr="002B04F9">
        <w:rPr>
          <w:sz w:val="22"/>
        </w:rPr>
        <w:t>Revisions are changes that are nece</w:t>
      </w:r>
      <w:r w:rsidR="00BD4778" w:rsidRPr="002B04F9">
        <w:rPr>
          <w:sz w:val="22"/>
        </w:rPr>
        <w:t xml:space="preserve">ssary to the program application </w:t>
      </w:r>
      <w:r w:rsidRPr="002B04F9">
        <w:rPr>
          <w:sz w:val="22"/>
        </w:rPr>
        <w:t xml:space="preserve">or budget </w:t>
      </w:r>
      <w:r w:rsidRPr="002B04F9">
        <w:rPr>
          <w:b/>
          <w:bCs/>
          <w:i/>
          <w:iCs/>
          <w:sz w:val="22"/>
        </w:rPr>
        <w:t xml:space="preserve">before </w:t>
      </w:r>
      <w:r w:rsidRPr="002B04F9">
        <w:rPr>
          <w:sz w:val="22"/>
        </w:rPr>
        <w:t>approval can be granted.  Revisions to the application are made after the original submi</w:t>
      </w:r>
      <w:r w:rsidR="00BD4778" w:rsidRPr="002B04F9">
        <w:rPr>
          <w:sz w:val="22"/>
        </w:rPr>
        <w:t>ssion only if the application i</w:t>
      </w:r>
      <w:r w:rsidRPr="002B04F9">
        <w:rPr>
          <w:sz w:val="22"/>
        </w:rPr>
        <w:t xml:space="preserve">s denied.  </w:t>
      </w:r>
    </w:p>
    <w:p w14:paraId="0DF92BC5" w14:textId="77777777" w:rsidR="00966B93" w:rsidRPr="002B04F9" w:rsidRDefault="00CA5D41" w:rsidP="005E6FCF">
      <w:pPr>
        <w:numPr>
          <w:ilvl w:val="0"/>
          <w:numId w:val="14"/>
        </w:numPr>
      </w:pPr>
      <w:r w:rsidRPr="002B04F9">
        <w:rPr>
          <w:sz w:val="22"/>
        </w:rPr>
        <w:t xml:space="preserve">Amendments are changes that are made to the program application or budget </w:t>
      </w:r>
      <w:r w:rsidRPr="002B04F9">
        <w:rPr>
          <w:b/>
          <w:bCs/>
          <w:i/>
          <w:iCs/>
          <w:sz w:val="22"/>
        </w:rPr>
        <w:t xml:space="preserve">after </w:t>
      </w:r>
      <w:r w:rsidRPr="002B04F9">
        <w:rPr>
          <w:sz w:val="22"/>
        </w:rPr>
        <w:t>the approval of the application.  If the amendment involves only programmatic changes, a budget transfer request is not required.  If the amendment involves programmatic and budget changes, a budget transfer must also be submitted.</w:t>
      </w:r>
      <w:r w:rsidR="00966B93" w:rsidRPr="002B04F9">
        <w:rPr>
          <w:sz w:val="22"/>
        </w:rPr>
        <w:t xml:space="preserve"> </w:t>
      </w:r>
    </w:p>
    <w:p w14:paraId="2B10D605" w14:textId="77777777" w:rsidR="00F7266C" w:rsidRPr="002B04F9" w:rsidRDefault="00F7266C" w:rsidP="005E6FCF">
      <w:pPr>
        <w:numPr>
          <w:ilvl w:val="0"/>
          <w:numId w:val="14"/>
        </w:numPr>
      </w:pPr>
      <w:r w:rsidRPr="002B04F9">
        <w:rPr>
          <w:sz w:val="22"/>
        </w:rPr>
        <w:t>The division should make every effort to submit revisions and amendments in a timely manner.</w:t>
      </w:r>
    </w:p>
    <w:p w14:paraId="3FEF5329" w14:textId="3D8E0249" w:rsidR="00CA5D41" w:rsidRPr="002B04F9" w:rsidRDefault="00966B93" w:rsidP="005E6FCF">
      <w:pPr>
        <w:numPr>
          <w:ilvl w:val="0"/>
          <w:numId w:val="14"/>
        </w:numPr>
      </w:pPr>
      <w:r w:rsidRPr="002B04F9">
        <w:rPr>
          <w:sz w:val="22"/>
          <w:szCs w:val="22"/>
        </w:rPr>
        <w:t>NOTE: Any changes to the program budget should first be reflected in an amended application, followed by a budget transfer within 7 business days of approval of the amended application. </w:t>
      </w:r>
      <w:r w:rsidR="00F7266C" w:rsidRPr="002B04F9">
        <w:rPr>
          <w:sz w:val="22"/>
          <w:szCs w:val="22"/>
        </w:rPr>
        <w:t xml:space="preserve"> B</w:t>
      </w:r>
      <w:r w:rsidRPr="002B04F9">
        <w:rPr>
          <w:sz w:val="22"/>
          <w:szCs w:val="22"/>
        </w:rPr>
        <w:t xml:space="preserve">udget transfers </w:t>
      </w:r>
      <w:r w:rsidR="00F7266C" w:rsidRPr="002B04F9">
        <w:rPr>
          <w:sz w:val="22"/>
          <w:szCs w:val="22"/>
        </w:rPr>
        <w:t>are</w:t>
      </w:r>
      <w:r w:rsidR="00C3484B" w:rsidRPr="002B04F9">
        <w:rPr>
          <w:sz w:val="22"/>
          <w:szCs w:val="22"/>
        </w:rPr>
        <w:t xml:space="preserve"> not </w:t>
      </w:r>
      <w:r w:rsidRPr="002B04F9">
        <w:rPr>
          <w:sz w:val="22"/>
          <w:szCs w:val="22"/>
        </w:rPr>
        <w:t xml:space="preserve">accepted without an approved amended application reflecting budget changes. </w:t>
      </w:r>
    </w:p>
    <w:p w14:paraId="5B562176" w14:textId="708D0D59" w:rsidR="00F71E6D" w:rsidRPr="002B04F9" w:rsidRDefault="00F71E6D" w:rsidP="005E6FCF">
      <w:pPr>
        <w:pStyle w:val="NormalWeb"/>
        <w:numPr>
          <w:ilvl w:val="0"/>
          <w:numId w:val="47"/>
        </w:numPr>
        <w:spacing w:before="0" w:beforeAutospacing="0" w:after="0" w:afterAutospacing="0"/>
        <w:textAlignment w:val="baseline"/>
        <w:rPr>
          <w:rFonts w:ascii="Arial" w:hAnsi="Arial" w:cs="Arial"/>
          <w:color w:val="000000"/>
          <w:sz w:val="20"/>
          <w:szCs w:val="20"/>
        </w:rPr>
      </w:pPr>
      <w:r w:rsidRPr="002B04F9">
        <w:rPr>
          <w:sz w:val="22"/>
        </w:rPr>
        <w:t>Revisions and amendments should be identified on the first page of the application in the upper- right</w:t>
      </w:r>
      <w:r w:rsidR="00BD4778" w:rsidRPr="002B04F9">
        <w:rPr>
          <w:sz w:val="22"/>
        </w:rPr>
        <w:t>-</w:t>
      </w:r>
      <w:r w:rsidRPr="002B04F9">
        <w:rPr>
          <w:sz w:val="22"/>
        </w:rPr>
        <w:t>hand corner. Indicate whether a revision or an amendment is being submitted and include the date.  Next, select the “Explain” link.  A section will be displayed where details about the changes to the application should be provided.</w:t>
      </w:r>
      <w:r w:rsidR="00966B93" w:rsidRPr="002B04F9">
        <w:rPr>
          <w:sz w:val="22"/>
        </w:rPr>
        <w:t xml:space="preserve"> Please be specific.</w:t>
      </w:r>
      <w:r w:rsidR="00F7266C" w:rsidRPr="002B04F9">
        <w:rPr>
          <w:sz w:val="22"/>
        </w:rPr>
        <w:t xml:space="preserve">  Provide the number and date of the revision or amendment.</w:t>
      </w:r>
      <w:r w:rsidR="00B836FF" w:rsidRPr="002B04F9">
        <w:rPr>
          <w:sz w:val="22"/>
        </w:rPr>
        <w:t xml:space="preserve"> </w:t>
      </w:r>
      <w:r w:rsidR="00B836FF" w:rsidRPr="002B04F9">
        <w:rPr>
          <w:color w:val="000000"/>
          <w:sz w:val="22"/>
          <w:szCs w:val="22"/>
        </w:rPr>
        <w:t> Providing information in the note box directs a reviewer where to look for changes and serves as a double</w:t>
      </w:r>
      <w:r w:rsidR="001C4C50" w:rsidRPr="002B04F9">
        <w:rPr>
          <w:color w:val="000000"/>
          <w:sz w:val="22"/>
          <w:szCs w:val="22"/>
        </w:rPr>
        <w:t>-</w:t>
      </w:r>
      <w:r w:rsidR="00B836FF" w:rsidRPr="002B04F9">
        <w:rPr>
          <w:color w:val="000000"/>
          <w:sz w:val="22"/>
          <w:szCs w:val="22"/>
        </w:rPr>
        <w:t>check that all required changes were made, thereby improving the efficiency of the process. </w:t>
      </w:r>
    </w:p>
    <w:p w14:paraId="6BEA65B7" w14:textId="0D6C1E70" w:rsidR="00E366FB" w:rsidRPr="002B04F9" w:rsidRDefault="00F71E6D" w:rsidP="005E6FCF">
      <w:pPr>
        <w:pStyle w:val="ListParagraph"/>
        <w:numPr>
          <w:ilvl w:val="0"/>
          <w:numId w:val="14"/>
        </w:numPr>
      </w:pPr>
      <w:r w:rsidRPr="002B04F9">
        <w:rPr>
          <w:sz w:val="22"/>
        </w:rPr>
        <w:t xml:space="preserve">All changes, whether submitted in a revision or amendment, should be made to the original or most recently approved version of the application.  The file should then be resubmitted using OMEGA in a similar manner as was used for the original submission of the application file.  </w:t>
      </w:r>
    </w:p>
    <w:p w14:paraId="07D8665D" w14:textId="77777777" w:rsidR="008D284D" w:rsidRPr="002B04F9" w:rsidRDefault="008D284D" w:rsidP="005E6FCF">
      <w:pPr>
        <w:pStyle w:val="ListParagraph"/>
      </w:pPr>
    </w:p>
    <w:p w14:paraId="1A4CFCB8" w14:textId="77777777" w:rsidR="007205F0" w:rsidRPr="002B04F9" w:rsidRDefault="007205F0" w:rsidP="005E6FCF">
      <w:pPr>
        <w:rPr>
          <w:b/>
          <w:bCs/>
          <w:sz w:val="22"/>
          <w:u w:val="single"/>
        </w:rPr>
      </w:pPr>
      <w:r w:rsidRPr="002B04F9">
        <w:rPr>
          <w:b/>
          <w:bCs/>
          <w:sz w:val="22"/>
          <w:u w:val="single"/>
        </w:rPr>
        <w:t>Release of Federal Funds and Grant Award Period</w:t>
      </w:r>
    </w:p>
    <w:p w14:paraId="1687CD3A" w14:textId="75464A4F" w:rsidR="00302EF4" w:rsidRPr="007A143F" w:rsidRDefault="007A143F">
      <w:pPr>
        <w:pStyle w:val="ListParagraph"/>
        <w:numPr>
          <w:ilvl w:val="0"/>
          <w:numId w:val="8"/>
        </w:numPr>
        <w:contextualSpacing w:val="0"/>
        <w:rPr>
          <w:sz w:val="22"/>
          <w:szCs w:val="22"/>
        </w:rPr>
      </w:pPr>
      <w:r w:rsidRPr="007A143F">
        <w:rPr>
          <w:sz w:val="22"/>
          <w:szCs w:val="22"/>
        </w:rPr>
        <w:t xml:space="preserve">At the conclusion of the approval process, funds are available to school divisions on a reimbursement basis.  The grant award period is July 1, </w:t>
      </w:r>
      <w:r w:rsidR="00E4106D">
        <w:rPr>
          <w:sz w:val="22"/>
          <w:szCs w:val="22"/>
        </w:rPr>
        <w:t>2024</w:t>
      </w:r>
      <w:r w:rsidRPr="007A143F">
        <w:rPr>
          <w:sz w:val="22"/>
          <w:szCs w:val="22"/>
        </w:rPr>
        <w:t xml:space="preserve">, through September 30, </w:t>
      </w:r>
      <w:r w:rsidR="00E4106D">
        <w:rPr>
          <w:sz w:val="22"/>
          <w:szCs w:val="22"/>
        </w:rPr>
        <w:t>2025</w:t>
      </w:r>
      <w:r w:rsidRPr="007A143F">
        <w:rPr>
          <w:sz w:val="22"/>
          <w:szCs w:val="22"/>
        </w:rPr>
        <w:t>.  Under the Tydings Amendment, school divisions have until September 30, 202</w:t>
      </w:r>
      <w:r w:rsidR="00711098">
        <w:rPr>
          <w:sz w:val="22"/>
          <w:szCs w:val="22"/>
        </w:rPr>
        <w:t>6</w:t>
      </w:r>
      <w:r w:rsidRPr="007A143F">
        <w:rPr>
          <w:sz w:val="22"/>
          <w:szCs w:val="22"/>
        </w:rPr>
        <w:t xml:space="preserve"> to encumber </w:t>
      </w:r>
      <w:r w:rsidR="00E4106D">
        <w:rPr>
          <w:sz w:val="22"/>
          <w:szCs w:val="22"/>
        </w:rPr>
        <w:t>2024</w:t>
      </w:r>
      <w:r w:rsidRPr="007A143F">
        <w:rPr>
          <w:sz w:val="22"/>
          <w:szCs w:val="22"/>
        </w:rPr>
        <w:t>-</w:t>
      </w:r>
      <w:r w:rsidR="00E4106D">
        <w:rPr>
          <w:sz w:val="22"/>
          <w:szCs w:val="22"/>
        </w:rPr>
        <w:t>2025</w:t>
      </w:r>
      <w:r w:rsidRPr="007A143F">
        <w:rPr>
          <w:sz w:val="22"/>
          <w:szCs w:val="22"/>
        </w:rPr>
        <w:t xml:space="preserve"> funds (for more information on encumbering funds, refer to the </w:t>
      </w:r>
      <w:hyperlink r:id="rId8" w:history="1">
        <w:r w:rsidRPr="007A143F">
          <w:rPr>
            <w:rStyle w:val="Hyperlink"/>
            <w:sz w:val="22"/>
            <w:szCs w:val="22"/>
          </w:rPr>
          <w:t>Definition of Obligation of Funds</w:t>
        </w:r>
      </w:hyperlink>
      <w:r w:rsidRPr="007A143F">
        <w:rPr>
          <w:sz w:val="22"/>
          <w:szCs w:val="22"/>
        </w:rPr>
        <w:t xml:space="preserve">).   </w:t>
      </w:r>
      <w:r w:rsidR="00F71E6D" w:rsidRPr="007A143F">
        <w:rPr>
          <w:sz w:val="22"/>
          <w:szCs w:val="22"/>
        </w:rPr>
        <w:t>  </w:t>
      </w:r>
    </w:p>
    <w:p w14:paraId="72D8EE41" w14:textId="4BFB159F" w:rsidR="00F71E6D" w:rsidRPr="002B04F9" w:rsidRDefault="00F71E6D" w:rsidP="005E6FCF">
      <w:pPr>
        <w:pStyle w:val="ListParagraph"/>
        <w:numPr>
          <w:ilvl w:val="0"/>
          <w:numId w:val="8"/>
        </w:numPr>
        <w:contextualSpacing w:val="0"/>
        <w:rPr>
          <w:sz w:val="22"/>
          <w:szCs w:val="22"/>
        </w:rPr>
      </w:pPr>
      <w:r w:rsidRPr="002B04F9">
        <w:rPr>
          <w:sz w:val="22"/>
          <w:szCs w:val="22"/>
        </w:rPr>
        <w:t xml:space="preserve">Final reimbursements must be submitted to the Department </w:t>
      </w:r>
      <w:r w:rsidR="002B4FDA" w:rsidRPr="002B04F9">
        <w:rPr>
          <w:sz w:val="22"/>
          <w:szCs w:val="22"/>
        </w:rPr>
        <w:t xml:space="preserve">through the OMEGA system </w:t>
      </w:r>
      <w:r w:rsidRPr="002B04F9">
        <w:rPr>
          <w:sz w:val="22"/>
          <w:szCs w:val="22"/>
        </w:rPr>
        <w:t xml:space="preserve">by </w:t>
      </w:r>
      <w:r w:rsidR="006229D2" w:rsidRPr="002B04F9">
        <w:rPr>
          <w:sz w:val="22"/>
          <w:szCs w:val="22"/>
        </w:rPr>
        <w:t>mid-</w:t>
      </w:r>
      <w:r w:rsidRPr="002B04F9">
        <w:rPr>
          <w:sz w:val="22"/>
          <w:szCs w:val="22"/>
        </w:rPr>
        <w:t xml:space="preserve">November </w:t>
      </w:r>
      <w:r w:rsidR="00E4106D">
        <w:rPr>
          <w:sz w:val="22"/>
          <w:szCs w:val="22"/>
        </w:rPr>
        <w:t>202</w:t>
      </w:r>
      <w:r w:rsidR="00711098">
        <w:rPr>
          <w:sz w:val="22"/>
          <w:szCs w:val="22"/>
        </w:rPr>
        <w:t>6</w:t>
      </w:r>
      <w:r w:rsidRPr="002B04F9">
        <w:rPr>
          <w:sz w:val="22"/>
          <w:szCs w:val="22"/>
        </w:rPr>
        <w:t>.</w:t>
      </w:r>
      <w:r w:rsidR="00302EF4" w:rsidRPr="002B04F9">
        <w:rPr>
          <w:sz w:val="22"/>
          <w:szCs w:val="22"/>
        </w:rPr>
        <w:t xml:space="preserve"> </w:t>
      </w:r>
    </w:p>
    <w:p w14:paraId="073918B2" w14:textId="48DE520A" w:rsidR="00CA5D41" w:rsidRPr="002B04F9" w:rsidRDefault="007205F0" w:rsidP="005E6FCF">
      <w:pPr>
        <w:numPr>
          <w:ilvl w:val="0"/>
          <w:numId w:val="8"/>
        </w:numPr>
      </w:pPr>
      <w:r w:rsidRPr="002B04F9">
        <w:rPr>
          <w:sz w:val="22"/>
        </w:rPr>
        <w:t xml:space="preserve">Should the </w:t>
      </w:r>
      <w:r w:rsidR="00E4106D">
        <w:rPr>
          <w:sz w:val="22"/>
          <w:szCs w:val="22"/>
        </w:rPr>
        <w:t>2024</w:t>
      </w:r>
      <w:r w:rsidR="00B2001A" w:rsidRPr="002B04F9">
        <w:rPr>
          <w:sz w:val="22"/>
          <w:szCs w:val="22"/>
        </w:rPr>
        <w:t>-</w:t>
      </w:r>
      <w:r w:rsidR="00E4106D">
        <w:rPr>
          <w:sz w:val="22"/>
          <w:szCs w:val="22"/>
        </w:rPr>
        <w:t>2025</w:t>
      </w:r>
      <w:r w:rsidR="00B2001A" w:rsidRPr="002B04F9">
        <w:rPr>
          <w:sz w:val="22"/>
          <w:szCs w:val="22"/>
        </w:rPr>
        <w:t xml:space="preserve"> </w:t>
      </w:r>
      <w:r w:rsidRPr="002B04F9">
        <w:rPr>
          <w:sz w:val="22"/>
        </w:rPr>
        <w:t xml:space="preserve">allocation </w:t>
      </w:r>
      <w:r w:rsidR="00C37252" w:rsidRPr="002B04F9">
        <w:rPr>
          <w:sz w:val="22"/>
        </w:rPr>
        <w:t>amounts</w:t>
      </w:r>
      <w:r w:rsidRPr="002B04F9">
        <w:rPr>
          <w:sz w:val="22"/>
        </w:rPr>
        <w:t xml:space="preserve"> be unavailable to school divisions by the application submission date, the </w:t>
      </w:r>
      <w:r w:rsidR="00E4106D">
        <w:rPr>
          <w:sz w:val="22"/>
        </w:rPr>
        <w:t>2023</w:t>
      </w:r>
      <w:r w:rsidRPr="002B04F9">
        <w:rPr>
          <w:sz w:val="22"/>
        </w:rPr>
        <w:t>-</w:t>
      </w:r>
      <w:r w:rsidR="00E4106D">
        <w:rPr>
          <w:sz w:val="22"/>
        </w:rPr>
        <w:t>2024</w:t>
      </w:r>
      <w:r w:rsidRPr="002B04F9">
        <w:rPr>
          <w:sz w:val="22"/>
        </w:rPr>
        <w:t xml:space="preserve"> Title II, Part A, allocation may be used as the </w:t>
      </w:r>
      <w:r w:rsidR="00CA5D41" w:rsidRPr="002B04F9">
        <w:rPr>
          <w:sz w:val="22"/>
        </w:rPr>
        <w:t>estimated amount for budget purposes</w:t>
      </w:r>
      <w:r w:rsidRPr="002B04F9">
        <w:rPr>
          <w:sz w:val="22"/>
        </w:rPr>
        <w:t xml:space="preserve">.  </w:t>
      </w:r>
      <w:r w:rsidR="008D284D" w:rsidRPr="002B04F9">
        <w:rPr>
          <w:sz w:val="22"/>
        </w:rPr>
        <w:t xml:space="preserve">When the eligible school division’s final </w:t>
      </w:r>
      <w:r w:rsidR="00E4106D">
        <w:rPr>
          <w:sz w:val="22"/>
          <w:szCs w:val="22"/>
        </w:rPr>
        <w:t>2024</w:t>
      </w:r>
      <w:r w:rsidR="00B2001A" w:rsidRPr="002B04F9">
        <w:rPr>
          <w:sz w:val="22"/>
          <w:szCs w:val="22"/>
        </w:rPr>
        <w:t>-</w:t>
      </w:r>
      <w:r w:rsidR="00E4106D">
        <w:rPr>
          <w:sz w:val="22"/>
          <w:szCs w:val="22"/>
        </w:rPr>
        <w:t>2025</w:t>
      </w:r>
      <w:r w:rsidR="00B2001A" w:rsidRPr="002B04F9">
        <w:rPr>
          <w:sz w:val="22"/>
          <w:szCs w:val="22"/>
        </w:rPr>
        <w:t xml:space="preserve"> </w:t>
      </w:r>
      <w:r w:rsidR="008D284D" w:rsidRPr="002B04F9">
        <w:rPr>
          <w:sz w:val="22"/>
        </w:rPr>
        <w:t>Title II, Part A</w:t>
      </w:r>
      <w:r w:rsidR="002B4FDA" w:rsidRPr="002B04F9">
        <w:rPr>
          <w:sz w:val="22"/>
        </w:rPr>
        <w:t>,</w:t>
      </w:r>
      <w:r w:rsidR="008D284D" w:rsidRPr="002B04F9">
        <w:rPr>
          <w:sz w:val="22"/>
        </w:rPr>
        <w:t xml:space="preserve"> federal allocations have been received, program applications must be revised or amended to reflect the final award amount.</w:t>
      </w:r>
    </w:p>
    <w:p w14:paraId="3475197D" w14:textId="77777777" w:rsidR="007205F0" w:rsidRPr="002B04F9" w:rsidRDefault="007205F0" w:rsidP="005E6FCF">
      <w:pPr>
        <w:ind w:left="360"/>
        <w:rPr>
          <w:b/>
          <w:bCs/>
          <w:strike/>
          <w:sz w:val="22"/>
          <w:u w:val="single"/>
        </w:rPr>
      </w:pPr>
    </w:p>
    <w:p w14:paraId="0B5FAC6D" w14:textId="77777777" w:rsidR="007205F0" w:rsidRPr="002B04F9" w:rsidRDefault="007205F0" w:rsidP="005E6FCF">
      <w:pPr>
        <w:jc w:val="both"/>
        <w:rPr>
          <w:b/>
          <w:bCs/>
          <w:sz w:val="22"/>
          <w:u w:val="single"/>
        </w:rPr>
      </w:pPr>
      <w:r w:rsidRPr="002B04F9">
        <w:rPr>
          <w:b/>
          <w:bCs/>
          <w:sz w:val="22"/>
          <w:u w:val="single"/>
        </w:rPr>
        <w:t xml:space="preserve">General Assurances and Program Specific Assurances </w:t>
      </w:r>
    </w:p>
    <w:p w14:paraId="7066872B" w14:textId="36DD8EAD" w:rsidR="00F71E6D" w:rsidRPr="002B04F9" w:rsidRDefault="00F71E6D" w:rsidP="005E6FCF">
      <w:pPr>
        <w:numPr>
          <w:ilvl w:val="0"/>
          <w:numId w:val="9"/>
        </w:numPr>
        <w:rPr>
          <w:sz w:val="22"/>
        </w:rPr>
      </w:pPr>
      <w:r w:rsidRPr="002B04F9">
        <w:rPr>
          <w:sz w:val="22"/>
        </w:rPr>
        <w:t>Assurances represent policies, procedures, and activities that must be developed by the school division to carry out the provisions of the law.  The “General Assurances</w:t>
      </w:r>
      <w:r w:rsidR="002B4FDA" w:rsidRPr="002B04F9">
        <w:rPr>
          <w:sz w:val="22"/>
        </w:rPr>
        <w:t>”</w:t>
      </w:r>
      <w:r w:rsidRPr="002B04F9">
        <w:rPr>
          <w:sz w:val="22"/>
        </w:rPr>
        <w:t xml:space="preserve"> and </w:t>
      </w:r>
      <w:r w:rsidR="002B4FDA" w:rsidRPr="002B04F9">
        <w:rPr>
          <w:sz w:val="22"/>
        </w:rPr>
        <w:t>“</w:t>
      </w:r>
      <w:r w:rsidRPr="002B04F9">
        <w:rPr>
          <w:sz w:val="22"/>
        </w:rPr>
        <w:t xml:space="preserve">Program Specific Assurances” </w:t>
      </w:r>
      <w:r w:rsidR="007C31EC" w:rsidRPr="002B04F9">
        <w:rPr>
          <w:sz w:val="22"/>
        </w:rPr>
        <w:t>are in</w:t>
      </w:r>
      <w:r w:rsidRPr="002B04F9">
        <w:rPr>
          <w:sz w:val="22"/>
        </w:rPr>
        <w:t xml:space="preserve"> </w:t>
      </w:r>
      <w:r w:rsidR="00510B66" w:rsidRPr="002B04F9">
        <w:rPr>
          <w:sz w:val="22"/>
        </w:rPr>
        <w:t xml:space="preserve">the application and in </w:t>
      </w:r>
      <w:r w:rsidRPr="002B04F9">
        <w:rPr>
          <w:sz w:val="22"/>
        </w:rPr>
        <w:t xml:space="preserve">Appendix A </w:t>
      </w:r>
      <w:r w:rsidR="00B8196B" w:rsidRPr="002B04F9">
        <w:rPr>
          <w:sz w:val="22"/>
        </w:rPr>
        <w:t xml:space="preserve">of </w:t>
      </w:r>
      <w:r w:rsidR="00510B66" w:rsidRPr="002B04F9">
        <w:rPr>
          <w:sz w:val="22"/>
        </w:rPr>
        <w:t>this document</w:t>
      </w:r>
      <w:r w:rsidRPr="002B04F9">
        <w:rPr>
          <w:sz w:val="22"/>
        </w:rPr>
        <w:t>.</w:t>
      </w:r>
    </w:p>
    <w:p w14:paraId="285C77F4" w14:textId="10606835" w:rsidR="00F71E6D" w:rsidRPr="002B04F9" w:rsidRDefault="00F71E6D" w:rsidP="005E6FCF">
      <w:pPr>
        <w:numPr>
          <w:ilvl w:val="0"/>
          <w:numId w:val="9"/>
        </w:numPr>
        <w:rPr>
          <w:b/>
          <w:sz w:val="22"/>
          <w:szCs w:val="22"/>
        </w:rPr>
      </w:pPr>
      <w:r w:rsidRPr="002B04F9">
        <w:rPr>
          <w:b/>
          <w:sz w:val="22"/>
          <w:szCs w:val="22"/>
        </w:rPr>
        <w:t xml:space="preserve">The superintendent’s/designee’s and board chairperson’s signatures on the application cover page certify that </w:t>
      </w:r>
      <w:r w:rsidRPr="002B04F9">
        <w:rPr>
          <w:b/>
          <w:sz w:val="22"/>
          <w:szCs w:val="22"/>
          <w:u w:val="single"/>
        </w:rPr>
        <w:t>the local educational agency will implement the general and program specific assurances</w:t>
      </w:r>
      <w:r w:rsidR="00FC5E9A" w:rsidRPr="002B04F9">
        <w:rPr>
          <w:b/>
          <w:sz w:val="22"/>
          <w:szCs w:val="22"/>
        </w:rPr>
        <w:t>.</w:t>
      </w:r>
      <w:r w:rsidRPr="002B04F9">
        <w:rPr>
          <w:b/>
          <w:sz w:val="22"/>
          <w:szCs w:val="22"/>
        </w:rPr>
        <w:t xml:space="preserve">  The signed original of the application cover page must be retained at the division level.  </w:t>
      </w:r>
    </w:p>
    <w:p w14:paraId="7E72A4E0" w14:textId="77777777" w:rsidR="007205F0" w:rsidRPr="002B04F9" w:rsidRDefault="007205F0" w:rsidP="005E6FCF">
      <w:pPr>
        <w:rPr>
          <w:bCs/>
          <w:u w:val="single"/>
        </w:rPr>
      </w:pPr>
    </w:p>
    <w:p w14:paraId="234D24C6" w14:textId="77777777" w:rsidR="009E228A" w:rsidRPr="002B04F9" w:rsidRDefault="009E228A" w:rsidP="005E6FCF">
      <w:pPr>
        <w:rPr>
          <w:b/>
          <w:bCs/>
          <w:sz w:val="22"/>
          <w:u w:val="single"/>
        </w:rPr>
      </w:pPr>
      <w:r w:rsidRPr="002B04F9">
        <w:rPr>
          <w:b/>
          <w:bCs/>
          <w:sz w:val="22"/>
          <w:u w:val="single"/>
        </w:rPr>
        <w:br w:type="page"/>
      </w:r>
    </w:p>
    <w:p w14:paraId="5E3E2987" w14:textId="77777777" w:rsidR="009E228A" w:rsidRPr="002B04F9" w:rsidRDefault="009E228A" w:rsidP="005E6FCF">
      <w:pPr>
        <w:rPr>
          <w:b/>
          <w:bCs/>
          <w:sz w:val="22"/>
          <w:u w:val="single"/>
        </w:rPr>
      </w:pPr>
    </w:p>
    <w:p w14:paraId="0F2C3265" w14:textId="27F43266" w:rsidR="007205F0" w:rsidRPr="002B04F9" w:rsidRDefault="007205F0" w:rsidP="005E6FCF">
      <w:pPr>
        <w:rPr>
          <w:b/>
          <w:bCs/>
          <w:sz w:val="22"/>
          <w:u w:val="single"/>
        </w:rPr>
      </w:pPr>
      <w:r w:rsidRPr="002B04F9">
        <w:rPr>
          <w:b/>
          <w:bCs/>
          <w:sz w:val="22"/>
          <w:u w:val="single"/>
        </w:rPr>
        <w:t>Instructions for Electronic Completion and Submission of Application</w:t>
      </w:r>
    </w:p>
    <w:p w14:paraId="779FBCCB" w14:textId="3E6ABE85" w:rsidR="00AC74DB" w:rsidRPr="002B04F9" w:rsidRDefault="00F71E6D" w:rsidP="005E6FCF">
      <w:pPr>
        <w:numPr>
          <w:ilvl w:val="0"/>
          <w:numId w:val="7"/>
        </w:numPr>
        <w:ind w:right="-360"/>
        <w:rPr>
          <w:sz w:val="22"/>
        </w:rPr>
      </w:pPr>
      <w:r w:rsidRPr="002B04F9">
        <w:rPr>
          <w:sz w:val="22"/>
        </w:rPr>
        <w:t xml:space="preserve">The application has been created as a Microsoft Excel form.  Users will be allowed to enter information only in areas of the application in which they see a white cell. </w:t>
      </w:r>
      <w:r w:rsidR="008D284D" w:rsidRPr="002B04F9">
        <w:rPr>
          <w:sz w:val="22"/>
        </w:rPr>
        <w:t>C</w:t>
      </w:r>
      <w:r w:rsidR="00783195" w:rsidRPr="002B04F9">
        <w:rPr>
          <w:sz w:val="22"/>
        </w:rPr>
        <w:t xml:space="preserve">olor-coded cells </w:t>
      </w:r>
      <w:r w:rsidR="00990D18" w:rsidRPr="002B04F9">
        <w:rPr>
          <w:sz w:val="22"/>
        </w:rPr>
        <w:t>have been added to the budget summary</w:t>
      </w:r>
      <w:r w:rsidR="00783195" w:rsidRPr="002B04F9">
        <w:rPr>
          <w:sz w:val="22"/>
        </w:rPr>
        <w:t xml:space="preserve"> and Transferability</w:t>
      </w:r>
      <w:r w:rsidR="00990D18" w:rsidRPr="002B04F9">
        <w:rPr>
          <w:sz w:val="22"/>
        </w:rPr>
        <w:t xml:space="preserve"> page</w:t>
      </w:r>
      <w:r w:rsidR="00783195" w:rsidRPr="002B04F9">
        <w:rPr>
          <w:sz w:val="22"/>
        </w:rPr>
        <w:t>s</w:t>
      </w:r>
      <w:r w:rsidR="00990D18" w:rsidRPr="002B04F9">
        <w:rPr>
          <w:sz w:val="22"/>
        </w:rPr>
        <w:t xml:space="preserve"> to facilitate </w:t>
      </w:r>
      <w:r w:rsidR="004D273A" w:rsidRPr="002B04F9">
        <w:rPr>
          <w:sz w:val="22"/>
        </w:rPr>
        <w:t xml:space="preserve">budgeting for </w:t>
      </w:r>
      <w:r w:rsidR="00990D18" w:rsidRPr="002B04F9">
        <w:rPr>
          <w:sz w:val="22"/>
        </w:rPr>
        <w:t xml:space="preserve">private school </w:t>
      </w:r>
      <w:r w:rsidR="004D273A" w:rsidRPr="002B04F9">
        <w:rPr>
          <w:sz w:val="22"/>
        </w:rPr>
        <w:t>services</w:t>
      </w:r>
      <w:r w:rsidR="00990D18" w:rsidRPr="002B04F9">
        <w:rPr>
          <w:sz w:val="22"/>
        </w:rPr>
        <w:t xml:space="preserve"> and calculations. These cells have also been enabled to allow users to enter figures.</w:t>
      </w:r>
      <w:r w:rsidR="00AC74DB" w:rsidRPr="002B04F9">
        <w:rPr>
          <w:sz w:val="22"/>
        </w:rPr>
        <w:t xml:space="preserve"> </w:t>
      </w:r>
    </w:p>
    <w:p w14:paraId="4C2FA292" w14:textId="005A76C6" w:rsidR="00AC74DB" w:rsidRPr="002B04F9" w:rsidRDefault="0058384C" w:rsidP="005E6FCF">
      <w:pPr>
        <w:numPr>
          <w:ilvl w:val="0"/>
          <w:numId w:val="7"/>
        </w:numPr>
        <w:ind w:right="-360"/>
        <w:rPr>
          <w:sz w:val="22"/>
        </w:rPr>
      </w:pPr>
      <w:r w:rsidRPr="002B04F9">
        <w:rPr>
          <w:sz w:val="22"/>
        </w:rPr>
        <w:t xml:space="preserve">The “Tab” key should be used to move from cell to cell.  </w:t>
      </w:r>
      <w:r w:rsidRPr="002B04F9">
        <w:rPr>
          <w:b/>
          <w:sz w:val="22"/>
        </w:rPr>
        <w:t>Do not</w:t>
      </w:r>
      <w:r w:rsidRPr="002B04F9">
        <w:rPr>
          <w:sz w:val="22"/>
        </w:rPr>
        <w:t xml:space="preserve"> use the “Enter” key to advance to the next cell.  NOTE:  Pressing the “Alt” and “Enter” keys simultaneously will produce a </w:t>
      </w:r>
      <w:r w:rsidR="00AC6D65" w:rsidRPr="002B04F9">
        <w:rPr>
          <w:sz w:val="22"/>
        </w:rPr>
        <w:t>hard return</w:t>
      </w:r>
      <w:r w:rsidRPr="002B04F9">
        <w:rPr>
          <w:sz w:val="22"/>
        </w:rPr>
        <w:t xml:space="preserve"> in a text field.</w:t>
      </w:r>
      <w:r w:rsidR="00F71E6D" w:rsidRPr="002B04F9">
        <w:rPr>
          <w:sz w:val="22"/>
        </w:rPr>
        <w:t xml:space="preserve"> </w:t>
      </w:r>
    </w:p>
    <w:p w14:paraId="3D8B7088" w14:textId="67B902B3" w:rsidR="007C0CB6" w:rsidRPr="002B04F9" w:rsidRDefault="00AC74DB" w:rsidP="005E6FCF">
      <w:pPr>
        <w:numPr>
          <w:ilvl w:val="0"/>
          <w:numId w:val="7"/>
        </w:numPr>
        <w:ind w:right="-360"/>
        <w:rPr>
          <w:sz w:val="22"/>
        </w:rPr>
      </w:pPr>
      <w:r w:rsidRPr="002B04F9">
        <w:rPr>
          <w:sz w:val="22"/>
        </w:rPr>
        <w:t>DO NOT copy and paste information from one cell to another in the budget sections.</w:t>
      </w:r>
    </w:p>
    <w:p w14:paraId="6DB6CD1F" w14:textId="7DC5E33B" w:rsidR="00F71E6D" w:rsidRPr="002B04F9" w:rsidRDefault="00F71E6D" w:rsidP="005E6FCF">
      <w:pPr>
        <w:pStyle w:val="ListParagraph"/>
        <w:numPr>
          <w:ilvl w:val="0"/>
          <w:numId w:val="7"/>
        </w:numPr>
        <w:ind w:right="-360"/>
        <w:rPr>
          <w:sz w:val="22"/>
        </w:rPr>
      </w:pPr>
      <w:r w:rsidRPr="002B04F9">
        <w:rPr>
          <w:sz w:val="22"/>
        </w:rPr>
        <w:t xml:space="preserve">The completed application must be saved as an Excel document with the following name: </w:t>
      </w:r>
      <w:r w:rsidRPr="00AC6D65">
        <w:rPr>
          <w:sz w:val="22"/>
        </w:rPr>
        <w:t>“XXXTitleIIPtA</w:t>
      </w:r>
      <w:r w:rsidR="00B863B9" w:rsidRPr="00AC6D65">
        <w:rPr>
          <w:sz w:val="22"/>
        </w:rPr>
        <w:t>2</w:t>
      </w:r>
      <w:r w:rsidR="009A302C" w:rsidRPr="00AC6D65">
        <w:rPr>
          <w:sz w:val="22"/>
        </w:rPr>
        <w:t>4</w:t>
      </w:r>
      <w:r w:rsidR="00A10492" w:rsidRPr="00AC6D65">
        <w:rPr>
          <w:sz w:val="22"/>
        </w:rPr>
        <w:t>-</w:t>
      </w:r>
      <w:r w:rsidR="00B2001A" w:rsidRPr="00AC6D65">
        <w:rPr>
          <w:sz w:val="22"/>
        </w:rPr>
        <w:t>2</w:t>
      </w:r>
      <w:r w:rsidR="009A302C" w:rsidRPr="00AC6D65">
        <w:rPr>
          <w:sz w:val="22"/>
        </w:rPr>
        <w:t>5</w:t>
      </w:r>
      <w:r w:rsidRPr="00AC6D65">
        <w:rPr>
          <w:sz w:val="22"/>
        </w:rPr>
        <w:t>.xls</w:t>
      </w:r>
      <w:r w:rsidR="006229D2" w:rsidRPr="00AC6D65">
        <w:rPr>
          <w:sz w:val="22"/>
        </w:rPr>
        <w:t>m</w:t>
      </w:r>
      <w:r w:rsidRPr="002B04F9">
        <w:rPr>
          <w:sz w:val="22"/>
        </w:rPr>
        <w:t xml:space="preserve">” (the “XXX” should be replaced by the three-digit LEA/Payee Code for your </w:t>
      </w:r>
      <w:r w:rsidR="00AC6D65" w:rsidRPr="002B04F9">
        <w:rPr>
          <w:sz w:val="22"/>
        </w:rPr>
        <w:t>division</w:t>
      </w:r>
      <w:r w:rsidRPr="002B04F9">
        <w:rPr>
          <w:sz w:val="22"/>
        </w:rPr>
        <w:t>).  For example, Accomack County’s Title II, Part A, application</w:t>
      </w:r>
      <w:r w:rsidR="002B4FDA" w:rsidRPr="002B04F9">
        <w:rPr>
          <w:sz w:val="22"/>
        </w:rPr>
        <w:t xml:space="preserve"> should be saved as “001TitleII</w:t>
      </w:r>
      <w:r w:rsidRPr="002B04F9">
        <w:rPr>
          <w:sz w:val="22"/>
        </w:rPr>
        <w:t>PtA</w:t>
      </w:r>
      <w:r w:rsidR="00B863B9" w:rsidRPr="002B04F9">
        <w:rPr>
          <w:sz w:val="22"/>
        </w:rPr>
        <w:t>2</w:t>
      </w:r>
      <w:r w:rsidR="003B68FE" w:rsidRPr="002B04F9">
        <w:rPr>
          <w:sz w:val="22"/>
        </w:rPr>
        <w:t>3</w:t>
      </w:r>
      <w:r w:rsidR="00A10492" w:rsidRPr="002B04F9">
        <w:rPr>
          <w:sz w:val="22"/>
        </w:rPr>
        <w:t>-</w:t>
      </w:r>
      <w:r w:rsidR="00B2001A" w:rsidRPr="002B04F9">
        <w:rPr>
          <w:sz w:val="22"/>
        </w:rPr>
        <w:t>2</w:t>
      </w:r>
      <w:r w:rsidR="003B68FE" w:rsidRPr="002B04F9">
        <w:rPr>
          <w:sz w:val="22"/>
        </w:rPr>
        <w:t>4</w:t>
      </w:r>
      <w:r w:rsidRPr="002B04F9">
        <w:rPr>
          <w:sz w:val="22"/>
        </w:rPr>
        <w:t>.xls</w:t>
      </w:r>
      <w:r w:rsidR="006229D2" w:rsidRPr="002B04F9">
        <w:rPr>
          <w:sz w:val="22"/>
        </w:rPr>
        <w:t>m</w:t>
      </w:r>
      <w:r w:rsidRPr="002B04F9">
        <w:rPr>
          <w:sz w:val="22"/>
        </w:rPr>
        <w:t xml:space="preserve">” in the electronic files on your computer.  </w:t>
      </w:r>
      <w:r w:rsidR="00F87143" w:rsidRPr="00C66176">
        <w:rPr>
          <w:b/>
          <w:color w:val="C00000"/>
          <w:sz w:val="22"/>
        </w:rPr>
        <w:t>The file name cannot exceed 50 characters.</w:t>
      </w:r>
    </w:p>
    <w:p w14:paraId="18E7FDF3" w14:textId="77777777" w:rsidR="00F71E6D" w:rsidRPr="002B04F9" w:rsidRDefault="00F71E6D" w:rsidP="005E6FCF">
      <w:pPr>
        <w:numPr>
          <w:ilvl w:val="0"/>
          <w:numId w:val="7"/>
        </w:numPr>
        <w:rPr>
          <w:sz w:val="22"/>
        </w:rPr>
      </w:pPr>
      <w:r w:rsidRPr="002B04F9">
        <w:rPr>
          <w:sz w:val="22"/>
        </w:rPr>
        <w:t>The completed application should be uploaded to the OMEGA system by selecting the appropriate options to indicate the type of application (individual or consolidated) and then the appropriate federal program(s) in the application(s). Print copies will not be accepted.</w:t>
      </w:r>
    </w:p>
    <w:p w14:paraId="1706051C" w14:textId="6F5C083A" w:rsidR="00F71E6D" w:rsidRPr="007A143F" w:rsidRDefault="00F71E6D" w:rsidP="005E6FCF">
      <w:pPr>
        <w:numPr>
          <w:ilvl w:val="0"/>
          <w:numId w:val="7"/>
        </w:numPr>
        <w:rPr>
          <w:sz w:val="22"/>
          <w:szCs w:val="22"/>
        </w:rPr>
      </w:pPr>
      <w:r w:rsidRPr="002B04F9">
        <w:rPr>
          <w:sz w:val="22"/>
        </w:rPr>
        <w:t xml:space="preserve">OMEGA can be accessed through the Virginia Department of </w:t>
      </w:r>
      <w:r w:rsidR="007A143F" w:rsidRPr="002B04F9">
        <w:rPr>
          <w:sz w:val="22"/>
        </w:rPr>
        <w:t>Education’s (</w:t>
      </w:r>
      <w:r w:rsidRPr="002B04F9">
        <w:rPr>
          <w:sz w:val="22"/>
        </w:rPr>
        <w:t xml:space="preserve">VDOE’s) Single Sign-on for Web System (SSWS) located </w:t>
      </w:r>
      <w:r w:rsidRPr="002B04F9">
        <w:rPr>
          <w:sz w:val="22"/>
          <w:szCs w:val="22"/>
        </w:rPr>
        <w:t xml:space="preserve">at </w:t>
      </w:r>
      <w:hyperlink r:id="rId9" w:history="1">
        <w:r w:rsidR="007A143F" w:rsidRPr="007A143F">
          <w:rPr>
            <w:rStyle w:val="Hyperlink"/>
            <w:sz w:val="22"/>
            <w:szCs w:val="22"/>
          </w:rPr>
          <w:t>https://p1pe.doe.virginia.gov/ssws/login_page.do</w:t>
        </w:r>
      </w:hyperlink>
      <w:r w:rsidR="00E70E77" w:rsidRPr="007A143F">
        <w:rPr>
          <w:rStyle w:val="Hyperlink"/>
          <w:sz w:val="22"/>
          <w:szCs w:val="22"/>
        </w:rPr>
        <w:t>.</w:t>
      </w:r>
    </w:p>
    <w:p w14:paraId="5F5E8E98" w14:textId="04496965" w:rsidR="00E70E77" w:rsidRPr="002B04F9" w:rsidRDefault="00E70E77" w:rsidP="005E6FCF">
      <w:pPr>
        <w:numPr>
          <w:ilvl w:val="0"/>
          <w:numId w:val="7"/>
        </w:numPr>
        <w:ind w:right="180"/>
        <w:rPr>
          <w:sz w:val="22"/>
        </w:rPr>
      </w:pPr>
      <w:r w:rsidRPr="002B04F9">
        <w:rPr>
          <w:sz w:val="22"/>
        </w:rPr>
        <w:t xml:space="preserve">A log-in ID and password are necessary to access the system which is requested through an </w:t>
      </w:r>
      <w:hyperlink r:id="rId10" w:history="1">
        <w:r w:rsidRPr="002B04F9">
          <w:rPr>
            <w:rStyle w:val="Hyperlink"/>
            <w:sz w:val="22"/>
          </w:rPr>
          <w:t>OP1 form</w:t>
        </w:r>
      </w:hyperlink>
      <w:r w:rsidRPr="002B04F9">
        <w:rPr>
          <w:sz w:val="22"/>
        </w:rPr>
        <w:t xml:space="preserve">.  </w:t>
      </w:r>
    </w:p>
    <w:p w14:paraId="49915541" w14:textId="77777777" w:rsidR="00E70E77" w:rsidRPr="002B04F9" w:rsidRDefault="00E70E77" w:rsidP="005E6FCF">
      <w:pPr>
        <w:numPr>
          <w:ilvl w:val="1"/>
          <w:numId w:val="38"/>
        </w:numPr>
        <w:tabs>
          <w:tab w:val="clear" w:pos="1440"/>
          <w:tab w:val="num" w:pos="720"/>
        </w:tabs>
        <w:ind w:left="720"/>
        <w:rPr>
          <w:sz w:val="22"/>
        </w:rPr>
      </w:pPr>
      <w:r w:rsidRPr="002B04F9">
        <w:rPr>
          <w:sz w:val="22"/>
        </w:rPr>
        <w:t xml:space="preserve">If additional technical support is needed, please e-mail </w:t>
      </w:r>
      <w:hyperlink r:id="rId11" w:history="1">
        <w:r w:rsidRPr="002B04F9">
          <w:rPr>
            <w:rStyle w:val="Hyperlink"/>
            <w:sz w:val="22"/>
          </w:rPr>
          <w:t>OMEGA.Support@doe.virginia.gov</w:t>
        </w:r>
      </w:hyperlink>
    </w:p>
    <w:p w14:paraId="67807800" w14:textId="71F47C21" w:rsidR="00E70E77" w:rsidRPr="002B04F9" w:rsidRDefault="00E70E77" w:rsidP="005E6FCF">
      <w:pPr>
        <w:ind w:left="720"/>
        <w:rPr>
          <w:sz w:val="22"/>
        </w:rPr>
      </w:pPr>
      <w:r w:rsidRPr="002B04F9">
        <w:rPr>
          <w:sz w:val="22"/>
        </w:rPr>
        <w:t xml:space="preserve">or call (804) </w:t>
      </w:r>
      <w:r w:rsidR="007B0DCD" w:rsidRPr="007B0DCD">
        <w:rPr>
          <w:sz w:val="22"/>
        </w:rPr>
        <w:t>750-8101</w:t>
      </w:r>
      <w:r w:rsidRPr="002B04F9">
        <w:rPr>
          <w:sz w:val="22"/>
        </w:rPr>
        <w:t>.</w:t>
      </w:r>
    </w:p>
    <w:p w14:paraId="62462387" w14:textId="24F14323" w:rsidR="00A80ADF" w:rsidRPr="002B04F9" w:rsidRDefault="00CF048F">
      <w:pPr>
        <w:numPr>
          <w:ilvl w:val="0"/>
          <w:numId w:val="7"/>
        </w:numPr>
      </w:pPr>
      <w:r w:rsidRPr="002B04F9">
        <w:rPr>
          <w:sz w:val="22"/>
          <w:szCs w:val="22"/>
        </w:rPr>
        <w:t>All other correspondence should be directe</w:t>
      </w:r>
      <w:r w:rsidR="00A80ADF" w:rsidRPr="002B04F9">
        <w:rPr>
          <w:sz w:val="22"/>
          <w:szCs w:val="22"/>
        </w:rPr>
        <w:t>d as follows:</w:t>
      </w:r>
    </w:p>
    <w:p w14:paraId="778B2616" w14:textId="70747EB0" w:rsidR="00A80ADF" w:rsidRPr="00AC6D65" w:rsidRDefault="00A80ADF" w:rsidP="00A80ADF">
      <w:pPr>
        <w:numPr>
          <w:ilvl w:val="1"/>
          <w:numId w:val="7"/>
        </w:numPr>
      </w:pPr>
      <w:r w:rsidRPr="00AC6D65">
        <w:rPr>
          <w:sz w:val="22"/>
          <w:szCs w:val="22"/>
        </w:rPr>
        <w:t>School divisions located in Superintendents’ Regional Study Groups I</w:t>
      </w:r>
      <w:r w:rsidR="00EE5398" w:rsidRPr="00AC6D65">
        <w:rPr>
          <w:sz w:val="22"/>
          <w:szCs w:val="22"/>
        </w:rPr>
        <w:t>I</w:t>
      </w:r>
      <w:r w:rsidR="00C1049B" w:rsidRPr="00AC6D65">
        <w:rPr>
          <w:sz w:val="22"/>
          <w:szCs w:val="22"/>
        </w:rPr>
        <w:t xml:space="preserve"> </w:t>
      </w:r>
      <w:r w:rsidRPr="00AC6D65">
        <w:rPr>
          <w:sz w:val="22"/>
          <w:szCs w:val="22"/>
        </w:rPr>
        <w:t>and II</w:t>
      </w:r>
      <w:r w:rsidR="00EE5398" w:rsidRPr="00AC6D65">
        <w:rPr>
          <w:sz w:val="22"/>
          <w:szCs w:val="22"/>
        </w:rPr>
        <w:t>I</w:t>
      </w:r>
      <w:r w:rsidRPr="00AC6D65">
        <w:rPr>
          <w:sz w:val="22"/>
          <w:szCs w:val="22"/>
        </w:rPr>
        <w:t xml:space="preserve"> should contact </w:t>
      </w:r>
      <w:r w:rsidR="00746D4A" w:rsidRPr="00AC6D65">
        <w:rPr>
          <w:sz w:val="22"/>
          <w:szCs w:val="22"/>
        </w:rPr>
        <w:t>Allegra Brow</w:t>
      </w:r>
      <w:r w:rsidR="00EE5398" w:rsidRPr="00AC6D65">
        <w:rPr>
          <w:sz w:val="22"/>
          <w:szCs w:val="22"/>
        </w:rPr>
        <w:t>n</w:t>
      </w:r>
      <w:r w:rsidR="00966A23" w:rsidRPr="00AC6D65">
        <w:rPr>
          <w:sz w:val="22"/>
          <w:szCs w:val="22"/>
        </w:rPr>
        <w:t>, Title II</w:t>
      </w:r>
      <w:r w:rsidR="00EE5398" w:rsidRPr="00AC6D65">
        <w:rPr>
          <w:sz w:val="22"/>
          <w:szCs w:val="22"/>
        </w:rPr>
        <w:t>/III</w:t>
      </w:r>
      <w:r w:rsidR="00966A23" w:rsidRPr="00AC6D65">
        <w:rPr>
          <w:sz w:val="22"/>
          <w:szCs w:val="22"/>
        </w:rPr>
        <w:t xml:space="preserve"> </w:t>
      </w:r>
      <w:r w:rsidR="00EE5398" w:rsidRPr="00AC6D65">
        <w:rPr>
          <w:sz w:val="22"/>
          <w:szCs w:val="22"/>
        </w:rPr>
        <w:t>Specialist</w:t>
      </w:r>
      <w:r w:rsidR="00CF048F" w:rsidRPr="00AC6D65">
        <w:rPr>
          <w:sz w:val="22"/>
          <w:szCs w:val="22"/>
        </w:rPr>
        <w:t xml:space="preserve">, at </w:t>
      </w:r>
      <w:hyperlink r:id="rId12" w:history="1">
        <w:r w:rsidR="00EE5398" w:rsidRPr="00AC6D65">
          <w:rPr>
            <w:rStyle w:val="Hyperlink"/>
            <w:sz w:val="22"/>
            <w:szCs w:val="16"/>
          </w:rPr>
          <w:t>Allegra.Brown@doe.virginia.gov</w:t>
        </w:r>
      </w:hyperlink>
      <w:r w:rsidR="00F91930" w:rsidRPr="00AC6D65">
        <w:rPr>
          <w:sz w:val="22"/>
          <w:szCs w:val="22"/>
        </w:rPr>
        <w:t xml:space="preserve"> </w:t>
      </w:r>
      <w:r w:rsidR="00CF048F" w:rsidRPr="00AC6D65">
        <w:rPr>
          <w:sz w:val="22"/>
          <w:szCs w:val="22"/>
        </w:rPr>
        <w:t xml:space="preserve">or at (804) </w:t>
      </w:r>
      <w:proofErr w:type="gramStart"/>
      <w:r w:rsidR="00542448" w:rsidRPr="00AC6D65">
        <w:rPr>
          <w:sz w:val="22"/>
          <w:szCs w:val="16"/>
        </w:rPr>
        <w:t>750</w:t>
      </w:r>
      <w:r w:rsidR="0052779D" w:rsidRPr="00AC6D65">
        <w:rPr>
          <w:sz w:val="22"/>
          <w:szCs w:val="16"/>
        </w:rPr>
        <w:t>-8003</w:t>
      </w:r>
      <w:r w:rsidR="000041C0" w:rsidRPr="00AC6D65">
        <w:rPr>
          <w:sz w:val="22"/>
          <w:szCs w:val="22"/>
        </w:rPr>
        <w:t>;</w:t>
      </w:r>
      <w:proofErr w:type="gramEnd"/>
      <w:r w:rsidR="00CF048F" w:rsidRPr="00AC6D65">
        <w:rPr>
          <w:sz w:val="22"/>
          <w:szCs w:val="22"/>
        </w:rPr>
        <w:t xml:space="preserve"> </w:t>
      </w:r>
    </w:p>
    <w:p w14:paraId="76369B46" w14:textId="57044ECA" w:rsidR="00A80ADF" w:rsidRPr="00AC6D65" w:rsidRDefault="00A80ADF" w:rsidP="00A80ADF">
      <w:pPr>
        <w:numPr>
          <w:ilvl w:val="1"/>
          <w:numId w:val="7"/>
        </w:numPr>
      </w:pPr>
      <w:r w:rsidRPr="00AC6D65">
        <w:rPr>
          <w:sz w:val="22"/>
          <w:szCs w:val="22"/>
        </w:rPr>
        <w:t>School divisions located in Superint</w:t>
      </w:r>
      <w:r w:rsidR="00C1049B" w:rsidRPr="00AC6D65">
        <w:rPr>
          <w:sz w:val="22"/>
          <w:szCs w:val="22"/>
        </w:rPr>
        <w:t xml:space="preserve">endents’ Regional Study Groups </w:t>
      </w:r>
      <w:r w:rsidRPr="00AC6D65">
        <w:rPr>
          <w:sz w:val="22"/>
          <w:szCs w:val="22"/>
        </w:rPr>
        <w:t>I</w:t>
      </w:r>
      <w:r w:rsidR="00C1049B" w:rsidRPr="00AC6D65">
        <w:rPr>
          <w:sz w:val="22"/>
          <w:szCs w:val="22"/>
        </w:rPr>
        <w:t>V, VII</w:t>
      </w:r>
      <w:r w:rsidRPr="00AC6D65">
        <w:rPr>
          <w:sz w:val="22"/>
          <w:szCs w:val="22"/>
        </w:rPr>
        <w:t xml:space="preserve"> and VII</w:t>
      </w:r>
      <w:r w:rsidR="00C1049B" w:rsidRPr="00AC6D65">
        <w:rPr>
          <w:sz w:val="22"/>
          <w:szCs w:val="22"/>
        </w:rPr>
        <w:t>I</w:t>
      </w:r>
      <w:r w:rsidRPr="00AC6D65">
        <w:rPr>
          <w:sz w:val="22"/>
          <w:szCs w:val="22"/>
        </w:rPr>
        <w:t xml:space="preserve"> should contact </w:t>
      </w:r>
      <w:r w:rsidR="00943123" w:rsidRPr="00AC6D65">
        <w:rPr>
          <w:sz w:val="22"/>
          <w:szCs w:val="22"/>
        </w:rPr>
        <w:t xml:space="preserve">Dr. </w:t>
      </w:r>
      <w:r w:rsidR="002A314C" w:rsidRPr="00AC6D65">
        <w:rPr>
          <w:sz w:val="22"/>
          <w:szCs w:val="22"/>
        </w:rPr>
        <w:t>Cora Coefield</w:t>
      </w:r>
      <w:r w:rsidR="00C1049B" w:rsidRPr="00AC6D65">
        <w:rPr>
          <w:sz w:val="22"/>
          <w:szCs w:val="22"/>
        </w:rPr>
        <w:t>, Title II Specialist,</w:t>
      </w:r>
      <w:r w:rsidR="002A314C" w:rsidRPr="00AC6D65">
        <w:rPr>
          <w:sz w:val="22"/>
          <w:szCs w:val="22"/>
        </w:rPr>
        <w:t xml:space="preserve"> at </w:t>
      </w:r>
      <w:hyperlink r:id="rId13" w:history="1">
        <w:r w:rsidR="002A314C" w:rsidRPr="00AC6D65">
          <w:rPr>
            <w:rStyle w:val="Hyperlink"/>
            <w:sz w:val="22"/>
            <w:szCs w:val="22"/>
          </w:rPr>
          <w:t>Cora.Coefield@doe.virginia.gov</w:t>
        </w:r>
      </w:hyperlink>
      <w:r w:rsidR="002A314C" w:rsidRPr="00AC6D65">
        <w:rPr>
          <w:sz w:val="22"/>
          <w:szCs w:val="22"/>
        </w:rPr>
        <w:t xml:space="preserve"> or at (804) </w:t>
      </w:r>
      <w:proofErr w:type="gramStart"/>
      <w:r w:rsidR="002729FB" w:rsidRPr="00AC6D65">
        <w:rPr>
          <w:sz w:val="22"/>
          <w:szCs w:val="16"/>
        </w:rPr>
        <w:t>418</w:t>
      </w:r>
      <w:r w:rsidR="00297E62" w:rsidRPr="00AC6D65">
        <w:rPr>
          <w:sz w:val="22"/>
          <w:szCs w:val="16"/>
        </w:rPr>
        <w:t>-4675</w:t>
      </w:r>
      <w:r w:rsidR="002A314C" w:rsidRPr="00AC6D65">
        <w:rPr>
          <w:sz w:val="22"/>
          <w:szCs w:val="16"/>
        </w:rPr>
        <w:t>;</w:t>
      </w:r>
      <w:proofErr w:type="gramEnd"/>
      <w:r w:rsidR="002A314C" w:rsidRPr="00AC6D65">
        <w:rPr>
          <w:sz w:val="22"/>
          <w:szCs w:val="16"/>
        </w:rPr>
        <w:t xml:space="preserve"> </w:t>
      </w:r>
    </w:p>
    <w:p w14:paraId="531640E8" w14:textId="3BF4ACC3" w:rsidR="00CF048F" w:rsidRPr="00AC6D65" w:rsidRDefault="00A80ADF" w:rsidP="00A80ADF">
      <w:pPr>
        <w:numPr>
          <w:ilvl w:val="1"/>
          <w:numId w:val="7"/>
        </w:numPr>
      </w:pPr>
      <w:r w:rsidRPr="00AC6D65">
        <w:rPr>
          <w:sz w:val="22"/>
          <w:szCs w:val="22"/>
        </w:rPr>
        <w:t xml:space="preserve">School divisions located in Superintendents’ Regional Study Groups I, V and VI should contact </w:t>
      </w:r>
      <w:r w:rsidR="002A314C" w:rsidRPr="00AC6D65">
        <w:rPr>
          <w:sz w:val="22"/>
          <w:szCs w:val="16"/>
        </w:rPr>
        <w:t>A</w:t>
      </w:r>
      <w:r w:rsidR="00221650" w:rsidRPr="00AC6D65">
        <w:rPr>
          <w:sz w:val="22"/>
          <w:szCs w:val="22"/>
        </w:rPr>
        <w:t xml:space="preserve">aron Monroe, </w:t>
      </w:r>
      <w:r w:rsidR="00284CDB" w:rsidRPr="00AC6D65">
        <w:rPr>
          <w:sz w:val="22"/>
          <w:szCs w:val="16"/>
        </w:rPr>
        <w:t>Title II/IV</w:t>
      </w:r>
      <w:r w:rsidR="000041C0" w:rsidRPr="00AC6D65">
        <w:rPr>
          <w:sz w:val="22"/>
          <w:szCs w:val="16"/>
        </w:rPr>
        <w:t xml:space="preserve"> </w:t>
      </w:r>
      <w:r w:rsidR="00966A23" w:rsidRPr="00AC6D65">
        <w:rPr>
          <w:sz w:val="22"/>
          <w:szCs w:val="16"/>
        </w:rPr>
        <w:t>S</w:t>
      </w:r>
      <w:r w:rsidR="000041C0" w:rsidRPr="00AC6D65">
        <w:rPr>
          <w:sz w:val="22"/>
          <w:szCs w:val="16"/>
        </w:rPr>
        <w:t xml:space="preserve">pecialist, </w:t>
      </w:r>
      <w:r w:rsidR="00221650" w:rsidRPr="00AC6D65">
        <w:rPr>
          <w:sz w:val="22"/>
          <w:szCs w:val="16"/>
        </w:rPr>
        <w:t xml:space="preserve">at </w:t>
      </w:r>
      <w:hyperlink r:id="rId14" w:history="1">
        <w:r w:rsidR="00221650" w:rsidRPr="00AC6D65">
          <w:rPr>
            <w:rStyle w:val="Hyperlink"/>
            <w:sz w:val="22"/>
            <w:szCs w:val="16"/>
          </w:rPr>
          <w:t>Aaron.Monroe@doe.virginia.gov</w:t>
        </w:r>
      </w:hyperlink>
      <w:r w:rsidR="00221650" w:rsidRPr="00AC6D65">
        <w:rPr>
          <w:sz w:val="22"/>
          <w:szCs w:val="16"/>
        </w:rPr>
        <w:t xml:space="preserve"> </w:t>
      </w:r>
      <w:r w:rsidR="000041C0" w:rsidRPr="00AC6D65">
        <w:rPr>
          <w:sz w:val="22"/>
          <w:szCs w:val="16"/>
        </w:rPr>
        <w:t>or at (804)</w:t>
      </w:r>
      <w:r w:rsidR="002B4FDA" w:rsidRPr="00AC6D65">
        <w:rPr>
          <w:sz w:val="22"/>
          <w:szCs w:val="16"/>
        </w:rPr>
        <w:t xml:space="preserve"> </w:t>
      </w:r>
      <w:r w:rsidR="003B68FE" w:rsidRPr="00AC6D65">
        <w:rPr>
          <w:sz w:val="22"/>
          <w:szCs w:val="16"/>
        </w:rPr>
        <w:t>509-0552</w:t>
      </w:r>
      <w:r w:rsidR="00221650" w:rsidRPr="00AC6D65">
        <w:rPr>
          <w:sz w:val="22"/>
          <w:szCs w:val="16"/>
        </w:rPr>
        <w:t>.</w:t>
      </w:r>
    </w:p>
    <w:p w14:paraId="15F55FCE" w14:textId="4B64E7B1" w:rsidR="006F0642" w:rsidRPr="00AC6D65" w:rsidRDefault="00FE723A" w:rsidP="006F0642">
      <w:pPr>
        <w:numPr>
          <w:ilvl w:val="1"/>
          <w:numId w:val="7"/>
        </w:numPr>
      </w:pPr>
      <w:r w:rsidRPr="00AC6D65">
        <w:rPr>
          <w:sz w:val="22"/>
          <w:szCs w:val="22"/>
        </w:rPr>
        <w:t xml:space="preserve">For any issues or concerns with Title II, Part A </w:t>
      </w:r>
      <w:r w:rsidR="007F19DF" w:rsidRPr="00AC6D65">
        <w:rPr>
          <w:sz w:val="22"/>
          <w:szCs w:val="22"/>
        </w:rPr>
        <w:t xml:space="preserve">that involve equitable services or </w:t>
      </w:r>
      <w:r w:rsidR="004276D0" w:rsidRPr="00AC6D65">
        <w:rPr>
          <w:sz w:val="22"/>
          <w:szCs w:val="22"/>
        </w:rPr>
        <w:t xml:space="preserve">in the event regional specialists are not available, </w:t>
      </w:r>
      <w:r w:rsidR="006F0642" w:rsidRPr="00AC6D65">
        <w:rPr>
          <w:sz w:val="22"/>
          <w:szCs w:val="22"/>
        </w:rPr>
        <w:t xml:space="preserve">contact Dr. Randall Johnson, Title II Coordinator, at </w:t>
      </w:r>
      <w:hyperlink r:id="rId15" w:history="1">
        <w:r w:rsidR="006F0642" w:rsidRPr="00AC6D65">
          <w:rPr>
            <w:rStyle w:val="Hyperlink"/>
            <w:sz w:val="22"/>
            <w:szCs w:val="16"/>
          </w:rPr>
          <w:t>Randall.Johnson@doe.virginia.gov</w:t>
        </w:r>
      </w:hyperlink>
      <w:r w:rsidR="006F0642" w:rsidRPr="00AC6D65">
        <w:rPr>
          <w:sz w:val="22"/>
          <w:szCs w:val="22"/>
        </w:rPr>
        <w:t xml:space="preserve"> or at (804) </w:t>
      </w:r>
      <w:r w:rsidR="00F53700" w:rsidRPr="00AC6D65">
        <w:rPr>
          <w:sz w:val="22"/>
          <w:szCs w:val="16"/>
        </w:rPr>
        <w:t>750-8144</w:t>
      </w:r>
      <w:r w:rsidR="006F0642" w:rsidRPr="00AC6D65">
        <w:rPr>
          <w:sz w:val="22"/>
          <w:szCs w:val="22"/>
        </w:rPr>
        <w:t xml:space="preserve">; </w:t>
      </w:r>
    </w:p>
    <w:p w14:paraId="535EE906" w14:textId="77777777" w:rsidR="006F0642" w:rsidRDefault="006F0642" w:rsidP="00A80ADF">
      <w:pPr>
        <w:rPr>
          <w:sz w:val="22"/>
          <w:szCs w:val="16"/>
        </w:rPr>
      </w:pPr>
    </w:p>
    <w:p w14:paraId="7A4A31BC" w14:textId="77777777" w:rsidR="007205F0" w:rsidRPr="002B04F9" w:rsidRDefault="007205F0" w:rsidP="005E6FCF">
      <w:pPr>
        <w:pStyle w:val="Heading6"/>
        <w:rPr>
          <w:bCs w:val="0"/>
        </w:rPr>
      </w:pPr>
      <w:r w:rsidRPr="002B04F9">
        <w:rPr>
          <w:bCs w:val="0"/>
        </w:rPr>
        <w:t>Instructions for Completing the Application</w:t>
      </w:r>
    </w:p>
    <w:p w14:paraId="7DB20480" w14:textId="77777777" w:rsidR="00DB475A" w:rsidRPr="002B04F9" w:rsidRDefault="00DB475A" w:rsidP="005E6FCF">
      <w:pPr>
        <w:rPr>
          <w:b/>
          <w:sz w:val="22"/>
          <w:u w:val="single"/>
        </w:rPr>
      </w:pPr>
      <w:r w:rsidRPr="002B04F9">
        <w:rPr>
          <w:b/>
          <w:sz w:val="22"/>
          <w:u w:val="single"/>
        </w:rPr>
        <w:t xml:space="preserve">Main Page Tab </w:t>
      </w:r>
    </w:p>
    <w:p w14:paraId="3163A8B3" w14:textId="7A9BA685" w:rsidR="00DB475A" w:rsidRPr="002B04F9" w:rsidRDefault="00DB475A" w:rsidP="005E6FCF">
      <w:pPr>
        <w:rPr>
          <w:sz w:val="22"/>
        </w:rPr>
      </w:pPr>
      <w:r w:rsidRPr="002B04F9">
        <w:rPr>
          <w:sz w:val="22"/>
        </w:rPr>
        <w:t xml:space="preserve">Select the school division from the </w:t>
      </w:r>
      <w:r w:rsidR="00AC6D65" w:rsidRPr="002B04F9">
        <w:rPr>
          <w:sz w:val="22"/>
        </w:rPr>
        <w:t>drop-down</w:t>
      </w:r>
      <w:r w:rsidRPr="002B04F9">
        <w:rPr>
          <w:sz w:val="22"/>
        </w:rPr>
        <w:t xml:space="preserve"> box in cell F13.  This feature will automatically insert your school division name and number throughout the application.</w:t>
      </w:r>
    </w:p>
    <w:p w14:paraId="70E6D3D8" w14:textId="449F79D8" w:rsidR="00DB475A" w:rsidRPr="002B04F9" w:rsidRDefault="00DB475A" w:rsidP="005E6FCF">
      <w:pPr>
        <w:rPr>
          <w:b/>
          <w:sz w:val="22"/>
          <w:u w:val="single"/>
        </w:rPr>
      </w:pPr>
    </w:p>
    <w:p w14:paraId="27048F4F" w14:textId="77777777" w:rsidR="00DD2B36" w:rsidRPr="002B04F9" w:rsidRDefault="00DD2B36" w:rsidP="00DD2B36">
      <w:pPr>
        <w:rPr>
          <w:b/>
          <w:sz w:val="22"/>
          <w:u w:val="single"/>
        </w:rPr>
      </w:pPr>
      <w:r w:rsidRPr="002B04F9">
        <w:rPr>
          <w:b/>
          <w:sz w:val="22"/>
          <w:u w:val="single"/>
        </w:rPr>
        <w:t>Application Directory</w:t>
      </w:r>
    </w:p>
    <w:p w14:paraId="35121E2C" w14:textId="74FAA1D0" w:rsidR="00DD2B36" w:rsidRPr="002B04F9" w:rsidRDefault="00DD2B36" w:rsidP="00DD2B36">
      <w:pPr>
        <w:rPr>
          <w:b/>
          <w:sz w:val="22"/>
          <w:u w:val="single"/>
        </w:rPr>
      </w:pPr>
      <w:r w:rsidRPr="002B04F9">
        <w:rPr>
          <w:sz w:val="22"/>
        </w:rPr>
        <w:t>By clicking the buttons in this directory, you can navigate to specific sections of the application. To return to the directory, choose the “Back to Main Page” button in any section.</w:t>
      </w:r>
    </w:p>
    <w:p w14:paraId="56657DF4" w14:textId="77777777" w:rsidR="00DD2B36" w:rsidRPr="002B04F9" w:rsidRDefault="00DD2B36" w:rsidP="005E6FCF">
      <w:pPr>
        <w:rPr>
          <w:b/>
          <w:sz w:val="22"/>
          <w:u w:val="single"/>
        </w:rPr>
      </w:pPr>
    </w:p>
    <w:p w14:paraId="067654FB" w14:textId="77777777" w:rsidR="00734502" w:rsidRPr="002B04F9" w:rsidRDefault="00734502" w:rsidP="005E6FCF">
      <w:pPr>
        <w:rPr>
          <w:b/>
          <w:sz w:val="22"/>
          <w:u w:val="single"/>
        </w:rPr>
      </w:pPr>
      <w:r w:rsidRPr="002B04F9">
        <w:rPr>
          <w:b/>
          <w:sz w:val="22"/>
          <w:u w:val="single"/>
        </w:rPr>
        <w:t>Budget Check Tab</w:t>
      </w:r>
    </w:p>
    <w:p w14:paraId="7DBC16A6" w14:textId="17D44E6F" w:rsidR="00221650" w:rsidRPr="002B04F9" w:rsidRDefault="00734502">
      <w:pPr>
        <w:rPr>
          <w:b/>
          <w:sz w:val="22"/>
          <w:u w:val="single"/>
        </w:rPr>
      </w:pPr>
      <w:r w:rsidRPr="002B04F9">
        <w:rPr>
          <w:sz w:val="22"/>
        </w:rPr>
        <w:t xml:space="preserve">This section is designed to warn you if there are errors in the alignment of budgets. If column D is blank after the Budget Summary and Transferability tabs have been updated, then the budgets are balanced. If there are error messages in column D, then please make the necessary corrections. </w:t>
      </w:r>
      <w:r w:rsidR="00221650" w:rsidRPr="002B04F9">
        <w:rPr>
          <w:b/>
          <w:sz w:val="22"/>
          <w:u w:val="single"/>
        </w:rPr>
        <w:br w:type="page"/>
      </w:r>
    </w:p>
    <w:p w14:paraId="0620D1B2" w14:textId="77777777" w:rsidR="00734502" w:rsidRPr="002B04F9" w:rsidRDefault="00734502" w:rsidP="005E6FCF">
      <w:pPr>
        <w:rPr>
          <w:b/>
          <w:sz w:val="22"/>
          <w:u w:val="single"/>
        </w:rPr>
      </w:pPr>
    </w:p>
    <w:p w14:paraId="6FAB6E00" w14:textId="5CB6EE75" w:rsidR="0037332D" w:rsidRPr="002B04F9" w:rsidRDefault="0037332D" w:rsidP="005E6FCF">
      <w:pPr>
        <w:rPr>
          <w:b/>
          <w:sz w:val="22"/>
          <w:u w:val="single"/>
        </w:rPr>
      </w:pPr>
      <w:r w:rsidRPr="002B04F9">
        <w:rPr>
          <w:b/>
          <w:sz w:val="22"/>
          <w:u w:val="single"/>
        </w:rPr>
        <w:t>A.  Cover Page</w:t>
      </w:r>
      <w:r w:rsidR="00783195" w:rsidRPr="002B04F9">
        <w:rPr>
          <w:b/>
          <w:sz w:val="22"/>
          <w:u w:val="single"/>
        </w:rPr>
        <w:t xml:space="preserve"> and Application Information</w:t>
      </w:r>
      <w:r w:rsidRPr="002B04F9">
        <w:rPr>
          <w:b/>
          <w:sz w:val="22"/>
          <w:u w:val="single"/>
        </w:rPr>
        <w:t xml:space="preserve"> (Narrative Tab</w:t>
      </w:r>
      <w:r w:rsidR="009E228A" w:rsidRPr="002B04F9">
        <w:rPr>
          <w:b/>
          <w:sz w:val="22"/>
          <w:u w:val="single"/>
        </w:rPr>
        <w:t>,</w:t>
      </w:r>
      <w:r w:rsidRPr="002B04F9">
        <w:rPr>
          <w:b/>
          <w:sz w:val="22"/>
          <w:u w:val="single"/>
        </w:rPr>
        <w:t xml:space="preserve"> Pages 1-</w:t>
      </w:r>
      <w:r w:rsidR="008D284D" w:rsidRPr="002B04F9">
        <w:rPr>
          <w:b/>
          <w:sz w:val="22"/>
          <w:u w:val="single"/>
        </w:rPr>
        <w:t>3</w:t>
      </w:r>
      <w:r w:rsidRPr="002B04F9">
        <w:rPr>
          <w:b/>
          <w:sz w:val="22"/>
          <w:u w:val="single"/>
        </w:rPr>
        <w:t>)</w:t>
      </w:r>
    </w:p>
    <w:p w14:paraId="1EA7FC20" w14:textId="2C20BCAE" w:rsidR="00990D18" w:rsidRPr="002B04F9" w:rsidRDefault="00990D18" w:rsidP="005E6FCF">
      <w:pPr>
        <w:numPr>
          <w:ilvl w:val="0"/>
          <w:numId w:val="1"/>
        </w:numPr>
        <w:rPr>
          <w:color w:val="000000" w:themeColor="text1"/>
          <w:sz w:val="22"/>
        </w:rPr>
      </w:pPr>
      <w:r w:rsidRPr="002B04F9">
        <w:rPr>
          <w:sz w:val="22"/>
        </w:rPr>
        <w:t xml:space="preserve">Complete the school division </w:t>
      </w:r>
      <w:r w:rsidRPr="002B04F9">
        <w:rPr>
          <w:color w:val="000000" w:themeColor="text1"/>
          <w:sz w:val="22"/>
        </w:rPr>
        <w:t xml:space="preserve">information section. </w:t>
      </w:r>
    </w:p>
    <w:p w14:paraId="2D80107F" w14:textId="77777777" w:rsidR="00215CF9" w:rsidRPr="002B04F9" w:rsidRDefault="00215CF9" w:rsidP="005E6FCF">
      <w:pPr>
        <w:numPr>
          <w:ilvl w:val="0"/>
          <w:numId w:val="1"/>
        </w:numPr>
        <w:rPr>
          <w:color w:val="000000" w:themeColor="text1"/>
          <w:sz w:val="22"/>
        </w:rPr>
      </w:pPr>
      <w:r w:rsidRPr="002B04F9">
        <w:rPr>
          <w:color w:val="000000" w:themeColor="text1"/>
          <w:sz w:val="22"/>
        </w:rPr>
        <w:t>The designated division representative will complete the Local Educational Agency Certification by securing all appropriate signatures and by indicating the date of the school board meeting.</w:t>
      </w:r>
    </w:p>
    <w:p w14:paraId="2505ACCF" w14:textId="17A72DAF" w:rsidR="00215CF9" w:rsidRPr="002B04F9" w:rsidRDefault="00215CF9" w:rsidP="005E6FCF">
      <w:pPr>
        <w:numPr>
          <w:ilvl w:val="0"/>
          <w:numId w:val="1"/>
        </w:numPr>
        <w:rPr>
          <w:color w:val="000000" w:themeColor="text1"/>
          <w:sz w:val="22"/>
        </w:rPr>
      </w:pPr>
      <w:r w:rsidRPr="002B04F9">
        <w:rPr>
          <w:color w:val="000000" w:themeColor="text1"/>
          <w:sz w:val="22"/>
        </w:rPr>
        <w:t xml:space="preserve">The local school board must review and approve the application prior to submission to the Department of Education.  </w:t>
      </w:r>
    </w:p>
    <w:p w14:paraId="65C33E6A" w14:textId="0002E7C7" w:rsidR="00990D18" w:rsidRPr="002B04F9" w:rsidRDefault="0058384C" w:rsidP="005E6FCF">
      <w:pPr>
        <w:numPr>
          <w:ilvl w:val="0"/>
          <w:numId w:val="1"/>
        </w:numPr>
        <w:rPr>
          <w:color w:val="000000" w:themeColor="text1"/>
          <w:sz w:val="22"/>
        </w:rPr>
      </w:pPr>
      <w:r w:rsidRPr="002B04F9">
        <w:rPr>
          <w:color w:val="000000" w:themeColor="text1"/>
          <w:sz w:val="22"/>
        </w:rPr>
        <w:t xml:space="preserve">Under the “Application Information” section, the </w:t>
      </w:r>
      <w:r w:rsidR="00E4106D">
        <w:rPr>
          <w:color w:val="000000" w:themeColor="text1"/>
          <w:sz w:val="22"/>
        </w:rPr>
        <w:t>2023</w:t>
      </w:r>
      <w:r w:rsidRPr="002B04F9">
        <w:rPr>
          <w:color w:val="000000" w:themeColor="text1"/>
          <w:sz w:val="22"/>
        </w:rPr>
        <w:t>-</w:t>
      </w:r>
      <w:r w:rsidR="00E4106D">
        <w:rPr>
          <w:color w:val="000000" w:themeColor="text1"/>
          <w:sz w:val="22"/>
        </w:rPr>
        <w:t>2024</w:t>
      </w:r>
      <w:r w:rsidRPr="002B04F9">
        <w:rPr>
          <w:color w:val="000000" w:themeColor="text1"/>
          <w:sz w:val="22"/>
        </w:rPr>
        <w:t xml:space="preserve"> funding allocations will appear in the column labeled “</w:t>
      </w:r>
      <w:r w:rsidR="00E4106D">
        <w:rPr>
          <w:color w:val="000000" w:themeColor="text1"/>
          <w:sz w:val="22"/>
        </w:rPr>
        <w:t>2023</w:t>
      </w:r>
      <w:r w:rsidRPr="002B04F9">
        <w:rPr>
          <w:color w:val="000000" w:themeColor="text1"/>
          <w:sz w:val="22"/>
        </w:rPr>
        <w:t>-</w:t>
      </w:r>
      <w:r w:rsidR="00E4106D">
        <w:rPr>
          <w:color w:val="000000" w:themeColor="text1"/>
          <w:sz w:val="22"/>
        </w:rPr>
        <w:t>2024</w:t>
      </w:r>
      <w:r w:rsidRPr="002B04F9">
        <w:rPr>
          <w:color w:val="000000" w:themeColor="text1"/>
          <w:sz w:val="22"/>
        </w:rPr>
        <w:t xml:space="preserve"> Allocation.”  Please indicate </w:t>
      </w:r>
      <w:r w:rsidR="00AC6D65" w:rsidRPr="002B04F9">
        <w:rPr>
          <w:color w:val="000000" w:themeColor="text1"/>
          <w:sz w:val="22"/>
        </w:rPr>
        <w:t>whether</w:t>
      </w:r>
      <w:r w:rsidRPr="002B04F9">
        <w:rPr>
          <w:color w:val="000000" w:themeColor="text1"/>
          <w:sz w:val="22"/>
        </w:rPr>
        <w:t xml:space="preserve"> you submitted a consolidated application for </w:t>
      </w:r>
      <w:r w:rsidR="00E4106D">
        <w:rPr>
          <w:color w:val="000000" w:themeColor="text1"/>
          <w:sz w:val="22"/>
        </w:rPr>
        <w:t>2023</w:t>
      </w:r>
      <w:r w:rsidRPr="002B04F9">
        <w:rPr>
          <w:color w:val="000000" w:themeColor="text1"/>
          <w:sz w:val="22"/>
        </w:rPr>
        <w:t>-</w:t>
      </w:r>
      <w:r w:rsidR="00E4106D">
        <w:rPr>
          <w:color w:val="000000" w:themeColor="text1"/>
          <w:sz w:val="22"/>
        </w:rPr>
        <w:t>2024</w:t>
      </w:r>
      <w:r w:rsidRPr="002B04F9">
        <w:rPr>
          <w:color w:val="000000" w:themeColor="text1"/>
          <w:sz w:val="22"/>
        </w:rPr>
        <w:t xml:space="preserve"> by selecting “yes” or “no” from the drop</w:t>
      </w:r>
      <w:r w:rsidR="001C4C50" w:rsidRPr="002B04F9">
        <w:rPr>
          <w:color w:val="000000" w:themeColor="text1"/>
          <w:sz w:val="22"/>
        </w:rPr>
        <w:t>-</w:t>
      </w:r>
      <w:r w:rsidRPr="002B04F9">
        <w:rPr>
          <w:color w:val="000000" w:themeColor="text1"/>
          <w:sz w:val="22"/>
        </w:rPr>
        <w:t xml:space="preserve">down list in the column marked </w:t>
      </w:r>
      <w:r w:rsidR="00E4106D">
        <w:rPr>
          <w:color w:val="000000" w:themeColor="text1"/>
          <w:sz w:val="22"/>
        </w:rPr>
        <w:t>2023</w:t>
      </w:r>
      <w:r w:rsidRPr="002B04F9">
        <w:rPr>
          <w:color w:val="000000" w:themeColor="text1"/>
          <w:sz w:val="22"/>
        </w:rPr>
        <w:t>-</w:t>
      </w:r>
      <w:r w:rsidR="00E4106D">
        <w:rPr>
          <w:color w:val="000000" w:themeColor="text1"/>
          <w:sz w:val="22"/>
        </w:rPr>
        <w:t>2024</w:t>
      </w:r>
      <w:r w:rsidRPr="002B04F9">
        <w:rPr>
          <w:color w:val="000000" w:themeColor="text1"/>
          <w:sz w:val="22"/>
        </w:rPr>
        <w:t xml:space="preserve"> Consolidated Application. </w:t>
      </w:r>
      <w:r w:rsidR="00DA4969" w:rsidRPr="002B04F9">
        <w:rPr>
          <w:color w:val="000000" w:themeColor="text1"/>
          <w:sz w:val="22"/>
        </w:rPr>
        <w:t xml:space="preserve">  </w:t>
      </w:r>
      <w:r w:rsidR="00990D18" w:rsidRPr="002B04F9">
        <w:rPr>
          <w:color w:val="000000" w:themeColor="text1"/>
          <w:sz w:val="22"/>
        </w:rPr>
        <w:t xml:space="preserve"> </w:t>
      </w:r>
    </w:p>
    <w:p w14:paraId="15932C8D" w14:textId="5E48ED6D" w:rsidR="00734502" w:rsidRPr="002B04F9" w:rsidRDefault="00302EF4" w:rsidP="005E6FCF">
      <w:pPr>
        <w:numPr>
          <w:ilvl w:val="0"/>
          <w:numId w:val="1"/>
        </w:numPr>
        <w:rPr>
          <w:b/>
          <w:bCs/>
          <w:color w:val="000000" w:themeColor="text1"/>
          <w:sz w:val="22"/>
        </w:rPr>
      </w:pPr>
      <w:r w:rsidRPr="002B04F9">
        <w:rPr>
          <w:color w:val="000000" w:themeColor="text1"/>
          <w:sz w:val="22"/>
        </w:rPr>
        <w:t xml:space="preserve">After completing </w:t>
      </w:r>
      <w:r w:rsidR="002B4FDA" w:rsidRPr="002B04F9">
        <w:rPr>
          <w:color w:val="000000" w:themeColor="text1"/>
          <w:sz w:val="22"/>
        </w:rPr>
        <w:t>the previous step, to t</w:t>
      </w:r>
      <w:r w:rsidR="00990D18" w:rsidRPr="002B04F9">
        <w:rPr>
          <w:color w:val="000000" w:themeColor="text1"/>
          <w:sz w:val="22"/>
        </w:rPr>
        <w:t xml:space="preserve">he </w:t>
      </w:r>
      <w:r w:rsidR="00AC6D65" w:rsidRPr="002B04F9">
        <w:rPr>
          <w:color w:val="000000" w:themeColor="text1"/>
          <w:sz w:val="22"/>
        </w:rPr>
        <w:t>far-right</w:t>
      </w:r>
      <w:r w:rsidR="00990D18" w:rsidRPr="002B04F9">
        <w:rPr>
          <w:color w:val="000000" w:themeColor="text1"/>
          <w:sz w:val="22"/>
        </w:rPr>
        <w:t xml:space="preserve"> column labeled “</w:t>
      </w:r>
      <w:r w:rsidR="00E4106D">
        <w:rPr>
          <w:color w:val="000000" w:themeColor="text1"/>
          <w:sz w:val="22"/>
        </w:rPr>
        <w:t>2024</w:t>
      </w:r>
      <w:r w:rsidR="00990D18" w:rsidRPr="002B04F9">
        <w:rPr>
          <w:color w:val="000000" w:themeColor="text1"/>
          <w:sz w:val="22"/>
        </w:rPr>
        <w:t>-</w:t>
      </w:r>
      <w:r w:rsidR="00E4106D">
        <w:rPr>
          <w:color w:val="000000" w:themeColor="text1"/>
          <w:sz w:val="22"/>
        </w:rPr>
        <w:t>2025</w:t>
      </w:r>
      <w:r w:rsidR="00871DA4" w:rsidRPr="002B04F9">
        <w:rPr>
          <w:color w:val="000000" w:themeColor="text1"/>
          <w:sz w:val="22"/>
        </w:rPr>
        <w:t xml:space="preserve"> Allocation Total,”</w:t>
      </w:r>
      <w:r w:rsidRPr="002B04F9">
        <w:rPr>
          <w:color w:val="000000" w:themeColor="text1"/>
          <w:sz w:val="22"/>
        </w:rPr>
        <w:t xml:space="preserve"> enter</w:t>
      </w:r>
      <w:r w:rsidR="00990D18" w:rsidRPr="002B04F9">
        <w:rPr>
          <w:color w:val="000000" w:themeColor="text1"/>
          <w:sz w:val="22"/>
        </w:rPr>
        <w:t xml:space="preserve"> your school division’s allocation for Title II, Pa</w:t>
      </w:r>
      <w:r w:rsidR="00E366FB" w:rsidRPr="002B04F9">
        <w:rPr>
          <w:color w:val="000000" w:themeColor="text1"/>
          <w:sz w:val="22"/>
        </w:rPr>
        <w:t xml:space="preserve">rt A, to be included in the </w:t>
      </w:r>
      <w:r w:rsidR="00E4106D">
        <w:rPr>
          <w:color w:val="000000" w:themeColor="text1"/>
          <w:sz w:val="22"/>
        </w:rPr>
        <w:t>2024</w:t>
      </w:r>
      <w:r w:rsidR="00B2001A" w:rsidRPr="002B04F9">
        <w:rPr>
          <w:color w:val="000000" w:themeColor="text1"/>
          <w:sz w:val="22"/>
        </w:rPr>
        <w:t>-</w:t>
      </w:r>
      <w:r w:rsidR="00E4106D">
        <w:rPr>
          <w:color w:val="000000" w:themeColor="text1"/>
          <w:sz w:val="22"/>
        </w:rPr>
        <w:t>2025</w:t>
      </w:r>
      <w:r w:rsidR="00B2001A" w:rsidRPr="002B04F9">
        <w:rPr>
          <w:color w:val="000000" w:themeColor="text1"/>
          <w:sz w:val="22"/>
        </w:rPr>
        <w:t xml:space="preserve"> </w:t>
      </w:r>
      <w:r w:rsidR="00990D18" w:rsidRPr="002B04F9">
        <w:rPr>
          <w:color w:val="000000" w:themeColor="text1"/>
          <w:sz w:val="22"/>
        </w:rPr>
        <w:t xml:space="preserve">Individual Application. If you do not know your </w:t>
      </w:r>
      <w:r w:rsidR="00E4106D">
        <w:rPr>
          <w:color w:val="000000" w:themeColor="text1"/>
          <w:sz w:val="22"/>
        </w:rPr>
        <w:t>2024</w:t>
      </w:r>
      <w:r w:rsidR="00B2001A" w:rsidRPr="002B04F9">
        <w:rPr>
          <w:color w:val="000000" w:themeColor="text1"/>
          <w:sz w:val="22"/>
        </w:rPr>
        <w:t>-</w:t>
      </w:r>
      <w:r w:rsidR="00E4106D">
        <w:rPr>
          <w:color w:val="000000" w:themeColor="text1"/>
          <w:sz w:val="22"/>
        </w:rPr>
        <w:t>2025</w:t>
      </w:r>
      <w:r w:rsidR="00B2001A" w:rsidRPr="002B04F9">
        <w:rPr>
          <w:color w:val="000000" w:themeColor="text1"/>
          <w:sz w:val="22"/>
        </w:rPr>
        <w:t xml:space="preserve"> </w:t>
      </w:r>
      <w:r w:rsidR="00990D18" w:rsidRPr="002B04F9">
        <w:rPr>
          <w:color w:val="000000" w:themeColor="text1"/>
          <w:sz w:val="22"/>
        </w:rPr>
        <w:t xml:space="preserve">allocation, use the </w:t>
      </w:r>
      <w:r w:rsidR="00E4106D">
        <w:rPr>
          <w:color w:val="000000" w:themeColor="text1"/>
          <w:sz w:val="22"/>
        </w:rPr>
        <w:t>2023</w:t>
      </w:r>
      <w:r w:rsidR="00B2001A" w:rsidRPr="002B04F9">
        <w:rPr>
          <w:color w:val="000000" w:themeColor="text1"/>
          <w:sz w:val="22"/>
        </w:rPr>
        <w:t>-</w:t>
      </w:r>
      <w:r w:rsidR="00E4106D">
        <w:rPr>
          <w:color w:val="000000" w:themeColor="text1"/>
          <w:sz w:val="22"/>
        </w:rPr>
        <w:t>2024</w:t>
      </w:r>
      <w:r w:rsidR="00B2001A" w:rsidRPr="002B04F9">
        <w:rPr>
          <w:color w:val="000000" w:themeColor="text1"/>
          <w:sz w:val="22"/>
        </w:rPr>
        <w:t xml:space="preserve"> </w:t>
      </w:r>
      <w:r w:rsidR="00990D18" w:rsidRPr="002B04F9">
        <w:rPr>
          <w:color w:val="000000" w:themeColor="text1"/>
          <w:sz w:val="22"/>
        </w:rPr>
        <w:t xml:space="preserve">amount. </w:t>
      </w:r>
      <w:r w:rsidR="00AC74DB" w:rsidRPr="002B04F9">
        <w:rPr>
          <w:bCs/>
          <w:color w:val="000000" w:themeColor="text1"/>
          <w:sz w:val="22"/>
        </w:rPr>
        <w:t xml:space="preserve"> NOTE: Initial applications will only be programmatically approved. An amended application will have to be submitted once the final allocations are released in a Superintendent’s Memo.</w:t>
      </w:r>
    </w:p>
    <w:p w14:paraId="4E51447B" w14:textId="77777777" w:rsidR="00734502" w:rsidRPr="002B04F9" w:rsidRDefault="00734502" w:rsidP="005E6FCF">
      <w:pPr>
        <w:ind w:left="720"/>
        <w:rPr>
          <w:b/>
          <w:bCs/>
          <w:color w:val="000000" w:themeColor="text1"/>
          <w:sz w:val="22"/>
        </w:rPr>
      </w:pPr>
    </w:p>
    <w:p w14:paraId="077C2558" w14:textId="31E2367E" w:rsidR="00990D18" w:rsidRPr="002B04F9" w:rsidRDefault="00FA6F17" w:rsidP="005E6FCF">
      <w:pPr>
        <w:ind w:left="720"/>
        <w:rPr>
          <w:b/>
          <w:bCs/>
          <w:color w:val="000000" w:themeColor="text1"/>
          <w:sz w:val="22"/>
        </w:rPr>
      </w:pPr>
      <w:r w:rsidRPr="002B04F9">
        <w:rPr>
          <w:b/>
          <w:color w:val="000000" w:themeColor="text1"/>
          <w:sz w:val="22"/>
        </w:rPr>
        <w:t>Transferability</w:t>
      </w:r>
      <w:r w:rsidR="002B4414" w:rsidRPr="002B04F9">
        <w:rPr>
          <w:b/>
          <w:color w:val="000000" w:themeColor="text1"/>
          <w:sz w:val="22"/>
        </w:rPr>
        <w:t xml:space="preserve"> (p. 2)</w:t>
      </w:r>
    </w:p>
    <w:p w14:paraId="08FFF34D" w14:textId="77777777" w:rsidR="002669EF" w:rsidRPr="002B04F9" w:rsidRDefault="004D49CC" w:rsidP="005E6FCF">
      <w:pPr>
        <w:numPr>
          <w:ilvl w:val="0"/>
          <w:numId w:val="33"/>
        </w:numPr>
        <w:rPr>
          <w:sz w:val="22"/>
        </w:rPr>
      </w:pPr>
      <w:r w:rsidRPr="002B04F9">
        <w:rPr>
          <w:sz w:val="22"/>
        </w:rPr>
        <w:t>If the division does not intend to transfer funds between qualifying program</w:t>
      </w:r>
      <w:r w:rsidR="006B6AE7" w:rsidRPr="002B04F9">
        <w:rPr>
          <w:sz w:val="22"/>
        </w:rPr>
        <w:t>s</w:t>
      </w:r>
      <w:r w:rsidRPr="002B04F9">
        <w:rPr>
          <w:sz w:val="22"/>
        </w:rPr>
        <w:t xml:space="preserve">, the “Transferability” section should be left blank.  </w:t>
      </w:r>
    </w:p>
    <w:p w14:paraId="02B2D617" w14:textId="586BEE81" w:rsidR="007A143F" w:rsidRPr="007A143F" w:rsidRDefault="004D49CC" w:rsidP="005E6FCF">
      <w:pPr>
        <w:numPr>
          <w:ilvl w:val="0"/>
          <w:numId w:val="33"/>
        </w:numPr>
        <w:rPr>
          <w:sz w:val="22"/>
          <w:szCs w:val="22"/>
        </w:rPr>
      </w:pPr>
      <w:r w:rsidRPr="002B04F9">
        <w:rPr>
          <w:sz w:val="22"/>
        </w:rPr>
        <w:t xml:space="preserve">If the division does intend to transfer funds, </w:t>
      </w:r>
      <w:r w:rsidR="002669EF" w:rsidRPr="002B04F9">
        <w:rPr>
          <w:sz w:val="22"/>
        </w:rPr>
        <w:t xml:space="preserve">complete the “Transferability” section of the receiving program prior to submitting the transfer request form. Please note that an approved application is the first step in the process, but funds will not be redistributed until the transfer </w:t>
      </w:r>
      <w:r w:rsidR="002669EF" w:rsidRPr="007A143F">
        <w:rPr>
          <w:sz w:val="22"/>
          <w:szCs w:val="22"/>
        </w:rPr>
        <w:t xml:space="preserve">request has final approval.  </w:t>
      </w:r>
      <w:r w:rsidRPr="007A143F">
        <w:rPr>
          <w:sz w:val="22"/>
          <w:szCs w:val="22"/>
        </w:rPr>
        <w:t xml:space="preserve">The transfer request form is provided at </w:t>
      </w:r>
      <w:hyperlink r:id="rId16" w:history="1">
        <w:r w:rsidR="007A143F" w:rsidRPr="007A143F">
          <w:rPr>
            <w:rStyle w:val="Hyperlink"/>
            <w:sz w:val="22"/>
            <w:szCs w:val="22"/>
          </w:rPr>
          <w:t>https://www.doe.virginia.gov/programs-services/federal-programs/essa/esea-transferability</w:t>
        </w:r>
      </w:hyperlink>
      <w:r w:rsidR="007A143F" w:rsidRPr="007A143F">
        <w:rPr>
          <w:sz w:val="22"/>
          <w:szCs w:val="22"/>
        </w:rPr>
        <w:t>.</w:t>
      </w:r>
    </w:p>
    <w:p w14:paraId="66DC2590" w14:textId="009A47CF" w:rsidR="00921137" w:rsidRPr="002B04F9" w:rsidRDefault="00871DA4" w:rsidP="005E6FCF">
      <w:pPr>
        <w:numPr>
          <w:ilvl w:val="0"/>
          <w:numId w:val="33"/>
        </w:numPr>
        <w:rPr>
          <w:sz w:val="22"/>
        </w:rPr>
      </w:pPr>
      <w:r w:rsidRPr="002B04F9">
        <w:rPr>
          <w:sz w:val="22"/>
        </w:rPr>
        <w:t>If funds will be transferred</w:t>
      </w:r>
      <w:r w:rsidR="004D49CC" w:rsidRPr="002B04F9">
        <w:rPr>
          <w:sz w:val="22"/>
        </w:rPr>
        <w:t xml:space="preserve"> into Title II, Part A, from Title IV, Part A,</w:t>
      </w:r>
      <w:r w:rsidRPr="002B04F9">
        <w:rPr>
          <w:sz w:val="22"/>
        </w:rPr>
        <w:t xml:space="preserve"> under the transferability provision, include the amount in the appropriate cell</w:t>
      </w:r>
      <w:r w:rsidR="004D49CC" w:rsidRPr="002B04F9">
        <w:rPr>
          <w:sz w:val="22"/>
        </w:rPr>
        <w:t xml:space="preserve"> </w:t>
      </w:r>
      <w:r w:rsidR="00783195" w:rsidRPr="002B04F9">
        <w:rPr>
          <w:sz w:val="22"/>
        </w:rPr>
        <w:t xml:space="preserve">in Section </w:t>
      </w:r>
      <w:r w:rsidR="00DB012B" w:rsidRPr="002B04F9">
        <w:rPr>
          <w:sz w:val="22"/>
        </w:rPr>
        <w:t>A</w:t>
      </w:r>
      <w:r w:rsidR="00783195" w:rsidRPr="002B04F9">
        <w:rPr>
          <w:sz w:val="22"/>
        </w:rPr>
        <w:t xml:space="preserve"> on line </w:t>
      </w:r>
      <w:r w:rsidR="009E228A" w:rsidRPr="002B04F9">
        <w:rPr>
          <w:sz w:val="22"/>
        </w:rPr>
        <w:t>55</w:t>
      </w:r>
      <w:r w:rsidR="00783195" w:rsidRPr="002B04F9">
        <w:rPr>
          <w:sz w:val="22"/>
        </w:rPr>
        <w:t>.</w:t>
      </w:r>
    </w:p>
    <w:p w14:paraId="3578FF88" w14:textId="77777777" w:rsidR="00980B9C" w:rsidRPr="002B04F9" w:rsidRDefault="004D49CC" w:rsidP="005E6FCF">
      <w:pPr>
        <w:numPr>
          <w:ilvl w:val="0"/>
          <w:numId w:val="33"/>
        </w:numPr>
        <w:rPr>
          <w:sz w:val="22"/>
        </w:rPr>
      </w:pPr>
      <w:r w:rsidRPr="002B04F9">
        <w:rPr>
          <w:sz w:val="22"/>
        </w:rPr>
        <w:t xml:space="preserve">If funds will be transferred OUT of Title II, Part A, into another qualifying federal program, </w:t>
      </w:r>
      <w:r w:rsidR="002B4414" w:rsidRPr="002B04F9">
        <w:rPr>
          <w:sz w:val="22"/>
        </w:rPr>
        <w:t>complete Section B and enter the amount to be transferred in the cell next to the name of the program to which funds will be transferred.</w:t>
      </w:r>
    </w:p>
    <w:p w14:paraId="19AAB2AE" w14:textId="638C5FF1" w:rsidR="002B4414" w:rsidRPr="002B04F9" w:rsidRDefault="00980B9C" w:rsidP="005E6FCF">
      <w:pPr>
        <w:numPr>
          <w:ilvl w:val="0"/>
          <w:numId w:val="33"/>
        </w:numPr>
        <w:rPr>
          <w:sz w:val="22"/>
        </w:rPr>
      </w:pPr>
      <w:r w:rsidRPr="002B04F9">
        <w:rPr>
          <w:sz w:val="22"/>
        </w:rPr>
        <w:t xml:space="preserve">On lines 69 and 70, indicate the status of the </w:t>
      </w:r>
      <w:hyperlink r:id="rId17" w:history="1">
        <w:r w:rsidRPr="002B04F9">
          <w:rPr>
            <w:rStyle w:val="Hyperlink"/>
            <w:sz w:val="22"/>
          </w:rPr>
          <w:t>transfer request form</w:t>
        </w:r>
      </w:hyperlink>
      <w:r w:rsidRPr="002B04F9">
        <w:rPr>
          <w:sz w:val="22"/>
        </w:rPr>
        <w:t xml:space="preserve"> submission.</w:t>
      </w:r>
    </w:p>
    <w:p w14:paraId="5C2F4D9E" w14:textId="77777777" w:rsidR="008D284D" w:rsidRPr="002B04F9" w:rsidRDefault="008D284D" w:rsidP="005E6FCF">
      <w:pPr>
        <w:ind w:left="720"/>
        <w:rPr>
          <w:sz w:val="22"/>
        </w:rPr>
      </w:pPr>
    </w:p>
    <w:p w14:paraId="44956EE3" w14:textId="77777777" w:rsidR="002B4414" w:rsidRPr="002B04F9" w:rsidRDefault="002B4414" w:rsidP="005E6FCF">
      <w:pPr>
        <w:rPr>
          <w:b/>
          <w:sz w:val="22"/>
        </w:rPr>
      </w:pPr>
      <w:r w:rsidRPr="002B04F9">
        <w:rPr>
          <w:b/>
          <w:sz w:val="22"/>
        </w:rPr>
        <w:t>Revisions and Amendments</w:t>
      </w:r>
      <w:r w:rsidRPr="002B04F9">
        <w:rPr>
          <w:sz w:val="22"/>
        </w:rPr>
        <w:t xml:space="preserve"> </w:t>
      </w:r>
      <w:r w:rsidRPr="002B04F9">
        <w:rPr>
          <w:b/>
          <w:sz w:val="22"/>
        </w:rPr>
        <w:t>(p. 3)</w:t>
      </w:r>
    </w:p>
    <w:p w14:paraId="33CBE4B7" w14:textId="77777777" w:rsidR="00F27B5E" w:rsidRPr="002B04F9" w:rsidRDefault="00F27B5E" w:rsidP="005E6FCF">
      <w:pPr>
        <w:rPr>
          <w:sz w:val="22"/>
        </w:rPr>
      </w:pPr>
      <w:r w:rsidRPr="002B04F9">
        <w:rPr>
          <w:sz w:val="22"/>
        </w:rPr>
        <w:t xml:space="preserve">This section is to be completed whenever changes are made to the original application. </w:t>
      </w:r>
    </w:p>
    <w:p w14:paraId="301209B0" w14:textId="77777777" w:rsidR="00F27B5E" w:rsidRPr="002B04F9" w:rsidRDefault="00F27B5E" w:rsidP="005E6FCF">
      <w:pPr>
        <w:pStyle w:val="ListParagraph"/>
        <w:numPr>
          <w:ilvl w:val="0"/>
          <w:numId w:val="37"/>
        </w:numPr>
        <w:ind w:left="720"/>
        <w:rPr>
          <w:sz w:val="22"/>
        </w:rPr>
      </w:pPr>
      <w:r w:rsidRPr="002B04F9">
        <w:rPr>
          <w:b/>
          <w:sz w:val="22"/>
        </w:rPr>
        <w:t>Revisions</w:t>
      </w:r>
      <w:r w:rsidRPr="002B04F9">
        <w:rPr>
          <w:sz w:val="22"/>
        </w:rPr>
        <w:t xml:space="preserve"> are changes that are necessary to the program application or budget </w:t>
      </w:r>
      <w:r w:rsidRPr="002B04F9">
        <w:rPr>
          <w:b/>
          <w:bCs/>
          <w:i/>
          <w:iCs/>
          <w:sz w:val="22"/>
        </w:rPr>
        <w:t xml:space="preserve">before </w:t>
      </w:r>
      <w:r w:rsidRPr="002B04F9">
        <w:rPr>
          <w:sz w:val="22"/>
        </w:rPr>
        <w:t xml:space="preserve">approval can be granted.  Revisions to the application are made after the original submission only if the application is denied. </w:t>
      </w:r>
    </w:p>
    <w:p w14:paraId="3F0A6A2C" w14:textId="77777777" w:rsidR="00F27B5E" w:rsidRPr="002B04F9" w:rsidRDefault="00F27B5E" w:rsidP="005E6FCF">
      <w:pPr>
        <w:pStyle w:val="ListParagraph"/>
        <w:numPr>
          <w:ilvl w:val="0"/>
          <w:numId w:val="37"/>
        </w:numPr>
        <w:ind w:left="720"/>
        <w:rPr>
          <w:sz w:val="22"/>
        </w:rPr>
      </w:pPr>
      <w:r w:rsidRPr="002B04F9">
        <w:rPr>
          <w:b/>
          <w:sz w:val="22"/>
        </w:rPr>
        <w:t>Amendments</w:t>
      </w:r>
      <w:r w:rsidRPr="002B04F9">
        <w:rPr>
          <w:sz w:val="22"/>
        </w:rPr>
        <w:t xml:space="preserve"> are changes that are made to the program application or budget </w:t>
      </w:r>
      <w:r w:rsidRPr="002B04F9">
        <w:rPr>
          <w:b/>
          <w:bCs/>
          <w:i/>
          <w:iCs/>
          <w:sz w:val="22"/>
        </w:rPr>
        <w:t xml:space="preserve">after </w:t>
      </w:r>
      <w:r w:rsidRPr="002B04F9">
        <w:rPr>
          <w:sz w:val="22"/>
        </w:rPr>
        <w:t>the approval of the application.</w:t>
      </w:r>
    </w:p>
    <w:p w14:paraId="0D97ED88" w14:textId="77777777" w:rsidR="00F27B5E" w:rsidRPr="002B04F9" w:rsidRDefault="00F27B5E" w:rsidP="005E6FCF">
      <w:pPr>
        <w:rPr>
          <w:sz w:val="22"/>
        </w:rPr>
      </w:pPr>
    </w:p>
    <w:p w14:paraId="18804231" w14:textId="77777777" w:rsidR="00F27B5E" w:rsidRPr="002B04F9" w:rsidRDefault="00F27B5E" w:rsidP="005E6FCF">
      <w:pPr>
        <w:rPr>
          <w:sz w:val="22"/>
        </w:rPr>
      </w:pPr>
      <w:r w:rsidRPr="002B04F9">
        <w:rPr>
          <w:sz w:val="22"/>
        </w:rPr>
        <w:t>In this section:</w:t>
      </w:r>
    </w:p>
    <w:p w14:paraId="0B7805BB" w14:textId="77777777" w:rsidR="00F27B5E" w:rsidRPr="002B04F9" w:rsidRDefault="00F27B5E" w:rsidP="005E6FCF">
      <w:pPr>
        <w:pStyle w:val="ListParagraph"/>
        <w:numPr>
          <w:ilvl w:val="0"/>
          <w:numId w:val="36"/>
        </w:numPr>
        <w:rPr>
          <w:sz w:val="22"/>
        </w:rPr>
      </w:pPr>
      <w:r w:rsidRPr="002B04F9">
        <w:rPr>
          <w:sz w:val="22"/>
        </w:rPr>
        <w:t>Put an X in the appropriate box to indicate whether a revision or an amendment is being submitted.</w:t>
      </w:r>
    </w:p>
    <w:p w14:paraId="168085B1" w14:textId="77777777" w:rsidR="00F27B5E" w:rsidRPr="002B04F9" w:rsidRDefault="00F27B5E" w:rsidP="005E6FCF">
      <w:pPr>
        <w:pStyle w:val="ListParagraph"/>
        <w:numPr>
          <w:ilvl w:val="0"/>
          <w:numId w:val="36"/>
        </w:numPr>
        <w:rPr>
          <w:sz w:val="22"/>
        </w:rPr>
      </w:pPr>
      <w:r w:rsidRPr="002B04F9">
        <w:rPr>
          <w:sz w:val="22"/>
        </w:rPr>
        <w:t>Type in the date.</w:t>
      </w:r>
    </w:p>
    <w:p w14:paraId="5B9597F6" w14:textId="599CC2C6" w:rsidR="00F27B5E" w:rsidRPr="002B04F9" w:rsidRDefault="00F27B5E" w:rsidP="005E6FCF">
      <w:pPr>
        <w:pStyle w:val="ListParagraph"/>
        <w:numPr>
          <w:ilvl w:val="0"/>
          <w:numId w:val="36"/>
        </w:numPr>
        <w:rPr>
          <w:sz w:val="22"/>
        </w:rPr>
      </w:pPr>
      <w:r w:rsidRPr="002B04F9">
        <w:rPr>
          <w:sz w:val="22"/>
        </w:rPr>
        <w:t>In the box to the right of the page, provide a concise description of the changes, indicating the tab(s) and lines where changes have been made. (Example: “Programmatic changes – modified Objective 2 to include contracted professional development” or “Budget changes – decreased travel budget in object code 5000 and increased professional development materials in object code 6000”</w:t>
      </w:r>
      <w:r w:rsidR="002B4FDA" w:rsidRPr="002B04F9">
        <w:rPr>
          <w:sz w:val="22"/>
        </w:rPr>
        <w:t>).</w:t>
      </w:r>
    </w:p>
    <w:p w14:paraId="1D6D76CF" w14:textId="77777777" w:rsidR="00221650" w:rsidRPr="002B04F9" w:rsidRDefault="00221650" w:rsidP="77A18D0A">
      <w:pPr>
        <w:ind w:left="720"/>
        <w:rPr>
          <w:sz w:val="22"/>
          <w:szCs w:val="22"/>
        </w:rPr>
      </w:pPr>
    </w:p>
    <w:p w14:paraId="62683DD4" w14:textId="77777777" w:rsidR="00AC6D65" w:rsidRDefault="00AC6D65" w:rsidP="005E6FCF">
      <w:pPr>
        <w:rPr>
          <w:b/>
          <w:bCs/>
          <w:color w:val="000000" w:themeColor="text1"/>
          <w:sz w:val="22"/>
          <w:u w:val="single"/>
        </w:rPr>
      </w:pPr>
    </w:p>
    <w:p w14:paraId="6F008D2C" w14:textId="2BAB36F6" w:rsidR="007205F0" w:rsidRPr="002B04F9" w:rsidRDefault="007205F0" w:rsidP="005E6FCF">
      <w:pPr>
        <w:rPr>
          <w:b/>
          <w:bCs/>
          <w:color w:val="000000" w:themeColor="text1"/>
          <w:sz w:val="22"/>
          <w:u w:val="single"/>
        </w:rPr>
      </w:pPr>
      <w:r w:rsidRPr="002B04F9">
        <w:rPr>
          <w:b/>
          <w:bCs/>
          <w:color w:val="000000" w:themeColor="text1"/>
          <w:sz w:val="22"/>
          <w:u w:val="single"/>
        </w:rPr>
        <w:t xml:space="preserve">B. </w:t>
      </w:r>
      <w:r w:rsidR="006D3361" w:rsidRPr="002B04F9">
        <w:rPr>
          <w:b/>
          <w:bCs/>
          <w:color w:val="000000" w:themeColor="text1"/>
          <w:sz w:val="22"/>
          <w:u w:val="single"/>
        </w:rPr>
        <w:t xml:space="preserve"> </w:t>
      </w:r>
      <w:r w:rsidR="0037332D" w:rsidRPr="002B04F9">
        <w:rPr>
          <w:b/>
          <w:bCs/>
          <w:color w:val="000000" w:themeColor="text1"/>
          <w:sz w:val="22"/>
          <w:u w:val="single"/>
        </w:rPr>
        <w:t>Program Overview (</w:t>
      </w:r>
      <w:r w:rsidR="009E228A" w:rsidRPr="002B04F9">
        <w:rPr>
          <w:b/>
          <w:sz w:val="22"/>
          <w:u w:val="single"/>
        </w:rPr>
        <w:t xml:space="preserve">Narrative Tab, </w:t>
      </w:r>
      <w:r w:rsidR="0037332D" w:rsidRPr="002B04F9">
        <w:rPr>
          <w:b/>
          <w:bCs/>
          <w:color w:val="000000" w:themeColor="text1"/>
          <w:sz w:val="22"/>
          <w:u w:val="single"/>
        </w:rPr>
        <w:t xml:space="preserve">Pages </w:t>
      </w:r>
      <w:r w:rsidR="00C03933" w:rsidRPr="002B04F9">
        <w:rPr>
          <w:b/>
          <w:bCs/>
          <w:color w:val="000000" w:themeColor="text1"/>
          <w:sz w:val="22"/>
          <w:u w:val="single"/>
        </w:rPr>
        <w:t>4-7</w:t>
      </w:r>
      <w:r w:rsidR="0037332D" w:rsidRPr="002B04F9">
        <w:rPr>
          <w:b/>
          <w:bCs/>
          <w:color w:val="000000" w:themeColor="text1"/>
          <w:sz w:val="22"/>
          <w:u w:val="single"/>
        </w:rPr>
        <w:t>)</w:t>
      </w:r>
    </w:p>
    <w:p w14:paraId="3FF9570C" w14:textId="77777777" w:rsidR="00E377BD" w:rsidRPr="00AC6D65" w:rsidRDefault="00E377BD" w:rsidP="00E377BD">
      <w:pPr>
        <w:pStyle w:val="ListParagraph"/>
        <w:numPr>
          <w:ilvl w:val="0"/>
          <w:numId w:val="41"/>
        </w:numPr>
        <w:rPr>
          <w:color w:val="000000" w:themeColor="text1"/>
          <w:sz w:val="22"/>
        </w:rPr>
      </w:pPr>
      <w:r w:rsidRPr="00AC6D65">
        <w:rPr>
          <w:b/>
          <w:color w:val="000000" w:themeColor="text1"/>
          <w:sz w:val="22"/>
        </w:rPr>
        <w:t>Box 1a: Stakeholder Engagement</w:t>
      </w:r>
      <w:r w:rsidRPr="00AC6D65">
        <w:rPr>
          <w:color w:val="000000" w:themeColor="text1"/>
          <w:sz w:val="22"/>
        </w:rPr>
        <w:t>:</w:t>
      </w:r>
      <w:r w:rsidRPr="00AC6D65">
        <w:rPr>
          <w:b/>
          <w:color w:val="000000" w:themeColor="text1"/>
          <w:sz w:val="22"/>
        </w:rPr>
        <w:t xml:space="preserve"> </w:t>
      </w:r>
      <w:r w:rsidRPr="00AC6D65">
        <w:rPr>
          <w:color w:val="000000" w:themeColor="text1"/>
          <w:sz w:val="22"/>
        </w:rPr>
        <w:t>List the stakeholders involved in the assessment and consultation process and describe the process used to participate in development of the program. (Section 2103(b)(3)) (p. 4)</w:t>
      </w:r>
    </w:p>
    <w:p w14:paraId="5B8D2F5E" w14:textId="61BE95B1" w:rsidR="00E377BD" w:rsidRPr="00AC6D65" w:rsidRDefault="00E377BD" w:rsidP="00E377BD">
      <w:pPr>
        <w:pStyle w:val="ListParagraph"/>
        <w:numPr>
          <w:ilvl w:val="0"/>
          <w:numId w:val="41"/>
        </w:numPr>
        <w:rPr>
          <w:color w:val="000000" w:themeColor="text1"/>
          <w:sz w:val="22"/>
        </w:rPr>
      </w:pPr>
      <w:r w:rsidRPr="00AC6D65">
        <w:rPr>
          <w:b/>
          <w:color w:val="000000" w:themeColor="text1"/>
          <w:sz w:val="22"/>
        </w:rPr>
        <w:t>Box 1b</w:t>
      </w:r>
      <w:r w:rsidRPr="00AC6D65">
        <w:rPr>
          <w:color w:val="000000" w:themeColor="text1"/>
          <w:sz w:val="22"/>
        </w:rPr>
        <w:t xml:space="preserve">: </w:t>
      </w:r>
      <w:r w:rsidRPr="00AC6D65">
        <w:rPr>
          <w:b/>
          <w:bCs/>
          <w:color w:val="000000" w:themeColor="text1"/>
          <w:sz w:val="22"/>
        </w:rPr>
        <w:t>Needs Assessment</w:t>
      </w:r>
      <w:r w:rsidRPr="00AC6D65">
        <w:rPr>
          <w:color w:val="000000" w:themeColor="text1"/>
          <w:sz w:val="22"/>
        </w:rPr>
        <w:t xml:space="preserve">: Identify the multiple data sources relevant to the purpose of Title II, Part A, and describe the needs assessment process to coordinate the division's professional development plan with evidence-based </w:t>
      </w:r>
      <w:r w:rsidR="00DF3F44" w:rsidRPr="00AC6D65">
        <w:rPr>
          <w:color w:val="000000" w:themeColor="text1"/>
          <w:sz w:val="22"/>
        </w:rPr>
        <w:t>practices</w:t>
      </w:r>
      <w:r w:rsidRPr="00AC6D65">
        <w:rPr>
          <w:color w:val="000000" w:themeColor="text1"/>
          <w:sz w:val="22"/>
        </w:rPr>
        <w:t>, programs, and activities outlined in the application. This data analysis will correlate with the measurable objectives that will guide the development of the program to be funded with the requested ESEA federal funds (p. 4)</w:t>
      </w:r>
    </w:p>
    <w:p w14:paraId="525EFD71" w14:textId="77777777" w:rsidR="00E377BD" w:rsidRPr="00AC6D65" w:rsidRDefault="00E377BD" w:rsidP="00E377BD">
      <w:pPr>
        <w:pStyle w:val="ListParagraph"/>
        <w:numPr>
          <w:ilvl w:val="0"/>
          <w:numId w:val="41"/>
        </w:numPr>
        <w:rPr>
          <w:color w:val="000000" w:themeColor="text1"/>
          <w:sz w:val="22"/>
        </w:rPr>
      </w:pPr>
      <w:r w:rsidRPr="00AC6D65">
        <w:rPr>
          <w:b/>
          <w:color w:val="000000" w:themeColor="text1"/>
          <w:sz w:val="22"/>
        </w:rPr>
        <w:t xml:space="preserve">Box 2: Use of Data: </w:t>
      </w:r>
      <w:r w:rsidRPr="00AC6D65">
        <w:rPr>
          <w:color w:val="000000" w:themeColor="text1"/>
          <w:sz w:val="22"/>
        </w:rPr>
        <w:t>Provide a description of the results of prior activities and how the division will use data and ongoing consultation to update and improve activities (p. 4)</w:t>
      </w:r>
    </w:p>
    <w:p w14:paraId="212DBF28" w14:textId="3BFB5D3C" w:rsidR="00E377BD" w:rsidRPr="00AC6D65" w:rsidRDefault="00E377BD" w:rsidP="00E377BD">
      <w:pPr>
        <w:pStyle w:val="ListParagraph"/>
        <w:numPr>
          <w:ilvl w:val="0"/>
          <w:numId w:val="41"/>
        </w:numPr>
        <w:rPr>
          <w:color w:val="000000" w:themeColor="text1"/>
          <w:sz w:val="22"/>
        </w:rPr>
      </w:pPr>
      <w:r w:rsidRPr="00AC6D65">
        <w:rPr>
          <w:b/>
          <w:color w:val="000000" w:themeColor="text1"/>
          <w:sz w:val="22"/>
        </w:rPr>
        <w:t xml:space="preserve">Box 3: Teacher Quality: </w:t>
      </w:r>
      <w:r w:rsidRPr="00AC6D65">
        <w:rPr>
          <w:color w:val="000000" w:themeColor="text1"/>
          <w:sz w:val="22"/>
        </w:rPr>
        <w:t xml:space="preserve">Provide a description of how the division ensures that students are taught by qualified and effective teachers meeting Virginia's licensing and professional teaching requirements, including the results of the </w:t>
      </w:r>
      <w:r w:rsidR="00E4106D" w:rsidRPr="00AC6D65">
        <w:rPr>
          <w:color w:val="000000" w:themeColor="text1"/>
          <w:sz w:val="22"/>
        </w:rPr>
        <w:t>2023</w:t>
      </w:r>
      <w:r w:rsidRPr="00AC6D65">
        <w:rPr>
          <w:color w:val="000000" w:themeColor="text1"/>
          <w:sz w:val="22"/>
        </w:rPr>
        <w:t>-</w:t>
      </w:r>
      <w:r w:rsidR="00E4106D" w:rsidRPr="00AC6D65">
        <w:rPr>
          <w:color w:val="000000" w:themeColor="text1"/>
          <w:sz w:val="22"/>
        </w:rPr>
        <w:t>2024</w:t>
      </w:r>
      <w:r w:rsidRPr="00AC6D65">
        <w:rPr>
          <w:color w:val="000000" w:themeColor="text1"/>
          <w:sz w:val="22"/>
        </w:rPr>
        <w:t xml:space="preserve"> Instructional Personnel and Licensure (IPAL) report. </w:t>
      </w:r>
      <w:r w:rsidRPr="00AC6D65">
        <w:rPr>
          <w:color w:val="000000"/>
          <w:sz w:val="22"/>
          <w:szCs w:val="22"/>
        </w:rPr>
        <w:t>Trend data is appropriate, especially with ongoing initiatives.</w:t>
      </w:r>
      <w:r w:rsidRPr="00AC6D65">
        <w:rPr>
          <w:color w:val="000000" w:themeColor="text1"/>
          <w:sz w:val="22"/>
        </w:rPr>
        <w:t xml:space="preserve"> (p. 5)</w:t>
      </w:r>
    </w:p>
    <w:p w14:paraId="730B129B" w14:textId="77777777" w:rsidR="00E377BD" w:rsidRPr="00AC6D65" w:rsidRDefault="00E377BD" w:rsidP="00E377BD">
      <w:pPr>
        <w:pStyle w:val="ListParagraph"/>
        <w:numPr>
          <w:ilvl w:val="0"/>
          <w:numId w:val="41"/>
        </w:numPr>
        <w:rPr>
          <w:color w:val="000000" w:themeColor="text1"/>
          <w:sz w:val="22"/>
        </w:rPr>
      </w:pPr>
      <w:r w:rsidRPr="00AC6D65">
        <w:rPr>
          <w:b/>
          <w:color w:val="000000" w:themeColor="text1"/>
          <w:sz w:val="22"/>
        </w:rPr>
        <w:t xml:space="preserve">Box 4: Prioritizing Funds: </w:t>
      </w:r>
      <w:r w:rsidRPr="00AC6D65">
        <w:rPr>
          <w:color w:val="000000" w:themeColor="text1"/>
          <w:sz w:val="22"/>
        </w:rPr>
        <w:t>Provide</w:t>
      </w:r>
      <w:r w:rsidRPr="00AC6D65">
        <w:rPr>
          <w:b/>
          <w:color w:val="000000" w:themeColor="text1"/>
          <w:sz w:val="22"/>
        </w:rPr>
        <w:t xml:space="preserve"> </w:t>
      </w:r>
      <w:r w:rsidRPr="00AC6D65">
        <w:rPr>
          <w:color w:val="000000" w:themeColor="text1"/>
          <w:sz w:val="22"/>
        </w:rPr>
        <w:t>a description of how the school division will prioritize funds to schools that are implementing comprehensive support and improvement activities and targeted support and improvement activities under Section 1111(d) and have the highest percentage of children counted under Section 1124(c). (p. 5)</w:t>
      </w:r>
    </w:p>
    <w:p w14:paraId="0AD5C38A" w14:textId="1CBA2B46" w:rsidR="00E377BD" w:rsidRPr="00AC6D65" w:rsidRDefault="00E377BD" w:rsidP="00E377BD">
      <w:pPr>
        <w:pStyle w:val="ListParagraph"/>
        <w:numPr>
          <w:ilvl w:val="0"/>
          <w:numId w:val="41"/>
        </w:numPr>
        <w:rPr>
          <w:color w:val="000000" w:themeColor="text1"/>
          <w:sz w:val="22"/>
        </w:rPr>
      </w:pPr>
      <w:r w:rsidRPr="00AC6D65">
        <w:rPr>
          <w:b/>
          <w:color w:val="000000" w:themeColor="text1"/>
          <w:sz w:val="22"/>
        </w:rPr>
        <w:t xml:space="preserve">Box 5: Alignment to Standards: </w:t>
      </w:r>
      <w:r w:rsidRPr="00AC6D65">
        <w:rPr>
          <w:color w:val="000000" w:themeColor="text1"/>
          <w:sz w:val="22"/>
        </w:rPr>
        <w:t xml:space="preserve">Provide a description of how the activities </w:t>
      </w:r>
      <w:r w:rsidR="00DF3F44" w:rsidRPr="00AC6D65">
        <w:rPr>
          <w:color w:val="000000" w:themeColor="text1"/>
          <w:sz w:val="22"/>
        </w:rPr>
        <w:t>will align with challenging State academic standards, Virginia’s accountability plan, and agency priorities (set high expectations for student performance; ensure every K-12 student has a high quality, licensed teacher; create innovative pathways for every learner; invest in safe and health schools and centers; and promote parents as partners). Also, describe how the activities funded from Title I, Part A, are expected to increase student achievement</w:t>
      </w:r>
      <w:r w:rsidRPr="00AC6D65">
        <w:rPr>
          <w:color w:val="000000" w:themeColor="text1"/>
          <w:sz w:val="22"/>
        </w:rPr>
        <w:t>; (p. 6)</w:t>
      </w:r>
    </w:p>
    <w:p w14:paraId="45BB4918" w14:textId="77777777" w:rsidR="00E377BD" w:rsidRPr="002B04F9" w:rsidRDefault="00E377BD" w:rsidP="00E377BD">
      <w:pPr>
        <w:pStyle w:val="ListParagraph"/>
        <w:numPr>
          <w:ilvl w:val="0"/>
          <w:numId w:val="41"/>
        </w:numPr>
        <w:rPr>
          <w:color w:val="000000" w:themeColor="text1"/>
          <w:sz w:val="22"/>
        </w:rPr>
      </w:pPr>
      <w:r w:rsidRPr="00AC6D65">
        <w:rPr>
          <w:b/>
          <w:color w:val="000000" w:themeColor="text1"/>
          <w:sz w:val="22"/>
        </w:rPr>
        <w:t>Box 6: Professional Growth:</w:t>
      </w:r>
      <w:r w:rsidRPr="00AC6D65">
        <w:rPr>
          <w:color w:val="000000" w:themeColor="text1"/>
          <w:sz w:val="22"/>
        </w:rPr>
        <w:t xml:space="preserve"> Provide a description of the school division's system of professional growth and improvement, such as induction for teachers, principals, or other school leaders and opportunities for building the capacity of</w:t>
      </w:r>
      <w:r w:rsidRPr="002B04F9">
        <w:rPr>
          <w:color w:val="000000" w:themeColor="text1"/>
          <w:sz w:val="22"/>
        </w:rPr>
        <w:t xml:space="preserve"> teachers and opportunities to develop meaningful teacher leadership; (p. 6)</w:t>
      </w:r>
    </w:p>
    <w:p w14:paraId="3CEFEDE4" w14:textId="6A121D09" w:rsidR="00E377BD" w:rsidRPr="002B04F9" w:rsidRDefault="00E377BD" w:rsidP="00E377BD">
      <w:pPr>
        <w:pStyle w:val="ListParagraph"/>
        <w:numPr>
          <w:ilvl w:val="0"/>
          <w:numId w:val="41"/>
        </w:numPr>
        <w:rPr>
          <w:color w:val="000000" w:themeColor="text1"/>
          <w:sz w:val="22"/>
        </w:rPr>
      </w:pPr>
      <w:r w:rsidRPr="002B04F9">
        <w:rPr>
          <w:b/>
          <w:color w:val="000000" w:themeColor="text1"/>
          <w:sz w:val="22"/>
        </w:rPr>
        <w:t xml:space="preserve">Box 7: High Quality Professional Development: </w:t>
      </w:r>
      <w:r w:rsidRPr="002B04F9">
        <w:rPr>
          <w:color w:val="000000" w:themeColor="text1"/>
          <w:sz w:val="22"/>
        </w:rPr>
        <w:t>If funds are to be used for professional development, describe how they meet the statutory definition of professional development in Section 8101(42), which requires that professional development be: sustained; intensive; collaborative; job-embedded; data-driven; and classroom focused. Describe the alignment to overarching division strategic goals. (Section 2103(b)(3)(E)) (If funds are not used for professional development, indicate N/A.) (p. 6)</w:t>
      </w:r>
    </w:p>
    <w:p w14:paraId="5B862B4E" w14:textId="53F0C134" w:rsidR="00E377BD" w:rsidRPr="002B04F9" w:rsidRDefault="00E377BD" w:rsidP="00E377BD">
      <w:pPr>
        <w:pStyle w:val="ListParagraph"/>
        <w:numPr>
          <w:ilvl w:val="0"/>
          <w:numId w:val="41"/>
        </w:numPr>
        <w:rPr>
          <w:color w:val="000000" w:themeColor="text1"/>
          <w:sz w:val="22"/>
        </w:rPr>
      </w:pPr>
      <w:r w:rsidRPr="002B04F9">
        <w:rPr>
          <w:b/>
          <w:color w:val="000000" w:themeColor="text1"/>
          <w:sz w:val="22"/>
        </w:rPr>
        <w:t xml:space="preserve">Box 8: Professional Development Evidence Base: </w:t>
      </w:r>
      <w:r w:rsidRPr="002B04F9">
        <w:rPr>
          <w:color w:val="000000" w:themeColor="text1"/>
          <w:sz w:val="22"/>
        </w:rPr>
        <w:t>If funding is to be used for professional development activities, cite evidence base used for decision, including anticipated outcomes. Provide impact data on any prior implementation, if applicable. (Section 2103(b)(3)(E)) (If funds are not used for professional development, indicate N/A.) (p. 7)</w:t>
      </w:r>
    </w:p>
    <w:p w14:paraId="45382341" w14:textId="77777777" w:rsidR="00E377BD" w:rsidRPr="002B04F9" w:rsidRDefault="00E377BD" w:rsidP="00E377BD">
      <w:pPr>
        <w:pStyle w:val="ListParagraph"/>
        <w:numPr>
          <w:ilvl w:val="0"/>
          <w:numId w:val="41"/>
        </w:numPr>
        <w:rPr>
          <w:color w:val="000000" w:themeColor="text1"/>
          <w:sz w:val="22"/>
        </w:rPr>
      </w:pPr>
      <w:r w:rsidRPr="002B04F9">
        <w:rPr>
          <w:b/>
          <w:color w:val="000000" w:themeColor="text1"/>
          <w:sz w:val="22"/>
        </w:rPr>
        <w:t xml:space="preserve">Box 9: Class-Size Reduction Evidence Base: </w:t>
      </w:r>
      <w:r w:rsidRPr="002B04F9">
        <w:rPr>
          <w:color w:val="000000" w:themeColor="text1"/>
          <w:sz w:val="22"/>
        </w:rPr>
        <w:t>If funding is to be used for class-size reduction, cite evidence base used for decision, including how the local context aligns with research-based practice. Provide impact data on any prior implementation, if applicable. How does the division ensure effectiveness of teachers hired to reduce class size? How will the impact of the smaller class sizes be measured? (Section 2103(b)(3)(D)) (If funds are not used for class-size reduction, indicate N/A.) (p. 7)</w:t>
      </w:r>
    </w:p>
    <w:p w14:paraId="28E70ADE" w14:textId="245582A5" w:rsidR="000105AC" w:rsidRPr="002B04F9" w:rsidRDefault="0048719C" w:rsidP="005E6FCF">
      <w:pPr>
        <w:pStyle w:val="ListParagraph"/>
        <w:rPr>
          <w:color w:val="000000" w:themeColor="text1"/>
          <w:sz w:val="22"/>
        </w:rPr>
      </w:pPr>
      <w:r w:rsidRPr="002B04F9">
        <w:rPr>
          <w:color w:val="000000" w:themeColor="text1"/>
          <w:sz w:val="22"/>
        </w:rPr>
        <w:tab/>
      </w:r>
      <w:r w:rsidRPr="002B04F9">
        <w:rPr>
          <w:color w:val="000000" w:themeColor="text1"/>
          <w:sz w:val="22"/>
        </w:rPr>
        <w:tab/>
      </w:r>
      <w:r w:rsidRPr="002B04F9">
        <w:rPr>
          <w:color w:val="000000" w:themeColor="text1"/>
          <w:sz w:val="22"/>
        </w:rPr>
        <w:tab/>
      </w:r>
      <w:r w:rsidRPr="002B04F9">
        <w:rPr>
          <w:color w:val="000000" w:themeColor="text1"/>
          <w:sz w:val="22"/>
        </w:rPr>
        <w:tab/>
      </w:r>
      <w:r w:rsidRPr="002B04F9">
        <w:rPr>
          <w:color w:val="000000" w:themeColor="text1"/>
          <w:sz w:val="22"/>
        </w:rPr>
        <w:tab/>
      </w:r>
      <w:r w:rsidRPr="002B04F9">
        <w:rPr>
          <w:color w:val="000000" w:themeColor="text1"/>
          <w:sz w:val="22"/>
        </w:rPr>
        <w:tab/>
      </w:r>
      <w:r w:rsidRPr="002B04F9">
        <w:rPr>
          <w:color w:val="000000" w:themeColor="text1"/>
          <w:sz w:val="22"/>
        </w:rPr>
        <w:tab/>
      </w:r>
      <w:r w:rsidRPr="002B04F9">
        <w:rPr>
          <w:color w:val="000000" w:themeColor="text1"/>
          <w:sz w:val="22"/>
        </w:rPr>
        <w:tab/>
      </w:r>
      <w:r w:rsidRPr="002B04F9">
        <w:rPr>
          <w:color w:val="000000" w:themeColor="text1"/>
          <w:sz w:val="22"/>
        </w:rPr>
        <w:tab/>
      </w:r>
    </w:p>
    <w:p w14:paraId="56618699" w14:textId="77777777" w:rsidR="00AC6D65" w:rsidRDefault="00AC6D65" w:rsidP="005E6FCF">
      <w:pPr>
        <w:jc w:val="both"/>
        <w:rPr>
          <w:b/>
          <w:bCs/>
          <w:color w:val="000000" w:themeColor="text1"/>
          <w:sz w:val="22"/>
          <w:u w:val="single"/>
        </w:rPr>
      </w:pPr>
    </w:p>
    <w:p w14:paraId="00719204" w14:textId="77777777" w:rsidR="00AC6D65" w:rsidRDefault="00AC6D65" w:rsidP="005E6FCF">
      <w:pPr>
        <w:jc w:val="both"/>
        <w:rPr>
          <w:b/>
          <w:bCs/>
          <w:color w:val="000000" w:themeColor="text1"/>
          <w:sz w:val="22"/>
          <w:u w:val="single"/>
        </w:rPr>
      </w:pPr>
    </w:p>
    <w:p w14:paraId="0811DC56" w14:textId="77777777" w:rsidR="00AC6D65" w:rsidRDefault="00AC6D65" w:rsidP="005E6FCF">
      <w:pPr>
        <w:jc w:val="both"/>
        <w:rPr>
          <w:b/>
          <w:bCs/>
          <w:color w:val="000000" w:themeColor="text1"/>
          <w:sz w:val="22"/>
          <w:u w:val="single"/>
        </w:rPr>
      </w:pPr>
    </w:p>
    <w:p w14:paraId="69D1C6F3" w14:textId="77777777" w:rsidR="00AC6D65" w:rsidRDefault="00AC6D65" w:rsidP="005E6FCF">
      <w:pPr>
        <w:jc w:val="both"/>
        <w:rPr>
          <w:b/>
          <w:bCs/>
          <w:color w:val="000000" w:themeColor="text1"/>
          <w:sz w:val="22"/>
          <w:u w:val="single"/>
        </w:rPr>
      </w:pPr>
    </w:p>
    <w:p w14:paraId="7C1DDD04" w14:textId="77777777" w:rsidR="00AC6D65" w:rsidRDefault="00AC6D65" w:rsidP="005E6FCF">
      <w:pPr>
        <w:jc w:val="both"/>
        <w:rPr>
          <w:b/>
          <w:bCs/>
          <w:color w:val="000000" w:themeColor="text1"/>
          <w:sz w:val="22"/>
          <w:u w:val="single"/>
        </w:rPr>
      </w:pPr>
    </w:p>
    <w:p w14:paraId="7590F5F2" w14:textId="2FCA39F3" w:rsidR="00F615F5" w:rsidRPr="002B04F9" w:rsidRDefault="007205F0" w:rsidP="005E6FCF">
      <w:pPr>
        <w:jc w:val="both"/>
        <w:rPr>
          <w:b/>
          <w:bCs/>
          <w:color w:val="000000" w:themeColor="text1"/>
          <w:sz w:val="22"/>
          <w:u w:val="single"/>
        </w:rPr>
      </w:pPr>
      <w:r w:rsidRPr="002B04F9">
        <w:rPr>
          <w:b/>
          <w:bCs/>
          <w:color w:val="000000" w:themeColor="text1"/>
          <w:sz w:val="22"/>
          <w:u w:val="single"/>
        </w:rPr>
        <w:t xml:space="preserve">C. </w:t>
      </w:r>
      <w:r w:rsidR="006D3361" w:rsidRPr="002B04F9">
        <w:rPr>
          <w:b/>
          <w:bCs/>
          <w:color w:val="000000" w:themeColor="text1"/>
          <w:sz w:val="22"/>
          <w:u w:val="single"/>
        </w:rPr>
        <w:t xml:space="preserve"> </w:t>
      </w:r>
      <w:r w:rsidR="0037332D" w:rsidRPr="002B04F9">
        <w:rPr>
          <w:b/>
          <w:bCs/>
          <w:color w:val="000000" w:themeColor="text1"/>
          <w:sz w:val="22"/>
          <w:u w:val="single"/>
        </w:rPr>
        <w:t xml:space="preserve">Coordination </w:t>
      </w:r>
      <w:r w:rsidR="00C03933" w:rsidRPr="002B04F9">
        <w:rPr>
          <w:b/>
          <w:bCs/>
          <w:color w:val="000000" w:themeColor="text1"/>
          <w:sz w:val="22"/>
          <w:u w:val="single"/>
        </w:rPr>
        <w:t>of</w:t>
      </w:r>
      <w:r w:rsidR="0037332D" w:rsidRPr="002B04F9">
        <w:rPr>
          <w:b/>
          <w:bCs/>
          <w:color w:val="000000" w:themeColor="text1"/>
          <w:sz w:val="22"/>
          <w:u w:val="single"/>
        </w:rPr>
        <w:t xml:space="preserve"> Services (</w:t>
      </w:r>
      <w:r w:rsidR="009E228A" w:rsidRPr="002B04F9">
        <w:rPr>
          <w:b/>
          <w:sz w:val="22"/>
          <w:u w:val="single"/>
        </w:rPr>
        <w:t xml:space="preserve">Narrative Tab, </w:t>
      </w:r>
      <w:r w:rsidR="0037332D" w:rsidRPr="002B04F9">
        <w:rPr>
          <w:b/>
          <w:bCs/>
          <w:color w:val="000000" w:themeColor="text1"/>
          <w:sz w:val="22"/>
          <w:u w:val="single"/>
        </w:rPr>
        <w:t xml:space="preserve">Pages </w:t>
      </w:r>
      <w:r w:rsidR="00C03933" w:rsidRPr="002B04F9">
        <w:rPr>
          <w:b/>
          <w:bCs/>
          <w:color w:val="000000" w:themeColor="text1"/>
          <w:sz w:val="22"/>
          <w:u w:val="single"/>
        </w:rPr>
        <w:t>8-9</w:t>
      </w:r>
      <w:r w:rsidR="0037332D" w:rsidRPr="002B04F9">
        <w:rPr>
          <w:b/>
          <w:bCs/>
          <w:color w:val="000000" w:themeColor="text1"/>
          <w:sz w:val="22"/>
          <w:u w:val="single"/>
        </w:rPr>
        <w:t>)</w:t>
      </w:r>
    </w:p>
    <w:p w14:paraId="28510B6D" w14:textId="4F6AAA20" w:rsidR="00E377BD" w:rsidRDefault="002B4FDA" w:rsidP="005E6FCF">
      <w:pPr>
        <w:pStyle w:val="BodyText3"/>
        <w:tabs>
          <w:tab w:val="clear" w:pos="-720"/>
          <w:tab w:val="clear" w:pos="0"/>
          <w:tab w:val="clear" w:pos="720"/>
          <w:tab w:val="clear" w:pos="907"/>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2"/>
        </w:rPr>
      </w:pPr>
      <w:r w:rsidRPr="002B04F9">
        <w:rPr>
          <w:color w:val="000000" w:themeColor="text1"/>
        </w:rPr>
        <w:t>Describe the partnerships within the division among the programs in this application and other federal, state and/or local programs in the delivery of services to the targeted population(s).  Describe the collaboration of program staff, parents, and the community to provide services and activities that will contribute to the attainment of the measurable objectives in this application.</w:t>
      </w:r>
      <w:r w:rsidR="005008E9" w:rsidRPr="002B04F9">
        <w:rPr>
          <w:color w:val="000000" w:themeColor="text1"/>
        </w:rPr>
        <w:t xml:space="preserve">  </w:t>
      </w:r>
      <w:r w:rsidR="005008E9" w:rsidRPr="002B04F9">
        <w:rPr>
          <w:szCs w:val="22"/>
        </w:rPr>
        <w:t xml:space="preserve">Describe any partnerships with local universities, regional </w:t>
      </w:r>
      <w:proofErr w:type="gramStart"/>
      <w:r w:rsidR="005008E9" w:rsidRPr="002B04F9">
        <w:rPr>
          <w:szCs w:val="22"/>
        </w:rPr>
        <w:t>collaborations</w:t>
      </w:r>
      <w:proofErr w:type="gramEnd"/>
      <w:r w:rsidR="005008E9" w:rsidRPr="002B04F9">
        <w:rPr>
          <w:szCs w:val="22"/>
        </w:rPr>
        <w:t xml:space="preserve"> or other entities to improve teacher and principal </w:t>
      </w:r>
      <w:r w:rsidR="00AC6D65" w:rsidRPr="002B04F9">
        <w:rPr>
          <w:szCs w:val="22"/>
        </w:rPr>
        <w:t>quality.</w:t>
      </w:r>
      <w:r w:rsidR="005008E9" w:rsidRPr="002B04F9">
        <w:rPr>
          <w:szCs w:val="22"/>
        </w:rPr>
        <w:t xml:space="preserve"> </w:t>
      </w:r>
    </w:p>
    <w:p w14:paraId="55384291" w14:textId="00EBEE38" w:rsidR="000105AC" w:rsidRDefault="005008E9" w:rsidP="005E6FCF">
      <w:pPr>
        <w:pStyle w:val="BodyText3"/>
        <w:tabs>
          <w:tab w:val="clear" w:pos="-720"/>
          <w:tab w:val="clear" w:pos="0"/>
          <w:tab w:val="clear" w:pos="720"/>
          <w:tab w:val="clear" w:pos="907"/>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2"/>
        </w:rPr>
      </w:pPr>
      <w:r w:rsidRPr="002B04F9">
        <w:rPr>
          <w:szCs w:val="22"/>
        </w:rPr>
        <w:t xml:space="preserve">through such efforts as high-quality professional development for teachers, </w:t>
      </w:r>
      <w:proofErr w:type="gramStart"/>
      <w:r w:rsidRPr="002B04F9">
        <w:rPr>
          <w:szCs w:val="22"/>
        </w:rPr>
        <w:t>principals</w:t>
      </w:r>
      <w:proofErr w:type="gramEnd"/>
      <w:r w:rsidRPr="002B04F9">
        <w:rPr>
          <w:szCs w:val="22"/>
        </w:rPr>
        <w:t xml:space="preserve"> and other school leaders; recruitment; mentoring, etc.</w:t>
      </w:r>
    </w:p>
    <w:p w14:paraId="761E9010" w14:textId="0D89BF16" w:rsidR="00E377BD" w:rsidRDefault="00E377BD" w:rsidP="005E6FCF">
      <w:pPr>
        <w:pStyle w:val="BodyText3"/>
        <w:tabs>
          <w:tab w:val="clear" w:pos="-720"/>
          <w:tab w:val="clear" w:pos="0"/>
          <w:tab w:val="clear" w:pos="720"/>
          <w:tab w:val="clear" w:pos="907"/>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szCs w:val="22"/>
        </w:rPr>
      </w:pPr>
    </w:p>
    <w:p w14:paraId="4C14C704" w14:textId="67A547EF" w:rsidR="007205F0" w:rsidRPr="002B04F9" w:rsidRDefault="007205F0" w:rsidP="005E6FCF">
      <w:pPr>
        <w:rPr>
          <w:b/>
          <w:bCs/>
          <w:color w:val="000000" w:themeColor="text1"/>
          <w:sz w:val="22"/>
          <w:u w:val="single"/>
        </w:rPr>
      </w:pPr>
      <w:r w:rsidRPr="002B04F9">
        <w:rPr>
          <w:b/>
          <w:color w:val="000000" w:themeColor="text1"/>
          <w:sz w:val="22"/>
          <w:u w:val="single"/>
        </w:rPr>
        <w:t xml:space="preserve">D. </w:t>
      </w:r>
      <w:r w:rsidR="006D3361" w:rsidRPr="002B04F9">
        <w:rPr>
          <w:b/>
          <w:color w:val="000000" w:themeColor="text1"/>
          <w:sz w:val="22"/>
          <w:u w:val="single"/>
        </w:rPr>
        <w:t xml:space="preserve"> </w:t>
      </w:r>
      <w:r w:rsidR="0037332D" w:rsidRPr="002B04F9">
        <w:rPr>
          <w:b/>
          <w:color w:val="000000" w:themeColor="text1"/>
          <w:sz w:val="22"/>
          <w:u w:val="single"/>
        </w:rPr>
        <w:t xml:space="preserve">Measurable Objectives </w:t>
      </w:r>
      <w:r w:rsidR="0037332D" w:rsidRPr="002B04F9">
        <w:rPr>
          <w:b/>
          <w:bCs/>
          <w:color w:val="000000" w:themeColor="text1"/>
          <w:sz w:val="22"/>
          <w:u w:val="single"/>
        </w:rPr>
        <w:t>(</w:t>
      </w:r>
      <w:r w:rsidR="009E228A" w:rsidRPr="002B04F9">
        <w:rPr>
          <w:b/>
          <w:sz w:val="22"/>
          <w:u w:val="single"/>
        </w:rPr>
        <w:t xml:space="preserve">Narrative Tab, </w:t>
      </w:r>
      <w:r w:rsidR="0037332D" w:rsidRPr="002B04F9">
        <w:rPr>
          <w:b/>
          <w:bCs/>
          <w:color w:val="000000" w:themeColor="text1"/>
          <w:sz w:val="22"/>
          <w:u w:val="single"/>
        </w:rPr>
        <w:t xml:space="preserve">Pages </w:t>
      </w:r>
      <w:r w:rsidR="00C03933" w:rsidRPr="002B04F9">
        <w:rPr>
          <w:b/>
          <w:bCs/>
          <w:color w:val="000000" w:themeColor="text1"/>
          <w:sz w:val="22"/>
          <w:u w:val="single"/>
        </w:rPr>
        <w:t>10-1</w:t>
      </w:r>
      <w:r w:rsidR="009E228A" w:rsidRPr="002B04F9">
        <w:rPr>
          <w:b/>
          <w:bCs/>
          <w:color w:val="000000" w:themeColor="text1"/>
          <w:sz w:val="22"/>
          <w:u w:val="single"/>
        </w:rPr>
        <w:t>4</w:t>
      </w:r>
      <w:r w:rsidR="0037332D" w:rsidRPr="002B04F9">
        <w:rPr>
          <w:b/>
          <w:bCs/>
          <w:color w:val="000000" w:themeColor="text1"/>
          <w:sz w:val="22"/>
          <w:u w:val="single"/>
        </w:rPr>
        <w:t>)</w:t>
      </w:r>
    </w:p>
    <w:p w14:paraId="5423C82F" w14:textId="477640BE" w:rsidR="0048719C" w:rsidRPr="002B04F9" w:rsidRDefault="007205F0" w:rsidP="005E6FCF">
      <w:pPr>
        <w:rPr>
          <w:color w:val="0000FF"/>
          <w:sz w:val="22"/>
          <w:szCs w:val="22"/>
          <w:u w:val="single"/>
        </w:rPr>
      </w:pPr>
      <w:r w:rsidRPr="002B04F9">
        <w:rPr>
          <w:b/>
          <w:bCs/>
          <w:iCs/>
          <w:color w:val="000000" w:themeColor="text1"/>
          <w:sz w:val="22"/>
          <w:szCs w:val="22"/>
        </w:rPr>
        <w:t>Note:</w:t>
      </w:r>
      <w:r w:rsidR="00275724" w:rsidRPr="002B04F9">
        <w:rPr>
          <w:b/>
          <w:bCs/>
          <w:iCs/>
          <w:color w:val="000000" w:themeColor="text1"/>
          <w:sz w:val="22"/>
          <w:szCs w:val="22"/>
        </w:rPr>
        <w:t xml:space="preserve"> </w:t>
      </w:r>
      <w:r w:rsidR="006E0251" w:rsidRPr="002B04F9">
        <w:rPr>
          <w:iCs/>
          <w:color w:val="000000" w:themeColor="text1"/>
          <w:sz w:val="22"/>
          <w:szCs w:val="22"/>
        </w:rPr>
        <w:t xml:space="preserve"> </w:t>
      </w:r>
      <w:r w:rsidR="00EE18D5" w:rsidRPr="002B04F9">
        <w:rPr>
          <w:iCs/>
          <w:sz w:val="22"/>
          <w:szCs w:val="22"/>
        </w:rPr>
        <w:t xml:space="preserve">Measurable objectives related to teacher and paraprofessional quality may be guided by data </w:t>
      </w:r>
      <w:r w:rsidR="00EE18D5" w:rsidRPr="002B04F9">
        <w:rPr>
          <w:iCs/>
          <w:color w:val="000000"/>
          <w:sz w:val="22"/>
          <w:szCs w:val="22"/>
        </w:rPr>
        <w:t>from the</w:t>
      </w:r>
      <w:r w:rsidR="00EE18D5" w:rsidRPr="002B04F9">
        <w:rPr>
          <w:iCs/>
          <w:sz w:val="22"/>
          <w:szCs w:val="22"/>
        </w:rPr>
        <w:t xml:space="preserve"> </w:t>
      </w:r>
      <w:r w:rsidR="00EE18D5" w:rsidRPr="002B04F9">
        <w:rPr>
          <w:sz w:val="22"/>
          <w:szCs w:val="22"/>
        </w:rPr>
        <w:t>Instructional Personnel and Licensure Report (IPAL), as outlined in</w:t>
      </w:r>
      <w:r w:rsidR="00A01383" w:rsidRPr="00911B1A">
        <w:rPr>
          <w:color w:val="FF0000"/>
          <w:sz w:val="22"/>
          <w:szCs w:val="22"/>
          <w:u w:val="single"/>
        </w:rPr>
        <w:t xml:space="preserve"> </w:t>
      </w:r>
      <w:hyperlink r:id="rId18" w:history="1">
        <w:r w:rsidR="00464F67" w:rsidRPr="00911B1A">
          <w:rPr>
            <w:rStyle w:val="Hyperlink"/>
            <w:sz w:val="22"/>
            <w:szCs w:val="22"/>
          </w:rPr>
          <w:t xml:space="preserve">Instructional Personnel and Licensure Report (IPAL), as outlined in the 2023 Fall Master Schedule Collection Guide, September 11, 2023. </w:t>
        </w:r>
      </w:hyperlink>
    </w:p>
    <w:p w14:paraId="16A5EE55" w14:textId="1AC160DA" w:rsidR="00EE18D5" w:rsidRPr="002B04F9" w:rsidRDefault="00EE18D5" w:rsidP="005E6FCF">
      <w:pPr>
        <w:rPr>
          <w:iCs/>
          <w:color w:val="000000"/>
        </w:rPr>
      </w:pPr>
      <w:r w:rsidRPr="002B04F9">
        <w:rPr>
          <w:iCs/>
          <w:sz w:val="22"/>
          <w:szCs w:val="17"/>
        </w:rPr>
        <w:t xml:space="preserve">The report will give the division data regarding the </w:t>
      </w:r>
      <w:r w:rsidR="00792636" w:rsidRPr="002B04F9">
        <w:rPr>
          <w:iCs/>
          <w:sz w:val="22"/>
          <w:szCs w:val="17"/>
        </w:rPr>
        <w:t xml:space="preserve">license and endorsement status </w:t>
      </w:r>
      <w:r w:rsidRPr="002B04F9">
        <w:rPr>
          <w:iCs/>
          <w:sz w:val="22"/>
          <w:szCs w:val="17"/>
        </w:rPr>
        <w:t xml:space="preserve">of teachers and paraprofessionals from the </w:t>
      </w:r>
      <w:r w:rsidR="00E4106D">
        <w:rPr>
          <w:iCs/>
          <w:sz w:val="22"/>
          <w:szCs w:val="17"/>
        </w:rPr>
        <w:t>2023</w:t>
      </w:r>
      <w:r w:rsidRPr="002B04F9">
        <w:rPr>
          <w:iCs/>
          <w:sz w:val="22"/>
          <w:szCs w:val="17"/>
        </w:rPr>
        <w:t>-</w:t>
      </w:r>
      <w:r w:rsidR="00E4106D">
        <w:rPr>
          <w:iCs/>
          <w:sz w:val="22"/>
          <w:szCs w:val="17"/>
        </w:rPr>
        <w:t>2024</w:t>
      </w:r>
      <w:r w:rsidRPr="002B04F9">
        <w:rPr>
          <w:iCs/>
          <w:sz w:val="22"/>
          <w:szCs w:val="17"/>
        </w:rPr>
        <w:t xml:space="preserve"> school year to inform plans for the </w:t>
      </w:r>
      <w:r w:rsidR="00E4106D">
        <w:rPr>
          <w:iCs/>
          <w:sz w:val="22"/>
          <w:szCs w:val="17"/>
        </w:rPr>
        <w:t>2024</w:t>
      </w:r>
      <w:r w:rsidRPr="002B04F9">
        <w:rPr>
          <w:iCs/>
          <w:sz w:val="22"/>
          <w:szCs w:val="17"/>
        </w:rPr>
        <w:t>-</w:t>
      </w:r>
      <w:r w:rsidR="00E4106D">
        <w:rPr>
          <w:iCs/>
          <w:sz w:val="22"/>
          <w:szCs w:val="17"/>
        </w:rPr>
        <w:t>2025</w:t>
      </w:r>
      <w:r w:rsidRPr="002B04F9">
        <w:rPr>
          <w:iCs/>
          <w:sz w:val="22"/>
          <w:szCs w:val="17"/>
        </w:rPr>
        <w:t xml:space="preserve"> school year.  These data may be used to determine needed activities to improve teacher quality efforts.</w:t>
      </w:r>
    </w:p>
    <w:p w14:paraId="14E4C382" w14:textId="0A95A842" w:rsidR="007205F0" w:rsidRPr="002B04F9" w:rsidRDefault="007205F0" w:rsidP="005E6FCF">
      <w:pPr>
        <w:numPr>
          <w:ilvl w:val="0"/>
          <w:numId w:val="11"/>
        </w:numPr>
        <w:rPr>
          <w:color w:val="000000" w:themeColor="text1"/>
          <w:sz w:val="22"/>
          <w:u w:val="single"/>
        </w:rPr>
      </w:pPr>
      <w:r w:rsidRPr="002B04F9">
        <w:rPr>
          <w:color w:val="000000" w:themeColor="text1"/>
          <w:sz w:val="22"/>
        </w:rPr>
        <w:t xml:space="preserve">In the tables on pages </w:t>
      </w:r>
      <w:r w:rsidR="00C03933" w:rsidRPr="002B04F9">
        <w:rPr>
          <w:color w:val="000000" w:themeColor="text1"/>
          <w:sz w:val="22"/>
        </w:rPr>
        <w:t>10-13</w:t>
      </w:r>
      <w:r w:rsidRPr="002B04F9">
        <w:rPr>
          <w:color w:val="000000" w:themeColor="text1"/>
          <w:sz w:val="22"/>
        </w:rPr>
        <w:t>, as needed, state the measurable objectives that will guide the development of the program to be funded with the requested federal funds. Measurable objectives may be continued from the previous school year.</w:t>
      </w:r>
    </w:p>
    <w:p w14:paraId="272D1DFB" w14:textId="0DB9D408" w:rsidR="007205F0" w:rsidRPr="002B04F9" w:rsidRDefault="00997FAF" w:rsidP="005E6FCF">
      <w:pPr>
        <w:numPr>
          <w:ilvl w:val="0"/>
          <w:numId w:val="11"/>
        </w:numPr>
        <w:rPr>
          <w:color w:val="000000" w:themeColor="text1"/>
          <w:sz w:val="22"/>
        </w:rPr>
      </w:pPr>
      <w:r w:rsidRPr="002B04F9">
        <w:rPr>
          <w:color w:val="000000" w:themeColor="text1"/>
          <w:sz w:val="22"/>
        </w:rPr>
        <w:t>Describe</w:t>
      </w:r>
      <w:r w:rsidR="007205F0" w:rsidRPr="002B04F9">
        <w:rPr>
          <w:color w:val="000000" w:themeColor="text1"/>
          <w:sz w:val="22"/>
        </w:rPr>
        <w:t xml:space="preserve"> the </w:t>
      </w:r>
      <w:r w:rsidR="000105AC" w:rsidRPr="002B04F9">
        <w:rPr>
          <w:color w:val="000000" w:themeColor="text1"/>
          <w:sz w:val="22"/>
        </w:rPr>
        <w:t>evidence</w:t>
      </w:r>
      <w:r w:rsidR="007205F0" w:rsidRPr="002B04F9">
        <w:rPr>
          <w:color w:val="000000" w:themeColor="text1"/>
          <w:sz w:val="22"/>
        </w:rPr>
        <w:t>-</w:t>
      </w:r>
      <w:r w:rsidR="007205F0" w:rsidRPr="00AC6D65">
        <w:rPr>
          <w:color w:val="000000" w:themeColor="text1"/>
          <w:sz w:val="22"/>
        </w:rPr>
        <w:t xml:space="preserve">based </w:t>
      </w:r>
      <w:r w:rsidR="00DF3F44" w:rsidRPr="00AC6D65">
        <w:rPr>
          <w:color w:val="000000" w:themeColor="text1"/>
          <w:sz w:val="22"/>
        </w:rPr>
        <w:t>practices</w:t>
      </w:r>
      <w:r w:rsidR="007205F0" w:rsidRPr="00AC6D65">
        <w:rPr>
          <w:color w:val="000000" w:themeColor="text1"/>
          <w:sz w:val="22"/>
        </w:rPr>
        <w:t xml:space="preserve"> and activities (programs, models, instructional methods and techniques</w:t>
      </w:r>
      <w:r w:rsidR="00C54992" w:rsidRPr="00AC6D65">
        <w:rPr>
          <w:color w:val="000000" w:themeColor="text1"/>
          <w:sz w:val="22"/>
        </w:rPr>
        <w:t>, professional development, funded positions, etc.</w:t>
      </w:r>
      <w:r w:rsidR="007205F0" w:rsidRPr="00AC6D65">
        <w:rPr>
          <w:color w:val="000000" w:themeColor="text1"/>
          <w:sz w:val="22"/>
        </w:rPr>
        <w:t>) that will be implemented to achieve each objective and that will be supported</w:t>
      </w:r>
      <w:r w:rsidR="007205F0" w:rsidRPr="002B04F9">
        <w:rPr>
          <w:color w:val="000000" w:themeColor="text1"/>
          <w:sz w:val="22"/>
        </w:rPr>
        <w:t xml:space="preserve"> by the requested funds.   </w:t>
      </w:r>
    </w:p>
    <w:p w14:paraId="08E3F22A" w14:textId="0B8CED20" w:rsidR="005A40C9" w:rsidRPr="002B04F9" w:rsidRDefault="007205F0" w:rsidP="005E6FCF">
      <w:pPr>
        <w:numPr>
          <w:ilvl w:val="0"/>
          <w:numId w:val="11"/>
        </w:numPr>
        <w:rPr>
          <w:color w:val="000000" w:themeColor="text1"/>
          <w:sz w:val="22"/>
        </w:rPr>
      </w:pPr>
      <w:r w:rsidRPr="002B04F9">
        <w:rPr>
          <w:color w:val="000000" w:themeColor="text1"/>
          <w:sz w:val="22"/>
        </w:rPr>
        <w:t xml:space="preserve">The goals and measurable objectives in Title II, Part A, Teacher Quality should be guided by four factors: 1) goals for </w:t>
      </w:r>
      <w:r w:rsidR="000105AC" w:rsidRPr="002B04F9">
        <w:rPr>
          <w:iCs/>
          <w:color w:val="000000" w:themeColor="text1"/>
          <w:sz w:val="22"/>
        </w:rPr>
        <w:t xml:space="preserve">teacher quality under the </w:t>
      </w:r>
      <w:r w:rsidR="000105AC" w:rsidRPr="002B04F9">
        <w:rPr>
          <w:i/>
          <w:iCs/>
          <w:color w:val="000000" w:themeColor="text1"/>
          <w:sz w:val="22"/>
        </w:rPr>
        <w:t>Every Student Succeeds Act of 2015</w:t>
      </w:r>
      <w:r w:rsidR="000105AC" w:rsidRPr="002B04F9">
        <w:rPr>
          <w:iCs/>
          <w:color w:val="000000" w:themeColor="text1"/>
          <w:sz w:val="22"/>
        </w:rPr>
        <w:t xml:space="preserve"> (ESSA)</w:t>
      </w:r>
      <w:r w:rsidRPr="002B04F9">
        <w:rPr>
          <w:color w:val="000000" w:themeColor="text1"/>
          <w:sz w:val="22"/>
        </w:rPr>
        <w:t>; 2) the activities permitted under the Title II, Part A, legislation (</w:t>
      </w:r>
      <w:r w:rsidRPr="00A00F70">
        <w:rPr>
          <w:color w:val="000000" w:themeColor="text1"/>
          <w:sz w:val="22"/>
          <w:u w:val="single"/>
        </w:rPr>
        <w:t xml:space="preserve">See Section </w:t>
      </w:r>
      <w:r w:rsidR="00997FAF" w:rsidRPr="00A00F70">
        <w:rPr>
          <w:color w:val="000000" w:themeColor="text1"/>
          <w:sz w:val="22"/>
          <w:u w:val="single"/>
        </w:rPr>
        <w:t>21</w:t>
      </w:r>
      <w:r w:rsidR="000105AC" w:rsidRPr="00A00F70">
        <w:rPr>
          <w:color w:val="000000" w:themeColor="text1"/>
          <w:sz w:val="22"/>
          <w:u w:val="single"/>
        </w:rPr>
        <w:t>0</w:t>
      </w:r>
      <w:r w:rsidR="00997FAF" w:rsidRPr="00A00F70">
        <w:rPr>
          <w:color w:val="000000" w:themeColor="text1"/>
          <w:sz w:val="22"/>
          <w:u w:val="single"/>
        </w:rPr>
        <w:t>3 in the</w:t>
      </w:r>
      <w:r w:rsidRPr="00A00F70">
        <w:rPr>
          <w:color w:val="000000" w:themeColor="text1"/>
          <w:sz w:val="22"/>
          <w:u w:val="single"/>
        </w:rPr>
        <w:t xml:space="preserve"> Specific Guidelines for Title II, Part A</w:t>
      </w:r>
      <w:r w:rsidR="00997FAF" w:rsidRPr="00A00F70">
        <w:rPr>
          <w:color w:val="000000" w:themeColor="text1"/>
          <w:sz w:val="22"/>
          <w:u w:val="single"/>
        </w:rPr>
        <w:t>: Local Use of Funds</w:t>
      </w:r>
      <w:r w:rsidRPr="002B04F9">
        <w:rPr>
          <w:color w:val="000000" w:themeColor="text1"/>
          <w:sz w:val="22"/>
        </w:rPr>
        <w:t>); 3) the data that are available to assess the effectiveness of the goals and measurable objectives in the application; and 4) the professional development activities that improve the knowledge, quality of instruction, and quality of leadership of paraprofessionals, teachers, and administrators.</w:t>
      </w:r>
    </w:p>
    <w:p w14:paraId="2BCDEFC7" w14:textId="403D1E19" w:rsidR="009E228A" w:rsidRPr="002B04F9" w:rsidRDefault="00396F12" w:rsidP="005E6FCF">
      <w:pPr>
        <w:numPr>
          <w:ilvl w:val="0"/>
          <w:numId w:val="11"/>
        </w:numPr>
        <w:rPr>
          <w:color w:val="000000" w:themeColor="text1"/>
          <w:sz w:val="22"/>
        </w:rPr>
      </w:pPr>
      <w:r w:rsidRPr="002B04F9">
        <w:rPr>
          <w:color w:val="000000" w:themeColor="text1"/>
          <w:sz w:val="22"/>
        </w:rPr>
        <w:t>A</w:t>
      </w:r>
      <w:r w:rsidR="007205F0" w:rsidRPr="002B04F9">
        <w:rPr>
          <w:color w:val="000000" w:themeColor="text1"/>
          <w:sz w:val="22"/>
        </w:rPr>
        <w:t xml:space="preserve"> definition and examples of measurable objectives </w:t>
      </w:r>
      <w:r w:rsidRPr="002B04F9">
        <w:rPr>
          <w:color w:val="000000" w:themeColor="text1"/>
          <w:sz w:val="22"/>
        </w:rPr>
        <w:t xml:space="preserve">are listed </w:t>
      </w:r>
      <w:r w:rsidR="007205F0" w:rsidRPr="002B04F9">
        <w:rPr>
          <w:color w:val="000000" w:themeColor="text1"/>
          <w:sz w:val="22"/>
        </w:rPr>
        <w:t>below.</w:t>
      </w:r>
    </w:p>
    <w:p w14:paraId="4EFB33FB" w14:textId="77777777" w:rsidR="00CC07C3" w:rsidRPr="002B04F9" w:rsidRDefault="00CC07C3" w:rsidP="005E6FCF">
      <w:pPr>
        <w:ind w:left="7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5"/>
      </w:tblGrid>
      <w:tr w:rsidR="007205F0" w:rsidRPr="002B04F9" w14:paraId="67A1AD29" w14:textId="77777777" w:rsidTr="00EF6293">
        <w:trPr>
          <w:trHeight w:val="350"/>
          <w:jc w:val="center"/>
        </w:trPr>
        <w:tc>
          <w:tcPr>
            <w:tcW w:w="8905" w:type="dxa"/>
            <w:vAlign w:val="center"/>
          </w:tcPr>
          <w:p w14:paraId="0D71F635" w14:textId="77777777" w:rsidR="007205F0" w:rsidRPr="002B04F9" w:rsidRDefault="007205F0" w:rsidP="005E6FCF">
            <w:pPr>
              <w:rPr>
                <w:b/>
                <w:bCs/>
                <w:color w:val="000000" w:themeColor="text1"/>
                <w:sz w:val="22"/>
                <w:u w:val="single"/>
              </w:rPr>
            </w:pPr>
            <w:r w:rsidRPr="002B04F9">
              <w:rPr>
                <w:color w:val="000000" w:themeColor="text1"/>
                <w:sz w:val="22"/>
              </w:rPr>
              <w:br w:type="page"/>
            </w:r>
            <w:r w:rsidRPr="002B04F9">
              <w:rPr>
                <w:b/>
                <w:bCs/>
                <w:color w:val="000000" w:themeColor="text1"/>
                <w:sz w:val="22"/>
                <w:u w:val="single"/>
              </w:rPr>
              <w:t>What is a Measurable Objective?</w:t>
            </w:r>
          </w:p>
          <w:p w14:paraId="67FF1A54" w14:textId="77777777" w:rsidR="007205F0" w:rsidRPr="002B04F9" w:rsidRDefault="007205F0" w:rsidP="005E6FCF">
            <w:pPr>
              <w:rPr>
                <w:color w:val="000000" w:themeColor="text1"/>
                <w:sz w:val="22"/>
              </w:rPr>
            </w:pPr>
            <w:r w:rsidRPr="002B04F9">
              <w:rPr>
                <w:color w:val="000000" w:themeColor="text1"/>
                <w:sz w:val="22"/>
              </w:rPr>
              <w:t>A measurable objective has four components:</w:t>
            </w:r>
          </w:p>
          <w:p w14:paraId="0FA04A31" w14:textId="745B0A58" w:rsidR="00EF6293" w:rsidRPr="002B04F9" w:rsidRDefault="00EF6293" w:rsidP="005E6FCF">
            <w:pPr>
              <w:numPr>
                <w:ilvl w:val="0"/>
                <w:numId w:val="4"/>
              </w:numPr>
              <w:rPr>
                <w:color w:val="000000" w:themeColor="text1"/>
                <w:sz w:val="22"/>
              </w:rPr>
            </w:pPr>
            <w:r w:rsidRPr="002B04F9">
              <w:rPr>
                <w:b/>
                <w:color w:val="000000" w:themeColor="text1"/>
                <w:sz w:val="22"/>
              </w:rPr>
              <w:t>Subject</w:t>
            </w:r>
            <w:r w:rsidRPr="002B04F9">
              <w:rPr>
                <w:color w:val="000000" w:themeColor="text1"/>
                <w:sz w:val="22"/>
              </w:rPr>
              <w:t xml:space="preserve"> (Who is the target or focus?</w:t>
            </w:r>
            <w:proofErr w:type="gramStart"/>
            <w:r w:rsidRPr="002B04F9">
              <w:rPr>
                <w:color w:val="000000" w:themeColor="text1"/>
                <w:sz w:val="22"/>
              </w:rPr>
              <w:t>);</w:t>
            </w:r>
            <w:proofErr w:type="gramEnd"/>
          </w:p>
          <w:p w14:paraId="134AEC61" w14:textId="2096BE69" w:rsidR="00EF6293" w:rsidRPr="002B04F9" w:rsidRDefault="00EF6293" w:rsidP="005E6FCF">
            <w:pPr>
              <w:numPr>
                <w:ilvl w:val="0"/>
                <w:numId w:val="4"/>
              </w:numPr>
              <w:rPr>
                <w:color w:val="000000" w:themeColor="text1"/>
                <w:sz w:val="22"/>
              </w:rPr>
            </w:pPr>
            <w:r w:rsidRPr="002B04F9">
              <w:rPr>
                <w:b/>
                <w:color w:val="000000" w:themeColor="text1"/>
                <w:sz w:val="22"/>
              </w:rPr>
              <w:t>Behavior</w:t>
            </w:r>
            <w:r w:rsidRPr="002B04F9">
              <w:rPr>
                <w:color w:val="000000" w:themeColor="text1"/>
                <w:sz w:val="22"/>
              </w:rPr>
              <w:t xml:space="preserve"> (What will be changed/improved?</w:t>
            </w:r>
            <w:proofErr w:type="gramStart"/>
            <w:r w:rsidRPr="002B04F9">
              <w:rPr>
                <w:color w:val="000000" w:themeColor="text1"/>
                <w:sz w:val="22"/>
              </w:rPr>
              <w:t>);</w:t>
            </w:r>
            <w:proofErr w:type="gramEnd"/>
          </w:p>
          <w:p w14:paraId="3C5B1004" w14:textId="79C6E88C" w:rsidR="00EF6293" w:rsidRPr="002B04F9" w:rsidRDefault="00EF6293" w:rsidP="005E6FCF">
            <w:pPr>
              <w:numPr>
                <w:ilvl w:val="0"/>
                <w:numId w:val="4"/>
              </w:numPr>
              <w:rPr>
                <w:color w:val="000000" w:themeColor="text1"/>
                <w:sz w:val="22"/>
              </w:rPr>
            </w:pPr>
            <w:r w:rsidRPr="002B04F9">
              <w:rPr>
                <w:b/>
                <w:color w:val="000000" w:themeColor="text1"/>
                <w:sz w:val="22"/>
              </w:rPr>
              <w:t>Specific criteria</w:t>
            </w:r>
            <w:r w:rsidRPr="002B04F9">
              <w:rPr>
                <w:color w:val="000000" w:themeColor="text1"/>
                <w:sz w:val="22"/>
              </w:rPr>
              <w:t xml:space="preserve"> for assessing improvement, readiness, or achievement, and tools to be used to measure effectiveness; and</w:t>
            </w:r>
          </w:p>
          <w:p w14:paraId="566123A7" w14:textId="758A78A3" w:rsidR="007205F0" w:rsidRPr="002B04F9" w:rsidRDefault="00EF6293" w:rsidP="005E6FCF">
            <w:pPr>
              <w:numPr>
                <w:ilvl w:val="0"/>
                <w:numId w:val="4"/>
              </w:numPr>
              <w:rPr>
                <w:color w:val="000000" w:themeColor="text1"/>
                <w:sz w:val="22"/>
              </w:rPr>
            </w:pPr>
            <w:r w:rsidRPr="002B04F9">
              <w:rPr>
                <w:b/>
                <w:color w:val="000000" w:themeColor="text1"/>
                <w:sz w:val="22"/>
              </w:rPr>
              <w:t>Time period</w:t>
            </w:r>
            <w:r w:rsidRPr="002B04F9">
              <w:rPr>
                <w:color w:val="000000" w:themeColor="text1"/>
                <w:sz w:val="22"/>
              </w:rPr>
              <w:t xml:space="preserve"> for performance or assessment. </w:t>
            </w:r>
          </w:p>
        </w:tc>
      </w:tr>
      <w:tr w:rsidR="007205F0" w:rsidRPr="002B04F9" w14:paraId="5D9228C1" w14:textId="77777777" w:rsidTr="00EF6293">
        <w:tblPrEx>
          <w:jc w:val="left"/>
        </w:tblPrEx>
        <w:tc>
          <w:tcPr>
            <w:tcW w:w="8905" w:type="dxa"/>
          </w:tcPr>
          <w:p w14:paraId="407CE286" w14:textId="77777777" w:rsidR="007205F0" w:rsidRPr="002B04F9" w:rsidRDefault="007205F0" w:rsidP="005E6FCF">
            <w:pPr>
              <w:rPr>
                <w:b/>
                <w:bCs/>
                <w:color w:val="000000" w:themeColor="text1"/>
                <w:sz w:val="22"/>
                <w:u w:val="single"/>
              </w:rPr>
            </w:pPr>
            <w:r w:rsidRPr="002B04F9">
              <w:rPr>
                <w:b/>
                <w:bCs/>
                <w:color w:val="000000" w:themeColor="text1"/>
                <w:sz w:val="22"/>
                <w:u w:val="single"/>
              </w:rPr>
              <w:t>Examples:</w:t>
            </w:r>
          </w:p>
          <w:p w14:paraId="215CA4DA" w14:textId="3FAA2DEF" w:rsidR="00B836FF" w:rsidRPr="002B04F9" w:rsidRDefault="00B836FF" w:rsidP="005E6FCF">
            <w:pPr>
              <w:numPr>
                <w:ilvl w:val="0"/>
                <w:numId w:val="12"/>
              </w:numPr>
              <w:rPr>
                <w:color w:val="000000" w:themeColor="text1"/>
                <w:sz w:val="22"/>
              </w:rPr>
            </w:pPr>
            <w:r w:rsidRPr="002B04F9">
              <w:rPr>
                <w:color w:val="000000"/>
                <w:sz w:val="22"/>
                <w:szCs w:val="22"/>
              </w:rPr>
              <w:t xml:space="preserve">By June of </w:t>
            </w:r>
            <w:r w:rsidR="00E4106D">
              <w:rPr>
                <w:color w:val="000000"/>
                <w:sz w:val="22"/>
                <w:szCs w:val="22"/>
              </w:rPr>
              <w:t>2025</w:t>
            </w:r>
            <w:r w:rsidR="00C54992" w:rsidRPr="002B04F9">
              <w:rPr>
                <w:color w:val="000000"/>
                <w:sz w:val="22"/>
                <w:szCs w:val="22"/>
              </w:rPr>
              <w:t>,</w:t>
            </w:r>
            <w:r w:rsidRPr="002B04F9">
              <w:rPr>
                <w:color w:val="000000"/>
                <w:sz w:val="22"/>
                <w:szCs w:val="22"/>
              </w:rPr>
              <w:t xml:space="preserve"> 100% of the Middle School Algebra I courses will be taught by properly licensed teachers. (Strategies could include coursework or assessment support)</w:t>
            </w:r>
          </w:p>
          <w:p w14:paraId="5C0992AB" w14:textId="66AA30A7" w:rsidR="00B836FF" w:rsidRPr="002B04F9" w:rsidRDefault="00B863B9" w:rsidP="005E6FCF">
            <w:pPr>
              <w:numPr>
                <w:ilvl w:val="0"/>
                <w:numId w:val="12"/>
              </w:numPr>
              <w:rPr>
                <w:color w:val="000000" w:themeColor="text1"/>
                <w:sz w:val="22"/>
              </w:rPr>
            </w:pPr>
            <w:r w:rsidRPr="002B04F9">
              <w:rPr>
                <w:color w:val="000000"/>
                <w:sz w:val="22"/>
                <w:szCs w:val="22"/>
              </w:rPr>
              <w:t xml:space="preserve">By June of </w:t>
            </w:r>
            <w:r w:rsidR="00E4106D">
              <w:rPr>
                <w:color w:val="000000"/>
                <w:sz w:val="22"/>
                <w:szCs w:val="22"/>
              </w:rPr>
              <w:t>2025</w:t>
            </w:r>
            <w:r w:rsidR="00C54992" w:rsidRPr="002B04F9">
              <w:rPr>
                <w:color w:val="000000"/>
                <w:sz w:val="22"/>
                <w:szCs w:val="22"/>
              </w:rPr>
              <w:t>,</w:t>
            </w:r>
            <w:r w:rsidR="00B836FF" w:rsidRPr="002B04F9">
              <w:rPr>
                <w:color w:val="000000"/>
                <w:sz w:val="22"/>
                <w:szCs w:val="22"/>
              </w:rPr>
              <w:t xml:space="preserve"> the percentage of first</w:t>
            </w:r>
            <w:r w:rsidR="001C4C50" w:rsidRPr="002B04F9">
              <w:rPr>
                <w:color w:val="000000"/>
                <w:sz w:val="22"/>
                <w:szCs w:val="22"/>
              </w:rPr>
              <w:t>-</w:t>
            </w:r>
            <w:r w:rsidR="00B836FF" w:rsidRPr="002B04F9">
              <w:rPr>
                <w:color w:val="000000"/>
                <w:sz w:val="22"/>
                <w:szCs w:val="22"/>
              </w:rPr>
              <w:t>grade students failing to meet the PALs benchmark will be reduced by 10 percent. (Strategies could include class size reduction, professional development)</w:t>
            </w:r>
          </w:p>
          <w:p w14:paraId="2536D2AC" w14:textId="2CD2A79E" w:rsidR="00B836FF" w:rsidRPr="002B04F9" w:rsidRDefault="00801312" w:rsidP="005E6FCF">
            <w:pPr>
              <w:numPr>
                <w:ilvl w:val="0"/>
                <w:numId w:val="12"/>
              </w:numPr>
              <w:rPr>
                <w:color w:val="000000" w:themeColor="text1"/>
                <w:sz w:val="22"/>
              </w:rPr>
            </w:pPr>
            <w:r w:rsidRPr="002B04F9">
              <w:rPr>
                <w:color w:val="000000"/>
                <w:sz w:val="22"/>
                <w:szCs w:val="22"/>
              </w:rPr>
              <w:t xml:space="preserve">By June </w:t>
            </w:r>
            <w:r w:rsidR="00E4106D">
              <w:rPr>
                <w:color w:val="000000"/>
                <w:sz w:val="22"/>
                <w:szCs w:val="22"/>
              </w:rPr>
              <w:t>2025</w:t>
            </w:r>
            <w:r w:rsidRPr="002B04F9">
              <w:rPr>
                <w:color w:val="000000"/>
                <w:sz w:val="22"/>
                <w:szCs w:val="22"/>
              </w:rPr>
              <w:t>, 80% of </w:t>
            </w:r>
            <w:r w:rsidR="00B836FF" w:rsidRPr="002B04F9">
              <w:rPr>
                <w:color w:val="000000"/>
                <w:sz w:val="22"/>
                <w:szCs w:val="22"/>
              </w:rPr>
              <w:t>teachers will integrate high yield instructional strategies in their classrooms as measured by classroom walkthrough data. (Strategy: professional development</w:t>
            </w:r>
            <w:r w:rsidR="00C54992" w:rsidRPr="002B04F9">
              <w:rPr>
                <w:color w:val="000000"/>
                <w:sz w:val="22"/>
                <w:szCs w:val="22"/>
              </w:rPr>
              <w:t xml:space="preserve"> or instructional coach</w:t>
            </w:r>
            <w:r w:rsidR="00B836FF" w:rsidRPr="002B04F9">
              <w:rPr>
                <w:color w:val="000000"/>
                <w:sz w:val="22"/>
                <w:szCs w:val="22"/>
              </w:rPr>
              <w:t>)</w:t>
            </w:r>
          </w:p>
          <w:p w14:paraId="07A4EFDA" w14:textId="57BE0932" w:rsidR="007205F0" w:rsidRPr="002B04F9" w:rsidRDefault="00C1123D" w:rsidP="005E6FCF">
            <w:pPr>
              <w:numPr>
                <w:ilvl w:val="0"/>
                <w:numId w:val="12"/>
              </w:numPr>
              <w:rPr>
                <w:b/>
                <w:bCs/>
                <w:color w:val="000000" w:themeColor="text1"/>
                <w:sz w:val="22"/>
              </w:rPr>
            </w:pPr>
            <w:r w:rsidRPr="002B04F9">
              <w:rPr>
                <w:color w:val="000000"/>
                <w:sz w:val="22"/>
                <w:szCs w:val="22"/>
              </w:rPr>
              <w:t xml:space="preserve">By June </w:t>
            </w:r>
            <w:r w:rsidR="00E4106D">
              <w:rPr>
                <w:color w:val="000000"/>
                <w:sz w:val="22"/>
                <w:szCs w:val="22"/>
              </w:rPr>
              <w:t>2025</w:t>
            </w:r>
            <w:r w:rsidRPr="002B04F9">
              <w:rPr>
                <w:color w:val="000000"/>
                <w:sz w:val="22"/>
                <w:szCs w:val="22"/>
              </w:rPr>
              <w:t>, 100</w:t>
            </w:r>
            <w:r w:rsidR="00B603F2">
              <w:rPr>
                <w:color w:val="000000"/>
                <w:sz w:val="22"/>
                <w:szCs w:val="22"/>
              </w:rPr>
              <w:t xml:space="preserve">% </w:t>
            </w:r>
            <w:r w:rsidRPr="002B04F9">
              <w:rPr>
                <w:color w:val="000000"/>
                <w:sz w:val="22"/>
                <w:szCs w:val="22"/>
              </w:rPr>
              <w:t xml:space="preserve">of classes will be taught by </w:t>
            </w:r>
            <w:r w:rsidR="009E228A" w:rsidRPr="002B04F9">
              <w:rPr>
                <w:color w:val="000000"/>
                <w:sz w:val="22"/>
                <w:szCs w:val="22"/>
              </w:rPr>
              <w:t>properly licensed and endorsed </w:t>
            </w:r>
            <w:r w:rsidRPr="002B04F9">
              <w:rPr>
                <w:color w:val="000000"/>
                <w:sz w:val="22"/>
                <w:szCs w:val="22"/>
              </w:rPr>
              <w:t xml:space="preserve">teachers as measured by the Instructional Personnel and Licensure Report (IPAL). (Strategies </w:t>
            </w:r>
            <w:r w:rsidRPr="002B04F9">
              <w:rPr>
                <w:color w:val="000000"/>
                <w:sz w:val="22"/>
                <w:szCs w:val="22"/>
              </w:rPr>
              <w:lastRenderedPageBreak/>
              <w:t>could include recruitment activities, signing incentives, and/or teacher residency programs)</w:t>
            </w:r>
          </w:p>
        </w:tc>
      </w:tr>
    </w:tbl>
    <w:p w14:paraId="4B32548C" w14:textId="261ACA23" w:rsidR="0075553F" w:rsidRPr="002B04F9" w:rsidRDefault="0075553F" w:rsidP="005E6FCF">
      <w:pPr>
        <w:rPr>
          <w:color w:val="000000" w:themeColor="text1"/>
          <w:sz w:val="22"/>
        </w:rPr>
      </w:pPr>
    </w:p>
    <w:p w14:paraId="796D095C" w14:textId="1C94DACC" w:rsidR="00E961C9" w:rsidRPr="002B04F9" w:rsidRDefault="00E961C9" w:rsidP="005E6FCF">
      <w:pPr>
        <w:pStyle w:val="BodyText2"/>
        <w:rPr>
          <w:rFonts w:ascii="Arial" w:hAnsi="Arial" w:cs="Arial"/>
          <w:color w:val="222222"/>
          <w:shd w:val="clear" w:color="auto" w:fill="FFFFFF"/>
        </w:rPr>
      </w:pPr>
      <w:r w:rsidRPr="002B04F9">
        <w:rPr>
          <w:bCs/>
          <w:color w:val="222222"/>
          <w:szCs w:val="22"/>
          <w:shd w:val="clear" w:color="auto" w:fill="FFFFFF"/>
        </w:rPr>
        <w:t xml:space="preserve">It is anticipated that </w:t>
      </w:r>
      <w:r w:rsidR="00E4106D">
        <w:rPr>
          <w:bCs/>
          <w:color w:val="222222"/>
          <w:szCs w:val="22"/>
          <w:shd w:val="clear" w:color="auto" w:fill="FFFFFF"/>
        </w:rPr>
        <w:t>2023</w:t>
      </w:r>
      <w:r w:rsidRPr="002B04F9">
        <w:rPr>
          <w:bCs/>
          <w:color w:val="222222"/>
          <w:szCs w:val="22"/>
          <w:shd w:val="clear" w:color="auto" w:fill="FFFFFF"/>
        </w:rPr>
        <w:t>-</w:t>
      </w:r>
      <w:r w:rsidR="00E4106D">
        <w:rPr>
          <w:bCs/>
          <w:color w:val="222222"/>
          <w:szCs w:val="22"/>
          <w:shd w:val="clear" w:color="auto" w:fill="FFFFFF"/>
        </w:rPr>
        <w:t>2024</w:t>
      </w:r>
      <w:r w:rsidRPr="002B04F9">
        <w:rPr>
          <w:bCs/>
          <w:color w:val="222222"/>
          <w:szCs w:val="22"/>
          <w:shd w:val="clear" w:color="auto" w:fill="FFFFFF"/>
        </w:rPr>
        <w:t> </w:t>
      </w:r>
      <w:r w:rsidRPr="002B04F9">
        <w:rPr>
          <w:bCs/>
          <w:i/>
          <w:iCs/>
          <w:color w:val="222222"/>
          <w:szCs w:val="22"/>
          <w:u w:val="single"/>
          <w:shd w:val="clear" w:color="auto" w:fill="FFFFFF"/>
        </w:rPr>
        <w:t>student-level</w:t>
      </w:r>
      <w:r w:rsidRPr="002B04F9">
        <w:rPr>
          <w:bCs/>
          <w:color w:val="222222"/>
          <w:szCs w:val="22"/>
          <w:shd w:val="clear" w:color="auto" w:fill="FFFFFF"/>
        </w:rPr>
        <w:t xml:space="preserve"> Standards of Learning (SOL) test results will arrive in the school divisions prior to the application deadline.  Though unofficial, schools and school divisions </w:t>
      </w:r>
      <w:r w:rsidR="00B863B9" w:rsidRPr="002B04F9">
        <w:rPr>
          <w:bCs/>
          <w:color w:val="222222"/>
          <w:szCs w:val="22"/>
          <w:shd w:val="clear" w:color="auto" w:fill="FFFFFF"/>
        </w:rPr>
        <w:t xml:space="preserve">may </w:t>
      </w:r>
      <w:r w:rsidRPr="002B04F9">
        <w:rPr>
          <w:bCs/>
          <w:color w:val="222222"/>
          <w:szCs w:val="22"/>
          <w:shd w:val="clear" w:color="auto" w:fill="FFFFFF"/>
        </w:rPr>
        <w:t>examine these data for student progress trends that </w:t>
      </w:r>
      <w:r w:rsidRPr="002B04F9">
        <w:rPr>
          <w:bCs/>
          <w:iCs/>
          <w:color w:val="222222"/>
          <w:szCs w:val="22"/>
          <w:shd w:val="clear" w:color="auto" w:fill="FFFFFF"/>
        </w:rPr>
        <w:t>may</w:t>
      </w:r>
      <w:r w:rsidRPr="002B04F9">
        <w:rPr>
          <w:bCs/>
          <w:color w:val="222222"/>
          <w:szCs w:val="22"/>
          <w:shd w:val="clear" w:color="auto" w:fill="FFFFFF"/>
        </w:rPr>
        <w:t> be used to determine needed activities to improve student achievement.</w:t>
      </w:r>
      <w:r w:rsidRPr="002B04F9">
        <w:rPr>
          <w:rFonts w:ascii="Arial" w:hAnsi="Arial" w:cs="Arial"/>
          <w:color w:val="222222"/>
          <w:shd w:val="clear" w:color="auto" w:fill="FFFFFF"/>
        </w:rPr>
        <w:t> </w:t>
      </w:r>
    </w:p>
    <w:p w14:paraId="000A7321" w14:textId="24A981CD" w:rsidR="00E961C9" w:rsidRPr="002B04F9" w:rsidRDefault="00E961C9" w:rsidP="005E6FCF">
      <w:pPr>
        <w:rPr>
          <w:color w:val="000000" w:themeColor="text1"/>
          <w:sz w:val="22"/>
        </w:rPr>
      </w:pPr>
    </w:p>
    <w:p w14:paraId="0F9A2FAD" w14:textId="6309FA3B" w:rsidR="005E6FCF" w:rsidRPr="002B04F9" w:rsidRDefault="005E6FCF" w:rsidP="005E6FCF">
      <w:pPr>
        <w:pStyle w:val="BodyText2"/>
        <w:rPr>
          <w:bCs/>
          <w:color w:val="222222"/>
          <w:szCs w:val="22"/>
          <w:shd w:val="clear" w:color="auto" w:fill="FFFFFF"/>
        </w:rPr>
      </w:pPr>
      <w:r w:rsidRPr="002B04F9">
        <w:rPr>
          <w:bCs/>
          <w:color w:val="222222"/>
          <w:szCs w:val="22"/>
          <w:shd w:val="clear" w:color="auto" w:fill="FFFFFF"/>
        </w:rPr>
        <w:t xml:space="preserve">For the purposes of establishing measureable objectives, a division may use </w:t>
      </w:r>
      <w:r w:rsidR="00E4106D">
        <w:rPr>
          <w:bCs/>
          <w:color w:val="222222"/>
          <w:szCs w:val="22"/>
          <w:shd w:val="clear" w:color="auto" w:fill="FFFFFF"/>
        </w:rPr>
        <w:t>2023</w:t>
      </w:r>
      <w:r w:rsidRPr="002B04F9">
        <w:rPr>
          <w:bCs/>
          <w:color w:val="222222"/>
          <w:szCs w:val="22"/>
          <w:shd w:val="clear" w:color="auto" w:fill="FFFFFF"/>
        </w:rPr>
        <w:t>-</w:t>
      </w:r>
      <w:r w:rsidR="00E4106D">
        <w:rPr>
          <w:bCs/>
          <w:color w:val="222222"/>
          <w:szCs w:val="22"/>
          <w:shd w:val="clear" w:color="auto" w:fill="FFFFFF"/>
        </w:rPr>
        <w:t>2024</w:t>
      </w:r>
      <w:r w:rsidRPr="002B04F9">
        <w:rPr>
          <w:bCs/>
          <w:color w:val="222222"/>
          <w:szCs w:val="22"/>
          <w:shd w:val="clear" w:color="auto" w:fill="FFFFFF"/>
        </w:rPr>
        <w:t xml:space="preserve"> SOL results, the results of the Virginia Remote Student Progress Tests, or other measures such as MAP testing or benchmark testing as applicable. </w:t>
      </w:r>
    </w:p>
    <w:p w14:paraId="654283AE" w14:textId="6F7B98BB" w:rsidR="00221650" w:rsidRPr="002B04F9" w:rsidRDefault="00221650" w:rsidP="005E6FCF">
      <w:pPr>
        <w:pStyle w:val="BodyText2"/>
        <w:rPr>
          <w:bCs/>
          <w:color w:val="222222"/>
          <w:szCs w:val="22"/>
          <w:shd w:val="clear" w:color="auto" w:fill="FFFFFF"/>
        </w:rPr>
      </w:pPr>
    </w:p>
    <w:p w14:paraId="57A8C69C" w14:textId="44381302" w:rsidR="00801312" w:rsidRPr="002B04F9" w:rsidRDefault="00801312" w:rsidP="005E6FCF">
      <w:pPr>
        <w:pStyle w:val="BodyText2"/>
        <w:rPr>
          <w:color w:val="000000" w:themeColor="text1"/>
          <w:u w:val="single"/>
        </w:rPr>
      </w:pPr>
      <w:r w:rsidRPr="002B04F9">
        <w:rPr>
          <w:b/>
          <w:color w:val="000000" w:themeColor="text1"/>
          <w:u w:val="single"/>
        </w:rPr>
        <w:t>E.</w:t>
      </w:r>
      <w:r w:rsidRPr="002B04F9">
        <w:rPr>
          <w:color w:val="000000" w:themeColor="text1"/>
          <w:u w:val="single"/>
        </w:rPr>
        <w:t xml:space="preserve">  </w:t>
      </w:r>
      <w:r w:rsidRPr="002B04F9">
        <w:rPr>
          <w:b/>
          <w:color w:val="000000" w:themeColor="text1"/>
          <w:u w:val="single"/>
        </w:rPr>
        <w:t>Budget Tab (Page 15)</w:t>
      </w:r>
    </w:p>
    <w:p w14:paraId="7DC69819" w14:textId="3589FD4B" w:rsidR="00B863B9" w:rsidRPr="002B04F9" w:rsidRDefault="00801312" w:rsidP="00B863B9">
      <w:pPr>
        <w:pStyle w:val="ListParagraph"/>
        <w:numPr>
          <w:ilvl w:val="0"/>
          <w:numId w:val="21"/>
        </w:numPr>
        <w:rPr>
          <w:color w:val="000000" w:themeColor="text1"/>
          <w:sz w:val="22"/>
        </w:rPr>
      </w:pPr>
      <w:r w:rsidRPr="002B04F9">
        <w:rPr>
          <w:color w:val="000000" w:themeColor="text1"/>
          <w:sz w:val="22"/>
        </w:rPr>
        <w:t xml:space="preserve">Provide the summary budget for Title II, Part A, by object codes. The private school set-aside for </w:t>
      </w:r>
      <w:r w:rsidR="00E4106D">
        <w:rPr>
          <w:color w:val="000000" w:themeColor="text1"/>
          <w:sz w:val="22"/>
        </w:rPr>
        <w:t>2024</w:t>
      </w:r>
      <w:r w:rsidRPr="002B04F9">
        <w:rPr>
          <w:color w:val="000000" w:themeColor="text1"/>
          <w:sz w:val="22"/>
        </w:rPr>
        <w:t>-</w:t>
      </w:r>
      <w:r w:rsidR="00E4106D">
        <w:rPr>
          <w:color w:val="000000" w:themeColor="text1"/>
          <w:sz w:val="22"/>
        </w:rPr>
        <w:t>2025</w:t>
      </w:r>
      <w:r w:rsidRPr="002B04F9">
        <w:rPr>
          <w:color w:val="000000" w:themeColor="text1"/>
          <w:sz w:val="22"/>
        </w:rPr>
        <w:t xml:space="preserve"> should be included in one or more of the designated color-coded cells for private school set-asides. However, these amounts should be entered after the overall estimated budget has been entered and the equitable service amount has been calculated on the private school set-aside page. The total amount entered for the Private School Set Aside on the Summary Budget tab must match the total calculated set-aside on the Private Schools tab.</w:t>
      </w:r>
    </w:p>
    <w:p w14:paraId="7FA55A9D" w14:textId="743C20BD" w:rsidR="00801312" w:rsidRPr="002B04F9" w:rsidRDefault="00801312" w:rsidP="005E6FCF">
      <w:pPr>
        <w:pStyle w:val="BodyText2"/>
        <w:numPr>
          <w:ilvl w:val="0"/>
          <w:numId w:val="21"/>
        </w:numPr>
        <w:rPr>
          <w:color w:val="000000" w:themeColor="text1"/>
        </w:rPr>
      </w:pPr>
      <w:r w:rsidRPr="002B04F9">
        <w:rPr>
          <w:color w:val="000000" w:themeColor="text1"/>
        </w:rPr>
        <w:t>Expenditures categorized as administrative in nature should be entered in one of the yellow cells. (Examples include salaries and benefits for Title IIA coordinator; indirect costs; and materials needed to administer the Title IIA program, not directly related to professional development.)</w:t>
      </w:r>
    </w:p>
    <w:p w14:paraId="318C3202" w14:textId="02943FF3" w:rsidR="00734502" w:rsidRPr="002B04F9" w:rsidRDefault="00734502" w:rsidP="005E6FCF">
      <w:pPr>
        <w:rPr>
          <w:rFonts w:eastAsia="Calibri"/>
          <w:sz w:val="22"/>
          <w:szCs w:val="22"/>
        </w:rPr>
      </w:pPr>
    </w:p>
    <w:p w14:paraId="05D8F794" w14:textId="552618A4" w:rsidR="00801312" w:rsidRPr="002B04F9" w:rsidRDefault="00801312" w:rsidP="005E6FCF">
      <w:pPr>
        <w:rPr>
          <w:rFonts w:eastAsia="Calibri"/>
          <w:sz w:val="22"/>
          <w:szCs w:val="22"/>
        </w:rPr>
      </w:pPr>
      <w:r w:rsidRPr="002B04F9">
        <w:rPr>
          <w:rFonts w:eastAsia="Calibri"/>
          <w:sz w:val="22"/>
          <w:szCs w:val="22"/>
        </w:rPr>
        <w:t>Expenditures categorized as administrative in nature should be entered in one of the yellow cells. (Examples include salaries and benefits for Title IIA coordinator; indirect costs; and materials needed to administer the Title IIA program, not directly related to professional development.)</w:t>
      </w:r>
    </w:p>
    <w:p w14:paraId="6F9EABF9" w14:textId="77777777" w:rsidR="00801312" w:rsidRPr="002B04F9" w:rsidRDefault="00801312" w:rsidP="005E6FCF">
      <w:pPr>
        <w:rPr>
          <w:rFonts w:eastAsia="Calibri"/>
          <w:b/>
          <w:sz w:val="22"/>
          <w:szCs w:val="22"/>
          <w:u w:val="single"/>
        </w:rPr>
      </w:pPr>
    </w:p>
    <w:p w14:paraId="64E24FEE" w14:textId="5E85C44F" w:rsidR="007205F0" w:rsidRPr="002B04F9" w:rsidRDefault="00801312" w:rsidP="005E6FCF">
      <w:pPr>
        <w:rPr>
          <w:b/>
          <w:bCs/>
          <w:color w:val="000000" w:themeColor="text1"/>
          <w:sz w:val="22"/>
          <w:u w:val="single"/>
        </w:rPr>
      </w:pPr>
      <w:r w:rsidRPr="002B04F9">
        <w:rPr>
          <w:b/>
          <w:bCs/>
          <w:color w:val="000000" w:themeColor="text1"/>
          <w:sz w:val="22"/>
          <w:u w:val="single"/>
        </w:rPr>
        <w:t>F</w:t>
      </w:r>
      <w:r w:rsidR="007205F0" w:rsidRPr="002B04F9">
        <w:rPr>
          <w:b/>
          <w:bCs/>
          <w:color w:val="000000" w:themeColor="text1"/>
          <w:sz w:val="22"/>
          <w:u w:val="single"/>
        </w:rPr>
        <w:t xml:space="preserve">. </w:t>
      </w:r>
      <w:r w:rsidR="006D3361" w:rsidRPr="002B04F9">
        <w:rPr>
          <w:b/>
          <w:bCs/>
          <w:color w:val="000000" w:themeColor="text1"/>
          <w:sz w:val="22"/>
          <w:u w:val="single"/>
        </w:rPr>
        <w:t xml:space="preserve"> </w:t>
      </w:r>
      <w:r w:rsidR="0037332D" w:rsidRPr="002B04F9">
        <w:rPr>
          <w:b/>
          <w:bCs/>
          <w:color w:val="000000" w:themeColor="text1"/>
          <w:sz w:val="22"/>
          <w:u w:val="single"/>
        </w:rPr>
        <w:t>Detail</w:t>
      </w:r>
      <w:r w:rsidRPr="002B04F9">
        <w:rPr>
          <w:b/>
          <w:bCs/>
          <w:color w:val="000000" w:themeColor="text1"/>
          <w:sz w:val="22"/>
          <w:u w:val="single"/>
        </w:rPr>
        <w:t>ed</w:t>
      </w:r>
      <w:r w:rsidR="0037332D" w:rsidRPr="002B04F9">
        <w:rPr>
          <w:b/>
          <w:bCs/>
          <w:color w:val="000000" w:themeColor="text1"/>
          <w:sz w:val="22"/>
          <w:u w:val="single"/>
        </w:rPr>
        <w:t xml:space="preserve"> Budget Breakdown</w:t>
      </w:r>
      <w:r w:rsidR="007205F0" w:rsidRPr="002B04F9">
        <w:rPr>
          <w:b/>
          <w:bCs/>
          <w:color w:val="000000" w:themeColor="text1"/>
          <w:sz w:val="22"/>
          <w:u w:val="single"/>
        </w:rPr>
        <w:t xml:space="preserve"> (</w:t>
      </w:r>
      <w:r w:rsidRPr="002B04F9">
        <w:rPr>
          <w:b/>
          <w:color w:val="000000" w:themeColor="text1"/>
          <w:sz w:val="22"/>
          <w:u w:val="single"/>
        </w:rPr>
        <w:t xml:space="preserve">Budget Tab, </w:t>
      </w:r>
      <w:r w:rsidR="0037332D" w:rsidRPr="002B04F9">
        <w:rPr>
          <w:b/>
          <w:bCs/>
          <w:color w:val="000000" w:themeColor="text1"/>
          <w:sz w:val="22"/>
          <w:u w:val="single"/>
        </w:rPr>
        <w:t xml:space="preserve">Pages </w:t>
      </w:r>
      <w:r w:rsidRPr="002B04F9">
        <w:rPr>
          <w:b/>
          <w:bCs/>
          <w:color w:val="000000" w:themeColor="text1"/>
          <w:sz w:val="22"/>
          <w:u w:val="single"/>
        </w:rPr>
        <w:t>16-</w:t>
      </w:r>
      <w:r w:rsidR="001551F0" w:rsidRPr="002B04F9">
        <w:rPr>
          <w:b/>
          <w:bCs/>
          <w:color w:val="000000" w:themeColor="text1"/>
          <w:sz w:val="22"/>
          <w:u w:val="single"/>
        </w:rPr>
        <w:t>22</w:t>
      </w:r>
      <w:r w:rsidR="00C03933" w:rsidRPr="002B04F9">
        <w:rPr>
          <w:b/>
          <w:bCs/>
          <w:color w:val="000000" w:themeColor="text1"/>
          <w:sz w:val="22"/>
          <w:u w:val="single"/>
        </w:rPr>
        <w:t>)</w:t>
      </w:r>
    </w:p>
    <w:p w14:paraId="59214BD4" w14:textId="77777777" w:rsidR="007205F0" w:rsidRPr="002B04F9" w:rsidRDefault="007205F0" w:rsidP="005E6FCF">
      <w:pPr>
        <w:pStyle w:val="BodyText2"/>
        <w:numPr>
          <w:ilvl w:val="0"/>
          <w:numId w:val="13"/>
        </w:numPr>
        <w:rPr>
          <w:color w:val="000000" w:themeColor="text1"/>
        </w:rPr>
      </w:pPr>
      <w:r w:rsidRPr="002B04F9">
        <w:rPr>
          <w:color w:val="000000" w:themeColor="text1"/>
        </w:rPr>
        <w:t xml:space="preserve">The program budget must reflect resources needed to achieve the measurable objectives.  </w:t>
      </w:r>
    </w:p>
    <w:p w14:paraId="6D66F335" w14:textId="12FEF141" w:rsidR="007205F0" w:rsidRPr="002B04F9" w:rsidRDefault="00BD17A0" w:rsidP="005E6FCF">
      <w:pPr>
        <w:pStyle w:val="BodyText2"/>
        <w:numPr>
          <w:ilvl w:val="0"/>
          <w:numId w:val="13"/>
        </w:numPr>
        <w:rPr>
          <w:color w:val="000000" w:themeColor="text1"/>
        </w:rPr>
      </w:pPr>
      <w:r w:rsidRPr="002B04F9">
        <w:rPr>
          <w:color w:val="000000" w:themeColor="text1"/>
        </w:rPr>
        <w:t>All items included in the budget MUST be outlined in the measurable objecti</w:t>
      </w:r>
      <w:r w:rsidR="000B6CCC" w:rsidRPr="002B04F9">
        <w:rPr>
          <w:color w:val="000000" w:themeColor="text1"/>
        </w:rPr>
        <w:t>ves section of the application</w:t>
      </w:r>
      <w:r w:rsidR="00C54992" w:rsidRPr="002B04F9">
        <w:rPr>
          <w:color w:val="000000" w:themeColor="text1"/>
        </w:rPr>
        <w:t xml:space="preserve"> as an activity</w:t>
      </w:r>
      <w:r w:rsidR="000B6CCC" w:rsidRPr="002B04F9">
        <w:rPr>
          <w:color w:val="000000" w:themeColor="text1"/>
        </w:rPr>
        <w:t xml:space="preserve"> and reflected in the Program Overview</w:t>
      </w:r>
      <w:r w:rsidR="0051461E" w:rsidRPr="002B04F9">
        <w:rPr>
          <w:color w:val="000000" w:themeColor="text1"/>
        </w:rPr>
        <w:t>. Use the “Measurable Objectives” Column to indicate the number(s) of the specific measurable objective</w:t>
      </w:r>
      <w:r w:rsidR="002B505F" w:rsidRPr="002B04F9">
        <w:rPr>
          <w:color w:val="000000" w:themeColor="text1"/>
        </w:rPr>
        <w:t>(s)</w:t>
      </w:r>
      <w:r w:rsidR="0051461E" w:rsidRPr="002B04F9">
        <w:rPr>
          <w:color w:val="000000" w:themeColor="text1"/>
        </w:rPr>
        <w:t xml:space="preserve"> supported by each line item.</w:t>
      </w:r>
    </w:p>
    <w:p w14:paraId="218D2760" w14:textId="77223BC7" w:rsidR="00396F12" w:rsidRPr="002B04F9" w:rsidRDefault="000B6CCC" w:rsidP="005E6FCF">
      <w:pPr>
        <w:pStyle w:val="BodyText2"/>
        <w:numPr>
          <w:ilvl w:val="0"/>
          <w:numId w:val="13"/>
        </w:numPr>
        <w:rPr>
          <w:color w:val="000000" w:themeColor="text1"/>
        </w:rPr>
      </w:pPr>
      <w:r w:rsidRPr="002B04F9">
        <w:rPr>
          <w:color w:val="000000" w:themeColor="text1"/>
        </w:rPr>
        <w:t>The applica</w:t>
      </w:r>
      <w:r w:rsidR="00396F12" w:rsidRPr="002B04F9">
        <w:rPr>
          <w:color w:val="000000" w:themeColor="text1"/>
        </w:rPr>
        <w:t>ble detail budget breakdown sheets must be completed.</w:t>
      </w:r>
    </w:p>
    <w:p w14:paraId="2C567142" w14:textId="2ECA4490" w:rsidR="00371FE3" w:rsidRPr="002B04F9" w:rsidRDefault="00371FE3" w:rsidP="005E6FCF">
      <w:pPr>
        <w:pStyle w:val="BodyText2"/>
        <w:numPr>
          <w:ilvl w:val="0"/>
          <w:numId w:val="13"/>
        </w:numPr>
        <w:rPr>
          <w:color w:val="000000" w:themeColor="text1"/>
        </w:rPr>
      </w:pPr>
      <w:r w:rsidRPr="002B04F9">
        <w:rPr>
          <w:color w:val="000000" w:themeColor="text1"/>
        </w:rPr>
        <w:t xml:space="preserve">Use the pull-down menu to identify the category for the identified expenditure. (i.e., Title IIA Administration; Professional Development; Recruitment/Retention; New Teacher/Principal Mentoring and Induction; </w:t>
      </w:r>
      <w:r w:rsidR="00C1123D" w:rsidRPr="002B04F9">
        <w:rPr>
          <w:color w:val="000000" w:themeColor="text1"/>
        </w:rPr>
        <w:t xml:space="preserve">Coursework; Performance </w:t>
      </w:r>
      <w:r w:rsidRPr="002B04F9">
        <w:rPr>
          <w:color w:val="000000" w:themeColor="text1"/>
        </w:rPr>
        <w:t>Evaluation</w:t>
      </w:r>
      <w:r w:rsidR="00C1123D" w:rsidRPr="002B04F9">
        <w:rPr>
          <w:color w:val="000000" w:themeColor="text1"/>
        </w:rPr>
        <w:t>; Program Evaluation</w:t>
      </w:r>
      <w:r w:rsidRPr="002B04F9">
        <w:rPr>
          <w:color w:val="000000" w:themeColor="text1"/>
        </w:rPr>
        <w:t>; or Other</w:t>
      </w:r>
    </w:p>
    <w:p w14:paraId="4857E5B9" w14:textId="77777777" w:rsidR="00801312" w:rsidRPr="002B04F9" w:rsidRDefault="00801312" w:rsidP="005E6FCF">
      <w:pPr>
        <w:rPr>
          <w:rFonts w:eastAsia="Calibri"/>
          <w:b/>
          <w:sz w:val="22"/>
          <w:szCs w:val="22"/>
          <w:u w:val="single"/>
        </w:rPr>
      </w:pPr>
    </w:p>
    <w:p w14:paraId="63FD0714" w14:textId="658B6EFD" w:rsidR="00BB0781" w:rsidRPr="002B04F9" w:rsidRDefault="001551F0" w:rsidP="005E6FCF">
      <w:pPr>
        <w:rPr>
          <w:rFonts w:eastAsia="Calibri"/>
          <w:b/>
          <w:sz w:val="22"/>
          <w:szCs w:val="22"/>
          <w:u w:val="single"/>
        </w:rPr>
      </w:pPr>
      <w:r w:rsidRPr="002B04F9">
        <w:rPr>
          <w:rFonts w:eastAsia="Calibri"/>
          <w:b/>
          <w:sz w:val="22"/>
          <w:szCs w:val="22"/>
          <w:u w:val="single"/>
        </w:rPr>
        <w:t>G</w:t>
      </w:r>
      <w:r w:rsidR="00BB0781" w:rsidRPr="002B04F9">
        <w:rPr>
          <w:rFonts w:eastAsia="Calibri"/>
          <w:b/>
          <w:sz w:val="22"/>
          <w:szCs w:val="22"/>
          <w:u w:val="single"/>
        </w:rPr>
        <w:t>.</w:t>
      </w:r>
      <w:r w:rsidR="006D3361" w:rsidRPr="002B04F9">
        <w:rPr>
          <w:rFonts w:eastAsia="Calibri"/>
          <w:b/>
          <w:sz w:val="22"/>
          <w:szCs w:val="22"/>
          <w:u w:val="single"/>
        </w:rPr>
        <w:t xml:space="preserve"> </w:t>
      </w:r>
      <w:r w:rsidR="00BB0781" w:rsidRPr="002B04F9">
        <w:rPr>
          <w:rFonts w:eastAsia="Calibri"/>
          <w:b/>
          <w:sz w:val="22"/>
          <w:szCs w:val="22"/>
          <w:u w:val="single"/>
        </w:rPr>
        <w:t xml:space="preserve"> Transferability </w:t>
      </w:r>
      <w:r w:rsidR="00AA6C1D" w:rsidRPr="002B04F9">
        <w:rPr>
          <w:rFonts w:eastAsia="Calibri"/>
          <w:b/>
          <w:sz w:val="22"/>
          <w:szCs w:val="22"/>
          <w:u w:val="single"/>
        </w:rPr>
        <w:t xml:space="preserve">Tab </w:t>
      </w:r>
      <w:r w:rsidR="00BB0781" w:rsidRPr="002B04F9">
        <w:rPr>
          <w:rFonts w:eastAsia="Calibri"/>
          <w:b/>
          <w:sz w:val="22"/>
          <w:szCs w:val="22"/>
          <w:u w:val="single"/>
        </w:rPr>
        <w:t xml:space="preserve">(Page </w:t>
      </w:r>
      <w:r w:rsidR="00867759" w:rsidRPr="002B04F9">
        <w:rPr>
          <w:rFonts w:eastAsia="Calibri"/>
          <w:b/>
          <w:sz w:val="22"/>
          <w:szCs w:val="22"/>
          <w:u w:val="single"/>
        </w:rPr>
        <w:t>23</w:t>
      </w:r>
      <w:r w:rsidR="00BB0781" w:rsidRPr="002B04F9">
        <w:rPr>
          <w:rFonts w:eastAsia="Calibri"/>
          <w:b/>
          <w:sz w:val="22"/>
          <w:szCs w:val="22"/>
          <w:u w:val="single"/>
        </w:rPr>
        <w:t>)</w:t>
      </w:r>
    </w:p>
    <w:p w14:paraId="55119822" w14:textId="77777777" w:rsidR="00BB0781" w:rsidRPr="002B04F9" w:rsidRDefault="00BB0781" w:rsidP="005E6FCF">
      <w:pPr>
        <w:tabs>
          <w:tab w:val="left" w:pos="630"/>
        </w:tabs>
        <w:rPr>
          <w:rFonts w:eastAsia="Calibri"/>
          <w:sz w:val="22"/>
          <w:szCs w:val="22"/>
        </w:rPr>
      </w:pPr>
      <w:r w:rsidRPr="002B04F9">
        <w:rPr>
          <w:rFonts w:eastAsia="Calibri"/>
          <w:sz w:val="22"/>
          <w:szCs w:val="22"/>
        </w:rPr>
        <w:t>This section must be completed by divisions transferring funds under the ESSA transferability provision.</w:t>
      </w:r>
    </w:p>
    <w:p w14:paraId="1F0627CC" w14:textId="77777777" w:rsidR="00BB0781" w:rsidRPr="002B04F9" w:rsidRDefault="00BB0781" w:rsidP="005E6FCF">
      <w:pPr>
        <w:rPr>
          <w:rFonts w:eastAsia="Calibri"/>
          <w:sz w:val="22"/>
          <w:szCs w:val="22"/>
        </w:rPr>
      </w:pPr>
    </w:p>
    <w:p w14:paraId="11778556" w14:textId="230DE92F" w:rsidR="00CE34FF" w:rsidRPr="002B04F9" w:rsidRDefault="00CE34FF" w:rsidP="005E6FCF">
      <w:pPr>
        <w:rPr>
          <w:rFonts w:eastAsia="Calibri"/>
          <w:sz w:val="22"/>
          <w:szCs w:val="22"/>
        </w:rPr>
      </w:pPr>
      <w:r w:rsidRPr="002B04F9">
        <w:rPr>
          <w:rFonts w:eastAsia="Calibri"/>
          <w:sz w:val="22"/>
          <w:szCs w:val="22"/>
        </w:rPr>
        <w:t xml:space="preserve">Under ESSA, divisions may transfer funds from Title II, Part A, or Title IV, Part A, into: Title I, Part A; Title I, Part C; Title I, Part D; Title II, Part A; Title III, Part A; Title IV, Part A; or Title V, Part B. There is no limit to the amount of funding that can be transferred from Title II, Part A or Title IV, Part A. Please note that </w:t>
      </w:r>
      <w:r w:rsidR="00D22BF6" w:rsidRPr="002B04F9">
        <w:rPr>
          <w:rFonts w:eastAsia="Calibri"/>
          <w:sz w:val="22"/>
          <w:szCs w:val="22"/>
          <w:u w:val="single"/>
        </w:rPr>
        <w:t xml:space="preserve">an approved transfer request </w:t>
      </w:r>
      <w:r w:rsidRPr="002B04F9">
        <w:rPr>
          <w:rFonts w:eastAsia="Calibri"/>
          <w:sz w:val="22"/>
          <w:szCs w:val="22"/>
          <w:u w:val="single"/>
        </w:rPr>
        <w:t>is required to transfer funds</w:t>
      </w:r>
      <w:r w:rsidRPr="002B04F9">
        <w:rPr>
          <w:rFonts w:eastAsia="Calibri"/>
          <w:sz w:val="22"/>
          <w:szCs w:val="22"/>
        </w:rPr>
        <w:t xml:space="preserve">.  The </w:t>
      </w:r>
      <w:hyperlink r:id="rId19" w:history="1">
        <w:r w:rsidRPr="002B04F9">
          <w:rPr>
            <w:rStyle w:val="Hyperlink"/>
            <w:rFonts w:eastAsia="Calibri"/>
            <w:sz w:val="22"/>
            <w:szCs w:val="22"/>
          </w:rPr>
          <w:t>transfer request form</w:t>
        </w:r>
      </w:hyperlink>
      <w:r w:rsidRPr="002B04F9">
        <w:rPr>
          <w:rFonts w:eastAsia="Calibri"/>
          <w:sz w:val="22"/>
          <w:szCs w:val="22"/>
          <w:u w:val="single"/>
        </w:rPr>
        <w:t xml:space="preserve"> </w:t>
      </w:r>
      <w:r w:rsidRPr="002B04F9">
        <w:rPr>
          <w:rFonts w:eastAsia="Calibri"/>
          <w:sz w:val="22"/>
          <w:szCs w:val="22"/>
        </w:rPr>
        <w:t xml:space="preserve">and </w:t>
      </w:r>
      <w:r w:rsidRPr="00CD338D">
        <w:rPr>
          <w:rFonts w:eastAsia="Calibri"/>
          <w:sz w:val="22"/>
          <w:szCs w:val="22"/>
        </w:rPr>
        <w:t>instructions</w:t>
      </w:r>
      <w:r w:rsidRPr="002B04F9">
        <w:rPr>
          <w:rFonts w:eastAsia="Calibri"/>
          <w:sz w:val="22"/>
          <w:szCs w:val="22"/>
        </w:rPr>
        <w:t xml:space="preserve"> are on the transferability webpage.</w:t>
      </w:r>
    </w:p>
    <w:p w14:paraId="3142EDCA" w14:textId="77777777" w:rsidR="00CE34FF" w:rsidRPr="002B04F9" w:rsidRDefault="00CE34FF" w:rsidP="005E6FCF">
      <w:pPr>
        <w:rPr>
          <w:rFonts w:eastAsia="Calibri"/>
          <w:sz w:val="22"/>
          <w:szCs w:val="22"/>
        </w:rPr>
      </w:pPr>
    </w:p>
    <w:p w14:paraId="54852E81" w14:textId="77777777" w:rsidR="00AC6D65" w:rsidRDefault="00CE34FF" w:rsidP="005E6FCF">
      <w:pPr>
        <w:rPr>
          <w:rFonts w:eastAsia="Calibri"/>
          <w:sz w:val="22"/>
          <w:szCs w:val="22"/>
        </w:rPr>
      </w:pPr>
      <w:r w:rsidRPr="002B04F9">
        <w:rPr>
          <w:rFonts w:eastAsia="Calibri"/>
          <w:sz w:val="22"/>
          <w:szCs w:val="22"/>
        </w:rPr>
        <w:t xml:space="preserve">Excluding </w:t>
      </w:r>
      <w:proofErr w:type="gramStart"/>
      <w:r w:rsidRPr="002B04F9">
        <w:rPr>
          <w:rFonts w:eastAsia="Calibri"/>
          <w:sz w:val="22"/>
          <w:szCs w:val="22"/>
        </w:rPr>
        <w:t>Title</w:t>
      </w:r>
      <w:proofErr w:type="gramEnd"/>
      <w:r w:rsidRPr="002B04F9">
        <w:rPr>
          <w:rFonts w:eastAsia="Calibri"/>
          <w:sz w:val="22"/>
          <w:szCs w:val="22"/>
        </w:rPr>
        <w:t xml:space="preserve"> I, Part D, and Title V, Part B, each program covered by the transferability is subject to the equitable services requirements under Title I or VIII, which may not be waived. Before a division may transfer funds </w:t>
      </w:r>
      <w:r w:rsidRPr="002B04F9">
        <w:rPr>
          <w:rFonts w:eastAsia="Calibri"/>
          <w:sz w:val="22"/>
          <w:szCs w:val="22"/>
          <w:u w:val="single"/>
        </w:rPr>
        <w:t>from</w:t>
      </w:r>
      <w:r w:rsidRPr="002B04F9">
        <w:rPr>
          <w:rFonts w:eastAsia="Calibri"/>
          <w:sz w:val="22"/>
          <w:szCs w:val="22"/>
        </w:rPr>
        <w:t xml:space="preserve"> a program subject to equitable services requirements, it must engage in timely and meaningful consultation with appropriate private school officials and complete the affirmation of </w:t>
      </w:r>
    </w:p>
    <w:p w14:paraId="3F72B0B5" w14:textId="77777777" w:rsidR="00AC6D65" w:rsidRDefault="00AC6D65" w:rsidP="005E6FCF">
      <w:pPr>
        <w:rPr>
          <w:rFonts w:eastAsia="Calibri"/>
          <w:sz w:val="22"/>
          <w:szCs w:val="22"/>
        </w:rPr>
      </w:pPr>
    </w:p>
    <w:p w14:paraId="0BA5AA75" w14:textId="350C00A6" w:rsidR="00E377BD" w:rsidRDefault="00CE34FF" w:rsidP="005E6FCF">
      <w:pPr>
        <w:rPr>
          <w:rFonts w:eastAsia="Calibri"/>
          <w:sz w:val="22"/>
          <w:szCs w:val="22"/>
        </w:rPr>
      </w:pPr>
      <w:r w:rsidRPr="002B04F9">
        <w:rPr>
          <w:rFonts w:eastAsia="Calibri"/>
          <w:sz w:val="22"/>
          <w:szCs w:val="22"/>
        </w:rPr>
        <w:t xml:space="preserve">consultation for transferability to be submitted with the </w:t>
      </w:r>
      <w:hyperlink r:id="rId20" w:history="1">
        <w:r w:rsidRPr="002B04F9">
          <w:rPr>
            <w:rStyle w:val="Hyperlink"/>
            <w:rFonts w:eastAsia="Calibri"/>
            <w:sz w:val="22"/>
            <w:szCs w:val="22"/>
          </w:rPr>
          <w:t>transfer request form</w:t>
        </w:r>
      </w:hyperlink>
      <w:r w:rsidRPr="002B04F9">
        <w:rPr>
          <w:rFonts w:eastAsia="Calibri"/>
          <w:sz w:val="22"/>
          <w:szCs w:val="22"/>
        </w:rPr>
        <w:t xml:space="preserve">.  With respect to the transferred funds, the division must provide private school students and teachers equitable services under </w:t>
      </w:r>
    </w:p>
    <w:p w14:paraId="3B001DCE" w14:textId="77777777" w:rsidR="00E377BD" w:rsidRDefault="00E377BD" w:rsidP="005E6FCF">
      <w:pPr>
        <w:rPr>
          <w:rFonts w:eastAsia="Calibri"/>
          <w:sz w:val="22"/>
          <w:szCs w:val="22"/>
        </w:rPr>
      </w:pPr>
    </w:p>
    <w:p w14:paraId="6B1B5011" w14:textId="6D88FA88" w:rsidR="00BB0781" w:rsidRPr="002B04F9" w:rsidRDefault="00CE34FF" w:rsidP="005E6FCF">
      <w:pPr>
        <w:rPr>
          <w:rFonts w:eastAsia="Calibri"/>
          <w:sz w:val="22"/>
          <w:szCs w:val="22"/>
        </w:rPr>
      </w:pPr>
      <w:r w:rsidRPr="002B04F9">
        <w:rPr>
          <w:rFonts w:eastAsia="Calibri"/>
          <w:sz w:val="22"/>
          <w:szCs w:val="22"/>
        </w:rPr>
        <w:t xml:space="preserve">the program(s) to which, and from which, the funds are transferred, based on the total amount of funds available to each program </w:t>
      </w:r>
      <w:r w:rsidRPr="002B04F9">
        <w:rPr>
          <w:rFonts w:eastAsia="Calibri"/>
          <w:sz w:val="22"/>
          <w:szCs w:val="22"/>
          <w:u w:val="single"/>
        </w:rPr>
        <w:t>after</w:t>
      </w:r>
      <w:r w:rsidRPr="002B04F9">
        <w:rPr>
          <w:rFonts w:eastAsia="Calibri"/>
          <w:sz w:val="22"/>
          <w:szCs w:val="22"/>
        </w:rPr>
        <w:t xml:space="preserve"> the transfer.</w:t>
      </w:r>
    </w:p>
    <w:p w14:paraId="11DB8BE6" w14:textId="77777777" w:rsidR="00BB0781" w:rsidRPr="002B04F9" w:rsidRDefault="00BB0781" w:rsidP="005E6FCF">
      <w:pPr>
        <w:rPr>
          <w:rFonts w:eastAsia="Calibri"/>
          <w:sz w:val="22"/>
          <w:szCs w:val="22"/>
        </w:rPr>
      </w:pPr>
    </w:p>
    <w:p w14:paraId="4A94D1F5" w14:textId="3EE47790" w:rsidR="004174D8" w:rsidRPr="002B04F9" w:rsidRDefault="00BB0781" w:rsidP="005E6FCF">
      <w:pPr>
        <w:pStyle w:val="BodyText2"/>
        <w:rPr>
          <w:rFonts w:eastAsia="Calibri"/>
          <w:szCs w:val="22"/>
        </w:rPr>
      </w:pPr>
      <w:r w:rsidRPr="002B04F9">
        <w:rPr>
          <w:rFonts w:eastAsia="Calibri"/>
          <w:szCs w:val="22"/>
        </w:rPr>
        <w:t xml:space="preserve">To complete the transferability tab, </w:t>
      </w:r>
      <w:r w:rsidR="004D1951" w:rsidRPr="002B04F9">
        <w:rPr>
          <w:rFonts w:eastAsia="Calibri"/>
          <w:szCs w:val="22"/>
        </w:rPr>
        <w:t>enter the amount budgeted in each object code on lines 11 through 33.  A green “</w:t>
      </w:r>
      <w:r w:rsidR="004D1951" w:rsidRPr="00C66176">
        <w:rPr>
          <w:rFonts w:eastAsia="Calibri"/>
          <w:color w:val="4F6228" w:themeColor="accent3" w:themeShade="80"/>
          <w:szCs w:val="22"/>
        </w:rPr>
        <w:t>Yes</w:t>
      </w:r>
      <w:r w:rsidR="004D1951" w:rsidRPr="002B04F9">
        <w:rPr>
          <w:rFonts w:eastAsia="Calibri"/>
          <w:szCs w:val="22"/>
        </w:rPr>
        <w:t>” will appear on line 40, “Does Budget Match Amount Transferred to Program?” if entered correctly. Provide an explanation of the uses of transferability funds in the program narrative section provided on the transferability tab.</w:t>
      </w:r>
    </w:p>
    <w:p w14:paraId="25851AAF" w14:textId="77777777" w:rsidR="004D1951" w:rsidRPr="002B04F9" w:rsidRDefault="004D1951" w:rsidP="005E6FCF">
      <w:pPr>
        <w:pStyle w:val="BodyText2"/>
        <w:rPr>
          <w:rFonts w:eastAsia="Calibri"/>
          <w:szCs w:val="22"/>
        </w:rPr>
      </w:pPr>
    </w:p>
    <w:p w14:paraId="5D88D1DB" w14:textId="6E4CE80A" w:rsidR="00D95A9C" w:rsidRPr="002B04F9" w:rsidRDefault="00EF6293" w:rsidP="005E6FCF">
      <w:pPr>
        <w:pStyle w:val="BodyText2"/>
        <w:rPr>
          <w:rFonts w:eastAsia="Calibri"/>
          <w:szCs w:val="22"/>
        </w:rPr>
      </w:pPr>
      <w:r w:rsidRPr="002B04F9">
        <w:rPr>
          <w:rFonts w:eastAsia="Calibri"/>
          <w:szCs w:val="22"/>
        </w:rPr>
        <w:t>Refer to the P</w:t>
      </w:r>
      <w:r w:rsidR="004174D8" w:rsidRPr="002B04F9">
        <w:rPr>
          <w:rFonts w:eastAsia="Calibri"/>
          <w:szCs w:val="22"/>
        </w:rPr>
        <w:t xml:space="preserve">rivate </w:t>
      </w:r>
      <w:r w:rsidRPr="002B04F9">
        <w:rPr>
          <w:rFonts w:eastAsia="Calibri"/>
          <w:szCs w:val="22"/>
        </w:rPr>
        <w:t>S</w:t>
      </w:r>
      <w:r w:rsidR="004174D8" w:rsidRPr="002B04F9">
        <w:rPr>
          <w:rFonts w:eastAsia="Calibri"/>
          <w:szCs w:val="22"/>
        </w:rPr>
        <w:t>chool</w:t>
      </w:r>
      <w:r w:rsidRPr="002B04F9">
        <w:rPr>
          <w:rFonts w:eastAsia="Calibri"/>
          <w:szCs w:val="22"/>
        </w:rPr>
        <w:t>s</w:t>
      </w:r>
      <w:r w:rsidR="004174D8" w:rsidRPr="002B04F9">
        <w:rPr>
          <w:rFonts w:eastAsia="Calibri"/>
          <w:szCs w:val="22"/>
        </w:rPr>
        <w:t xml:space="preserve"> tab to identify the additional value of services that will be provided to participating private schools </w:t>
      </w:r>
      <w:proofErr w:type="gramStart"/>
      <w:r w:rsidR="004174D8" w:rsidRPr="002B04F9">
        <w:rPr>
          <w:rFonts w:eastAsia="Calibri"/>
          <w:szCs w:val="22"/>
        </w:rPr>
        <w:t>as a result of</w:t>
      </w:r>
      <w:proofErr w:type="gramEnd"/>
      <w:r w:rsidR="004174D8" w:rsidRPr="002B04F9">
        <w:rPr>
          <w:rFonts w:eastAsia="Calibri"/>
          <w:szCs w:val="22"/>
        </w:rPr>
        <w:t xml:space="preserve"> Transferability funds. Adjust budget lines in Transferability budget tab to reflect this amount.</w:t>
      </w:r>
    </w:p>
    <w:p w14:paraId="176EAEA9" w14:textId="77777777" w:rsidR="00FE7396" w:rsidRPr="002B04F9" w:rsidRDefault="00FE7396" w:rsidP="005E6FCF">
      <w:pPr>
        <w:pStyle w:val="BodyText2"/>
        <w:rPr>
          <w:rFonts w:eastAsia="Calibri"/>
          <w:b/>
          <w:szCs w:val="22"/>
          <w:u w:val="single"/>
        </w:rPr>
      </w:pPr>
    </w:p>
    <w:p w14:paraId="29C91726" w14:textId="3CFD53E8" w:rsidR="001551F0" w:rsidRPr="002B04F9" w:rsidRDefault="001551F0" w:rsidP="005E6FCF">
      <w:pPr>
        <w:pStyle w:val="BodyText2"/>
        <w:rPr>
          <w:rFonts w:eastAsia="Calibri"/>
          <w:b/>
          <w:szCs w:val="22"/>
          <w:u w:val="single"/>
        </w:rPr>
      </w:pPr>
      <w:r w:rsidRPr="002B04F9">
        <w:rPr>
          <w:rFonts w:eastAsia="Calibri"/>
          <w:b/>
          <w:szCs w:val="22"/>
          <w:u w:val="single"/>
        </w:rPr>
        <w:t xml:space="preserve">H.  Detailed Budget Breakdown (Transferability Tab, Pages </w:t>
      </w:r>
      <w:r w:rsidR="00867759" w:rsidRPr="002B04F9">
        <w:rPr>
          <w:rFonts w:eastAsia="Calibri"/>
          <w:b/>
          <w:szCs w:val="22"/>
          <w:u w:val="single"/>
        </w:rPr>
        <w:t>24-30</w:t>
      </w:r>
      <w:r w:rsidRPr="002B04F9">
        <w:rPr>
          <w:rFonts w:eastAsia="Calibri"/>
          <w:b/>
          <w:szCs w:val="22"/>
          <w:u w:val="single"/>
        </w:rPr>
        <w:t>)</w:t>
      </w:r>
    </w:p>
    <w:p w14:paraId="65500902" w14:textId="6EF7F68A" w:rsidR="00DB012B" w:rsidRPr="002B04F9" w:rsidRDefault="00DB012B" w:rsidP="005E6FCF">
      <w:pPr>
        <w:pStyle w:val="BodyText2"/>
        <w:rPr>
          <w:rFonts w:eastAsia="Calibri"/>
          <w:szCs w:val="22"/>
        </w:rPr>
      </w:pPr>
      <w:r w:rsidRPr="002B04F9">
        <w:rPr>
          <w:rFonts w:eastAsia="Calibri"/>
          <w:szCs w:val="22"/>
        </w:rPr>
        <w:t xml:space="preserve">Provide a detailed explanation of the uses of transferability funds in the Detailed Budget Breakdown beginning on line </w:t>
      </w:r>
      <w:r w:rsidR="00867759" w:rsidRPr="002B04F9">
        <w:rPr>
          <w:rFonts w:eastAsia="Calibri"/>
          <w:szCs w:val="22"/>
        </w:rPr>
        <w:t>41</w:t>
      </w:r>
      <w:r w:rsidRPr="002B04F9">
        <w:rPr>
          <w:rFonts w:eastAsia="Calibri"/>
          <w:szCs w:val="22"/>
        </w:rPr>
        <w:t>.</w:t>
      </w:r>
    </w:p>
    <w:p w14:paraId="664A3EA4" w14:textId="43254878" w:rsidR="00B241C3" w:rsidRPr="002B04F9" w:rsidRDefault="00B241C3" w:rsidP="005E6FCF">
      <w:pPr>
        <w:pStyle w:val="BodyText2"/>
        <w:numPr>
          <w:ilvl w:val="0"/>
          <w:numId w:val="48"/>
        </w:numPr>
        <w:rPr>
          <w:color w:val="000000" w:themeColor="text1"/>
        </w:rPr>
      </w:pPr>
      <w:r w:rsidRPr="002B04F9">
        <w:rPr>
          <w:color w:val="000000" w:themeColor="text1"/>
        </w:rPr>
        <w:t>The program budget must reflect the additional resources needed to ach</w:t>
      </w:r>
      <w:r w:rsidR="0094570D" w:rsidRPr="002B04F9">
        <w:rPr>
          <w:color w:val="000000" w:themeColor="text1"/>
        </w:rPr>
        <w:t>ieve the measurable objectives for Title II, Part A. (the receiving fund).</w:t>
      </w:r>
      <w:r w:rsidRPr="002B04F9">
        <w:rPr>
          <w:color w:val="000000" w:themeColor="text1"/>
        </w:rPr>
        <w:t xml:space="preserve"> </w:t>
      </w:r>
    </w:p>
    <w:p w14:paraId="4952156F" w14:textId="114CE714" w:rsidR="00B241C3" w:rsidRPr="002B04F9" w:rsidRDefault="00B241C3" w:rsidP="005E6FCF">
      <w:pPr>
        <w:pStyle w:val="BodyText2"/>
        <w:numPr>
          <w:ilvl w:val="0"/>
          <w:numId w:val="48"/>
        </w:numPr>
        <w:rPr>
          <w:color w:val="000000" w:themeColor="text1"/>
        </w:rPr>
      </w:pPr>
      <w:r w:rsidRPr="002B04F9">
        <w:rPr>
          <w:color w:val="000000" w:themeColor="text1"/>
        </w:rPr>
        <w:t>All items included in the budget MUST be outlined in the measurable objecti</w:t>
      </w:r>
      <w:r w:rsidR="00DB012B" w:rsidRPr="002B04F9">
        <w:rPr>
          <w:color w:val="000000" w:themeColor="text1"/>
        </w:rPr>
        <w:t xml:space="preserve">ves section of the application and described in the </w:t>
      </w:r>
      <w:hyperlink r:id="rId21" w:history="1">
        <w:r w:rsidR="00DB012B" w:rsidRPr="002B04F9">
          <w:rPr>
            <w:rStyle w:val="Hyperlink"/>
          </w:rPr>
          <w:t>Transferability request form</w:t>
        </w:r>
      </w:hyperlink>
      <w:r w:rsidR="00DB012B" w:rsidRPr="002B04F9">
        <w:rPr>
          <w:color w:val="000000" w:themeColor="text1"/>
        </w:rPr>
        <w:t>.</w:t>
      </w:r>
    </w:p>
    <w:p w14:paraId="5D15B87D" w14:textId="17D3BF3D" w:rsidR="00734502" w:rsidRPr="002B04F9" w:rsidRDefault="00B241C3" w:rsidP="00B863B9">
      <w:pPr>
        <w:pStyle w:val="BodyText2"/>
        <w:numPr>
          <w:ilvl w:val="0"/>
          <w:numId w:val="48"/>
        </w:numPr>
        <w:rPr>
          <w:color w:val="000000" w:themeColor="text1"/>
        </w:rPr>
      </w:pPr>
      <w:r w:rsidRPr="002B04F9">
        <w:rPr>
          <w:color w:val="000000" w:themeColor="text1"/>
        </w:rPr>
        <w:t>The applicable detail budget breakdown sheets must be completed.</w:t>
      </w:r>
    </w:p>
    <w:p w14:paraId="2C977540" w14:textId="1A537AE2" w:rsidR="00B241C3" w:rsidRPr="002B04F9" w:rsidRDefault="00B241C3" w:rsidP="005E6FCF">
      <w:pPr>
        <w:pStyle w:val="BodyText2"/>
        <w:numPr>
          <w:ilvl w:val="0"/>
          <w:numId w:val="48"/>
        </w:numPr>
        <w:rPr>
          <w:color w:val="000000" w:themeColor="text1"/>
        </w:rPr>
      </w:pPr>
      <w:r w:rsidRPr="002B04F9">
        <w:rPr>
          <w:color w:val="000000" w:themeColor="text1"/>
        </w:rPr>
        <w:t xml:space="preserve">The “Expenditure Accounts Description” </w:t>
      </w:r>
      <w:r w:rsidR="00867759" w:rsidRPr="002B04F9">
        <w:rPr>
          <w:color w:val="000000" w:themeColor="text1"/>
        </w:rPr>
        <w:t xml:space="preserve">tab </w:t>
      </w:r>
      <w:r w:rsidRPr="002B04F9">
        <w:rPr>
          <w:color w:val="000000" w:themeColor="text1"/>
        </w:rPr>
        <w:t xml:space="preserve">provides definitions for the object codes.  Please review carefully before completing this section. </w:t>
      </w:r>
    </w:p>
    <w:p w14:paraId="5F8AAFCD" w14:textId="77777777" w:rsidR="00867759" w:rsidRPr="002B04F9" w:rsidRDefault="00867759" w:rsidP="005E6FCF">
      <w:pPr>
        <w:pStyle w:val="Heading3"/>
        <w:jc w:val="left"/>
        <w:rPr>
          <w:color w:val="000000" w:themeColor="text1"/>
          <w:sz w:val="22"/>
          <w:szCs w:val="22"/>
          <w:u w:val="single"/>
        </w:rPr>
      </w:pPr>
    </w:p>
    <w:p w14:paraId="6037B496" w14:textId="7E462F48" w:rsidR="00C94224" w:rsidRPr="002B04F9" w:rsidRDefault="00801312" w:rsidP="005E6FCF">
      <w:pPr>
        <w:pStyle w:val="Heading3"/>
        <w:jc w:val="left"/>
        <w:rPr>
          <w:color w:val="000000" w:themeColor="text1"/>
        </w:rPr>
      </w:pPr>
      <w:r w:rsidRPr="002B04F9">
        <w:rPr>
          <w:color w:val="000000" w:themeColor="text1"/>
          <w:sz w:val="22"/>
          <w:szCs w:val="22"/>
          <w:u w:val="single"/>
        </w:rPr>
        <w:t>I</w:t>
      </w:r>
      <w:r w:rsidR="00C94224" w:rsidRPr="002B04F9">
        <w:rPr>
          <w:color w:val="000000" w:themeColor="text1"/>
          <w:sz w:val="22"/>
          <w:szCs w:val="22"/>
          <w:u w:val="single"/>
        </w:rPr>
        <w:t xml:space="preserve">. </w:t>
      </w:r>
      <w:r w:rsidR="006D3361" w:rsidRPr="002B04F9">
        <w:rPr>
          <w:color w:val="000000" w:themeColor="text1"/>
          <w:sz w:val="22"/>
          <w:szCs w:val="22"/>
          <w:u w:val="single"/>
        </w:rPr>
        <w:t xml:space="preserve"> </w:t>
      </w:r>
      <w:r w:rsidR="001667CB" w:rsidRPr="002B04F9">
        <w:rPr>
          <w:color w:val="000000" w:themeColor="text1"/>
          <w:sz w:val="22"/>
          <w:szCs w:val="22"/>
          <w:u w:val="single"/>
        </w:rPr>
        <w:t>Teacher Quality</w:t>
      </w:r>
      <w:r w:rsidR="007D7989" w:rsidRPr="002B04F9">
        <w:rPr>
          <w:color w:val="000000" w:themeColor="text1"/>
          <w:sz w:val="22"/>
          <w:szCs w:val="22"/>
          <w:u w:val="single"/>
        </w:rPr>
        <w:t xml:space="preserve"> Tab</w:t>
      </w:r>
      <w:r w:rsidR="007D7989" w:rsidRPr="002B04F9">
        <w:rPr>
          <w:color w:val="000000" w:themeColor="text1"/>
          <w:u w:val="single"/>
        </w:rPr>
        <w:t xml:space="preserve"> </w:t>
      </w:r>
      <w:r w:rsidR="00BB0781" w:rsidRPr="002B04F9">
        <w:rPr>
          <w:color w:val="000000" w:themeColor="text1"/>
          <w:u w:val="single"/>
        </w:rPr>
        <w:t>(</w:t>
      </w:r>
      <w:r w:rsidR="007D7989" w:rsidRPr="002B04F9">
        <w:rPr>
          <w:color w:val="000000" w:themeColor="text1"/>
          <w:u w:val="single"/>
        </w:rPr>
        <w:t>Page</w:t>
      </w:r>
      <w:r w:rsidR="00C03933" w:rsidRPr="002B04F9">
        <w:rPr>
          <w:color w:val="000000" w:themeColor="text1"/>
          <w:u w:val="single"/>
        </w:rPr>
        <w:t>s</w:t>
      </w:r>
      <w:r w:rsidR="007D7989" w:rsidRPr="002B04F9">
        <w:rPr>
          <w:color w:val="000000" w:themeColor="text1"/>
          <w:u w:val="single"/>
        </w:rPr>
        <w:t xml:space="preserve"> </w:t>
      </w:r>
      <w:r w:rsidR="008137D6" w:rsidRPr="002B04F9">
        <w:rPr>
          <w:color w:val="000000" w:themeColor="text1"/>
          <w:u w:val="single"/>
        </w:rPr>
        <w:t>3</w:t>
      </w:r>
      <w:r w:rsidR="00867759" w:rsidRPr="002B04F9">
        <w:rPr>
          <w:color w:val="000000" w:themeColor="text1"/>
          <w:u w:val="single"/>
        </w:rPr>
        <w:t>1</w:t>
      </w:r>
      <w:r w:rsidR="000272E9" w:rsidRPr="002B04F9">
        <w:rPr>
          <w:color w:val="000000" w:themeColor="text1"/>
          <w:u w:val="single"/>
        </w:rPr>
        <w:t>-3</w:t>
      </w:r>
      <w:r w:rsidR="00867759" w:rsidRPr="002B04F9">
        <w:rPr>
          <w:color w:val="000000" w:themeColor="text1"/>
          <w:u w:val="single"/>
        </w:rPr>
        <w:t>2</w:t>
      </w:r>
      <w:r w:rsidR="00BB0781" w:rsidRPr="002B04F9">
        <w:rPr>
          <w:color w:val="000000" w:themeColor="text1"/>
          <w:u w:val="single"/>
        </w:rPr>
        <w:t>)</w:t>
      </w:r>
    </w:p>
    <w:p w14:paraId="5CAC60F4" w14:textId="6DA2D318" w:rsidR="00CC07C3" w:rsidRPr="002B04F9" w:rsidRDefault="00CC07C3" w:rsidP="005E6FCF">
      <w:pPr>
        <w:numPr>
          <w:ilvl w:val="0"/>
          <w:numId w:val="16"/>
        </w:numPr>
        <w:tabs>
          <w:tab w:val="clear" w:pos="1080"/>
          <w:tab w:val="num" w:pos="720"/>
        </w:tabs>
        <w:ind w:left="720"/>
        <w:rPr>
          <w:color w:val="000000"/>
          <w:sz w:val="22"/>
          <w:szCs w:val="22"/>
        </w:rPr>
      </w:pPr>
      <w:r w:rsidRPr="002B04F9">
        <w:rPr>
          <w:b/>
          <w:color w:val="000000"/>
          <w:sz w:val="22"/>
          <w:szCs w:val="22"/>
        </w:rPr>
        <w:t xml:space="preserve">Section A: (Optional) NOTE: </w:t>
      </w:r>
      <w:r w:rsidRPr="002B04F9">
        <w:rPr>
          <w:color w:val="000000"/>
          <w:sz w:val="22"/>
          <w:szCs w:val="22"/>
        </w:rPr>
        <w:t>Under USED’s</w:t>
      </w:r>
      <w:r w:rsidRPr="002B04F9">
        <w:rPr>
          <w:color w:val="000000"/>
          <w:sz w:val="22"/>
        </w:rPr>
        <w:t xml:space="preserve"> authority to ensure an orderly transition from ESEA to ESSA, states are no longer required to report highly qualified teacher (HQT) data.  Instead, states may rely on licensure and other professional requirements for teachers.  However, for program planning purposes for the </w:t>
      </w:r>
      <w:r w:rsidR="00E4106D">
        <w:rPr>
          <w:color w:val="000000"/>
          <w:sz w:val="22"/>
        </w:rPr>
        <w:t>2024</w:t>
      </w:r>
      <w:r w:rsidRPr="002B04F9">
        <w:rPr>
          <w:color w:val="000000"/>
          <w:sz w:val="22"/>
        </w:rPr>
        <w:t>-</w:t>
      </w:r>
      <w:r w:rsidR="00E4106D">
        <w:rPr>
          <w:color w:val="000000"/>
          <w:sz w:val="22"/>
        </w:rPr>
        <w:t>2025</w:t>
      </w:r>
      <w:r w:rsidRPr="002B04F9">
        <w:rPr>
          <w:color w:val="000000"/>
          <w:sz w:val="22"/>
        </w:rPr>
        <w:t xml:space="preserve"> school year, the following information on teacher quality from the </w:t>
      </w:r>
      <w:r w:rsidR="00E4106D">
        <w:rPr>
          <w:color w:val="000000"/>
          <w:sz w:val="22"/>
        </w:rPr>
        <w:t>2023</w:t>
      </w:r>
      <w:r w:rsidRPr="002B04F9">
        <w:rPr>
          <w:color w:val="000000"/>
          <w:sz w:val="22"/>
        </w:rPr>
        <w:t>-</w:t>
      </w:r>
      <w:r w:rsidR="00E4106D">
        <w:rPr>
          <w:color w:val="000000"/>
          <w:sz w:val="22"/>
        </w:rPr>
        <w:t>2024</w:t>
      </w:r>
      <w:r w:rsidR="007B5302" w:rsidRPr="002B04F9">
        <w:rPr>
          <w:color w:val="000000"/>
          <w:sz w:val="22"/>
        </w:rPr>
        <w:t xml:space="preserve"> </w:t>
      </w:r>
      <w:r w:rsidR="00D93286" w:rsidRPr="002B04F9">
        <w:rPr>
          <w:color w:val="000000"/>
          <w:sz w:val="22"/>
        </w:rPr>
        <w:t xml:space="preserve">and </w:t>
      </w:r>
      <w:r w:rsidR="00E4106D">
        <w:rPr>
          <w:color w:val="000000"/>
          <w:sz w:val="22"/>
        </w:rPr>
        <w:t>2022</w:t>
      </w:r>
      <w:r w:rsidR="00D93286" w:rsidRPr="002B04F9">
        <w:rPr>
          <w:color w:val="000000"/>
          <w:sz w:val="22"/>
        </w:rPr>
        <w:t>-</w:t>
      </w:r>
      <w:r w:rsidR="00E4106D">
        <w:rPr>
          <w:color w:val="000000"/>
          <w:sz w:val="22"/>
        </w:rPr>
        <w:t>2023</w:t>
      </w:r>
      <w:r w:rsidRPr="002B04F9">
        <w:rPr>
          <w:color w:val="000000"/>
          <w:sz w:val="22"/>
        </w:rPr>
        <w:t xml:space="preserve"> data collection</w:t>
      </w:r>
      <w:r w:rsidR="00D93286" w:rsidRPr="002B04F9">
        <w:rPr>
          <w:color w:val="000000"/>
          <w:sz w:val="22"/>
        </w:rPr>
        <w:t>s</w:t>
      </w:r>
      <w:r w:rsidRPr="002B04F9">
        <w:rPr>
          <w:color w:val="000000"/>
          <w:sz w:val="22"/>
        </w:rPr>
        <w:t xml:space="preserve"> may assist school divisions.  These data may be obtained from the most recent verified Instructional Personnel and Licensure Report (IPAL), which provides division results on the licensure and endorsement status of instructional personnel</w:t>
      </w:r>
      <w:r w:rsidR="00D93286" w:rsidRPr="002B04F9">
        <w:rPr>
          <w:color w:val="000000"/>
          <w:sz w:val="22"/>
        </w:rPr>
        <w:t>.</w:t>
      </w:r>
      <w:r w:rsidRPr="002B04F9">
        <w:rPr>
          <w:strike/>
          <w:color w:val="000000"/>
          <w:sz w:val="22"/>
        </w:rPr>
        <w:t xml:space="preserve"> </w:t>
      </w:r>
    </w:p>
    <w:p w14:paraId="5C10618E" w14:textId="77777777" w:rsidR="00CC07C3" w:rsidRPr="002B04F9" w:rsidRDefault="00CC07C3" w:rsidP="005E6FCF">
      <w:pPr>
        <w:numPr>
          <w:ilvl w:val="0"/>
          <w:numId w:val="16"/>
        </w:numPr>
        <w:tabs>
          <w:tab w:val="clear" w:pos="1080"/>
          <w:tab w:val="num" w:pos="720"/>
        </w:tabs>
        <w:ind w:left="720"/>
        <w:rPr>
          <w:color w:val="000000"/>
          <w:sz w:val="22"/>
        </w:rPr>
      </w:pPr>
      <w:r w:rsidRPr="002B04F9">
        <w:rPr>
          <w:b/>
          <w:color w:val="000000"/>
          <w:sz w:val="22"/>
        </w:rPr>
        <w:t xml:space="preserve">Section B: (Required) Equitable Distribution of Qualified, Experienced and Effective Teachers: </w:t>
      </w:r>
      <w:r w:rsidRPr="002B04F9">
        <w:rPr>
          <w:color w:val="000000"/>
          <w:sz w:val="22"/>
          <w:szCs w:val="22"/>
        </w:rPr>
        <w:t>The school division should fill out this section by describing how the division assures that students in high poverty and/or high minority Title I schools are not taught by inexperienced, out of field or ineffective teachers at a higher rate than students in other schools.</w:t>
      </w:r>
    </w:p>
    <w:p w14:paraId="7B7B7A85" w14:textId="77777777" w:rsidR="00CC07C3" w:rsidRPr="002B04F9" w:rsidRDefault="00CC07C3" w:rsidP="005E6FCF">
      <w:pPr>
        <w:numPr>
          <w:ilvl w:val="1"/>
          <w:numId w:val="16"/>
        </w:numPr>
        <w:rPr>
          <w:color w:val="000000"/>
          <w:sz w:val="22"/>
        </w:rPr>
      </w:pPr>
      <w:r w:rsidRPr="002B04F9">
        <w:rPr>
          <w:b/>
          <w:color w:val="000000"/>
          <w:sz w:val="22"/>
        </w:rPr>
        <w:t>Part 1:</w:t>
      </w:r>
      <w:r w:rsidRPr="002B04F9">
        <w:rPr>
          <w:color w:val="000000"/>
          <w:sz w:val="22"/>
        </w:rPr>
        <w:t xml:space="preserve"> From data analysis, outline any identified gaps between Title I and non-Title I school related to teacher licensure/endorsements; teacher experience; and educator </w:t>
      </w:r>
      <w:proofErr w:type="gramStart"/>
      <w:r w:rsidRPr="002B04F9">
        <w:rPr>
          <w:color w:val="000000"/>
          <w:sz w:val="22"/>
        </w:rPr>
        <w:t>effectiveness</w:t>
      </w:r>
      <w:proofErr w:type="gramEnd"/>
    </w:p>
    <w:p w14:paraId="4B183CC6" w14:textId="77777777" w:rsidR="00CC07C3" w:rsidRPr="002B04F9" w:rsidRDefault="00CC07C3" w:rsidP="005E6FCF">
      <w:pPr>
        <w:numPr>
          <w:ilvl w:val="1"/>
          <w:numId w:val="16"/>
        </w:numPr>
        <w:rPr>
          <w:color w:val="000000"/>
          <w:sz w:val="22"/>
        </w:rPr>
      </w:pPr>
      <w:r w:rsidRPr="002B04F9">
        <w:rPr>
          <w:b/>
          <w:color w:val="000000"/>
          <w:sz w:val="22"/>
        </w:rPr>
        <w:t>Part 2:</w:t>
      </w:r>
      <w:r w:rsidRPr="002B04F9">
        <w:rPr>
          <w:color w:val="000000"/>
          <w:sz w:val="22"/>
        </w:rPr>
        <w:t xml:space="preserve"> Describe strategies to be used to address identified teacher licensure/endorsement issues. (e.g., Praxis, coursework, teacher residency programs, etc.)</w:t>
      </w:r>
    </w:p>
    <w:p w14:paraId="7BE04687" w14:textId="77777777" w:rsidR="00CC07C3" w:rsidRPr="002B04F9" w:rsidRDefault="00CC07C3" w:rsidP="005E6FCF">
      <w:pPr>
        <w:numPr>
          <w:ilvl w:val="1"/>
          <w:numId w:val="16"/>
        </w:numPr>
        <w:rPr>
          <w:color w:val="000000"/>
          <w:sz w:val="22"/>
        </w:rPr>
      </w:pPr>
      <w:r w:rsidRPr="002B04F9">
        <w:rPr>
          <w:b/>
          <w:color w:val="000000"/>
          <w:sz w:val="22"/>
        </w:rPr>
        <w:t>Part 3:</w:t>
      </w:r>
      <w:r w:rsidRPr="002B04F9">
        <w:rPr>
          <w:color w:val="000000"/>
          <w:sz w:val="22"/>
        </w:rPr>
        <w:t xml:space="preserve"> Describe strategies to support inexperienced teachers. (e.g., mentoring; coaching; targeted professional development, etc.)</w:t>
      </w:r>
    </w:p>
    <w:p w14:paraId="65FE97A3" w14:textId="77777777" w:rsidR="00CC07C3" w:rsidRPr="002B04F9" w:rsidRDefault="00CC07C3" w:rsidP="005E6FCF">
      <w:pPr>
        <w:numPr>
          <w:ilvl w:val="1"/>
          <w:numId w:val="16"/>
        </w:numPr>
        <w:rPr>
          <w:color w:val="000000"/>
          <w:sz w:val="22"/>
        </w:rPr>
      </w:pPr>
      <w:r w:rsidRPr="002B04F9">
        <w:rPr>
          <w:b/>
          <w:color w:val="000000"/>
          <w:sz w:val="22"/>
        </w:rPr>
        <w:t>Part 4:</w:t>
      </w:r>
      <w:r w:rsidRPr="002B04F9">
        <w:rPr>
          <w:color w:val="000000"/>
          <w:sz w:val="22"/>
        </w:rPr>
        <w:t xml:space="preserve"> Describe strategies to improve effectiveness of teachers, particularly related to poverty, diversity, cultural competency, English Learners, exceptional learners, etc.)</w:t>
      </w:r>
    </w:p>
    <w:p w14:paraId="3717DFDA" w14:textId="77777777" w:rsidR="00C94224" w:rsidRPr="002B04F9" w:rsidRDefault="00B8196B" w:rsidP="005E6FCF">
      <w:pPr>
        <w:ind w:left="720"/>
        <w:rPr>
          <w:color w:val="000000" w:themeColor="text1"/>
          <w:sz w:val="22"/>
        </w:rPr>
      </w:pPr>
      <w:r w:rsidRPr="002B04F9">
        <w:rPr>
          <w:color w:val="000000" w:themeColor="text1"/>
          <w:sz w:val="22"/>
        </w:rPr>
        <w:t xml:space="preserve"> </w:t>
      </w:r>
    </w:p>
    <w:p w14:paraId="4B8720A2" w14:textId="77777777" w:rsidR="00221650" w:rsidRPr="002B04F9" w:rsidRDefault="00221650">
      <w:pPr>
        <w:rPr>
          <w:b/>
          <w:snapToGrid w:val="0"/>
          <w:color w:val="000000" w:themeColor="text1"/>
          <w:sz w:val="22"/>
          <w:szCs w:val="22"/>
          <w:u w:val="single"/>
        </w:rPr>
      </w:pPr>
      <w:r w:rsidRPr="002B04F9">
        <w:rPr>
          <w:color w:val="000000" w:themeColor="text1"/>
          <w:sz w:val="22"/>
          <w:szCs w:val="22"/>
          <w:u w:val="single"/>
        </w:rPr>
        <w:br w:type="page"/>
      </w:r>
    </w:p>
    <w:p w14:paraId="1CBF5D4F" w14:textId="77777777" w:rsidR="00221650" w:rsidRPr="002B04F9" w:rsidRDefault="00221650" w:rsidP="005E6FCF">
      <w:pPr>
        <w:pStyle w:val="Heading3"/>
        <w:jc w:val="left"/>
        <w:rPr>
          <w:color w:val="000000" w:themeColor="text1"/>
          <w:sz w:val="22"/>
          <w:szCs w:val="22"/>
          <w:u w:val="single"/>
        </w:rPr>
      </w:pPr>
    </w:p>
    <w:p w14:paraId="29F388A3" w14:textId="58F07B84" w:rsidR="00C94224" w:rsidRPr="002B04F9" w:rsidRDefault="00801312" w:rsidP="005E6FCF">
      <w:pPr>
        <w:pStyle w:val="Heading3"/>
        <w:jc w:val="left"/>
        <w:rPr>
          <w:color w:val="000000" w:themeColor="text1"/>
          <w:sz w:val="22"/>
          <w:szCs w:val="22"/>
          <w:u w:val="single"/>
        </w:rPr>
      </w:pPr>
      <w:r w:rsidRPr="002B04F9">
        <w:rPr>
          <w:color w:val="000000" w:themeColor="text1"/>
          <w:sz w:val="22"/>
          <w:szCs w:val="22"/>
          <w:u w:val="single"/>
        </w:rPr>
        <w:t>J</w:t>
      </w:r>
      <w:r w:rsidR="00C94224" w:rsidRPr="002B04F9">
        <w:rPr>
          <w:color w:val="000000" w:themeColor="text1"/>
          <w:sz w:val="22"/>
          <w:szCs w:val="22"/>
          <w:u w:val="single"/>
        </w:rPr>
        <w:t>.</w:t>
      </w:r>
      <w:r w:rsidR="00396F12" w:rsidRPr="002B04F9">
        <w:rPr>
          <w:color w:val="000000" w:themeColor="text1"/>
          <w:sz w:val="22"/>
          <w:szCs w:val="22"/>
          <w:u w:val="single"/>
        </w:rPr>
        <w:t xml:space="preserve"> </w:t>
      </w:r>
      <w:r w:rsidR="006D3361" w:rsidRPr="002B04F9">
        <w:rPr>
          <w:color w:val="000000" w:themeColor="text1"/>
          <w:sz w:val="22"/>
          <w:szCs w:val="22"/>
          <w:u w:val="single"/>
        </w:rPr>
        <w:t xml:space="preserve"> </w:t>
      </w:r>
      <w:r w:rsidR="00C06C10" w:rsidRPr="002B04F9">
        <w:rPr>
          <w:color w:val="000000" w:themeColor="text1"/>
          <w:sz w:val="22"/>
          <w:szCs w:val="22"/>
          <w:u w:val="single"/>
        </w:rPr>
        <w:t xml:space="preserve">Private School Participation </w:t>
      </w:r>
      <w:r w:rsidR="007D7989" w:rsidRPr="002B04F9">
        <w:rPr>
          <w:color w:val="000000" w:themeColor="text1"/>
          <w:sz w:val="22"/>
          <w:szCs w:val="22"/>
          <w:u w:val="single"/>
        </w:rPr>
        <w:t>Worksheet</w:t>
      </w:r>
      <w:r w:rsidR="00C94224" w:rsidRPr="002B04F9">
        <w:rPr>
          <w:color w:val="000000" w:themeColor="text1"/>
          <w:sz w:val="22"/>
          <w:szCs w:val="22"/>
          <w:u w:val="single"/>
        </w:rPr>
        <w:t xml:space="preserve"> </w:t>
      </w:r>
      <w:r w:rsidR="00C06C10" w:rsidRPr="002B04F9">
        <w:rPr>
          <w:color w:val="000000" w:themeColor="text1"/>
          <w:sz w:val="22"/>
          <w:szCs w:val="22"/>
          <w:u w:val="single"/>
        </w:rPr>
        <w:t>(</w:t>
      </w:r>
      <w:r w:rsidR="007D7989" w:rsidRPr="002B04F9">
        <w:rPr>
          <w:color w:val="000000" w:themeColor="text1"/>
          <w:sz w:val="22"/>
          <w:szCs w:val="22"/>
          <w:u w:val="single"/>
        </w:rPr>
        <w:t>Private School Tab Page</w:t>
      </w:r>
      <w:r w:rsidR="00792636" w:rsidRPr="002B04F9">
        <w:rPr>
          <w:color w:val="000000" w:themeColor="text1"/>
          <w:sz w:val="22"/>
          <w:szCs w:val="22"/>
          <w:u w:val="single"/>
        </w:rPr>
        <w:t>s</w:t>
      </w:r>
      <w:r w:rsidR="00AA6C1D" w:rsidRPr="002B04F9">
        <w:rPr>
          <w:color w:val="000000" w:themeColor="text1"/>
          <w:sz w:val="22"/>
          <w:szCs w:val="22"/>
          <w:u w:val="single"/>
        </w:rPr>
        <w:t>,</w:t>
      </w:r>
      <w:r w:rsidR="007D7989" w:rsidRPr="002B04F9">
        <w:rPr>
          <w:color w:val="000000" w:themeColor="text1"/>
          <w:sz w:val="22"/>
          <w:szCs w:val="22"/>
          <w:u w:val="single"/>
        </w:rPr>
        <w:t xml:space="preserve"> </w:t>
      </w:r>
      <w:r w:rsidR="00867759" w:rsidRPr="002B04F9">
        <w:rPr>
          <w:color w:val="000000" w:themeColor="text1"/>
          <w:sz w:val="22"/>
          <w:szCs w:val="22"/>
          <w:u w:val="single"/>
        </w:rPr>
        <w:t>33-34</w:t>
      </w:r>
      <w:r w:rsidR="00C94224" w:rsidRPr="002B04F9">
        <w:rPr>
          <w:color w:val="000000" w:themeColor="text1"/>
          <w:sz w:val="22"/>
          <w:szCs w:val="22"/>
          <w:u w:val="single"/>
        </w:rPr>
        <w:t>)</w:t>
      </w:r>
    </w:p>
    <w:p w14:paraId="7ECD91E7" w14:textId="7C09ED57" w:rsidR="00B8196B" w:rsidRPr="00A00F70" w:rsidRDefault="006E0251" w:rsidP="005E6FCF">
      <w:pPr>
        <w:numPr>
          <w:ilvl w:val="0"/>
          <w:numId w:val="17"/>
        </w:numPr>
        <w:tabs>
          <w:tab w:val="clear" w:pos="1080"/>
          <w:tab w:val="num" w:pos="720"/>
        </w:tabs>
        <w:ind w:left="720"/>
        <w:rPr>
          <w:bCs/>
          <w:color w:val="000000" w:themeColor="text1"/>
          <w:sz w:val="22"/>
        </w:rPr>
      </w:pPr>
      <w:r w:rsidRPr="00A00F70">
        <w:rPr>
          <w:bCs/>
          <w:color w:val="000000" w:themeColor="text1"/>
          <w:sz w:val="22"/>
        </w:rPr>
        <w:t xml:space="preserve">All divisions must complete this section, indicating all eligible private schools located </w:t>
      </w:r>
      <w:r w:rsidRPr="00A00F70">
        <w:rPr>
          <w:b/>
          <w:bCs/>
          <w:color w:val="000000" w:themeColor="text1"/>
          <w:sz w:val="22"/>
        </w:rPr>
        <w:t>within the geographic boundaries</w:t>
      </w:r>
      <w:r w:rsidRPr="00A00F70">
        <w:rPr>
          <w:bCs/>
          <w:color w:val="000000" w:themeColor="text1"/>
          <w:sz w:val="22"/>
        </w:rPr>
        <w:t xml:space="preserve"> of the school division. Eligible private schools must be contacted annually and provided with the opportunity to engage in meaningful consultation regarding Title II, Part A, equitable services.  Details may be found in the non-regulatory guidance documents, </w:t>
      </w:r>
      <w:bookmarkStart w:id="0" w:name="_Hlk124506517"/>
      <w:r w:rsidR="00A00F70" w:rsidRPr="00A00F70">
        <w:fldChar w:fldCharType="begin"/>
      </w:r>
      <w:r w:rsidR="009A3CCD">
        <w:instrText>HYPERLINK "https://www2.ed.gov/policy/elsec/leg/essa/essaguidance160477.pdf"</w:instrText>
      </w:r>
      <w:r w:rsidR="00A00F70" w:rsidRPr="00A00F70">
        <w:fldChar w:fldCharType="separate"/>
      </w:r>
      <w:r w:rsidR="00B14102" w:rsidRPr="00A00F70">
        <w:rPr>
          <w:rStyle w:val="Hyperlink"/>
          <w:sz w:val="22"/>
          <w:szCs w:val="22"/>
        </w:rPr>
        <w:t>ESSA Fiscal Changes &amp; Equitable Services Guidance</w:t>
      </w:r>
      <w:r w:rsidR="00A00F70" w:rsidRPr="00A00F70">
        <w:rPr>
          <w:rStyle w:val="Hyperlink"/>
          <w:sz w:val="22"/>
          <w:szCs w:val="22"/>
        </w:rPr>
        <w:fldChar w:fldCharType="end"/>
      </w:r>
      <w:bookmarkEnd w:id="0"/>
      <w:r w:rsidR="00B14102" w:rsidRPr="00A00F70">
        <w:rPr>
          <w:sz w:val="22"/>
          <w:szCs w:val="22"/>
        </w:rPr>
        <w:t xml:space="preserve"> and </w:t>
      </w:r>
      <w:bookmarkStart w:id="1" w:name="_Hlk124506534"/>
      <w:r w:rsidR="00A00F70" w:rsidRPr="00A00F70">
        <w:fldChar w:fldCharType="begin"/>
      </w:r>
      <w:r w:rsidR="009A3CCD">
        <w:instrText>HYPERLINK "https://www2.ed.gov/policy/elsec/leg/essa/essatitleiinonregguidance10132016.pdf"</w:instrText>
      </w:r>
      <w:r w:rsidR="00A00F70" w:rsidRPr="00A00F70">
        <w:fldChar w:fldCharType="separate"/>
      </w:r>
      <w:r w:rsidR="00B14102" w:rsidRPr="00A00F70">
        <w:rPr>
          <w:rStyle w:val="Hyperlink"/>
          <w:sz w:val="22"/>
          <w:szCs w:val="22"/>
        </w:rPr>
        <w:t>ESSA Title II, Part A Guidance – Supporting Educators</w:t>
      </w:r>
      <w:r w:rsidR="00A00F70" w:rsidRPr="00A00F70">
        <w:rPr>
          <w:rStyle w:val="Hyperlink"/>
          <w:sz w:val="22"/>
          <w:szCs w:val="22"/>
        </w:rPr>
        <w:fldChar w:fldCharType="end"/>
      </w:r>
      <w:bookmarkEnd w:id="1"/>
      <w:r w:rsidR="00B14102" w:rsidRPr="00A00F70">
        <w:t>.</w:t>
      </w:r>
    </w:p>
    <w:p w14:paraId="2F635011" w14:textId="77777777" w:rsidR="00456F77" w:rsidRPr="002B04F9" w:rsidRDefault="00E903D5" w:rsidP="005E6FCF">
      <w:pPr>
        <w:numPr>
          <w:ilvl w:val="0"/>
          <w:numId w:val="17"/>
        </w:numPr>
        <w:tabs>
          <w:tab w:val="clear" w:pos="1080"/>
          <w:tab w:val="num" w:pos="720"/>
        </w:tabs>
        <w:ind w:left="720"/>
        <w:rPr>
          <w:bCs/>
          <w:color w:val="000000" w:themeColor="text1"/>
          <w:sz w:val="22"/>
        </w:rPr>
      </w:pPr>
      <w:r w:rsidRPr="002B04F9">
        <w:rPr>
          <w:b/>
          <w:bCs/>
          <w:color w:val="000000" w:themeColor="text1"/>
          <w:sz w:val="22"/>
        </w:rPr>
        <w:t>Step</w:t>
      </w:r>
      <w:r w:rsidR="00895D90" w:rsidRPr="002B04F9">
        <w:rPr>
          <w:b/>
          <w:bCs/>
          <w:color w:val="000000" w:themeColor="text1"/>
          <w:sz w:val="22"/>
        </w:rPr>
        <w:t xml:space="preserve"> 1:</w:t>
      </w:r>
      <w:r w:rsidR="00895D90" w:rsidRPr="002B04F9">
        <w:rPr>
          <w:bCs/>
          <w:color w:val="000000" w:themeColor="text1"/>
          <w:sz w:val="22"/>
        </w:rPr>
        <w:t xml:space="preserve"> C</w:t>
      </w:r>
      <w:r w:rsidR="00456F77" w:rsidRPr="002B04F9">
        <w:rPr>
          <w:bCs/>
          <w:color w:val="000000" w:themeColor="text1"/>
          <w:sz w:val="22"/>
        </w:rPr>
        <w:t>heck either “Yes” or “No” to indicate whether there are any private schools located within the boundaries of the school division</w:t>
      </w:r>
      <w:r w:rsidR="000A7CF4" w:rsidRPr="002B04F9">
        <w:rPr>
          <w:bCs/>
          <w:color w:val="000000" w:themeColor="text1"/>
          <w:sz w:val="22"/>
        </w:rPr>
        <w:t>.</w:t>
      </w:r>
      <w:r w:rsidR="00D42C5F" w:rsidRPr="002B04F9">
        <w:rPr>
          <w:bCs/>
          <w:color w:val="000000" w:themeColor="text1"/>
          <w:sz w:val="22"/>
        </w:rPr>
        <w:t xml:space="preserve"> If the answer is “No” then it is not necessary to complete the remainder of the page. </w:t>
      </w:r>
    </w:p>
    <w:p w14:paraId="10036D7A" w14:textId="445E38D1" w:rsidR="00D95A9C" w:rsidRPr="002B04F9" w:rsidRDefault="00E903D5" w:rsidP="005E6FCF">
      <w:pPr>
        <w:numPr>
          <w:ilvl w:val="0"/>
          <w:numId w:val="18"/>
        </w:numPr>
        <w:tabs>
          <w:tab w:val="clear" w:pos="1080"/>
          <w:tab w:val="num" w:pos="720"/>
        </w:tabs>
        <w:ind w:left="720"/>
        <w:rPr>
          <w:bCs/>
          <w:color w:val="000000" w:themeColor="text1"/>
          <w:sz w:val="22"/>
        </w:rPr>
      </w:pPr>
      <w:r w:rsidRPr="002B04F9">
        <w:rPr>
          <w:b/>
          <w:bCs/>
          <w:color w:val="000000" w:themeColor="text1"/>
          <w:sz w:val="22"/>
        </w:rPr>
        <w:t>Step</w:t>
      </w:r>
      <w:r w:rsidR="00895D90" w:rsidRPr="002B04F9">
        <w:rPr>
          <w:b/>
          <w:bCs/>
          <w:color w:val="000000" w:themeColor="text1"/>
          <w:sz w:val="22"/>
        </w:rPr>
        <w:t xml:space="preserve"> 2:</w:t>
      </w:r>
      <w:r w:rsidR="00895D90" w:rsidRPr="002B04F9">
        <w:rPr>
          <w:bCs/>
          <w:color w:val="000000" w:themeColor="text1"/>
          <w:sz w:val="22"/>
        </w:rPr>
        <w:t xml:space="preserve"> I</w:t>
      </w:r>
      <w:r w:rsidR="000A7CF4" w:rsidRPr="002B04F9">
        <w:rPr>
          <w:bCs/>
          <w:color w:val="000000" w:themeColor="text1"/>
          <w:sz w:val="22"/>
        </w:rPr>
        <w:t>ndicate the methods used to notify the private schools of the availability of services.</w:t>
      </w:r>
    </w:p>
    <w:p w14:paraId="1EE7328D" w14:textId="79E76DCD" w:rsidR="00C70718" w:rsidRPr="002B04F9" w:rsidRDefault="00E903D5" w:rsidP="005E6FCF">
      <w:pPr>
        <w:pStyle w:val="ListParagraph"/>
        <w:numPr>
          <w:ilvl w:val="0"/>
          <w:numId w:val="18"/>
        </w:numPr>
        <w:tabs>
          <w:tab w:val="clear" w:pos="1080"/>
          <w:tab w:val="num" w:pos="720"/>
        </w:tabs>
        <w:ind w:left="720"/>
        <w:rPr>
          <w:bCs/>
          <w:color w:val="000000" w:themeColor="text1"/>
          <w:sz w:val="22"/>
        </w:rPr>
      </w:pPr>
      <w:r w:rsidRPr="002B04F9">
        <w:rPr>
          <w:b/>
          <w:bCs/>
          <w:color w:val="000000" w:themeColor="text1"/>
          <w:sz w:val="22"/>
        </w:rPr>
        <w:t xml:space="preserve">Step </w:t>
      </w:r>
      <w:r w:rsidR="009F526B" w:rsidRPr="002B04F9">
        <w:rPr>
          <w:b/>
          <w:bCs/>
          <w:color w:val="000000" w:themeColor="text1"/>
          <w:sz w:val="22"/>
        </w:rPr>
        <w:t>3</w:t>
      </w:r>
      <w:r w:rsidRPr="002B04F9">
        <w:rPr>
          <w:b/>
          <w:bCs/>
          <w:color w:val="000000" w:themeColor="text1"/>
          <w:sz w:val="22"/>
        </w:rPr>
        <w:t>:</w:t>
      </w:r>
      <w:r w:rsidRPr="002B04F9">
        <w:rPr>
          <w:bCs/>
          <w:color w:val="000000" w:themeColor="text1"/>
          <w:sz w:val="22"/>
        </w:rPr>
        <w:t xml:space="preserve"> </w:t>
      </w:r>
      <w:r w:rsidR="00C70718" w:rsidRPr="002B04F9">
        <w:rPr>
          <w:bCs/>
          <w:color w:val="000000" w:themeColor="text1"/>
          <w:sz w:val="22"/>
        </w:rPr>
        <w:t>The amount of funds to be set-aside for the provision of equitable services is calculated automatically based on information entered in the Summary Budget Tab. The set-aside amount is calculated on the total Title IIA allocation minus administrative expenses. The value of services for each individual private school is automatically calculated upon completion of the Summary Budget tab and by entering enrollment and participation status on the Private Schools tab.</w:t>
      </w:r>
    </w:p>
    <w:p w14:paraId="57C1F2A3" w14:textId="6292F219" w:rsidR="003A6B63" w:rsidRPr="002B04F9" w:rsidRDefault="00B241C3" w:rsidP="005E6FCF">
      <w:pPr>
        <w:numPr>
          <w:ilvl w:val="0"/>
          <w:numId w:val="18"/>
        </w:numPr>
        <w:tabs>
          <w:tab w:val="clear" w:pos="1080"/>
          <w:tab w:val="num" w:pos="720"/>
        </w:tabs>
        <w:ind w:left="720"/>
        <w:rPr>
          <w:bCs/>
          <w:sz w:val="22"/>
        </w:rPr>
      </w:pPr>
      <w:r w:rsidRPr="002B04F9">
        <w:rPr>
          <w:b/>
          <w:bCs/>
          <w:color w:val="000000" w:themeColor="text1"/>
          <w:sz w:val="22"/>
        </w:rPr>
        <w:t xml:space="preserve">Step </w:t>
      </w:r>
      <w:r w:rsidR="009F526B" w:rsidRPr="002B04F9">
        <w:rPr>
          <w:b/>
          <w:bCs/>
          <w:color w:val="000000" w:themeColor="text1"/>
          <w:sz w:val="22"/>
        </w:rPr>
        <w:t>4</w:t>
      </w:r>
      <w:r w:rsidRPr="002B04F9">
        <w:rPr>
          <w:b/>
          <w:bCs/>
          <w:color w:val="000000" w:themeColor="text1"/>
          <w:sz w:val="22"/>
        </w:rPr>
        <w:t>:</w:t>
      </w:r>
      <w:r w:rsidRPr="002B04F9">
        <w:rPr>
          <w:bCs/>
          <w:color w:val="000000" w:themeColor="text1"/>
          <w:sz w:val="22"/>
        </w:rPr>
        <w:t xml:space="preserve"> If the division has transferred funds into Title II, Part A, from Title IV, Part A, the budget figures entered on the Transferability Budget Summary tab will automatically populate this section to enable the calculation of any additional value of services that may be required.</w:t>
      </w:r>
      <w:r w:rsidR="00B14102" w:rsidRPr="002B04F9">
        <w:rPr>
          <w:bCs/>
          <w:color w:val="000000" w:themeColor="text1"/>
          <w:sz w:val="22"/>
        </w:rPr>
        <w:t xml:space="preserve"> </w:t>
      </w:r>
    </w:p>
    <w:p w14:paraId="42385BEE" w14:textId="65544B73" w:rsidR="008B681D" w:rsidRPr="002B04F9" w:rsidRDefault="009F526B" w:rsidP="00B863B9">
      <w:pPr>
        <w:numPr>
          <w:ilvl w:val="0"/>
          <w:numId w:val="18"/>
        </w:numPr>
        <w:tabs>
          <w:tab w:val="clear" w:pos="1080"/>
          <w:tab w:val="num" w:pos="720"/>
        </w:tabs>
        <w:ind w:left="720"/>
        <w:rPr>
          <w:bCs/>
          <w:color w:val="000000" w:themeColor="text1"/>
          <w:sz w:val="22"/>
        </w:rPr>
      </w:pPr>
      <w:r w:rsidRPr="002B04F9">
        <w:rPr>
          <w:b/>
          <w:bCs/>
          <w:color w:val="000000" w:themeColor="text1"/>
          <w:sz w:val="22"/>
        </w:rPr>
        <w:t>Step 5:</w:t>
      </w:r>
      <w:r w:rsidRPr="002B04F9">
        <w:rPr>
          <w:bCs/>
          <w:color w:val="000000" w:themeColor="text1"/>
          <w:sz w:val="22"/>
        </w:rPr>
        <w:t xml:space="preserve"> Enter the </w:t>
      </w:r>
      <w:r w:rsidR="009A3CCD" w:rsidRPr="002B04F9">
        <w:rPr>
          <w:b/>
          <w:bCs/>
          <w:color w:val="000000" w:themeColor="text1"/>
          <w:sz w:val="22"/>
        </w:rPr>
        <w:t>public</w:t>
      </w:r>
      <w:r w:rsidR="009A3CCD" w:rsidRPr="002B04F9">
        <w:rPr>
          <w:bCs/>
          <w:color w:val="000000" w:themeColor="text1"/>
          <w:sz w:val="22"/>
        </w:rPr>
        <w:t>-school</w:t>
      </w:r>
      <w:r w:rsidRPr="002B04F9">
        <w:rPr>
          <w:bCs/>
          <w:color w:val="000000" w:themeColor="text1"/>
          <w:sz w:val="22"/>
        </w:rPr>
        <w:t xml:space="preserve"> division’s K-12 enrollment.</w:t>
      </w:r>
    </w:p>
    <w:p w14:paraId="46863BD8" w14:textId="4B055A50" w:rsidR="000A7CF4" w:rsidRPr="002B04F9" w:rsidRDefault="00E903D5" w:rsidP="005E6FCF">
      <w:pPr>
        <w:numPr>
          <w:ilvl w:val="0"/>
          <w:numId w:val="18"/>
        </w:numPr>
        <w:tabs>
          <w:tab w:val="clear" w:pos="1080"/>
          <w:tab w:val="num" w:pos="720"/>
        </w:tabs>
        <w:ind w:left="720"/>
        <w:rPr>
          <w:b/>
          <w:bCs/>
          <w:sz w:val="22"/>
        </w:rPr>
      </w:pPr>
      <w:r w:rsidRPr="002B04F9">
        <w:rPr>
          <w:b/>
          <w:bCs/>
          <w:sz w:val="22"/>
        </w:rPr>
        <w:t>Step</w:t>
      </w:r>
      <w:r w:rsidR="00895D90" w:rsidRPr="002B04F9">
        <w:rPr>
          <w:b/>
          <w:bCs/>
          <w:sz w:val="22"/>
        </w:rPr>
        <w:t xml:space="preserve"> </w:t>
      </w:r>
      <w:r w:rsidR="00B241C3" w:rsidRPr="002B04F9">
        <w:rPr>
          <w:b/>
          <w:bCs/>
          <w:sz w:val="22"/>
        </w:rPr>
        <w:t>6</w:t>
      </w:r>
      <w:r w:rsidR="00895D90" w:rsidRPr="002B04F9">
        <w:rPr>
          <w:b/>
          <w:bCs/>
          <w:sz w:val="22"/>
        </w:rPr>
        <w:t>:</w:t>
      </w:r>
    </w:p>
    <w:p w14:paraId="26B2A523" w14:textId="1D39C4A6" w:rsidR="00456F77" w:rsidRPr="002B04F9" w:rsidRDefault="00456F77" w:rsidP="005E6FCF">
      <w:pPr>
        <w:numPr>
          <w:ilvl w:val="4"/>
          <w:numId w:val="18"/>
        </w:numPr>
        <w:tabs>
          <w:tab w:val="clear" w:pos="2160"/>
          <w:tab w:val="num" w:pos="1440"/>
        </w:tabs>
        <w:ind w:left="1440"/>
        <w:rPr>
          <w:bCs/>
          <w:sz w:val="22"/>
        </w:rPr>
      </w:pPr>
      <w:r w:rsidRPr="002B04F9">
        <w:rPr>
          <w:bCs/>
          <w:sz w:val="22"/>
        </w:rPr>
        <w:t>In Column A</w:t>
      </w:r>
      <w:r w:rsidR="004174D8" w:rsidRPr="002B04F9">
        <w:rPr>
          <w:bCs/>
          <w:sz w:val="22"/>
        </w:rPr>
        <w:t>, (</w:t>
      </w:r>
      <w:r w:rsidR="007B5302" w:rsidRPr="002B04F9">
        <w:rPr>
          <w:bCs/>
          <w:sz w:val="22"/>
        </w:rPr>
        <w:t>beginning on line 41</w:t>
      </w:r>
      <w:r w:rsidR="004174D8" w:rsidRPr="002B04F9">
        <w:rPr>
          <w:bCs/>
          <w:sz w:val="22"/>
        </w:rPr>
        <w:t>)</w:t>
      </w:r>
      <w:r w:rsidRPr="002B04F9">
        <w:rPr>
          <w:bCs/>
          <w:sz w:val="22"/>
        </w:rPr>
        <w:t>, list all eligible private schools in the geographic boundaries of the school division.</w:t>
      </w:r>
    </w:p>
    <w:p w14:paraId="2E75F71F" w14:textId="0409DCE6" w:rsidR="00456F77" w:rsidRPr="002B04F9" w:rsidRDefault="00456F77" w:rsidP="005E6FCF">
      <w:pPr>
        <w:numPr>
          <w:ilvl w:val="4"/>
          <w:numId w:val="18"/>
        </w:numPr>
        <w:tabs>
          <w:tab w:val="clear" w:pos="2160"/>
          <w:tab w:val="num" w:pos="1440"/>
        </w:tabs>
        <w:ind w:left="1440"/>
        <w:rPr>
          <w:bCs/>
          <w:sz w:val="22"/>
        </w:rPr>
      </w:pPr>
      <w:r w:rsidRPr="002B04F9">
        <w:rPr>
          <w:bCs/>
          <w:sz w:val="22"/>
        </w:rPr>
        <w:t xml:space="preserve">In column B, </w:t>
      </w:r>
      <w:r w:rsidR="00D73640" w:rsidRPr="002B04F9">
        <w:rPr>
          <w:bCs/>
          <w:sz w:val="22"/>
        </w:rPr>
        <w:t xml:space="preserve">select either “Yes” or “No” to indicate the participation status of the listed private school(s) for the </w:t>
      </w:r>
      <w:r w:rsidR="00E4106D">
        <w:rPr>
          <w:color w:val="000000"/>
          <w:sz w:val="22"/>
        </w:rPr>
        <w:t>2024</w:t>
      </w:r>
      <w:r w:rsidR="00E54A80" w:rsidRPr="002B04F9">
        <w:rPr>
          <w:color w:val="000000"/>
          <w:sz w:val="22"/>
        </w:rPr>
        <w:t>-</w:t>
      </w:r>
      <w:r w:rsidR="00E4106D">
        <w:rPr>
          <w:color w:val="000000"/>
          <w:sz w:val="22"/>
        </w:rPr>
        <w:t>2025</w:t>
      </w:r>
      <w:r w:rsidR="00E54A80" w:rsidRPr="002B04F9">
        <w:rPr>
          <w:color w:val="000000"/>
          <w:sz w:val="22"/>
        </w:rPr>
        <w:t xml:space="preserve"> </w:t>
      </w:r>
      <w:r w:rsidR="00D73640" w:rsidRPr="002B04F9">
        <w:rPr>
          <w:bCs/>
          <w:sz w:val="22"/>
        </w:rPr>
        <w:t xml:space="preserve">award year, </w:t>
      </w:r>
      <w:proofErr w:type="gramStart"/>
      <w:r w:rsidR="00D73640" w:rsidRPr="002B04F9">
        <w:rPr>
          <w:bCs/>
          <w:sz w:val="22"/>
        </w:rPr>
        <w:t>as a result of</w:t>
      </w:r>
      <w:proofErr w:type="gramEnd"/>
      <w:r w:rsidR="00D73640" w:rsidRPr="002B04F9">
        <w:rPr>
          <w:bCs/>
          <w:sz w:val="22"/>
        </w:rPr>
        <w:t xml:space="preserve"> consultation.</w:t>
      </w:r>
    </w:p>
    <w:p w14:paraId="113D4FEB" w14:textId="131E1B2F" w:rsidR="00CC07C3" w:rsidRPr="002B04F9" w:rsidRDefault="00CC07C3" w:rsidP="005E6FCF">
      <w:pPr>
        <w:numPr>
          <w:ilvl w:val="4"/>
          <w:numId w:val="18"/>
        </w:numPr>
        <w:tabs>
          <w:tab w:val="clear" w:pos="2160"/>
          <w:tab w:val="num" w:pos="1440"/>
        </w:tabs>
        <w:ind w:left="1440"/>
        <w:rPr>
          <w:bCs/>
          <w:sz w:val="22"/>
        </w:rPr>
      </w:pPr>
      <w:r w:rsidRPr="002B04F9">
        <w:rPr>
          <w:bCs/>
          <w:sz w:val="22"/>
        </w:rPr>
        <w:t xml:space="preserve">In column C, enter the K-12 enrollment of private schools </w:t>
      </w:r>
      <w:r w:rsidRPr="002B04F9">
        <w:rPr>
          <w:b/>
          <w:bCs/>
          <w:sz w:val="22"/>
        </w:rPr>
        <w:t xml:space="preserve">participating </w:t>
      </w:r>
      <w:r w:rsidRPr="002B04F9">
        <w:rPr>
          <w:bCs/>
          <w:sz w:val="22"/>
        </w:rPr>
        <w:t xml:space="preserve">in services for the </w:t>
      </w:r>
      <w:r w:rsidR="00E4106D">
        <w:rPr>
          <w:color w:val="000000"/>
          <w:sz w:val="22"/>
        </w:rPr>
        <w:t>2024</w:t>
      </w:r>
      <w:r w:rsidRPr="002B04F9">
        <w:rPr>
          <w:color w:val="000000"/>
          <w:sz w:val="22"/>
        </w:rPr>
        <w:t>-</w:t>
      </w:r>
      <w:r w:rsidR="00E4106D">
        <w:rPr>
          <w:color w:val="000000"/>
          <w:sz w:val="22"/>
        </w:rPr>
        <w:t>2025</w:t>
      </w:r>
      <w:r w:rsidRPr="002B04F9">
        <w:rPr>
          <w:color w:val="000000"/>
          <w:sz w:val="22"/>
        </w:rPr>
        <w:t xml:space="preserve"> </w:t>
      </w:r>
      <w:r w:rsidRPr="002B04F9">
        <w:rPr>
          <w:bCs/>
          <w:sz w:val="22"/>
        </w:rPr>
        <w:t>award year. It is not necessary to enter enrollment figures for non-participating schools.</w:t>
      </w:r>
    </w:p>
    <w:p w14:paraId="64D82243" w14:textId="430295A7" w:rsidR="006B2E8C" w:rsidRPr="002B04F9" w:rsidRDefault="00456F77" w:rsidP="005E6FCF">
      <w:pPr>
        <w:numPr>
          <w:ilvl w:val="4"/>
          <w:numId w:val="18"/>
        </w:numPr>
        <w:tabs>
          <w:tab w:val="clear" w:pos="2160"/>
          <w:tab w:val="num" w:pos="1440"/>
        </w:tabs>
        <w:ind w:left="1440"/>
        <w:rPr>
          <w:bCs/>
          <w:sz w:val="22"/>
        </w:rPr>
      </w:pPr>
      <w:r w:rsidRPr="002B04F9">
        <w:rPr>
          <w:bCs/>
          <w:sz w:val="22"/>
        </w:rPr>
        <w:t xml:space="preserve">Column </w:t>
      </w:r>
      <w:r w:rsidR="00B14102" w:rsidRPr="002B04F9">
        <w:rPr>
          <w:bCs/>
          <w:sz w:val="22"/>
        </w:rPr>
        <w:t>D</w:t>
      </w:r>
      <w:r w:rsidRPr="002B04F9">
        <w:rPr>
          <w:bCs/>
          <w:sz w:val="22"/>
        </w:rPr>
        <w:t xml:space="preserve"> will automatically calculate the value of services for the </w:t>
      </w:r>
      <w:r w:rsidR="00E4106D">
        <w:rPr>
          <w:color w:val="000000"/>
          <w:sz w:val="22"/>
        </w:rPr>
        <w:t>2024</w:t>
      </w:r>
      <w:r w:rsidR="00E54A80" w:rsidRPr="002B04F9">
        <w:rPr>
          <w:color w:val="000000"/>
          <w:sz w:val="22"/>
        </w:rPr>
        <w:t>-</w:t>
      </w:r>
      <w:r w:rsidR="00E4106D">
        <w:rPr>
          <w:color w:val="000000"/>
          <w:sz w:val="22"/>
        </w:rPr>
        <w:t>2025</w:t>
      </w:r>
      <w:r w:rsidR="00E54A80" w:rsidRPr="002B04F9">
        <w:rPr>
          <w:color w:val="000000"/>
          <w:sz w:val="22"/>
        </w:rPr>
        <w:t xml:space="preserve"> </w:t>
      </w:r>
      <w:r w:rsidRPr="002B04F9">
        <w:rPr>
          <w:bCs/>
          <w:sz w:val="22"/>
        </w:rPr>
        <w:t>award year</w:t>
      </w:r>
      <w:r w:rsidR="00B241C3" w:rsidRPr="002B04F9">
        <w:rPr>
          <w:bCs/>
          <w:sz w:val="22"/>
        </w:rPr>
        <w:t xml:space="preserve">, </w:t>
      </w:r>
    </w:p>
    <w:p w14:paraId="52A74991" w14:textId="445C0A3B" w:rsidR="006B2E8C" w:rsidRPr="002B04F9" w:rsidRDefault="006B2E8C" w:rsidP="005E6FCF">
      <w:pPr>
        <w:numPr>
          <w:ilvl w:val="4"/>
          <w:numId w:val="18"/>
        </w:numPr>
        <w:tabs>
          <w:tab w:val="clear" w:pos="2160"/>
          <w:tab w:val="num" w:pos="1440"/>
        </w:tabs>
        <w:ind w:left="1440"/>
        <w:rPr>
          <w:bCs/>
          <w:sz w:val="22"/>
        </w:rPr>
      </w:pPr>
      <w:r w:rsidRPr="002B04F9">
        <w:rPr>
          <w:bCs/>
          <w:sz w:val="22"/>
        </w:rPr>
        <w:t xml:space="preserve">Column E will automatically calculate the additional value of services for the </w:t>
      </w:r>
      <w:r w:rsidR="00E4106D">
        <w:rPr>
          <w:color w:val="000000"/>
          <w:sz w:val="22"/>
        </w:rPr>
        <w:t>2024</w:t>
      </w:r>
      <w:r w:rsidR="00E54A80" w:rsidRPr="002B04F9">
        <w:rPr>
          <w:color w:val="000000"/>
          <w:sz w:val="22"/>
        </w:rPr>
        <w:t>-</w:t>
      </w:r>
      <w:r w:rsidR="00E4106D">
        <w:rPr>
          <w:color w:val="000000"/>
          <w:sz w:val="22"/>
        </w:rPr>
        <w:t>2025</w:t>
      </w:r>
      <w:r w:rsidR="00E54A80" w:rsidRPr="002B04F9">
        <w:rPr>
          <w:color w:val="000000"/>
          <w:sz w:val="22"/>
        </w:rPr>
        <w:t xml:space="preserve"> </w:t>
      </w:r>
      <w:r w:rsidRPr="002B04F9">
        <w:rPr>
          <w:bCs/>
          <w:sz w:val="22"/>
        </w:rPr>
        <w:t>award year for any Transferability funds that are moved from Title IV, Part A, for uses under Title II, Part A.</w:t>
      </w:r>
    </w:p>
    <w:p w14:paraId="782D345E" w14:textId="6D6306E0" w:rsidR="00456F77" w:rsidRPr="002B04F9" w:rsidRDefault="00021224" w:rsidP="005E6FCF">
      <w:pPr>
        <w:numPr>
          <w:ilvl w:val="4"/>
          <w:numId w:val="18"/>
        </w:numPr>
        <w:tabs>
          <w:tab w:val="clear" w:pos="2160"/>
          <w:tab w:val="num" w:pos="1440"/>
        </w:tabs>
        <w:ind w:left="1440"/>
        <w:rPr>
          <w:bCs/>
          <w:sz w:val="22"/>
        </w:rPr>
      </w:pPr>
      <w:r w:rsidRPr="002B04F9">
        <w:rPr>
          <w:bCs/>
          <w:sz w:val="22"/>
        </w:rPr>
        <w:t xml:space="preserve">In Column </w:t>
      </w:r>
      <w:r w:rsidR="0094570D" w:rsidRPr="002B04F9">
        <w:rPr>
          <w:bCs/>
          <w:sz w:val="22"/>
        </w:rPr>
        <w:t>F</w:t>
      </w:r>
      <w:r w:rsidRPr="002B04F9">
        <w:rPr>
          <w:bCs/>
          <w:sz w:val="22"/>
        </w:rPr>
        <w:t xml:space="preserve">, </w:t>
      </w:r>
      <w:r w:rsidR="00456F77" w:rsidRPr="002B04F9">
        <w:rPr>
          <w:bCs/>
          <w:sz w:val="22"/>
        </w:rPr>
        <w:t xml:space="preserve">indicate the method of notification for each </w:t>
      </w:r>
      <w:r w:rsidR="00C55089" w:rsidRPr="002B04F9">
        <w:rPr>
          <w:bCs/>
          <w:sz w:val="22"/>
        </w:rPr>
        <w:t xml:space="preserve">non-participating </w:t>
      </w:r>
      <w:r w:rsidR="00456F77" w:rsidRPr="002B04F9">
        <w:rPr>
          <w:bCs/>
          <w:sz w:val="22"/>
        </w:rPr>
        <w:t>private school.</w:t>
      </w:r>
    </w:p>
    <w:p w14:paraId="0B0BC187" w14:textId="6C967A01" w:rsidR="009F526B" w:rsidRPr="002B04F9" w:rsidRDefault="009F526B" w:rsidP="005E6FCF">
      <w:pPr>
        <w:numPr>
          <w:ilvl w:val="4"/>
          <w:numId w:val="18"/>
        </w:numPr>
        <w:tabs>
          <w:tab w:val="clear" w:pos="2160"/>
          <w:tab w:val="num" w:pos="1440"/>
        </w:tabs>
        <w:ind w:left="1440"/>
        <w:rPr>
          <w:bCs/>
          <w:sz w:val="22"/>
        </w:rPr>
      </w:pPr>
      <w:r w:rsidRPr="002B04F9">
        <w:rPr>
          <w:bCs/>
          <w:sz w:val="22"/>
        </w:rPr>
        <w:t>Use Column G for any additional notes.</w:t>
      </w:r>
    </w:p>
    <w:p w14:paraId="793F0164" w14:textId="32E2E1EE" w:rsidR="006E0251" w:rsidRPr="002B04F9" w:rsidRDefault="006E0251" w:rsidP="005E6FCF">
      <w:pPr>
        <w:numPr>
          <w:ilvl w:val="0"/>
          <w:numId w:val="19"/>
        </w:numPr>
        <w:tabs>
          <w:tab w:val="clear" w:pos="1080"/>
          <w:tab w:val="num" w:pos="720"/>
        </w:tabs>
        <w:ind w:left="720"/>
        <w:rPr>
          <w:bCs/>
          <w:sz w:val="22"/>
        </w:rPr>
      </w:pPr>
      <w:r w:rsidRPr="002B04F9">
        <w:rPr>
          <w:bCs/>
          <w:sz w:val="22"/>
        </w:rPr>
        <w:t xml:space="preserve">Once the </w:t>
      </w:r>
      <w:r w:rsidR="00CC07C3" w:rsidRPr="002B04F9">
        <w:rPr>
          <w:bCs/>
          <w:sz w:val="22"/>
        </w:rPr>
        <w:t>participation status</w:t>
      </w:r>
      <w:r w:rsidRPr="002B04F9">
        <w:rPr>
          <w:bCs/>
          <w:sz w:val="22"/>
        </w:rPr>
        <w:t xml:space="preserve"> and the enrollment figures for the public and private schools have been entered, the Estimated</w:t>
      </w:r>
      <w:r w:rsidR="00CF1111" w:rsidRPr="002B04F9">
        <w:rPr>
          <w:bCs/>
          <w:sz w:val="22"/>
        </w:rPr>
        <w:t xml:space="preserve"> </w:t>
      </w:r>
      <w:r w:rsidR="00AE2D57" w:rsidRPr="002B04F9">
        <w:rPr>
          <w:bCs/>
          <w:sz w:val="22"/>
        </w:rPr>
        <w:t xml:space="preserve">Value of Services </w:t>
      </w:r>
      <w:r w:rsidRPr="002B04F9">
        <w:rPr>
          <w:bCs/>
          <w:sz w:val="22"/>
        </w:rPr>
        <w:t>will be calculated automatically.</w:t>
      </w:r>
    </w:p>
    <w:p w14:paraId="0125544A" w14:textId="77BEAF2A" w:rsidR="00186B10" w:rsidRPr="002B04F9" w:rsidRDefault="00E903D5" w:rsidP="005E6FCF">
      <w:pPr>
        <w:numPr>
          <w:ilvl w:val="0"/>
          <w:numId w:val="20"/>
        </w:numPr>
        <w:tabs>
          <w:tab w:val="clear" w:pos="1080"/>
          <w:tab w:val="num" w:pos="720"/>
        </w:tabs>
        <w:ind w:left="720"/>
        <w:rPr>
          <w:bCs/>
          <w:strike/>
          <w:sz w:val="22"/>
        </w:rPr>
      </w:pPr>
      <w:r w:rsidRPr="002B04F9">
        <w:rPr>
          <w:b/>
          <w:bCs/>
          <w:sz w:val="22"/>
        </w:rPr>
        <w:t xml:space="preserve">Step </w:t>
      </w:r>
      <w:r w:rsidR="004174D8" w:rsidRPr="002B04F9">
        <w:rPr>
          <w:b/>
          <w:bCs/>
          <w:sz w:val="22"/>
        </w:rPr>
        <w:t>7</w:t>
      </w:r>
      <w:r w:rsidRPr="002B04F9">
        <w:rPr>
          <w:b/>
          <w:bCs/>
          <w:sz w:val="22"/>
        </w:rPr>
        <w:t>:</w:t>
      </w:r>
      <w:r w:rsidRPr="002B04F9">
        <w:rPr>
          <w:bCs/>
          <w:sz w:val="22"/>
        </w:rPr>
        <w:t xml:space="preserve"> </w:t>
      </w:r>
      <w:r w:rsidR="006E0251" w:rsidRPr="002B04F9">
        <w:rPr>
          <w:bCs/>
          <w:sz w:val="22"/>
        </w:rPr>
        <w:t xml:space="preserve">Enter the total Estimated </w:t>
      </w:r>
      <w:r w:rsidR="00AE2D57" w:rsidRPr="002B04F9">
        <w:rPr>
          <w:bCs/>
          <w:sz w:val="22"/>
        </w:rPr>
        <w:t>Value of Services</w:t>
      </w:r>
      <w:r w:rsidR="006E0251" w:rsidRPr="002B04F9">
        <w:rPr>
          <w:bCs/>
          <w:sz w:val="22"/>
        </w:rPr>
        <w:t xml:space="preserve"> Amount </w:t>
      </w:r>
      <w:r w:rsidR="00D46CC8" w:rsidRPr="002B04F9">
        <w:rPr>
          <w:bCs/>
          <w:sz w:val="22"/>
        </w:rPr>
        <w:t>on the Summary</w:t>
      </w:r>
      <w:r w:rsidR="001A5500" w:rsidRPr="002B04F9">
        <w:rPr>
          <w:bCs/>
          <w:sz w:val="22"/>
        </w:rPr>
        <w:t xml:space="preserve"> Budget tab</w:t>
      </w:r>
      <w:r w:rsidR="00D46CC8" w:rsidRPr="002B04F9">
        <w:rPr>
          <w:bCs/>
          <w:sz w:val="22"/>
        </w:rPr>
        <w:t xml:space="preserve"> as “Private School Set-A</w:t>
      </w:r>
      <w:r w:rsidR="00081B12" w:rsidRPr="002B04F9">
        <w:rPr>
          <w:bCs/>
          <w:sz w:val="22"/>
        </w:rPr>
        <w:t>s</w:t>
      </w:r>
      <w:r w:rsidR="00D46CC8" w:rsidRPr="002B04F9">
        <w:rPr>
          <w:bCs/>
          <w:sz w:val="22"/>
        </w:rPr>
        <w:t>ide”</w:t>
      </w:r>
      <w:r w:rsidR="00186B10" w:rsidRPr="002B04F9">
        <w:rPr>
          <w:bCs/>
          <w:sz w:val="22"/>
        </w:rPr>
        <w:t xml:space="preserve"> in the appropriate object codes</w:t>
      </w:r>
      <w:r w:rsidR="00B8196B" w:rsidRPr="002B04F9">
        <w:rPr>
          <w:bCs/>
          <w:sz w:val="22"/>
        </w:rPr>
        <w:t>.</w:t>
      </w:r>
      <w:r w:rsidR="006B2E8C" w:rsidRPr="002B04F9">
        <w:rPr>
          <w:bCs/>
          <w:sz w:val="22"/>
        </w:rPr>
        <w:t xml:space="preserve"> This should be done within the regular Title II, Part A</w:t>
      </w:r>
      <w:r w:rsidR="00EF6293" w:rsidRPr="002B04F9">
        <w:rPr>
          <w:bCs/>
          <w:sz w:val="22"/>
        </w:rPr>
        <w:t>,</w:t>
      </w:r>
      <w:r w:rsidR="006B2E8C" w:rsidRPr="002B04F9">
        <w:rPr>
          <w:bCs/>
          <w:sz w:val="22"/>
        </w:rPr>
        <w:t xml:space="preserve"> summary budget </w:t>
      </w:r>
      <w:r w:rsidR="001B4989" w:rsidRPr="002B04F9">
        <w:rPr>
          <w:bCs/>
          <w:sz w:val="22"/>
        </w:rPr>
        <w:t xml:space="preserve">as well as the Transferability </w:t>
      </w:r>
      <w:r w:rsidR="006B2E8C" w:rsidRPr="002B04F9">
        <w:rPr>
          <w:bCs/>
          <w:sz w:val="22"/>
        </w:rPr>
        <w:t>budget, if warranted.</w:t>
      </w:r>
    </w:p>
    <w:p w14:paraId="253E70E9" w14:textId="190840ED" w:rsidR="00C70718" w:rsidRPr="002B04F9" w:rsidRDefault="00C70718" w:rsidP="005E6FCF">
      <w:pPr>
        <w:pStyle w:val="ListParagraph"/>
        <w:numPr>
          <w:ilvl w:val="0"/>
          <w:numId w:val="20"/>
        </w:numPr>
        <w:tabs>
          <w:tab w:val="clear" w:pos="1080"/>
          <w:tab w:val="num" w:pos="720"/>
        </w:tabs>
        <w:ind w:left="720"/>
        <w:rPr>
          <w:bCs/>
          <w:sz w:val="22"/>
        </w:rPr>
      </w:pPr>
      <w:r w:rsidRPr="002B04F9">
        <w:rPr>
          <w:b/>
          <w:bCs/>
          <w:sz w:val="22"/>
        </w:rPr>
        <w:t>Step 8:</w:t>
      </w:r>
      <w:r w:rsidRPr="002B04F9">
        <w:rPr>
          <w:bCs/>
          <w:sz w:val="22"/>
        </w:rPr>
        <w:t xml:space="preserve"> On the Budget Breakd</w:t>
      </w:r>
      <w:r w:rsidR="00BA01BC" w:rsidRPr="002B04F9">
        <w:rPr>
          <w:bCs/>
          <w:sz w:val="22"/>
        </w:rPr>
        <w:t xml:space="preserve">own pages (pp. </w:t>
      </w:r>
      <w:r w:rsidR="007B5302" w:rsidRPr="002B04F9">
        <w:rPr>
          <w:bCs/>
          <w:sz w:val="22"/>
        </w:rPr>
        <w:t>16-22</w:t>
      </w:r>
      <w:r w:rsidRPr="002B04F9">
        <w:rPr>
          <w:bCs/>
          <w:sz w:val="22"/>
        </w:rPr>
        <w:t>), list as “Private School Set-Aside” figures under the appropriate object codes (Regular Title II, Part A detailed budget is in the Budget tab)</w:t>
      </w:r>
      <w:r w:rsidR="00E54ACC" w:rsidRPr="002B04F9">
        <w:rPr>
          <w:bCs/>
          <w:sz w:val="22"/>
        </w:rPr>
        <w:t>.</w:t>
      </w:r>
      <w:r w:rsidRPr="002B04F9">
        <w:rPr>
          <w:bCs/>
          <w:sz w:val="22"/>
        </w:rPr>
        <w:t xml:space="preserve"> The Transferability tab contains the detail budget sections for any Transferability funds (pp. </w:t>
      </w:r>
      <w:r w:rsidR="007B5302" w:rsidRPr="002B04F9">
        <w:rPr>
          <w:bCs/>
          <w:sz w:val="22"/>
        </w:rPr>
        <w:t>24-30</w:t>
      </w:r>
      <w:r w:rsidRPr="002B04F9">
        <w:rPr>
          <w:bCs/>
          <w:sz w:val="22"/>
        </w:rPr>
        <w:t>)</w:t>
      </w:r>
      <w:r w:rsidR="00E54ACC" w:rsidRPr="002B04F9">
        <w:rPr>
          <w:bCs/>
          <w:sz w:val="22"/>
        </w:rPr>
        <w:t>.</w:t>
      </w:r>
    </w:p>
    <w:p w14:paraId="1C7B2C2F" w14:textId="3B39023B" w:rsidR="001F6497" w:rsidRPr="002B04F9" w:rsidRDefault="001F6497" w:rsidP="005E6FCF">
      <w:pPr>
        <w:numPr>
          <w:ilvl w:val="0"/>
          <w:numId w:val="20"/>
        </w:numPr>
        <w:tabs>
          <w:tab w:val="clear" w:pos="1080"/>
          <w:tab w:val="num" w:pos="720"/>
        </w:tabs>
        <w:ind w:left="720"/>
        <w:rPr>
          <w:bCs/>
          <w:sz w:val="22"/>
        </w:rPr>
      </w:pPr>
      <w:r w:rsidRPr="002B04F9">
        <w:rPr>
          <w:bCs/>
          <w:sz w:val="22"/>
        </w:rPr>
        <w:t xml:space="preserve">Public school division personnel should coordinate with private schools to determine the </w:t>
      </w:r>
      <w:r w:rsidR="00AC6D65">
        <w:rPr>
          <w:bCs/>
          <w:sz w:val="22"/>
        </w:rPr>
        <w:t xml:space="preserve">manner </w:t>
      </w:r>
      <w:r w:rsidRPr="002B04F9">
        <w:rPr>
          <w:bCs/>
          <w:sz w:val="22"/>
        </w:rPr>
        <w:t>equitable services will be provided.</w:t>
      </w:r>
    </w:p>
    <w:p w14:paraId="1B413A68" w14:textId="77777777" w:rsidR="00EF6293" w:rsidRPr="002B04F9" w:rsidRDefault="00EF6293" w:rsidP="005E6FCF">
      <w:pPr>
        <w:pStyle w:val="BodyText2"/>
        <w:rPr>
          <w:b/>
          <w:bCs/>
          <w:color w:val="000000"/>
        </w:rPr>
      </w:pPr>
    </w:p>
    <w:p w14:paraId="6FBA1B7F" w14:textId="77777777" w:rsidR="00221650" w:rsidRPr="002B04F9" w:rsidRDefault="00221650">
      <w:pPr>
        <w:rPr>
          <w:b/>
          <w:color w:val="000000" w:themeColor="text1"/>
          <w:sz w:val="22"/>
          <w:u w:val="single"/>
        </w:rPr>
      </w:pPr>
      <w:r w:rsidRPr="002B04F9">
        <w:rPr>
          <w:b/>
          <w:color w:val="000000" w:themeColor="text1"/>
          <w:u w:val="single"/>
        </w:rPr>
        <w:br w:type="page"/>
      </w:r>
    </w:p>
    <w:p w14:paraId="16D7C528" w14:textId="77777777" w:rsidR="00221650" w:rsidRPr="002B04F9" w:rsidRDefault="00221650" w:rsidP="005E6FCF">
      <w:pPr>
        <w:pStyle w:val="BodyText2"/>
        <w:rPr>
          <w:b/>
          <w:color w:val="000000" w:themeColor="text1"/>
          <w:u w:val="single"/>
        </w:rPr>
      </w:pPr>
    </w:p>
    <w:p w14:paraId="4951B04C" w14:textId="6D41F819" w:rsidR="00801312" w:rsidRPr="002B04F9" w:rsidRDefault="00052642" w:rsidP="005E6FCF">
      <w:pPr>
        <w:pStyle w:val="BodyText2"/>
        <w:rPr>
          <w:b/>
          <w:color w:val="000000" w:themeColor="text1"/>
          <w:u w:val="single"/>
        </w:rPr>
      </w:pPr>
      <w:r w:rsidRPr="002B04F9">
        <w:rPr>
          <w:b/>
          <w:color w:val="000000" w:themeColor="text1"/>
          <w:u w:val="single"/>
        </w:rPr>
        <w:t>K</w:t>
      </w:r>
      <w:r w:rsidR="00801312" w:rsidRPr="002B04F9">
        <w:rPr>
          <w:b/>
          <w:color w:val="000000" w:themeColor="text1"/>
          <w:u w:val="single"/>
        </w:rPr>
        <w:t>.  General Education Provisions Act (GEPA) Section 427 (GEPA Tab Page 3</w:t>
      </w:r>
      <w:r w:rsidR="00867759" w:rsidRPr="002B04F9">
        <w:rPr>
          <w:b/>
          <w:color w:val="000000" w:themeColor="text1"/>
          <w:u w:val="single"/>
        </w:rPr>
        <w:t>5</w:t>
      </w:r>
      <w:r w:rsidR="00801312" w:rsidRPr="002B04F9">
        <w:rPr>
          <w:b/>
          <w:color w:val="000000" w:themeColor="text1"/>
          <w:u w:val="single"/>
        </w:rPr>
        <w:t>)</w:t>
      </w:r>
    </w:p>
    <w:p w14:paraId="5DE53218" w14:textId="703BEEEA" w:rsidR="00801312" w:rsidRPr="002B04F9" w:rsidRDefault="00801312" w:rsidP="005E6FCF">
      <w:pPr>
        <w:pStyle w:val="BodyText2"/>
        <w:tabs>
          <w:tab w:val="left" w:pos="360"/>
        </w:tabs>
        <w:rPr>
          <w:bCs/>
        </w:rPr>
      </w:pPr>
      <w:r w:rsidRPr="002B04F9">
        <w:rPr>
          <w:bCs/>
        </w:rPr>
        <w:t xml:space="preserve">Section 427 of the General Education Provisions Act (GEPA) requires applicants for federal funds to include in their applications a description of the steps the applicant will take to ensure equitable access to, and participation in, </w:t>
      </w:r>
      <w:r w:rsidR="00AC6D65" w:rsidRPr="002B04F9">
        <w:rPr>
          <w:bCs/>
        </w:rPr>
        <w:t>federally assisted</w:t>
      </w:r>
      <w:r w:rsidRPr="002B04F9">
        <w:rPr>
          <w:bCs/>
        </w:rPr>
        <w:t xml:space="preserve"> programs for students, teachers, and other program beneficiaries with special needs. The provision allows applicants discretion in developing the required description. The statute highlights six types of barriers that can impede equitable access or participation: gender, race, national origin, color, disability, or age. Based on local circumstances, the applicant should determine whether these or other barriers may prevent students, teachers, etc., from such access or participation in the </w:t>
      </w:r>
      <w:r w:rsidR="00AC6D65" w:rsidRPr="002B04F9">
        <w:rPr>
          <w:bCs/>
        </w:rPr>
        <w:t>federally funded</w:t>
      </w:r>
      <w:r w:rsidRPr="002B04F9">
        <w:rPr>
          <w:bCs/>
        </w:rPr>
        <w:t xml:space="preserve"> project or activity. The description in the application of steps to be taken to overcome these barriers need not be lengthy; the application may provide a clear and succinct description of how the applicant plans to address those barriers that are applicable to their circumstances.</w:t>
      </w:r>
    </w:p>
    <w:p w14:paraId="6740B870" w14:textId="77777777" w:rsidR="00D95A9C" w:rsidRPr="002B04F9" w:rsidRDefault="00D95A9C" w:rsidP="005E6FCF">
      <w:pPr>
        <w:pStyle w:val="BodyText2"/>
        <w:tabs>
          <w:tab w:val="left" w:pos="360"/>
        </w:tabs>
        <w:rPr>
          <w:bCs/>
        </w:rPr>
      </w:pPr>
    </w:p>
    <w:p w14:paraId="1E2DC864" w14:textId="35CF2810" w:rsidR="00801312" w:rsidRPr="002B04F9" w:rsidRDefault="00801312" w:rsidP="005E6FCF">
      <w:pPr>
        <w:pStyle w:val="BodyText2"/>
        <w:tabs>
          <w:tab w:val="left" w:pos="360"/>
        </w:tabs>
        <w:rPr>
          <w:bCs/>
        </w:rPr>
      </w:pPr>
      <w:r w:rsidRPr="002B04F9">
        <w:rPr>
          <w:bCs/>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eliminate barriers it identifies.</w:t>
      </w:r>
    </w:p>
    <w:p w14:paraId="5F02B43C" w14:textId="77777777" w:rsidR="00B863B9" w:rsidRPr="002B04F9" w:rsidRDefault="00B863B9" w:rsidP="00B863B9">
      <w:pPr>
        <w:rPr>
          <w:bCs/>
        </w:rPr>
      </w:pPr>
    </w:p>
    <w:p w14:paraId="488BD776" w14:textId="6CB75F4F" w:rsidR="00801312" w:rsidRPr="002B04F9" w:rsidRDefault="00801312" w:rsidP="00B863B9">
      <w:pPr>
        <w:rPr>
          <w:bCs/>
          <w:sz w:val="24"/>
        </w:rPr>
      </w:pPr>
      <w:r w:rsidRPr="002B04F9">
        <w:rPr>
          <w:bCs/>
          <w:sz w:val="22"/>
        </w:rPr>
        <w:t>In the space provided, describe the steps the division will take to ensure equitable access to, and participation in, grant-funded program</w:t>
      </w:r>
      <w:r w:rsidR="007C31EC">
        <w:rPr>
          <w:bCs/>
          <w:sz w:val="22"/>
        </w:rPr>
        <w:t>s</w:t>
      </w:r>
      <w:r w:rsidRPr="002B04F9">
        <w:rPr>
          <w:bCs/>
          <w:sz w:val="22"/>
        </w:rPr>
        <w:t xml:space="preserve"> for students, teachers, and other program beneficiaries with special needs as required by the </w:t>
      </w:r>
      <w:r w:rsidRPr="002B04F9">
        <w:rPr>
          <w:bCs/>
          <w:i/>
          <w:iCs/>
          <w:sz w:val="22"/>
        </w:rPr>
        <w:t xml:space="preserve">General Education Provisions Act </w:t>
      </w:r>
      <w:r w:rsidRPr="002B04F9">
        <w:rPr>
          <w:bCs/>
          <w:sz w:val="22"/>
        </w:rPr>
        <w:t>(GEPA) 427, OMB Control No. 1894-00045, Section 427. You may consider the following examples in your description:</w:t>
      </w:r>
    </w:p>
    <w:p w14:paraId="37D5B0AB" w14:textId="77777777" w:rsidR="00801312" w:rsidRPr="002B04F9" w:rsidRDefault="00801312" w:rsidP="005E6FCF">
      <w:pPr>
        <w:pStyle w:val="BodyText2"/>
        <w:numPr>
          <w:ilvl w:val="0"/>
          <w:numId w:val="25"/>
        </w:numPr>
        <w:ind w:left="720"/>
        <w:rPr>
          <w:bCs/>
        </w:rPr>
      </w:pPr>
      <w:r w:rsidRPr="002B04F9">
        <w:rPr>
          <w:bCs/>
        </w:rPr>
        <w:t xml:space="preserve">Ensuring that events are held in accessible facilities; ensuring that materials are appropriate and accessible to all </w:t>
      </w:r>
      <w:proofErr w:type="gramStart"/>
      <w:r w:rsidRPr="002B04F9">
        <w:rPr>
          <w:bCs/>
        </w:rPr>
        <w:t>participants</w:t>
      </w:r>
      <w:proofErr w:type="gramEnd"/>
      <w:r w:rsidRPr="002B04F9">
        <w:rPr>
          <w:bCs/>
        </w:rPr>
        <w:t xml:space="preserve"> </w:t>
      </w:r>
    </w:p>
    <w:p w14:paraId="1BE7720E" w14:textId="77777777" w:rsidR="00801312" w:rsidRPr="002B04F9" w:rsidRDefault="00801312" w:rsidP="005E6FCF">
      <w:pPr>
        <w:pStyle w:val="BodyText2"/>
        <w:numPr>
          <w:ilvl w:val="0"/>
          <w:numId w:val="25"/>
        </w:numPr>
        <w:ind w:left="720"/>
        <w:rPr>
          <w:bCs/>
        </w:rPr>
      </w:pPr>
      <w:r w:rsidRPr="002B04F9">
        <w:rPr>
          <w:bCs/>
        </w:rPr>
        <w:t>Translating documents into other languages as needed</w:t>
      </w:r>
    </w:p>
    <w:p w14:paraId="190F4613" w14:textId="77777777" w:rsidR="00801312" w:rsidRPr="002B04F9" w:rsidRDefault="00801312" w:rsidP="005E6FCF">
      <w:pPr>
        <w:pStyle w:val="BodyText2"/>
        <w:numPr>
          <w:ilvl w:val="0"/>
          <w:numId w:val="25"/>
        </w:numPr>
        <w:ind w:left="720"/>
        <w:rPr>
          <w:bCs/>
        </w:rPr>
      </w:pPr>
      <w:r w:rsidRPr="002B04F9">
        <w:rPr>
          <w:bCs/>
        </w:rPr>
        <w:t xml:space="preserve">Conducting outreach or other activities to address gender or race inequities in mathematics, science, or other </w:t>
      </w:r>
      <w:proofErr w:type="gramStart"/>
      <w:r w:rsidRPr="002B04F9">
        <w:rPr>
          <w:bCs/>
        </w:rPr>
        <w:t>programs</w:t>
      </w:r>
      <w:proofErr w:type="gramEnd"/>
    </w:p>
    <w:p w14:paraId="7A000936" w14:textId="77777777" w:rsidR="00801312" w:rsidRPr="002B04F9" w:rsidRDefault="00801312" w:rsidP="005E6FCF">
      <w:pPr>
        <w:pStyle w:val="BodyText2"/>
        <w:numPr>
          <w:ilvl w:val="0"/>
          <w:numId w:val="25"/>
        </w:numPr>
        <w:ind w:left="720"/>
        <w:rPr>
          <w:bCs/>
        </w:rPr>
      </w:pPr>
      <w:r w:rsidRPr="002B04F9">
        <w:rPr>
          <w:bCs/>
        </w:rPr>
        <w:t xml:space="preserve">Efforts to involve diverse stakeholders in program planning and </w:t>
      </w:r>
      <w:proofErr w:type="gramStart"/>
      <w:r w:rsidRPr="002B04F9">
        <w:rPr>
          <w:bCs/>
        </w:rPr>
        <w:t>implementation</w:t>
      </w:r>
      <w:proofErr w:type="gramEnd"/>
    </w:p>
    <w:p w14:paraId="6E6E534D" w14:textId="77777777" w:rsidR="00801312" w:rsidRPr="002B04F9" w:rsidRDefault="00801312" w:rsidP="005E6FCF">
      <w:pPr>
        <w:pStyle w:val="BodyText2"/>
        <w:numPr>
          <w:ilvl w:val="0"/>
          <w:numId w:val="25"/>
        </w:numPr>
        <w:ind w:left="720"/>
        <w:rPr>
          <w:bCs/>
        </w:rPr>
      </w:pPr>
      <w:r w:rsidRPr="002B04F9">
        <w:rPr>
          <w:bCs/>
        </w:rPr>
        <w:t xml:space="preserve">Implementing hiring practices that ensure equitable access to job </w:t>
      </w:r>
      <w:proofErr w:type="gramStart"/>
      <w:r w:rsidRPr="002B04F9">
        <w:rPr>
          <w:bCs/>
        </w:rPr>
        <w:t>opportunities</w:t>
      </w:r>
      <w:proofErr w:type="gramEnd"/>
    </w:p>
    <w:p w14:paraId="6D78B9AE" w14:textId="77777777" w:rsidR="001551F0" w:rsidRPr="002B04F9" w:rsidRDefault="001551F0" w:rsidP="005E6FCF">
      <w:pPr>
        <w:rPr>
          <w:b/>
          <w:bCs/>
          <w:color w:val="000000"/>
          <w:u w:val="single"/>
        </w:rPr>
      </w:pPr>
    </w:p>
    <w:p w14:paraId="73E17242" w14:textId="4EF6DB45" w:rsidR="001551F0" w:rsidRPr="002B04F9" w:rsidRDefault="001551F0" w:rsidP="005E6FCF">
      <w:pPr>
        <w:pStyle w:val="Title"/>
        <w:ind w:left="0"/>
        <w:jc w:val="left"/>
        <w:rPr>
          <w:sz w:val="22"/>
          <w:szCs w:val="22"/>
          <w:u w:val="single"/>
        </w:rPr>
      </w:pPr>
      <w:r w:rsidRPr="002B04F9">
        <w:rPr>
          <w:sz w:val="22"/>
          <w:szCs w:val="22"/>
          <w:u w:val="single"/>
        </w:rPr>
        <w:t>Expenditure Description</w:t>
      </w:r>
      <w:r w:rsidR="00AA6C1D" w:rsidRPr="002B04F9">
        <w:rPr>
          <w:sz w:val="22"/>
          <w:szCs w:val="22"/>
          <w:u w:val="single"/>
        </w:rPr>
        <w:t>s (Pages 36-38)</w:t>
      </w:r>
      <w:r w:rsidRPr="002B04F9">
        <w:rPr>
          <w:sz w:val="22"/>
          <w:szCs w:val="22"/>
          <w:u w:val="single"/>
        </w:rPr>
        <w:t xml:space="preserve"> </w:t>
      </w:r>
    </w:p>
    <w:p w14:paraId="2AE94976" w14:textId="77777777" w:rsidR="001551F0" w:rsidRPr="002B04F9" w:rsidRDefault="001551F0" w:rsidP="005E6FCF">
      <w:pPr>
        <w:pStyle w:val="BodyText2"/>
        <w:rPr>
          <w:bCs/>
        </w:rPr>
      </w:pPr>
      <w:r w:rsidRPr="002B04F9">
        <w:t xml:space="preserve">Provides definitions for the object codes.  Please review carefully.  </w:t>
      </w:r>
    </w:p>
    <w:p w14:paraId="2F4B3862" w14:textId="77777777" w:rsidR="001551F0" w:rsidRPr="002B04F9" w:rsidRDefault="001551F0" w:rsidP="005E6FCF">
      <w:pPr>
        <w:rPr>
          <w:b/>
          <w:bCs/>
          <w:color w:val="000000"/>
          <w:u w:val="single"/>
        </w:rPr>
      </w:pPr>
    </w:p>
    <w:p w14:paraId="00E2C741" w14:textId="599B20EE" w:rsidR="007205F0" w:rsidRPr="002B04F9" w:rsidRDefault="007205F0" w:rsidP="005E6FCF">
      <w:pPr>
        <w:jc w:val="center"/>
        <w:rPr>
          <w:b/>
          <w:bCs/>
          <w:color w:val="000000"/>
          <w:sz w:val="22"/>
          <w:u w:val="single"/>
        </w:rPr>
      </w:pPr>
      <w:r w:rsidRPr="002B04F9">
        <w:rPr>
          <w:b/>
          <w:bCs/>
          <w:color w:val="000000"/>
          <w:sz w:val="22"/>
          <w:u w:val="single"/>
        </w:rPr>
        <w:t>TITLE II, PART A, TEACHER QUALITY SPECIFIC GUIDELINES</w:t>
      </w:r>
    </w:p>
    <w:p w14:paraId="1702C203" w14:textId="77777777" w:rsidR="007205F0" w:rsidRPr="002B04F9" w:rsidRDefault="007205F0" w:rsidP="005E6FCF">
      <w:pPr>
        <w:rPr>
          <w:b/>
          <w:bCs/>
          <w:color w:val="000000"/>
          <w:sz w:val="22"/>
        </w:rPr>
      </w:pPr>
    </w:p>
    <w:p w14:paraId="5FD9A5CF" w14:textId="77777777" w:rsidR="00C94224" w:rsidRPr="002B04F9" w:rsidRDefault="00C94224" w:rsidP="005E6FCF">
      <w:pPr>
        <w:pStyle w:val="Heading2"/>
        <w:rPr>
          <w:color w:val="000000"/>
          <w:sz w:val="22"/>
        </w:rPr>
      </w:pPr>
      <w:r w:rsidRPr="002B04F9">
        <w:rPr>
          <w:color w:val="000000"/>
          <w:sz w:val="22"/>
        </w:rPr>
        <w:t xml:space="preserve">Local Applications and </w:t>
      </w:r>
      <w:r w:rsidR="00B14102" w:rsidRPr="002B04F9">
        <w:rPr>
          <w:color w:val="000000"/>
          <w:sz w:val="22"/>
        </w:rPr>
        <w:t>Consultation</w:t>
      </w:r>
    </w:p>
    <w:p w14:paraId="3BBAEECC" w14:textId="77777777" w:rsidR="002E50D8" w:rsidRPr="002B04F9" w:rsidRDefault="0092303F" w:rsidP="005E6FCF">
      <w:pPr>
        <w:rPr>
          <w:color w:val="000000"/>
          <w:sz w:val="22"/>
        </w:rPr>
      </w:pPr>
      <w:r w:rsidRPr="002B04F9">
        <w:rPr>
          <w:color w:val="000000"/>
          <w:sz w:val="22"/>
        </w:rPr>
        <w:t>Each application submitted under this</w:t>
      </w:r>
      <w:r w:rsidR="00B14102" w:rsidRPr="002B04F9">
        <w:rPr>
          <w:color w:val="000000"/>
          <w:sz w:val="22"/>
        </w:rPr>
        <w:t xml:space="preserve"> section shall include the following:</w:t>
      </w:r>
    </w:p>
    <w:p w14:paraId="0D67DC2F" w14:textId="77777777" w:rsidR="00F615F5" w:rsidRPr="002B04F9" w:rsidRDefault="00F615F5" w:rsidP="005E6FCF">
      <w:pPr>
        <w:numPr>
          <w:ilvl w:val="0"/>
          <w:numId w:val="28"/>
        </w:numPr>
        <w:rPr>
          <w:color w:val="000000"/>
          <w:sz w:val="22"/>
        </w:rPr>
      </w:pPr>
      <w:r w:rsidRPr="002B04F9">
        <w:rPr>
          <w:color w:val="000000"/>
          <w:sz w:val="22"/>
        </w:rPr>
        <w:t xml:space="preserve">A description of the activities to be carried out by the local educational agency and how these activities will be aligned with challenging State academic </w:t>
      </w:r>
      <w:proofErr w:type="gramStart"/>
      <w:r w:rsidRPr="002B04F9">
        <w:rPr>
          <w:color w:val="000000"/>
          <w:sz w:val="22"/>
        </w:rPr>
        <w:t>standards;</w:t>
      </w:r>
      <w:proofErr w:type="gramEnd"/>
    </w:p>
    <w:p w14:paraId="6476A2E8" w14:textId="77777777" w:rsidR="00F615F5" w:rsidRPr="002B04F9" w:rsidRDefault="00F615F5" w:rsidP="005E6FCF">
      <w:pPr>
        <w:numPr>
          <w:ilvl w:val="0"/>
          <w:numId w:val="28"/>
        </w:numPr>
        <w:rPr>
          <w:color w:val="000000"/>
          <w:sz w:val="22"/>
        </w:rPr>
      </w:pPr>
      <w:r w:rsidRPr="002B04F9">
        <w:rPr>
          <w:color w:val="000000"/>
          <w:sz w:val="22"/>
        </w:rPr>
        <w:t>A description of the local educational agency’s systems of professional growth and improvement, such as induction for teachers, principals, or other school leaders and opportunities for building the capacity of teachers and opportunities to develo</w:t>
      </w:r>
      <w:r w:rsidR="002919B3" w:rsidRPr="002B04F9">
        <w:rPr>
          <w:color w:val="000000"/>
          <w:sz w:val="22"/>
        </w:rPr>
        <w:t xml:space="preserve">p meaningful teacher </w:t>
      </w:r>
      <w:proofErr w:type="gramStart"/>
      <w:r w:rsidR="002919B3" w:rsidRPr="002B04F9">
        <w:rPr>
          <w:color w:val="000000"/>
          <w:sz w:val="22"/>
        </w:rPr>
        <w:t>leadership;</w:t>
      </w:r>
      <w:proofErr w:type="gramEnd"/>
    </w:p>
    <w:p w14:paraId="73F80E64" w14:textId="2F0E539F" w:rsidR="00E961C9" w:rsidRPr="002B04F9" w:rsidRDefault="00F615F5" w:rsidP="00B863B9">
      <w:pPr>
        <w:numPr>
          <w:ilvl w:val="0"/>
          <w:numId w:val="28"/>
        </w:numPr>
        <w:rPr>
          <w:color w:val="000000"/>
          <w:sz w:val="22"/>
        </w:rPr>
      </w:pPr>
      <w:r w:rsidRPr="002B04F9">
        <w:rPr>
          <w:color w:val="000000"/>
          <w:sz w:val="22"/>
        </w:rPr>
        <w:t>A description of how the local educational agency will prioritize funds to schools served by the agency that are implementing comprehensive support and improvement activities and targeted support an</w:t>
      </w:r>
      <w:r w:rsidR="0061273D" w:rsidRPr="002B04F9">
        <w:rPr>
          <w:color w:val="000000"/>
          <w:sz w:val="22"/>
        </w:rPr>
        <w:t>d improvement activities under S</w:t>
      </w:r>
      <w:r w:rsidRPr="002B04F9">
        <w:rPr>
          <w:color w:val="000000"/>
          <w:sz w:val="22"/>
        </w:rPr>
        <w:t>ection 1111(d) and have the highest percentage of chil</w:t>
      </w:r>
      <w:r w:rsidR="0061273D" w:rsidRPr="002B04F9">
        <w:rPr>
          <w:color w:val="000000"/>
          <w:sz w:val="22"/>
        </w:rPr>
        <w:t>dren counted under S</w:t>
      </w:r>
      <w:r w:rsidR="00B863B9" w:rsidRPr="002B04F9">
        <w:rPr>
          <w:color w:val="000000"/>
          <w:sz w:val="22"/>
        </w:rPr>
        <w:t>ection 1124(c); and</w:t>
      </w:r>
    </w:p>
    <w:p w14:paraId="630F5DBB" w14:textId="3911EDE5" w:rsidR="00221650" w:rsidRPr="002B04F9" w:rsidRDefault="00F615F5" w:rsidP="005E6FCF">
      <w:pPr>
        <w:numPr>
          <w:ilvl w:val="0"/>
          <w:numId w:val="28"/>
        </w:numPr>
        <w:rPr>
          <w:color w:val="000000"/>
          <w:sz w:val="22"/>
        </w:rPr>
      </w:pPr>
      <w:r w:rsidRPr="002B04F9">
        <w:rPr>
          <w:color w:val="000000"/>
          <w:sz w:val="22"/>
        </w:rPr>
        <w:t>A description of how the local educational agency will use data and ongoing consultation described in paragraph (3) to continually update and improve activities supported under this part; and</w:t>
      </w:r>
    </w:p>
    <w:p w14:paraId="7FE0436D" w14:textId="77777777" w:rsidR="00221650" w:rsidRPr="002B04F9" w:rsidRDefault="00221650">
      <w:pPr>
        <w:rPr>
          <w:color w:val="000000"/>
          <w:sz w:val="22"/>
        </w:rPr>
      </w:pPr>
      <w:r w:rsidRPr="002B04F9">
        <w:rPr>
          <w:color w:val="000000"/>
          <w:sz w:val="22"/>
        </w:rPr>
        <w:br w:type="page"/>
      </w:r>
    </w:p>
    <w:p w14:paraId="270655AF" w14:textId="77777777" w:rsidR="008B681D" w:rsidRPr="002B04F9" w:rsidRDefault="008B681D" w:rsidP="00221650">
      <w:pPr>
        <w:ind w:left="720"/>
        <w:rPr>
          <w:color w:val="000000"/>
          <w:sz w:val="22"/>
        </w:rPr>
      </w:pPr>
    </w:p>
    <w:p w14:paraId="5F8BC3AC" w14:textId="77777777" w:rsidR="00F615F5" w:rsidRPr="002B04F9" w:rsidRDefault="00F615F5" w:rsidP="005E6FCF">
      <w:pPr>
        <w:numPr>
          <w:ilvl w:val="0"/>
          <w:numId w:val="28"/>
        </w:numPr>
        <w:rPr>
          <w:color w:val="000000"/>
          <w:sz w:val="22"/>
        </w:rPr>
      </w:pPr>
      <w:r w:rsidRPr="002B04F9">
        <w:rPr>
          <w:color w:val="000000"/>
          <w:sz w:val="22"/>
        </w:rPr>
        <w:t>A description of how the local education agency:</w:t>
      </w:r>
    </w:p>
    <w:p w14:paraId="5249E1D8" w14:textId="77777777" w:rsidR="00CC07C3" w:rsidRPr="002B04F9" w:rsidRDefault="00F615F5" w:rsidP="005E6FCF">
      <w:pPr>
        <w:numPr>
          <w:ilvl w:val="1"/>
          <w:numId w:val="28"/>
        </w:numPr>
        <w:rPr>
          <w:color w:val="000000"/>
          <w:sz w:val="22"/>
        </w:rPr>
      </w:pPr>
      <w:r w:rsidRPr="002B04F9">
        <w:rPr>
          <w:color w:val="000000"/>
          <w:sz w:val="22"/>
        </w:rPr>
        <w:t xml:space="preserve">meaningfully consulted with teachers, principals, other school leaders, paraprofessionals (including organizations representing such individuals), specialized instructional support personnel, charter school leaders (in a local educational agency that has charter schools), parents, community partners, and other organizations or partners with relevant and </w:t>
      </w:r>
    </w:p>
    <w:p w14:paraId="3C1BCD37" w14:textId="1820300D" w:rsidR="00F615F5" w:rsidRPr="002B04F9" w:rsidRDefault="00F615F5" w:rsidP="005E6FCF">
      <w:pPr>
        <w:ind w:left="1440"/>
        <w:rPr>
          <w:color w:val="000000"/>
          <w:sz w:val="22"/>
        </w:rPr>
      </w:pPr>
      <w:r w:rsidRPr="002B04F9">
        <w:rPr>
          <w:color w:val="000000"/>
          <w:sz w:val="22"/>
        </w:rPr>
        <w:t xml:space="preserve">demonstrated expertise in programs and activities designed to meet the purpose of this </w:t>
      </w:r>
      <w:proofErr w:type="gramStart"/>
      <w:r w:rsidRPr="002B04F9">
        <w:rPr>
          <w:color w:val="000000"/>
          <w:sz w:val="22"/>
        </w:rPr>
        <w:t>title;</w:t>
      </w:r>
      <w:proofErr w:type="gramEnd"/>
    </w:p>
    <w:p w14:paraId="648EBD15" w14:textId="77777777" w:rsidR="00F615F5" w:rsidRPr="002B04F9" w:rsidRDefault="00F615F5" w:rsidP="005E6FCF">
      <w:pPr>
        <w:numPr>
          <w:ilvl w:val="1"/>
          <w:numId w:val="28"/>
        </w:numPr>
        <w:rPr>
          <w:color w:val="000000"/>
          <w:sz w:val="22"/>
        </w:rPr>
      </w:pPr>
      <w:r w:rsidRPr="002B04F9">
        <w:rPr>
          <w:color w:val="000000"/>
          <w:sz w:val="22"/>
        </w:rPr>
        <w:t>sought advice from the individuals and organizations described in subparagraph (A) regarding how best to improve the local educational agency’s activities to meet the purpose of this title; and</w:t>
      </w:r>
    </w:p>
    <w:p w14:paraId="2E082276" w14:textId="57B97823" w:rsidR="00CC07C3" w:rsidRPr="002B04F9" w:rsidRDefault="00F615F5" w:rsidP="005E6FCF">
      <w:pPr>
        <w:numPr>
          <w:ilvl w:val="1"/>
          <w:numId w:val="28"/>
        </w:numPr>
        <w:rPr>
          <w:color w:val="000000"/>
          <w:sz w:val="22"/>
        </w:rPr>
      </w:pPr>
      <w:r w:rsidRPr="002B04F9">
        <w:rPr>
          <w:color w:val="000000"/>
          <w:sz w:val="22"/>
        </w:rPr>
        <w:t>coordinated the local educational agency’s activities under this part with other related strategies, programs, and activities being conducted in the community.</w:t>
      </w:r>
    </w:p>
    <w:p w14:paraId="0142AF6F" w14:textId="77777777" w:rsidR="00B863B9" w:rsidRPr="002B04F9" w:rsidRDefault="00B863B9" w:rsidP="00B863B9">
      <w:pPr>
        <w:ind w:left="1080"/>
        <w:rPr>
          <w:color w:val="000000"/>
          <w:sz w:val="22"/>
        </w:rPr>
      </w:pPr>
    </w:p>
    <w:p w14:paraId="65946FB8" w14:textId="7DC3FC51" w:rsidR="00C94224" w:rsidRPr="002B04F9" w:rsidRDefault="00C94224" w:rsidP="005E6FCF">
      <w:pPr>
        <w:pStyle w:val="Heading2"/>
        <w:rPr>
          <w:color w:val="000000"/>
          <w:sz w:val="22"/>
        </w:rPr>
      </w:pPr>
      <w:r w:rsidRPr="002B04F9">
        <w:rPr>
          <w:color w:val="000000"/>
          <w:sz w:val="22"/>
        </w:rPr>
        <w:t>Local Uses of Funds</w:t>
      </w:r>
    </w:p>
    <w:p w14:paraId="0A8EDB09" w14:textId="597B3BEC" w:rsidR="00C03933" w:rsidRPr="002B04F9" w:rsidRDefault="00F615F5" w:rsidP="005E6FCF">
      <w:pPr>
        <w:rPr>
          <w:color w:val="000000"/>
          <w:sz w:val="22"/>
        </w:rPr>
      </w:pPr>
      <w:r w:rsidRPr="002B04F9">
        <w:rPr>
          <w:color w:val="000000"/>
          <w:sz w:val="22"/>
        </w:rPr>
        <w:t>A local educational agency that receives a subgrant shall use the funds made available through the subgrant to carry out one or more of the activities below, including carrying out the activities through a grant or contract with a for-profit or nonprofit entity or in partnership with an institution of higher education or an Indian tribe or tribal organization. The programs and activities shall address the learning needs of all students, including children with disabilities, English learners, and gifted and talented students.</w:t>
      </w:r>
    </w:p>
    <w:p w14:paraId="25759F0B" w14:textId="77777777" w:rsidR="00F615F5" w:rsidRPr="002B04F9" w:rsidRDefault="00F615F5" w:rsidP="005E6FCF">
      <w:pPr>
        <w:numPr>
          <w:ilvl w:val="0"/>
          <w:numId w:val="24"/>
        </w:numPr>
        <w:rPr>
          <w:color w:val="000000"/>
          <w:sz w:val="22"/>
        </w:rPr>
      </w:pPr>
      <w:r w:rsidRPr="002B04F9">
        <w:rPr>
          <w:color w:val="000000"/>
          <w:sz w:val="22"/>
        </w:rPr>
        <w:t>Developing or improving a rigorous, transparent, and fair evaluation and support system for teachers, principals, or other school leaders that—</w:t>
      </w:r>
    </w:p>
    <w:p w14:paraId="2C633A5F" w14:textId="2C6B231D" w:rsidR="00F615F5" w:rsidRPr="002B04F9" w:rsidRDefault="00F615F5" w:rsidP="005E6FCF">
      <w:pPr>
        <w:pStyle w:val="ListParagraph"/>
        <w:numPr>
          <w:ilvl w:val="1"/>
          <w:numId w:val="40"/>
        </w:numPr>
        <w:ind w:left="1440"/>
        <w:rPr>
          <w:color w:val="000000"/>
          <w:sz w:val="22"/>
        </w:rPr>
      </w:pPr>
      <w:r w:rsidRPr="002B04F9">
        <w:rPr>
          <w:color w:val="000000"/>
          <w:sz w:val="22"/>
        </w:rPr>
        <w:t>is based in part on evidence of student achievement, which may include student growth; and</w:t>
      </w:r>
    </w:p>
    <w:p w14:paraId="18AD8950" w14:textId="32441EF5" w:rsidR="004E4660" w:rsidRPr="002B04F9" w:rsidRDefault="00F615F5" w:rsidP="005E6FCF">
      <w:pPr>
        <w:pStyle w:val="ListParagraph"/>
        <w:numPr>
          <w:ilvl w:val="1"/>
          <w:numId w:val="40"/>
        </w:numPr>
        <w:ind w:left="1440"/>
        <w:rPr>
          <w:color w:val="000000"/>
          <w:sz w:val="22"/>
        </w:rPr>
      </w:pPr>
      <w:r w:rsidRPr="002B04F9">
        <w:rPr>
          <w:color w:val="000000"/>
          <w:sz w:val="22"/>
        </w:rPr>
        <w:t xml:space="preserve">shall include multiple measures of educator performance and provide clear, timely, and useful feedback to teachers, principals, or other school </w:t>
      </w:r>
      <w:proofErr w:type="gramStart"/>
      <w:r w:rsidRPr="002B04F9">
        <w:rPr>
          <w:color w:val="000000"/>
          <w:sz w:val="22"/>
        </w:rPr>
        <w:t>leaders;</w:t>
      </w:r>
      <w:proofErr w:type="gramEnd"/>
    </w:p>
    <w:p w14:paraId="51C13546" w14:textId="70BCDE6A" w:rsidR="004E4660" w:rsidRPr="002B04F9" w:rsidRDefault="00F615F5" w:rsidP="005E6FCF">
      <w:pPr>
        <w:numPr>
          <w:ilvl w:val="0"/>
          <w:numId w:val="24"/>
        </w:numPr>
        <w:rPr>
          <w:color w:val="000000"/>
          <w:sz w:val="22"/>
        </w:rPr>
      </w:pPr>
      <w:r w:rsidRPr="002B04F9">
        <w:rPr>
          <w:color w:val="000000"/>
          <w:sz w:val="22"/>
        </w:rPr>
        <w:t xml:space="preserve">Developing and implementing mechanisms to assist schools in recruiting, hiring, and retaining effective teachers, particularly in low-income schools with high percentages of </w:t>
      </w:r>
      <w:proofErr w:type="gramStart"/>
      <w:r w:rsidRPr="002B04F9">
        <w:rPr>
          <w:color w:val="000000"/>
          <w:sz w:val="22"/>
        </w:rPr>
        <w:t>ineffective</w:t>
      </w:r>
      <w:proofErr w:type="gramEnd"/>
      <w:r w:rsidRPr="002B04F9">
        <w:rPr>
          <w:color w:val="000000"/>
          <w:sz w:val="22"/>
        </w:rPr>
        <w:t xml:space="preserve"> </w:t>
      </w:r>
    </w:p>
    <w:p w14:paraId="56B14740" w14:textId="0C82EBF4" w:rsidR="00F615F5" w:rsidRPr="002B04F9" w:rsidRDefault="00F615F5" w:rsidP="005E6FCF">
      <w:pPr>
        <w:ind w:left="720"/>
        <w:rPr>
          <w:color w:val="000000"/>
          <w:sz w:val="22"/>
        </w:rPr>
      </w:pPr>
      <w:r w:rsidRPr="002B04F9">
        <w:rPr>
          <w:color w:val="000000"/>
          <w:sz w:val="22"/>
        </w:rPr>
        <w:t>teachers and high percentages of students who do not meet the challenging State academic standards, to improve within-district equity in the distributio</w:t>
      </w:r>
      <w:r w:rsidR="0061273D" w:rsidRPr="002B04F9">
        <w:rPr>
          <w:color w:val="000000"/>
          <w:sz w:val="22"/>
        </w:rPr>
        <w:t>n of teachers, consistent with S</w:t>
      </w:r>
      <w:r w:rsidRPr="002B04F9">
        <w:rPr>
          <w:color w:val="000000"/>
          <w:sz w:val="22"/>
        </w:rPr>
        <w:t>ection 1111(g)(1)(B), such as initiatives that provide—</w:t>
      </w:r>
    </w:p>
    <w:p w14:paraId="6A0752DD" w14:textId="11619D56" w:rsidR="00F615F5" w:rsidRPr="002B04F9" w:rsidRDefault="00F615F5" w:rsidP="005E6FCF">
      <w:pPr>
        <w:numPr>
          <w:ilvl w:val="2"/>
          <w:numId w:val="29"/>
        </w:numPr>
        <w:ind w:left="1440" w:hanging="360"/>
        <w:rPr>
          <w:color w:val="000000"/>
          <w:sz w:val="22"/>
        </w:rPr>
      </w:pPr>
      <w:r w:rsidRPr="002B04F9">
        <w:rPr>
          <w:color w:val="000000"/>
          <w:sz w:val="22"/>
        </w:rPr>
        <w:t xml:space="preserve">expert help in screening candidates and enabling early </w:t>
      </w:r>
      <w:proofErr w:type="gramStart"/>
      <w:r w:rsidRPr="002B04F9">
        <w:rPr>
          <w:color w:val="000000"/>
          <w:sz w:val="22"/>
        </w:rPr>
        <w:t>hiring;</w:t>
      </w:r>
      <w:proofErr w:type="gramEnd"/>
    </w:p>
    <w:p w14:paraId="3602E8B7" w14:textId="77777777" w:rsidR="00F615F5" w:rsidRPr="002B04F9" w:rsidRDefault="00F615F5" w:rsidP="005E6FCF">
      <w:pPr>
        <w:numPr>
          <w:ilvl w:val="2"/>
          <w:numId w:val="29"/>
        </w:numPr>
        <w:ind w:left="1440" w:hanging="360"/>
        <w:rPr>
          <w:color w:val="000000"/>
          <w:sz w:val="22"/>
        </w:rPr>
      </w:pPr>
      <w:r w:rsidRPr="002B04F9">
        <w:rPr>
          <w:color w:val="000000"/>
          <w:sz w:val="22"/>
        </w:rPr>
        <w:t xml:space="preserve">differential and incentive pay for teachers, principals, or other school leaders in high-need academic subject areas and specialty areas, which may include performance-based pay </w:t>
      </w:r>
      <w:proofErr w:type="gramStart"/>
      <w:r w:rsidRPr="002B04F9">
        <w:rPr>
          <w:color w:val="000000"/>
          <w:sz w:val="22"/>
        </w:rPr>
        <w:t>systems;</w:t>
      </w:r>
      <w:proofErr w:type="gramEnd"/>
    </w:p>
    <w:p w14:paraId="28A674B2" w14:textId="77777777" w:rsidR="00F615F5" w:rsidRPr="002B04F9" w:rsidRDefault="00F615F5" w:rsidP="005E6FCF">
      <w:pPr>
        <w:numPr>
          <w:ilvl w:val="2"/>
          <w:numId w:val="29"/>
        </w:numPr>
        <w:ind w:left="1440" w:hanging="360"/>
        <w:rPr>
          <w:color w:val="000000"/>
          <w:sz w:val="22"/>
        </w:rPr>
      </w:pPr>
      <w:r w:rsidRPr="002B04F9">
        <w:rPr>
          <w:color w:val="000000"/>
          <w:sz w:val="22"/>
        </w:rPr>
        <w:t xml:space="preserve"> teacher, paraprofessional, principal, or other school leader advancement and professional growth, and an emphasis on leadership opportunities, multiple career paths, and pay </w:t>
      </w:r>
      <w:proofErr w:type="gramStart"/>
      <w:r w:rsidRPr="002B04F9">
        <w:rPr>
          <w:color w:val="000000"/>
          <w:sz w:val="22"/>
        </w:rPr>
        <w:t>differentiation;</w:t>
      </w:r>
      <w:proofErr w:type="gramEnd"/>
    </w:p>
    <w:p w14:paraId="14D79DB1" w14:textId="77777777" w:rsidR="00F615F5" w:rsidRPr="002B04F9" w:rsidRDefault="00F615F5" w:rsidP="005E6FCF">
      <w:pPr>
        <w:numPr>
          <w:ilvl w:val="2"/>
          <w:numId w:val="29"/>
        </w:numPr>
        <w:ind w:left="1440" w:hanging="360"/>
        <w:rPr>
          <w:color w:val="000000"/>
          <w:sz w:val="22"/>
        </w:rPr>
      </w:pPr>
      <w:r w:rsidRPr="002B04F9">
        <w:rPr>
          <w:color w:val="000000"/>
          <w:sz w:val="22"/>
        </w:rPr>
        <w:t>new teacher, principal, or other school leader induction and mentoring programs that are designed to—</w:t>
      </w:r>
    </w:p>
    <w:p w14:paraId="2EC95EA7" w14:textId="0BB35766" w:rsidR="00F615F5" w:rsidRPr="002B04F9" w:rsidRDefault="00F615F5" w:rsidP="005E6FCF">
      <w:pPr>
        <w:pStyle w:val="ListParagraph"/>
        <w:numPr>
          <w:ilvl w:val="3"/>
          <w:numId w:val="44"/>
        </w:numPr>
        <w:ind w:left="2160"/>
        <w:rPr>
          <w:color w:val="000000"/>
          <w:sz w:val="22"/>
        </w:rPr>
      </w:pPr>
      <w:r w:rsidRPr="002B04F9">
        <w:rPr>
          <w:color w:val="000000"/>
          <w:sz w:val="22"/>
        </w:rPr>
        <w:t>improve classroom instruction and student learning and achievement; and</w:t>
      </w:r>
    </w:p>
    <w:p w14:paraId="7E40EDDA" w14:textId="0DEAAEAC" w:rsidR="00F615F5" w:rsidRPr="002B04F9" w:rsidRDefault="00F615F5" w:rsidP="005E6FCF">
      <w:pPr>
        <w:pStyle w:val="ListParagraph"/>
        <w:numPr>
          <w:ilvl w:val="3"/>
          <w:numId w:val="44"/>
        </w:numPr>
        <w:ind w:left="2160"/>
        <w:rPr>
          <w:color w:val="000000"/>
          <w:sz w:val="22"/>
        </w:rPr>
      </w:pPr>
      <w:r w:rsidRPr="002B04F9">
        <w:rPr>
          <w:color w:val="000000"/>
          <w:sz w:val="22"/>
        </w:rPr>
        <w:t xml:space="preserve">increase the retention of effective teachers, principals, or other school </w:t>
      </w:r>
      <w:proofErr w:type="gramStart"/>
      <w:r w:rsidRPr="002B04F9">
        <w:rPr>
          <w:color w:val="000000"/>
          <w:sz w:val="22"/>
        </w:rPr>
        <w:t>leaders;</w:t>
      </w:r>
      <w:proofErr w:type="gramEnd"/>
    </w:p>
    <w:p w14:paraId="1BF1C573" w14:textId="77777777" w:rsidR="00F615F5" w:rsidRPr="002B04F9" w:rsidRDefault="00F615F5" w:rsidP="005E6FCF">
      <w:pPr>
        <w:numPr>
          <w:ilvl w:val="2"/>
          <w:numId w:val="29"/>
        </w:numPr>
        <w:ind w:left="1440" w:hanging="360"/>
        <w:rPr>
          <w:color w:val="000000"/>
          <w:sz w:val="22"/>
        </w:rPr>
      </w:pPr>
      <w:r w:rsidRPr="002B04F9">
        <w:rPr>
          <w:color w:val="000000"/>
          <w:sz w:val="22"/>
        </w:rPr>
        <w:t>the development and provision of training for school leaders, coaches, mentors, and evaluators on how accurately to differentiate performance, provide useful feedback, and use evaluation results to inform decision-making about professional development, improvement strategies, and personnel decisions; and</w:t>
      </w:r>
    </w:p>
    <w:p w14:paraId="25308CFE" w14:textId="0807DC0A" w:rsidR="00221650" w:rsidRPr="002B04F9" w:rsidRDefault="00F615F5" w:rsidP="005E6FCF">
      <w:pPr>
        <w:numPr>
          <w:ilvl w:val="2"/>
          <w:numId w:val="29"/>
        </w:numPr>
        <w:ind w:left="1440" w:hanging="360"/>
        <w:rPr>
          <w:color w:val="000000"/>
          <w:sz w:val="22"/>
        </w:rPr>
      </w:pPr>
      <w:r w:rsidRPr="002B04F9">
        <w:rPr>
          <w:color w:val="000000"/>
          <w:sz w:val="22"/>
        </w:rPr>
        <w:t xml:space="preserve">a system for auditing the quality of evaluation and support </w:t>
      </w:r>
      <w:proofErr w:type="gramStart"/>
      <w:r w:rsidRPr="002B04F9">
        <w:rPr>
          <w:color w:val="000000"/>
          <w:sz w:val="22"/>
        </w:rPr>
        <w:t>systems;</w:t>
      </w:r>
      <w:proofErr w:type="gramEnd"/>
    </w:p>
    <w:p w14:paraId="30911478" w14:textId="77777777" w:rsidR="00221650" w:rsidRPr="002B04F9" w:rsidRDefault="00221650">
      <w:pPr>
        <w:rPr>
          <w:color w:val="000000"/>
          <w:sz w:val="22"/>
        </w:rPr>
      </w:pPr>
      <w:r w:rsidRPr="002B04F9">
        <w:rPr>
          <w:color w:val="000000"/>
          <w:sz w:val="22"/>
        </w:rPr>
        <w:br w:type="page"/>
      </w:r>
    </w:p>
    <w:p w14:paraId="716D4548" w14:textId="77777777" w:rsidR="008B681D" w:rsidRPr="002B04F9" w:rsidRDefault="008B681D" w:rsidP="00221650">
      <w:pPr>
        <w:ind w:left="1440"/>
        <w:rPr>
          <w:color w:val="000000"/>
          <w:sz w:val="22"/>
        </w:rPr>
      </w:pPr>
    </w:p>
    <w:p w14:paraId="529DB94D" w14:textId="77777777" w:rsidR="00F615F5" w:rsidRPr="002B04F9" w:rsidRDefault="00F615F5" w:rsidP="005E6FCF">
      <w:pPr>
        <w:numPr>
          <w:ilvl w:val="0"/>
          <w:numId w:val="24"/>
        </w:numPr>
        <w:rPr>
          <w:color w:val="000000"/>
          <w:sz w:val="22"/>
        </w:rPr>
      </w:pPr>
      <w:r w:rsidRPr="002B04F9">
        <w:rPr>
          <w:color w:val="000000"/>
          <w:sz w:val="22"/>
        </w:rPr>
        <w:t xml:space="preserve">Recruiting qualified individuals from other fields to become teachers, principals, or other school leaders, including mid-career professionals from other occupations, former military personnel, and recent graduates of institutions of higher education with records of academic distinction who demonstrate potential to become effective teachers, principals, or other school </w:t>
      </w:r>
      <w:proofErr w:type="gramStart"/>
      <w:r w:rsidRPr="002B04F9">
        <w:rPr>
          <w:color w:val="000000"/>
          <w:sz w:val="22"/>
        </w:rPr>
        <w:t>leaders;</w:t>
      </w:r>
      <w:proofErr w:type="gramEnd"/>
    </w:p>
    <w:p w14:paraId="097DF023" w14:textId="1BB7973B" w:rsidR="00F615F5" w:rsidRPr="002B04F9" w:rsidRDefault="00F615F5" w:rsidP="005E6FCF">
      <w:pPr>
        <w:numPr>
          <w:ilvl w:val="0"/>
          <w:numId w:val="24"/>
        </w:numPr>
        <w:rPr>
          <w:color w:val="000000"/>
          <w:sz w:val="22"/>
        </w:rPr>
      </w:pPr>
      <w:r w:rsidRPr="002B04F9">
        <w:rPr>
          <w:color w:val="000000"/>
          <w:sz w:val="22"/>
        </w:rPr>
        <w:t xml:space="preserve">Reducing class size to a level that is evidence-based, to the extent the State (in consultation with local educational agencies in the State) determines that such evidence is reasonably available, to improve student achievement through the recruiting and hiring of additional effective </w:t>
      </w:r>
      <w:proofErr w:type="gramStart"/>
      <w:r w:rsidRPr="002B04F9">
        <w:rPr>
          <w:color w:val="000000"/>
          <w:sz w:val="22"/>
        </w:rPr>
        <w:t>teachers;</w:t>
      </w:r>
      <w:proofErr w:type="gramEnd"/>
    </w:p>
    <w:p w14:paraId="0DF39D8B" w14:textId="25F1615C" w:rsidR="00F615F5" w:rsidRPr="002B04F9" w:rsidRDefault="00F615F5" w:rsidP="00B863B9">
      <w:pPr>
        <w:numPr>
          <w:ilvl w:val="0"/>
          <w:numId w:val="24"/>
        </w:numPr>
        <w:rPr>
          <w:color w:val="000000"/>
          <w:sz w:val="22"/>
        </w:rPr>
      </w:pPr>
      <w:r w:rsidRPr="002B04F9">
        <w:rPr>
          <w:color w:val="000000"/>
          <w:sz w:val="22"/>
        </w:rPr>
        <w:t>Providing high-quality, personalized professional development that is evidence-based, to the extent the State (in consultation with local educational agencies in the State) determines that such evidence is reasonably available, for teachers, instructional leadership teams, principals, or other school leaders, that is focused on improving teaching and student learning and achievement, including supporting efforts to train teachers, principals, or other school leaders to—</w:t>
      </w:r>
    </w:p>
    <w:p w14:paraId="01D2BFE3" w14:textId="31200015" w:rsidR="00F615F5" w:rsidRPr="002B04F9" w:rsidRDefault="00F615F5">
      <w:pPr>
        <w:pStyle w:val="ListParagraph"/>
        <w:numPr>
          <w:ilvl w:val="3"/>
          <w:numId w:val="46"/>
        </w:numPr>
        <w:ind w:left="1440"/>
        <w:rPr>
          <w:color w:val="000000"/>
          <w:sz w:val="22"/>
        </w:rPr>
      </w:pPr>
      <w:r w:rsidRPr="002B04F9">
        <w:rPr>
          <w:color w:val="000000"/>
          <w:sz w:val="22"/>
        </w:rPr>
        <w:t>effectively integrate technology into curricula and instruction (including education about the harms of copyright piracy</w:t>
      </w:r>
      <w:proofErr w:type="gramStart"/>
      <w:r w:rsidRPr="002B04F9">
        <w:rPr>
          <w:color w:val="000000"/>
          <w:sz w:val="22"/>
        </w:rPr>
        <w:t>);</w:t>
      </w:r>
      <w:proofErr w:type="gramEnd"/>
    </w:p>
    <w:p w14:paraId="2A88DB47" w14:textId="73FB5C89" w:rsidR="00F615F5" w:rsidRPr="002B04F9" w:rsidRDefault="00F615F5" w:rsidP="005E6FCF">
      <w:pPr>
        <w:pStyle w:val="ListParagraph"/>
        <w:numPr>
          <w:ilvl w:val="3"/>
          <w:numId w:val="46"/>
        </w:numPr>
        <w:ind w:left="1440"/>
        <w:rPr>
          <w:color w:val="000000"/>
          <w:sz w:val="22"/>
        </w:rPr>
      </w:pPr>
      <w:r w:rsidRPr="002B04F9">
        <w:rPr>
          <w:color w:val="000000"/>
          <w:sz w:val="22"/>
        </w:rPr>
        <w:t>use data to improve student achievement and understand how to ensure individual student privacy i</w:t>
      </w:r>
      <w:r w:rsidR="0061273D" w:rsidRPr="002B04F9">
        <w:rPr>
          <w:color w:val="000000"/>
          <w:sz w:val="22"/>
        </w:rPr>
        <w:t>s protected, as required under S</w:t>
      </w:r>
      <w:r w:rsidRPr="002B04F9">
        <w:rPr>
          <w:color w:val="000000"/>
          <w:sz w:val="22"/>
        </w:rPr>
        <w:t xml:space="preserve">ection 444 of the General Education Provisions Act (commonly known as the ‘‘Family Educational Rights and Privacy Act of 1974’’) (20 U.S.C. 1232g) and State and local policies and laws in the use of such </w:t>
      </w:r>
      <w:proofErr w:type="gramStart"/>
      <w:r w:rsidRPr="002B04F9">
        <w:rPr>
          <w:color w:val="000000"/>
          <w:sz w:val="22"/>
        </w:rPr>
        <w:t>data;</w:t>
      </w:r>
      <w:proofErr w:type="gramEnd"/>
    </w:p>
    <w:p w14:paraId="5F50F8D9" w14:textId="1E899884" w:rsidR="00F615F5" w:rsidRPr="002B04F9" w:rsidRDefault="00F615F5" w:rsidP="005E6FCF">
      <w:pPr>
        <w:pStyle w:val="ListParagraph"/>
        <w:numPr>
          <w:ilvl w:val="3"/>
          <w:numId w:val="46"/>
        </w:numPr>
        <w:ind w:left="1440"/>
        <w:rPr>
          <w:color w:val="000000"/>
          <w:sz w:val="22"/>
        </w:rPr>
      </w:pPr>
      <w:r w:rsidRPr="002B04F9">
        <w:rPr>
          <w:color w:val="000000"/>
          <w:sz w:val="22"/>
        </w:rPr>
        <w:t xml:space="preserve">effectively engage parents, families, and community partners, and coordinate services between school and </w:t>
      </w:r>
      <w:proofErr w:type="gramStart"/>
      <w:r w:rsidRPr="002B04F9">
        <w:rPr>
          <w:color w:val="000000"/>
          <w:sz w:val="22"/>
        </w:rPr>
        <w:t>community;</w:t>
      </w:r>
      <w:proofErr w:type="gramEnd"/>
    </w:p>
    <w:p w14:paraId="406796AA" w14:textId="33C0CA34" w:rsidR="00F615F5" w:rsidRPr="002B04F9" w:rsidRDefault="00F615F5" w:rsidP="005E6FCF">
      <w:pPr>
        <w:pStyle w:val="ListParagraph"/>
        <w:numPr>
          <w:ilvl w:val="3"/>
          <w:numId w:val="46"/>
        </w:numPr>
        <w:ind w:left="1440"/>
        <w:rPr>
          <w:color w:val="000000"/>
          <w:sz w:val="22"/>
        </w:rPr>
      </w:pPr>
      <w:r w:rsidRPr="002B04F9">
        <w:rPr>
          <w:color w:val="000000"/>
          <w:sz w:val="22"/>
        </w:rPr>
        <w:t xml:space="preserve">help all students develop the skills essential for learning readiness and academic </w:t>
      </w:r>
      <w:proofErr w:type="gramStart"/>
      <w:r w:rsidRPr="002B04F9">
        <w:rPr>
          <w:color w:val="000000"/>
          <w:sz w:val="22"/>
        </w:rPr>
        <w:t>success;</w:t>
      </w:r>
      <w:proofErr w:type="gramEnd"/>
    </w:p>
    <w:p w14:paraId="610BDEEF" w14:textId="017A7C49" w:rsidR="00F615F5" w:rsidRPr="002B04F9" w:rsidRDefault="00F615F5" w:rsidP="005E6FCF">
      <w:pPr>
        <w:pStyle w:val="ListParagraph"/>
        <w:numPr>
          <w:ilvl w:val="3"/>
          <w:numId w:val="46"/>
        </w:numPr>
        <w:ind w:left="1440"/>
        <w:rPr>
          <w:color w:val="000000"/>
          <w:sz w:val="22"/>
        </w:rPr>
      </w:pPr>
      <w:r w:rsidRPr="002B04F9">
        <w:rPr>
          <w:color w:val="000000"/>
          <w:sz w:val="22"/>
        </w:rPr>
        <w:t>develop policy with school, local educational agency, community, or State leaders; and</w:t>
      </w:r>
    </w:p>
    <w:p w14:paraId="1F74553C" w14:textId="0BBDE5D4" w:rsidR="00F615F5" w:rsidRPr="002B04F9" w:rsidRDefault="00F615F5" w:rsidP="005E6FCF">
      <w:pPr>
        <w:pStyle w:val="ListParagraph"/>
        <w:numPr>
          <w:ilvl w:val="3"/>
          <w:numId w:val="46"/>
        </w:numPr>
        <w:ind w:left="1440"/>
        <w:rPr>
          <w:color w:val="000000"/>
          <w:sz w:val="22"/>
        </w:rPr>
      </w:pPr>
      <w:r w:rsidRPr="002B04F9">
        <w:rPr>
          <w:color w:val="000000"/>
          <w:sz w:val="22"/>
        </w:rPr>
        <w:t xml:space="preserve">participate in opportunities for experiential learning through </w:t>
      </w:r>
      <w:proofErr w:type="gramStart"/>
      <w:r w:rsidRPr="002B04F9">
        <w:rPr>
          <w:color w:val="000000"/>
          <w:sz w:val="22"/>
        </w:rPr>
        <w:t>observation;</w:t>
      </w:r>
      <w:proofErr w:type="gramEnd"/>
    </w:p>
    <w:p w14:paraId="1FF5CD19" w14:textId="356509CE" w:rsidR="00EF6293" w:rsidRPr="002B04F9" w:rsidRDefault="00F615F5" w:rsidP="005E6FCF">
      <w:pPr>
        <w:numPr>
          <w:ilvl w:val="0"/>
          <w:numId w:val="24"/>
        </w:numPr>
        <w:rPr>
          <w:color w:val="000000"/>
          <w:sz w:val="22"/>
        </w:rPr>
      </w:pPr>
      <w:r w:rsidRPr="002B04F9">
        <w:rPr>
          <w:color w:val="000000"/>
          <w:sz w:val="22"/>
        </w:rPr>
        <w:t xml:space="preserve">Developing programs and activities that increase the ability of teachers to effectively teach children with disabilities, including children with significant cognitive disabilities, and English learners, which may include the use of multi-tier systems of support and positive behavioral intervention and supports, so that such children with disabilities and English learners can meet the challenging State academic </w:t>
      </w:r>
      <w:proofErr w:type="gramStart"/>
      <w:r w:rsidRPr="002B04F9">
        <w:rPr>
          <w:color w:val="000000"/>
          <w:sz w:val="22"/>
        </w:rPr>
        <w:t>standards;</w:t>
      </w:r>
      <w:proofErr w:type="gramEnd"/>
    </w:p>
    <w:p w14:paraId="2F529FAF" w14:textId="5E528CF0" w:rsidR="00F615F5" w:rsidRPr="002B04F9" w:rsidRDefault="00F615F5" w:rsidP="005E6FCF">
      <w:pPr>
        <w:numPr>
          <w:ilvl w:val="0"/>
          <w:numId w:val="24"/>
        </w:numPr>
        <w:rPr>
          <w:color w:val="000000"/>
          <w:sz w:val="22"/>
        </w:rPr>
      </w:pPr>
      <w:r w:rsidRPr="002B04F9">
        <w:rPr>
          <w:color w:val="000000"/>
          <w:sz w:val="22"/>
        </w:rPr>
        <w:t>Providing programs and activities to increase—</w:t>
      </w:r>
    </w:p>
    <w:p w14:paraId="0FC4BB4B" w14:textId="77777777" w:rsidR="00F615F5" w:rsidRPr="002B04F9" w:rsidRDefault="00F615F5" w:rsidP="005E6FCF">
      <w:pPr>
        <w:ind w:left="1440" w:hanging="360"/>
        <w:rPr>
          <w:color w:val="000000"/>
          <w:sz w:val="22"/>
        </w:rPr>
      </w:pPr>
      <w:r w:rsidRPr="002B04F9">
        <w:rPr>
          <w:color w:val="000000"/>
          <w:sz w:val="22"/>
        </w:rPr>
        <w:t>(</w:t>
      </w:r>
      <w:proofErr w:type="spellStart"/>
      <w:r w:rsidRPr="002B04F9">
        <w:rPr>
          <w:color w:val="000000"/>
          <w:sz w:val="22"/>
        </w:rPr>
        <w:t>i</w:t>
      </w:r>
      <w:proofErr w:type="spellEnd"/>
      <w:r w:rsidRPr="002B04F9">
        <w:rPr>
          <w:color w:val="000000"/>
          <w:sz w:val="22"/>
        </w:rPr>
        <w:t>)   the knowledge base of teachers, principals, or other school leaders on instruction in the early grades and on strategies to measure whether young children are progressing; and</w:t>
      </w:r>
    </w:p>
    <w:p w14:paraId="54C0FF52" w14:textId="77777777" w:rsidR="00942561" w:rsidRPr="002B04F9" w:rsidRDefault="00F615F5" w:rsidP="005E6FCF">
      <w:pPr>
        <w:ind w:left="1440" w:hanging="360"/>
        <w:rPr>
          <w:color w:val="000000"/>
          <w:sz w:val="22"/>
        </w:rPr>
      </w:pPr>
      <w:r w:rsidRPr="002B04F9">
        <w:rPr>
          <w:color w:val="000000"/>
          <w:sz w:val="22"/>
        </w:rPr>
        <w:t xml:space="preserve">(ii) the ability of principals or other school leaders to support teachers, teacher leaders, early childhood educators, and other professionals to meet the needs of students through age </w:t>
      </w:r>
    </w:p>
    <w:p w14:paraId="0951E100" w14:textId="3C38E2D8" w:rsidR="00F615F5" w:rsidRPr="002B04F9" w:rsidRDefault="00F615F5" w:rsidP="005E6FCF">
      <w:pPr>
        <w:ind w:left="1440"/>
        <w:rPr>
          <w:color w:val="000000"/>
          <w:sz w:val="22"/>
        </w:rPr>
      </w:pPr>
      <w:r w:rsidRPr="002B04F9">
        <w:rPr>
          <w:color w:val="000000"/>
          <w:sz w:val="22"/>
        </w:rPr>
        <w:t>8, which may include providing joint professional learning and plann</w:t>
      </w:r>
      <w:r w:rsidR="004D6C64" w:rsidRPr="002B04F9">
        <w:rPr>
          <w:color w:val="000000"/>
          <w:sz w:val="22"/>
        </w:rPr>
        <w:t xml:space="preserve">ing activities for school </w:t>
      </w:r>
      <w:r w:rsidRPr="002B04F9">
        <w:rPr>
          <w:color w:val="000000"/>
          <w:sz w:val="22"/>
        </w:rPr>
        <w:t xml:space="preserve">staff and educators in preschool programs that address the transition to elementary </w:t>
      </w:r>
      <w:proofErr w:type="gramStart"/>
      <w:r w:rsidRPr="002B04F9">
        <w:rPr>
          <w:color w:val="000000"/>
          <w:sz w:val="22"/>
        </w:rPr>
        <w:t>school;</w:t>
      </w:r>
      <w:proofErr w:type="gramEnd"/>
    </w:p>
    <w:p w14:paraId="25316BAF" w14:textId="77777777" w:rsidR="00F615F5" w:rsidRPr="002B04F9" w:rsidRDefault="00F615F5" w:rsidP="005E6FCF">
      <w:pPr>
        <w:numPr>
          <w:ilvl w:val="0"/>
          <w:numId w:val="24"/>
        </w:numPr>
        <w:rPr>
          <w:color w:val="000000"/>
          <w:sz w:val="22"/>
        </w:rPr>
      </w:pPr>
      <w:r w:rsidRPr="002B04F9">
        <w:rPr>
          <w:color w:val="000000"/>
          <w:sz w:val="22"/>
        </w:rPr>
        <w:t xml:space="preserve">Providing training, technical assistance, and capacity-building in local educational agencies to assist teachers, principals, or other school leaders with selecting and implementing formative assessments, designing classroom-based assessments, and using data from such assessments to improve instruction and student academic achievement, which may include providing additional time for teachers to review student data and respond, as </w:t>
      </w:r>
      <w:proofErr w:type="gramStart"/>
      <w:r w:rsidRPr="002B04F9">
        <w:rPr>
          <w:color w:val="000000"/>
          <w:sz w:val="22"/>
        </w:rPr>
        <w:t>appropriate;</w:t>
      </w:r>
      <w:proofErr w:type="gramEnd"/>
    </w:p>
    <w:p w14:paraId="73FCD244" w14:textId="77777777" w:rsidR="00F615F5" w:rsidRPr="002B04F9" w:rsidRDefault="00F615F5" w:rsidP="005E6FCF">
      <w:pPr>
        <w:numPr>
          <w:ilvl w:val="0"/>
          <w:numId w:val="24"/>
        </w:numPr>
        <w:rPr>
          <w:color w:val="000000"/>
          <w:sz w:val="22"/>
        </w:rPr>
      </w:pPr>
      <w:r w:rsidRPr="002B04F9">
        <w:rPr>
          <w:color w:val="000000"/>
          <w:sz w:val="22"/>
        </w:rPr>
        <w:t>Carrying out in-service training for school personnel in—</w:t>
      </w:r>
    </w:p>
    <w:p w14:paraId="451B75A9" w14:textId="77777777" w:rsidR="00F615F5" w:rsidRPr="002B04F9" w:rsidRDefault="00F615F5" w:rsidP="005E6FCF">
      <w:pPr>
        <w:ind w:left="1440" w:hanging="360"/>
        <w:rPr>
          <w:color w:val="000000"/>
          <w:sz w:val="22"/>
        </w:rPr>
      </w:pPr>
      <w:r w:rsidRPr="002B04F9">
        <w:rPr>
          <w:color w:val="000000"/>
          <w:sz w:val="22"/>
        </w:rPr>
        <w:t>(</w:t>
      </w:r>
      <w:proofErr w:type="spellStart"/>
      <w:r w:rsidRPr="002B04F9">
        <w:rPr>
          <w:color w:val="000000"/>
          <w:sz w:val="22"/>
        </w:rPr>
        <w:t>i</w:t>
      </w:r>
      <w:proofErr w:type="spellEnd"/>
      <w:r w:rsidRPr="002B04F9">
        <w:rPr>
          <w:color w:val="000000"/>
          <w:sz w:val="22"/>
        </w:rPr>
        <w:t xml:space="preserve">) the techniques and supports needed to help educators understand when and how to refer students affected by trauma, and children with, or at risk of, mental </w:t>
      </w:r>
      <w:proofErr w:type="gramStart"/>
      <w:r w:rsidRPr="002B04F9">
        <w:rPr>
          <w:color w:val="000000"/>
          <w:sz w:val="22"/>
        </w:rPr>
        <w:t>illness;</w:t>
      </w:r>
      <w:proofErr w:type="gramEnd"/>
    </w:p>
    <w:p w14:paraId="497DB115" w14:textId="77777777" w:rsidR="00F615F5" w:rsidRPr="002B04F9" w:rsidRDefault="00F615F5" w:rsidP="005E6FCF">
      <w:pPr>
        <w:ind w:left="1440" w:hanging="360"/>
        <w:rPr>
          <w:color w:val="000000"/>
          <w:sz w:val="22"/>
        </w:rPr>
      </w:pPr>
      <w:r w:rsidRPr="002B04F9">
        <w:rPr>
          <w:color w:val="000000"/>
          <w:sz w:val="22"/>
        </w:rPr>
        <w:t xml:space="preserve">(ii) the use of referral mechanisms that effectively link such children to appropriate treatment and intervention services in the school and in the community, where </w:t>
      </w:r>
      <w:proofErr w:type="gramStart"/>
      <w:r w:rsidRPr="002B04F9">
        <w:rPr>
          <w:color w:val="000000"/>
          <w:sz w:val="22"/>
        </w:rPr>
        <w:t>appropriate;</w:t>
      </w:r>
      <w:proofErr w:type="gramEnd"/>
    </w:p>
    <w:p w14:paraId="75FF408D" w14:textId="77777777" w:rsidR="00F615F5" w:rsidRPr="002B04F9" w:rsidRDefault="00F615F5" w:rsidP="005E6FCF">
      <w:pPr>
        <w:ind w:left="1440" w:hanging="360"/>
        <w:rPr>
          <w:color w:val="000000"/>
          <w:sz w:val="22"/>
        </w:rPr>
      </w:pPr>
      <w:r w:rsidRPr="002B04F9">
        <w:rPr>
          <w:color w:val="000000"/>
          <w:sz w:val="22"/>
        </w:rPr>
        <w:t>(iii) forming partnerships between school-based mental health programs and public or private mental health organizations; and</w:t>
      </w:r>
    </w:p>
    <w:p w14:paraId="5C5C5DD4" w14:textId="02890232" w:rsidR="00F615F5" w:rsidRPr="002B04F9" w:rsidRDefault="00F615F5" w:rsidP="005E6FCF">
      <w:pPr>
        <w:ind w:left="1440" w:hanging="360"/>
        <w:rPr>
          <w:color w:val="000000"/>
          <w:sz w:val="22"/>
        </w:rPr>
      </w:pPr>
      <w:r w:rsidRPr="002B04F9">
        <w:rPr>
          <w:color w:val="000000"/>
          <w:sz w:val="22"/>
        </w:rPr>
        <w:t xml:space="preserve">(iv) addressing issues related to school conditions for student learning, such as safety, peer interaction, drug and alcohol abuse, and chronic </w:t>
      </w:r>
      <w:proofErr w:type="gramStart"/>
      <w:r w:rsidRPr="002B04F9">
        <w:rPr>
          <w:color w:val="000000"/>
          <w:sz w:val="22"/>
        </w:rPr>
        <w:t>absenteeism;</w:t>
      </w:r>
      <w:proofErr w:type="gramEnd"/>
    </w:p>
    <w:p w14:paraId="40E86267" w14:textId="77777777" w:rsidR="00221650" w:rsidRPr="002B04F9" w:rsidRDefault="00221650" w:rsidP="00221650">
      <w:pPr>
        <w:ind w:left="720"/>
        <w:rPr>
          <w:color w:val="000000"/>
          <w:sz w:val="22"/>
        </w:rPr>
      </w:pPr>
    </w:p>
    <w:p w14:paraId="5E886A8D" w14:textId="182E3D0A" w:rsidR="00F615F5" w:rsidRPr="002B04F9" w:rsidRDefault="00F615F5" w:rsidP="005E6FCF">
      <w:pPr>
        <w:numPr>
          <w:ilvl w:val="0"/>
          <w:numId w:val="24"/>
        </w:numPr>
        <w:rPr>
          <w:color w:val="000000"/>
          <w:sz w:val="22"/>
        </w:rPr>
      </w:pPr>
      <w:r w:rsidRPr="002B04F9">
        <w:rPr>
          <w:color w:val="000000"/>
          <w:sz w:val="22"/>
        </w:rPr>
        <w:t>Providing training to support the identification of students who are gifted and talented, including high-ability students who have not been formally identified for gifted education services, and implementing instructional practices that support the education of such students, such as—</w:t>
      </w:r>
    </w:p>
    <w:p w14:paraId="326C8993" w14:textId="77777777" w:rsidR="00F615F5" w:rsidRPr="002B04F9" w:rsidRDefault="00F615F5" w:rsidP="005E6FCF">
      <w:pPr>
        <w:ind w:left="1440" w:hanging="360"/>
        <w:rPr>
          <w:color w:val="000000"/>
          <w:sz w:val="22"/>
        </w:rPr>
      </w:pPr>
      <w:r w:rsidRPr="002B04F9">
        <w:rPr>
          <w:color w:val="000000"/>
          <w:sz w:val="22"/>
        </w:rPr>
        <w:t>(</w:t>
      </w:r>
      <w:proofErr w:type="spellStart"/>
      <w:r w:rsidRPr="002B04F9">
        <w:rPr>
          <w:color w:val="000000"/>
          <w:sz w:val="22"/>
        </w:rPr>
        <w:t>i</w:t>
      </w:r>
      <w:proofErr w:type="spellEnd"/>
      <w:r w:rsidRPr="002B04F9">
        <w:rPr>
          <w:color w:val="000000"/>
          <w:sz w:val="22"/>
        </w:rPr>
        <w:t xml:space="preserve">)  early entrance to </w:t>
      </w:r>
      <w:proofErr w:type="gramStart"/>
      <w:r w:rsidRPr="002B04F9">
        <w:rPr>
          <w:color w:val="000000"/>
          <w:sz w:val="22"/>
        </w:rPr>
        <w:t>kindergarten;</w:t>
      </w:r>
      <w:proofErr w:type="gramEnd"/>
    </w:p>
    <w:p w14:paraId="08E6AAE4" w14:textId="77777777" w:rsidR="00F615F5" w:rsidRPr="002B04F9" w:rsidRDefault="00F615F5" w:rsidP="005E6FCF">
      <w:pPr>
        <w:ind w:left="1440" w:hanging="360"/>
        <w:rPr>
          <w:color w:val="000000"/>
          <w:sz w:val="22"/>
        </w:rPr>
      </w:pPr>
      <w:r w:rsidRPr="002B04F9">
        <w:rPr>
          <w:color w:val="000000"/>
          <w:sz w:val="22"/>
        </w:rPr>
        <w:t>(ii) enrichment, acceleration, and curriculum compacting activities; and</w:t>
      </w:r>
    </w:p>
    <w:p w14:paraId="1436A22E" w14:textId="77B30EA4" w:rsidR="00F615F5" w:rsidRPr="002B04F9" w:rsidRDefault="00F615F5" w:rsidP="005E6FCF">
      <w:pPr>
        <w:ind w:left="1440" w:hanging="360"/>
        <w:rPr>
          <w:color w:val="000000"/>
          <w:sz w:val="22"/>
        </w:rPr>
      </w:pPr>
      <w:r w:rsidRPr="002B04F9">
        <w:rPr>
          <w:color w:val="000000"/>
          <w:sz w:val="22"/>
        </w:rPr>
        <w:t xml:space="preserve">(iii) dual or concurrent enrollment programs in secondary school and postsecondary </w:t>
      </w:r>
      <w:proofErr w:type="gramStart"/>
      <w:r w:rsidRPr="002B04F9">
        <w:rPr>
          <w:color w:val="000000"/>
          <w:sz w:val="22"/>
        </w:rPr>
        <w:t>education;</w:t>
      </w:r>
      <w:proofErr w:type="gramEnd"/>
    </w:p>
    <w:p w14:paraId="0EF87EC7" w14:textId="77777777" w:rsidR="00F615F5" w:rsidRPr="002B04F9" w:rsidRDefault="00F615F5" w:rsidP="005E6FCF">
      <w:pPr>
        <w:numPr>
          <w:ilvl w:val="0"/>
          <w:numId w:val="24"/>
        </w:numPr>
        <w:rPr>
          <w:color w:val="000000"/>
          <w:sz w:val="22"/>
        </w:rPr>
      </w:pPr>
      <w:r w:rsidRPr="002B04F9">
        <w:rPr>
          <w:color w:val="000000"/>
          <w:sz w:val="22"/>
        </w:rPr>
        <w:t xml:space="preserve">Supporting the instructional services provided by effective school library </w:t>
      </w:r>
      <w:proofErr w:type="gramStart"/>
      <w:r w:rsidRPr="002B04F9">
        <w:rPr>
          <w:color w:val="000000"/>
          <w:sz w:val="22"/>
        </w:rPr>
        <w:t>programs;</w:t>
      </w:r>
      <w:proofErr w:type="gramEnd"/>
    </w:p>
    <w:p w14:paraId="0FD3A7FB" w14:textId="2AB052F2" w:rsidR="00AA6C1D" w:rsidRPr="002B04F9" w:rsidRDefault="00F615F5">
      <w:pPr>
        <w:numPr>
          <w:ilvl w:val="0"/>
          <w:numId w:val="24"/>
        </w:numPr>
        <w:rPr>
          <w:color w:val="000000"/>
          <w:sz w:val="22"/>
        </w:rPr>
      </w:pPr>
      <w:r w:rsidRPr="002B04F9">
        <w:rPr>
          <w:color w:val="000000"/>
          <w:sz w:val="22"/>
        </w:rPr>
        <w:t xml:space="preserve">Providing training for all school personnel, including teachers, principals, other school leaders, specialized instructional support personnel, and paraprofessionals, regarding how to prevent and recognize child sexual </w:t>
      </w:r>
      <w:proofErr w:type="gramStart"/>
      <w:r w:rsidRPr="002B04F9">
        <w:rPr>
          <w:color w:val="000000"/>
          <w:sz w:val="22"/>
        </w:rPr>
        <w:t>abuse;</w:t>
      </w:r>
      <w:proofErr w:type="gramEnd"/>
    </w:p>
    <w:p w14:paraId="03392232" w14:textId="39BFD60B" w:rsidR="00F615F5" w:rsidRPr="002B04F9" w:rsidRDefault="00F615F5" w:rsidP="005E6FCF">
      <w:pPr>
        <w:numPr>
          <w:ilvl w:val="0"/>
          <w:numId w:val="24"/>
        </w:numPr>
        <w:rPr>
          <w:color w:val="000000"/>
          <w:sz w:val="22"/>
        </w:rPr>
      </w:pPr>
      <w:r w:rsidRPr="002B04F9">
        <w:rPr>
          <w:color w:val="000000"/>
          <w:sz w:val="22"/>
        </w:rPr>
        <w:t xml:space="preserve">Developing and providing professional development and other comprehensive systems of support for teachers, principals, or other school leaders to promote high-quality instruction and instructional leadership in science, technology, engineering, and mathematics subjects, including computer </w:t>
      </w:r>
      <w:proofErr w:type="gramStart"/>
      <w:r w:rsidRPr="002B04F9">
        <w:rPr>
          <w:color w:val="000000"/>
          <w:sz w:val="22"/>
        </w:rPr>
        <w:t>science;</w:t>
      </w:r>
      <w:proofErr w:type="gramEnd"/>
    </w:p>
    <w:p w14:paraId="41E198AD" w14:textId="77777777" w:rsidR="00F615F5" w:rsidRPr="002B04F9" w:rsidRDefault="00F615F5" w:rsidP="005E6FCF">
      <w:pPr>
        <w:numPr>
          <w:ilvl w:val="0"/>
          <w:numId w:val="24"/>
        </w:numPr>
        <w:rPr>
          <w:color w:val="000000"/>
          <w:sz w:val="22"/>
        </w:rPr>
      </w:pPr>
      <w:r w:rsidRPr="002B04F9">
        <w:rPr>
          <w:color w:val="000000"/>
          <w:sz w:val="22"/>
        </w:rPr>
        <w:t xml:space="preserve">Developing feedback mechanisms to improve </w:t>
      </w:r>
      <w:proofErr w:type="gramStart"/>
      <w:r w:rsidRPr="002B04F9">
        <w:rPr>
          <w:color w:val="000000"/>
          <w:sz w:val="22"/>
        </w:rPr>
        <w:t>school working</w:t>
      </w:r>
      <w:proofErr w:type="gramEnd"/>
      <w:r w:rsidRPr="002B04F9">
        <w:rPr>
          <w:color w:val="000000"/>
          <w:sz w:val="22"/>
        </w:rPr>
        <w:t xml:space="preserve"> conditions, including through periodically and publicly reporting results of educator support and working conditions feedback;</w:t>
      </w:r>
    </w:p>
    <w:p w14:paraId="06AB0DC1" w14:textId="77777777" w:rsidR="00F615F5" w:rsidRPr="002B04F9" w:rsidRDefault="00F615F5" w:rsidP="005E6FCF">
      <w:pPr>
        <w:numPr>
          <w:ilvl w:val="0"/>
          <w:numId w:val="24"/>
        </w:numPr>
        <w:rPr>
          <w:color w:val="000000"/>
          <w:sz w:val="22"/>
        </w:rPr>
      </w:pPr>
      <w:r w:rsidRPr="002B04F9">
        <w:rPr>
          <w:color w:val="000000"/>
          <w:sz w:val="22"/>
        </w:rPr>
        <w:t>Providing high-quality professional development for teachers, principals, or other school leaders on effective strategies to integrate rigorous academic content, career and technical education, and work-based learning (if appropriate), which may include providing common planning time, to help prepare students for postsecondary education and the workforce; and</w:t>
      </w:r>
    </w:p>
    <w:p w14:paraId="0F0A0944" w14:textId="40F1A682" w:rsidR="00942561" w:rsidRPr="002B04F9" w:rsidRDefault="00F615F5" w:rsidP="005E6FCF">
      <w:pPr>
        <w:numPr>
          <w:ilvl w:val="0"/>
          <w:numId w:val="24"/>
        </w:numPr>
        <w:rPr>
          <w:color w:val="000000"/>
          <w:sz w:val="22"/>
        </w:rPr>
      </w:pPr>
      <w:r w:rsidRPr="002B04F9">
        <w:rPr>
          <w:color w:val="000000"/>
          <w:sz w:val="22"/>
        </w:rPr>
        <w:t xml:space="preserve">Carrying out other activities that are evidence based, to the extent the State (in consultation with local educational agencies in the State) determines that such evidence is reasonably </w:t>
      </w:r>
      <w:proofErr w:type="gramStart"/>
      <w:r w:rsidRPr="002B04F9">
        <w:rPr>
          <w:color w:val="000000"/>
          <w:sz w:val="22"/>
        </w:rPr>
        <w:t>available, and</w:t>
      </w:r>
      <w:proofErr w:type="gramEnd"/>
      <w:r w:rsidRPr="002B04F9">
        <w:rPr>
          <w:color w:val="000000"/>
          <w:sz w:val="22"/>
        </w:rPr>
        <w:t xml:space="preserve"> identified by the local educational agency that meet the purpose of this title.</w:t>
      </w:r>
    </w:p>
    <w:p w14:paraId="46AD0371" w14:textId="28BF4EA8" w:rsidR="00942561" w:rsidRPr="002B04F9" w:rsidRDefault="00942561" w:rsidP="005E6FCF">
      <w:pPr>
        <w:pStyle w:val="Title"/>
        <w:ind w:left="0"/>
        <w:jc w:val="left"/>
      </w:pPr>
    </w:p>
    <w:p w14:paraId="7669EF2C" w14:textId="77777777" w:rsidR="00942561" w:rsidRPr="002B04F9" w:rsidRDefault="00942561" w:rsidP="005E6FCF">
      <w:pPr>
        <w:pStyle w:val="Title"/>
        <w:ind w:left="0"/>
      </w:pPr>
    </w:p>
    <w:p w14:paraId="59097095" w14:textId="77777777" w:rsidR="00942561" w:rsidRPr="002B04F9" w:rsidRDefault="00942561" w:rsidP="005E6FCF">
      <w:pPr>
        <w:pStyle w:val="Title"/>
        <w:ind w:left="0"/>
      </w:pPr>
    </w:p>
    <w:p w14:paraId="070B714E" w14:textId="77777777" w:rsidR="00BB2660" w:rsidRPr="002B04F9" w:rsidRDefault="00BB2660" w:rsidP="005E6FCF">
      <w:pPr>
        <w:rPr>
          <w:b/>
          <w:bCs/>
          <w:sz w:val="72"/>
        </w:rPr>
      </w:pPr>
      <w:r w:rsidRPr="002B04F9">
        <w:rPr>
          <w:sz w:val="72"/>
        </w:rPr>
        <w:br w:type="page"/>
      </w:r>
    </w:p>
    <w:p w14:paraId="0E765875" w14:textId="77777777" w:rsidR="00BB2660" w:rsidRPr="002B04F9" w:rsidRDefault="00BB2660" w:rsidP="005E6FCF">
      <w:pPr>
        <w:pStyle w:val="Title"/>
        <w:ind w:left="0"/>
        <w:rPr>
          <w:sz w:val="72"/>
        </w:rPr>
      </w:pPr>
    </w:p>
    <w:p w14:paraId="6C9D4B4A" w14:textId="77777777" w:rsidR="00BB2660" w:rsidRPr="002B04F9" w:rsidRDefault="00BB2660" w:rsidP="005E6FCF">
      <w:pPr>
        <w:pStyle w:val="Title"/>
        <w:ind w:left="0"/>
        <w:rPr>
          <w:sz w:val="72"/>
        </w:rPr>
      </w:pPr>
    </w:p>
    <w:p w14:paraId="0A27E304" w14:textId="77777777" w:rsidR="00BB2660" w:rsidRPr="002B04F9" w:rsidRDefault="00BB2660" w:rsidP="005E6FCF">
      <w:pPr>
        <w:pStyle w:val="Title"/>
        <w:ind w:left="0"/>
        <w:rPr>
          <w:sz w:val="72"/>
        </w:rPr>
      </w:pPr>
    </w:p>
    <w:p w14:paraId="1D281110" w14:textId="77777777" w:rsidR="00BB2660" w:rsidRPr="002B04F9" w:rsidRDefault="00BB2660" w:rsidP="005E6FCF">
      <w:pPr>
        <w:pStyle w:val="Title"/>
        <w:ind w:left="0"/>
        <w:rPr>
          <w:sz w:val="72"/>
        </w:rPr>
      </w:pPr>
    </w:p>
    <w:p w14:paraId="259F97FB" w14:textId="77777777" w:rsidR="00BB2660" w:rsidRPr="002B04F9" w:rsidRDefault="00BB2660" w:rsidP="005E6FCF">
      <w:pPr>
        <w:pStyle w:val="Title"/>
        <w:ind w:left="0"/>
        <w:rPr>
          <w:sz w:val="72"/>
        </w:rPr>
      </w:pPr>
    </w:p>
    <w:p w14:paraId="6DBC5E62" w14:textId="77777777" w:rsidR="00BB2660" w:rsidRPr="002B04F9" w:rsidRDefault="00BB2660" w:rsidP="005E6FCF">
      <w:pPr>
        <w:pStyle w:val="Title"/>
        <w:ind w:left="0"/>
        <w:rPr>
          <w:sz w:val="72"/>
        </w:rPr>
      </w:pPr>
    </w:p>
    <w:p w14:paraId="5A30D8DF" w14:textId="1A21AE72" w:rsidR="00942561" w:rsidRPr="002B04F9" w:rsidRDefault="00942561" w:rsidP="005E6FCF">
      <w:pPr>
        <w:pStyle w:val="Title"/>
        <w:ind w:left="0"/>
        <w:rPr>
          <w:sz w:val="72"/>
        </w:rPr>
      </w:pPr>
      <w:r w:rsidRPr="002B04F9">
        <w:rPr>
          <w:sz w:val="72"/>
        </w:rPr>
        <w:t>Appendix A</w:t>
      </w:r>
    </w:p>
    <w:p w14:paraId="1EFCCD90" w14:textId="77777777" w:rsidR="00942561" w:rsidRPr="002B04F9" w:rsidRDefault="00942561" w:rsidP="005E6FCF">
      <w:pPr>
        <w:pStyle w:val="Title"/>
        <w:ind w:left="0"/>
        <w:rPr>
          <w:sz w:val="72"/>
        </w:rPr>
      </w:pPr>
    </w:p>
    <w:p w14:paraId="6366CC07" w14:textId="77777777" w:rsidR="00942561" w:rsidRPr="002B04F9" w:rsidRDefault="00942561" w:rsidP="005E6FCF">
      <w:pPr>
        <w:ind w:left="900"/>
        <w:jc w:val="center"/>
        <w:rPr>
          <w:b/>
          <w:color w:val="000000"/>
          <w:sz w:val="36"/>
        </w:rPr>
      </w:pPr>
    </w:p>
    <w:p w14:paraId="63F9A186" w14:textId="5438EFD3" w:rsidR="000E473F" w:rsidRPr="002B04F9" w:rsidRDefault="000E473F" w:rsidP="005E6FCF">
      <w:pPr>
        <w:jc w:val="center"/>
        <w:rPr>
          <w:b/>
          <w:snapToGrid w:val="0"/>
          <w:color w:val="000000"/>
          <w:sz w:val="22"/>
        </w:rPr>
        <w:sectPr w:rsidR="000E473F" w:rsidRPr="002B04F9">
          <w:headerReference w:type="default" r:id="rId22"/>
          <w:footerReference w:type="even" r:id="rId23"/>
          <w:footerReference w:type="default" r:id="rId24"/>
          <w:pgSz w:w="12240" w:h="15840"/>
          <w:pgMar w:top="720" w:right="1440" w:bottom="720" w:left="1440" w:header="720" w:footer="720" w:gutter="0"/>
          <w:pgNumType w:start="1"/>
          <w:cols w:space="720"/>
          <w:noEndnote/>
          <w:titlePg/>
        </w:sectPr>
      </w:pPr>
    </w:p>
    <w:p w14:paraId="7AB6727C" w14:textId="77777777" w:rsidR="007205F0" w:rsidRPr="002B04F9" w:rsidRDefault="007205F0" w:rsidP="005E6FCF">
      <w:pPr>
        <w:jc w:val="center"/>
        <w:rPr>
          <w:b/>
          <w:snapToGrid w:val="0"/>
          <w:color w:val="000000"/>
          <w:sz w:val="22"/>
        </w:rPr>
      </w:pPr>
    </w:p>
    <w:p w14:paraId="4452F2F6" w14:textId="77777777" w:rsidR="000E473F" w:rsidRPr="002B04F9" w:rsidRDefault="000E473F" w:rsidP="005E6FCF">
      <w:pPr>
        <w:ind w:left="900"/>
        <w:jc w:val="center"/>
        <w:rPr>
          <w:b/>
          <w:color w:val="000000"/>
          <w:sz w:val="36"/>
        </w:rPr>
      </w:pPr>
    </w:p>
    <w:tbl>
      <w:tblPr>
        <w:tblW w:w="0" w:type="auto"/>
        <w:jc w:val="center"/>
        <w:tblBorders>
          <w:top w:val="thinThickThinMediumGap" w:sz="8" w:space="0" w:color="auto"/>
          <w:left w:val="thinThickThinMediumGap" w:sz="8" w:space="0" w:color="auto"/>
          <w:bottom w:val="thinThickThinMediumGap" w:sz="8" w:space="0" w:color="auto"/>
          <w:right w:val="thinThickThinMediumGap" w:sz="8" w:space="0" w:color="auto"/>
          <w:insideH w:val="thinThickThinMediumGap" w:sz="8" w:space="0" w:color="auto"/>
          <w:insideV w:val="thinThickThinMediumGap" w:sz="8" w:space="0" w:color="auto"/>
        </w:tblBorders>
        <w:tblLayout w:type="fixed"/>
        <w:tblLook w:val="0000" w:firstRow="0" w:lastRow="0" w:firstColumn="0" w:lastColumn="0" w:noHBand="0" w:noVBand="0"/>
      </w:tblPr>
      <w:tblGrid>
        <w:gridCol w:w="9468"/>
      </w:tblGrid>
      <w:tr w:rsidR="000E473F" w:rsidRPr="002B04F9" w14:paraId="7EC33504" w14:textId="77777777">
        <w:trPr>
          <w:trHeight w:val="11520"/>
          <w:jc w:val="center"/>
        </w:trPr>
        <w:tc>
          <w:tcPr>
            <w:tcW w:w="9468" w:type="dxa"/>
            <w:vAlign w:val="center"/>
          </w:tcPr>
          <w:p w14:paraId="3D3FA135" w14:textId="77777777" w:rsidR="000E473F" w:rsidRPr="002B04F9" w:rsidRDefault="000E473F" w:rsidP="005E6FCF">
            <w:pPr>
              <w:jc w:val="center"/>
              <w:rPr>
                <w:b/>
                <w:sz w:val="72"/>
              </w:rPr>
            </w:pPr>
          </w:p>
          <w:p w14:paraId="4D183FED" w14:textId="77777777" w:rsidR="000E473F" w:rsidRPr="002B04F9" w:rsidRDefault="000E473F" w:rsidP="005E6FCF">
            <w:pPr>
              <w:jc w:val="center"/>
              <w:rPr>
                <w:b/>
                <w:sz w:val="72"/>
              </w:rPr>
            </w:pPr>
          </w:p>
          <w:p w14:paraId="3659407D" w14:textId="77777777" w:rsidR="000E473F" w:rsidRPr="002B04F9" w:rsidRDefault="000E473F" w:rsidP="005E6FCF">
            <w:pPr>
              <w:jc w:val="center"/>
              <w:rPr>
                <w:b/>
                <w:sz w:val="72"/>
              </w:rPr>
            </w:pPr>
          </w:p>
          <w:p w14:paraId="635F5866" w14:textId="77777777" w:rsidR="00942561" w:rsidRPr="002B04F9" w:rsidRDefault="00942561" w:rsidP="005E6FCF">
            <w:pPr>
              <w:jc w:val="center"/>
              <w:rPr>
                <w:b/>
                <w:sz w:val="72"/>
              </w:rPr>
            </w:pPr>
          </w:p>
          <w:p w14:paraId="58167827" w14:textId="77777777" w:rsidR="00BB2660" w:rsidRPr="002B04F9" w:rsidRDefault="00BB2660" w:rsidP="005E6FCF">
            <w:pPr>
              <w:jc w:val="center"/>
              <w:rPr>
                <w:b/>
                <w:sz w:val="72"/>
              </w:rPr>
            </w:pPr>
          </w:p>
          <w:p w14:paraId="395F4994" w14:textId="77777777" w:rsidR="00BB2660" w:rsidRPr="002B04F9" w:rsidRDefault="00BB2660" w:rsidP="005E6FCF">
            <w:pPr>
              <w:jc w:val="center"/>
              <w:rPr>
                <w:b/>
                <w:sz w:val="72"/>
              </w:rPr>
            </w:pPr>
          </w:p>
          <w:p w14:paraId="190BC9A3" w14:textId="6D8C45D1" w:rsidR="000E473F" w:rsidRPr="002B04F9" w:rsidRDefault="000E473F" w:rsidP="005E6FCF">
            <w:pPr>
              <w:jc w:val="center"/>
              <w:rPr>
                <w:b/>
                <w:sz w:val="72"/>
              </w:rPr>
            </w:pPr>
            <w:r w:rsidRPr="002B04F9">
              <w:rPr>
                <w:b/>
                <w:sz w:val="72"/>
              </w:rPr>
              <w:t>ASSURANCES</w:t>
            </w:r>
          </w:p>
          <w:p w14:paraId="74433DF7" w14:textId="77777777" w:rsidR="000E473F" w:rsidRPr="002B04F9" w:rsidRDefault="000E473F" w:rsidP="005E6FCF">
            <w:pPr>
              <w:jc w:val="center"/>
              <w:rPr>
                <w:b/>
                <w:sz w:val="72"/>
              </w:rPr>
            </w:pPr>
          </w:p>
          <w:p w14:paraId="52AD1F12" w14:textId="77777777" w:rsidR="000E473F" w:rsidRPr="002B04F9" w:rsidRDefault="000E473F" w:rsidP="005E6FCF">
            <w:pPr>
              <w:jc w:val="center"/>
              <w:rPr>
                <w:b/>
                <w:sz w:val="72"/>
              </w:rPr>
            </w:pPr>
          </w:p>
          <w:p w14:paraId="568DD692" w14:textId="77777777" w:rsidR="000E473F" w:rsidRPr="002B04F9" w:rsidRDefault="000E473F" w:rsidP="005E6FCF">
            <w:pPr>
              <w:jc w:val="center"/>
              <w:rPr>
                <w:b/>
                <w:sz w:val="72"/>
              </w:rPr>
            </w:pPr>
          </w:p>
          <w:p w14:paraId="1A6D817F" w14:textId="77777777" w:rsidR="000E473F" w:rsidRPr="002B04F9" w:rsidRDefault="000E473F" w:rsidP="005E6FCF">
            <w:pPr>
              <w:jc w:val="center"/>
              <w:rPr>
                <w:bCs/>
                <w:sz w:val="32"/>
              </w:rPr>
            </w:pPr>
            <w:r w:rsidRPr="002B04F9">
              <w:rPr>
                <w:bCs/>
                <w:sz w:val="32"/>
              </w:rPr>
              <w:t>The assurances should be kept on file in the division.</w:t>
            </w:r>
          </w:p>
          <w:p w14:paraId="760DB289" w14:textId="05462AB4" w:rsidR="000E473F" w:rsidRPr="002B04F9" w:rsidRDefault="000E473F" w:rsidP="005E6FCF">
            <w:pPr>
              <w:jc w:val="center"/>
              <w:rPr>
                <w:b/>
                <w:sz w:val="72"/>
              </w:rPr>
            </w:pPr>
          </w:p>
          <w:p w14:paraId="097B6751" w14:textId="77777777" w:rsidR="000E473F" w:rsidRPr="002B04F9" w:rsidRDefault="000E473F" w:rsidP="005E6FCF">
            <w:pPr>
              <w:jc w:val="center"/>
              <w:rPr>
                <w:b/>
                <w:sz w:val="72"/>
              </w:rPr>
            </w:pPr>
          </w:p>
          <w:p w14:paraId="5E3744D2" w14:textId="77777777" w:rsidR="000E473F" w:rsidRPr="002B04F9" w:rsidRDefault="000E473F" w:rsidP="005E6FCF">
            <w:pPr>
              <w:jc w:val="center"/>
              <w:rPr>
                <w:b/>
                <w:sz w:val="72"/>
              </w:rPr>
            </w:pPr>
          </w:p>
          <w:p w14:paraId="0958278D" w14:textId="77777777" w:rsidR="000E473F" w:rsidRPr="002B04F9" w:rsidRDefault="000E473F" w:rsidP="005E6FCF">
            <w:pPr>
              <w:jc w:val="center"/>
              <w:rPr>
                <w:b/>
                <w:sz w:val="72"/>
              </w:rPr>
            </w:pPr>
          </w:p>
          <w:p w14:paraId="15F1F7FC" w14:textId="77777777" w:rsidR="000E473F" w:rsidRPr="002B04F9" w:rsidRDefault="000E473F" w:rsidP="005E6FCF">
            <w:pPr>
              <w:jc w:val="center"/>
              <w:rPr>
                <w:b/>
                <w:sz w:val="56"/>
              </w:rPr>
            </w:pPr>
          </w:p>
        </w:tc>
      </w:tr>
    </w:tbl>
    <w:p w14:paraId="21D5DCAE" w14:textId="77777777" w:rsidR="00396F12" w:rsidRPr="002B04F9" w:rsidRDefault="00396F12" w:rsidP="005E6FCF">
      <w:pPr>
        <w:rPr>
          <w:b/>
          <w:bCs/>
          <w:color w:val="000000"/>
        </w:rPr>
      </w:pPr>
    </w:p>
    <w:p w14:paraId="40A2ACB6" w14:textId="3A232025" w:rsidR="007205F0" w:rsidRPr="002B04F9" w:rsidRDefault="007205F0" w:rsidP="005E6FCF">
      <w:pPr>
        <w:ind w:left="900"/>
        <w:jc w:val="center"/>
        <w:rPr>
          <w:b/>
          <w:color w:val="000000"/>
          <w:sz w:val="24"/>
        </w:rPr>
      </w:pPr>
      <w:r w:rsidRPr="002B04F9">
        <w:rPr>
          <w:b/>
          <w:bCs/>
          <w:color w:val="000000"/>
          <w:sz w:val="22"/>
        </w:rPr>
        <w:t>GENERAL ASSURANCES</w:t>
      </w:r>
      <w:r w:rsidR="000272E9" w:rsidRPr="002B04F9">
        <w:rPr>
          <w:b/>
          <w:bCs/>
          <w:color w:val="000000"/>
          <w:sz w:val="22"/>
        </w:rPr>
        <w:t xml:space="preserve"> (</w:t>
      </w:r>
      <w:r w:rsidR="00AA6C1D" w:rsidRPr="002B04F9">
        <w:rPr>
          <w:b/>
          <w:bCs/>
          <w:color w:val="000000"/>
          <w:sz w:val="22"/>
        </w:rPr>
        <w:t xml:space="preserve">Page </w:t>
      </w:r>
      <w:r w:rsidR="007B5302" w:rsidRPr="002B04F9">
        <w:rPr>
          <w:b/>
          <w:bCs/>
          <w:color w:val="000000"/>
          <w:sz w:val="22"/>
        </w:rPr>
        <w:t>39</w:t>
      </w:r>
      <w:r w:rsidR="000272E9" w:rsidRPr="002B04F9">
        <w:rPr>
          <w:b/>
          <w:bCs/>
          <w:color w:val="000000"/>
          <w:sz w:val="22"/>
        </w:rPr>
        <w:t>)</w:t>
      </w:r>
    </w:p>
    <w:p w14:paraId="3BC8924B" w14:textId="77777777" w:rsidR="007205F0" w:rsidRPr="002B04F9" w:rsidRDefault="007205F0" w:rsidP="005E6FCF">
      <w:pPr>
        <w:jc w:val="both"/>
        <w:rPr>
          <w:color w:val="000000"/>
          <w:sz w:val="22"/>
        </w:rPr>
      </w:pPr>
    </w:p>
    <w:tbl>
      <w:tblPr>
        <w:tblW w:w="0" w:type="auto"/>
        <w:jc w:val="center"/>
        <w:tblLook w:val="0000" w:firstRow="0" w:lastRow="0" w:firstColumn="0" w:lastColumn="0" w:noHBand="0" w:noVBand="0"/>
      </w:tblPr>
      <w:tblGrid>
        <w:gridCol w:w="2562"/>
        <w:gridCol w:w="326"/>
        <w:gridCol w:w="6472"/>
      </w:tblGrid>
      <w:tr w:rsidR="007205F0" w:rsidRPr="002B04F9" w14:paraId="3FEEAE31" w14:textId="77777777">
        <w:trPr>
          <w:jc w:val="center"/>
        </w:trPr>
        <w:tc>
          <w:tcPr>
            <w:tcW w:w="2614" w:type="dxa"/>
          </w:tcPr>
          <w:p w14:paraId="18A1085D" w14:textId="77777777" w:rsidR="007205F0" w:rsidRPr="002B04F9" w:rsidRDefault="007205F0" w:rsidP="005E6FCF">
            <w:pPr>
              <w:rPr>
                <w:bCs/>
                <w:color w:val="000000"/>
                <w:sz w:val="22"/>
              </w:rPr>
            </w:pPr>
            <w:r w:rsidRPr="002B04F9">
              <w:rPr>
                <w:bCs/>
                <w:color w:val="000000"/>
                <w:sz w:val="22"/>
              </w:rPr>
              <w:t>Title I, Part A</w:t>
            </w:r>
          </w:p>
        </w:tc>
        <w:tc>
          <w:tcPr>
            <w:tcW w:w="326" w:type="dxa"/>
          </w:tcPr>
          <w:p w14:paraId="74CA8557" w14:textId="77777777" w:rsidR="007205F0" w:rsidRPr="002B04F9" w:rsidRDefault="007205F0" w:rsidP="005E6FCF">
            <w:pPr>
              <w:jc w:val="center"/>
              <w:rPr>
                <w:bCs/>
                <w:color w:val="000000"/>
                <w:sz w:val="22"/>
              </w:rPr>
            </w:pPr>
            <w:r w:rsidRPr="002B04F9">
              <w:rPr>
                <w:bCs/>
                <w:color w:val="000000"/>
                <w:sz w:val="22"/>
              </w:rPr>
              <w:t>–</w:t>
            </w:r>
          </w:p>
        </w:tc>
        <w:tc>
          <w:tcPr>
            <w:tcW w:w="6636" w:type="dxa"/>
          </w:tcPr>
          <w:p w14:paraId="186A453B" w14:textId="77777777" w:rsidR="007205F0" w:rsidRPr="002B04F9" w:rsidRDefault="007205F0" w:rsidP="005E6FCF">
            <w:pPr>
              <w:rPr>
                <w:bCs/>
                <w:color w:val="000000"/>
                <w:sz w:val="22"/>
              </w:rPr>
            </w:pPr>
            <w:r w:rsidRPr="002B04F9">
              <w:rPr>
                <w:bCs/>
                <w:color w:val="000000"/>
                <w:sz w:val="22"/>
              </w:rPr>
              <w:t>Improving Basic Programs Operated by Local Educational Agencies</w:t>
            </w:r>
          </w:p>
        </w:tc>
      </w:tr>
      <w:tr w:rsidR="007205F0" w:rsidRPr="002B04F9" w14:paraId="6DC99CF4" w14:textId="77777777">
        <w:trPr>
          <w:jc w:val="center"/>
        </w:trPr>
        <w:tc>
          <w:tcPr>
            <w:tcW w:w="2614" w:type="dxa"/>
          </w:tcPr>
          <w:p w14:paraId="429D6BC3" w14:textId="77777777" w:rsidR="007205F0" w:rsidRPr="002B04F9" w:rsidRDefault="007205F0" w:rsidP="005E6FCF">
            <w:pPr>
              <w:rPr>
                <w:bCs/>
                <w:color w:val="000000"/>
                <w:sz w:val="22"/>
              </w:rPr>
            </w:pPr>
            <w:r w:rsidRPr="002B04F9">
              <w:rPr>
                <w:bCs/>
                <w:color w:val="000000"/>
                <w:sz w:val="22"/>
              </w:rPr>
              <w:t>Title I, Part C</w:t>
            </w:r>
          </w:p>
        </w:tc>
        <w:tc>
          <w:tcPr>
            <w:tcW w:w="326" w:type="dxa"/>
          </w:tcPr>
          <w:p w14:paraId="2C3BE923" w14:textId="77777777" w:rsidR="007205F0" w:rsidRPr="002B04F9" w:rsidRDefault="007205F0" w:rsidP="005E6FCF">
            <w:pPr>
              <w:jc w:val="center"/>
              <w:rPr>
                <w:bCs/>
                <w:color w:val="000000"/>
                <w:sz w:val="22"/>
              </w:rPr>
            </w:pPr>
            <w:r w:rsidRPr="002B04F9">
              <w:rPr>
                <w:bCs/>
                <w:color w:val="000000"/>
                <w:sz w:val="22"/>
              </w:rPr>
              <w:t>–</w:t>
            </w:r>
          </w:p>
        </w:tc>
        <w:tc>
          <w:tcPr>
            <w:tcW w:w="6636" w:type="dxa"/>
          </w:tcPr>
          <w:p w14:paraId="116BC0A1" w14:textId="0565FD44" w:rsidR="007205F0" w:rsidRPr="002B04F9" w:rsidRDefault="007205F0" w:rsidP="005E6FCF">
            <w:pPr>
              <w:rPr>
                <w:bCs/>
                <w:color w:val="000000"/>
                <w:sz w:val="22"/>
              </w:rPr>
            </w:pPr>
            <w:r w:rsidRPr="002B04F9">
              <w:rPr>
                <w:bCs/>
                <w:color w:val="000000"/>
                <w:sz w:val="22"/>
              </w:rPr>
              <w:t>Education of Migratory Children</w:t>
            </w:r>
          </w:p>
        </w:tc>
      </w:tr>
      <w:tr w:rsidR="007205F0" w:rsidRPr="002B04F9" w14:paraId="76C04468" w14:textId="77777777">
        <w:trPr>
          <w:jc w:val="center"/>
        </w:trPr>
        <w:tc>
          <w:tcPr>
            <w:tcW w:w="2614" w:type="dxa"/>
          </w:tcPr>
          <w:p w14:paraId="6A972CE2" w14:textId="77777777" w:rsidR="007205F0" w:rsidRPr="002B04F9" w:rsidRDefault="007205F0" w:rsidP="005E6FCF">
            <w:pPr>
              <w:rPr>
                <w:bCs/>
                <w:color w:val="000000"/>
                <w:sz w:val="22"/>
              </w:rPr>
            </w:pPr>
            <w:r w:rsidRPr="002B04F9">
              <w:rPr>
                <w:bCs/>
                <w:color w:val="000000"/>
                <w:sz w:val="22"/>
              </w:rPr>
              <w:t>Title I, Part D, Subpart 2</w:t>
            </w:r>
          </w:p>
        </w:tc>
        <w:tc>
          <w:tcPr>
            <w:tcW w:w="326" w:type="dxa"/>
          </w:tcPr>
          <w:p w14:paraId="44A1B7D6" w14:textId="77777777" w:rsidR="007205F0" w:rsidRPr="002B04F9" w:rsidRDefault="007205F0" w:rsidP="005E6FCF">
            <w:pPr>
              <w:jc w:val="center"/>
              <w:rPr>
                <w:bCs/>
                <w:color w:val="000000"/>
                <w:sz w:val="22"/>
              </w:rPr>
            </w:pPr>
            <w:r w:rsidRPr="002B04F9">
              <w:rPr>
                <w:bCs/>
                <w:color w:val="000000"/>
                <w:sz w:val="22"/>
              </w:rPr>
              <w:t>–</w:t>
            </w:r>
          </w:p>
        </w:tc>
        <w:tc>
          <w:tcPr>
            <w:tcW w:w="6636" w:type="dxa"/>
          </w:tcPr>
          <w:p w14:paraId="0B166F80" w14:textId="77777777" w:rsidR="007205F0" w:rsidRPr="002B04F9" w:rsidRDefault="007205F0" w:rsidP="005E6FCF">
            <w:pPr>
              <w:rPr>
                <w:bCs/>
                <w:color w:val="000000"/>
                <w:sz w:val="22"/>
              </w:rPr>
            </w:pPr>
            <w:r w:rsidRPr="002B04F9">
              <w:rPr>
                <w:bCs/>
                <w:color w:val="000000"/>
                <w:sz w:val="22"/>
              </w:rPr>
              <w:t>Prevention and Intervention Programs for Children and Youth Who Are Neglected, Delinquent, or At-Risk</w:t>
            </w:r>
          </w:p>
        </w:tc>
      </w:tr>
      <w:tr w:rsidR="007205F0" w:rsidRPr="002B04F9" w14:paraId="4A3D72D0" w14:textId="77777777">
        <w:trPr>
          <w:jc w:val="center"/>
        </w:trPr>
        <w:tc>
          <w:tcPr>
            <w:tcW w:w="2614" w:type="dxa"/>
          </w:tcPr>
          <w:p w14:paraId="490D51DA" w14:textId="77777777" w:rsidR="007205F0" w:rsidRPr="002B04F9" w:rsidRDefault="007205F0" w:rsidP="005E6FCF">
            <w:pPr>
              <w:rPr>
                <w:bCs/>
                <w:color w:val="000000"/>
                <w:sz w:val="22"/>
              </w:rPr>
            </w:pPr>
            <w:r w:rsidRPr="002B04F9">
              <w:rPr>
                <w:bCs/>
                <w:color w:val="000000"/>
                <w:sz w:val="22"/>
              </w:rPr>
              <w:t>Title II, Part A</w:t>
            </w:r>
          </w:p>
        </w:tc>
        <w:tc>
          <w:tcPr>
            <w:tcW w:w="326" w:type="dxa"/>
          </w:tcPr>
          <w:p w14:paraId="1F09ECA4" w14:textId="77777777" w:rsidR="007205F0" w:rsidRPr="002B04F9" w:rsidRDefault="007205F0" w:rsidP="005E6FCF">
            <w:pPr>
              <w:jc w:val="center"/>
              <w:rPr>
                <w:bCs/>
                <w:color w:val="000000"/>
                <w:sz w:val="22"/>
              </w:rPr>
            </w:pPr>
            <w:r w:rsidRPr="002B04F9">
              <w:rPr>
                <w:bCs/>
                <w:color w:val="000000"/>
                <w:sz w:val="22"/>
              </w:rPr>
              <w:t>–</w:t>
            </w:r>
          </w:p>
        </w:tc>
        <w:tc>
          <w:tcPr>
            <w:tcW w:w="6636" w:type="dxa"/>
          </w:tcPr>
          <w:p w14:paraId="5AC81E40" w14:textId="77777777" w:rsidR="007205F0" w:rsidRPr="002B04F9" w:rsidRDefault="00F11B08" w:rsidP="005E6FCF">
            <w:pPr>
              <w:rPr>
                <w:bCs/>
                <w:color w:val="000000"/>
                <w:sz w:val="22"/>
              </w:rPr>
            </w:pPr>
            <w:r w:rsidRPr="002B04F9">
              <w:rPr>
                <w:bCs/>
                <w:color w:val="000000"/>
                <w:sz w:val="22"/>
              </w:rPr>
              <w:t>Supporting Effective Instruction</w:t>
            </w:r>
          </w:p>
        </w:tc>
      </w:tr>
      <w:tr w:rsidR="007205F0" w:rsidRPr="002B04F9" w14:paraId="1549F002" w14:textId="77777777">
        <w:trPr>
          <w:jc w:val="center"/>
        </w:trPr>
        <w:tc>
          <w:tcPr>
            <w:tcW w:w="2614" w:type="dxa"/>
          </w:tcPr>
          <w:p w14:paraId="326A6F2E" w14:textId="77777777" w:rsidR="007205F0" w:rsidRPr="002B04F9" w:rsidRDefault="007205F0" w:rsidP="005E6FCF">
            <w:pPr>
              <w:rPr>
                <w:bCs/>
                <w:color w:val="000000"/>
                <w:sz w:val="22"/>
              </w:rPr>
            </w:pPr>
            <w:r w:rsidRPr="002B04F9">
              <w:rPr>
                <w:bCs/>
                <w:color w:val="000000"/>
                <w:sz w:val="22"/>
              </w:rPr>
              <w:t>Title III, Part A</w:t>
            </w:r>
          </w:p>
        </w:tc>
        <w:tc>
          <w:tcPr>
            <w:tcW w:w="326" w:type="dxa"/>
          </w:tcPr>
          <w:p w14:paraId="3837F47B" w14:textId="77777777" w:rsidR="007205F0" w:rsidRPr="002B04F9" w:rsidRDefault="007205F0" w:rsidP="005E6FCF">
            <w:pPr>
              <w:jc w:val="center"/>
              <w:rPr>
                <w:bCs/>
                <w:color w:val="000000"/>
                <w:sz w:val="22"/>
              </w:rPr>
            </w:pPr>
            <w:r w:rsidRPr="002B04F9">
              <w:rPr>
                <w:bCs/>
                <w:color w:val="000000"/>
                <w:sz w:val="22"/>
              </w:rPr>
              <w:t>–</w:t>
            </w:r>
          </w:p>
        </w:tc>
        <w:tc>
          <w:tcPr>
            <w:tcW w:w="6636" w:type="dxa"/>
          </w:tcPr>
          <w:p w14:paraId="55AAD212" w14:textId="77777777" w:rsidR="007205F0" w:rsidRPr="002B04F9" w:rsidRDefault="00DD1285" w:rsidP="005E6FCF">
            <w:pPr>
              <w:rPr>
                <w:bCs/>
                <w:color w:val="000000"/>
                <w:sz w:val="22"/>
              </w:rPr>
            </w:pPr>
            <w:r w:rsidRPr="002B04F9">
              <w:rPr>
                <w:bCs/>
                <w:color w:val="000000"/>
                <w:sz w:val="22"/>
              </w:rPr>
              <w:t>Language Instruction for English Learners and Immigrant Students</w:t>
            </w:r>
          </w:p>
        </w:tc>
      </w:tr>
      <w:tr w:rsidR="008D284D" w:rsidRPr="002B04F9" w14:paraId="77527804" w14:textId="77777777">
        <w:trPr>
          <w:jc w:val="center"/>
        </w:trPr>
        <w:tc>
          <w:tcPr>
            <w:tcW w:w="2614" w:type="dxa"/>
          </w:tcPr>
          <w:p w14:paraId="38DE31C8" w14:textId="0B86EBF3" w:rsidR="008D284D" w:rsidRPr="002B04F9" w:rsidRDefault="008D284D" w:rsidP="005E6FCF">
            <w:pPr>
              <w:rPr>
                <w:bCs/>
                <w:color w:val="000000"/>
                <w:sz w:val="22"/>
              </w:rPr>
            </w:pPr>
            <w:r w:rsidRPr="002B04F9">
              <w:rPr>
                <w:bCs/>
                <w:color w:val="000000"/>
                <w:sz w:val="22"/>
              </w:rPr>
              <w:t>Title IV, Part A</w:t>
            </w:r>
          </w:p>
        </w:tc>
        <w:tc>
          <w:tcPr>
            <w:tcW w:w="326" w:type="dxa"/>
          </w:tcPr>
          <w:p w14:paraId="3F2890CF" w14:textId="60A34C24" w:rsidR="008D284D" w:rsidRPr="002B04F9" w:rsidRDefault="008D284D" w:rsidP="005E6FCF">
            <w:pPr>
              <w:jc w:val="center"/>
              <w:rPr>
                <w:bCs/>
                <w:color w:val="000000"/>
                <w:sz w:val="22"/>
              </w:rPr>
            </w:pPr>
            <w:r w:rsidRPr="002B04F9">
              <w:rPr>
                <w:bCs/>
                <w:color w:val="000000"/>
                <w:sz w:val="22"/>
              </w:rPr>
              <w:t>–</w:t>
            </w:r>
          </w:p>
        </w:tc>
        <w:tc>
          <w:tcPr>
            <w:tcW w:w="6636" w:type="dxa"/>
          </w:tcPr>
          <w:p w14:paraId="12483629" w14:textId="0968C483" w:rsidR="008D284D" w:rsidRPr="002B04F9" w:rsidRDefault="008D284D" w:rsidP="005E6FCF">
            <w:pPr>
              <w:rPr>
                <w:bCs/>
                <w:color w:val="000000"/>
                <w:sz w:val="22"/>
              </w:rPr>
            </w:pPr>
            <w:r w:rsidRPr="002B04F9">
              <w:rPr>
                <w:bCs/>
                <w:color w:val="000000"/>
                <w:sz w:val="22"/>
              </w:rPr>
              <w:t>Student Support and Academic Enrichment Grants</w:t>
            </w:r>
          </w:p>
        </w:tc>
      </w:tr>
      <w:tr w:rsidR="007205F0" w:rsidRPr="002B04F9" w14:paraId="265D1316" w14:textId="77777777">
        <w:trPr>
          <w:jc w:val="center"/>
        </w:trPr>
        <w:tc>
          <w:tcPr>
            <w:tcW w:w="2614" w:type="dxa"/>
          </w:tcPr>
          <w:p w14:paraId="50892CAE" w14:textId="77777777" w:rsidR="007205F0" w:rsidRPr="002B04F9" w:rsidRDefault="007205F0" w:rsidP="005E6FCF">
            <w:pPr>
              <w:rPr>
                <w:bCs/>
                <w:color w:val="000000"/>
                <w:sz w:val="22"/>
              </w:rPr>
            </w:pPr>
            <w:r w:rsidRPr="002B04F9">
              <w:rPr>
                <w:bCs/>
                <w:color w:val="000000"/>
                <w:sz w:val="22"/>
              </w:rPr>
              <w:t>Title V, Part B, Subpart 2</w:t>
            </w:r>
          </w:p>
        </w:tc>
        <w:tc>
          <w:tcPr>
            <w:tcW w:w="326" w:type="dxa"/>
          </w:tcPr>
          <w:p w14:paraId="3983F2A4" w14:textId="77777777" w:rsidR="007205F0" w:rsidRPr="002B04F9" w:rsidRDefault="007205F0" w:rsidP="005E6FCF">
            <w:pPr>
              <w:jc w:val="center"/>
              <w:rPr>
                <w:bCs/>
                <w:color w:val="000000"/>
                <w:sz w:val="22"/>
              </w:rPr>
            </w:pPr>
            <w:r w:rsidRPr="002B04F9">
              <w:rPr>
                <w:bCs/>
                <w:color w:val="000000"/>
                <w:sz w:val="22"/>
              </w:rPr>
              <w:t>–</w:t>
            </w:r>
          </w:p>
        </w:tc>
        <w:tc>
          <w:tcPr>
            <w:tcW w:w="6636" w:type="dxa"/>
          </w:tcPr>
          <w:p w14:paraId="160058D8" w14:textId="77777777" w:rsidR="007205F0" w:rsidRPr="002B04F9" w:rsidRDefault="007205F0" w:rsidP="005E6FCF">
            <w:pPr>
              <w:rPr>
                <w:bCs/>
                <w:color w:val="000000"/>
                <w:sz w:val="22"/>
              </w:rPr>
            </w:pPr>
            <w:r w:rsidRPr="002B04F9">
              <w:rPr>
                <w:bCs/>
                <w:color w:val="000000"/>
                <w:sz w:val="22"/>
              </w:rPr>
              <w:t>Rural and Low-Income School Program</w:t>
            </w:r>
          </w:p>
        </w:tc>
      </w:tr>
    </w:tbl>
    <w:p w14:paraId="5BB20ACF" w14:textId="77777777" w:rsidR="007205F0" w:rsidRPr="002B04F9" w:rsidRDefault="007205F0" w:rsidP="005E6FCF">
      <w:pPr>
        <w:jc w:val="both"/>
        <w:rPr>
          <w:color w:val="000000"/>
          <w:sz w:val="22"/>
        </w:rPr>
      </w:pPr>
    </w:p>
    <w:p w14:paraId="58557C8B" w14:textId="5B79E916" w:rsidR="0072270F" w:rsidRPr="002B04F9" w:rsidRDefault="0072270F" w:rsidP="005E6FCF">
      <w:pPr>
        <w:rPr>
          <w:sz w:val="22"/>
        </w:rPr>
      </w:pPr>
      <w:r w:rsidRPr="002B04F9">
        <w:rPr>
          <w:sz w:val="22"/>
        </w:rPr>
        <w:t>The school division</w:t>
      </w:r>
      <w:r w:rsidR="0061273D" w:rsidRPr="002B04F9">
        <w:rPr>
          <w:sz w:val="22"/>
        </w:rPr>
        <w:t>/grantee</w:t>
      </w:r>
      <w:r w:rsidRPr="002B04F9">
        <w:rPr>
          <w:sz w:val="22"/>
        </w:rPr>
        <w:t xml:space="preserve"> assures:</w:t>
      </w:r>
    </w:p>
    <w:p w14:paraId="6297B610" w14:textId="77777777" w:rsidR="0072270F" w:rsidRPr="002B04F9" w:rsidRDefault="0072270F" w:rsidP="005E6FCF">
      <w:pPr>
        <w:numPr>
          <w:ilvl w:val="0"/>
          <w:numId w:val="2"/>
        </w:numPr>
        <w:rPr>
          <w:sz w:val="22"/>
        </w:rPr>
      </w:pPr>
      <w:r w:rsidRPr="002B04F9">
        <w:rPr>
          <w:sz w:val="22"/>
        </w:rPr>
        <w:t xml:space="preserve">Each program will be administered in accordance with all applicable statutes, regulations, program plans, and </w:t>
      </w:r>
      <w:proofErr w:type="gramStart"/>
      <w:r w:rsidRPr="002B04F9">
        <w:rPr>
          <w:sz w:val="22"/>
        </w:rPr>
        <w:t>applications;</w:t>
      </w:r>
      <w:proofErr w:type="gramEnd"/>
    </w:p>
    <w:p w14:paraId="71306E48" w14:textId="77777777" w:rsidR="0072270F" w:rsidRPr="002B04F9" w:rsidRDefault="0072270F" w:rsidP="005E6FCF">
      <w:pPr>
        <w:numPr>
          <w:ilvl w:val="0"/>
          <w:numId w:val="2"/>
        </w:numPr>
        <w:rPr>
          <w:sz w:val="22"/>
        </w:rPr>
      </w:pPr>
      <w:r w:rsidRPr="002B04F9">
        <w:rPr>
          <w:sz w:val="22"/>
        </w:rPr>
        <w:t xml:space="preserve">The control of funds provided under each program and title to property acquired with program funds will be in a public agency, a nonprofit private agency, institution, organization, or an Indian tribe, if the law authorizing the program provides for assistance to those </w:t>
      </w:r>
      <w:proofErr w:type="gramStart"/>
      <w:r w:rsidRPr="002B04F9">
        <w:rPr>
          <w:sz w:val="22"/>
        </w:rPr>
        <w:t>entities;</w:t>
      </w:r>
      <w:proofErr w:type="gramEnd"/>
    </w:p>
    <w:p w14:paraId="6A03C4A1" w14:textId="77777777" w:rsidR="0072270F" w:rsidRPr="002B04F9" w:rsidRDefault="0072270F" w:rsidP="005E6FCF">
      <w:pPr>
        <w:numPr>
          <w:ilvl w:val="0"/>
          <w:numId w:val="2"/>
        </w:numPr>
        <w:rPr>
          <w:sz w:val="22"/>
        </w:rPr>
      </w:pPr>
      <w:r w:rsidRPr="002B04F9">
        <w:rPr>
          <w:sz w:val="22"/>
        </w:rPr>
        <w:t xml:space="preserve">The public agency, nonprofit private agency, institution, organization, or Indian tribe, will administer the funds and property to the extent required by the authorizing </w:t>
      </w:r>
      <w:proofErr w:type="gramStart"/>
      <w:r w:rsidRPr="002B04F9">
        <w:rPr>
          <w:sz w:val="22"/>
        </w:rPr>
        <w:t>statutes;</w:t>
      </w:r>
      <w:proofErr w:type="gramEnd"/>
    </w:p>
    <w:p w14:paraId="2D9B33B9" w14:textId="77777777" w:rsidR="0072270F" w:rsidRPr="002B04F9" w:rsidRDefault="0072270F" w:rsidP="005E6FCF">
      <w:pPr>
        <w:numPr>
          <w:ilvl w:val="0"/>
          <w:numId w:val="2"/>
        </w:numPr>
        <w:rPr>
          <w:sz w:val="22"/>
        </w:rPr>
      </w:pPr>
      <w:r w:rsidRPr="002B04F9">
        <w:rPr>
          <w:sz w:val="22"/>
        </w:rPr>
        <w:t>It will adopt and use proper methods of administering each program, including</w:t>
      </w:r>
      <w:r w:rsidRPr="002B04F9">
        <w:rPr>
          <w:rFonts w:ascii="Symbol" w:eastAsia="Symbol" w:hAnsi="Symbol" w:cs="Symbol"/>
          <w:sz w:val="22"/>
        </w:rPr>
        <w:t>¾</w:t>
      </w:r>
    </w:p>
    <w:p w14:paraId="361C14E0" w14:textId="77777777" w:rsidR="0072270F" w:rsidRPr="002B04F9" w:rsidRDefault="0072270F" w:rsidP="005E6FCF">
      <w:pPr>
        <w:pStyle w:val="BodyTextIndent2"/>
        <w:numPr>
          <w:ilvl w:val="1"/>
          <w:numId w:val="2"/>
        </w:numPr>
        <w:tabs>
          <w:tab w:val="num" w:pos="2070"/>
        </w:tabs>
        <w:rPr>
          <w:sz w:val="22"/>
        </w:rPr>
      </w:pPr>
      <w:r w:rsidRPr="002B04F9">
        <w:rPr>
          <w:sz w:val="22"/>
        </w:rPr>
        <w:t>The enforcement of any obligations imposed by law on agencies, institutions, organizations, and other recipients responsible for carrying</w:t>
      </w:r>
      <w:r w:rsidR="00CD68E2" w:rsidRPr="002B04F9">
        <w:rPr>
          <w:sz w:val="22"/>
        </w:rPr>
        <w:t xml:space="preserve"> out each </w:t>
      </w:r>
      <w:proofErr w:type="gramStart"/>
      <w:r w:rsidR="00CD68E2" w:rsidRPr="002B04F9">
        <w:rPr>
          <w:sz w:val="22"/>
        </w:rPr>
        <w:t>program;</w:t>
      </w:r>
      <w:proofErr w:type="gramEnd"/>
    </w:p>
    <w:p w14:paraId="6E59B8F4" w14:textId="77777777" w:rsidR="0072270F" w:rsidRPr="002B04F9" w:rsidRDefault="0072270F" w:rsidP="005E6FCF">
      <w:pPr>
        <w:pStyle w:val="BodyTextIndent2"/>
        <w:tabs>
          <w:tab w:val="left" w:pos="1440"/>
          <w:tab w:val="num" w:pos="2070"/>
        </w:tabs>
        <w:ind w:hanging="360"/>
        <w:rPr>
          <w:sz w:val="22"/>
        </w:rPr>
      </w:pPr>
      <w:r w:rsidRPr="002B04F9">
        <w:rPr>
          <w:sz w:val="22"/>
        </w:rPr>
        <w:t>B.</w:t>
      </w:r>
      <w:r w:rsidRPr="002B04F9">
        <w:rPr>
          <w:sz w:val="22"/>
        </w:rPr>
        <w:tab/>
        <w:t>The correction of deficiencies in program operations that are identified through audits, monitoring, or evaluation and that:</w:t>
      </w:r>
    </w:p>
    <w:p w14:paraId="031951D8"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will maintain fiscal effort in support of free public </w:t>
      </w:r>
      <w:proofErr w:type="gramStart"/>
      <w:r w:rsidRPr="002B04F9">
        <w:rPr>
          <w:sz w:val="22"/>
        </w:rPr>
        <w:t>education;</w:t>
      </w:r>
      <w:proofErr w:type="gramEnd"/>
    </w:p>
    <w:p w14:paraId="7D657FD7"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will provide services with state and local funds that are at least comparable to services provided in schools and areas not receiving special federal </w:t>
      </w:r>
      <w:proofErr w:type="gramStart"/>
      <w:r w:rsidRPr="002B04F9">
        <w:rPr>
          <w:sz w:val="22"/>
        </w:rPr>
        <w:t>funds;</w:t>
      </w:r>
      <w:proofErr w:type="gramEnd"/>
      <w:r w:rsidRPr="002B04F9">
        <w:rPr>
          <w:sz w:val="22"/>
        </w:rPr>
        <w:t xml:space="preserve"> </w:t>
      </w:r>
    </w:p>
    <w:p w14:paraId="39E65A09"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The majority of the resources in the school division are derived from nonfederal </w:t>
      </w:r>
      <w:proofErr w:type="gramStart"/>
      <w:r w:rsidRPr="002B04F9">
        <w:rPr>
          <w:sz w:val="22"/>
        </w:rPr>
        <w:t>funds;</w:t>
      </w:r>
      <w:proofErr w:type="gramEnd"/>
    </w:p>
    <w:p w14:paraId="567FB50D" w14:textId="6BD9B90D" w:rsidR="0010158E" w:rsidRPr="002B04F9" w:rsidRDefault="0010158E" w:rsidP="005E6FCF">
      <w:pPr>
        <w:numPr>
          <w:ilvl w:val="0"/>
          <w:numId w:val="3"/>
        </w:numPr>
        <w:tabs>
          <w:tab w:val="clear" w:pos="1800"/>
          <w:tab w:val="num" w:pos="1890"/>
        </w:tabs>
        <w:ind w:left="1890" w:hanging="450"/>
        <w:rPr>
          <w:sz w:val="22"/>
        </w:rPr>
      </w:pPr>
      <w:r w:rsidRPr="002B04F9">
        <w:rPr>
          <w:sz w:val="22"/>
        </w:rPr>
        <w:t>It is in compliance with t</w:t>
      </w:r>
      <w:r w:rsidR="0061273D" w:rsidRPr="002B04F9">
        <w:rPr>
          <w:sz w:val="22"/>
        </w:rPr>
        <w:t xml:space="preserve">he requirements in </w:t>
      </w:r>
      <w:r w:rsidRPr="002B04F9">
        <w:rPr>
          <w:sz w:val="22"/>
        </w:rPr>
        <w:t xml:space="preserve">Title VIII, Section 8524 and has no policy that prevents, or otherwise denies participation in, constitutionally protected prayer in public elementary and secondary </w:t>
      </w:r>
      <w:proofErr w:type="gramStart"/>
      <w:r w:rsidRPr="002B04F9">
        <w:rPr>
          <w:sz w:val="22"/>
        </w:rPr>
        <w:t>schools;</w:t>
      </w:r>
      <w:proofErr w:type="gramEnd"/>
    </w:p>
    <w:p w14:paraId="38D4E0EE" w14:textId="53E01483"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will comply with the audit requirements for each </w:t>
      </w:r>
      <w:proofErr w:type="gramStart"/>
      <w:r w:rsidRPr="002B04F9">
        <w:rPr>
          <w:sz w:val="22"/>
        </w:rPr>
        <w:t>program;</w:t>
      </w:r>
      <w:proofErr w:type="gramEnd"/>
      <w:r w:rsidRPr="002B04F9">
        <w:rPr>
          <w:sz w:val="22"/>
        </w:rPr>
        <w:t xml:space="preserve"> </w:t>
      </w:r>
    </w:p>
    <w:p w14:paraId="59C5CF05"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The federal funds are used to supplement, not supplant regular nonfederal </w:t>
      </w:r>
      <w:proofErr w:type="gramStart"/>
      <w:r w:rsidRPr="002B04F9">
        <w:rPr>
          <w:sz w:val="22"/>
        </w:rPr>
        <w:t>funds;</w:t>
      </w:r>
      <w:proofErr w:type="gramEnd"/>
    </w:p>
    <w:p w14:paraId="14A3D460"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will cooperate in carrying out any evaluation of each program conducted by or for the state educational agency, the Secretary, or other federal </w:t>
      </w:r>
      <w:proofErr w:type="gramStart"/>
      <w:r w:rsidRPr="002B04F9">
        <w:rPr>
          <w:sz w:val="22"/>
        </w:rPr>
        <w:t>officials;</w:t>
      </w:r>
      <w:proofErr w:type="gramEnd"/>
    </w:p>
    <w:p w14:paraId="6C172D61"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will use such fiscal control and fund accounting procedures as will ensure proper disbursement of, and accounting for, federal funds paid to the applicant under each </w:t>
      </w:r>
      <w:proofErr w:type="gramStart"/>
      <w:r w:rsidRPr="002B04F9">
        <w:rPr>
          <w:sz w:val="22"/>
        </w:rPr>
        <w:t>program;</w:t>
      </w:r>
      <w:proofErr w:type="gramEnd"/>
    </w:p>
    <w:p w14:paraId="5034DF85"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will submit such reports to the state educational agency (which shall make the reports available to the Governor) and the Secretary of Education as the state educational agency and Secretary may require to enable the state educational agency and the Secretary to perform their duties under each </w:t>
      </w:r>
      <w:proofErr w:type="gramStart"/>
      <w:r w:rsidRPr="002B04F9">
        <w:rPr>
          <w:sz w:val="22"/>
        </w:rPr>
        <w:t>program;</w:t>
      </w:r>
      <w:proofErr w:type="gramEnd"/>
    </w:p>
    <w:p w14:paraId="176FBFC5" w14:textId="77777777" w:rsidR="0072270F" w:rsidRPr="002B04F9" w:rsidRDefault="0072270F" w:rsidP="005E6FCF">
      <w:pPr>
        <w:numPr>
          <w:ilvl w:val="0"/>
          <w:numId w:val="3"/>
        </w:numPr>
        <w:tabs>
          <w:tab w:val="clear" w:pos="1800"/>
          <w:tab w:val="num" w:pos="1890"/>
          <w:tab w:val="left" w:pos="1980"/>
        </w:tabs>
        <w:ind w:left="1890" w:hanging="450"/>
        <w:rPr>
          <w:sz w:val="22"/>
        </w:rPr>
      </w:pPr>
      <w:r w:rsidRPr="002B04F9">
        <w:rPr>
          <w:sz w:val="22"/>
        </w:rPr>
        <w:t xml:space="preserve">It will maintain such records for five years, provide such information, and afford such access to the records as the state educational agency (after consultation with the Governor) or the Secretary may reasonably require </w:t>
      </w:r>
      <w:proofErr w:type="gramStart"/>
      <w:r w:rsidRPr="002B04F9">
        <w:rPr>
          <w:sz w:val="22"/>
        </w:rPr>
        <w:t>to carry</w:t>
      </w:r>
      <w:proofErr w:type="gramEnd"/>
      <w:r w:rsidRPr="002B04F9">
        <w:rPr>
          <w:sz w:val="22"/>
        </w:rPr>
        <w:t xml:space="preserve"> out the state educational agency’s or the Secretary’s duties; </w:t>
      </w:r>
    </w:p>
    <w:p w14:paraId="375DC101" w14:textId="77777777" w:rsidR="007C0CB6" w:rsidRPr="002B04F9" w:rsidRDefault="007C0CB6" w:rsidP="005E6FCF">
      <w:pPr>
        <w:ind w:left="1890"/>
        <w:rPr>
          <w:sz w:val="22"/>
        </w:rPr>
      </w:pPr>
    </w:p>
    <w:p w14:paraId="322AE045" w14:textId="77777777" w:rsidR="007C0CB6" w:rsidRPr="002B04F9" w:rsidRDefault="007C0CB6" w:rsidP="005E6FCF">
      <w:pPr>
        <w:ind w:left="1890"/>
        <w:rPr>
          <w:sz w:val="22"/>
        </w:rPr>
      </w:pPr>
    </w:p>
    <w:p w14:paraId="3F8FD4AB" w14:textId="77777777" w:rsidR="007C0CB6" w:rsidRPr="002B04F9" w:rsidRDefault="007C0CB6" w:rsidP="005E6FCF">
      <w:pPr>
        <w:ind w:left="1890"/>
        <w:rPr>
          <w:sz w:val="22"/>
        </w:rPr>
      </w:pPr>
    </w:p>
    <w:p w14:paraId="3212E07A" w14:textId="77777777" w:rsidR="00E961C9" w:rsidRPr="002B04F9" w:rsidRDefault="00E961C9" w:rsidP="005E6FCF">
      <w:pPr>
        <w:ind w:left="1890"/>
        <w:rPr>
          <w:sz w:val="22"/>
        </w:rPr>
      </w:pPr>
    </w:p>
    <w:p w14:paraId="351CA2DD" w14:textId="75F77A11"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consulted with teachers, school administrators, parents, members of the community, nonprofit organizations and other interested parties in the development of this </w:t>
      </w:r>
      <w:proofErr w:type="gramStart"/>
      <w:r w:rsidRPr="002B04F9">
        <w:rPr>
          <w:sz w:val="22"/>
        </w:rPr>
        <w:t>plan;</w:t>
      </w:r>
      <w:proofErr w:type="gramEnd"/>
    </w:p>
    <w:p w14:paraId="26A0B7E7" w14:textId="2198F31A"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afforded a reasonable opportunity for public comment on the plan or application and considered such comment before the application was </w:t>
      </w:r>
      <w:proofErr w:type="gramStart"/>
      <w:r w:rsidRPr="002B04F9">
        <w:rPr>
          <w:sz w:val="22"/>
        </w:rPr>
        <w:t>submitted;</w:t>
      </w:r>
      <w:proofErr w:type="gramEnd"/>
    </w:p>
    <w:p w14:paraId="7EBBD48F"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 xml:space="preserve">It will provide information in an understandable and uniform format and, to the extent practicable, be provided in a language that the parents can </w:t>
      </w:r>
      <w:proofErr w:type="gramStart"/>
      <w:r w:rsidRPr="002B04F9">
        <w:rPr>
          <w:sz w:val="22"/>
        </w:rPr>
        <w:t>understand;</w:t>
      </w:r>
      <w:proofErr w:type="gramEnd"/>
    </w:p>
    <w:p w14:paraId="06D66245" w14:textId="2384066F" w:rsidR="0072270F" w:rsidRPr="002B04F9" w:rsidRDefault="0072270F" w:rsidP="005E6FCF">
      <w:pPr>
        <w:numPr>
          <w:ilvl w:val="0"/>
          <w:numId w:val="3"/>
        </w:numPr>
        <w:tabs>
          <w:tab w:val="clear" w:pos="1800"/>
          <w:tab w:val="num" w:pos="1890"/>
        </w:tabs>
        <w:ind w:left="1890" w:hanging="450"/>
        <w:rPr>
          <w:sz w:val="22"/>
        </w:rPr>
      </w:pPr>
      <w:r w:rsidRPr="002B04F9">
        <w:rPr>
          <w:sz w:val="22"/>
        </w:rPr>
        <w:t>It is in compliance with the requirement regarding equal access to public school facilities as sp</w:t>
      </w:r>
      <w:r w:rsidR="0061273D" w:rsidRPr="002B04F9">
        <w:rPr>
          <w:sz w:val="22"/>
        </w:rPr>
        <w:t xml:space="preserve">ecified in </w:t>
      </w:r>
      <w:r w:rsidR="00C3484B" w:rsidRPr="002B04F9">
        <w:rPr>
          <w:sz w:val="22"/>
        </w:rPr>
        <w:t>Title V</w:t>
      </w:r>
      <w:r w:rsidRPr="002B04F9">
        <w:rPr>
          <w:sz w:val="22"/>
        </w:rPr>
        <w:t xml:space="preserve">III, Section </w:t>
      </w:r>
      <w:proofErr w:type="gramStart"/>
      <w:r w:rsidRPr="002B04F9">
        <w:rPr>
          <w:sz w:val="22"/>
        </w:rPr>
        <w:t>8525;</w:t>
      </w:r>
      <w:proofErr w:type="gramEnd"/>
    </w:p>
    <w:p w14:paraId="61BC334A" w14:textId="26B0D4E4" w:rsidR="00C3484B" w:rsidRPr="002B04F9" w:rsidRDefault="00C3484B" w:rsidP="005E6FCF">
      <w:pPr>
        <w:numPr>
          <w:ilvl w:val="0"/>
          <w:numId w:val="3"/>
        </w:numPr>
        <w:tabs>
          <w:tab w:val="clear" w:pos="1800"/>
          <w:tab w:val="num" w:pos="1890"/>
        </w:tabs>
        <w:ind w:left="1890" w:hanging="450"/>
        <w:rPr>
          <w:sz w:val="22"/>
        </w:rPr>
      </w:pPr>
      <w:r w:rsidRPr="002B04F9">
        <w:rPr>
          <w:sz w:val="22"/>
        </w:rPr>
        <w:t>It is in compliance with the requirement regarding the prohibition on aiding and abetting sexual abus</w:t>
      </w:r>
      <w:r w:rsidR="0061273D" w:rsidRPr="002B04F9">
        <w:rPr>
          <w:sz w:val="22"/>
        </w:rPr>
        <w:t xml:space="preserve">e as specified in </w:t>
      </w:r>
      <w:r w:rsidRPr="002B04F9">
        <w:rPr>
          <w:sz w:val="22"/>
        </w:rPr>
        <w:t xml:space="preserve">Title VIII, Section </w:t>
      </w:r>
      <w:proofErr w:type="gramStart"/>
      <w:r w:rsidRPr="002B04F9">
        <w:rPr>
          <w:sz w:val="22"/>
        </w:rPr>
        <w:t>8546;</w:t>
      </w:r>
      <w:proofErr w:type="gramEnd"/>
    </w:p>
    <w:p w14:paraId="6984AF54" w14:textId="77777777" w:rsidR="0072270F" w:rsidRPr="002B04F9" w:rsidRDefault="0072270F" w:rsidP="005E6FCF">
      <w:pPr>
        <w:numPr>
          <w:ilvl w:val="0"/>
          <w:numId w:val="3"/>
        </w:numPr>
        <w:tabs>
          <w:tab w:val="clear" w:pos="1800"/>
          <w:tab w:val="num" w:pos="1890"/>
        </w:tabs>
        <w:ind w:left="1890" w:hanging="450"/>
        <w:rPr>
          <w:sz w:val="22"/>
        </w:rPr>
      </w:pPr>
      <w:r w:rsidRPr="002B04F9">
        <w:rPr>
          <w:sz w:val="22"/>
        </w:rPr>
        <w:t>It will comply with the other application requirements outlined in</w:t>
      </w:r>
    </w:p>
    <w:p w14:paraId="2247278C" w14:textId="77777777" w:rsidR="0072270F" w:rsidRPr="002B04F9" w:rsidRDefault="0072270F" w:rsidP="005E6FCF">
      <w:pPr>
        <w:tabs>
          <w:tab w:val="left" w:pos="-270"/>
        </w:tabs>
        <w:ind w:left="1440"/>
        <w:rPr>
          <w:sz w:val="22"/>
        </w:rPr>
      </w:pPr>
      <w:r w:rsidRPr="002B04F9">
        <w:rPr>
          <w:sz w:val="22"/>
        </w:rPr>
        <w:tab/>
        <w:t xml:space="preserve">Section 8501. Private School </w:t>
      </w:r>
      <w:proofErr w:type="gramStart"/>
      <w:r w:rsidRPr="002B04F9">
        <w:rPr>
          <w:sz w:val="22"/>
        </w:rPr>
        <w:t>Children;</w:t>
      </w:r>
      <w:proofErr w:type="gramEnd"/>
    </w:p>
    <w:p w14:paraId="1EC4ED45" w14:textId="77777777" w:rsidR="0072270F" w:rsidRPr="002B04F9" w:rsidRDefault="0072270F" w:rsidP="005E6FCF">
      <w:pPr>
        <w:ind w:left="2160"/>
        <w:jc w:val="both"/>
        <w:rPr>
          <w:sz w:val="22"/>
        </w:rPr>
      </w:pPr>
      <w:r w:rsidRPr="002B04F9">
        <w:rPr>
          <w:sz w:val="22"/>
        </w:rPr>
        <w:t xml:space="preserve">Section 8502. Bypass; and </w:t>
      </w:r>
    </w:p>
    <w:p w14:paraId="03CF2784" w14:textId="57A8E2C1" w:rsidR="0072270F" w:rsidRPr="002B04F9" w:rsidRDefault="0072270F" w:rsidP="005E6FCF">
      <w:pPr>
        <w:jc w:val="both"/>
        <w:rPr>
          <w:sz w:val="22"/>
        </w:rPr>
      </w:pPr>
      <w:r w:rsidRPr="002B04F9">
        <w:rPr>
          <w:sz w:val="22"/>
        </w:rPr>
        <w:tab/>
      </w:r>
      <w:r w:rsidRPr="002B04F9">
        <w:rPr>
          <w:sz w:val="22"/>
        </w:rPr>
        <w:tab/>
      </w:r>
      <w:r w:rsidRPr="002B04F9">
        <w:rPr>
          <w:sz w:val="22"/>
        </w:rPr>
        <w:tab/>
        <w:t>Section 8521. Maintenance of Effort und</w:t>
      </w:r>
      <w:r w:rsidR="00C3484B" w:rsidRPr="002B04F9">
        <w:rPr>
          <w:sz w:val="22"/>
        </w:rPr>
        <w:t>er Title V</w:t>
      </w:r>
      <w:r w:rsidR="00CD68E2" w:rsidRPr="002B04F9">
        <w:rPr>
          <w:sz w:val="22"/>
        </w:rPr>
        <w:t xml:space="preserve">III –Other </w:t>
      </w:r>
      <w:proofErr w:type="gramStart"/>
      <w:r w:rsidR="00CD68E2" w:rsidRPr="002B04F9">
        <w:rPr>
          <w:sz w:val="22"/>
        </w:rPr>
        <w:t>Provisions;</w:t>
      </w:r>
      <w:proofErr w:type="gramEnd"/>
    </w:p>
    <w:p w14:paraId="3D2BB650" w14:textId="77777777" w:rsidR="002E15AF" w:rsidRPr="002B04F9" w:rsidRDefault="0072270F" w:rsidP="005E6FCF">
      <w:pPr>
        <w:numPr>
          <w:ilvl w:val="0"/>
          <w:numId w:val="3"/>
        </w:numPr>
        <w:tabs>
          <w:tab w:val="clear" w:pos="1800"/>
          <w:tab w:val="num" w:pos="1890"/>
          <w:tab w:val="left" w:pos="1980"/>
        </w:tabs>
        <w:ind w:left="1890" w:hanging="450"/>
        <w:rPr>
          <w:sz w:val="22"/>
        </w:rPr>
      </w:pPr>
      <w:r w:rsidRPr="002B04F9">
        <w:rPr>
          <w:sz w:val="22"/>
        </w:rPr>
        <w:t xml:space="preserve">It will ensure that funds are expended in accordance with the school division’s approved application or amended application.  In the event the local division needs to expend funds in any manner other than stipulated in the approved application, the plan must be amended using the amendment process provided by the Department of Education.  The application must be amended </w:t>
      </w:r>
      <w:r w:rsidRPr="002B04F9">
        <w:rPr>
          <w:sz w:val="22"/>
          <w:u w:val="single"/>
        </w:rPr>
        <w:t>before</w:t>
      </w:r>
      <w:r w:rsidRPr="002B04F9">
        <w:rPr>
          <w:sz w:val="22"/>
        </w:rPr>
        <w:t xml:space="preserve"> funds can be expended for activities not approved in the original </w:t>
      </w:r>
      <w:proofErr w:type="gramStart"/>
      <w:r w:rsidRPr="002B04F9">
        <w:rPr>
          <w:sz w:val="22"/>
        </w:rPr>
        <w:t>application;</w:t>
      </w:r>
      <w:proofErr w:type="gramEnd"/>
    </w:p>
    <w:p w14:paraId="3B5B2010" w14:textId="274DFFAF" w:rsidR="0072270F" w:rsidRPr="002B04F9" w:rsidRDefault="0072270F" w:rsidP="005E6FCF">
      <w:pPr>
        <w:tabs>
          <w:tab w:val="left" w:pos="540"/>
        </w:tabs>
        <w:ind w:left="1080"/>
        <w:rPr>
          <w:sz w:val="22"/>
        </w:rPr>
      </w:pPr>
      <w:r w:rsidRPr="002B04F9">
        <w:rPr>
          <w:sz w:val="22"/>
        </w:rPr>
        <w:t>C.</w:t>
      </w:r>
      <w:r w:rsidRPr="002B04F9">
        <w:rPr>
          <w:sz w:val="22"/>
        </w:rPr>
        <w:tab/>
      </w:r>
      <w:r w:rsidR="008D284D" w:rsidRPr="002B04F9">
        <w:rPr>
          <w:sz w:val="22"/>
        </w:rPr>
        <w:t>I</w:t>
      </w:r>
      <w:r w:rsidRPr="002B04F9">
        <w:rPr>
          <w:sz w:val="22"/>
        </w:rPr>
        <w:t xml:space="preserve">t will collect and disseminate information collected under Section 1111 in a        </w:t>
      </w:r>
    </w:p>
    <w:p w14:paraId="0E78A3D3" w14:textId="77777777" w:rsidR="007C0CB6" w:rsidRPr="002B04F9" w:rsidRDefault="0072270F" w:rsidP="005E6FCF">
      <w:pPr>
        <w:ind w:left="1080" w:firstLine="360"/>
        <w:rPr>
          <w:sz w:val="22"/>
        </w:rPr>
      </w:pPr>
      <w:r w:rsidRPr="002B04F9">
        <w:rPr>
          <w:sz w:val="22"/>
        </w:rPr>
        <w:t xml:space="preserve">manner that protects the privacy of </w:t>
      </w:r>
      <w:proofErr w:type="gramStart"/>
      <w:r w:rsidRPr="002B04F9">
        <w:rPr>
          <w:sz w:val="22"/>
        </w:rPr>
        <w:t>individuals;</w:t>
      </w:r>
      <w:proofErr w:type="gramEnd"/>
    </w:p>
    <w:p w14:paraId="396CC598" w14:textId="2015F508" w:rsidR="00646269" w:rsidRPr="007A143F" w:rsidRDefault="00646269" w:rsidP="00646269">
      <w:pPr>
        <w:pStyle w:val="ListParagraph"/>
        <w:ind w:left="1440" w:hanging="360"/>
        <w:rPr>
          <w:sz w:val="22"/>
          <w:szCs w:val="22"/>
        </w:rPr>
      </w:pPr>
      <w:r w:rsidRPr="002B04F9">
        <w:t xml:space="preserve">D.   </w:t>
      </w:r>
      <w:r w:rsidRPr="007A143F">
        <w:rPr>
          <w:sz w:val="22"/>
          <w:szCs w:val="22"/>
        </w:rPr>
        <w:t xml:space="preserve">It will adhere to the provisions of the </w:t>
      </w:r>
      <w:hyperlink r:id="rId25" w:history="1">
        <w:r w:rsidRPr="007A143F">
          <w:rPr>
            <w:rStyle w:val="Hyperlink"/>
            <w:sz w:val="22"/>
            <w:szCs w:val="22"/>
          </w:rPr>
          <w:t>Federal Funding Transparency and Accountability Act (FFATA),</w:t>
        </w:r>
      </w:hyperlink>
      <w:r w:rsidRPr="007A143F">
        <w:rPr>
          <w:sz w:val="22"/>
          <w:szCs w:val="22"/>
        </w:rPr>
        <w:t xml:space="preserve"> and will obtain a valid DUNS number prior to applying for funds;</w:t>
      </w:r>
    </w:p>
    <w:p w14:paraId="1CE51836" w14:textId="77777777" w:rsidR="00646269" w:rsidRPr="007A143F" w:rsidRDefault="00646269" w:rsidP="00646269">
      <w:pPr>
        <w:pStyle w:val="ListParagraph"/>
        <w:ind w:left="1440" w:hanging="360"/>
        <w:rPr>
          <w:sz w:val="22"/>
          <w:szCs w:val="22"/>
        </w:rPr>
      </w:pPr>
      <w:r w:rsidRPr="007A143F">
        <w:rPr>
          <w:sz w:val="22"/>
          <w:szCs w:val="22"/>
        </w:rPr>
        <w:t>E.</w:t>
      </w:r>
      <w:r w:rsidRPr="007A143F">
        <w:rPr>
          <w:sz w:val="22"/>
          <w:szCs w:val="22"/>
        </w:rPr>
        <w:tab/>
        <w:t>It will comply with the provisions of 2 CFR part 200 section 200.116, which prohibits the purchase of certain telecommunications and video surveillance services or equipment as described in Public Law 115-232, section 889.</w:t>
      </w:r>
    </w:p>
    <w:p w14:paraId="72DFCABA" w14:textId="16026D69" w:rsidR="0072270F" w:rsidRPr="002B04F9" w:rsidRDefault="0061273D" w:rsidP="005E6FCF">
      <w:pPr>
        <w:numPr>
          <w:ilvl w:val="0"/>
          <w:numId w:val="5"/>
        </w:numPr>
        <w:rPr>
          <w:sz w:val="22"/>
        </w:rPr>
      </w:pPr>
      <w:r w:rsidRPr="002B04F9">
        <w:rPr>
          <w:sz w:val="22"/>
        </w:rPr>
        <w:t>It will</w:t>
      </w:r>
      <w:r w:rsidR="0072270F" w:rsidRPr="002B04F9">
        <w:rPr>
          <w:sz w:val="22"/>
        </w:rPr>
        <w:t xml:space="preserve"> comply with Section 22.1-277.07, of the </w:t>
      </w:r>
      <w:r w:rsidR="0072270F" w:rsidRPr="002B04F9">
        <w:rPr>
          <w:i/>
          <w:sz w:val="22"/>
        </w:rPr>
        <w:t>Code of Virginia</w:t>
      </w:r>
      <w:r w:rsidR="0072270F" w:rsidRPr="002B04F9">
        <w:rPr>
          <w:sz w:val="22"/>
        </w:rPr>
        <w:t xml:space="preserve"> that requires the expulsion for one year of any student determined to have brought a firearm to school.  A description of each incident, the name of the school concerned, the number of students expelled from each school, and the type of firearm used in each instance of expulsion will be reported to the Virginia Department of Education in compliance with provisions under Section 8561 (Gun-Free Schools Act).  This agency has a policy that requires referral to the criminal justice or the juvenile delinquency system of any student who brings a firearm or weapon to school; and</w:t>
      </w:r>
    </w:p>
    <w:p w14:paraId="0E713902" w14:textId="77777777" w:rsidR="007205F0" w:rsidRPr="002B04F9" w:rsidRDefault="0072270F" w:rsidP="005E6FCF">
      <w:pPr>
        <w:numPr>
          <w:ilvl w:val="0"/>
          <w:numId w:val="5"/>
        </w:numPr>
        <w:rPr>
          <w:sz w:val="22"/>
        </w:rPr>
      </w:pPr>
      <w:r w:rsidRPr="002B04F9">
        <w:rPr>
          <w:sz w:val="22"/>
        </w:rPr>
        <w:t>It will participate, if selected, in the state National Assessment of Educational Progress in 4th and 8th grade reading and mathematics carried out under Section 303 of the National Assessment of Educational Progress Act.</w:t>
      </w:r>
    </w:p>
    <w:p w14:paraId="28A4C9E2" w14:textId="77777777" w:rsidR="0072270F" w:rsidRPr="002B04F9" w:rsidRDefault="0072270F" w:rsidP="005E6FCF">
      <w:pPr>
        <w:ind w:left="540"/>
        <w:rPr>
          <w:sz w:val="22"/>
        </w:rPr>
      </w:pPr>
    </w:p>
    <w:p w14:paraId="54E1B9DE" w14:textId="77777777" w:rsidR="0072270F" w:rsidRPr="002B04F9" w:rsidRDefault="0072270F" w:rsidP="005E6FCF">
      <w:pPr>
        <w:rPr>
          <w:b/>
          <w:bCs/>
          <w:color w:val="000000"/>
          <w:sz w:val="22"/>
        </w:rPr>
      </w:pPr>
      <w:r w:rsidRPr="002B04F9">
        <w:rPr>
          <w:b/>
          <w:bCs/>
          <w:color w:val="000000"/>
          <w:sz w:val="22"/>
        </w:rPr>
        <w:br w:type="page"/>
      </w:r>
    </w:p>
    <w:p w14:paraId="72A46086" w14:textId="77777777" w:rsidR="0072270F" w:rsidRPr="002B04F9" w:rsidRDefault="0072270F" w:rsidP="005E6FCF">
      <w:pPr>
        <w:jc w:val="center"/>
        <w:rPr>
          <w:b/>
          <w:bCs/>
          <w:color w:val="000000"/>
          <w:sz w:val="22"/>
        </w:rPr>
      </w:pPr>
    </w:p>
    <w:p w14:paraId="2717DD95" w14:textId="092EA9B1" w:rsidR="007205F0" w:rsidRPr="002B04F9" w:rsidRDefault="007205F0" w:rsidP="005E6FCF">
      <w:pPr>
        <w:jc w:val="center"/>
        <w:rPr>
          <w:b/>
          <w:bCs/>
          <w:color w:val="000000"/>
          <w:sz w:val="22"/>
        </w:rPr>
      </w:pPr>
      <w:r w:rsidRPr="002B04F9">
        <w:rPr>
          <w:b/>
          <w:bCs/>
          <w:color w:val="000000"/>
          <w:sz w:val="22"/>
        </w:rPr>
        <w:t>PROGRAM SPECIFIC ASSURANCES</w:t>
      </w:r>
      <w:r w:rsidR="000272E9" w:rsidRPr="002B04F9">
        <w:rPr>
          <w:b/>
          <w:bCs/>
          <w:color w:val="000000"/>
          <w:sz w:val="22"/>
        </w:rPr>
        <w:t xml:space="preserve"> (</w:t>
      </w:r>
      <w:r w:rsidR="00AA6C1D" w:rsidRPr="002B04F9">
        <w:rPr>
          <w:b/>
          <w:bCs/>
          <w:color w:val="000000"/>
          <w:sz w:val="22"/>
        </w:rPr>
        <w:t>Page 4</w:t>
      </w:r>
      <w:r w:rsidR="00221650" w:rsidRPr="002B04F9">
        <w:rPr>
          <w:b/>
          <w:bCs/>
          <w:color w:val="000000"/>
          <w:sz w:val="22"/>
        </w:rPr>
        <w:t>0</w:t>
      </w:r>
      <w:r w:rsidR="000272E9" w:rsidRPr="002B04F9">
        <w:rPr>
          <w:b/>
          <w:bCs/>
          <w:color w:val="000000"/>
          <w:sz w:val="22"/>
        </w:rPr>
        <w:t>)</w:t>
      </w:r>
    </w:p>
    <w:p w14:paraId="599C5BFE" w14:textId="77777777" w:rsidR="007205F0" w:rsidRPr="002B04F9" w:rsidRDefault="007205F0" w:rsidP="005E6FCF">
      <w:pPr>
        <w:jc w:val="center"/>
        <w:rPr>
          <w:b/>
          <w:bCs/>
          <w:color w:val="000000"/>
          <w:sz w:val="22"/>
        </w:rPr>
      </w:pPr>
    </w:p>
    <w:p w14:paraId="5E820852" w14:textId="77777777" w:rsidR="007205F0" w:rsidRPr="002B04F9" w:rsidRDefault="007205F0" w:rsidP="005E6FCF">
      <w:pPr>
        <w:jc w:val="center"/>
        <w:rPr>
          <w:color w:val="000000"/>
          <w:sz w:val="22"/>
          <w:u w:val="single"/>
        </w:rPr>
      </w:pPr>
      <w:r w:rsidRPr="002B04F9">
        <w:rPr>
          <w:b/>
          <w:bCs/>
          <w:color w:val="000000"/>
          <w:sz w:val="22"/>
          <w:u w:val="single"/>
        </w:rPr>
        <w:t>TITLE II, PART A, TEACHER QUALITY</w:t>
      </w:r>
    </w:p>
    <w:p w14:paraId="3D8624F4" w14:textId="77777777" w:rsidR="007205F0" w:rsidRPr="002B04F9" w:rsidRDefault="007205F0" w:rsidP="005E6FCF">
      <w:pPr>
        <w:rPr>
          <w:bCs/>
          <w:color w:val="000000"/>
          <w:sz w:val="22"/>
        </w:rPr>
      </w:pPr>
    </w:p>
    <w:p w14:paraId="5E448572" w14:textId="50C72468" w:rsidR="001D222E" w:rsidRPr="002B04F9" w:rsidRDefault="001D222E" w:rsidP="005E6FCF">
      <w:pPr>
        <w:rPr>
          <w:sz w:val="22"/>
          <w:szCs w:val="22"/>
        </w:rPr>
      </w:pPr>
      <w:r w:rsidRPr="002B04F9">
        <w:rPr>
          <w:sz w:val="22"/>
        </w:rPr>
        <w:t>The school division</w:t>
      </w:r>
      <w:r w:rsidR="0061273D" w:rsidRPr="002B04F9">
        <w:rPr>
          <w:sz w:val="22"/>
        </w:rPr>
        <w:t>/grantee assures</w:t>
      </w:r>
      <w:r w:rsidRPr="002B04F9">
        <w:rPr>
          <w:sz w:val="22"/>
        </w:rPr>
        <w:t>:</w:t>
      </w:r>
    </w:p>
    <w:p w14:paraId="05C05A55" w14:textId="77777777" w:rsidR="006826DE" w:rsidRPr="002B04F9" w:rsidRDefault="006826DE" w:rsidP="005E6FCF">
      <w:pPr>
        <w:numPr>
          <w:ilvl w:val="0"/>
          <w:numId w:val="15"/>
        </w:numPr>
        <w:rPr>
          <w:bCs/>
          <w:color w:val="000000"/>
          <w:sz w:val="22"/>
        </w:rPr>
      </w:pPr>
      <w:r w:rsidRPr="002B04F9">
        <w:rPr>
          <w:bCs/>
          <w:color w:val="000000"/>
          <w:sz w:val="22"/>
        </w:rPr>
        <w:t>Professional development activities provided through this program are coordinated with professional development activities provided through other fed</w:t>
      </w:r>
      <w:r w:rsidR="00CD68E2" w:rsidRPr="002B04F9">
        <w:rPr>
          <w:bCs/>
          <w:color w:val="000000"/>
          <w:sz w:val="22"/>
        </w:rPr>
        <w:t xml:space="preserve">eral, state, and local </w:t>
      </w:r>
      <w:proofErr w:type="gramStart"/>
      <w:r w:rsidR="00CD68E2" w:rsidRPr="002B04F9">
        <w:rPr>
          <w:bCs/>
          <w:color w:val="000000"/>
          <w:sz w:val="22"/>
        </w:rPr>
        <w:t>programs;</w:t>
      </w:r>
      <w:proofErr w:type="gramEnd"/>
      <w:r w:rsidRPr="002B04F9">
        <w:rPr>
          <w:bCs/>
          <w:color w:val="000000"/>
          <w:sz w:val="22"/>
        </w:rPr>
        <w:t xml:space="preserve"> </w:t>
      </w:r>
    </w:p>
    <w:p w14:paraId="3F562248" w14:textId="25FD1902" w:rsidR="006826DE" w:rsidRPr="002B04F9" w:rsidRDefault="0061273D" w:rsidP="005E6FCF">
      <w:pPr>
        <w:numPr>
          <w:ilvl w:val="0"/>
          <w:numId w:val="15"/>
        </w:numPr>
        <w:rPr>
          <w:bCs/>
          <w:color w:val="000000"/>
          <w:sz w:val="22"/>
        </w:rPr>
      </w:pPr>
      <w:r w:rsidRPr="002B04F9">
        <w:rPr>
          <w:bCs/>
          <w:color w:val="000000"/>
          <w:sz w:val="22"/>
        </w:rPr>
        <w:t>It will comply with S</w:t>
      </w:r>
      <w:r w:rsidR="006826DE" w:rsidRPr="002B04F9">
        <w:rPr>
          <w:bCs/>
          <w:color w:val="000000"/>
          <w:sz w:val="22"/>
        </w:rPr>
        <w:t xml:space="preserve">ection 8501 (regarding participation by private </w:t>
      </w:r>
      <w:r w:rsidR="00CD68E2" w:rsidRPr="002B04F9">
        <w:rPr>
          <w:bCs/>
          <w:color w:val="000000"/>
          <w:sz w:val="22"/>
        </w:rPr>
        <w:t>school children and teachers</w:t>
      </w:r>
      <w:proofErr w:type="gramStart"/>
      <w:r w:rsidR="00CD68E2" w:rsidRPr="002B04F9">
        <w:rPr>
          <w:bCs/>
          <w:color w:val="000000"/>
          <w:sz w:val="22"/>
        </w:rPr>
        <w:t>);</w:t>
      </w:r>
      <w:proofErr w:type="gramEnd"/>
    </w:p>
    <w:p w14:paraId="666DEEDC" w14:textId="77777777" w:rsidR="006826DE" w:rsidRPr="002B04F9" w:rsidRDefault="006826DE" w:rsidP="005E6FCF">
      <w:pPr>
        <w:numPr>
          <w:ilvl w:val="0"/>
          <w:numId w:val="15"/>
        </w:numPr>
        <w:rPr>
          <w:bCs/>
          <w:color w:val="000000"/>
          <w:sz w:val="22"/>
        </w:rPr>
      </w:pPr>
      <w:r w:rsidRPr="002B04F9">
        <w:rPr>
          <w:bCs/>
          <w:color w:val="000000"/>
          <w:sz w:val="22"/>
        </w:rPr>
        <w:t>The plan is based on consultation with a variety of stakeholders, including teachers, principals, other school leaders, paraprofessionals (including organizations representing such individuals), specialized instructional support personnel, charter school leaders (in a local educational agency that has charter schools), parents, community partners, and other organizations or partners with relevant and demonstrated expertise in programs and activities designed to meet the purpos</w:t>
      </w:r>
      <w:r w:rsidR="00CD68E2" w:rsidRPr="002B04F9">
        <w:rPr>
          <w:bCs/>
          <w:color w:val="000000"/>
          <w:sz w:val="22"/>
        </w:rPr>
        <w:t>e of this title;</w:t>
      </w:r>
      <w:r w:rsidRPr="002B04F9">
        <w:rPr>
          <w:bCs/>
          <w:color w:val="000000"/>
          <w:sz w:val="22"/>
        </w:rPr>
        <w:t xml:space="preserve">  </w:t>
      </w:r>
    </w:p>
    <w:p w14:paraId="22714B6F" w14:textId="77777777" w:rsidR="006826DE" w:rsidRPr="002B04F9" w:rsidRDefault="006826DE" w:rsidP="005E6FCF">
      <w:pPr>
        <w:numPr>
          <w:ilvl w:val="0"/>
          <w:numId w:val="15"/>
        </w:numPr>
        <w:rPr>
          <w:bCs/>
          <w:color w:val="000000"/>
          <w:sz w:val="22"/>
        </w:rPr>
      </w:pPr>
      <w:r w:rsidRPr="002B04F9">
        <w:rPr>
          <w:bCs/>
          <w:color w:val="000000"/>
          <w:sz w:val="22"/>
        </w:rPr>
        <w:t xml:space="preserve">Activities and programs will address the needs of all students, including children with disabilities, English learners, and gifted and talented </w:t>
      </w:r>
      <w:proofErr w:type="gramStart"/>
      <w:r w:rsidRPr="002B04F9">
        <w:rPr>
          <w:bCs/>
          <w:color w:val="000000"/>
          <w:sz w:val="22"/>
        </w:rPr>
        <w:t>students</w:t>
      </w:r>
      <w:r w:rsidR="00CD68E2" w:rsidRPr="002B04F9">
        <w:rPr>
          <w:bCs/>
          <w:color w:val="000000"/>
          <w:sz w:val="22"/>
        </w:rPr>
        <w:t>;</w:t>
      </w:r>
      <w:proofErr w:type="gramEnd"/>
    </w:p>
    <w:p w14:paraId="6F67AF2C" w14:textId="77777777" w:rsidR="006826DE" w:rsidRPr="002B04F9" w:rsidRDefault="006826DE" w:rsidP="005E6FCF">
      <w:pPr>
        <w:numPr>
          <w:ilvl w:val="0"/>
          <w:numId w:val="15"/>
        </w:numPr>
        <w:rPr>
          <w:bCs/>
          <w:sz w:val="22"/>
        </w:rPr>
      </w:pPr>
      <w:r w:rsidRPr="002B04F9">
        <w:rPr>
          <w:bCs/>
          <w:color w:val="000000"/>
          <w:sz w:val="22"/>
        </w:rPr>
        <w:t>The funds are expended according to Title II, Part A guidelines for teachers, administrators,</w:t>
      </w:r>
      <w:r w:rsidR="002E15AF" w:rsidRPr="002B04F9">
        <w:rPr>
          <w:bCs/>
          <w:color w:val="000000"/>
          <w:sz w:val="22"/>
        </w:rPr>
        <w:t xml:space="preserve"> other school leaders,</w:t>
      </w:r>
      <w:r w:rsidRPr="002B04F9">
        <w:rPr>
          <w:bCs/>
          <w:color w:val="000000"/>
          <w:sz w:val="22"/>
        </w:rPr>
        <w:t xml:space="preserve"> and paraprofessional staff only. These guidelines can be found within the guidance document: ESSA Title II, Part A Guidance – Supporting </w:t>
      </w:r>
      <w:proofErr w:type="gramStart"/>
      <w:r w:rsidRPr="002B04F9">
        <w:rPr>
          <w:bCs/>
          <w:color w:val="000000"/>
          <w:sz w:val="22"/>
        </w:rPr>
        <w:t>Educators</w:t>
      </w:r>
      <w:r w:rsidR="00CD68E2" w:rsidRPr="002B04F9">
        <w:rPr>
          <w:bCs/>
          <w:color w:val="000000"/>
          <w:sz w:val="22"/>
        </w:rPr>
        <w:t>;</w:t>
      </w:r>
      <w:proofErr w:type="gramEnd"/>
      <w:r w:rsidRPr="002B04F9">
        <w:rPr>
          <w:bCs/>
          <w:color w:val="000000"/>
          <w:sz w:val="22"/>
        </w:rPr>
        <w:t xml:space="preserve"> </w:t>
      </w:r>
    </w:p>
    <w:p w14:paraId="77B8209E" w14:textId="0BF7C9D6" w:rsidR="00311AFF" w:rsidRPr="002B04F9" w:rsidRDefault="00CC07C3" w:rsidP="005E6FCF">
      <w:pPr>
        <w:numPr>
          <w:ilvl w:val="0"/>
          <w:numId w:val="15"/>
        </w:numPr>
        <w:rPr>
          <w:bCs/>
          <w:sz w:val="22"/>
        </w:rPr>
      </w:pPr>
      <w:r w:rsidRPr="002B04F9">
        <w:rPr>
          <w:bCs/>
          <w:color w:val="000000"/>
          <w:sz w:val="22"/>
        </w:rPr>
        <w:t xml:space="preserve">Professional development activities are for teachers, administrators, paraprofessionals, and other school leaders to ensure “high quality” instruction and leadership. </w:t>
      </w:r>
      <w:r w:rsidRPr="002B04F9">
        <w:rPr>
          <w:bCs/>
          <w:sz w:val="22"/>
        </w:rPr>
        <w:t xml:space="preserve">These activities should be based on evidence-based research and should adhere to the requirements of </w:t>
      </w:r>
      <w:r w:rsidR="00AC6D65" w:rsidRPr="002B04F9">
        <w:rPr>
          <w:bCs/>
          <w:sz w:val="22"/>
        </w:rPr>
        <w:t>high-quality</w:t>
      </w:r>
      <w:r w:rsidRPr="002B04F9">
        <w:rPr>
          <w:bCs/>
          <w:sz w:val="22"/>
        </w:rPr>
        <w:t xml:space="preserve"> professional development; and</w:t>
      </w:r>
      <w:r w:rsidR="00021224" w:rsidRPr="002B04F9">
        <w:rPr>
          <w:bCs/>
          <w:sz w:val="22"/>
        </w:rPr>
        <w:t xml:space="preserve"> </w:t>
      </w:r>
    </w:p>
    <w:p w14:paraId="6DC8547E" w14:textId="1338CB53" w:rsidR="00611F1C" w:rsidRPr="002B04F9" w:rsidRDefault="00611F1C" w:rsidP="005E6FCF">
      <w:pPr>
        <w:numPr>
          <w:ilvl w:val="0"/>
          <w:numId w:val="15"/>
        </w:numPr>
        <w:rPr>
          <w:bCs/>
          <w:sz w:val="22"/>
        </w:rPr>
      </w:pPr>
      <w:r w:rsidRPr="002B04F9">
        <w:rPr>
          <w:bCs/>
          <w:sz w:val="22"/>
        </w:rPr>
        <w:t>Students in high-poverty or high-minority</w:t>
      </w:r>
      <w:r w:rsidR="003A52EF" w:rsidRPr="002B04F9">
        <w:rPr>
          <w:bCs/>
          <w:sz w:val="22"/>
        </w:rPr>
        <w:t xml:space="preserve"> Title I</w:t>
      </w:r>
      <w:r w:rsidRPr="002B04F9">
        <w:rPr>
          <w:bCs/>
          <w:sz w:val="22"/>
        </w:rPr>
        <w:t xml:space="preserve"> schools will not be taught by inexperienced, out-of-field</w:t>
      </w:r>
      <w:r w:rsidR="002E15AF" w:rsidRPr="002B04F9">
        <w:rPr>
          <w:bCs/>
          <w:sz w:val="22"/>
        </w:rPr>
        <w:t>, or ineffective teachers</w:t>
      </w:r>
      <w:r w:rsidRPr="002B04F9">
        <w:rPr>
          <w:bCs/>
          <w:sz w:val="22"/>
        </w:rPr>
        <w:t xml:space="preserve"> at a higher rate than students in other schools.</w:t>
      </w:r>
    </w:p>
    <w:p w14:paraId="395E52CB" w14:textId="77777777" w:rsidR="001D222E" w:rsidRDefault="001D222E" w:rsidP="005E6FCF">
      <w:pPr>
        <w:ind w:left="540"/>
        <w:rPr>
          <w:bCs/>
          <w:sz w:val="22"/>
        </w:rPr>
      </w:pPr>
    </w:p>
    <w:p w14:paraId="729B1AAC" w14:textId="77777777" w:rsidR="00611F1C" w:rsidRDefault="00611F1C" w:rsidP="005E6FCF">
      <w:pPr>
        <w:ind w:left="540"/>
        <w:rPr>
          <w:bCs/>
          <w:sz w:val="22"/>
        </w:rPr>
      </w:pPr>
    </w:p>
    <w:p w14:paraId="435B2C06" w14:textId="77777777" w:rsidR="007205F0" w:rsidRDefault="007205F0" w:rsidP="005E6FCF">
      <w:pPr>
        <w:ind w:left="360" w:firstLine="360"/>
        <w:rPr>
          <w:bCs/>
          <w:color w:val="000000"/>
          <w:sz w:val="22"/>
        </w:rPr>
      </w:pPr>
    </w:p>
    <w:sectPr w:rsidR="007205F0" w:rsidSect="00075889">
      <w:footerReference w:type="first" r:id="rId26"/>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500D" w14:textId="77777777" w:rsidR="00843602" w:rsidRDefault="00843602">
      <w:r>
        <w:separator/>
      </w:r>
    </w:p>
  </w:endnote>
  <w:endnote w:type="continuationSeparator" w:id="0">
    <w:p w14:paraId="08740DA6" w14:textId="77777777" w:rsidR="00843602" w:rsidRDefault="00843602">
      <w:r>
        <w:continuationSeparator/>
      </w:r>
    </w:p>
  </w:endnote>
  <w:endnote w:type="continuationNotice" w:id="1">
    <w:p w14:paraId="0E381365" w14:textId="77777777" w:rsidR="00843602" w:rsidRDefault="00843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Arrus BT">
    <w:altName w:val="Georg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F522" w14:textId="77777777" w:rsidR="00AD2A67" w:rsidRDefault="00A95768">
    <w:pPr>
      <w:pStyle w:val="Footer"/>
      <w:framePr w:wrap="around" w:vAnchor="text" w:hAnchor="margin" w:xAlign="center" w:y="1"/>
      <w:rPr>
        <w:rStyle w:val="PageNumber"/>
      </w:rPr>
    </w:pPr>
    <w:r>
      <w:rPr>
        <w:rStyle w:val="PageNumber"/>
      </w:rPr>
      <w:fldChar w:fldCharType="begin"/>
    </w:r>
    <w:r w:rsidR="00AD2A67">
      <w:rPr>
        <w:rStyle w:val="PageNumber"/>
      </w:rPr>
      <w:instrText xml:space="preserve">PAGE  </w:instrText>
    </w:r>
    <w:r>
      <w:rPr>
        <w:rStyle w:val="PageNumber"/>
      </w:rPr>
      <w:fldChar w:fldCharType="end"/>
    </w:r>
  </w:p>
  <w:p w14:paraId="2987E482" w14:textId="77777777" w:rsidR="00AD2A67" w:rsidRDefault="00AD2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98C7" w14:textId="17D67D44" w:rsidR="00AD2A67" w:rsidRDefault="00A95768">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sidR="00AD2A67">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AF0620">
      <w:rPr>
        <w:rStyle w:val="PageNumber"/>
        <w:rFonts w:ascii="Times New Roman" w:hAnsi="Times New Roman"/>
        <w:noProof/>
        <w:sz w:val="20"/>
      </w:rPr>
      <w:t>2</w:t>
    </w:r>
    <w:r>
      <w:rPr>
        <w:rStyle w:val="PageNumber"/>
        <w:rFonts w:ascii="Times New Roman" w:hAnsi="Times New Roman"/>
        <w:sz w:val="20"/>
      </w:rPr>
      <w:fldChar w:fldCharType="end"/>
    </w:r>
  </w:p>
  <w:p w14:paraId="12C8DBD1" w14:textId="77777777" w:rsidR="00AD2A67" w:rsidRDefault="00AD2A67">
    <w:pPr>
      <w:pStyle w:val="Footer"/>
    </w:pPr>
    <w:r>
      <w:t xml:space="preserve">                                                                          </w:t>
    </w:r>
  </w:p>
  <w:p w14:paraId="3EA5AC61" w14:textId="77777777" w:rsidR="00AD2A67" w:rsidRPr="00E70E77" w:rsidRDefault="00AD2A67">
    <w:pPr>
      <w:pStyle w:val="Footer"/>
      <w:jc w:val="right"/>
      <w:rPr>
        <w:rFonts w:ascii="Times New Roman" w:hAnsi="Times New Roman"/>
        <w:sz w:val="16"/>
        <w:szCs w:val="16"/>
      </w:rPr>
    </w:pPr>
    <w:smartTag w:uri="urn:schemas-microsoft-com:office:smarttags" w:element="place">
      <w:smartTag w:uri="urn:schemas-microsoft-com:office:smarttags" w:element="PlaceName">
        <w:r w:rsidRPr="00E70E77">
          <w:rPr>
            <w:rFonts w:ascii="Times New Roman" w:hAnsi="Times New Roman"/>
            <w:sz w:val="16"/>
            <w:szCs w:val="16"/>
          </w:rPr>
          <w:t>Virginia</w:t>
        </w:r>
      </w:smartTag>
      <w:r w:rsidRPr="00E70E77">
        <w:rPr>
          <w:rFonts w:ascii="Times New Roman" w:hAnsi="Times New Roman"/>
          <w:sz w:val="16"/>
          <w:szCs w:val="16"/>
        </w:rPr>
        <w:t xml:space="preserve"> </w:t>
      </w:r>
      <w:smartTag w:uri="urn:schemas-microsoft-com:office:smarttags" w:element="PlaceName">
        <w:r w:rsidRPr="00E70E77">
          <w:rPr>
            <w:rFonts w:ascii="Times New Roman" w:hAnsi="Times New Roman"/>
            <w:sz w:val="16"/>
            <w:szCs w:val="16"/>
          </w:rPr>
          <w:t>Department</w:t>
        </w:r>
      </w:smartTag>
    </w:smartTag>
    <w:r w:rsidRPr="00E70E77">
      <w:rPr>
        <w:rFonts w:ascii="Times New Roman" w:hAnsi="Times New Roman"/>
        <w:sz w:val="16"/>
        <w:szCs w:val="16"/>
      </w:rPr>
      <w:t xml:space="preserve"> of Education</w:t>
    </w:r>
  </w:p>
  <w:p w14:paraId="74D2DBB4" w14:textId="441B7BBF" w:rsidR="00AD2A67" w:rsidRPr="00B8196B" w:rsidRDefault="00E4106D">
    <w:pPr>
      <w:pStyle w:val="Footer"/>
      <w:jc w:val="right"/>
      <w:rPr>
        <w:rFonts w:ascii="Times New Roman" w:hAnsi="Times New Roman"/>
        <w:sz w:val="16"/>
        <w:szCs w:val="16"/>
      </w:rPr>
    </w:pPr>
    <w:r>
      <w:rPr>
        <w:rFonts w:ascii="Times New Roman" w:hAnsi="Times New Roman"/>
        <w:sz w:val="16"/>
        <w:szCs w:val="16"/>
      </w:rPr>
      <w:t>2024</w:t>
    </w:r>
  </w:p>
  <w:p w14:paraId="584379C2" w14:textId="77777777" w:rsidR="00AD2A67" w:rsidRDefault="00AD2A6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FDBD" w14:textId="46535F44" w:rsidR="00AD2A67" w:rsidRDefault="00AD2A67" w:rsidP="0060110C">
    <w:pPr>
      <w:pStyle w:val="Footer"/>
      <w:rPr>
        <w:rStyle w:val="PageNumber"/>
        <w:rFonts w:ascii="Times New Roman" w:hAnsi="Times New Roman"/>
        <w:sz w:val="20"/>
      </w:rPr>
    </w:pPr>
    <w:r>
      <w:t xml:space="preserve">                                                                          </w:t>
    </w:r>
    <w:r w:rsidR="00A95768" w:rsidRPr="00075889">
      <w:rPr>
        <w:rStyle w:val="PageNumber"/>
        <w:rFonts w:ascii="Times New Roman" w:hAnsi="Times New Roman"/>
        <w:sz w:val="20"/>
      </w:rPr>
      <w:fldChar w:fldCharType="begin"/>
    </w:r>
    <w:r w:rsidRPr="00075889">
      <w:rPr>
        <w:rStyle w:val="PageNumber"/>
        <w:rFonts w:ascii="Times New Roman" w:hAnsi="Times New Roman"/>
        <w:sz w:val="20"/>
      </w:rPr>
      <w:instrText xml:space="preserve"> PAGE </w:instrText>
    </w:r>
    <w:r w:rsidR="00A95768" w:rsidRPr="00075889">
      <w:rPr>
        <w:rStyle w:val="PageNumber"/>
        <w:rFonts w:ascii="Times New Roman" w:hAnsi="Times New Roman"/>
        <w:sz w:val="20"/>
      </w:rPr>
      <w:fldChar w:fldCharType="separate"/>
    </w:r>
    <w:r w:rsidR="00AF0620">
      <w:rPr>
        <w:rStyle w:val="PageNumber"/>
        <w:rFonts w:ascii="Times New Roman" w:hAnsi="Times New Roman"/>
        <w:noProof/>
        <w:sz w:val="20"/>
      </w:rPr>
      <w:t>16</w:t>
    </w:r>
    <w:r w:rsidR="00A95768" w:rsidRPr="00075889">
      <w:rPr>
        <w:rStyle w:val="PageNumber"/>
        <w:rFonts w:ascii="Times New Roman" w:hAnsi="Times New Roman"/>
        <w:sz w:val="20"/>
      </w:rPr>
      <w:fldChar w:fldCharType="end"/>
    </w:r>
    <w:r>
      <w:rPr>
        <w:rStyle w:val="PageNumber"/>
        <w:rFonts w:ascii="Times New Roman" w:hAnsi="Times New Roman"/>
        <w:sz w:val="20"/>
      </w:rPr>
      <w:t xml:space="preserve">                                                    </w:t>
    </w:r>
  </w:p>
  <w:p w14:paraId="68BE084F" w14:textId="77777777" w:rsidR="00AD2A67" w:rsidRPr="00B8196B" w:rsidRDefault="00AD2A67" w:rsidP="0060110C">
    <w:pPr>
      <w:pStyle w:val="Footer"/>
      <w:rPr>
        <w:rFonts w:ascii="Times New Roman" w:hAnsi="Times New Roman"/>
        <w:sz w:val="16"/>
        <w:szCs w:val="16"/>
      </w:rPr>
    </w:pPr>
    <w:r>
      <w:rPr>
        <w:rStyle w:val="PageNumber"/>
        <w:rFonts w:ascii="Times New Roman" w:hAnsi="Times New Roman"/>
        <w:sz w:val="20"/>
      </w:rPr>
      <w:t xml:space="preserve">                                                                                                                                               </w:t>
    </w:r>
    <w:r w:rsidRPr="00F26957">
      <w:rPr>
        <w:rFonts w:ascii="Times New Roman" w:hAnsi="Times New Roman"/>
        <w:sz w:val="16"/>
        <w:szCs w:val="16"/>
      </w:rPr>
      <w:t xml:space="preserve">Virginia Department of </w:t>
    </w:r>
    <w:r>
      <w:rPr>
        <w:rFonts w:ascii="Times New Roman" w:hAnsi="Times New Roman"/>
        <w:sz w:val="16"/>
        <w:szCs w:val="16"/>
      </w:rPr>
      <w:t>Education</w:t>
    </w:r>
  </w:p>
  <w:p w14:paraId="5D51B7EF" w14:textId="295C8C4C" w:rsidR="00AD2A67" w:rsidRPr="00B8196B" w:rsidRDefault="00E4106D" w:rsidP="0060110C">
    <w:pPr>
      <w:pStyle w:val="Footer"/>
      <w:jc w:val="right"/>
      <w:rPr>
        <w:rFonts w:ascii="Times New Roman" w:hAnsi="Times New Roman"/>
        <w:sz w:val="16"/>
        <w:szCs w:val="16"/>
      </w:rPr>
    </w:pPr>
    <w:r>
      <w:rPr>
        <w:rFonts w:ascii="Times New Roman" w:hAnsi="Times New Roman"/>
        <w:sz w:val="16"/>
        <w:szCs w:val="16"/>
      </w:rPr>
      <w:t>2024</w:t>
    </w:r>
  </w:p>
  <w:p w14:paraId="230A219F" w14:textId="77777777" w:rsidR="00AD2A67" w:rsidRPr="00075889" w:rsidRDefault="00AD2A67" w:rsidP="00075889">
    <w:pPr>
      <w:pStyle w:val="Footer"/>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DE40C" w14:textId="77777777" w:rsidR="00843602" w:rsidRDefault="00843602">
      <w:r>
        <w:separator/>
      </w:r>
    </w:p>
  </w:footnote>
  <w:footnote w:type="continuationSeparator" w:id="0">
    <w:p w14:paraId="77AB4EDD" w14:textId="77777777" w:rsidR="00843602" w:rsidRDefault="00843602">
      <w:r>
        <w:continuationSeparator/>
      </w:r>
    </w:p>
  </w:footnote>
  <w:footnote w:type="continuationNotice" w:id="1">
    <w:p w14:paraId="7408CA1E" w14:textId="77777777" w:rsidR="00843602" w:rsidRDefault="00843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AAD4" w14:textId="3EFE8073" w:rsidR="00AD2A67" w:rsidRPr="00E70E77" w:rsidRDefault="00E4106D">
    <w:pPr>
      <w:pStyle w:val="Header"/>
      <w:rPr>
        <w:rFonts w:ascii="Times New Roman" w:hAnsi="Times New Roman"/>
        <w:sz w:val="18"/>
      </w:rPr>
    </w:pPr>
    <w:r>
      <w:rPr>
        <w:rFonts w:ascii="Times New Roman" w:hAnsi="Times New Roman"/>
        <w:sz w:val="18"/>
      </w:rPr>
      <w:t>2024</w:t>
    </w:r>
    <w:r w:rsidR="002534BC" w:rsidRPr="00E70E77">
      <w:rPr>
        <w:rFonts w:ascii="Times New Roman" w:hAnsi="Times New Roman"/>
        <w:sz w:val="18"/>
      </w:rPr>
      <w:t>-</w:t>
    </w:r>
    <w:r>
      <w:rPr>
        <w:rFonts w:ascii="Times New Roman" w:hAnsi="Times New Roman"/>
        <w:sz w:val="18"/>
      </w:rPr>
      <w:t>2025</w:t>
    </w:r>
    <w:r w:rsidR="00AD2A67" w:rsidRPr="00E70E77">
      <w:rPr>
        <w:rFonts w:ascii="Times New Roman" w:hAnsi="Times New Roman"/>
        <w:sz w:val="18"/>
      </w:rPr>
      <w:t xml:space="preserve"> Title II, Part A, Individual Application </w:t>
    </w:r>
  </w:p>
  <w:p w14:paraId="45CF7742" w14:textId="77777777" w:rsidR="00AD2A67" w:rsidRDefault="00AD2A67">
    <w:pPr>
      <w:pStyle w:val="Header"/>
    </w:pPr>
    <w:r w:rsidRPr="00E70E77">
      <w:rPr>
        <w:rFonts w:ascii="Times New Roman" w:hAnsi="Times New Roman"/>
        <w:sz w:val="18"/>
      </w:rPr>
      <w:t>Guidelines, Instructions, and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DC1"/>
    <w:multiLevelType w:val="multilevel"/>
    <w:tmpl w:val="B77A3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DC028B"/>
    <w:multiLevelType w:val="hybridMultilevel"/>
    <w:tmpl w:val="918883E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A652B1"/>
    <w:multiLevelType w:val="hybridMultilevel"/>
    <w:tmpl w:val="B3C0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0D92"/>
    <w:multiLevelType w:val="hybridMultilevel"/>
    <w:tmpl w:val="84845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324F5"/>
    <w:multiLevelType w:val="hybridMultilevel"/>
    <w:tmpl w:val="69A6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F4787"/>
    <w:multiLevelType w:val="hybridMultilevel"/>
    <w:tmpl w:val="A04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A0D00"/>
    <w:multiLevelType w:val="hybridMultilevel"/>
    <w:tmpl w:val="D5F497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2742CA"/>
    <w:multiLevelType w:val="multilevel"/>
    <w:tmpl w:val="F832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5497F"/>
    <w:multiLevelType w:val="hybridMultilevel"/>
    <w:tmpl w:val="900226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4471EF"/>
    <w:multiLevelType w:val="hybridMultilevel"/>
    <w:tmpl w:val="4F6651B4"/>
    <w:lvl w:ilvl="0" w:tplc="8DFA22D0">
      <w:start w:val="1"/>
      <w:numFmt w:val="bullet"/>
      <w:lvlText w:val=""/>
      <w:lvlJc w:val="left"/>
      <w:pPr>
        <w:tabs>
          <w:tab w:val="num" w:pos="1080"/>
        </w:tabs>
        <w:ind w:left="1080" w:hanging="360"/>
      </w:pPr>
      <w:rPr>
        <w:rFonts w:ascii="Symbol" w:hAnsi="Symbol" w:hint="default"/>
        <w:color w:val="auto"/>
      </w:rPr>
    </w:lvl>
    <w:lvl w:ilvl="1" w:tplc="30C69506">
      <w:start w:val="1"/>
      <w:numFmt w:val="lowerLetter"/>
      <w:lvlText w:val="%2."/>
      <w:lvlJc w:val="left"/>
      <w:pPr>
        <w:tabs>
          <w:tab w:val="num" w:pos="1320"/>
        </w:tabs>
        <w:ind w:left="1320" w:hanging="360"/>
      </w:pPr>
      <w:rPr>
        <w:rFonts w:hint="default"/>
        <w:b w:val="0"/>
        <w:color w:val="auto"/>
      </w:rPr>
    </w:lvl>
    <w:lvl w:ilvl="2" w:tplc="04090005">
      <w:start w:val="1"/>
      <w:numFmt w:val="bullet"/>
      <w:lvlText w:val=""/>
      <w:lvlJc w:val="left"/>
      <w:pPr>
        <w:tabs>
          <w:tab w:val="num" w:pos="2040"/>
        </w:tabs>
        <w:ind w:left="2040" w:hanging="360"/>
      </w:pPr>
      <w:rPr>
        <w:rFonts w:ascii="Wingdings" w:hAnsi="Wingdings" w:hint="default"/>
      </w:rPr>
    </w:lvl>
    <w:lvl w:ilvl="3" w:tplc="04090001">
      <w:start w:val="1"/>
      <w:numFmt w:val="bullet"/>
      <w:lvlText w:val=""/>
      <w:lvlJc w:val="left"/>
      <w:pPr>
        <w:tabs>
          <w:tab w:val="num" w:pos="2760"/>
        </w:tabs>
        <w:ind w:left="2760" w:hanging="360"/>
      </w:pPr>
      <w:rPr>
        <w:rFonts w:ascii="Symbol" w:hAnsi="Symbol" w:hint="default"/>
      </w:rPr>
    </w:lvl>
    <w:lvl w:ilvl="4" w:tplc="04090003">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230F36DF"/>
    <w:multiLevelType w:val="hybridMultilevel"/>
    <w:tmpl w:val="9FEA426C"/>
    <w:lvl w:ilvl="0" w:tplc="2B78F30C">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C7D9D"/>
    <w:multiLevelType w:val="hybridMultilevel"/>
    <w:tmpl w:val="6E18F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57B76"/>
    <w:multiLevelType w:val="hybridMultilevel"/>
    <w:tmpl w:val="3D4275B6"/>
    <w:lvl w:ilvl="0" w:tplc="4B626A4A">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D00108"/>
    <w:multiLevelType w:val="hybridMultilevel"/>
    <w:tmpl w:val="639E0652"/>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13">
      <w:start w:val="1"/>
      <w:numFmt w:val="upperRoman"/>
      <w:lvlText w:val="%4."/>
      <w:lvlJc w:val="righ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2F06DA9"/>
    <w:multiLevelType w:val="hybridMultilevel"/>
    <w:tmpl w:val="BDBC45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6F4181"/>
    <w:multiLevelType w:val="hybridMultilevel"/>
    <w:tmpl w:val="C0C872C0"/>
    <w:lvl w:ilvl="0" w:tplc="0409000F">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A2342CA4">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57C03FB"/>
    <w:multiLevelType w:val="hybridMultilevel"/>
    <w:tmpl w:val="A1E8E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C485B"/>
    <w:multiLevelType w:val="hybridMultilevel"/>
    <w:tmpl w:val="A96C18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92A81"/>
    <w:multiLevelType w:val="hybridMultilevel"/>
    <w:tmpl w:val="8730BDDC"/>
    <w:lvl w:ilvl="0" w:tplc="04090001">
      <w:start w:val="1"/>
      <w:numFmt w:val="bullet"/>
      <w:lvlText w:val=""/>
      <w:lvlJc w:val="left"/>
      <w:pPr>
        <w:tabs>
          <w:tab w:val="num" w:pos="2340"/>
        </w:tabs>
        <w:ind w:left="2340" w:hanging="360"/>
      </w:pPr>
      <w:rPr>
        <w:rFonts w:ascii="Symbol" w:hAnsi="Symbol" w:hint="default"/>
      </w:rPr>
    </w:lvl>
    <w:lvl w:ilvl="1" w:tplc="04090001">
      <w:start w:val="1"/>
      <w:numFmt w:val="bullet"/>
      <w:lvlText w:val=""/>
      <w:lvlJc w:val="left"/>
      <w:pPr>
        <w:ind w:left="2340" w:hanging="360"/>
      </w:pPr>
      <w:rPr>
        <w:rFonts w:ascii="Symbol" w:hAnsi="Symbo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0BB0413"/>
    <w:multiLevelType w:val="hybridMultilevel"/>
    <w:tmpl w:val="E2C8AE30"/>
    <w:lvl w:ilvl="0" w:tplc="0409000F">
      <w:start w:val="1"/>
      <w:numFmt w:val="decimal"/>
      <w:lvlText w:val="%1."/>
      <w:lvlJc w:val="left"/>
      <w:pPr>
        <w:tabs>
          <w:tab w:val="num" w:pos="720"/>
        </w:tabs>
        <w:ind w:left="720" w:hanging="360"/>
      </w:pPr>
    </w:lvl>
    <w:lvl w:ilvl="1" w:tplc="AE22F3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9A6316"/>
    <w:multiLevelType w:val="hybridMultilevel"/>
    <w:tmpl w:val="0C5207F8"/>
    <w:lvl w:ilvl="0" w:tplc="BC9668E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C01EFA98">
      <w:start w:val="1"/>
      <w:numFmt w:val="lowerRoman"/>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E312F3"/>
    <w:multiLevelType w:val="hybridMultilevel"/>
    <w:tmpl w:val="6628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110CF0"/>
    <w:multiLevelType w:val="hybridMultilevel"/>
    <w:tmpl w:val="21B8E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E0F41"/>
    <w:multiLevelType w:val="hybridMultilevel"/>
    <w:tmpl w:val="F4563444"/>
    <w:lvl w:ilvl="0" w:tplc="B0B490E8">
      <w:start w:val="1"/>
      <w:numFmt w:val="upperLetter"/>
      <w:lvlText w:val="%1)"/>
      <w:lvlJc w:val="left"/>
      <w:pPr>
        <w:ind w:left="1800" w:hanging="360"/>
      </w:pPr>
      <w:rPr>
        <w:rFonts w:ascii="NewCenturySchlbk-Roman" w:hAnsi="NewCenturySchlbk-Roman" w:cs="NewCenturySchlbk-Roman" w:hint="default"/>
        <w:color w:val="auto"/>
        <w:sz w:val="20"/>
      </w:rPr>
    </w:lvl>
    <w:lvl w:ilvl="1" w:tplc="04090019">
      <w:start w:val="1"/>
      <w:numFmt w:val="lowerLetter"/>
      <w:lvlText w:val="%2."/>
      <w:lvlJc w:val="left"/>
      <w:pPr>
        <w:ind w:left="2520" w:hanging="360"/>
      </w:pPr>
    </w:lvl>
    <w:lvl w:ilvl="2" w:tplc="BC9668E8">
      <w:start w:val="1"/>
      <w:numFmt w:val="lowerRoman"/>
      <w:lvlText w:val="(%3)"/>
      <w:lvlJc w:val="left"/>
      <w:pPr>
        <w:ind w:left="3240" w:hanging="180"/>
      </w:pPr>
      <w:rPr>
        <w:rFonts w:hint="default"/>
      </w:rPr>
    </w:lvl>
    <w:lvl w:ilvl="3" w:tplc="97B2F9CE">
      <w:start w:val="1"/>
      <w:numFmt w:val="upperRoman"/>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BE7841"/>
    <w:multiLevelType w:val="hybridMultilevel"/>
    <w:tmpl w:val="29783A7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97B2F9CE">
      <w:start w:val="1"/>
      <w:numFmt w:val="upperRoman"/>
      <w:lvlText w:val="(%4)"/>
      <w:lvlJc w:val="left"/>
      <w:pPr>
        <w:ind w:left="46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C7D0993"/>
    <w:multiLevelType w:val="hybridMultilevel"/>
    <w:tmpl w:val="DDCC6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D2E05"/>
    <w:multiLevelType w:val="hybridMultilevel"/>
    <w:tmpl w:val="46D6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B301E"/>
    <w:multiLevelType w:val="hybridMultilevel"/>
    <w:tmpl w:val="296219D4"/>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8" w15:restartNumberingAfterBreak="0">
    <w:nsid w:val="55AB4F20"/>
    <w:multiLevelType w:val="hybridMultilevel"/>
    <w:tmpl w:val="747C4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CD674D"/>
    <w:multiLevelType w:val="hybridMultilevel"/>
    <w:tmpl w:val="AC2479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D07F25"/>
    <w:multiLevelType w:val="hybridMultilevel"/>
    <w:tmpl w:val="337695F6"/>
    <w:lvl w:ilvl="0" w:tplc="A90812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264F63"/>
    <w:multiLevelType w:val="hybridMultilevel"/>
    <w:tmpl w:val="92FC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73FDC"/>
    <w:multiLevelType w:val="hybridMultilevel"/>
    <w:tmpl w:val="5ABEA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7B351C"/>
    <w:multiLevelType w:val="hybridMultilevel"/>
    <w:tmpl w:val="575CC9AA"/>
    <w:lvl w:ilvl="0" w:tplc="B0B490E8">
      <w:start w:val="1"/>
      <w:numFmt w:val="upperLetter"/>
      <w:lvlText w:val="%1)"/>
      <w:lvlJc w:val="left"/>
      <w:pPr>
        <w:ind w:left="1800" w:hanging="360"/>
      </w:pPr>
      <w:rPr>
        <w:rFonts w:ascii="NewCenturySchlbk-Roman" w:hAnsi="NewCenturySchlbk-Roman" w:cs="NewCenturySchlbk-Roman" w:hint="default"/>
        <w:color w:val="auto"/>
        <w:sz w:val="20"/>
      </w:rPr>
    </w:lvl>
    <w:lvl w:ilvl="1" w:tplc="04090019">
      <w:start w:val="1"/>
      <w:numFmt w:val="lowerLetter"/>
      <w:lvlText w:val="%2."/>
      <w:lvlJc w:val="left"/>
      <w:pPr>
        <w:ind w:left="2520" w:hanging="360"/>
      </w:pPr>
    </w:lvl>
    <w:lvl w:ilvl="2" w:tplc="BC9668E8">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654538"/>
    <w:multiLevelType w:val="hybridMultilevel"/>
    <w:tmpl w:val="72E8B820"/>
    <w:lvl w:ilvl="0" w:tplc="BC9668E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ADE06A8"/>
    <w:multiLevelType w:val="hybridMultilevel"/>
    <w:tmpl w:val="428A3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9F2EDF"/>
    <w:multiLevelType w:val="hybridMultilevel"/>
    <w:tmpl w:val="D7B00FE0"/>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8A76D2"/>
    <w:multiLevelType w:val="hybridMultilevel"/>
    <w:tmpl w:val="3140D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B5A05"/>
    <w:multiLevelType w:val="hybridMultilevel"/>
    <w:tmpl w:val="97DEC55A"/>
    <w:lvl w:ilvl="0" w:tplc="8DFA22D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9" w15:restartNumberingAfterBreak="0">
    <w:nsid w:val="71675D76"/>
    <w:multiLevelType w:val="hybridMultilevel"/>
    <w:tmpl w:val="1566628A"/>
    <w:lvl w:ilvl="0" w:tplc="8DFA22D0">
      <w:start w:val="1"/>
      <w:numFmt w:val="bullet"/>
      <w:lvlText w:val=""/>
      <w:lvlJc w:val="left"/>
      <w:pPr>
        <w:tabs>
          <w:tab w:val="num" w:pos="1080"/>
        </w:tabs>
        <w:ind w:left="1080" w:hanging="360"/>
      </w:pPr>
      <w:rPr>
        <w:rFonts w:ascii="Symbol" w:hAnsi="Symbol" w:hint="default"/>
        <w:color w:val="auto"/>
      </w:rPr>
    </w:lvl>
    <w:lvl w:ilvl="1" w:tplc="30C69506">
      <w:start w:val="1"/>
      <w:numFmt w:val="lowerLetter"/>
      <w:lvlText w:val="%2."/>
      <w:lvlJc w:val="left"/>
      <w:pPr>
        <w:tabs>
          <w:tab w:val="num" w:pos="1320"/>
        </w:tabs>
        <w:ind w:left="1320" w:hanging="360"/>
      </w:pPr>
      <w:rPr>
        <w:rFonts w:hint="default"/>
        <w:b w:val="0"/>
        <w:color w:val="auto"/>
      </w:rPr>
    </w:lvl>
    <w:lvl w:ilvl="2" w:tplc="04090005">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40" w15:restartNumberingAfterBreak="0">
    <w:nsid w:val="7333454D"/>
    <w:multiLevelType w:val="hybridMultilevel"/>
    <w:tmpl w:val="A9245ADA"/>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735D069B"/>
    <w:multiLevelType w:val="hybridMultilevel"/>
    <w:tmpl w:val="27F68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722A6"/>
    <w:multiLevelType w:val="hybridMultilevel"/>
    <w:tmpl w:val="C6927A12"/>
    <w:lvl w:ilvl="0" w:tplc="8DFA22D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3" w15:restartNumberingAfterBreak="0">
    <w:nsid w:val="754C3D8A"/>
    <w:multiLevelType w:val="hybridMultilevel"/>
    <w:tmpl w:val="31282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9F2E4D"/>
    <w:multiLevelType w:val="hybridMultilevel"/>
    <w:tmpl w:val="0B10C75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001C9A"/>
    <w:multiLevelType w:val="hybridMultilevel"/>
    <w:tmpl w:val="CDA4B360"/>
    <w:lvl w:ilvl="0" w:tplc="05CE265C">
      <w:start w:val="1"/>
      <w:numFmt w:val="decimal"/>
      <w:lvlText w:val="%1."/>
      <w:lvlJc w:val="left"/>
      <w:pPr>
        <w:tabs>
          <w:tab w:val="num" w:pos="720"/>
        </w:tabs>
        <w:ind w:left="720" w:hanging="360"/>
      </w:pPr>
      <w:rPr>
        <w:b w:val="0"/>
      </w:rPr>
    </w:lvl>
    <w:lvl w:ilvl="1" w:tplc="AE22F3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8F0B11"/>
    <w:multiLevelType w:val="hybridMultilevel"/>
    <w:tmpl w:val="A7C238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1C4876"/>
    <w:multiLevelType w:val="hybridMultilevel"/>
    <w:tmpl w:val="1486C828"/>
    <w:lvl w:ilvl="0" w:tplc="A9FE0990">
      <w:start w:val="5"/>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710F69"/>
    <w:multiLevelType w:val="hybridMultilevel"/>
    <w:tmpl w:val="4664F5C8"/>
    <w:lvl w:ilvl="0" w:tplc="B0B490E8">
      <w:start w:val="1"/>
      <w:numFmt w:val="upperLetter"/>
      <w:lvlText w:val="%1)"/>
      <w:lvlJc w:val="left"/>
      <w:pPr>
        <w:ind w:left="720" w:hanging="360"/>
      </w:pPr>
      <w:rPr>
        <w:rFonts w:ascii="NewCenturySchlbk-Roman" w:hAnsi="NewCenturySchlbk-Roman" w:cs="NewCenturySchlbk-Roman"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1EFA9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0761F"/>
    <w:multiLevelType w:val="hybridMultilevel"/>
    <w:tmpl w:val="99528D08"/>
    <w:lvl w:ilvl="0" w:tplc="8DFA22D0">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16cid:durableId="1896551304">
    <w:abstractNumId w:val="45"/>
  </w:num>
  <w:num w:numId="2" w16cid:durableId="1349142604">
    <w:abstractNumId w:val="36"/>
  </w:num>
  <w:num w:numId="3" w16cid:durableId="1885173980">
    <w:abstractNumId w:val="15"/>
  </w:num>
  <w:num w:numId="4" w16cid:durableId="1205170850">
    <w:abstractNumId w:val="22"/>
  </w:num>
  <w:num w:numId="5" w16cid:durableId="742292294">
    <w:abstractNumId w:val="47"/>
  </w:num>
  <w:num w:numId="6" w16cid:durableId="1274290919">
    <w:abstractNumId w:val="16"/>
  </w:num>
  <w:num w:numId="7" w16cid:durableId="432476458">
    <w:abstractNumId w:val="17"/>
  </w:num>
  <w:num w:numId="8" w16cid:durableId="2105152902">
    <w:abstractNumId w:val="11"/>
  </w:num>
  <w:num w:numId="9" w16cid:durableId="2074965685">
    <w:abstractNumId w:val="35"/>
  </w:num>
  <w:num w:numId="10" w16cid:durableId="1582789943">
    <w:abstractNumId w:val="28"/>
  </w:num>
  <w:num w:numId="11" w16cid:durableId="962078018">
    <w:abstractNumId w:val="6"/>
  </w:num>
  <w:num w:numId="12" w16cid:durableId="1886211545">
    <w:abstractNumId w:val="30"/>
  </w:num>
  <w:num w:numId="13" w16cid:durableId="582571006">
    <w:abstractNumId w:val="32"/>
  </w:num>
  <w:num w:numId="14" w16cid:durableId="1936012730">
    <w:abstractNumId w:val="25"/>
  </w:num>
  <w:num w:numId="15" w16cid:durableId="1321420551">
    <w:abstractNumId w:val="44"/>
  </w:num>
  <w:num w:numId="16" w16cid:durableId="1940747229">
    <w:abstractNumId w:val="39"/>
  </w:num>
  <w:num w:numId="17" w16cid:durableId="763381061">
    <w:abstractNumId w:val="9"/>
  </w:num>
  <w:num w:numId="18" w16cid:durableId="1796948118">
    <w:abstractNumId w:val="49"/>
  </w:num>
  <w:num w:numId="19" w16cid:durableId="1955791642">
    <w:abstractNumId w:val="38"/>
  </w:num>
  <w:num w:numId="20" w16cid:durableId="483670206">
    <w:abstractNumId w:val="42"/>
  </w:num>
  <w:num w:numId="21" w16cid:durableId="1356231013">
    <w:abstractNumId w:val="46"/>
  </w:num>
  <w:num w:numId="22" w16cid:durableId="177432281">
    <w:abstractNumId w:val="2"/>
  </w:num>
  <w:num w:numId="23" w16cid:durableId="243804741">
    <w:abstractNumId w:val="27"/>
  </w:num>
  <w:num w:numId="24" w16cid:durableId="1343363850">
    <w:abstractNumId w:val="48"/>
  </w:num>
  <w:num w:numId="25" w16cid:durableId="540098361">
    <w:abstractNumId w:val="43"/>
  </w:num>
  <w:num w:numId="26" w16cid:durableId="865824126">
    <w:abstractNumId w:val="26"/>
  </w:num>
  <w:num w:numId="27" w16cid:durableId="62340688">
    <w:abstractNumId w:val="29"/>
  </w:num>
  <w:num w:numId="28" w16cid:durableId="1537546128">
    <w:abstractNumId w:val="10"/>
  </w:num>
  <w:num w:numId="29" w16cid:durableId="1021737192">
    <w:abstractNumId w:val="23"/>
  </w:num>
  <w:num w:numId="30" w16cid:durableId="889616207">
    <w:abstractNumId w:val="33"/>
  </w:num>
  <w:num w:numId="31" w16cid:durableId="960115181">
    <w:abstractNumId w:val="8"/>
  </w:num>
  <w:num w:numId="32" w16cid:durableId="2027366140">
    <w:abstractNumId w:val="14"/>
  </w:num>
  <w:num w:numId="33" w16cid:durableId="1421484444">
    <w:abstractNumId w:val="19"/>
  </w:num>
  <w:num w:numId="34" w16cid:durableId="1841963086">
    <w:abstractNumId w:val="4"/>
  </w:num>
  <w:num w:numId="35" w16cid:durableId="1984041481">
    <w:abstractNumId w:val="3"/>
  </w:num>
  <w:num w:numId="36" w16cid:durableId="1593124498">
    <w:abstractNumId w:val="37"/>
  </w:num>
  <w:num w:numId="37" w16cid:durableId="526256476">
    <w:abstractNumId w:val="21"/>
  </w:num>
  <w:num w:numId="38" w16cid:durableId="490682818">
    <w:abstractNumId w:val="12"/>
  </w:num>
  <w:num w:numId="39" w16cid:durableId="2033724106">
    <w:abstractNumId w:val="40"/>
  </w:num>
  <w:num w:numId="40" w16cid:durableId="1312176487">
    <w:abstractNumId w:val="18"/>
  </w:num>
  <w:num w:numId="41" w16cid:durableId="1325235531">
    <w:abstractNumId w:val="5"/>
  </w:num>
  <w:num w:numId="42" w16cid:durableId="1294671993">
    <w:abstractNumId w:val="1"/>
  </w:num>
  <w:num w:numId="43" w16cid:durableId="438258545">
    <w:abstractNumId w:val="13"/>
  </w:num>
  <w:num w:numId="44" w16cid:durableId="1943953746">
    <w:abstractNumId w:val="24"/>
  </w:num>
  <w:num w:numId="45" w16cid:durableId="909343641">
    <w:abstractNumId w:val="34"/>
  </w:num>
  <w:num w:numId="46" w16cid:durableId="577710110">
    <w:abstractNumId w:val="20"/>
  </w:num>
  <w:num w:numId="47" w16cid:durableId="1270967262">
    <w:abstractNumId w:val="7"/>
  </w:num>
  <w:num w:numId="48" w16cid:durableId="1300920488">
    <w:abstractNumId w:val="31"/>
  </w:num>
  <w:num w:numId="49" w16cid:durableId="260724334">
    <w:abstractNumId w:val="41"/>
  </w:num>
  <w:num w:numId="50" w16cid:durableId="110757651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46"/>
    <w:rsid w:val="000041C0"/>
    <w:rsid w:val="000105AC"/>
    <w:rsid w:val="00013B1F"/>
    <w:rsid w:val="00020979"/>
    <w:rsid w:val="00021224"/>
    <w:rsid w:val="000272E9"/>
    <w:rsid w:val="00030E25"/>
    <w:rsid w:val="00037CCF"/>
    <w:rsid w:val="00052397"/>
    <w:rsid w:val="00052642"/>
    <w:rsid w:val="00052E10"/>
    <w:rsid w:val="000568EA"/>
    <w:rsid w:val="00067C60"/>
    <w:rsid w:val="00067D30"/>
    <w:rsid w:val="00075889"/>
    <w:rsid w:val="00081B12"/>
    <w:rsid w:val="00085E4B"/>
    <w:rsid w:val="000A1DD9"/>
    <w:rsid w:val="000A5BFB"/>
    <w:rsid w:val="000A7CF4"/>
    <w:rsid w:val="000B541A"/>
    <w:rsid w:val="000B5F69"/>
    <w:rsid w:val="000B6CCC"/>
    <w:rsid w:val="000B6FD4"/>
    <w:rsid w:val="000D055D"/>
    <w:rsid w:val="000E473F"/>
    <w:rsid w:val="000F1867"/>
    <w:rsid w:val="000F78E9"/>
    <w:rsid w:val="0010158E"/>
    <w:rsid w:val="00104FDB"/>
    <w:rsid w:val="00111F4E"/>
    <w:rsid w:val="00144515"/>
    <w:rsid w:val="001504CE"/>
    <w:rsid w:val="00151CD8"/>
    <w:rsid w:val="001551F0"/>
    <w:rsid w:val="001601A4"/>
    <w:rsid w:val="00160997"/>
    <w:rsid w:val="001667CB"/>
    <w:rsid w:val="00167AF4"/>
    <w:rsid w:val="00181483"/>
    <w:rsid w:val="00186B10"/>
    <w:rsid w:val="0019431D"/>
    <w:rsid w:val="001A351A"/>
    <w:rsid w:val="001A4F03"/>
    <w:rsid w:val="001A5500"/>
    <w:rsid w:val="001B2DAD"/>
    <w:rsid w:val="001B4989"/>
    <w:rsid w:val="001C4C50"/>
    <w:rsid w:val="001D222E"/>
    <w:rsid w:val="001F6497"/>
    <w:rsid w:val="002112B2"/>
    <w:rsid w:val="00213B63"/>
    <w:rsid w:val="00214B3E"/>
    <w:rsid w:val="00215CF9"/>
    <w:rsid w:val="00216FD1"/>
    <w:rsid w:val="00221650"/>
    <w:rsid w:val="00240B3E"/>
    <w:rsid w:val="0025038A"/>
    <w:rsid w:val="002534BC"/>
    <w:rsid w:val="00254235"/>
    <w:rsid w:val="00254B7C"/>
    <w:rsid w:val="00256FF0"/>
    <w:rsid w:val="002669EF"/>
    <w:rsid w:val="002675F4"/>
    <w:rsid w:val="00267879"/>
    <w:rsid w:val="002729FB"/>
    <w:rsid w:val="00275724"/>
    <w:rsid w:val="00283D14"/>
    <w:rsid w:val="00284CDB"/>
    <w:rsid w:val="002919B3"/>
    <w:rsid w:val="00297D7D"/>
    <w:rsid w:val="00297E62"/>
    <w:rsid w:val="002A218E"/>
    <w:rsid w:val="002A314C"/>
    <w:rsid w:val="002B04F9"/>
    <w:rsid w:val="002B4414"/>
    <w:rsid w:val="002B4FDA"/>
    <w:rsid w:val="002B505F"/>
    <w:rsid w:val="002D02FF"/>
    <w:rsid w:val="002E15AF"/>
    <w:rsid w:val="002E4DB9"/>
    <w:rsid w:val="002E50D8"/>
    <w:rsid w:val="002F0E70"/>
    <w:rsid w:val="00302EF4"/>
    <w:rsid w:val="00304743"/>
    <w:rsid w:val="0030782A"/>
    <w:rsid w:val="00311AFF"/>
    <w:rsid w:val="00316199"/>
    <w:rsid w:val="00331454"/>
    <w:rsid w:val="0033284F"/>
    <w:rsid w:val="0033310B"/>
    <w:rsid w:val="00333E4A"/>
    <w:rsid w:val="003405EB"/>
    <w:rsid w:val="00343F79"/>
    <w:rsid w:val="00344BC6"/>
    <w:rsid w:val="00345CFC"/>
    <w:rsid w:val="0034659B"/>
    <w:rsid w:val="00350944"/>
    <w:rsid w:val="00363FC1"/>
    <w:rsid w:val="00371FE3"/>
    <w:rsid w:val="0037332D"/>
    <w:rsid w:val="0037452F"/>
    <w:rsid w:val="0037661A"/>
    <w:rsid w:val="00382004"/>
    <w:rsid w:val="00385E3E"/>
    <w:rsid w:val="00392E09"/>
    <w:rsid w:val="00396F12"/>
    <w:rsid w:val="003A3922"/>
    <w:rsid w:val="003A52EF"/>
    <w:rsid w:val="003A6B63"/>
    <w:rsid w:val="003B68FE"/>
    <w:rsid w:val="003B7409"/>
    <w:rsid w:val="003C332B"/>
    <w:rsid w:val="003C7748"/>
    <w:rsid w:val="003D2B1D"/>
    <w:rsid w:val="003D6B75"/>
    <w:rsid w:val="003D74AD"/>
    <w:rsid w:val="003D770E"/>
    <w:rsid w:val="003F37CF"/>
    <w:rsid w:val="00403C86"/>
    <w:rsid w:val="004174D8"/>
    <w:rsid w:val="004247E3"/>
    <w:rsid w:val="004276D0"/>
    <w:rsid w:val="00434D8F"/>
    <w:rsid w:val="00435737"/>
    <w:rsid w:val="004502BD"/>
    <w:rsid w:val="00456AC5"/>
    <w:rsid w:val="00456F77"/>
    <w:rsid w:val="00464358"/>
    <w:rsid w:val="00464F67"/>
    <w:rsid w:val="0048719C"/>
    <w:rsid w:val="00492AFF"/>
    <w:rsid w:val="00492D92"/>
    <w:rsid w:val="00494E25"/>
    <w:rsid w:val="004B24B9"/>
    <w:rsid w:val="004C7CF5"/>
    <w:rsid w:val="004D1951"/>
    <w:rsid w:val="004D231F"/>
    <w:rsid w:val="004D273A"/>
    <w:rsid w:val="004D49CC"/>
    <w:rsid w:val="004D6C64"/>
    <w:rsid w:val="004D7793"/>
    <w:rsid w:val="004E4660"/>
    <w:rsid w:val="004F0076"/>
    <w:rsid w:val="004F4E41"/>
    <w:rsid w:val="005008E9"/>
    <w:rsid w:val="00510B66"/>
    <w:rsid w:val="0051461E"/>
    <w:rsid w:val="0052356E"/>
    <w:rsid w:val="0052779D"/>
    <w:rsid w:val="00542448"/>
    <w:rsid w:val="00545089"/>
    <w:rsid w:val="005466C7"/>
    <w:rsid w:val="00551558"/>
    <w:rsid w:val="00572523"/>
    <w:rsid w:val="005822D4"/>
    <w:rsid w:val="0058384C"/>
    <w:rsid w:val="005865B9"/>
    <w:rsid w:val="00591271"/>
    <w:rsid w:val="00596523"/>
    <w:rsid w:val="005A40C9"/>
    <w:rsid w:val="005B09CF"/>
    <w:rsid w:val="005B698E"/>
    <w:rsid w:val="005E0276"/>
    <w:rsid w:val="005E48E9"/>
    <w:rsid w:val="005E6FCF"/>
    <w:rsid w:val="005F67E0"/>
    <w:rsid w:val="00600F13"/>
    <w:rsid w:val="0060110C"/>
    <w:rsid w:val="00611B87"/>
    <w:rsid w:val="00611F1C"/>
    <w:rsid w:val="0061273D"/>
    <w:rsid w:val="00613CAC"/>
    <w:rsid w:val="006229D2"/>
    <w:rsid w:val="00626EA8"/>
    <w:rsid w:val="00640F92"/>
    <w:rsid w:val="00646269"/>
    <w:rsid w:val="00656C3C"/>
    <w:rsid w:val="0066023E"/>
    <w:rsid w:val="006677B8"/>
    <w:rsid w:val="0067552C"/>
    <w:rsid w:val="006826DE"/>
    <w:rsid w:val="006A3B3E"/>
    <w:rsid w:val="006A6C98"/>
    <w:rsid w:val="006B2E8C"/>
    <w:rsid w:val="006B6AE7"/>
    <w:rsid w:val="006C1ADA"/>
    <w:rsid w:val="006D3361"/>
    <w:rsid w:val="006E0251"/>
    <w:rsid w:val="006E2A4A"/>
    <w:rsid w:val="006F0642"/>
    <w:rsid w:val="006F539B"/>
    <w:rsid w:val="00701E42"/>
    <w:rsid w:val="00707B36"/>
    <w:rsid w:val="00711098"/>
    <w:rsid w:val="0071516E"/>
    <w:rsid w:val="007205F0"/>
    <w:rsid w:val="00721903"/>
    <w:rsid w:val="0072270F"/>
    <w:rsid w:val="00724525"/>
    <w:rsid w:val="007255F0"/>
    <w:rsid w:val="0073132C"/>
    <w:rsid w:val="00734502"/>
    <w:rsid w:val="00746D4A"/>
    <w:rsid w:val="00753C81"/>
    <w:rsid w:val="0075553F"/>
    <w:rsid w:val="00756C78"/>
    <w:rsid w:val="00780514"/>
    <w:rsid w:val="007806BC"/>
    <w:rsid w:val="00783195"/>
    <w:rsid w:val="00790169"/>
    <w:rsid w:val="0079031A"/>
    <w:rsid w:val="00792636"/>
    <w:rsid w:val="00793FEC"/>
    <w:rsid w:val="007A1166"/>
    <w:rsid w:val="007A143F"/>
    <w:rsid w:val="007A24A3"/>
    <w:rsid w:val="007B0DCD"/>
    <w:rsid w:val="007B1939"/>
    <w:rsid w:val="007B5302"/>
    <w:rsid w:val="007C0CB6"/>
    <w:rsid w:val="007C31EC"/>
    <w:rsid w:val="007C3941"/>
    <w:rsid w:val="007C4E76"/>
    <w:rsid w:val="007D7989"/>
    <w:rsid w:val="007E46DF"/>
    <w:rsid w:val="007F19DF"/>
    <w:rsid w:val="007F29BB"/>
    <w:rsid w:val="00801312"/>
    <w:rsid w:val="00811C8B"/>
    <w:rsid w:val="008137D6"/>
    <w:rsid w:val="00831252"/>
    <w:rsid w:val="00843602"/>
    <w:rsid w:val="0085627C"/>
    <w:rsid w:val="00856917"/>
    <w:rsid w:val="00857F8A"/>
    <w:rsid w:val="00867759"/>
    <w:rsid w:val="00867E18"/>
    <w:rsid w:val="00871DA4"/>
    <w:rsid w:val="008724D3"/>
    <w:rsid w:val="0087639A"/>
    <w:rsid w:val="00891496"/>
    <w:rsid w:val="00894DE7"/>
    <w:rsid w:val="00895D90"/>
    <w:rsid w:val="008B681D"/>
    <w:rsid w:val="008D1E4F"/>
    <w:rsid w:val="008D284D"/>
    <w:rsid w:val="008D4101"/>
    <w:rsid w:val="008E449E"/>
    <w:rsid w:val="008F7671"/>
    <w:rsid w:val="0090175D"/>
    <w:rsid w:val="00906024"/>
    <w:rsid w:val="00911B1A"/>
    <w:rsid w:val="00916646"/>
    <w:rsid w:val="00921137"/>
    <w:rsid w:val="00921175"/>
    <w:rsid w:val="00921E00"/>
    <w:rsid w:val="0092303F"/>
    <w:rsid w:val="009269FC"/>
    <w:rsid w:val="00940979"/>
    <w:rsid w:val="00942561"/>
    <w:rsid w:val="00943123"/>
    <w:rsid w:val="00943C1A"/>
    <w:rsid w:val="0094570D"/>
    <w:rsid w:val="00953D3C"/>
    <w:rsid w:val="00956E6B"/>
    <w:rsid w:val="00966A23"/>
    <w:rsid w:val="00966B93"/>
    <w:rsid w:val="009708DF"/>
    <w:rsid w:val="00977605"/>
    <w:rsid w:val="00980B9C"/>
    <w:rsid w:val="00985D06"/>
    <w:rsid w:val="009875B9"/>
    <w:rsid w:val="00990D18"/>
    <w:rsid w:val="00992D7E"/>
    <w:rsid w:val="00997FAF"/>
    <w:rsid w:val="009A057D"/>
    <w:rsid w:val="009A1406"/>
    <w:rsid w:val="009A1988"/>
    <w:rsid w:val="009A302C"/>
    <w:rsid w:val="009A3CCD"/>
    <w:rsid w:val="009B0B8F"/>
    <w:rsid w:val="009B4E1A"/>
    <w:rsid w:val="009B740F"/>
    <w:rsid w:val="009C1950"/>
    <w:rsid w:val="009C1ABA"/>
    <w:rsid w:val="009C350E"/>
    <w:rsid w:val="009D7FF0"/>
    <w:rsid w:val="009E228A"/>
    <w:rsid w:val="009F526B"/>
    <w:rsid w:val="009F78DB"/>
    <w:rsid w:val="00A00F70"/>
    <w:rsid w:val="00A01383"/>
    <w:rsid w:val="00A01BE9"/>
    <w:rsid w:val="00A10492"/>
    <w:rsid w:val="00A153BF"/>
    <w:rsid w:val="00A1640E"/>
    <w:rsid w:val="00A30D8E"/>
    <w:rsid w:val="00A310D4"/>
    <w:rsid w:val="00A31CBB"/>
    <w:rsid w:val="00A53434"/>
    <w:rsid w:val="00A646EF"/>
    <w:rsid w:val="00A66421"/>
    <w:rsid w:val="00A72F60"/>
    <w:rsid w:val="00A80ADF"/>
    <w:rsid w:val="00A86FE8"/>
    <w:rsid w:val="00A95180"/>
    <w:rsid w:val="00A95768"/>
    <w:rsid w:val="00AA6C1D"/>
    <w:rsid w:val="00AC6D65"/>
    <w:rsid w:val="00AC74DB"/>
    <w:rsid w:val="00AD19E8"/>
    <w:rsid w:val="00AD2A67"/>
    <w:rsid w:val="00AE2D57"/>
    <w:rsid w:val="00AF0620"/>
    <w:rsid w:val="00AF19C2"/>
    <w:rsid w:val="00B10DD0"/>
    <w:rsid w:val="00B11B7B"/>
    <w:rsid w:val="00B14102"/>
    <w:rsid w:val="00B2001A"/>
    <w:rsid w:val="00B241C3"/>
    <w:rsid w:val="00B332A1"/>
    <w:rsid w:val="00B364FB"/>
    <w:rsid w:val="00B37677"/>
    <w:rsid w:val="00B506AE"/>
    <w:rsid w:val="00B52143"/>
    <w:rsid w:val="00B53AE4"/>
    <w:rsid w:val="00B603F2"/>
    <w:rsid w:val="00B67660"/>
    <w:rsid w:val="00B70BFD"/>
    <w:rsid w:val="00B713B9"/>
    <w:rsid w:val="00B8196B"/>
    <w:rsid w:val="00B836FF"/>
    <w:rsid w:val="00B863B9"/>
    <w:rsid w:val="00B9314C"/>
    <w:rsid w:val="00BA01BC"/>
    <w:rsid w:val="00BA14E2"/>
    <w:rsid w:val="00BA4DB2"/>
    <w:rsid w:val="00BB0781"/>
    <w:rsid w:val="00BB2660"/>
    <w:rsid w:val="00BB5078"/>
    <w:rsid w:val="00BB7999"/>
    <w:rsid w:val="00BC17EE"/>
    <w:rsid w:val="00BC42AD"/>
    <w:rsid w:val="00BD0116"/>
    <w:rsid w:val="00BD17A0"/>
    <w:rsid w:val="00BD4778"/>
    <w:rsid w:val="00BE68D7"/>
    <w:rsid w:val="00C02366"/>
    <w:rsid w:val="00C03933"/>
    <w:rsid w:val="00C06C10"/>
    <w:rsid w:val="00C0752B"/>
    <w:rsid w:val="00C1049B"/>
    <w:rsid w:val="00C1123D"/>
    <w:rsid w:val="00C27E53"/>
    <w:rsid w:val="00C3484B"/>
    <w:rsid w:val="00C37252"/>
    <w:rsid w:val="00C46C66"/>
    <w:rsid w:val="00C511D7"/>
    <w:rsid w:val="00C54992"/>
    <w:rsid w:val="00C55089"/>
    <w:rsid w:val="00C605EC"/>
    <w:rsid w:val="00C66176"/>
    <w:rsid w:val="00C66DC7"/>
    <w:rsid w:val="00C70718"/>
    <w:rsid w:val="00C80909"/>
    <w:rsid w:val="00C90E6B"/>
    <w:rsid w:val="00C94224"/>
    <w:rsid w:val="00C96DFA"/>
    <w:rsid w:val="00CA015E"/>
    <w:rsid w:val="00CA4DBD"/>
    <w:rsid w:val="00CA5D41"/>
    <w:rsid w:val="00CA62DC"/>
    <w:rsid w:val="00CB0EC5"/>
    <w:rsid w:val="00CB2042"/>
    <w:rsid w:val="00CC0108"/>
    <w:rsid w:val="00CC07C3"/>
    <w:rsid w:val="00CC0EE2"/>
    <w:rsid w:val="00CC4F23"/>
    <w:rsid w:val="00CC5B76"/>
    <w:rsid w:val="00CD105A"/>
    <w:rsid w:val="00CD3329"/>
    <w:rsid w:val="00CD338D"/>
    <w:rsid w:val="00CD48DE"/>
    <w:rsid w:val="00CD68E2"/>
    <w:rsid w:val="00CE0B12"/>
    <w:rsid w:val="00CE19AB"/>
    <w:rsid w:val="00CE34FF"/>
    <w:rsid w:val="00CF01B0"/>
    <w:rsid w:val="00CF048F"/>
    <w:rsid w:val="00CF1111"/>
    <w:rsid w:val="00CF1B7A"/>
    <w:rsid w:val="00D04B57"/>
    <w:rsid w:val="00D22BF6"/>
    <w:rsid w:val="00D276C8"/>
    <w:rsid w:val="00D42C5F"/>
    <w:rsid w:val="00D43E93"/>
    <w:rsid w:val="00D46CC8"/>
    <w:rsid w:val="00D6447A"/>
    <w:rsid w:val="00D704DD"/>
    <w:rsid w:val="00D73640"/>
    <w:rsid w:val="00D74493"/>
    <w:rsid w:val="00D82B4F"/>
    <w:rsid w:val="00D83C60"/>
    <w:rsid w:val="00D860F2"/>
    <w:rsid w:val="00D93286"/>
    <w:rsid w:val="00D932EF"/>
    <w:rsid w:val="00D95A9C"/>
    <w:rsid w:val="00DA04AA"/>
    <w:rsid w:val="00DA4969"/>
    <w:rsid w:val="00DA6018"/>
    <w:rsid w:val="00DA63F7"/>
    <w:rsid w:val="00DB012B"/>
    <w:rsid w:val="00DB0BBD"/>
    <w:rsid w:val="00DB3F16"/>
    <w:rsid w:val="00DB475A"/>
    <w:rsid w:val="00DB5610"/>
    <w:rsid w:val="00DB7850"/>
    <w:rsid w:val="00DC7DA7"/>
    <w:rsid w:val="00DD1285"/>
    <w:rsid w:val="00DD2B36"/>
    <w:rsid w:val="00DE0AA8"/>
    <w:rsid w:val="00DF2830"/>
    <w:rsid w:val="00DF3F44"/>
    <w:rsid w:val="00DF6F3F"/>
    <w:rsid w:val="00E170F8"/>
    <w:rsid w:val="00E17D4B"/>
    <w:rsid w:val="00E2322E"/>
    <w:rsid w:val="00E24DB2"/>
    <w:rsid w:val="00E366FB"/>
    <w:rsid w:val="00E377BD"/>
    <w:rsid w:val="00E4106D"/>
    <w:rsid w:val="00E54A80"/>
    <w:rsid w:val="00E54ACC"/>
    <w:rsid w:val="00E60471"/>
    <w:rsid w:val="00E621C6"/>
    <w:rsid w:val="00E679C9"/>
    <w:rsid w:val="00E70E77"/>
    <w:rsid w:val="00E7140E"/>
    <w:rsid w:val="00E724E5"/>
    <w:rsid w:val="00E903D5"/>
    <w:rsid w:val="00E90B07"/>
    <w:rsid w:val="00E961C9"/>
    <w:rsid w:val="00EA36AF"/>
    <w:rsid w:val="00EA541E"/>
    <w:rsid w:val="00ED1452"/>
    <w:rsid w:val="00EE18D5"/>
    <w:rsid w:val="00EE5398"/>
    <w:rsid w:val="00EE603C"/>
    <w:rsid w:val="00EF6293"/>
    <w:rsid w:val="00F01300"/>
    <w:rsid w:val="00F11B08"/>
    <w:rsid w:val="00F129D4"/>
    <w:rsid w:val="00F25FC0"/>
    <w:rsid w:val="00F26957"/>
    <w:rsid w:val="00F27B5E"/>
    <w:rsid w:val="00F53670"/>
    <w:rsid w:val="00F53700"/>
    <w:rsid w:val="00F615F5"/>
    <w:rsid w:val="00F6274B"/>
    <w:rsid w:val="00F67FE0"/>
    <w:rsid w:val="00F71E6D"/>
    <w:rsid w:val="00F7266C"/>
    <w:rsid w:val="00F87143"/>
    <w:rsid w:val="00F87EC8"/>
    <w:rsid w:val="00F91930"/>
    <w:rsid w:val="00F94041"/>
    <w:rsid w:val="00F96BC5"/>
    <w:rsid w:val="00F97DCF"/>
    <w:rsid w:val="00FA6F17"/>
    <w:rsid w:val="00FA77DE"/>
    <w:rsid w:val="00FB4AF4"/>
    <w:rsid w:val="00FC5E9A"/>
    <w:rsid w:val="00FC681A"/>
    <w:rsid w:val="00FD1114"/>
    <w:rsid w:val="00FE250D"/>
    <w:rsid w:val="00FE723A"/>
    <w:rsid w:val="00FE7396"/>
    <w:rsid w:val="00FF4886"/>
    <w:rsid w:val="77A18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3F69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E42"/>
  </w:style>
  <w:style w:type="paragraph" w:styleId="Heading1">
    <w:name w:val="heading 1"/>
    <w:basedOn w:val="Normal"/>
    <w:next w:val="Normal"/>
    <w:qFormat/>
    <w:rsid w:val="00701E42"/>
    <w:pPr>
      <w:keepNext/>
      <w:ind w:left="720" w:firstLine="360"/>
      <w:outlineLvl w:val="0"/>
    </w:pPr>
    <w:rPr>
      <w:u w:val="single"/>
    </w:rPr>
  </w:style>
  <w:style w:type="paragraph" w:styleId="Heading2">
    <w:name w:val="heading 2"/>
    <w:basedOn w:val="Normal"/>
    <w:next w:val="Normal"/>
    <w:qFormat/>
    <w:rsid w:val="00701E42"/>
    <w:pPr>
      <w:keepNext/>
      <w:tabs>
        <w:tab w:val="left" w:pos="396"/>
        <w:tab w:val="left" w:pos="720"/>
        <w:tab w:val="left" w:pos="10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b/>
      <w:snapToGrid w:val="0"/>
      <w:sz w:val="16"/>
    </w:rPr>
  </w:style>
  <w:style w:type="paragraph" w:styleId="Heading3">
    <w:name w:val="heading 3"/>
    <w:basedOn w:val="Normal"/>
    <w:next w:val="Normal"/>
    <w:qFormat/>
    <w:rsid w:val="00701E42"/>
    <w:pPr>
      <w:keepNext/>
      <w:tabs>
        <w:tab w:val="center" w:pos="4680"/>
        <w:tab w:val="left" w:pos="5040"/>
        <w:tab w:val="left" w:pos="5760"/>
        <w:tab w:val="left" w:pos="6480"/>
        <w:tab w:val="left" w:pos="7200"/>
        <w:tab w:val="left" w:pos="7920"/>
        <w:tab w:val="left" w:pos="8640"/>
        <w:tab w:val="left" w:pos="9360"/>
      </w:tabs>
      <w:jc w:val="center"/>
      <w:outlineLvl w:val="2"/>
    </w:pPr>
    <w:rPr>
      <w:b/>
      <w:snapToGrid w:val="0"/>
      <w:sz w:val="24"/>
    </w:rPr>
  </w:style>
  <w:style w:type="paragraph" w:styleId="Heading4">
    <w:name w:val="heading 4"/>
    <w:basedOn w:val="Normal"/>
    <w:next w:val="Normal"/>
    <w:qFormat/>
    <w:rsid w:val="00701E42"/>
    <w:pPr>
      <w:keepNext/>
      <w:ind w:left="1080"/>
      <w:outlineLvl w:val="3"/>
    </w:pPr>
    <w:rPr>
      <w:u w:val="single"/>
    </w:rPr>
  </w:style>
  <w:style w:type="paragraph" w:styleId="Heading5">
    <w:name w:val="heading 5"/>
    <w:basedOn w:val="Normal"/>
    <w:next w:val="Normal"/>
    <w:qFormat/>
    <w:rsid w:val="00701E42"/>
    <w:pPr>
      <w:keepNext/>
      <w:jc w:val="center"/>
      <w:outlineLvl w:val="4"/>
    </w:pPr>
    <w:rPr>
      <w:sz w:val="24"/>
    </w:rPr>
  </w:style>
  <w:style w:type="paragraph" w:styleId="Heading6">
    <w:name w:val="heading 6"/>
    <w:basedOn w:val="Normal"/>
    <w:next w:val="Normal"/>
    <w:qFormat/>
    <w:rsid w:val="00701E42"/>
    <w:pPr>
      <w:keepNext/>
      <w:jc w:val="center"/>
      <w:outlineLvl w:val="5"/>
    </w:pPr>
    <w:rPr>
      <w:b/>
      <w:bCs/>
      <w:sz w:val="22"/>
    </w:rPr>
  </w:style>
  <w:style w:type="paragraph" w:styleId="Heading7">
    <w:name w:val="heading 7"/>
    <w:basedOn w:val="Normal"/>
    <w:next w:val="Normal"/>
    <w:qFormat/>
    <w:rsid w:val="00701E42"/>
    <w:pPr>
      <w:keepNext/>
      <w:ind w:left="720"/>
      <w:jc w:val="center"/>
      <w:outlineLvl w:val="6"/>
    </w:pPr>
    <w:rPr>
      <w:b/>
      <w:bCs/>
    </w:rPr>
  </w:style>
  <w:style w:type="paragraph" w:styleId="Heading8">
    <w:name w:val="heading 8"/>
    <w:basedOn w:val="Normal"/>
    <w:next w:val="Normal"/>
    <w:qFormat/>
    <w:rsid w:val="00701E42"/>
    <w:pPr>
      <w:keepNext/>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7"/>
    </w:pPr>
    <w:rPr>
      <w:b/>
      <w:bCs/>
      <w:sz w:val="22"/>
    </w:rPr>
  </w:style>
  <w:style w:type="paragraph" w:styleId="Heading9">
    <w:name w:val="heading 9"/>
    <w:basedOn w:val="Normal"/>
    <w:next w:val="Normal"/>
    <w:qFormat/>
    <w:rsid w:val="00701E42"/>
    <w:pPr>
      <w:keepNext/>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E42"/>
    <w:pPr>
      <w:widowControl w:val="0"/>
      <w:tabs>
        <w:tab w:val="center" w:pos="4320"/>
        <w:tab w:val="right" w:pos="8640"/>
      </w:tabs>
    </w:pPr>
    <w:rPr>
      <w:rFonts w:ascii="Arrus BT" w:hAnsi="Arrus BT"/>
      <w:snapToGrid w:val="0"/>
      <w:sz w:val="24"/>
    </w:rPr>
  </w:style>
  <w:style w:type="paragraph" w:styleId="Footer">
    <w:name w:val="footer"/>
    <w:basedOn w:val="Normal"/>
    <w:rsid w:val="00701E42"/>
    <w:pPr>
      <w:widowControl w:val="0"/>
      <w:tabs>
        <w:tab w:val="center" w:pos="4320"/>
        <w:tab w:val="right" w:pos="8640"/>
      </w:tabs>
    </w:pPr>
    <w:rPr>
      <w:rFonts w:ascii="Arrus BT" w:hAnsi="Arrus BT"/>
      <w:snapToGrid w:val="0"/>
      <w:sz w:val="24"/>
    </w:rPr>
  </w:style>
  <w:style w:type="character" w:styleId="PageNumber">
    <w:name w:val="page number"/>
    <w:basedOn w:val="DefaultParagraphFont"/>
    <w:rsid w:val="00701E42"/>
  </w:style>
  <w:style w:type="paragraph" w:styleId="BodyText">
    <w:name w:val="Body Text"/>
    <w:basedOn w:val="Normal"/>
    <w:rsid w:val="00701E42"/>
    <w:pPr>
      <w:tabs>
        <w:tab w:val="left" w:pos="0"/>
        <w:tab w:val="left" w:pos="211"/>
        <w:tab w:val="left" w:pos="422"/>
        <w:tab w:val="left" w:pos="633"/>
        <w:tab w:val="left" w:pos="844"/>
        <w:tab w:val="left" w:pos="1056"/>
        <w:tab w:val="left" w:pos="1267"/>
        <w:tab w:val="left" w:pos="5040"/>
        <w:tab w:val="left" w:pos="5760"/>
        <w:tab w:val="left" w:pos="6480"/>
        <w:tab w:val="left" w:pos="7200"/>
        <w:tab w:val="left" w:pos="7920"/>
        <w:tab w:val="left" w:pos="8640"/>
        <w:tab w:val="left" w:pos="9360"/>
      </w:tabs>
      <w:jc w:val="both"/>
    </w:pPr>
    <w:rPr>
      <w:snapToGrid w:val="0"/>
      <w:sz w:val="24"/>
    </w:rPr>
  </w:style>
  <w:style w:type="paragraph" w:styleId="BodyText2">
    <w:name w:val="Body Text 2"/>
    <w:basedOn w:val="Normal"/>
    <w:link w:val="BodyText2Char"/>
    <w:rsid w:val="00701E42"/>
    <w:rPr>
      <w:sz w:val="22"/>
    </w:rPr>
  </w:style>
  <w:style w:type="paragraph" w:styleId="BodyTextIndent">
    <w:name w:val="Body Text Indent"/>
    <w:basedOn w:val="Normal"/>
    <w:rsid w:val="00701E42"/>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rPr>
  </w:style>
  <w:style w:type="paragraph" w:styleId="BodyText3">
    <w:name w:val="Body Text 3"/>
    <w:basedOn w:val="Normal"/>
    <w:rsid w:val="00701E42"/>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BodyTextIndent2">
    <w:name w:val="Body Text Indent 2"/>
    <w:basedOn w:val="Normal"/>
    <w:rsid w:val="00701E42"/>
    <w:pPr>
      <w:ind w:left="1440" w:hanging="1440"/>
    </w:pPr>
    <w:rPr>
      <w:iCs/>
    </w:rPr>
  </w:style>
  <w:style w:type="paragraph" w:styleId="BodyTextIndent3">
    <w:name w:val="Body Text Indent 3"/>
    <w:basedOn w:val="Normal"/>
    <w:rsid w:val="00701E42"/>
    <w:pPr>
      <w:ind w:left="720"/>
    </w:pPr>
    <w:rPr>
      <w:sz w:val="24"/>
    </w:rPr>
  </w:style>
  <w:style w:type="paragraph" w:styleId="Title">
    <w:name w:val="Title"/>
    <w:basedOn w:val="Normal"/>
    <w:qFormat/>
    <w:rsid w:val="00701E42"/>
    <w:pPr>
      <w:tabs>
        <w:tab w:val="left" w:pos="0"/>
        <w:tab w:val="left" w:pos="361"/>
        <w:tab w:val="left" w:pos="1160"/>
        <w:tab w:val="left" w:pos="1477"/>
        <w:tab w:val="left" w:pos="1794"/>
        <w:tab w:val="left" w:pos="21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1" w:right="361"/>
      <w:jc w:val="center"/>
    </w:pPr>
    <w:rPr>
      <w:b/>
      <w:bCs/>
    </w:rPr>
  </w:style>
  <w:style w:type="paragraph" w:styleId="Subtitle">
    <w:name w:val="Subtitle"/>
    <w:basedOn w:val="Normal"/>
    <w:qFormat/>
    <w:rsid w:val="00701E42"/>
    <w:pPr>
      <w:ind w:left="720"/>
    </w:pPr>
    <w:rPr>
      <w:bCs/>
      <w:sz w:val="24"/>
    </w:rPr>
  </w:style>
  <w:style w:type="character" w:styleId="Hyperlink">
    <w:name w:val="Hyperlink"/>
    <w:basedOn w:val="DefaultParagraphFont"/>
    <w:rsid w:val="00701E42"/>
    <w:rPr>
      <w:color w:val="0000FF"/>
      <w:u w:val="single"/>
    </w:rPr>
  </w:style>
  <w:style w:type="character" w:styleId="FollowedHyperlink">
    <w:name w:val="FollowedHyperlink"/>
    <w:basedOn w:val="DefaultParagraphFont"/>
    <w:rsid w:val="00701E42"/>
    <w:rPr>
      <w:color w:val="800080"/>
      <w:u w:val="single"/>
    </w:rPr>
  </w:style>
  <w:style w:type="paragraph" w:styleId="FootnoteText">
    <w:name w:val="footnote text"/>
    <w:basedOn w:val="Normal"/>
    <w:semiHidden/>
    <w:rsid w:val="00701E42"/>
  </w:style>
  <w:style w:type="character" w:styleId="FootnoteReference">
    <w:name w:val="footnote reference"/>
    <w:basedOn w:val="DefaultParagraphFont"/>
    <w:semiHidden/>
    <w:rsid w:val="00701E42"/>
    <w:rPr>
      <w:vertAlign w:val="superscript"/>
    </w:rPr>
  </w:style>
  <w:style w:type="paragraph" w:styleId="Caption">
    <w:name w:val="caption"/>
    <w:basedOn w:val="Normal"/>
    <w:next w:val="Normal"/>
    <w:qFormat/>
    <w:rsid w:val="00701E42"/>
    <w:pPr>
      <w:ind w:left="-1080" w:right="-990"/>
    </w:pPr>
    <w:rPr>
      <w:b/>
      <w:bCs/>
      <w:sz w:val="24"/>
      <w:u w:val="single"/>
    </w:rPr>
  </w:style>
  <w:style w:type="paragraph" w:styleId="ListParagraph">
    <w:name w:val="List Paragraph"/>
    <w:basedOn w:val="Normal"/>
    <w:uiPriority w:val="34"/>
    <w:qFormat/>
    <w:rsid w:val="00F71E6D"/>
    <w:pPr>
      <w:ind w:left="720"/>
      <w:contextualSpacing/>
    </w:pPr>
  </w:style>
  <w:style w:type="character" w:customStyle="1" w:styleId="s1">
    <w:name w:val="s1"/>
    <w:basedOn w:val="DefaultParagraphFont"/>
    <w:rsid w:val="00F71E6D"/>
    <w:rPr>
      <w:sz w:val="24"/>
      <w:szCs w:val="24"/>
    </w:rPr>
  </w:style>
  <w:style w:type="character" w:styleId="CommentReference">
    <w:name w:val="annotation reference"/>
    <w:basedOn w:val="DefaultParagraphFont"/>
    <w:semiHidden/>
    <w:unhideWhenUsed/>
    <w:rsid w:val="00783195"/>
    <w:rPr>
      <w:sz w:val="16"/>
      <w:szCs w:val="16"/>
    </w:rPr>
  </w:style>
  <w:style w:type="paragraph" w:styleId="CommentText">
    <w:name w:val="annotation text"/>
    <w:basedOn w:val="Normal"/>
    <w:link w:val="CommentTextChar"/>
    <w:semiHidden/>
    <w:unhideWhenUsed/>
    <w:rsid w:val="00783195"/>
  </w:style>
  <w:style w:type="character" w:customStyle="1" w:styleId="CommentTextChar">
    <w:name w:val="Comment Text Char"/>
    <w:basedOn w:val="DefaultParagraphFont"/>
    <w:link w:val="CommentText"/>
    <w:semiHidden/>
    <w:rsid w:val="00783195"/>
  </w:style>
  <w:style w:type="paragraph" w:styleId="CommentSubject">
    <w:name w:val="annotation subject"/>
    <w:basedOn w:val="CommentText"/>
    <w:next w:val="CommentText"/>
    <w:link w:val="CommentSubjectChar"/>
    <w:semiHidden/>
    <w:unhideWhenUsed/>
    <w:rsid w:val="00783195"/>
    <w:rPr>
      <w:b/>
      <w:bCs/>
    </w:rPr>
  </w:style>
  <w:style w:type="character" w:customStyle="1" w:styleId="CommentSubjectChar">
    <w:name w:val="Comment Subject Char"/>
    <w:basedOn w:val="CommentTextChar"/>
    <w:link w:val="CommentSubject"/>
    <w:semiHidden/>
    <w:rsid w:val="00783195"/>
    <w:rPr>
      <w:b/>
      <w:bCs/>
    </w:rPr>
  </w:style>
  <w:style w:type="paragraph" w:styleId="BalloonText">
    <w:name w:val="Balloon Text"/>
    <w:basedOn w:val="Normal"/>
    <w:link w:val="BalloonTextChar"/>
    <w:semiHidden/>
    <w:unhideWhenUsed/>
    <w:rsid w:val="00783195"/>
    <w:rPr>
      <w:rFonts w:ascii="Segoe UI" w:hAnsi="Segoe UI" w:cs="Segoe UI"/>
      <w:sz w:val="18"/>
      <w:szCs w:val="18"/>
    </w:rPr>
  </w:style>
  <w:style w:type="character" w:customStyle="1" w:styleId="BalloonTextChar">
    <w:name w:val="Balloon Text Char"/>
    <w:basedOn w:val="DefaultParagraphFont"/>
    <w:link w:val="BalloonText"/>
    <w:semiHidden/>
    <w:rsid w:val="00783195"/>
    <w:rPr>
      <w:rFonts w:ascii="Segoe UI" w:hAnsi="Segoe UI" w:cs="Segoe UI"/>
      <w:sz w:val="18"/>
      <w:szCs w:val="18"/>
    </w:rPr>
  </w:style>
  <w:style w:type="paragraph" w:styleId="Revision">
    <w:name w:val="Revision"/>
    <w:hidden/>
    <w:uiPriority w:val="99"/>
    <w:semiHidden/>
    <w:rsid w:val="005B698E"/>
  </w:style>
  <w:style w:type="character" w:customStyle="1" w:styleId="BodyText2Char">
    <w:name w:val="Body Text 2 Char"/>
    <w:basedOn w:val="DefaultParagraphFont"/>
    <w:link w:val="BodyText2"/>
    <w:rsid w:val="00E961C9"/>
    <w:rPr>
      <w:sz w:val="22"/>
    </w:rPr>
  </w:style>
  <w:style w:type="paragraph" w:styleId="NormalWeb">
    <w:name w:val="Normal (Web)"/>
    <w:basedOn w:val="Normal"/>
    <w:uiPriority w:val="99"/>
    <w:unhideWhenUsed/>
    <w:rsid w:val="00B836FF"/>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A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72697">
      <w:bodyDiv w:val="1"/>
      <w:marLeft w:val="0"/>
      <w:marRight w:val="0"/>
      <w:marTop w:val="0"/>
      <w:marBottom w:val="0"/>
      <w:divBdr>
        <w:top w:val="none" w:sz="0" w:space="0" w:color="auto"/>
        <w:left w:val="none" w:sz="0" w:space="0" w:color="auto"/>
        <w:bottom w:val="none" w:sz="0" w:space="0" w:color="auto"/>
        <w:right w:val="none" w:sz="0" w:space="0" w:color="auto"/>
      </w:divBdr>
    </w:div>
    <w:div w:id="616378293">
      <w:bodyDiv w:val="1"/>
      <w:marLeft w:val="0"/>
      <w:marRight w:val="0"/>
      <w:marTop w:val="0"/>
      <w:marBottom w:val="0"/>
      <w:divBdr>
        <w:top w:val="none" w:sz="0" w:space="0" w:color="auto"/>
        <w:left w:val="none" w:sz="0" w:space="0" w:color="auto"/>
        <w:bottom w:val="none" w:sz="0" w:space="0" w:color="auto"/>
        <w:right w:val="none" w:sz="0" w:space="0" w:color="auto"/>
      </w:divBdr>
      <w:divsChild>
        <w:div w:id="363483539">
          <w:marLeft w:val="0"/>
          <w:marRight w:val="0"/>
          <w:marTop w:val="0"/>
          <w:marBottom w:val="0"/>
          <w:divBdr>
            <w:top w:val="none" w:sz="0" w:space="0" w:color="auto"/>
            <w:left w:val="none" w:sz="0" w:space="0" w:color="auto"/>
            <w:bottom w:val="none" w:sz="0" w:space="0" w:color="auto"/>
            <w:right w:val="none" w:sz="0" w:space="0" w:color="auto"/>
          </w:divBdr>
        </w:div>
        <w:div w:id="452409132">
          <w:marLeft w:val="0"/>
          <w:marRight w:val="0"/>
          <w:marTop w:val="0"/>
          <w:marBottom w:val="0"/>
          <w:divBdr>
            <w:top w:val="none" w:sz="0" w:space="0" w:color="auto"/>
            <w:left w:val="none" w:sz="0" w:space="0" w:color="auto"/>
            <w:bottom w:val="none" w:sz="0" w:space="0" w:color="auto"/>
            <w:right w:val="none" w:sz="0" w:space="0" w:color="auto"/>
          </w:divBdr>
        </w:div>
        <w:div w:id="614598052">
          <w:marLeft w:val="0"/>
          <w:marRight w:val="0"/>
          <w:marTop w:val="0"/>
          <w:marBottom w:val="0"/>
          <w:divBdr>
            <w:top w:val="none" w:sz="0" w:space="0" w:color="auto"/>
            <w:left w:val="none" w:sz="0" w:space="0" w:color="auto"/>
            <w:bottom w:val="none" w:sz="0" w:space="0" w:color="auto"/>
            <w:right w:val="none" w:sz="0" w:space="0" w:color="auto"/>
          </w:divBdr>
        </w:div>
        <w:div w:id="796533781">
          <w:marLeft w:val="0"/>
          <w:marRight w:val="0"/>
          <w:marTop w:val="0"/>
          <w:marBottom w:val="0"/>
          <w:divBdr>
            <w:top w:val="none" w:sz="0" w:space="0" w:color="auto"/>
            <w:left w:val="none" w:sz="0" w:space="0" w:color="auto"/>
            <w:bottom w:val="none" w:sz="0" w:space="0" w:color="auto"/>
            <w:right w:val="none" w:sz="0" w:space="0" w:color="auto"/>
          </w:divBdr>
        </w:div>
        <w:div w:id="1103067862">
          <w:marLeft w:val="0"/>
          <w:marRight w:val="0"/>
          <w:marTop w:val="0"/>
          <w:marBottom w:val="0"/>
          <w:divBdr>
            <w:top w:val="none" w:sz="0" w:space="0" w:color="auto"/>
            <w:left w:val="none" w:sz="0" w:space="0" w:color="auto"/>
            <w:bottom w:val="none" w:sz="0" w:space="0" w:color="auto"/>
            <w:right w:val="none" w:sz="0" w:space="0" w:color="auto"/>
          </w:divBdr>
        </w:div>
        <w:div w:id="1331760177">
          <w:marLeft w:val="0"/>
          <w:marRight w:val="0"/>
          <w:marTop w:val="0"/>
          <w:marBottom w:val="0"/>
          <w:divBdr>
            <w:top w:val="none" w:sz="0" w:space="0" w:color="auto"/>
            <w:left w:val="none" w:sz="0" w:space="0" w:color="auto"/>
            <w:bottom w:val="none" w:sz="0" w:space="0" w:color="auto"/>
            <w:right w:val="none" w:sz="0" w:space="0" w:color="auto"/>
          </w:divBdr>
        </w:div>
        <w:div w:id="2017732655">
          <w:marLeft w:val="0"/>
          <w:marRight w:val="0"/>
          <w:marTop w:val="0"/>
          <w:marBottom w:val="0"/>
          <w:divBdr>
            <w:top w:val="none" w:sz="0" w:space="0" w:color="auto"/>
            <w:left w:val="none" w:sz="0" w:space="0" w:color="auto"/>
            <w:bottom w:val="none" w:sz="0" w:space="0" w:color="auto"/>
            <w:right w:val="none" w:sz="0" w:space="0" w:color="auto"/>
          </w:divBdr>
        </w:div>
      </w:divsChild>
    </w:div>
    <w:div w:id="893351440">
      <w:bodyDiv w:val="1"/>
      <w:marLeft w:val="0"/>
      <w:marRight w:val="0"/>
      <w:marTop w:val="0"/>
      <w:marBottom w:val="0"/>
      <w:divBdr>
        <w:top w:val="none" w:sz="0" w:space="0" w:color="auto"/>
        <w:left w:val="none" w:sz="0" w:space="0" w:color="auto"/>
        <w:bottom w:val="none" w:sz="0" w:space="0" w:color="auto"/>
        <w:right w:val="none" w:sz="0" w:space="0" w:color="auto"/>
      </w:divBdr>
    </w:div>
    <w:div w:id="946036679">
      <w:bodyDiv w:val="1"/>
      <w:marLeft w:val="0"/>
      <w:marRight w:val="0"/>
      <w:marTop w:val="0"/>
      <w:marBottom w:val="0"/>
      <w:divBdr>
        <w:top w:val="none" w:sz="0" w:space="0" w:color="auto"/>
        <w:left w:val="none" w:sz="0" w:space="0" w:color="auto"/>
        <w:bottom w:val="none" w:sz="0" w:space="0" w:color="auto"/>
        <w:right w:val="none" w:sz="0" w:space="0" w:color="auto"/>
      </w:divBdr>
    </w:div>
    <w:div w:id="1480003277">
      <w:bodyDiv w:val="1"/>
      <w:marLeft w:val="0"/>
      <w:marRight w:val="0"/>
      <w:marTop w:val="0"/>
      <w:marBottom w:val="0"/>
      <w:divBdr>
        <w:top w:val="none" w:sz="0" w:space="0" w:color="auto"/>
        <w:left w:val="none" w:sz="0" w:space="0" w:color="auto"/>
        <w:bottom w:val="none" w:sz="0" w:space="0" w:color="auto"/>
        <w:right w:val="none" w:sz="0" w:space="0" w:color="auto"/>
      </w:divBdr>
    </w:div>
    <w:div w:id="1881673717">
      <w:bodyDiv w:val="1"/>
      <w:marLeft w:val="0"/>
      <w:marRight w:val="0"/>
      <w:marTop w:val="0"/>
      <w:marBottom w:val="0"/>
      <w:divBdr>
        <w:top w:val="none" w:sz="0" w:space="0" w:color="auto"/>
        <w:left w:val="none" w:sz="0" w:space="0" w:color="auto"/>
        <w:bottom w:val="none" w:sz="0" w:space="0" w:color="auto"/>
        <w:right w:val="none" w:sz="0" w:space="0" w:color="auto"/>
      </w:divBdr>
    </w:div>
    <w:div w:id="19251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32423/638047209054070000" TargetMode="External"/><Relationship Id="rId13" Type="http://schemas.openxmlformats.org/officeDocument/2006/relationships/hyperlink" Target="mailto:Cora.Coefield@doe.virginia.gov" TargetMode="External"/><Relationship Id="rId18" Type="http://schemas.openxmlformats.org/officeDocument/2006/relationships/hyperlink" Target="https://www.doe.virginia.gov/home/showpublisheddocument/49105/63830206124993000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doe.virginia.gov/programs-services/federal-programs/essa/esea-transferability" TargetMode="External"/><Relationship Id="rId7" Type="http://schemas.openxmlformats.org/officeDocument/2006/relationships/endnotes" Target="endnotes.xml"/><Relationship Id="rId12" Type="http://schemas.openxmlformats.org/officeDocument/2006/relationships/hyperlink" Target="mailto:Allegra.Brown@doe.virginia.gov" TargetMode="External"/><Relationship Id="rId17" Type="http://schemas.openxmlformats.org/officeDocument/2006/relationships/hyperlink" Target="https://www.doe.virginia.gov/programs-services/federal-programs/essa/esea-transferability" TargetMode="External"/><Relationship Id="rId25" Type="http://schemas.openxmlformats.org/officeDocument/2006/relationships/hyperlink" Target="https://www.doe.virginia.gov/home/showpublisheddocument/38105/638060894925800000" TargetMode="External"/><Relationship Id="rId2" Type="http://schemas.openxmlformats.org/officeDocument/2006/relationships/numbering" Target="numbering.xml"/><Relationship Id="rId16" Type="http://schemas.openxmlformats.org/officeDocument/2006/relationships/hyperlink" Target="https://www.doe.virginia.gov/programs-services/federal-programs/essa/esea-transferability" TargetMode="External"/><Relationship Id="rId20" Type="http://schemas.openxmlformats.org/officeDocument/2006/relationships/hyperlink" Target="https://www.doe.virginia.gov/programs-services/federal-programs/essa/esea-transfer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EGA.Support@doe.virginia.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andall.Johnson@doe.virginia.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oe.virginia.gov/home/showpublisheddocument/38654/638063893856770000" TargetMode="External"/><Relationship Id="rId19" Type="http://schemas.openxmlformats.org/officeDocument/2006/relationships/hyperlink" Target="https://www.doe.virginia.gov/programs-services/federal-programs/essa/esea-transferability" TargetMode="External"/><Relationship Id="rId4" Type="http://schemas.openxmlformats.org/officeDocument/2006/relationships/settings" Target="settings.xml"/><Relationship Id="rId9" Type="http://schemas.openxmlformats.org/officeDocument/2006/relationships/hyperlink" Target="https://p1pe.doe.virginia.gov/ssws/login_page.do" TargetMode="External"/><Relationship Id="rId14" Type="http://schemas.openxmlformats.org/officeDocument/2006/relationships/hyperlink" Target="mailto:Aaron.Monroe@doe.virginia.go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0EB86-840F-4D58-9BB7-3CD705BE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7747</Words>
  <Characters>46340</Characters>
  <Application>Microsoft Office Word</Application>
  <DocSecurity>0</DocSecurity>
  <Lines>386</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2024-01-04T23:16:00Z</dcterms:created>
  <dcterms:modified xsi:type="dcterms:W3CDTF">2024-02-29T20:39:00Z</dcterms:modified>
</cp:coreProperties>
</file>