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2BA0E550" w:rsidR="00E53D4E" w:rsidRDefault="007B5BE3" w:rsidP="00984359">
      <w:pPr>
        <w:pStyle w:val="H1"/>
        <w:spacing w:after="0"/>
      </w:pPr>
      <w:r>
        <w:rPr>
          <w:noProof/>
        </w:rPr>
        <w:drawing>
          <wp:inline distT="0" distB="0" distL="0" distR="0" wp14:anchorId="4DACBDB9" wp14:editId="76F733BA">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636E3938" w:rsidR="00BC7173" w:rsidRPr="008E081B" w:rsidRDefault="00BC7173" w:rsidP="006D6E87">
      <w:pPr>
        <w:rPr>
          <w:rFonts w:ascii="Times New Roman" w:hAnsi="Times New Roman" w:cs="Times New Roman"/>
        </w:rPr>
      </w:pPr>
      <w:r w:rsidRPr="008E081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w:t>
      </w:r>
      <w:r w:rsidR="007B5BE3">
        <w:rPr>
          <w:rFonts w:ascii="Times New Roman" w:hAnsi="Times New Roman" w:cs="Times New Roman"/>
        </w:rPr>
        <w:t xml:space="preserve">and Community </w:t>
      </w:r>
      <w:r w:rsidRPr="008E081B">
        <w:rPr>
          <w:rFonts w:ascii="Times New Roman" w:hAnsi="Times New Roman" w:cs="Times New Roman"/>
        </w:rPr>
        <w:t>Nutrition Programs (VDOE</w:t>
      </w:r>
      <w:r w:rsidR="00DD1D55" w:rsidRPr="008E081B">
        <w:rPr>
          <w:rFonts w:ascii="Times New Roman" w:hAnsi="Times New Roman" w:cs="Times New Roman"/>
        </w:rPr>
        <w:t>-</w:t>
      </w:r>
      <w:r w:rsidRPr="008E081B">
        <w:rPr>
          <w:rFonts w:ascii="Times New Roman" w:hAnsi="Times New Roman" w:cs="Times New Roman"/>
        </w:rPr>
        <w:t>S</w:t>
      </w:r>
      <w:r w:rsidR="007B5BE3">
        <w:rPr>
          <w:rFonts w:ascii="Times New Roman" w:hAnsi="Times New Roman" w:cs="Times New Roman"/>
        </w:rPr>
        <w:t>C</w:t>
      </w:r>
      <w:r w:rsidRPr="008E081B">
        <w:rPr>
          <w:rFonts w:ascii="Times New Roman" w:hAnsi="Times New Roman" w:cs="Times New Roman"/>
        </w:rPr>
        <w:t xml:space="preserve">NP), to report the final results of the administrative review to the public in an accessible, easily understood manner in accordance with guidelines promulgated by the Secretary. </w:t>
      </w:r>
    </w:p>
    <w:p w14:paraId="43DFABC9" w14:textId="03582076"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DC2DC2">
        <w:rPr>
          <w:rFonts w:ascii="Times New Roman" w:hAnsi="Times New Roman" w:cs="Times New Roman"/>
          <w:color w:val="000000"/>
        </w:rPr>
        <w:t>Spotsylvania County Public Schools</w:t>
      </w:r>
    </w:p>
    <w:p w14:paraId="76CE184E" w14:textId="59010E5C"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DC2DC2">
        <w:rPr>
          <w:rFonts w:ascii="Times New Roman" w:hAnsi="Times New Roman" w:cs="Times New Roman"/>
          <w:color w:val="000000"/>
        </w:rPr>
        <w:t>October 3, 2023</w:t>
      </w:r>
    </w:p>
    <w:p w14:paraId="5B8763D1" w14:textId="002A323B"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DC2DC2">
        <w:rPr>
          <w:rFonts w:ascii="Times New Roman" w:hAnsi="Times New Roman" w:cs="Times New Roman"/>
          <w:color w:val="000000"/>
        </w:rPr>
        <w:t>August 2023</w:t>
      </w:r>
    </w:p>
    <w:p w14:paraId="740D2FF3" w14:textId="22D39043"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DC2DC2">
        <w:rPr>
          <w:color w:val="000000"/>
          <w:szCs w:val="24"/>
        </w:rPr>
        <w:t>October 11, 2023</w:t>
      </w:r>
    </w:p>
    <w:p w14:paraId="38F5741D" w14:textId="734F57EF"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DC2DC2">
        <w:rPr>
          <w:rFonts w:ascii="Times New Roman" w:hAnsi="Times New Roman" w:cs="Times New Roman"/>
          <w:color w:val="000000"/>
        </w:rPr>
        <w:t>February 13,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3C6DC74C" w:rsidR="00BC7173" w:rsidRPr="008E081B" w:rsidRDefault="009A2E5B"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DC2DC2">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00843312" w:rsidR="00BC7173" w:rsidRPr="008E081B" w:rsidRDefault="009A2E5B"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DC2DC2">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9A2E5B"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9A2E5B"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9A2E5B"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44DDFF6A" w:rsidR="00BC7173" w:rsidRPr="008E081B" w:rsidRDefault="009A2E5B"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DC2DC2">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9A2E5B"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9A2E5B"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2031ECB9" w:rsidR="00BC7173" w:rsidRPr="008E081B" w:rsidRDefault="009A2E5B"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Verification</w:t>
            </w:r>
          </w:p>
          <w:p w14:paraId="34C6F1FC" w14:textId="31620CA5" w:rsidR="00BC7173" w:rsidRPr="008E081B" w:rsidRDefault="009A2E5B"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1"/>
                  <w14:checkedState w14:val="2612" w14:font="MS Gothic"/>
                  <w14:uncheckedState w14:val="2610" w14:font="MS Gothic"/>
                </w14:checkbox>
              </w:sdtPr>
              <w:sdtEndPr/>
              <w:sdtContent>
                <w:r w:rsidR="00DC2DC2">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Counting and Claiming</w:t>
            </w:r>
          </w:p>
        </w:tc>
        <w:tc>
          <w:tcPr>
            <w:tcW w:w="4225" w:type="dxa"/>
          </w:tcPr>
          <w:p w14:paraId="306EE62F" w14:textId="77777777" w:rsidR="00BC7173" w:rsidRDefault="00DC2DC2" w:rsidP="004A6F0C">
            <w:pPr>
              <w:spacing w:after="120"/>
              <w:rPr>
                <w:rFonts w:ascii="Times New Roman" w:hAnsi="Times New Roman" w:cs="Times New Roman"/>
                <w:sz w:val="24"/>
                <w:szCs w:val="24"/>
              </w:rPr>
            </w:pPr>
            <w:r>
              <w:rPr>
                <w:rFonts w:ascii="Times New Roman" w:hAnsi="Times New Roman" w:cs="Times New Roman"/>
                <w:sz w:val="24"/>
                <w:szCs w:val="24"/>
              </w:rPr>
              <w:t>A meal counting error was found. Production records did not match meal counts.</w:t>
            </w:r>
          </w:p>
          <w:p w14:paraId="4F3E2344" w14:textId="4A39ECC6" w:rsidR="009A2E5B" w:rsidRPr="008E081B" w:rsidRDefault="009A2E5B" w:rsidP="004A6F0C">
            <w:pPr>
              <w:spacing w:after="120"/>
              <w:rPr>
                <w:rFonts w:ascii="Times New Roman" w:hAnsi="Times New Roman" w:cs="Times New Roman"/>
                <w:sz w:val="24"/>
                <w:szCs w:val="24"/>
              </w:rPr>
            </w:pPr>
            <w:r>
              <w:rPr>
                <w:rFonts w:ascii="Times New Roman" w:hAnsi="Times New Roman" w:cs="Times New Roman"/>
                <w:sz w:val="24"/>
                <w:szCs w:val="24"/>
              </w:rPr>
              <w:t>The confirmation review was completed by a FSMC employee.</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4D9F05A0" w:rsidR="00BC7173" w:rsidRPr="008E081B" w:rsidRDefault="009A2E5B"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DC2DC2">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9A2E5B"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9A2E5B"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02983E8B" w:rsidR="00BC7173" w:rsidRPr="008E081B" w:rsidRDefault="00DC2DC2" w:rsidP="004A6F0C">
            <w:pPr>
              <w:spacing w:after="120"/>
              <w:rPr>
                <w:rFonts w:ascii="Times New Roman" w:hAnsi="Times New Roman" w:cs="Times New Roman"/>
                <w:sz w:val="24"/>
                <w:szCs w:val="24"/>
              </w:rPr>
            </w:pPr>
            <w:r>
              <w:rPr>
                <w:rFonts w:ascii="Times New Roman" w:hAnsi="Times New Roman" w:cs="Times New Roman"/>
              </w:rPr>
              <w:t xml:space="preserve">The meat/meat alternate and grain components were not met for the daily or weekly required </w:t>
            </w:r>
            <w:r w:rsidR="009A2E5B">
              <w:rPr>
                <w:rFonts w:ascii="Times New Roman" w:hAnsi="Times New Roman" w:cs="Times New Roman"/>
              </w:rPr>
              <w:t>ounce equivalents</w:t>
            </w:r>
            <w:r>
              <w:rPr>
                <w:rFonts w:ascii="Times New Roman" w:hAnsi="Times New Roman" w:cs="Times New Roman"/>
              </w:rPr>
              <w:t>. The starchy vegetable subgroup was not met for the week.</w:t>
            </w:r>
            <w:r w:rsidR="009A2E5B">
              <w:rPr>
                <w:rFonts w:ascii="Times New Roman" w:hAnsi="Times New Roman" w:cs="Times New Roman"/>
              </w:rPr>
              <w:t xml:space="preserve"> Vegetables were not made available on all serving lines.</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553B0D79" w:rsidR="00352648" w:rsidRDefault="009A2E5B"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6117583D" w:rsidR="00352648" w:rsidRPr="008E081B" w:rsidRDefault="009A2E5B"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674A9D29" w:rsidR="00BC7173" w:rsidRPr="008E081B" w:rsidRDefault="009A2E5B"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9A2E5B"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9A2E5B"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46935D0C" w14:textId="77777777" w:rsidR="00BC7173" w:rsidRDefault="009A2E5B" w:rsidP="004A6F0C">
            <w:pPr>
              <w:spacing w:after="120"/>
              <w:rPr>
                <w:rFonts w:ascii="Times New Roman" w:hAnsi="Times New Roman" w:cs="Times New Roman"/>
              </w:rPr>
            </w:pPr>
            <w:r>
              <w:rPr>
                <w:rFonts w:ascii="Times New Roman" w:hAnsi="Times New Roman" w:cs="Times New Roman"/>
              </w:rPr>
              <w:t>The local school wellness policy did not meet all federal requirements.</w:t>
            </w:r>
          </w:p>
          <w:p w14:paraId="7D4F1307" w14:textId="77777777" w:rsidR="009A2E5B" w:rsidRDefault="009A2E5B" w:rsidP="004A6F0C">
            <w:pPr>
              <w:spacing w:after="120"/>
              <w:rPr>
                <w:rFonts w:ascii="Times New Roman" w:hAnsi="Times New Roman" w:cs="Times New Roman"/>
              </w:rPr>
            </w:pPr>
            <w:r>
              <w:rPr>
                <w:rFonts w:ascii="Times New Roman" w:hAnsi="Times New Roman" w:cs="Times New Roman"/>
              </w:rPr>
              <w:t>There were items that did not meet the Buy American Provision.</w:t>
            </w:r>
          </w:p>
          <w:p w14:paraId="28FB4C51" w14:textId="35E7288B" w:rsidR="009A2E5B" w:rsidRPr="008E081B" w:rsidRDefault="009A2E5B" w:rsidP="004A6F0C">
            <w:pPr>
              <w:spacing w:after="120"/>
              <w:rPr>
                <w:rFonts w:ascii="Times New Roman" w:hAnsi="Times New Roman" w:cs="Times New Roman"/>
                <w:sz w:val="24"/>
                <w:szCs w:val="24"/>
              </w:rPr>
            </w:pPr>
            <w:r>
              <w:rPr>
                <w:rFonts w:ascii="Times New Roman" w:hAnsi="Times New Roman" w:cs="Times New Roman"/>
              </w:rPr>
              <w:t>Food safety plans were not site-specific.</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lastRenderedPageBreak/>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847ED"/>
    <w:rsid w:val="002C3DB3"/>
    <w:rsid w:val="002E4000"/>
    <w:rsid w:val="00352648"/>
    <w:rsid w:val="00456171"/>
    <w:rsid w:val="00480AC3"/>
    <w:rsid w:val="004D39C1"/>
    <w:rsid w:val="006C5F3F"/>
    <w:rsid w:val="006D6E87"/>
    <w:rsid w:val="007039F8"/>
    <w:rsid w:val="007716EB"/>
    <w:rsid w:val="00783C45"/>
    <w:rsid w:val="007B5BE3"/>
    <w:rsid w:val="007F191A"/>
    <w:rsid w:val="008B29EA"/>
    <w:rsid w:val="008E081B"/>
    <w:rsid w:val="00906197"/>
    <w:rsid w:val="009129BB"/>
    <w:rsid w:val="009274DA"/>
    <w:rsid w:val="00972729"/>
    <w:rsid w:val="009815C3"/>
    <w:rsid w:val="00984359"/>
    <w:rsid w:val="009A2E5B"/>
    <w:rsid w:val="009A47AF"/>
    <w:rsid w:val="009D0C8E"/>
    <w:rsid w:val="00A55EB7"/>
    <w:rsid w:val="00AD701B"/>
    <w:rsid w:val="00AE55AD"/>
    <w:rsid w:val="00BA5339"/>
    <w:rsid w:val="00BC7173"/>
    <w:rsid w:val="00C60D08"/>
    <w:rsid w:val="00C87156"/>
    <w:rsid w:val="00CF51CB"/>
    <w:rsid w:val="00D3454B"/>
    <w:rsid w:val="00DC2DC2"/>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Crutchfield, Crystal (DOE)</cp:lastModifiedBy>
  <cp:revision>2</cp:revision>
  <dcterms:created xsi:type="dcterms:W3CDTF">2024-02-13T15:45:00Z</dcterms:created>
  <dcterms:modified xsi:type="dcterms:W3CDTF">2024-02-13T15:45:00Z</dcterms:modified>
</cp:coreProperties>
</file>