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6F06C" w14:textId="77777777" w:rsidR="00CA24EE" w:rsidRDefault="00CA24EE" w:rsidP="00CA24EE">
      <w:pPr>
        <w:pStyle w:val="VHead2"/>
      </w:pPr>
      <w:bookmarkStart w:id="0" w:name="_Hlk146528748"/>
      <w:bookmarkEnd w:id="0"/>
      <w:r>
        <w:t>Instructional Supports for Prioritization of Content during the 2023-2024 School Year</w:t>
      </w:r>
    </w:p>
    <w:p w14:paraId="01A2339C" w14:textId="5BFCE029" w:rsidR="00CA24EE" w:rsidRDefault="00CA24EE" w:rsidP="00CA24EE">
      <w:pPr>
        <w:pStyle w:val="VHead2"/>
      </w:pPr>
      <w:r w:rsidRPr="00AC24AB">
        <w:t xml:space="preserve">Grade </w:t>
      </w:r>
      <w:r w:rsidR="005E09CD">
        <w:t>7</w:t>
      </w:r>
      <w:r w:rsidRPr="00AC24AB">
        <w:t xml:space="preserve"> </w:t>
      </w:r>
      <w:r w:rsidRPr="00F527D0">
        <w:t>Mathematics</w:t>
      </w:r>
      <w:r w:rsidRPr="008C0D84">
        <w:rPr>
          <w:i/>
          <w:iCs/>
        </w:rPr>
        <w:t xml:space="preserve"> Standards of Learning</w:t>
      </w:r>
      <w:r w:rsidRPr="00AC24AB">
        <w:t xml:space="preserve"> </w:t>
      </w:r>
    </w:p>
    <w:p w14:paraId="45343747" w14:textId="5979E02C" w:rsidR="00B17BA6" w:rsidRPr="0090463A" w:rsidRDefault="00B17BA6" w:rsidP="00B17BA6">
      <w:pPr>
        <w:pStyle w:val="VHead2"/>
        <w:rPr>
          <w:sz w:val="24"/>
          <w:szCs w:val="24"/>
        </w:rPr>
      </w:pPr>
    </w:p>
    <w:p w14:paraId="303E5CB9" w14:textId="77777777" w:rsidR="00DD3D09" w:rsidRPr="0090463A" w:rsidRDefault="00DD3D09" w:rsidP="00DD3D09">
      <w:pPr>
        <w:pStyle w:val="VHead2"/>
        <w:jc w:val="left"/>
        <w:rPr>
          <w:b w:val="0"/>
          <w:sz w:val="24"/>
          <w:szCs w:val="24"/>
          <w:lang w:val="en-US"/>
        </w:rPr>
      </w:pPr>
      <w:r w:rsidRPr="0090463A">
        <w:rPr>
          <w:b w:val="0"/>
          <w:sz w:val="24"/>
          <w:szCs w:val="24"/>
        </w:rPr>
        <w:t>This document outlines the prominent content changes between the 2016 Mathematics</w:t>
      </w:r>
      <w:r w:rsidRPr="0090463A">
        <w:rPr>
          <w:b w:val="0"/>
          <w:i/>
          <w:sz w:val="24"/>
          <w:szCs w:val="24"/>
        </w:rPr>
        <w:t xml:space="preserve"> Standards of Learning </w:t>
      </w:r>
      <w:r w:rsidRPr="0090463A">
        <w:rPr>
          <w:b w:val="0"/>
          <w:sz w:val="24"/>
          <w:szCs w:val="24"/>
        </w:rPr>
        <w:t>(SOL)</w:t>
      </w:r>
      <w:r w:rsidRPr="0090463A">
        <w:rPr>
          <w:b w:val="0"/>
          <w:i/>
          <w:sz w:val="24"/>
          <w:szCs w:val="24"/>
        </w:rPr>
        <w:t xml:space="preserve"> </w:t>
      </w:r>
      <w:r w:rsidRPr="0090463A">
        <w:rPr>
          <w:b w:val="0"/>
          <w:sz w:val="24"/>
          <w:szCs w:val="24"/>
        </w:rPr>
        <w:t xml:space="preserve">and the </w:t>
      </w:r>
      <w:hyperlink r:id="rId12" w:history="1">
        <w:r w:rsidRPr="0090463A">
          <w:rPr>
            <w:rStyle w:val="Hyperlink"/>
            <w:b w:val="0"/>
            <w:sz w:val="24"/>
            <w:szCs w:val="24"/>
          </w:rPr>
          <w:t xml:space="preserve">2023 Mathematics </w:t>
        </w:r>
        <w:r w:rsidRPr="0090463A">
          <w:rPr>
            <w:rStyle w:val="Hyperlink"/>
            <w:b w:val="0"/>
            <w:i/>
            <w:sz w:val="24"/>
            <w:szCs w:val="24"/>
          </w:rPr>
          <w:t>Standards of Learning</w:t>
        </w:r>
      </w:hyperlink>
      <w:r w:rsidRPr="0090463A">
        <w:rPr>
          <w:b w:val="0"/>
          <w:i/>
          <w:sz w:val="24"/>
          <w:szCs w:val="24"/>
        </w:rPr>
        <w:t xml:space="preserve"> </w:t>
      </w:r>
      <w:r w:rsidRPr="0090463A">
        <w:rPr>
          <w:b w:val="0"/>
          <w:sz w:val="24"/>
          <w:szCs w:val="24"/>
        </w:rPr>
        <w:t>and includes instructional notes to support school divisions in making decisions about the prioritization of content during the 2023-2024 transition year</w:t>
      </w:r>
      <w:r w:rsidRPr="0090463A">
        <w:rPr>
          <w:b w:val="0"/>
          <w:i/>
          <w:sz w:val="24"/>
          <w:szCs w:val="24"/>
        </w:rPr>
        <w:t xml:space="preserve">. </w:t>
      </w:r>
      <w:r w:rsidRPr="0090463A">
        <w:rPr>
          <w:b w:val="0"/>
          <w:sz w:val="24"/>
          <w:szCs w:val="24"/>
        </w:rPr>
        <w:t xml:space="preserve">In conjunction with the 2023 Mathematics </w:t>
      </w:r>
      <w:r w:rsidRPr="0090463A">
        <w:rPr>
          <w:b w:val="0"/>
          <w:i/>
          <w:sz w:val="24"/>
          <w:szCs w:val="24"/>
        </w:rPr>
        <w:t xml:space="preserve">Standards of Learning </w:t>
      </w:r>
      <w:r w:rsidRPr="0090463A">
        <w:rPr>
          <w:b w:val="0"/>
          <w:sz w:val="24"/>
          <w:szCs w:val="24"/>
        </w:rPr>
        <w:t xml:space="preserve">Overview of Revisions document, this document supports the transition of instruction during the 2023-2024 school year. School divisions may wish to use this document when planning for instruction, based upon the </w:t>
      </w:r>
      <w:hyperlink r:id="rId13" w:history="1">
        <w:r w:rsidRPr="0090463A">
          <w:rPr>
            <w:rStyle w:val="Hyperlink"/>
            <w:b w:val="0"/>
            <w:sz w:val="24"/>
            <w:szCs w:val="24"/>
          </w:rPr>
          <w:t>options for transitioning</w:t>
        </w:r>
      </w:hyperlink>
      <w:r w:rsidRPr="0090463A">
        <w:rPr>
          <w:b w:val="0"/>
          <w:sz w:val="24"/>
          <w:szCs w:val="24"/>
        </w:rPr>
        <w:t xml:space="preserve">, and determining how to supplement existing curriculum to incorporate content from the 2023 Mathematics SOL. School divisions will determine how best to meet the needs of students when incorporating content during the transition year to prepare for full implementation of the 2023 Mathematics </w:t>
      </w:r>
      <w:r w:rsidRPr="0090463A">
        <w:rPr>
          <w:b w:val="0"/>
          <w:i/>
          <w:sz w:val="24"/>
          <w:szCs w:val="24"/>
        </w:rPr>
        <w:t>Standards of Learning</w:t>
      </w:r>
      <w:r w:rsidRPr="0090463A">
        <w:rPr>
          <w:b w:val="0"/>
          <w:sz w:val="24"/>
          <w:szCs w:val="24"/>
        </w:rPr>
        <w:t xml:space="preserve"> during the 2024-2025 school year. </w:t>
      </w:r>
    </w:p>
    <w:p w14:paraId="30BD847D" w14:textId="404425C0" w:rsidR="09C54614" w:rsidRPr="0090463A" w:rsidRDefault="09C54614" w:rsidP="09C54614">
      <w:pPr>
        <w:pStyle w:val="VHead2"/>
        <w:jc w:val="left"/>
        <w:rPr>
          <w:b w:val="0"/>
          <w:sz w:val="24"/>
          <w:szCs w:val="24"/>
        </w:rPr>
      </w:pPr>
    </w:p>
    <w:p w14:paraId="686F74E5" w14:textId="0AFEAECE" w:rsidR="00B17BA6" w:rsidRPr="00527C3D" w:rsidRDefault="00B17BA6" w:rsidP="00B17BA6">
      <w:pPr>
        <w:pStyle w:val="VHead2"/>
        <w:jc w:val="left"/>
        <w:rPr>
          <w:sz w:val="24"/>
          <w:szCs w:val="24"/>
        </w:rPr>
      </w:pPr>
      <w:r w:rsidRPr="00527C3D">
        <w:rPr>
          <w:sz w:val="24"/>
          <w:szCs w:val="24"/>
        </w:rPr>
        <w:t>CONTENT TRANSITIONS:</w:t>
      </w:r>
    </w:p>
    <w:p w14:paraId="3ACD584D" w14:textId="7990EB9D" w:rsidR="08098428" w:rsidRPr="0090463A" w:rsidRDefault="08098428" w:rsidP="08098428">
      <w:pPr>
        <w:pStyle w:val="VHead2"/>
        <w:jc w:val="left"/>
        <w:rPr>
          <w:sz w:val="24"/>
          <w:szCs w:val="24"/>
        </w:rPr>
      </w:pPr>
    </w:p>
    <w:p w14:paraId="47B6A66C" w14:textId="77777777" w:rsidR="007459D9" w:rsidRPr="0090463A" w:rsidRDefault="58E0D29C" w:rsidP="001D1A32">
      <w:pPr>
        <w:pStyle w:val="VHead2"/>
        <w:spacing w:after="240"/>
        <w:jc w:val="left"/>
        <w:rPr>
          <w:sz w:val="24"/>
          <w:szCs w:val="24"/>
        </w:rPr>
      </w:pPr>
      <w:r w:rsidRPr="0090463A">
        <w:rPr>
          <w:sz w:val="24"/>
          <w:szCs w:val="24"/>
        </w:rPr>
        <w:t>Critical Instructional Transitions:</w:t>
      </w:r>
      <w:r w:rsidR="26C32019" w:rsidRPr="0090463A">
        <w:rPr>
          <w:sz w:val="24"/>
          <w:szCs w:val="24"/>
        </w:rPr>
        <w:t xml:space="preserve"> </w:t>
      </w:r>
    </w:p>
    <w:p w14:paraId="2C13F2B0" w14:textId="77777777" w:rsidR="00B12AF2" w:rsidRDefault="006764F2" w:rsidP="002927D0">
      <w:pPr>
        <w:pStyle w:val="VHead2"/>
        <w:spacing w:after="240"/>
        <w:jc w:val="left"/>
        <w:rPr>
          <w:b w:val="0"/>
          <w:sz w:val="24"/>
          <w:szCs w:val="24"/>
        </w:rPr>
      </w:pPr>
      <w:r w:rsidRPr="0090463A">
        <w:rPr>
          <w:b w:val="0"/>
          <w:sz w:val="24"/>
          <w:szCs w:val="24"/>
        </w:rPr>
        <w:t xml:space="preserve">The </w:t>
      </w:r>
      <w:r w:rsidR="007459D9" w:rsidRPr="0090463A">
        <w:rPr>
          <w:b w:val="0"/>
          <w:sz w:val="24"/>
          <w:szCs w:val="24"/>
        </w:rPr>
        <w:t xml:space="preserve">2023 Mathematics </w:t>
      </w:r>
      <w:r w:rsidR="007459D9" w:rsidRPr="0090463A">
        <w:rPr>
          <w:b w:val="0"/>
          <w:i/>
          <w:sz w:val="24"/>
          <w:szCs w:val="24"/>
        </w:rPr>
        <w:t>Standards of Learning</w:t>
      </w:r>
      <w:r w:rsidR="00DF530F" w:rsidRPr="0090463A">
        <w:rPr>
          <w:b w:val="0"/>
          <w:sz w:val="24"/>
          <w:szCs w:val="24"/>
        </w:rPr>
        <w:t xml:space="preserve"> include critical content</w:t>
      </w:r>
      <w:r w:rsidR="006744BA" w:rsidRPr="0090463A">
        <w:rPr>
          <w:b w:val="0"/>
          <w:sz w:val="24"/>
          <w:szCs w:val="24"/>
        </w:rPr>
        <w:t>, as</w:t>
      </w:r>
      <w:r w:rsidR="00DF530F" w:rsidRPr="0090463A">
        <w:rPr>
          <w:b w:val="0"/>
          <w:sz w:val="24"/>
          <w:szCs w:val="24"/>
        </w:rPr>
        <w:t xml:space="preserve"> </w:t>
      </w:r>
      <w:r w:rsidR="00062BA5" w:rsidRPr="0090463A">
        <w:rPr>
          <w:b w:val="0"/>
          <w:sz w:val="24"/>
          <w:szCs w:val="24"/>
        </w:rPr>
        <w:t>show</w:t>
      </w:r>
      <w:r w:rsidR="006744BA" w:rsidRPr="0090463A">
        <w:rPr>
          <w:b w:val="0"/>
          <w:sz w:val="24"/>
          <w:szCs w:val="24"/>
        </w:rPr>
        <w:t>n</w:t>
      </w:r>
      <w:r w:rsidR="00062BA5" w:rsidRPr="0090463A">
        <w:rPr>
          <w:b w:val="0"/>
          <w:sz w:val="24"/>
          <w:szCs w:val="24"/>
        </w:rPr>
        <w:t xml:space="preserve"> below</w:t>
      </w:r>
      <w:r w:rsidR="006744BA" w:rsidRPr="0090463A">
        <w:rPr>
          <w:b w:val="0"/>
          <w:sz w:val="24"/>
          <w:szCs w:val="24"/>
        </w:rPr>
        <w:t>,</w:t>
      </w:r>
      <w:r w:rsidR="00062BA5" w:rsidRPr="0090463A">
        <w:rPr>
          <w:b w:val="0"/>
          <w:sz w:val="24"/>
          <w:szCs w:val="24"/>
        </w:rPr>
        <w:t xml:space="preserve"> </w:t>
      </w:r>
      <w:r w:rsidR="00DF530F" w:rsidRPr="0090463A">
        <w:rPr>
          <w:b w:val="0"/>
          <w:sz w:val="24"/>
          <w:szCs w:val="24"/>
        </w:rPr>
        <w:t>that could cause gaps in student learning</w:t>
      </w:r>
      <w:r w:rsidR="007459D9" w:rsidRPr="0090463A">
        <w:rPr>
          <w:b w:val="0"/>
          <w:sz w:val="24"/>
          <w:szCs w:val="24"/>
        </w:rPr>
        <w:t xml:space="preserve"> </w:t>
      </w:r>
      <w:r w:rsidR="26C32019" w:rsidRPr="0090463A">
        <w:rPr>
          <w:b w:val="0"/>
          <w:sz w:val="24"/>
          <w:szCs w:val="24"/>
        </w:rPr>
        <w:t>if instruction is not provided during the transition year</w:t>
      </w:r>
      <w:r w:rsidR="002927D0" w:rsidRPr="0090463A">
        <w:rPr>
          <w:b w:val="0"/>
          <w:sz w:val="24"/>
          <w:szCs w:val="24"/>
        </w:rPr>
        <w:t>.</w:t>
      </w:r>
    </w:p>
    <w:p w14:paraId="0DF5BA76" w14:textId="2CDD4A5B" w:rsidR="00FE6727" w:rsidRPr="0090463A" w:rsidRDefault="00811E4E" w:rsidP="002927D0">
      <w:pPr>
        <w:pStyle w:val="VHead2"/>
        <w:spacing w:after="240"/>
        <w:jc w:val="left"/>
        <w:rPr>
          <w:b w:val="0"/>
          <w:sz w:val="24"/>
          <w:szCs w:val="24"/>
        </w:rPr>
      </w:pPr>
      <w:r w:rsidRPr="0090463A">
        <w:rPr>
          <w:b w:val="0"/>
          <w:sz w:val="24"/>
          <w:szCs w:val="24"/>
        </w:rPr>
        <w:t>Applying dilations of polygons in the coordinate plan</w:t>
      </w:r>
      <w:r w:rsidR="00EA0958">
        <w:rPr>
          <w:b w:val="0"/>
          <w:sz w:val="24"/>
          <w:szCs w:val="24"/>
        </w:rPr>
        <w:t>e, which was previously included in SOL 8.7 in the 2016 standards,</w:t>
      </w:r>
      <w:r w:rsidRPr="0090463A">
        <w:rPr>
          <w:b w:val="0"/>
          <w:sz w:val="24"/>
          <w:szCs w:val="24"/>
        </w:rPr>
        <w:t xml:space="preserve"> has</w:t>
      </w:r>
      <w:r w:rsidR="00EA0958">
        <w:rPr>
          <w:b w:val="0"/>
          <w:sz w:val="24"/>
          <w:szCs w:val="24"/>
        </w:rPr>
        <w:t xml:space="preserve"> moved to 7.MG.4 in the 2023 SOL</w:t>
      </w:r>
      <w:r w:rsidRPr="0090463A">
        <w:rPr>
          <w:b w:val="0"/>
          <w:sz w:val="24"/>
          <w:szCs w:val="24"/>
        </w:rPr>
        <w:t xml:space="preserve">.  </w:t>
      </w:r>
    </w:p>
    <w:tbl>
      <w:tblPr>
        <w:tblStyle w:val="TableGrid"/>
        <w:tblW w:w="14485" w:type="dxa"/>
        <w:tblLook w:val="04A0" w:firstRow="1" w:lastRow="0" w:firstColumn="1" w:lastColumn="0" w:noHBand="0" w:noVBand="1"/>
      </w:tblPr>
      <w:tblGrid>
        <w:gridCol w:w="1705"/>
        <w:gridCol w:w="2340"/>
        <w:gridCol w:w="10440"/>
      </w:tblGrid>
      <w:tr w:rsidR="00FE6727" w14:paraId="2FB16011" w14:textId="77777777" w:rsidTr="00522FC9">
        <w:tc>
          <w:tcPr>
            <w:tcW w:w="1705" w:type="dxa"/>
            <w:shd w:val="clear" w:color="auto" w:fill="FFFF00"/>
          </w:tcPr>
          <w:p w14:paraId="26FEE80E" w14:textId="77777777" w:rsidR="00FE6727" w:rsidRPr="0090463A" w:rsidRDefault="00FE6727" w:rsidP="00E91E40">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90463A">
              <w:rPr>
                <w:sz w:val="24"/>
                <w:szCs w:val="24"/>
              </w:rPr>
              <w:t>2016 SOL</w:t>
            </w:r>
          </w:p>
        </w:tc>
        <w:tc>
          <w:tcPr>
            <w:tcW w:w="2340" w:type="dxa"/>
            <w:shd w:val="clear" w:color="auto" w:fill="FFFF00"/>
          </w:tcPr>
          <w:p w14:paraId="1C193ADA" w14:textId="77777777" w:rsidR="00FE6727" w:rsidRPr="0090463A" w:rsidRDefault="00FE6727" w:rsidP="00E91E40">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90463A">
              <w:rPr>
                <w:sz w:val="24"/>
                <w:szCs w:val="24"/>
              </w:rPr>
              <w:t>2023 SOL</w:t>
            </w:r>
          </w:p>
        </w:tc>
        <w:tc>
          <w:tcPr>
            <w:tcW w:w="10440" w:type="dxa"/>
            <w:shd w:val="clear" w:color="auto" w:fill="FFFF00"/>
          </w:tcPr>
          <w:p w14:paraId="0EF387E7" w14:textId="77777777" w:rsidR="00FE6727" w:rsidRPr="0090463A" w:rsidRDefault="00FE6727" w:rsidP="00E91E40">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90463A">
              <w:rPr>
                <w:sz w:val="24"/>
                <w:szCs w:val="24"/>
              </w:rPr>
              <w:t>Instructional Notes</w:t>
            </w:r>
          </w:p>
        </w:tc>
      </w:tr>
      <w:tr w:rsidR="00FE6727" w14:paraId="6836993C" w14:textId="77777777" w:rsidTr="00E91E40">
        <w:tc>
          <w:tcPr>
            <w:tcW w:w="1705" w:type="dxa"/>
          </w:tcPr>
          <w:p w14:paraId="42BF3A07" w14:textId="69A15A62" w:rsidR="00FE6727" w:rsidRPr="0090463A" w:rsidRDefault="00813729" w:rsidP="00E91E40">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8</w:t>
            </w:r>
            <w:r w:rsidR="00915864" w:rsidRPr="0090463A">
              <w:rPr>
                <w:sz w:val="24"/>
                <w:szCs w:val="24"/>
              </w:rPr>
              <w:t>.</w:t>
            </w:r>
            <w:r w:rsidR="00E43789" w:rsidRPr="0090463A">
              <w:rPr>
                <w:sz w:val="24"/>
                <w:szCs w:val="24"/>
              </w:rPr>
              <w:t>7</w:t>
            </w:r>
          </w:p>
        </w:tc>
        <w:tc>
          <w:tcPr>
            <w:tcW w:w="2340" w:type="dxa"/>
          </w:tcPr>
          <w:p w14:paraId="3D21EDD1" w14:textId="3E4E9FB5" w:rsidR="00FE6727" w:rsidRPr="0090463A" w:rsidRDefault="00FE6727" w:rsidP="00E91E40">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90463A">
              <w:rPr>
                <w:sz w:val="24"/>
                <w:szCs w:val="24"/>
              </w:rPr>
              <w:t>7.</w:t>
            </w:r>
            <w:r w:rsidR="006A0ED8" w:rsidRPr="0090463A">
              <w:rPr>
                <w:sz w:val="24"/>
                <w:szCs w:val="24"/>
              </w:rPr>
              <w:t>MG.4</w:t>
            </w:r>
          </w:p>
        </w:tc>
        <w:tc>
          <w:tcPr>
            <w:tcW w:w="10440" w:type="dxa"/>
          </w:tcPr>
          <w:p w14:paraId="59AD4B82" w14:textId="6E1559DC" w:rsidR="00FE6727" w:rsidRPr="0090463A" w:rsidRDefault="007B4941" w:rsidP="00E91E40">
            <w:pPr>
              <w:pStyle w:val="VHead2"/>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Pr>
                <w:b w:val="0"/>
                <w:sz w:val="24"/>
                <w:szCs w:val="24"/>
              </w:rPr>
              <w:t xml:space="preserve">While students are applying </w:t>
            </w:r>
            <w:r w:rsidR="0032271D">
              <w:rPr>
                <w:b w:val="0"/>
                <w:sz w:val="24"/>
                <w:szCs w:val="24"/>
              </w:rPr>
              <w:t xml:space="preserve">translations and reflections of </w:t>
            </w:r>
            <w:r w:rsidR="00E171BB">
              <w:rPr>
                <w:b w:val="0"/>
                <w:sz w:val="24"/>
                <w:szCs w:val="24"/>
              </w:rPr>
              <w:t xml:space="preserve">right triangles or rectangles in the coordinate </w:t>
            </w:r>
            <w:r w:rsidR="00E171BB" w:rsidRPr="012906F4">
              <w:rPr>
                <w:b w:val="0"/>
                <w:sz w:val="24"/>
                <w:szCs w:val="24"/>
              </w:rPr>
              <w:t>plan</w:t>
            </w:r>
            <w:r w:rsidR="0B1352D9" w:rsidRPr="012906F4">
              <w:rPr>
                <w:b w:val="0"/>
                <w:sz w:val="24"/>
                <w:szCs w:val="24"/>
              </w:rPr>
              <w:t>e</w:t>
            </w:r>
            <w:r w:rsidR="00E171BB">
              <w:rPr>
                <w:b w:val="0"/>
                <w:sz w:val="24"/>
                <w:szCs w:val="24"/>
              </w:rPr>
              <w:t xml:space="preserve">, </w:t>
            </w:r>
            <w:r w:rsidR="006E4603">
              <w:rPr>
                <w:b w:val="0"/>
                <w:sz w:val="24"/>
                <w:szCs w:val="24"/>
              </w:rPr>
              <w:t xml:space="preserve">provide opportunities for students to </w:t>
            </w:r>
            <w:r w:rsidR="00110C7A" w:rsidRPr="0090463A">
              <w:rPr>
                <w:b w:val="0"/>
                <w:sz w:val="24"/>
                <w:szCs w:val="24"/>
              </w:rPr>
              <w:t>identify the coordinates of an image of a polygon that has been dilated given the preimage; sketch the image of a dilation of a polygon; and</w:t>
            </w:r>
            <w:r w:rsidR="4126A6E7" w:rsidRPr="012906F4">
              <w:rPr>
                <w:b w:val="0"/>
                <w:sz w:val="24"/>
                <w:szCs w:val="24"/>
              </w:rPr>
              <w:t xml:space="preserve"> then</w:t>
            </w:r>
            <w:r w:rsidR="00110C7A" w:rsidRPr="0090463A">
              <w:rPr>
                <w:b w:val="0"/>
                <w:sz w:val="24"/>
                <w:szCs w:val="24"/>
              </w:rPr>
              <w:t xml:space="preserve"> identif</w:t>
            </w:r>
            <w:r w:rsidR="00483A15" w:rsidRPr="0090463A">
              <w:rPr>
                <w:b w:val="0"/>
                <w:sz w:val="24"/>
                <w:szCs w:val="24"/>
              </w:rPr>
              <w:t>y</w:t>
            </w:r>
            <w:r w:rsidR="00110C7A" w:rsidRPr="0090463A">
              <w:rPr>
                <w:b w:val="0"/>
                <w:sz w:val="24"/>
                <w:szCs w:val="24"/>
              </w:rPr>
              <w:t xml:space="preserve"> and describ</w:t>
            </w:r>
            <w:r w:rsidR="00483A15" w:rsidRPr="0090463A">
              <w:rPr>
                <w:b w:val="0"/>
                <w:sz w:val="24"/>
                <w:szCs w:val="24"/>
              </w:rPr>
              <w:t>e</w:t>
            </w:r>
            <w:r w:rsidR="00110C7A" w:rsidRPr="0090463A">
              <w:rPr>
                <w:b w:val="0"/>
                <w:sz w:val="24"/>
                <w:szCs w:val="24"/>
              </w:rPr>
              <w:t xml:space="preserve"> dilations in context.</w:t>
            </w:r>
            <w:r w:rsidR="00483A15" w:rsidRPr="0090463A">
              <w:rPr>
                <w:b w:val="0"/>
                <w:sz w:val="24"/>
                <w:szCs w:val="24"/>
              </w:rPr>
              <w:t xml:space="preserve"> </w:t>
            </w:r>
          </w:p>
        </w:tc>
      </w:tr>
    </w:tbl>
    <w:p w14:paraId="5B28823C" w14:textId="142B64AC" w:rsidR="33853146" w:rsidRPr="0090463A" w:rsidRDefault="33853146" w:rsidP="33853146">
      <w:pPr>
        <w:pStyle w:val="VHead2"/>
        <w:jc w:val="left"/>
        <w:rPr>
          <w:b w:val="0"/>
          <w:sz w:val="24"/>
          <w:szCs w:val="24"/>
        </w:rPr>
      </w:pPr>
    </w:p>
    <w:p w14:paraId="14B2386D" w14:textId="3DD595EC" w:rsidR="33853146" w:rsidRPr="0090463A" w:rsidRDefault="00BC2814" w:rsidP="00BC2814">
      <w:pPr>
        <w:pBdr>
          <w:top w:val="none" w:sz="0" w:space="0" w:color="auto"/>
          <w:left w:val="none" w:sz="0" w:space="0" w:color="auto"/>
          <w:bottom w:val="none" w:sz="0" w:space="0" w:color="auto"/>
          <w:right w:val="none" w:sz="0" w:space="0" w:color="auto"/>
          <w:between w:val="none" w:sz="0" w:space="0" w:color="auto"/>
        </w:pBdr>
        <w:spacing w:line="276" w:lineRule="auto"/>
        <w:rPr>
          <w:lang w:val="en"/>
        </w:rPr>
      </w:pPr>
      <w:r>
        <w:rPr>
          <w:b/>
        </w:rPr>
        <w:br w:type="page"/>
      </w:r>
    </w:p>
    <w:p w14:paraId="59678259" w14:textId="555F5F3C" w:rsidR="00B17BA6" w:rsidRPr="0090463A" w:rsidRDefault="143FC783" w:rsidP="001D1A32">
      <w:pPr>
        <w:pStyle w:val="VHead2"/>
        <w:spacing w:after="240"/>
        <w:jc w:val="left"/>
        <w:rPr>
          <w:sz w:val="24"/>
          <w:szCs w:val="24"/>
        </w:rPr>
      </w:pPr>
      <w:r w:rsidRPr="0090463A">
        <w:rPr>
          <w:sz w:val="24"/>
          <w:szCs w:val="24"/>
        </w:rPr>
        <w:lastRenderedPageBreak/>
        <w:t>Overall Instructional Transitions:</w:t>
      </w:r>
    </w:p>
    <w:p w14:paraId="52C8D565" w14:textId="18A3FAE5" w:rsidR="00E95BD8" w:rsidRDefault="143FC783" w:rsidP="00854CCA">
      <w:pPr>
        <w:pStyle w:val="VHead2"/>
        <w:spacing w:after="240"/>
        <w:jc w:val="left"/>
        <w:rPr>
          <w:b w:val="0"/>
          <w:i/>
          <w:sz w:val="24"/>
          <w:szCs w:val="24"/>
        </w:rPr>
      </w:pPr>
      <w:r w:rsidRPr="0090463A">
        <w:rPr>
          <w:b w:val="0"/>
          <w:sz w:val="24"/>
          <w:szCs w:val="24"/>
        </w:rPr>
        <w:t xml:space="preserve">The 2023 Mathematics </w:t>
      </w:r>
      <w:r w:rsidRPr="0090463A">
        <w:rPr>
          <w:b w:val="0"/>
          <w:i/>
          <w:sz w:val="24"/>
          <w:szCs w:val="24"/>
        </w:rPr>
        <w:t>Standards of Learning</w:t>
      </w:r>
      <w:r w:rsidRPr="0090463A">
        <w:rPr>
          <w:b w:val="0"/>
          <w:sz w:val="24"/>
          <w:szCs w:val="24"/>
        </w:rPr>
        <w:t xml:space="preserve"> incorporate </w:t>
      </w:r>
      <w:r w:rsidR="00826843" w:rsidRPr="0090463A">
        <w:rPr>
          <w:b w:val="0"/>
          <w:sz w:val="24"/>
          <w:szCs w:val="24"/>
        </w:rPr>
        <w:t>revisions</w:t>
      </w:r>
      <w:r w:rsidR="007C0DD0" w:rsidRPr="0090463A">
        <w:rPr>
          <w:b w:val="0"/>
          <w:sz w:val="24"/>
          <w:szCs w:val="24"/>
        </w:rPr>
        <w:t xml:space="preserve"> </w:t>
      </w:r>
      <w:r w:rsidR="00C576C9" w:rsidRPr="0090463A">
        <w:rPr>
          <w:b w:val="0"/>
          <w:sz w:val="24"/>
          <w:szCs w:val="24"/>
        </w:rPr>
        <w:t xml:space="preserve">that span </w:t>
      </w:r>
      <w:r w:rsidR="00EA69AA" w:rsidRPr="0090463A">
        <w:rPr>
          <w:b w:val="0"/>
          <w:sz w:val="24"/>
          <w:szCs w:val="24"/>
        </w:rPr>
        <w:t>across grade levels</w:t>
      </w:r>
      <w:r w:rsidR="008D6212" w:rsidRPr="0090463A">
        <w:rPr>
          <w:b w:val="0"/>
          <w:sz w:val="24"/>
          <w:szCs w:val="24"/>
        </w:rPr>
        <w:t>.  Instructional notes have been provided</w:t>
      </w:r>
      <w:r w:rsidR="000C7E81" w:rsidRPr="0090463A">
        <w:rPr>
          <w:b w:val="0"/>
          <w:sz w:val="24"/>
          <w:szCs w:val="24"/>
        </w:rPr>
        <w:t xml:space="preserve"> </w:t>
      </w:r>
      <w:r w:rsidR="00347C43" w:rsidRPr="0090463A">
        <w:rPr>
          <w:b w:val="0"/>
          <w:sz w:val="24"/>
          <w:szCs w:val="24"/>
        </w:rPr>
        <w:t xml:space="preserve">that </w:t>
      </w:r>
      <w:r w:rsidR="001C5549" w:rsidRPr="0090463A">
        <w:rPr>
          <w:b w:val="0"/>
          <w:sz w:val="24"/>
          <w:szCs w:val="24"/>
        </w:rPr>
        <w:t xml:space="preserve">promote deeper understanding of mathematical concepts </w:t>
      </w:r>
      <w:r w:rsidR="00A86B14">
        <w:rPr>
          <w:b w:val="0"/>
          <w:sz w:val="24"/>
          <w:szCs w:val="24"/>
        </w:rPr>
        <w:t xml:space="preserve">and </w:t>
      </w:r>
      <w:r w:rsidR="00347C43" w:rsidRPr="0090463A">
        <w:rPr>
          <w:b w:val="0"/>
          <w:sz w:val="24"/>
          <w:szCs w:val="24"/>
        </w:rPr>
        <w:t xml:space="preserve">support the transition from the </w:t>
      </w:r>
      <w:r w:rsidR="007777A4" w:rsidRPr="0090463A">
        <w:rPr>
          <w:b w:val="0"/>
          <w:sz w:val="24"/>
          <w:szCs w:val="24"/>
        </w:rPr>
        <w:t xml:space="preserve">2016 to the 2023 Mathematics </w:t>
      </w:r>
      <w:r w:rsidR="007777A4" w:rsidRPr="0090463A">
        <w:rPr>
          <w:b w:val="0"/>
          <w:i/>
          <w:sz w:val="24"/>
          <w:szCs w:val="24"/>
        </w:rPr>
        <w:t>Standards of Learning</w:t>
      </w:r>
      <w:r w:rsidR="00E95BD8">
        <w:rPr>
          <w:b w:val="0"/>
          <w:i/>
          <w:sz w:val="24"/>
          <w:szCs w:val="24"/>
        </w:rPr>
        <w:t>.</w:t>
      </w:r>
    </w:p>
    <w:tbl>
      <w:tblPr>
        <w:tblStyle w:val="TableGrid"/>
        <w:tblW w:w="0" w:type="auto"/>
        <w:jc w:val="center"/>
        <w:tblLook w:val="04A0" w:firstRow="1" w:lastRow="0" w:firstColumn="1" w:lastColumn="0" w:noHBand="0" w:noVBand="1"/>
      </w:tblPr>
      <w:tblGrid>
        <w:gridCol w:w="4315"/>
        <w:gridCol w:w="6660"/>
      </w:tblGrid>
      <w:tr w:rsidR="003961AD" w14:paraId="1AAD8E78" w14:textId="77777777" w:rsidTr="00CE7FAF">
        <w:trPr>
          <w:jc w:val="center"/>
        </w:trPr>
        <w:tc>
          <w:tcPr>
            <w:tcW w:w="4315" w:type="dxa"/>
            <w:shd w:val="clear" w:color="auto" w:fill="CCC0D9" w:themeFill="accent4" w:themeFillTint="66"/>
          </w:tcPr>
          <w:p w14:paraId="23892F44" w14:textId="24FEA0B9" w:rsidR="003961AD" w:rsidRPr="0090463A" w:rsidRDefault="00763A8B" w:rsidP="008E44F1">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90463A">
              <w:rPr>
                <w:sz w:val="24"/>
                <w:szCs w:val="24"/>
              </w:rPr>
              <w:t>Overall Instructional Transition</w:t>
            </w:r>
          </w:p>
        </w:tc>
        <w:tc>
          <w:tcPr>
            <w:tcW w:w="6660" w:type="dxa"/>
            <w:shd w:val="clear" w:color="auto" w:fill="CCC0D9" w:themeFill="accent4" w:themeFillTint="66"/>
          </w:tcPr>
          <w:p w14:paraId="60E70B68" w14:textId="37DCFE15" w:rsidR="003961AD" w:rsidRPr="0090463A" w:rsidRDefault="00626CE3" w:rsidP="008E44F1">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90463A">
              <w:rPr>
                <w:sz w:val="24"/>
                <w:szCs w:val="24"/>
              </w:rPr>
              <w:t>Instructional Notes</w:t>
            </w:r>
          </w:p>
        </w:tc>
      </w:tr>
      <w:tr w:rsidR="003961AD" w14:paraId="74BAC2E1" w14:textId="77777777" w:rsidTr="00CE7FAF">
        <w:trPr>
          <w:trHeight w:val="2600"/>
          <w:jc w:val="center"/>
        </w:trPr>
        <w:tc>
          <w:tcPr>
            <w:tcW w:w="4315" w:type="dxa"/>
          </w:tcPr>
          <w:p w14:paraId="7146FE00" w14:textId="77777777" w:rsidR="00C327EE" w:rsidRPr="00597F37" w:rsidRDefault="00C327EE" w:rsidP="00C327EE">
            <w:pPr>
              <w:pStyle w:val="VHead2"/>
              <w:pBdr>
                <w:top w:val="none" w:sz="0" w:space="0" w:color="auto"/>
                <w:left w:val="none" w:sz="0" w:space="0" w:color="auto"/>
                <w:bottom w:val="none" w:sz="0" w:space="0" w:color="auto"/>
                <w:right w:val="none" w:sz="0" w:space="0" w:color="auto"/>
                <w:between w:val="none" w:sz="0" w:space="0" w:color="auto"/>
              </w:pBdr>
              <w:rPr>
                <w:rFonts w:eastAsia="Times New Roman"/>
                <w:color w:val="auto"/>
                <w:sz w:val="12"/>
                <w:szCs w:val="12"/>
              </w:rPr>
            </w:pPr>
          </w:p>
          <w:p w14:paraId="0F3F4479" w14:textId="0666AF97" w:rsidR="003961AD" w:rsidRPr="0090463A" w:rsidRDefault="00AD5138" w:rsidP="008E44F1">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r w:rsidRPr="0090463A">
              <w:rPr>
                <w:rFonts w:eastAsia="Times New Roman"/>
                <w:noProof/>
                <w:color w:val="auto"/>
                <w:sz w:val="24"/>
                <w:szCs w:val="24"/>
              </w:rPr>
              <w:drawing>
                <wp:inline distT="0" distB="0" distL="0" distR="0" wp14:anchorId="23BB9B72" wp14:editId="24ECD7AB">
                  <wp:extent cx="1708150" cy="1444002"/>
                  <wp:effectExtent l="0" t="0" r="6350" b="3810"/>
                  <wp:docPr id="19" name="Picture 19" descr="Mathematics Process Goals Graphic showing reasoning, communication, problem solving, connections, and representations all contribute to mathematical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Mathematics Process Goals Graphic showing reasoning, communication, problem solving, connections, and representations all contribute to mathematical understanding"/>
                          <pic:cNvPicPr/>
                        </pic:nvPicPr>
                        <pic:blipFill>
                          <a:blip r:embed="rId14"/>
                          <a:stretch>
                            <a:fillRect/>
                          </a:stretch>
                        </pic:blipFill>
                        <pic:spPr>
                          <a:xfrm>
                            <a:off x="0" y="0"/>
                            <a:ext cx="1708150" cy="1444002"/>
                          </a:xfrm>
                          <a:prstGeom prst="rect">
                            <a:avLst/>
                          </a:prstGeom>
                        </pic:spPr>
                      </pic:pic>
                    </a:graphicData>
                  </a:graphic>
                </wp:inline>
              </w:drawing>
            </w:r>
          </w:p>
        </w:tc>
        <w:tc>
          <w:tcPr>
            <w:tcW w:w="6660" w:type="dxa"/>
            <w:vAlign w:val="center"/>
          </w:tcPr>
          <w:p w14:paraId="09329640" w14:textId="6DAAB502" w:rsidR="003961AD" w:rsidRPr="0090463A" w:rsidRDefault="002C49DE" w:rsidP="00B17BA6">
            <w:pPr>
              <w:pStyle w:val="VHead2"/>
              <w:pBdr>
                <w:top w:val="none" w:sz="0" w:space="0" w:color="auto"/>
                <w:left w:val="none" w:sz="0" w:space="0" w:color="auto"/>
                <w:bottom w:val="none" w:sz="0" w:space="0" w:color="auto"/>
                <w:right w:val="none" w:sz="0" w:space="0" w:color="auto"/>
                <w:between w:val="none" w:sz="0" w:space="0" w:color="auto"/>
              </w:pBdr>
              <w:jc w:val="left"/>
              <w:rPr>
                <w:b w:val="0"/>
                <w:sz w:val="24"/>
                <w:szCs w:val="24"/>
              </w:rPr>
            </w:pPr>
            <w:r w:rsidRPr="0090463A">
              <w:rPr>
                <w:b w:val="0"/>
                <w:sz w:val="24"/>
                <w:szCs w:val="24"/>
              </w:rPr>
              <w:t xml:space="preserve">The </w:t>
            </w:r>
            <w:r w:rsidR="00FB2C94" w:rsidRPr="0090463A">
              <w:rPr>
                <w:b w:val="0"/>
                <w:sz w:val="24"/>
                <w:szCs w:val="24"/>
              </w:rPr>
              <w:t xml:space="preserve">five mathematical </w:t>
            </w:r>
            <w:r w:rsidRPr="0090463A">
              <w:rPr>
                <w:b w:val="0"/>
                <w:sz w:val="24"/>
                <w:szCs w:val="24"/>
              </w:rPr>
              <w:t>process goals have been embedded throughout the standards and knowledge and skills.</w:t>
            </w:r>
            <w:r w:rsidR="00127F9F" w:rsidRPr="0090463A">
              <w:rPr>
                <w:b w:val="0"/>
                <w:sz w:val="24"/>
                <w:szCs w:val="24"/>
              </w:rPr>
              <w:t xml:space="preserve"> Students </w:t>
            </w:r>
            <w:r w:rsidR="00F940B8" w:rsidRPr="0090463A">
              <w:rPr>
                <w:b w:val="0"/>
                <w:sz w:val="24"/>
                <w:szCs w:val="24"/>
              </w:rPr>
              <w:t xml:space="preserve">should be given opportunities to </w:t>
            </w:r>
            <w:r w:rsidR="00127F9F" w:rsidRPr="0090463A">
              <w:rPr>
                <w:b w:val="0"/>
                <w:sz w:val="24"/>
                <w:szCs w:val="24"/>
              </w:rPr>
              <w:t>learn and apply the process goals as they work to achieve the content of the Mathematics Standards.</w:t>
            </w:r>
          </w:p>
        </w:tc>
      </w:tr>
      <w:tr w:rsidR="003961AD" w14:paraId="32B2076B" w14:textId="77777777" w:rsidTr="00CE7FAF">
        <w:trPr>
          <w:jc w:val="center"/>
        </w:trPr>
        <w:tc>
          <w:tcPr>
            <w:tcW w:w="4315" w:type="dxa"/>
          </w:tcPr>
          <w:p w14:paraId="14960F47" w14:textId="513878CE" w:rsidR="003961AD" w:rsidRPr="004E689A" w:rsidRDefault="003961AD" w:rsidP="00020B4E">
            <w:pPr>
              <w:pStyle w:val="VHead2"/>
              <w:pBdr>
                <w:top w:val="none" w:sz="0" w:space="0" w:color="auto"/>
                <w:left w:val="none" w:sz="0" w:space="0" w:color="auto"/>
                <w:bottom w:val="none" w:sz="0" w:space="0" w:color="auto"/>
                <w:right w:val="none" w:sz="0" w:space="0" w:color="auto"/>
                <w:between w:val="none" w:sz="0" w:space="0" w:color="auto"/>
              </w:pBdr>
              <w:rPr>
                <w:b w:val="0"/>
                <w:sz w:val="12"/>
                <w:szCs w:val="12"/>
              </w:rPr>
            </w:pPr>
          </w:p>
          <w:p w14:paraId="086AFED6" w14:textId="77777777" w:rsidR="00597F37" w:rsidRDefault="00597F37" w:rsidP="00020B4E">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r w:rsidRPr="0090463A">
              <w:rPr>
                <w:rFonts w:eastAsia="Times New Roman"/>
                <w:noProof/>
                <w:color w:val="auto"/>
                <w:sz w:val="24"/>
                <w:szCs w:val="24"/>
              </w:rPr>
              <w:drawing>
                <wp:inline distT="0" distB="0" distL="0" distR="0" wp14:anchorId="636BEE76" wp14:editId="6CE00D2B">
                  <wp:extent cx="2049946" cy="1944370"/>
                  <wp:effectExtent l="0" t="0" r="7620" b="0"/>
                  <wp:docPr id="7" name="Picture 7" descr="A diagram of data cycle which includes formulating questions, collecting and acquiring data, organizing and representing data, and analyzing and communicating data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data cycle which includes formulating questions, collecting and acquiring data, organizing and representing data, and analyzing and communicating data results"/>
                          <pic:cNvPicPr/>
                        </pic:nvPicPr>
                        <pic:blipFill>
                          <a:blip r:embed="rId15"/>
                          <a:stretch>
                            <a:fillRect/>
                          </a:stretch>
                        </pic:blipFill>
                        <pic:spPr>
                          <a:xfrm>
                            <a:off x="0" y="0"/>
                            <a:ext cx="2078367" cy="1971328"/>
                          </a:xfrm>
                          <a:prstGeom prst="rect">
                            <a:avLst/>
                          </a:prstGeom>
                        </pic:spPr>
                      </pic:pic>
                    </a:graphicData>
                  </a:graphic>
                </wp:inline>
              </w:drawing>
            </w:r>
          </w:p>
          <w:p w14:paraId="3BD32355" w14:textId="38104676" w:rsidR="00597F37" w:rsidRPr="004E689A" w:rsidRDefault="00597F37" w:rsidP="00020B4E">
            <w:pPr>
              <w:pStyle w:val="VHead2"/>
              <w:pBdr>
                <w:top w:val="none" w:sz="0" w:space="0" w:color="auto"/>
                <w:left w:val="none" w:sz="0" w:space="0" w:color="auto"/>
                <w:bottom w:val="none" w:sz="0" w:space="0" w:color="auto"/>
                <w:right w:val="none" w:sz="0" w:space="0" w:color="auto"/>
                <w:between w:val="none" w:sz="0" w:space="0" w:color="auto"/>
              </w:pBdr>
              <w:rPr>
                <w:b w:val="0"/>
                <w:sz w:val="12"/>
                <w:szCs w:val="12"/>
              </w:rPr>
            </w:pPr>
          </w:p>
        </w:tc>
        <w:tc>
          <w:tcPr>
            <w:tcW w:w="6660" w:type="dxa"/>
            <w:vAlign w:val="center"/>
          </w:tcPr>
          <w:p w14:paraId="2DFF3571" w14:textId="422F0490" w:rsidR="003961AD" w:rsidRPr="0090463A" w:rsidRDefault="000118D1" w:rsidP="00B17BA6">
            <w:pPr>
              <w:pStyle w:val="VHead2"/>
              <w:pBdr>
                <w:top w:val="none" w:sz="0" w:space="0" w:color="auto"/>
                <w:left w:val="none" w:sz="0" w:space="0" w:color="auto"/>
                <w:bottom w:val="none" w:sz="0" w:space="0" w:color="auto"/>
                <w:right w:val="none" w:sz="0" w:space="0" w:color="auto"/>
                <w:between w:val="none" w:sz="0" w:space="0" w:color="auto"/>
              </w:pBdr>
              <w:jc w:val="left"/>
              <w:rPr>
                <w:b w:val="0"/>
                <w:sz w:val="24"/>
                <w:szCs w:val="24"/>
              </w:rPr>
            </w:pPr>
            <w:r w:rsidRPr="0090463A">
              <w:rPr>
                <w:b w:val="0"/>
                <w:sz w:val="24"/>
                <w:szCs w:val="24"/>
              </w:rPr>
              <w:t xml:space="preserve">A process for data analysis is included in the standards as a Data Cycle. </w:t>
            </w:r>
            <w:r w:rsidR="007A39EE" w:rsidRPr="0090463A">
              <w:rPr>
                <w:b w:val="0"/>
                <w:sz w:val="24"/>
                <w:szCs w:val="24"/>
              </w:rPr>
              <w:t xml:space="preserve">Students should be given the opportunity to explore data and data analysis using the data cycle. </w:t>
            </w:r>
            <w:r w:rsidR="008C54E7" w:rsidRPr="0090463A">
              <w:rPr>
                <w:b w:val="0"/>
                <w:sz w:val="24"/>
                <w:szCs w:val="24"/>
              </w:rPr>
              <w:t>Analyzing data requires the ability to read, write, and communicate about data in context. The skills needed to analyze data are integrated in the mathematics standards and derived from and build upon a strong mathematical foundation.</w:t>
            </w:r>
            <w:r w:rsidR="00CB495A" w:rsidRPr="0090463A">
              <w:rPr>
                <w:b w:val="0"/>
                <w:sz w:val="24"/>
                <w:szCs w:val="24"/>
              </w:rPr>
              <w:t xml:space="preserve">  </w:t>
            </w:r>
          </w:p>
        </w:tc>
      </w:tr>
    </w:tbl>
    <w:p w14:paraId="7A78A7FD" w14:textId="03A0E97F" w:rsidR="00020B4E" w:rsidRDefault="001C7A0F" w:rsidP="007D2A58">
      <w:pPr>
        <w:pStyle w:val="VHead2"/>
        <w:ind w:left="1710" w:right="1890"/>
        <w:jc w:val="left"/>
        <w:rPr>
          <w:b w:val="0"/>
          <w:i/>
          <w:iCs/>
          <w:sz w:val="20"/>
          <w:szCs w:val="20"/>
        </w:rPr>
      </w:pPr>
      <w:r w:rsidRPr="007D2A58">
        <w:rPr>
          <w:b w:val="0"/>
          <w:i/>
          <w:iCs/>
          <w:sz w:val="20"/>
          <w:szCs w:val="20"/>
        </w:rPr>
        <w:t xml:space="preserve">Please refer to the Appendix in the </w:t>
      </w:r>
      <w:hyperlink r:id="rId16" w:history="1">
        <w:r w:rsidRPr="003C697E">
          <w:rPr>
            <w:rStyle w:val="Hyperlink"/>
            <w:b w:val="0"/>
            <w:i/>
            <w:iCs/>
            <w:sz w:val="20"/>
            <w:szCs w:val="20"/>
          </w:rPr>
          <w:t>2023 Mathematics Standards of Learning</w:t>
        </w:r>
      </w:hyperlink>
      <w:r w:rsidRPr="007D2A58">
        <w:rPr>
          <w:b w:val="0"/>
          <w:i/>
          <w:iCs/>
          <w:sz w:val="20"/>
          <w:szCs w:val="20"/>
        </w:rPr>
        <w:t xml:space="preserve"> to learn more about the process goals and data cycle.</w:t>
      </w:r>
    </w:p>
    <w:p w14:paraId="4C35C1CA" w14:textId="45583926" w:rsidR="00493D50" w:rsidRDefault="00493D50">
      <w:pPr>
        <w:pBdr>
          <w:top w:val="none" w:sz="0" w:space="0" w:color="auto"/>
          <w:left w:val="none" w:sz="0" w:space="0" w:color="auto"/>
          <w:bottom w:val="none" w:sz="0" w:space="0" w:color="auto"/>
          <w:right w:val="none" w:sz="0" w:space="0" w:color="auto"/>
          <w:between w:val="none" w:sz="0" w:space="0" w:color="auto"/>
        </w:pBdr>
        <w:spacing w:line="276" w:lineRule="auto"/>
        <w:rPr>
          <w:i/>
          <w:iCs/>
          <w:sz w:val="20"/>
          <w:szCs w:val="20"/>
          <w:lang w:val="en"/>
        </w:rPr>
      </w:pPr>
      <w:r>
        <w:rPr>
          <w:b/>
          <w:i/>
          <w:iCs/>
          <w:sz w:val="20"/>
          <w:szCs w:val="20"/>
        </w:rPr>
        <w:br w:type="page"/>
      </w:r>
    </w:p>
    <w:p w14:paraId="16922991" w14:textId="2F0ECBA1" w:rsidR="08098428" w:rsidRPr="0090463A" w:rsidRDefault="2AD392B7" w:rsidP="007D2A58">
      <w:pPr>
        <w:pStyle w:val="VHead2"/>
        <w:spacing w:before="240" w:after="240"/>
        <w:jc w:val="left"/>
        <w:rPr>
          <w:sz w:val="24"/>
          <w:szCs w:val="24"/>
        </w:rPr>
      </w:pPr>
      <w:r w:rsidRPr="0090463A">
        <w:rPr>
          <w:sz w:val="24"/>
          <w:szCs w:val="24"/>
        </w:rPr>
        <w:lastRenderedPageBreak/>
        <w:t>Specific Instructional Transitions</w:t>
      </w:r>
      <w:r w:rsidR="76E1CFB5" w:rsidRPr="0090463A">
        <w:rPr>
          <w:sz w:val="24"/>
          <w:szCs w:val="24"/>
        </w:rPr>
        <w:t xml:space="preserve"> by Strand</w:t>
      </w:r>
      <w:r w:rsidRPr="0090463A">
        <w:rPr>
          <w:sz w:val="24"/>
          <w:szCs w:val="24"/>
        </w:rPr>
        <w:t>:</w:t>
      </w:r>
    </w:p>
    <w:p w14:paraId="38E437F3" w14:textId="5B12DA7B" w:rsidR="22DF2B51" w:rsidRPr="0090463A" w:rsidRDefault="00854CCA" w:rsidP="00EC58E5">
      <w:pPr>
        <w:pStyle w:val="VHead2"/>
        <w:spacing w:after="240"/>
        <w:jc w:val="left"/>
        <w:rPr>
          <w:b w:val="0"/>
          <w:sz w:val="24"/>
          <w:szCs w:val="24"/>
        </w:rPr>
      </w:pPr>
      <w:r w:rsidRPr="0090463A">
        <w:rPr>
          <w:b w:val="0"/>
          <w:sz w:val="24"/>
          <w:szCs w:val="24"/>
        </w:rPr>
        <w:t xml:space="preserve">The 2023 Mathematics </w:t>
      </w:r>
      <w:r w:rsidRPr="0090463A">
        <w:rPr>
          <w:b w:val="0"/>
          <w:i/>
          <w:sz w:val="24"/>
          <w:szCs w:val="24"/>
        </w:rPr>
        <w:t>Standards of Learning</w:t>
      </w:r>
      <w:r w:rsidRPr="0090463A">
        <w:rPr>
          <w:b w:val="0"/>
          <w:sz w:val="24"/>
          <w:szCs w:val="24"/>
        </w:rPr>
        <w:t xml:space="preserve"> incorporate </w:t>
      </w:r>
      <w:r w:rsidR="00AF7BCF" w:rsidRPr="0090463A">
        <w:rPr>
          <w:b w:val="0"/>
          <w:sz w:val="24"/>
          <w:szCs w:val="24"/>
        </w:rPr>
        <w:t>revisions</w:t>
      </w:r>
      <w:r w:rsidR="00EC58E5" w:rsidRPr="0090463A">
        <w:rPr>
          <w:b w:val="0"/>
          <w:sz w:val="24"/>
          <w:szCs w:val="24"/>
        </w:rPr>
        <w:t xml:space="preserve"> </w:t>
      </w:r>
      <w:r w:rsidRPr="0090463A">
        <w:rPr>
          <w:b w:val="0"/>
          <w:sz w:val="24"/>
          <w:szCs w:val="24"/>
        </w:rPr>
        <w:t>that are specific to</w:t>
      </w:r>
      <w:r w:rsidR="009405FB" w:rsidRPr="0090463A">
        <w:rPr>
          <w:b w:val="0"/>
          <w:sz w:val="24"/>
          <w:szCs w:val="24"/>
        </w:rPr>
        <w:t xml:space="preserve"> a</w:t>
      </w:r>
      <w:r w:rsidRPr="0090463A">
        <w:rPr>
          <w:b w:val="0"/>
          <w:sz w:val="24"/>
          <w:szCs w:val="24"/>
        </w:rPr>
        <w:t xml:space="preserve"> grade level or course</w:t>
      </w:r>
      <w:r w:rsidR="00805B42" w:rsidRPr="0090463A">
        <w:rPr>
          <w:b w:val="0"/>
          <w:sz w:val="24"/>
          <w:szCs w:val="24"/>
        </w:rPr>
        <w:t xml:space="preserve">. </w:t>
      </w:r>
      <w:r w:rsidR="00FA464E" w:rsidRPr="0090463A">
        <w:rPr>
          <w:b w:val="0"/>
          <w:sz w:val="24"/>
          <w:szCs w:val="24"/>
        </w:rPr>
        <w:t>I</w:t>
      </w:r>
      <w:r w:rsidR="007E42CC" w:rsidRPr="0090463A">
        <w:rPr>
          <w:b w:val="0"/>
          <w:sz w:val="24"/>
          <w:szCs w:val="24"/>
        </w:rPr>
        <w:t xml:space="preserve">nstructional notes have been provided </w:t>
      </w:r>
      <w:r w:rsidR="00FC4D59">
        <w:rPr>
          <w:b w:val="0"/>
          <w:sz w:val="24"/>
          <w:szCs w:val="24"/>
        </w:rPr>
        <w:t xml:space="preserve">for specific standards </w:t>
      </w:r>
      <w:r w:rsidR="007E42CC" w:rsidRPr="0090463A">
        <w:rPr>
          <w:b w:val="0"/>
          <w:sz w:val="24"/>
          <w:szCs w:val="24"/>
        </w:rPr>
        <w:t>that support the trans</w:t>
      </w:r>
      <w:r w:rsidR="009371F2" w:rsidRPr="0090463A">
        <w:rPr>
          <w:b w:val="0"/>
          <w:sz w:val="24"/>
          <w:szCs w:val="24"/>
        </w:rPr>
        <w:t xml:space="preserve">ition from the 2016 to the 2023 Mathematics </w:t>
      </w:r>
      <w:r w:rsidR="009371F2" w:rsidRPr="0090463A">
        <w:rPr>
          <w:b w:val="0"/>
          <w:i/>
          <w:sz w:val="24"/>
          <w:szCs w:val="24"/>
        </w:rPr>
        <w:t>Standards of Learning</w:t>
      </w:r>
      <w:r w:rsidR="009371F2" w:rsidRPr="0090463A">
        <w:rPr>
          <w:b w:val="0"/>
          <w:sz w:val="24"/>
          <w:szCs w:val="24"/>
        </w:rPr>
        <w:t>.</w:t>
      </w:r>
    </w:p>
    <w:p w14:paraId="510348B4" w14:textId="77777777" w:rsidR="00B17BA6" w:rsidRPr="0090463A" w:rsidRDefault="00B17BA6" w:rsidP="00B17BA6">
      <w:pPr>
        <w:pStyle w:val="VHead2"/>
        <w:jc w:val="left"/>
        <w:rPr>
          <w:sz w:val="24"/>
          <w:szCs w:val="24"/>
        </w:rPr>
      </w:pPr>
      <w:r w:rsidRPr="0090463A">
        <w:rPr>
          <w:sz w:val="24"/>
          <w:szCs w:val="24"/>
        </w:rPr>
        <w:t>Number and Number Sense</w:t>
      </w:r>
    </w:p>
    <w:tbl>
      <w:tblPr>
        <w:tblStyle w:val="TableGrid"/>
        <w:tblW w:w="14485" w:type="dxa"/>
        <w:tblLook w:val="04A0" w:firstRow="1" w:lastRow="0" w:firstColumn="1" w:lastColumn="0" w:noHBand="0" w:noVBand="1"/>
      </w:tblPr>
      <w:tblGrid>
        <w:gridCol w:w="1705"/>
        <w:gridCol w:w="2340"/>
        <w:gridCol w:w="10440"/>
      </w:tblGrid>
      <w:tr w:rsidR="00B17BA6" w14:paraId="7E230DA6" w14:textId="77777777" w:rsidTr="001615BE">
        <w:tc>
          <w:tcPr>
            <w:tcW w:w="1705" w:type="dxa"/>
            <w:shd w:val="clear" w:color="auto" w:fill="C2D69B" w:themeFill="accent3" w:themeFillTint="99"/>
          </w:tcPr>
          <w:p w14:paraId="06091396" w14:textId="77777777" w:rsidR="00B17BA6" w:rsidRPr="0090463A"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90463A">
              <w:rPr>
                <w:sz w:val="24"/>
                <w:szCs w:val="24"/>
              </w:rPr>
              <w:t>2016 SOL</w:t>
            </w:r>
          </w:p>
        </w:tc>
        <w:tc>
          <w:tcPr>
            <w:tcW w:w="2340" w:type="dxa"/>
            <w:shd w:val="clear" w:color="auto" w:fill="C2D69B" w:themeFill="accent3" w:themeFillTint="99"/>
          </w:tcPr>
          <w:p w14:paraId="25410E14" w14:textId="456D6C45" w:rsidR="00B17BA6" w:rsidRPr="0090463A"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90463A">
              <w:rPr>
                <w:sz w:val="24"/>
                <w:szCs w:val="24"/>
              </w:rPr>
              <w:t>2023 SOL</w:t>
            </w:r>
          </w:p>
        </w:tc>
        <w:tc>
          <w:tcPr>
            <w:tcW w:w="10440" w:type="dxa"/>
            <w:shd w:val="clear" w:color="auto" w:fill="C2D69B" w:themeFill="accent3" w:themeFillTint="99"/>
          </w:tcPr>
          <w:p w14:paraId="4BC5CBAA" w14:textId="77777777" w:rsidR="00B17BA6" w:rsidRPr="0090463A"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90463A">
              <w:rPr>
                <w:sz w:val="24"/>
                <w:szCs w:val="24"/>
              </w:rPr>
              <w:t>Instructional Notes</w:t>
            </w:r>
          </w:p>
        </w:tc>
      </w:tr>
      <w:tr w:rsidR="2B1FD7A0" w14:paraId="73DD3088" w14:textId="77777777" w:rsidTr="001615BE">
        <w:trPr>
          <w:trHeight w:val="300"/>
        </w:trPr>
        <w:tc>
          <w:tcPr>
            <w:tcW w:w="1705" w:type="dxa"/>
          </w:tcPr>
          <w:p w14:paraId="44B34AD3" w14:textId="406794C8" w:rsidR="2B1FD7A0" w:rsidRPr="0090463A" w:rsidRDefault="02055976" w:rsidP="2B1FD7A0">
            <w:pPr>
              <w:pStyle w:val="VHead2"/>
              <w:rPr>
                <w:sz w:val="24"/>
                <w:szCs w:val="24"/>
              </w:rPr>
            </w:pPr>
            <w:r w:rsidRPr="0090463A">
              <w:rPr>
                <w:sz w:val="24"/>
                <w:szCs w:val="24"/>
              </w:rPr>
              <w:t>7.1c,e</w:t>
            </w:r>
          </w:p>
        </w:tc>
        <w:tc>
          <w:tcPr>
            <w:tcW w:w="2340" w:type="dxa"/>
          </w:tcPr>
          <w:p w14:paraId="7BD601FA" w14:textId="4302ECA2" w:rsidR="2B1FD7A0" w:rsidRPr="0090463A" w:rsidRDefault="02055976" w:rsidP="2B1FD7A0">
            <w:pPr>
              <w:pStyle w:val="VHead2"/>
              <w:rPr>
                <w:sz w:val="24"/>
                <w:szCs w:val="24"/>
              </w:rPr>
            </w:pPr>
            <w:r w:rsidRPr="0090463A">
              <w:rPr>
                <w:sz w:val="24"/>
                <w:szCs w:val="24"/>
              </w:rPr>
              <w:t>7.NS.2</w:t>
            </w:r>
          </w:p>
        </w:tc>
        <w:tc>
          <w:tcPr>
            <w:tcW w:w="10440" w:type="dxa"/>
          </w:tcPr>
          <w:p w14:paraId="1ED229C4" w14:textId="26B73277" w:rsidR="2B1FD7A0" w:rsidRPr="0090463A" w:rsidRDefault="3C074653" w:rsidP="2B1FD7A0">
            <w:pPr>
              <w:pStyle w:val="VHead2"/>
              <w:jc w:val="left"/>
              <w:rPr>
                <w:b w:val="0"/>
                <w:sz w:val="24"/>
                <w:szCs w:val="24"/>
              </w:rPr>
            </w:pPr>
            <w:r w:rsidRPr="0090463A">
              <w:rPr>
                <w:b w:val="0"/>
                <w:sz w:val="24"/>
                <w:szCs w:val="24"/>
              </w:rPr>
              <w:t>While students are comparing and ordering rational numbers, provide opportunities for students to use multiple strategies</w:t>
            </w:r>
            <w:r w:rsidR="00461543" w:rsidRPr="0090463A">
              <w:rPr>
                <w:b w:val="0"/>
                <w:sz w:val="24"/>
                <w:szCs w:val="24"/>
              </w:rPr>
              <w:t xml:space="preserve">, such as </w:t>
            </w:r>
            <w:r w:rsidR="00D53FDF" w:rsidRPr="0090463A">
              <w:rPr>
                <w:b w:val="0"/>
                <w:sz w:val="24"/>
                <w:szCs w:val="24"/>
              </w:rPr>
              <w:t xml:space="preserve">benchmarks, number lines, and equivalency.  Additionally provide students the opportunity </w:t>
            </w:r>
            <w:r w:rsidRPr="0090463A">
              <w:rPr>
                <w:b w:val="0"/>
                <w:sz w:val="24"/>
                <w:szCs w:val="24"/>
              </w:rPr>
              <w:t xml:space="preserve">to justify their </w:t>
            </w:r>
            <w:r w:rsidR="00A46F69" w:rsidRPr="0090463A">
              <w:rPr>
                <w:b w:val="0"/>
                <w:sz w:val="24"/>
                <w:szCs w:val="24"/>
              </w:rPr>
              <w:t>solutions</w:t>
            </w:r>
            <w:r w:rsidRPr="0090463A">
              <w:rPr>
                <w:b w:val="0"/>
                <w:sz w:val="24"/>
                <w:szCs w:val="24"/>
              </w:rPr>
              <w:t xml:space="preserve"> </w:t>
            </w:r>
            <w:r w:rsidR="38CCDE94" w:rsidRPr="0090463A">
              <w:rPr>
                <w:b w:val="0"/>
                <w:sz w:val="24"/>
                <w:szCs w:val="24"/>
              </w:rPr>
              <w:t>in writing or with a model.</w:t>
            </w:r>
          </w:p>
        </w:tc>
      </w:tr>
      <w:tr w:rsidR="001615BE" w14:paraId="7F6F4AD4" w14:textId="77777777" w:rsidTr="001615BE">
        <w:trPr>
          <w:trHeight w:val="300"/>
        </w:trPr>
        <w:tc>
          <w:tcPr>
            <w:tcW w:w="1705" w:type="dxa"/>
          </w:tcPr>
          <w:p w14:paraId="0BFBBF54" w14:textId="11F7E01F" w:rsidR="3B488829" w:rsidRPr="0090463A" w:rsidRDefault="3B488829" w:rsidP="001615BE">
            <w:pPr>
              <w:pStyle w:val="VHead2"/>
              <w:rPr>
                <w:sz w:val="24"/>
                <w:szCs w:val="24"/>
              </w:rPr>
            </w:pPr>
            <w:r w:rsidRPr="0090463A">
              <w:rPr>
                <w:sz w:val="24"/>
                <w:szCs w:val="24"/>
              </w:rPr>
              <w:t>7.1d</w:t>
            </w:r>
          </w:p>
        </w:tc>
        <w:tc>
          <w:tcPr>
            <w:tcW w:w="2340" w:type="dxa"/>
          </w:tcPr>
          <w:p w14:paraId="554920F1" w14:textId="0ADEB28C" w:rsidR="3B488829" w:rsidRPr="0090463A" w:rsidRDefault="3B488829" w:rsidP="001615BE">
            <w:pPr>
              <w:pStyle w:val="VHead2"/>
              <w:rPr>
                <w:sz w:val="24"/>
                <w:szCs w:val="24"/>
              </w:rPr>
            </w:pPr>
            <w:r w:rsidRPr="0090463A">
              <w:rPr>
                <w:sz w:val="24"/>
                <w:szCs w:val="24"/>
              </w:rPr>
              <w:t>7.NS.3</w:t>
            </w:r>
            <w:r w:rsidR="007F7440" w:rsidRPr="0090463A">
              <w:rPr>
                <w:sz w:val="24"/>
                <w:szCs w:val="24"/>
              </w:rPr>
              <w:t>b</w:t>
            </w:r>
          </w:p>
        </w:tc>
        <w:tc>
          <w:tcPr>
            <w:tcW w:w="10440" w:type="dxa"/>
          </w:tcPr>
          <w:p w14:paraId="354A2321" w14:textId="26F51123" w:rsidR="3B488829" w:rsidRPr="0090463A" w:rsidRDefault="3B488829" w:rsidP="001615BE">
            <w:pPr>
              <w:pStyle w:val="VHead2"/>
              <w:jc w:val="left"/>
              <w:rPr>
                <w:b w:val="0"/>
                <w:sz w:val="24"/>
                <w:szCs w:val="24"/>
              </w:rPr>
            </w:pPr>
            <w:r w:rsidRPr="0090463A">
              <w:rPr>
                <w:b w:val="0"/>
                <w:sz w:val="24"/>
                <w:szCs w:val="24"/>
              </w:rPr>
              <w:t xml:space="preserve">While students are determining the square root of a perfect square from 0 to 100, have them describe the relationship between </w:t>
            </w:r>
            <w:r w:rsidR="7CA8B47B" w:rsidRPr="0090463A">
              <w:rPr>
                <w:b w:val="0"/>
                <w:sz w:val="24"/>
                <w:szCs w:val="24"/>
              </w:rPr>
              <w:t>square roots and perfect squares.</w:t>
            </w:r>
          </w:p>
        </w:tc>
      </w:tr>
    </w:tbl>
    <w:p w14:paraId="381D48D3" w14:textId="77777777" w:rsidR="00B17BA6" w:rsidRPr="0090463A" w:rsidRDefault="00B17BA6" w:rsidP="00B17BA6">
      <w:pPr>
        <w:pStyle w:val="VHead2"/>
        <w:jc w:val="left"/>
        <w:rPr>
          <w:sz w:val="24"/>
          <w:szCs w:val="24"/>
        </w:rPr>
      </w:pPr>
    </w:p>
    <w:p w14:paraId="567F9EFE" w14:textId="77777777" w:rsidR="00B17BA6" w:rsidRPr="0090463A" w:rsidRDefault="00B17BA6" w:rsidP="00B17BA6">
      <w:pPr>
        <w:pStyle w:val="VHead2"/>
        <w:jc w:val="left"/>
        <w:rPr>
          <w:sz w:val="24"/>
          <w:szCs w:val="24"/>
        </w:rPr>
      </w:pPr>
      <w:r w:rsidRPr="0090463A">
        <w:rPr>
          <w:sz w:val="24"/>
          <w:szCs w:val="24"/>
        </w:rPr>
        <w:t xml:space="preserve">Computation and Estimation </w:t>
      </w:r>
    </w:p>
    <w:tbl>
      <w:tblPr>
        <w:tblStyle w:val="TableGrid"/>
        <w:tblW w:w="14485" w:type="dxa"/>
        <w:tblLook w:val="04A0" w:firstRow="1" w:lastRow="0" w:firstColumn="1" w:lastColumn="0" w:noHBand="0" w:noVBand="1"/>
      </w:tblPr>
      <w:tblGrid>
        <w:gridCol w:w="1705"/>
        <w:gridCol w:w="2340"/>
        <w:gridCol w:w="10440"/>
      </w:tblGrid>
      <w:tr w:rsidR="00B17BA6" w14:paraId="324B140F" w14:textId="77777777" w:rsidTr="001615BE">
        <w:tc>
          <w:tcPr>
            <w:tcW w:w="1705" w:type="dxa"/>
            <w:shd w:val="clear" w:color="auto" w:fill="C2D69B" w:themeFill="accent3" w:themeFillTint="99"/>
          </w:tcPr>
          <w:p w14:paraId="79035607" w14:textId="77777777" w:rsidR="00B17BA6" w:rsidRPr="0090463A"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bookmarkStart w:id="1" w:name="_Hlk146037942"/>
            <w:r w:rsidRPr="0090463A">
              <w:rPr>
                <w:sz w:val="24"/>
                <w:szCs w:val="24"/>
              </w:rPr>
              <w:t>2016 SOL</w:t>
            </w:r>
          </w:p>
        </w:tc>
        <w:tc>
          <w:tcPr>
            <w:tcW w:w="2340" w:type="dxa"/>
            <w:shd w:val="clear" w:color="auto" w:fill="C2D69B" w:themeFill="accent3" w:themeFillTint="99"/>
          </w:tcPr>
          <w:p w14:paraId="10084FFE" w14:textId="7CDAB072" w:rsidR="00B17BA6" w:rsidRPr="0090463A"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90463A">
              <w:rPr>
                <w:sz w:val="24"/>
                <w:szCs w:val="24"/>
              </w:rPr>
              <w:t>2023 SOL</w:t>
            </w:r>
          </w:p>
        </w:tc>
        <w:tc>
          <w:tcPr>
            <w:tcW w:w="10440" w:type="dxa"/>
            <w:shd w:val="clear" w:color="auto" w:fill="C2D69B" w:themeFill="accent3" w:themeFillTint="99"/>
          </w:tcPr>
          <w:p w14:paraId="29F18A15" w14:textId="77777777" w:rsidR="00B17BA6" w:rsidRPr="0090463A"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90463A">
              <w:rPr>
                <w:sz w:val="24"/>
                <w:szCs w:val="24"/>
              </w:rPr>
              <w:t>Instructional Notes</w:t>
            </w:r>
          </w:p>
        </w:tc>
      </w:tr>
      <w:tr w:rsidR="00B17BA6" w14:paraId="72AB52B0" w14:textId="77777777" w:rsidTr="001615BE">
        <w:tc>
          <w:tcPr>
            <w:tcW w:w="1705" w:type="dxa"/>
          </w:tcPr>
          <w:p w14:paraId="054D416B" w14:textId="0EEBA248" w:rsidR="00B17BA6" w:rsidRPr="0090463A" w:rsidRDefault="3C1624C8" w:rsidP="001615B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90463A">
              <w:rPr>
                <w:sz w:val="24"/>
                <w:szCs w:val="24"/>
              </w:rPr>
              <w:t>7.2</w:t>
            </w:r>
          </w:p>
        </w:tc>
        <w:tc>
          <w:tcPr>
            <w:tcW w:w="2340" w:type="dxa"/>
          </w:tcPr>
          <w:p w14:paraId="7FD361A9" w14:textId="788598A4" w:rsidR="00B17BA6" w:rsidRPr="0090463A" w:rsidRDefault="3C1624C8" w:rsidP="001615B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90463A">
              <w:rPr>
                <w:sz w:val="24"/>
                <w:szCs w:val="24"/>
              </w:rPr>
              <w:t>7.CE.1</w:t>
            </w:r>
          </w:p>
        </w:tc>
        <w:tc>
          <w:tcPr>
            <w:tcW w:w="10440" w:type="dxa"/>
          </w:tcPr>
          <w:p w14:paraId="6B568EA5" w14:textId="584E0DB6" w:rsidR="00B17BA6" w:rsidRPr="0090463A" w:rsidRDefault="7152862C" w:rsidP="001615BE">
            <w:pPr>
              <w:pStyle w:val="VHead2"/>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sidRPr="0090463A">
              <w:rPr>
                <w:b w:val="0"/>
                <w:sz w:val="24"/>
                <w:szCs w:val="24"/>
              </w:rPr>
              <w:t xml:space="preserve">While students are solving contextual multi-step problems with rational numbers, </w:t>
            </w:r>
            <w:r w:rsidR="422462C6" w:rsidRPr="0090463A">
              <w:rPr>
                <w:b w:val="0"/>
                <w:sz w:val="24"/>
                <w:szCs w:val="24"/>
              </w:rPr>
              <w:t>provide opportunities for students to</w:t>
            </w:r>
            <w:r w:rsidRPr="0090463A">
              <w:rPr>
                <w:b w:val="0"/>
                <w:sz w:val="24"/>
                <w:szCs w:val="24"/>
              </w:rPr>
              <w:t xml:space="preserve"> estimate</w:t>
            </w:r>
            <w:r w:rsidR="00833B87" w:rsidRPr="0090463A">
              <w:rPr>
                <w:b w:val="0"/>
                <w:sz w:val="24"/>
                <w:szCs w:val="24"/>
              </w:rPr>
              <w:t xml:space="preserve"> </w:t>
            </w:r>
            <w:r w:rsidRPr="0090463A">
              <w:rPr>
                <w:b w:val="0"/>
                <w:sz w:val="24"/>
                <w:szCs w:val="24"/>
              </w:rPr>
              <w:t>and justify solutions.</w:t>
            </w:r>
          </w:p>
        </w:tc>
      </w:tr>
      <w:tr w:rsidR="001615BE" w14:paraId="6E652F26" w14:textId="77777777" w:rsidTr="001615BE">
        <w:trPr>
          <w:trHeight w:val="300"/>
        </w:trPr>
        <w:tc>
          <w:tcPr>
            <w:tcW w:w="1705" w:type="dxa"/>
          </w:tcPr>
          <w:p w14:paraId="42C183CA" w14:textId="3F5753DC" w:rsidR="6B92AC6E" w:rsidRPr="0090463A" w:rsidRDefault="6B92AC6E" w:rsidP="001615BE">
            <w:pPr>
              <w:pStyle w:val="VHead2"/>
              <w:rPr>
                <w:sz w:val="24"/>
                <w:szCs w:val="24"/>
              </w:rPr>
            </w:pPr>
            <w:r w:rsidRPr="0090463A">
              <w:rPr>
                <w:sz w:val="24"/>
                <w:szCs w:val="24"/>
              </w:rPr>
              <w:t>7.3</w:t>
            </w:r>
          </w:p>
        </w:tc>
        <w:tc>
          <w:tcPr>
            <w:tcW w:w="2340" w:type="dxa"/>
          </w:tcPr>
          <w:p w14:paraId="49FEEBC1" w14:textId="5D3D1DEB" w:rsidR="6B92AC6E" w:rsidRPr="0090463A" w:rsidRDefault="6B92AC6E" w:rsidP="001615BE">
            <w:pPr>
              <w:pStyle w:val="VHead2"/>
              <w:rPr>
                <w:sz w:val="24"/>
                <w:szCs w:val="24"/>
              </w:rPr>
            </w:pPr>
            <w:r w:rsidRPr="0090463A">
              <w:rPr>
                <w:sz w:val="24"/>
                <w:szCs w:val="24"/>
              </w:rPr>
              <w:t>7.CE.2</w:t>
            </w:r>
            <w:r w:rsidR="00233855" w:rsidRPr="0090463A">
              <w:rPr>
                <w:sz w:val="24"/>
                <w:szCs w:val="24"/>
              </w:rPr>
              <w:t>d</w:t>
            </w:r>
          </w:p>
        </w:tc>
        <w:tc>
          <w:tcPr>
            <w:tcW w:w="10440" w:type="dxa"/>
          </w:tcPr>
          <w:p w14:paraId="69906E77" w14:textId="5EE013B1" w:rsidR="6B92AC6E" w:rsidRPr="0090463A" w:rsidRDefault="6B92AC6E" w:rsidP="001615BE">
            <w:pPr>
              <w:pStyle w:val="VHead2"/>
              <w:jc w:val="left"/>
              <w:rPr>
                <w:b w:val="0"/>
                <w:sz w:val="24"/>
                <w:szCs w:val="24"/>
              </w:rPr>
            </w:pPr>
            <w:r w:rsidRPr="0090463A">
              <w:rPr>
                <w:b w:val="0"/>
                <w:sz w:val="24"/>
                <w:szCs w:val="24"/>
              </w:rPr>
              <w:t xml:space="preserve">While students are using benchmarks to compute 5%, 10%, 15%, or 20% of a given whole number, provide opportunities to </w:t>
            </w:r>
            <w:r w:rsidR="0CEE49F5" w:rsidRPr="0090463A">
              <w:rPr>
                <w:b w:val="0"/>
                <w:sz w:val="24"/>
                <w:szCs w:val="24"/>
              </w:rPr>
              <w:t>estimate and determine percentages of a whole number not limited to the use of benchmark percentages.</w:t>
            </w:r>
          </w:p>
        </w:tc>
      </w:tr>
      <w:bookmarkEnd w:id="1"/>
    </w:tbl>
    <w:p w14:paraId="319028CB" w14:textId="77777777" w:rsidR="00B17BA6" w:rsidRPr="0090463A" w:rsidRDefault="00B17BA6" w:rsidP="00B17BA6">
      <w:pPr>
        <w:pStyle w:val="VHead2"/>
        <w:jc w:val="left"/>
        <w:rPr>
          <w:sz w:val="24"/>
          <w:szCs w:val="24"/>
        </w:rPr>
      </w:pPr>
    </w:p>
    <w:p w14:paraId="0279BB28" w14:textId="77777777" w:rsidR="00B17BA6" w:rsidRPr="0090463A" w:rsidRDefault="00B17BA6" w:rsidP="00B17BA6">
      <w:pPr>
        <w:pStyle w:val="VHead2"/>
        <w:jc w:val="left"/>
        <w:rPr>
          <w:sz w:val="24"/>
          <w:szCs w:val="24"/>
        </w:rPr>
      </w:pPr>
      <w:r w:rsidRPr="0090463A">
        <w:rPr>
          <w:sz w:val="24"/>
          <w:szCs w:val="24"/>
        </w:rPr>
        <w:t>Measurement and Geometry</w:t>
      </w:r>
    </w:p>
    <w:tbl>
      <w:tblPr>
        <w:tblStyle w:val="TableGrid"/>
        <w:tblW w:w="14485" w:type="dxa"/>
        <w:tblLook w:val="04A0" w:firstRow="1" w:lastRow="0" w:firstColumn="1" w:lastColumn="0" w:noHBand="0" w:noVBand="1"/>
      </w:tblPr>
      <w:tblGrid>
        <w:gridCol w:w="1705"/>
        <w:gridCol w:w="2340"/>
        <w:gridCol w:w="10440"/>
      </w:tblGrid>
      <w:tr w:rsidR="00B17BA6" w14:paraId="5A2003AE" w14:textId="77777777" w:rsidTr="118149B3">
        <w:tc>
          <w:tcPr>
            <w:tcW w:w="1705" w:type="dxa"/>
            <w:shd w:val="clear" w:color="auto" w:fill="C2D69B" w:themeFill="accent3" w:themeFillTint="99"/>
          </w:tcPr>
          <w:p w14:paraId="130DA4FB" w14:textId="77777777" w:rsidR="00B17BA6" w:rsidRPr="0090463A"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90463A">
              <w:rPr>
                <w:sz w:val="24"/>
                <w:szCs w:val="24"/>
              </w:rPr>
              <w:t>2016 SOL</w:t>
            </w:r>
          </w:p>
        </w:tc>
        <w:tc>
          <w:tcPr>
            <w:tcW w:w="2340" w:type="dxa"/>
            <w:shd w:val="clear" w:color="auto" w:fill="C2D69B" w:themeFill="accent3" w:themeFillTint="99"/>
          </w:tcPr>
          <w:p w14:paraId="0D7EF48D" w14:textId="7E8D78D3" w:rsidR="00B17BA6" w:rsidRPr="0090463A"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90463A">
              <w:rPr>
                <w:sz w:val="24"/>
                <w:szCs w:val="24"/>
              </w:rPr>
              <w:t>2023 SOL</w:t>
            </w:r>
          </w:p>
        </w:tc>
        <w:tc>
          <w:tcPr>
            <w:tcW w:w="10440" w:type="dxa"/>
            <w:shd w:val="clear" w:color="auto" w:fill="C2D69B" w:themeFill="accent3" w:themeFillTint="99"/>
          </w:tcPr>
          <w:p w14:paraId="5A7874A7" w14:textId="77777777" w:rsidR="00B17BA6" w:rsidRPr="0090463A"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90463A">
              <w:rPr>
                <w:sz w:val="24"/>
                <w:szCs w:val="24"/>
              </w:rPr>
              <w:t>Instructional Notes</w:t>
            </w:r>
          </w:p>
        </w:tc>
      </w:tr>
      <w:tr w:rsidR="00B17BA6" w14:paraId="4E9F09C5" w14:textId="77777777" w:rsidTr="118149B3">
        <w:tc>
          <w:tcPr>
            <w:tcW w:w="1705" w:type="dxa"/>
          </w:tcPr>
          <w:p w14:paraId="193A2253" w14:textId="5050CF43" w:rsidR="00B17BA6" w:rsidRPr="0090463A" w:rsidRDefault="31EE8CBA" w:rsidP="001615B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90463A">
              <w:rPr>
                <w:sz w:val="24"/>
                <w:szCs w:val="24"/>
              </w:rPr>
              <w:t>7.4</w:t>
            </w:r>
          </w:p>
        </w:tc>
        <w:tc>
          <w:tcPr>
            <w:tcW w:w="2340" w:type="dxa"/>
          </w:tcPr>
          <w:p w14:paraId="66438425" w14:textId="04A32991" w:rsidR="00B17BA6" w:rsidRPr="0090463A" w:rsidRDefault="31EE8CBA" w:rsidP="001615B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90463A">
              <w:rPr>
                <w:sz w:val="24"/>
                <w:szCs w:val="24"/>
              </w:rPr>
              <w:t>7.MG.1</w:t>
            </w:r>
          </w:p>
        </w:tc>
        <w:tc>
          <w:tcPr>
            <w:tcW w:w="10440" w:type="dxa"/>
          </w:tcPr>
          <w:p w14:paraId="47316FE9" w14:textId="27E43DB2" w:rsidR="00B17BA6" w:rsidRPr="0090463A" w:rsidRDefault="066F319B" w:rsidP="001615BE">
            <w:pPr>
              <w:pStyle w:val="VHead2"/>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sidRPr="0090463A">
              <w:rPr>
                <w:b w:val="0"/>
                <w:sz w:val="24"/>
                <w:szCs w:val="24"/>
              </w:rPr>
              <w:t xml:space="preserve">While investigating right cylinders and rectangular prisms, </w:t>
            </w:r>
            <w:r w:rsidR="056DFDB5" w:rsidRPr="0090463A">
              <w:rPr>
                <w:b w:val="0"/>
                <w:sz w:val="24"/>
                <w:szCs w:val="24"/>
              </w:rPr>
              <w:t>provide</w:t>
            </w:r>
            <w:r w:rsidRPr="0090463A">
              <w:rPr>
                <w:b w:val="0"/>
                <w:sz w:val="24"/>
                <w:szCs w:val="24"/>
              </w:rPr>
              <w:t xml:space="preserve"> opportunities </w:t>
            </w:r>
            <w:r w:rsidR="5978A98D" w:rsidRPr="0090463A">
              <w:rPr>
                <w:b w:val="0"/>
                <w:sz w:val="24"/>
                <w:szCs w:val="24"/>
              </w:rPr>
              <w:t>for students to develop the formulas for volume and surface area and apply the formulas in context</w:t>
            </w:r>
            <w:r w:rsidR="3C60EE92" w:rsidRPr="0090463A">
              <w:rPr>
                <w:b w:val="0"/>
                <w:sz w:val="24"/>
                <w:szCs w:val="24"/>
              </w:rPr>
              <w:t xml:space="preserve"> including how </w:t>
            </w:r>
            <w:r w:rsidR="56C273F0" w:rsidRPr="0090463A">
              <w:rPr>
                <w:b w:val="0"/>
                <w:sz w:val="24"/>
                <w:szCs w:val="24"/>
              </w:rPr>
              <w:t>changing one attribute of a rectangular prisms affects the volume</w:t>
            </w:r>
            <w:r w:rsidR="232F5D42" w:rsidRPr="0090463A">
              <w:rPr>
                <w:b w:val="0"/>
                <w:sz w:val="24"/>
                <w:szCs w:val="24"/>
              </w:rPr>
              <w:t xml:space="preserve"> and surface area.</w:t>
            </w:r>
          </w:p>
        </w:tc>
      </w:tr>
      <w:tr w:rsidR="00B17BA6" w14:paraId="632F6A67" w14:textId="77777777" w:rsidTr="118149B3">
        <w:tc>
          <w:tcPr>
            <w:tcW w:w="1705" w:type="dxa"/>
          </w:tcPr>
          <w:p w14:paraId="4646B963" w14:textId="632F875A" w:rsidR="00B17BA6" w:rsidRPr="0090463A" w:rsidRDefault="31EE8CBA" w:rsidP="001615B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90463A">
              <w:rPr>
                <w:sz w:val="24"/>
                <w:szCs w:val="24"/>
              </w:rPr>
              <w:t>7.5</w:t>
            </w:r>
          </w:p>
        </w:tc>
        <w:tc>
          <w:tcPr>
            <w:tcW w:w="2340" w:type="dxa"/>
          </w:tcPr>
          <w:p w14:paraId="2242D73E" w14:textId="60A4D974" w:rsidR="00B17BA6" w:rsidRPr="0090463A" w:rsidRDefault="31EE8CBA" w:rsidP="001615B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90463A">
              <w:rPr>
                <w:sz w:val="24"/>
                <w:szCs w:val="24"/>
              </w:rPr>
              <w:t>7.MG.2</w:t>
            </w:r>
            <w:r w:rsidR="00571A7C" w:rsidRPr="0090463A">
              <w:rPr>
                <w:sz w:val="24"/>
                <w:szCs w:val="24"/>
              </w:rPr>
              <w:t>a</w:t>
            </w:r>
            <w:r w:rsidR="00E22885" w:rsidRPr="0090463A">
              <w:rPr>
                <w:sz w:val="24"/>
                <w:szCs w:val="24"/>
              </w:rPr>
              <w:t>,e</w:t>
            </w:r>
          </w:p>
        </w:tc>
        <w:tc>
          <w:tcPr>
            <w:tcW w:w="10440" w:type="dxa"/>
          </w:tcPr>
          <w:p w14:paraId="79483BEA" w14:textId="3652C457" w:rsidR="00B17BA6" w:rsidRPr="0090463A" w:rsidRDefault="344B5A84" w:rsidP="118149B3">
            <w:pPr>
              <w:pStyle w:val="VHead2"/>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sidRPr="0090463A">
              <w:rPr>
                <w:b w:val="0"/>
                <w:sz w:val="24"/>
                <w:szCs w:val="24"/>
              </w:rPr>
              <w:t xml:space="preserve">When students are identifying corresponding angles of similar quadrilaterals and triangles, provide figures that include geometric </w:t>
            </w:r>
            <w:r w:rsidR="646E1136" w:rsidRPr="0090463A">
              <w:rPr>
                <w:b w:val="0"/>
                <w:sz w:val="24"/>
                <w:szCs w:val="24"/>
              </w:rPr>
              <w:t xml:space="preserve">markings.  Additionally, provide students experience recognizing and justifying if two quadrilaterals or triangles are similar using the ratios of the corresponding side lengths.  </w:t>
            </w:r>
          </w:p>
        </w:tc>
      </w:tr>
    </w:tbl>
    <w:p w14:paraId="2D11EEED" w14:textId="1AAEEEE9" w:rsidR="00493D50" w:rsidRDefault="00493D50" w:rsidP="00B17BA6">
      <w:pPr>
        <w:pStyle w:val="VHead2"/>
        <w:jc w:val="left"/>
        <w:rPr>
          <w:sz w:val="24"/>
          <w:szCs w:val="24"/>
        </w:rPr>
      </w:pPr>
    </w:p>
    <w:p w14:paraId="441032FE" w14:textId="77777777" w:rsidR="00493D50" w:rsidRDefault="00493D50">
      <w:pPr>
        <w:pBdr>
          <w:top w:val="none" w:sz="0" w:space="0" w:color="auto"/>
          <w:left w:val="none" w:sz="0" w:space="0" w:color="auto"/>
          <w:bottom w:val="none" w:sz="0" w:space="0" w:color="auto"/>
          <w:right w:val="none" w:sz="0" w:space="0" w:color="auto"/>
          <w:between w:val="none" w:sz="0" w:space="0" w:color="auto"/>
        </w:pBdr>
        <w:spacing w:line="276" w:lineRule="auto"/>
        <w:rPr>
          <w:b/>
          <w:lang w:val="en"/>
        </w:rPr>
      </w:pPr>
      <w:r>
        <w:br w:type="page"/>
      </w:r>
    </w:p>
    <w:p w14:paraId="74DB433A" w14:textId="77777777" w:rsidR="00B17BA6" w:rsidRPr="0090463A" w:rsidRDefault="00B17BA6" w:rsidP="00B17BA6">
      <w:pPr>
        <w:pStyle w:val="VHead2"/>
        <w:jc w:val="left"/>
        <w:rPr>
          <w:sz w:val="24"/>
          <w:szCs w:val="24"/>
        </w:rPr>
      </w:pPr>
    </w:p>
    <w:p w14:paraId="2407B717" w14:textId="77777777" w:rsidR="00B17BA6" w:rsidRPr="0090463A" w:rsidRDefault="00B17BA6" w:rsidP="00B17BA6">
      <w:pPr>
        <w:pStyle w:val="VHead2"/>
        <w:jc w:val="left"/>
        <w:rPr>
          <w:sz w:val="24"/>
          <w:szCs w:val="24"/>
        </w:rPr>
      </w:pPr>
      <w:r w:rsidRPr="0090463A">
        <w:rPr>
          <w:sz w:val="24"/>
          <w:szCs w:val="24"/>
        </w:rPr>
        <w:t>Probability and Statistics</w:t>
      </w:r>
    </w:p>
    <w:tbl>
      <w:tblPr>
        <w:tblStyle w:val="TableGrid"/>
        <w:tblW w:w="14485" w:type="dxa"/>
        <w:tblLook w:val="04A0" w:firstRow="1" w:lastRow="0" w:firstColumn="1" w:lastColumn="0" w:noHBand="0" w:noVBand="1"/>
      </w:tblPr>
      <w:tblGrid>
        <w:gridCol w:w="1705"/>
        <w:gridCol w:w="2340"/>
        <w:gridCol w:w="10440"/>
      </w:tblGrid>
      <w:tr w:rsidR="00B17BA6" w14:paraId="2F1A0093" w14:textId="77777777" w:rsidTr="7C0550D0">
        <w:tc>
          <w:tcPr>
            <w:tcW w:w="1705" w:type="dxa"/>
            <w:shd w:val="clear" w:color="auto" w:fill="C2D69B" w:themeFill="accent3" w:themeFillTint="99"/>
          </w:tcPr>
          <w:p w14:paraId="5707C1A6" w14:textId="77777777" w:rsidR="00B17BA6" w:rsidRPr="0090463A"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90463A">
              <w:rPr>
                <w:sz w:val="24"/>
                <w:szCs w:val="24"/>
              </w:rPr>
              <w:t>2016 SOL</w:t>
            </w:r>
          </w:p>
        </w:tc>
        <w:tc>
          <w:tcPr>
            <w:tcW w:w="2340" w:type="dxa"/>
            <w:shd w:val="clear" w:color="auto" w:fill="C2D69B" w:themeFill="accent3" w:themeFillTint="99"/>
          </w:tcPr>
          <w:p w14:paraId="5F9CE468" w14:textId="46C54DB7" w:rsidR="00B17BA6" w:rsidRPr="0090463A"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90463A">
              <w:rPr>
                <w:sz w:val="24"/>
                <w:szCs w:val="24"/>
              </w:rPr>
              <w:t>2023 SOL</w:t>
            </w:r>
          </w:p>
        </w:tc>
        <w:tc>
          <w:tcPr>
            <w:tcW w:w="10440" w:type="dxa"/>
            <w:shd w:val="clear" w:color="auto" w:fill="C2D69B" w:themeFill="accent3" w:themeFillTint="99"/>
          </w:tcPr>
          <w:p w14:paraId="20F3413A" w14:textId="77777777" w:rsidR="00B17BA6" w:rsidRPr="0090463A"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90463A">
              <w:rPr>
                <w:sz w:val="24"/>
                <w:szCs w:val="24"/>
              </w:rPr>
              <w:t>Instructional Notes</w:t>
            </w:r>
          </w:p>
        </w:tc>
      </w:tr>
      <w:tr w:rsidR="00926F00" w:rsidRPr="008A3226" w14:paraId="76BC979B" w14:textId="77777777" w:rsidTr="7C0550D0">
        <w:tc>
          <w:tcPr>
            <w:tcW w:w="1705" w:type="dxa"/>
          </w:tcPr>
          <w:p w14:paraId="32A49E93" w14:textId="257D7F9F" w:rsidR="00926F00" w:rsidRPr="0090463A" w:rsidRDefault="552031F6" w:rsidP="001615B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90463A">
              <w:rPr>
                <w:sz w:val="24"/>
                <w:szCs w:val="24"/>
              </w:rPr>
              <w:t>7.9</w:t>
            </w:r>
          </w:p>
        </w:tc>
        <w:tc>
          <w:tcPr>
            <w:tcW w:w="2340" w:type="dxa"/>
          </w:tcPr>
          <w:p w14:paraId="70643CF9" w14:textId="614CDBAD" w:rsidR="00926F00" w:rsidRPr="0090463A" w:rsidRDefault="552031F6" w:rsidP="001615B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90463A">
              <w:rPr>
                <w:sz w:val="24"/>
                <w:szCs w:val="24"/>
              </w:rPr>
              <w:t>7.PS.2</w:t>
            </w:r>
          </w:p>
        </w:tc>
        <w:tc>
          <w:tcPr>
            <w:tcW w:w="10440" w:type="dxa"/>
          </w:tcPr>
          <w:p w14:paraId="086B2BFD" w14:textId="2AFBD6A6" w:rsidR="00926F00" w:rsidRPr="0090463A" w:rsidRDefault="552031F6" w:rsidP="001615BE">
            <w:pPr>
              <w:pStyle w:val="VHead2"/>
              <w:jc w:val="left"/>
              <w:rPr>
                <w:rFonts w:eastAsia="Times New Roman"/>
                <w:b w:val="0"/>
                <w:color w:val="000000" w:themeColor="text1"/>
                <w:sz w:val="24"/>
                <w:szCs w:val="24"/>
              </w:rPr>
            </w:pPr>
            <w:r w:rsidRPr="0090463A">
              <w:rPr>
                <w:rFonts w:eastAsia="Times New Roman"/>
                <w:b w:val="0"/>
                <w:color w:val="000000" w:themeColor="text1"/>
                <w:sz w:val="24"/>
                <w:szCs w:val="24"/>
              </w:rPr>
              <w:t xml:space="preserve">While students are representing </w:t>
            </w:r>
            <w:r w:rsidR="748CEDEB" w:rsidRPr="0090463A">
              <w:rPr>
                <w:rFonts w:eastAsia="Times New Roman"/>
                <w:b w:val="0"/>
                <w:color w:val="000000" w:themeColor="text1"/>
                <w:sz w:val="24"/>
                <w:szCs w:val="24"/>
              </w:rPr>
              <w:t xml:space="preserve">numerical </w:t>
            </w:r>
            <w:r w:rsidRPr="0090463A">
              <w:rPr>
                <w:rFonts w:eastAsia="Times New Roman"/>
                <w:b w:val="0"/>
                <w:color w:val="000000" w:themeColor="text1"/>
                <w:sz w:val="24"/>
                <w:szCs w:val="24"/>
              </w:rPr>
              <w:t xml:space="preserve">data and making observations and inferences using </w:t>
            </w:r>
            <w:r w:rsidR="51A3B039" w:rsidRPr="0090463A">
              <w:rPr>
                <w:rFonts w:eastAsia="Times New Roman"/>
                <w:b w:val="0"/>
                <w:color w:val="000000" w:themeColor="text1"/>
                <w:sz w:val="24"/>
                <w:szCs w:val="24"/>
              </w:rPr>
              <w:t>histograms</w:t>
            </w:r>
            <w:r w:rsidRPr="0090463A">
              <w:rPr>
                <w:rFonts w:eastAsia="Times New Roman"/>
                <w:b w:val="0"/>
                <w:color w:val="000000" w:themeColor="text1"/>
                <w:sz w:val="24"/>
                <w:szCs w:val="24"/>
              </w:rPr>
              <w:t>, provide opportunities for students to incorporate additional components of the data cycle, including:</w:t>
            </w:r>
          </w:p>
          <w:p w14:paraId="73D9A189" w14:textId="434B1ADC" w:rsidR="00926F00" w:rsidRPr="0090463A" w:rsidRDefault="3EB69D90" w:rsidP="7C0550D0">
            <w:pPr>
              <w:pStyle w:val="VHead2"/>
              <w:numPr>
                <w:ilvl w:val="0"/>
                <w:numId w:val="2"/>
              </w:numPr>
              <w:jc w:val="left"/>
              <w:rPr>
                <w:rFonts w:eastAsia="Times New Roman"/>
                <w:color w:val="000000" w:themeColor="text1"/>
                <w:sz w:val="24"/>
                <w:szCs w:val="24"/>
              </w:rPr>
            </w:pPr>
            <w:r w:rsidRPr="0090463A">
              <w:rPr>
                <w:rFonts w:eastAsia="Times New Roman"/>
                <w:b w:val="0"/>
                <w:color w:val="000000" w:themeColor="text1"/>
                <w:sz w:val="24"/>
                <w:szCs w:val="24"/>
              </w:rPr>
              <w:t>Formulate questions that require the collection or acquisition of data; and</w:t>
            </w:r>
          </w:p>
          <w:p w14:paraId="60951F71" w14:textId="2FEB12F5" w:rsidR="00926F00" w:rsidRPr="0090463A" w:rsidRDefault="3EB69D90" w:rsidP="7C0550D0">
            <w:pPr>
              <w:pStyle w:val="VHead2"/>
              <w:numPr>
                <w:ilvl w:val="0"/>
                <w:numId w:val="2"/>
              </w:numPr>
              <w:jc w:val="left"/>
              <w:rPr>
                <w:rFonts w:eastAsia="Times New Roman"/>
                <w:color w:val="000000" w:themeColor="text1"/>
                <w:sz w:val="24"/>
                <w:szCs w:val="24"/>
              </w:rPr>
            </w:pPr>
            <w:r w:rsidRPr="0090463A">
              <w:rPr>
                <w:rFonts w:eastAsia="Times New Roman"/>
                <w:b w:val="0"/>
                <w:color w:val="000000" w:themeColor="text1"/>
                <w:sz w:val="24"/>
                <w:szCs w:val="24"/>
              </w:rPr>
              <w:t>Determine the data needed to answer a formulated question and collect the data or acquire existing data using various methods (observations, measurement, surveys, experiments).</w:t>
            </w:r>
          </w:p>
          <w:p w14:paraId="1A05CD4F" w14:textId="56ABB06C" w:rsidR="00926F00" w:rsidRPr="0090463A" w:rsidRDefault="552031F6" w:rsidP="001615BE">
            <w:pPr>
              <w:pStyle w:val="VHead2"/>
              <w:jc w:val="left"/>
              <w:rPr>
                <w:rFonts w:eastAsia="Times New Roman"/>
                <w:color w:val="000000" w:themeColor="text1"/>
                <w:sz w:val="24"/>
                <w:szCs w:val="24"/>
              </w:rPr>
            </w:pPr>
            <w:r w:rsidRPr="0090463A">
              <w:rPr>
                <w:rFonts w:eastAsia="Times New Roman"/>
                <w:b w:val="0"/>
                <w:color w:val="000000" w:themeColor="text1"/>
                <w:sz w:val="24"/>
                <w:szCs w:val="24"/>
              </w:rPr>
              <w:t>Additionally, provide opportunities for students to:</w:t>
            </w:r>
          </w:p>
          <w:p w14:paraId="276260AB" w14:textId="096F6BD9" w:rsidR="00926F00" w:rsidRPr="0090463A" w:rsidRDefault="3EB69D90" w:rsidP="7C0550D0">
            <w:pPr>
              <w:pStyle w:val="VHead2"/>
              <w:numPr>
                <w:ilvl w:val="0"/>
                <w:numId w:val="1"/>
              </w:numPr>
              <w:jc w:val="left"/>
              <w:rPr>
                <w:rFonts w:eastAsia="Times New Roman"/>
                <w:b w:val="0"/>
                <w:color w:val="auto"/>
                <w:sz w:val="24"/>
                <w:szCs w:val="24"/>
              </w:rPr>
            </w:pPr>
            <w:r w:rsidRPr="0090463A">
              <w:rPr>
                <w:rFonts w:eastAsia="Times New Roman"/>
                <w:b w:val="0"/>
                <w:color w:val="auto"/>
                <w:sz w:val="24"/>
                <w:szCs w:val="24"/>
              </w:rPr>
              <w:t xml:space="preserve">Create </w:t>
            </w:r>
            <w:r w:rsidR="04352FC3" w:rsidRPr="0090463A">
              <w:rPr>
                <w:rFonts w:eastAsia="Times New Roman"/>
                <w:b w:val="0"/>
                <w:color w:val="auto"/>
                <w:sz w:val="24"/>
                <w:szCs w:val="24"/>
              </w:rPr>
              <w:t>histogram</w:t>
            </w:r>
            <w:r w:rsidRPr="0090463A">
              <w:rPr>
                <w:rFonts w:eastAsia="Times New Roman"/>
                <w:b w:val="0"/>
                <w:color w:val="auto"/>
                <w:sz w:val="24"/>
                <w:szCs w:val="24"/>
              </w:rPr>
              <w:t>s using technology</w:t>
            </w:r>
            <w:r w:rsidR="00635E55" w:rsidRPr="0090463A">
              <w:rPr>
                <w:rFonts w:eastAsia="Times New Roman"/>
                <w:b w:val="0"/>
                <w:color w:val="auto"/>
                <w:sz w:val="24"/>
                <w:szCs w:val="24"/>
              </w:rPr>
              <w:t>;</w:t>
            </w:r>
          </w:p>
          <w:p w14:paraId="0814ED1B" w14:textId="599432A6" w:rsidR="00926F00" w:rsidRPr="0090463A" w:rsidRDefault="008DF18F" w:rsidP="7C0550D0">
            <w:pPr>
              <w:pStyle w:val="VHead2"/>
              <w:numPr>
                <w:ilvl w:val="0"/>
                <w:numId w:val="1"/>
              </w:numPr>
              <w:jc w:val="left"/>
              <w:rPr>
                <w:rFonts w:eastAsia="Times New Roman"/>
                <w:color w:val="000000" w:themeColor="text1"/>
                <w:sz w:val="24"/>
                <w:szCs w:val="24"/>
              </w:rPr>
            </w:pPr>
            <w:r w:rsidRPr="0090463A">
              <w:rPr>
                <w:rFonts w:eastAsia="Times New Roman"/>
                <w:b w:val="0"/>
                <w:color w:val="000000" w:themeColor="text1"/>
                <w:sz w:val="24"/>
                <w:szCs w:val="24"/>
              </w:rPr>
              <w:t>Determine how sample size and randomness will ensure that the data collected is a sample that is representative of a larger population</w:t>
            </w:r>
            <w:r w:rsidR="00635E55" w:rsidRPr="0090463A">
              <w:rPr>
                <w:rFonts w:eastAsia="Times New Roman"/>
                <w:b w:val="0"/>
                <w:color w:val="000000" w:themeColor="text1"/>
                <w:sz w:val="24"/>
                <w:szCs w:val="24"/>
              </w:rPr>
              <w:t>;</w:t>
            </w:r>
          </w:p>
          <w:p w14:paraId="53279DC7" w14:textId="21B22193" w:rsidR="00926F00" w:rsidRPr="0090463A" w:rsidRDefault="1F270CCA" w:rsidP="7C0550D0">
            <w:pPr>
              <w:pStyle w:val="VHead2"/>
              <w:numPr>
                <w:ilvl w:val="0"/>
                <w:numId w:val="1"/>
              </w:numPr>
              <w:jc w:val="left"/>
              <w:rPr>
                <w:rFonts w:eastAsia="Times New Roman"/>
                <w:b w:val="0"/>
                <w:color w:val="000000" w:themeColor="text1"/>
                <w:sz w:val="24"/>
                <w:szCs w:val="24"/>
              </w:rPr>
            </w:pPr>
            <w:r w:rsidRPr="0090463A">
              <w:rPr>
                <w:rFonts w:eastAsia="Times New Roman"/>
                <w:b w:val="0"/>
                <w:color w:val="000000" w:themeColor="text1"/>
                <w:sz w:val="24"/>
                <w:szCs w:val="24"/>
              </w:rPr>
              <w:t>Investigate and explain how using different intervals could impact the representation of the data in a histogram</w:t>
            </w:r>
            <w:r w:rsidR="41C87F18" w:rsidRPr="0090463A">
              <w:rPr>
                <w:rFonts w:eastAsia="Times New Roman"/>
                <w:b w:val="0"/>
                <w:color w:val="000000" w:themeColor="text1"/>
                <w:sz w:val="24"/>
                <w:szCs w:val="24"/>
              </w:rPr>
              <w:t>;</w:t>
            </w:r>
          </w:p>
          <w:p w14:paraId="3D7C6387" w14:textId="29BC5992" w:rsidR="00926F00" w:rsidRPr="0090463A" w:rsidRDefault="41C87F18" w:rsidP="7C0550D0">
            <w:pPr>
              <w:pStyle w:val="VHead2"/>
              <w:numPr>
                <w:ilvl w:val="0"/>
                <w:numId w:val="1"/>
              </w:numPr>
              <w:jc w:val="left"/>
              <w:rPr>
                <w:rFonts w:eastAsia="Times New Roman"/>
                <w:b w:val="0"/>
                <w:color w:val="000000" w:themeColor="text1"/>
                <w:sz w:val="24"/>
                <w:szCs w:val="24"/>
              </w:rPr>
            </w:pPr>
            <w:r w:rsidRPr="0090463A">
              <w:rPr>
                <w:rFonts w:eastAsia="Times New Roman"/>
                <w:b w:val="0"/>
                <w:color w:val="000000" w:themeColor="text1"/>
                <w:sz w:val="24"/>
                <w:szCs w:val="24"/>
              </w:rPr>
              <w:t>Determine how histograms reveal patterns in data that cannot be easily seen by looking at the corresponding given data set;</w:t>
            </w:r>
            <w:r w:rsidR="00F62632" w:rsidRPr="0090463A">
              <w:rPr>
                <w:rFonts w:eastAsia="Times New Roman"/>
                <w:b w:val="0"/>
                <w:color w:val="000000" w:themeColor="text1"/>
                <w:sz w:val="24"/>
                <w:szCs w:val="24"/>
              </w:rPr>
              <w:t xml:space="preserve"> and</w:t>
            </w:r>
          </w:p>
          <w:p w14:paraId="508418EA" w14:textId="668EDF3A" w:rsidR="00926F00" w:rsidRPr="0090463A" w:rsidRDefault="00F62632" w:rsidP="7C0550D0">
            <w:pPr>
              <w:pStyle w:val="VHead2"/>
              <w:numPr>
                <w:ilvl w:val="0"/>
                <w:numId w:val="1"/>
              </w:numPr>
              <w:jc w:val="left"/>
              <w:rPr>
                <w:rFonts w:eastAsia="Times New Roman"/>
                <w:color w:val="000000" w:themeColor="text1"/>
                <w:sz w:val="24"/>
                <w:szCs w:val="24"/>
              </w:rPr>
            </w:pPr>
            <w:r w:rsidRPr="0090463A">
              <w:rPr>
                <w:rFonts w:eastAsia="Times New Roman"/>
                <w:b w:val="0"/>
                <w:color w:val="000000" w:themeColor="text1"/>
                <w:sz w:val="24"/>
                <w:szCs w:val="24"/>
              </w:rPr>
              <w:t>J</w:t>
            </w:r>
            <w:r w:rsidR="3EB69D90" w:rsidRPr="0090463A">
              <w:rPr>
                <w:rFonts w:eastAsia="Times New Roman"/>
                <w:b w:val="0"/>
                <w:color w:val="000000" w:themeColor="text1"/>
                <w:sz w:val="24"/>
                <w:szCs w:val="24"/>
              </w:rPr>
              <w:t xml:space="preserve">ustify which graphical representation </w:t>
            </w:r>
            <w:r w:rsidR="555814BE" w:rsidRPr="0090463A">
              <w:rPr>
                <w:rFonts w:eastAsia="Times New Roman"/>
                <w:b w:val="0"/>
                <w:color w:val="000000" w:themeColor="text1"/>
                <w:sz w:val="24"/>
                <w:szCs w:val="24"/>
              </w:rPr>
              <w:t>(e.g</w:t>
            </w:r>
            <w:r w:rsidR="66454C6A" w:rsidRPr="012906F4">
              <w:rPr>
                <w:rFonts w:eastAsia="Times New Roman"/>
                <w:b w:val="0"/>
                <w:color w:val="000000" w:themeColor="text1"/>
                <w:sz w:val="24"/>
                <w:szCs w:val="24"/>
              </w:rPr>
              <w:t>.</w:t>
            </w:r>
            <w:r w:rsidR="555814BE" w:rsidRPr="0090463A">
              <w:rPr>
                <w:rFonts w:eastAsia="Times New Roman"/>
                <w:b w:val="0"/>
                <w:color w:val="000000" w:themeColor="text1"/>
                <w:sz w:val="24"/>
                <w:szCs w:val="24"/>
              </w:rPr>
              <w:t xml:space="preserve"> line plots</w:t>
            </w:r>
            <w:r w:rsidR="6A425E7C" w:rsidRPr="012906F4">
              <w:rPr>
                <w:rFonts w:eastAsia="Times New Roman"/>
                <w:b w:val="0"/>
                <w:color w:val="000000" w:themeColor="text1"/>
                <w:sz w:val="24"/>
                <w:szCs w:val="24"/>
              </w:rPr>
              <w:t xml:space="preserve"> (dot plots),</w:t>
            </w:r>
            <w:r w:rsidR="555814BE" w:rsidRPr="0090463A">
              <w:rPr>
                <w:rFonts w:eastAsia="Times New Roman"/>
                <w:b w:val="0"/>
                <w:color w:val="000000" w:themeColor="text1"/>
                <w:sz w:val="24"/>
                <w:szCs w:val="24"/>
              </w:rPr>
              <w:t xml:space="preserve"> circle graphs, and </w:t>
            </w:r>
            <w:r w:rsidR="6A425E7C" w:rsidRPr="012906F4">
              <w:rPr>
                <w:rFonts w:eastAsia="Times New Roman"/>
                <w:b w:val="0"/>
                <w:color w:val="000000" w:themeColor="text1"/>
                <w:sz w:val="24"/>
                <w:szCs w:val="24"/>
              </w:rPr>
              <w:t>stem</w:t>
            </w:r>
            <w:r w:rsidR="66454C6A" w:rsidRPr="012906F4">
              <w:rPr>
                <w:rFonts w:eastAsia="Times New Roman"/>
                <w:b w:val="0"/>
                <w:color w:val="000000" w:themeColor="text1"/>
                <w:sz w:val="24"/>
                <w:szCs w:val="24"/>
              </w:rPr>
              <w:t>-and-leaf plots</w:t>
            </w:r>
            <w:r w:rsidR="555814BE" w:rsidRPr="0090463A">
              <w:rPr>
                <w:rFonts w:eastAsia="Times New Roman"/>
                <w:b w:val="0"/>
                <w:color w:val="000000" w:themeColor="text1"/>
                <w:sz w:val="24"/>
                <w:szCs w:val="24"/>
              </w:rPr>
              <w:t>)</w:t>
            </w:r>
            <w:r w:rsidR="3EB69D90" w:rsidRPr="0090463A">
              <w:rPr>
                <w:rFonts w:eastAsia="Times New Roman"/>
                <w:b w:val="0"/>
                <w:color w:val="000000" w:themeColor="text1"/>
                <w:sz w:val="24"/>
                <w:szCs w:val="24"/>
              </w:rPr>
              <w:t xml:space="preserve"> best represents the data</w:t>
            </w:r>
            <w:r w:rsidRPr="0090463A">
              <w:rPr>
                <w:rFonts w:eastAsia="Times New Roman"/>
                <w:b w:val="0"/>
                <w:color w:val="000000" w:themeColor="text1"/>
                <w:sz w:val="24"/>
                <w:szCs w:val="24"/>
              </w:rPr>
              <w:t>.</w:t>
            </w:r>
          </w:p>
        </w:tc>
      </w:tr>
    </w:tbl>
    <w:p w14:paraId="71B54154" w14:textId="69F3B48E" w:rsidR="001615BE" w:rsidRDefault="001615BE"/>
    <w:p w14:paraId="7745D0C2" w14:textId="77777777" w:rsidR="00B17BA6" w:rsidRPr="0090463A" w:rsidRDefault="00B17BA6" w:rsidP="00B17BA6">
      <w:pPr>
        <w:pStyle w:val="VHead2"/>
        <w:jc w:val="left"/>
        <w:rPr>
          <w:sz w:val="24"/>
          <w:szCs w:val="24"/>
        </w:rPr>
      </w:pPr>
      <w:r w:rsidRPr="0090463A">
        <w:rPr>
          <w:sz w:val="24"/>
          <w:szCs w:val="24"/>
        </w:rPr>
        <w:t>Patterns, Functions, and Algebra</w:t>
      </w:r>
    </w:p>
    <w:tbl>
      <w:tblPr>
        <w:tblStyle w:val="TableGrid"/>
        <w:tblW w:w="14485" w:type="dxa"/>
        <w:tblLook w:val="04A0" w:firstRow="1" w:lastRow="0" w:firstColumn="1" w:lastColumn="0" w:noHBand="0" w:noVBand="1"/>
      </w:tblPr>
      <w:tblGrid>
        <w:gridCol w:w="1705"/>
        <w:gridCol w:w="2340"/>
        <w:gridCol w:w="10440"/>
      </w:tblGrid>
      <w:tr w:rsidR="00B17BA6" w14:paraId="2884F06E" w14:textId="77777777" w:rsidTr="00287CE2">
        <w:trPr>
          <w:tblHeader/>
        </w:trPr>
        <w:tc>
          <w:tcPr>
            <w:tcW w:w="1705" w:type="dxa"/>
            <w:shd w:val="clear" w:color="auto" w:fill="C2D69B" w:themeFill="accent3" w:themeFillTint="99"/>
          </w:tcPr>
          <w:p w14:paraId="4C668DC6" w14:textId="77777777" w:rsidR="00B17BA6" w:rsidRPr="0090463A"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90463A">
              <w:rPr>
                <w:sz w:val="24"/>
                <w:szCs w:val="24"/>
              </w:rPr>
              <w:t>2016 SOL</w:t>
            </w:r>
          </w:p>
        </w:tc>
        <w:tc>
          <w:tcPr>
            <w:tcW w:w="2340" w:type="dxa"/>
            <w:shd w:val="clear" w:color="auto" w:fill="C2D69B" w:themeFill="accent3" w:themeFillTint="99"/>
          </w:tcPr>
          <w:p w14:paraId="1559C2F8" w14:textId="6B1DE955" w:rsidR="00B17BA6" w:rsidRPr="0090463A"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90463A">
              <w:rPr>
                <w:sz w:val="24"/>
                <w:szCs w:val="24"/>
              </w:rPr>
              <w:t>2023 SOL</w:t>
            </w:r>
          </w:p>
        </w:tc>
        <w:tc>
          <w:tcPr>
            <w:tcW w:w="10440" w:type="dxa"/>
            <w:shd w:val="clear" w:color="auto" w:fill="C2D69B" w:themeFill="accent3" w:themeFillTint="99"/>
          </w:tcPr>
          <w:p w14:paraId="2F9955FF" w14:textId="77777777" w:rsidR="00B17BA6" w:rsidRPr="0090463A"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90463A">
              <w:rPr>
                <w:sz w:val="24"/>
                <w:szCs w:val="24"/>
              </w:rPr>
              <w:t>Instructional Notes</w:t>
            </w:r>
          </w:p>
        </w:tc>
      </w:tr>
      <w:tr w:rsidR="00B17BA6" w14:paraId="3179C222" w14:textId="77777777" w:rsidTr="08B894F2">
        <w:tc>
          <w:tcPr>
            <w:tcW w:w="1705" w:type="dxa"/>
          </w:tcPr>
          <w:p w14:paraId="0F0868CE" w14:textId="53BA0114" w:rsidR="00B17BA6" w:rsidRPr="0090463A" w:rsidRDefault="6B2E0F6D" w:rsidP="001615B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90463A">
              <w:rPr>
                <w:sz w:val="24"/>
                <w:szCs w:val="24"/>
              </w:rPr>
              <w:t>7.10</w:t>
            </w:r>
          </w:p>
        </w:tc>
        <w:tc>
          <w:tcPr>
            <w:tcW w:w="2340" w:type="dxa"/>
          </w:tcPr>
          <w:p w14:paraId="50A96D31" w14:textId="4CBB9163" w:rsidR="00B17BA6" w:rsidRPr="0090463A" w:rsidRDefault="6B2E0F6D" w:rsidP="001615B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90463A">
              <w:rPr>
                <w:sz w:val="24"/>
                <w:szCs w:val="24"/>
              </w:rPr>
              <w:t>7.PFA.1</w:t>
            </w:r>
          </w:p>
        </w:tc>
        <w:tc>
          <w:tcPr>
            <w:tcW w:w="10440" w:type="dxa"/>
          </w:tcPr>
          <w:p w14:paraId="0ECEE026" w14:textId="082AFE79" w:rsidR="00B17BA6" w:rsidRPr="0090463A" w:rsidRDefault="00CE3A36" w:rsidP="001615BE">
            <w:pPr>
              <w:pStyle w:val="VHead2"/>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sidRPr="0090463A">
              <w:rPr>
                <w:b w:val="0"/>
                <w:sz w:val="24"/>
                <w:szCs w:val="24"/>
              </w:rPr>
              <w:t>Provide students with graphs</w:t>
            </w:r>
            <w:r w:rsidR="00C32AE6" w:rsidRPr="0090463A">
              <w:rPr>
                <w:b w:val="0"/>
                <w:sz w:val="24"/>
                <w:szCs w:val="24"/>
              </w:rPr>
              <w:t xml:space="preserve"> in addition to </w:t>
            </w:r>
            <w:r w:rsidR="001C700F" w:rsidRPr="0090463A">
              <w:rPr>
                <w:b w:val="0"/>
                <w:sz w:val="24"/>
                <w:szCs w:val="24"/>
              </w:rPr>
              <w:t>tables of values and practical situations w</w:t>
            </w:r>
            <w:r w:rsidR="001D423F" w:rsidRPr="0090463A">
              <w:rPr>
                <w:b w:val="0"/>
                <w:sz w:val="24"/>
                <w:szCs w:val="24"/>
              </w:rPr>
              <w:t xml:space="preserve">hen students are </w:t>
            </w:r>
            <w:r w:rsidR="009F730F" w:rsidRPr="0090463A">
              <w:rPr>
                <w:b w:val="0"/>
                <w:sz w:val="24"/>
                <w:szCs w:val="24"/>
              </w:rPr>
              <w:t xml:space="preserve">determining the slope as a rate of change in a proportional relationship between </w:t>
            </w:r>
            <w:r w:rsidR="002A37F8" w:rsidRPr="0090463A">
              <w:rPr>
                <w:b w:val="0"/>
                <w:sz w:val="24"/>
                <w:szCs w:val="24"/>
              </w:rPr>
              <w:t xml:space="preserve">two quantities </w:t>
            </w:r>
            <w:r w:rsidR="00F513E2" w:rsidRPr="0090463A">
              <w:rPr>
                <w:b w:val="0"/>
                <w:sz w:val="24"/>
                <w:szCs w:val="24"/>
              </w:rPr>
              <w:t xml:space="preserve">and writing an equation in </w:t>
            </w:r>
            <w:r w:rsidR="00F513E2" w:rsidRPr="0090463A">
              <w:rPr>
                <w:b w:val="0"/>
                <w:i/>
                <w:sz w:val="24"/>
                <w:szCs w:val="24"/>
              </w:rPr>
              <w:t>y=mx</w:t>
            </w:r>
            <w:r w:rsidR="00F513E2" w:rsidRPr="0090463A">
              <w:rPr>
                <w:b w:val="0"/>
                <w:sz w:val="24"/>
                <w:szCs w:val="24"/>
              </w:rPr>
              <w:t xml:space="preserve"> form. </w:t>
            </w:r>
            <w:r w:rsidR="00C32AE6" w:rsidRPr="0090463A">
              <w:rPr>
                <w:b w:val="0"/>
                <w:sz w:val="24"/>
                <w:szCs w:val="24"/>
              </w:rPr>
              <w:t>Include</w:t>
            </w:r>
            <w:r w:rsidR="00A06556" w:rsidRPr="0090463A">
              <w:rPr>
                <w:b w:val="0"/>
                <w:sz w:val="24"/>
                <w:szCs w:val="24"/>
              </w:rPr>
              <w:t xml:space="preserve"> </w:t>
            </w:r>
            <w:r w:rsidR="005A4908" w:rsidRPr="0090463A">
              <w:rPr>
                <w:b w:val="0"/>
                <w:sz w:val="24"/>
                <w:szCs w:val="24"/>
              </w:rPr>
              <w:t xml:space="preserve">graphs, tables of values, and </w:t>
            </w:r>
            <w:r w:rsidR="0042622E" w:rsidRPr="0090463A">
              <w:rPr>
                <w:b w:val="0"/>
                <w:sz w:val="24"/>
                <w:szCs w:val="24"/>
              </w:rPr>
              <w:t xml:space="preserve">equations in the form </w:t>
            </w:r>
            <w:r w:rsidR="0042622E" w:rsidRPr="012906F4">
              <w:rPr>
                <w:b w:val="0"/>
                <w:i/>
                <w:sz w:val="24"/>
                <w:szCs w:val="24"/>
              </w:rPr>
              <w:t>y=mx</w:t>
            </w:r>
            <w:r w:rsidR="00871E3D" w:rsidRPr="0090463A">
              <w:rPr>
                <w:b w:val="0"/>
                <w:sz w:val="24"/>
                <w:szCs w:val="24"/>
              </w:rPr>
              <w:t xml:space="preserve"> </w:t>
            </w:r>
            <w:r w:rsidR="00C32AE6" w:rsidRPr="0090463A">
              <w:rPr>
                <w:b w:val="0"/>
                <w:sz w:val="24"/>
                <w:szCs w:val="24"/>
              </w:rPr>
              <w:t>where slope is both positive and negative</w:t>
            </w:r>
            <w:r w:rsidR="00A06556" w:rsidRPr="0090463A">
              <w:rPr>
                <w:b w:val="0"/>
                <w:sz w:val="24"/>
                <w:szCs w:val="24"/>
              </w:rPr>
              <w:t xml:space="preserve">. </w:t>
            </w:r>
            <w:r w:rsidR="00A707A0" w:rsidRPr="0090463A">
              <w:rPr>
                <w:b w:val="0"/>
                <w:sz w:val="24"/>
                <w:szCs w:val="24"/>
              </w:rPr>
              <w:t>P</w:t>
            </w:r>
            <w:r w:rsidR="6776A5EA" w:rsidRPr="0090463A">
              <w:rPr>
                <w:b w:val="0"/>
                <w:sz w:val="24"/>
                <w:szCs w:val="24"/>
              </w:rPr>
              <w:t xml:space="preserve">rovide opportunities for students to </w:t>
            </w:r>
            <w:r w:rsidR="248F820D" w:rsidRPr="0090463A">
              <w:rPr>
                <w:b w:val="0"/>
                <w:sz w:val="24"/>
                <w:szCs w:val="24"/>
              </w:rPr>
              <w:t>identify and describe a line with a slope that is positive, negative, or zero (0), given a graph.</w:t>
            </w:r>
          </w:p>
        </w:tc>
      </w:tr>
      <w:tr w:rsidR="00B17BA6" w14:paraId="79BB00FA" w14:textId="77777777" w:rsidTr="08B894F2">
        <w:tc>
          <w:tcPr>
            <w:tcW w:w="1705" w:type="dxa"/>
          </w:tcPr>
          <w:p w14:paraId="27197243" w14:textId="0E1E6A82" w:rsidR="00B17BA6" w:rsidRPr="0090463A" w:rsidRDefault="64C0704D" w:rsidP="001615B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90463A">
              <w:rPr>
                <w:sz w:val="24"/>
                <w:szCs w:val="24"/>
              </w:rPr>
              <w:t>7.11</w:t>
            </w:r>
          </w:p>
        </w:tc>
        <w:tc>
          <w:tcPr>
            <w:tcW w:w="2340" w:type="dxa"/>
          </w:tcPr>
          <w:p w14:paraId="16413B00" w14:textId="2528C1AB" w:rsidR="00B17BA6" w:rsidRPr="0090463A" w:rsidRDefault="64C0704D" w:rsidP="001615B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90463A">
              <w:rPr>
                <w:sz w:val="24"/>
                <w:szCs w:val="24"/>
              </w:rPr>
              <w:t>7.PFA.2</w:t>
            </w:r>
            <w:r w:rsidR="005D7866" w:rsidRPr="0090463A">
              <w:rPr>
                <w:sz w:val="24"/>
                <w:szCs w:val="24"/>
              </w:rPr>
              <w:t>c</w:t>
            </w:r>
          </w:p>
        </w:tc>
        <w:tc>
          <w:tcPr>
            <w:tcW w:w="10440" w:type="dxa"/>
          </w:tcPr>
          <w:p w14:paraId="5F812D7D" w14:textId="663E8C79" w:rsidR="00B17BA6" w:rsidRPr="0090463A" w:rsidRDefault="1BD4C12C" w:rsidP="08B894F2">
            <w:pPr>
              <w:pStyle w:val="VHead2"/>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sidRPr="0090463A">
              <w:rPr>
                <w:b w:val="0"/>
                <w:sz w:val="24"/>
                <w:szCs w:val="24"/>
              </w:rPr>
              <w:t xml:space="preserve">While students are evaluating algebraic expressions, </w:t>
            </w:r>
            <w:r w:rsidR="39CC18F6" w:rsidRPr="0090463A">
              <w:rPr>
                <w:b w:val="0"/>
                <w:sz w:val="24"/>
                <w:szCs w:val="24"/>
              </w:rPr>
              <w:t xml:space="preserve">provide opportunities for students to simplify and generate equivalent algebraic expressions that may require combining like terms.  </w:t>
            </w:r>
          </w:p>
        </w:tc>
      </w:tr>
      <w:tr w:rsidR="00B17BA6" w14:paraId="604C6E43" w14:textId="77777777" w:rsidTr="08B894F2">
        <w:tc>
          <w:tcPr>
            <w:tcW w:w="1705" w:type="dxa"/>
          </w:tcPr>
          <w:p w14:paraId="4D4058C7" w14:textId="42AFF6F7" w:rsidR="00B17BA6" w:rsidRPr="0090463A" w:rsidRDefault="2D8BD6CF" w:rsidP="001615B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90463A">
              <w:rPr>
                <w:sz w:val="24"/>
                <w:szCs w:val="24"/>
              </w:rPr>
              <w:t>7.12</w:t>
            </w:r>
          </w:p>
        </w:tc>
        <w:tc>
          <w:tcPr>
            <w:tcW w:w="2340" w:type="dxa"/>
          </w:tcPr>
          <w:p w14:paraId="389AAE9F" w14:textId="72E7236A" w:rsidR="00B17BA6" w:rsidRPr="0090463A" w:rsidRDefault="2D8BD6CF" w:rsidP="001615B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90463A">
              <w:rPr>
                <w:sz w:val="24"/>
                <w:szCs w:val="24"/>
              </w:rPr>
              <w:t>7.PFA.3</w:t>
            </w:r>
            <w:r w:rsidR="00895C42" w:rsidRPr="0090463A">
              <w:rPr>
                <w:sz w:val="24"/>
                <w:szCs w:val="24"/>
              </w:rPr>
              <w:t>d</w:t>
            </w:r>
            <w:r w:rsidR="004B148C" w:rsidRPr="0090463A">
              <w:rPr>
                <w:sz w:val="24"/>
                <w:szCs w:val="24"/>
              </w:rPr>
              <w:t>,</w:t>
            </w:r>
            <w:r w:rsidR="00895C42" w:rsidRPr="0090463A">
              <w:rPr>
                <w:sz w:val="24"/>
                <w:szCs w:val="24"/>
              </w:rPr>
              <w:t>e</w:t>
            </w:r>
          </w:p>
        </w:tc>
        <w:tc>
          <w:tcPr>
            <w:tcW w:w="10440" w:type="dxa"/>
          </w:tcPr>
          <w:p w14:paraId="2129EBEC" w14:textId="4E699E02" w:rsidR="00B17BA6" w:rsidRPr="0090463A" w:rsidRDefault="79BB05D1" w:rsidP="001615BE">
            <w:pPr>
              <w:pStyle w:val="VHead2"/>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sidRPr="0090463A">
              <w:rPr>
                <w:b w:val="0"/>
                <w:sz w:val="24"/>
                <w:szCs w:val="24"/>
              </w:rPr>
              <w:t xml:space="preserve">As students are writing verbal expressions and sentences as algebraic expressions and equations, </w:t>
            </w:r>
            <w:r w:rsidR="6BD22258" w:rsidRPr="0090463A">
              <w:rPr>
                <w:b w:val="0"/>
                <w:sz w:val="24"/>
                <w:szCs w:val="24"/>
              </w:rPr>
              <w:t xml:space="preserve">provide opportunities for students to write </w:t>
            </w:r>
            <w:r w:rsidR="000B259B" w:rsidRPr="0090463A">
              <w:rPr>
                <w:b w:val="0"/>
                <w:sz w:val="24"/>
                <w:szCs w:val="24"/>
              </w:rPr>
              <w:t xml:space="preserve">two-step </w:t>
            </w:r>
            <w:r w:rsidR="6BD22258" w:rsidRPr="0090463A">
              <w:rPr>
                <w:b w:val="0"/>
                <w:sz w:val="24"/>
                <w:szCs w:val="24"/>
              </w:rPr>
              <w:t>equations for verbal situations in context.  Additionally, provide opportunities for students to create a</w:t>
            </w:r>
            <w:r w:rsidR="7E81B362" w:rsidRPr="0090463A">
              <w:rPr>
                <w:b w:val="0"/>
                <w:sz w:val="24"/>
                <w:szCs w:val="24"/>
              </w:rPr>
              <w:t xml:space="preserve"> situation in context given a two-step linear equation.  </w:t>
            </w:r>
          </w:p>
        </w:tc>
      </w:tr>
      <w:tr w:rsidR="00B17BA6" w14:paraId="19045041" w14:textId="77777777" w:rsidTr="08B894F2">
        <w:tc>
          <w:tcPr>
            <w:tcW w:w="1705" w:type="dxa"/>
          </w:tcPr>
          <w:p w14:paraId="360B6DBF" w14:textId="4AA5877B" w:rsidR="00B17BA6" w:rsidRPr="0090463A" w:rsidRDefault="2D8BD6CF" w:rsidP="001615B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90463A">
              <w:rPr>
                <w:sz w:val="24"/>
                <w:szCs w:val="24"/>
              </w:rPr>
              <w:lastRenderedPageBreak/>
              <w:t>7.13</w:t>
            </w:r>
          </w:p>
        </w:tc>
        <w:tc>
          <w:tcPr>
            <w:tcW w:w="2340" w:type="dxa"/>
          </w:tcPr>
          <w:p w14:paraId="6F7E0CE7" w14:textId="12A13915" w:rsidR="00B17BA6" w:rsidRPr="0090463A" w:rsidRDefault="2D8BD6CF" w:rsidP="001615BE">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90463A">
              <w:rPr>
                <w:sz w:val="24"/>
                <w:szCs w:val="24"/>
              </w:rPr>
              <w:t>7.PFA.4</w:t>
            </w:r>
            <w:r w:rsidR="00496B34" w:rsidRPr="0090463A">
              <w:rPr>
                <w:sz w:val="24"/>
                <w:szCs w:val="24"/>
              </w:rPr>
              <w:t>b,</w:t>
            </w:r>
            <w:r w:rsidR="006639AA" w:rsidRPr="0090463A">
              <w:rPr>
                <w:sz w:val="24"/>
                <w:szCs w:val="24"/>
              </w:rPr>
              <w:t>d,e</w:t>
            </w:r>
            <w:r w:rsidR="00A0216E" w:rsidRPr="0090463A">
              <w:rPr>
                <w:sz w:val="24"/>
                <w:szCs w:val="24"/>
              </w:rPr>
              <w:t>,h</w:t>
            </w:r>
          </w:p>
        </w:tc>
        <w:tc>
          <w:tcPr>
            <w:tcW w:w="10440" w:type="dxa"/>
          </w:tcPr>
          <w:p w14:paraId="51C1F5EC" w14:textId="5F148472" w:rsidR="00B17BA6" w:rsidRPr="0090463A" w:rsidRDefault="086EE70B" w:rsidP="001615BE">
            <w:pPr>
              <w:pStyle w:val="VHead2"/>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sidRPr="0090463A">
              <w:rPr>
                <w:b w:val="0"/>
                <w:sz w:val="24"/>
                <w:szCs w:val="24"/>
              </w:rPr>
              <w:t>While students are solving one and two-step inequalities, provide opportunities for th</w:t>
            </w:r>
            <w:r w:rsidR="67C159A3" w:rsidRPr="0090463A">
              <w:rPr>
                <w:b w:val="0"/>
                <w:sz w:val="24"/>
                <w:szCs w:val="24"/>
              </w:rPr>
              <w:t xml:space="preserve">em to investigate and explain how the solution set is affected by multiplying or dividing both sides of an inequality statement by a rational number less than zero.  Additionally, </w:t>
            </w:r>
            <w:r w:rsidR="773682EE" w:rsidRPr="0090463A">
              <w:rPr>
                <w:b w:val="0"/>
                <w:sz w:val="24"/>
                <w:szCs w:val="24"/>
              </w:rPr>
              <w:t>provide opportunities for students to c</w:t>
            </w:r>
            <w:r w:rsidR="67C159A3" w:rsidRPr="0090463A">
              <w:rPr>
                <w:b w:val="0"/>
                <w:sz w:val="24"/>
                <w:szCs w:val="24"/>
              </w:rPr>
              <w:t>reate v</w:t>
            </w:r>
            <w:r w:rsidR="7F521B09" w:rsidRPr="0090463A">
              <w:rPr>
                <w:b w:val="0"/>
                <w:sz w:val="24"/>
                <w:szCs w:val="24"/>
              </w:rPr>
              <w:t xml:space="preserve">erbal situations in context given a one or two-step inequality and </w:t>
            </w:r>
            <w:r w:rsidR="7D9D1952" w:rsidRPr="0090463A">
              <w:rPr>
                <w:b w:val="0"/>
                <w:sz w:val="24"/>
                <w:szCs w:val="24"/>
              </w:rPr>
              <w:t xml:space="preserve">to </w:t>
            </w:r>
            <w:r w:rsidR="7F521B09" w:rsidRPr="0090463A">
              <w:rPr>
                <w:b w:val="0"/>
                <w:sz w:val="24"/>
                <w:szCs w:val="24"/>
              </w:rPr>
              <w:t xml:space="preserve">write inequalities to represent verbal situations in context. </w:t>
            </w:r>
            <w:r w:rsidR="0068704D" w:rsidRPr="0090463A">
              <w:rPr>
                <w:b w:val="0"/>
                <w:sz w:val="24"/>
                <w:szCs w:val="24"/>
              </w:rPr>
              <w:t>Encourage students to describe the differences and similarities between solving equations and inequalities.</w:t>
            </w:r>
          </w:p>
        </w:tc>
      </w:tr>
    </w:tbl>
    <w:p w14:paraId="7E79FF76" w14:textId="0347A822" w:rsidR="00E534B7" w:rsidRPr="0090463A" w:rsidRDefault="00E534B7" w:rsidP="2B1FD7A0">
      <w:pPr>
        <w:pStyle w:val="VHead2"/>
        <w:jc w:val="left"/>
        <w:rPr>
          <w:sz w:val="24"/>
          <w:szCs w:val="24"/>
        </w:rPr>
      </w:pPr>
    </w:p>
    <w:sectPr w:rsidR="00E534B7" w:rsidRPr="0090463A" w:rsidSect="00047198">
      <w:headerReference w:type="even" r:id="rId17"/>
      <w:footerReference w:type="even" r:id="rId18"/>
      <w:footerReference w:type="default" r:id="rId19"/>
      <w:headerReference w:type="first" r:id="rId20"/>
      <w:footerReference w:type="first" r:id="rId21"/>
      <w:pgSz w:w="15840" w:h="12240" w:orient="landscape"/>
      <w:pgMar w:top="1440" w:right="720" w:bottom="720" w:left="72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E22A" w14:textId="77777777" w:rsidR="00625346" w:rsidRDefault="00625346">
      <w:r>
        <w:separator/>
      </w:r>
    </w:p>
  </w:endnote>
  <w:endnote w:type="continuationSeparator" w:id="0">
    <w:p w14:paraId="0343A3A6" w14:textId="77777777" w:rsidR="00625346" w:rsidRDefault="00625346">
      <w:r>
        <w:continuationSeparator/>
      </w:r>
    </w:p>
  </w:endnote>
  <w:endnote w:type="continuationNotice" w:id="1">
    <w:p w14:paraId="272F36AE" w14:textId="77777777" w:rsidR="00625346" w:rsidRDefault="00625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4" w14:textId="22FB6B09"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64452"/>
      <w:docPartObj>
        <w:docPartGallery w:val="Page Numbers (Bottom of Page)"/>
        <w:docPartUnique/>
      </w:docPartObj>
    </w:sdtPr>
    <w:sdtEndPr>
      <w:rPr>
        <w:noProof/>
      </w:rPr>
    </w:sdtEndPr>
    <w:sdtContent>
      <w:p w14:paraId="183A0006" w14:textId="77777777" w:rsidR="004E689A" w:rsidRPr="004E689A" w:rsidRDefault="004E689A" w:rsidP="00283AC9">
        <w:pPr>
          <w:pStyle w:val="Footer"/>
          <w:rPr>
            <w:sz w:val="12"/>
            <w:szCs w:val="12"/>
          </w:rPr>
        </w:pPr>
      </w:p>
      <w:p w14:paraId="4C799142" w14:textId="72934E91" w:rsidR="0006556D" w:rsidRDefault="006E0E48" w:rsidP="00283AC9">
        <w:pPr>
          <w:pStyle w:val="Footer"/>
        </w:pPr>
        <w:r>
          <w:t>Virginia Department of Education, September 2023</w:t>
        </w:r>
        <w:r w:rsidR="00F72BB3">
          <w:tab/>
        </w:r>
        <w:r w:rsidR="00F72BB3">
          <w:tab/>
        </w:r>
        <w:r w:rsidR="00F72BB3">
          <w:tab/>
        </w:r>
        <w:r w:rsidR="00F72BB3">
          <w:tab/>
        </w:r>
        <w:r w:rsidR="00F72BB3">
          <w:tab/>
        </w:r>
        <w:r w:rsidR="00F72BB3">
          <w:tab/>
        </w:r>
        <w:r w:rsidR="00F72BB3">
          <w:tab/>
        </w:r>
        <w:r w:rsidR="00854CCA">
          <w:t xml:space="preserve">Page </w:t>
        </w:r>
        <w:r w:rsidR="0006556D">
          <w:fldChar w:fldCharType="begin"/>
        </w:r>
        <w:r w:rsidR="0006556D">
          <w:instrText xml:space="preserve"> PAGE   \* MERGEFORMAT </w:instrText>
        </w:r>
        <w:r w:rsidR="0006556D">
          <w:fldChar w:fldCharType="separate"/>
        </w:r>
        <w:r w:rsidR="0006556D">
          <w:rPr>
            <w:noProof/>
          </w:rPr>
          <w:t>2</w:t>
        </w:r>
        <w:r w:rsidR="0006556D">
          <w:rPr>
            <w:noProof/>
          </w:rPr>
          <w:fldChar w:fldCharType="end"/>
        </w:r>
      </w:p>
    </w:sdtContent>
  </w:sdt>
  <w:p w14:paraId="09B1FA85" w14:textId="3CF98BEB" w:rsidR="000D4035" w:rsidRDefault="000D4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083E" w14:textId="77777777" w:rsidR="00625346" w:rsidRDefault="00625346">
      <w:r>
        <w:separator/>
      </w:r>
    </w:p>
  </w:footnote>
  <w:footnote w:type="continuationSeparator" w:id="0">
    <w:p w14:paraId="71947DE6" w14:textId="77777777" w:rsidR="00625346" w:rsidRDefault="00625346">
      <w:r>
        <w:continuationSeparator/>
      </w:r>
    </w:p>
  </w:footnote>
  <w:footnote w:type="continuationNotice" w:id="1">
    <w:p w14:paraId="16A992F8" w14:textId="77777777" w:rsidR="00625346" w:rsidRDefault="00625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2"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7C0C5C49"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839"/>
    <w:multiLevelType w:val="multilevel"/>
    <w:tmpl w:val="90708186"/>
    <w:name w:val="CF"/>
    <w:lvl w:ilvl="0">
      <w:start w:val="1"/>
      <w:numFmt w:val="none"/>
      <w:pStyle w:val="CFTSWBT"/>
      <w:lvlText w:val="%1"/>
      <w:lvlJc w:val="left"/>
      <w:pPr>
        <w:ind w:left="-90" w:firstLine="360"/>
      </w:pPr>
      <w:rPr>
        <w:rFonts w:hint="default"/>
        <w:u w:val="none"/>
      </w:rPr>
    </w:lvl>
    <w:lvl w:ilvl="1">
      <w:start w:val="1"/>
      <w:numFmt w:val="lowerLetter"/>
      <w:pStyle w:val="CFKSFormat"/>
      <w:lvlText w:val="%2)"/>
      <w:lvlJc w:val="left"/>
      <w:pPr>
        <w:ind w:left="630" w:hanging="360"/>
      </w:pPr>
      <w:rPr>
        <w:rFonts w:hint="default"/>
        <w:u w:val="none"/>
      </w:rPr>
    </w:lvl>
    <w:lvl w:ilvl="2">
      <w:start w:val="1"/>
      <w:numFmt w:val="lowerRoman"/>
      <w:pStyle w:val="CFKSFormatSub"/>
      <w:lvlText w:val="%3)"/>
      <w:lvlJc w:val="left"/>
      <w:pPr>
        <w:ind w:left="630" w:hanging="360"/>
      </w:pPr>
      <w:rPr>
        <w:rFonts w:hint="default"/>
        <w:b w:val="0"/>
        <w:bCs/>
        <w:u w:val="none"/>
      </w:rPr>
    </w:lvl>
    <w:lvl w:ilvl="3">
      <w:start w:val="1"/>
      <w:numFmt w:val="decimal"/>
      <w:lvlText w:val="(%4)"/>
      <w:lvlJc w:val="left"/>
      <w:pPr>
        <w:ind w:left="990" w:firstLine="0"/>
      </w:pPr>
      <w:rPr>
        <w:rFonts w:hint="default"/>
        <w:u w:val="none"/>
      </w:rPr>
    </w:lvl>
    <w:lvl w:ilvl="4">
      <w:start w:val="1"/>
      <w:numFmt w:val="lowerLetter"/>
      <w:lvlText w:val="(%5)"/>
      <w:lvlJc w:val="left"/>
      <w:pPr>
        <w:ind w:left="1350" w:firstLine="0"/>
      </w:pPr>
      <w:rPr>
        <w:rFonts w:hint="default"/>
        <w:u w:val="none"/>
      </w:rPr>
    </w:lvl>
    <w:lvl w:ilvl="5">
      <w:start w:val="1"/>
      <w:numFmt w:val="lowerRoman"/>
      <w:lvlText w:val="(%6)"/>
      <w:lvlJc w:val="right"/>
      <w:pPr>
        <w:ind w:left="1710" w:firstLine="0"/>
      </w:pPr>
      <w:rPr>
        <w:rFonts w:hint="default"/>
        <w:u w:val="none"/>
      </w:rPr>
    </w:lvl>
    <w:lvl w:ilvl="6">
      <w:start w:val="1"/>
      <w:numFmt w:val="decimal"/>
      <w:lvlText w:val="%7."/>
      <w:lvlJc w:val="left"/>
      <w:pPr>
        <w:ind w:left="2070" w:firstLine="0"/>
      </w:pPr>
      <w:rPr>
        <w:rFonts w:hint="default"/>
        <w:u w:val="none"/>
      </w:rPr>
    </w:lvl>
    <w:lvl w:ilvl="7">
      <w:start w:val="1"/>
      <w:numFmt w:val="lowerLetter"/>
      <w:lvlText w:val="%8."/>
      <w:lvlJc w:val="left"/>
      <w:pPr>
        <w:ind w:left="2430" w:firstLine="0"/>
      </w:pPr>
      <w:rPr>
        <w:rFonts w:hint="default"/>
        <w:u w:val="none"/>
      </w:rPr>
    </w:lvl>
    <w:lvl w:ilvl="8">
      <w:start w:val="1"/>
      <w:numFmt w:val="lowerRoman"/>
      <w:lvlText w:val="%9."/>
      <w:lvlJc w:val="right"/>
      <w:pPr>
        <w:ind w:left="2790" w:firstLine="0"/>
      </w:pPr>
      <w:rPr>
        <w:rFonts w:hint="default"/>
        <w:u w:val="none"/>
      </w:rPr>
    </w:lvl>
  </w:abstractNum>
  <w:abstractNum w:abstractNumId="1" w15:restartNumberingAfterBreak="0">
    <w:nsid w:val="083B6D26"/>
    <w:multiLevelType w:val="multilevel"/>
    <w:tmpl w:val="80641224"/>
    <w:lvl w:ilvl="0">
      <w:start w:val="1"/>
      <w:numFmt w:val="none"/>
      <w:pStyle w:val="VSOL23"/>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pStyle w:val="VSOL23L"/>
      <w:lvlText w:val="%2)"/>
      <w:lvlJc w:val="left"/>
      <w:pPr>
        <w:ind w:left="720" w:hanging="360"/>
      </w:pPr>
      <w:rPr>
        <w:rFonts w:ascii="Times New Roman" w:eastAsia="Calibri" w:hAnsi="Times New Roman" w:cs="Times New Roman" w:hint="default"/>
        <w:b w:val="0"/>
        <w:i w:val="0"/>
        <w:color w:val="000000"/>
        <w:sz w:val="20"/>
        <w:szCs w:val="20"/>
      </w:rPr>
    </w:lvl>
    <w:lvl w:ilvl="2">
      <w:start w:val="1"/>
      <w:numFmt w:val="lowerRoman"/>
      <w:pStyle w:val="VSOL23Lsub"/>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 w15:restartNumberingAfterBreak="0">
    <w:nsid w:val="08F7166F"/>
    <w:multiLevelType w:val="multilevel"/>
    <w:tmpl w:val="82BE1AF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LSub0"/>
      <w:lvlText w:val="%2)"/>
      <w:lvlJc w:val="left"/>
      <w:pPr>
        <w:ind w:left="1080" w:hanging="360"/>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3"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4" w15:restartNumberingAfterBreak="0">
    <w:nsid w:val="0EC4196F"/>
    <w:multiLevelType w:val="hybridMultilevel"/>
    <w:tmpl w:val="472E3AD8"/>
    <w:lvl w:ilvl="0" w:tplc="CD32A12C">
      <w:start w:val="1"/>
      <w:numFmt w:val="bullet"/>
      <w:lvlText w:val=""/>
      <w:lvlJc w:val="left"/>
      <w:pPr>
        <w:ind w:left="720" w:hanging="360"/>
      </w:pPr>
      <w:rPr>
        <w:rFonts w:ascii="Symbol" w:hAnsi="Symbol" w:hint="default"/>
      </w:rPr>
    </w:lvl>
    <w:lvl w:ilvl="1" w:tplc="8932A73A">
      <w:start w:val="1"/>
      <w:numFmt w:val="bullet"/>
      <w:lvlText w:val="o"/>
      <w:lvlJc w:val="left"/>
      <w:pPr>
        <w:ind w:left="1440" w:hanging="360"/>
      </w:pPr>
      <w:rPr>
        <w:rFonts w:ascii="Courier New" w:hAnsi="Courier New" w:hint="default"/>
      </w:rPr>
    </w:lvl>
    <w:lvl w:ilvl="2" w:tplc="CEDC6166">
      <w:start w:val="1"/>
      <w:numFmt w:val="bullet"/>
      <w:lvlText w:val=""/>
      <w:lvlJc w:val="left"/>
      <w:pPr>
        <w:ind w:left="2160" w:hanging="360"/>
      </w:pPr>
      <w:rPr>
        <w:rFonts w:ascii="Wingdings" w:hAnsi="Wingdings" w:hint="default"/>
      </w:rPr>
    </w:lvl>
    <w:lvl w:ilvl="3" w:tplc="EA9E4338">
      <w:start w:val="1"/>
      <w:numFmt w:val="bullet"/>
      <w:lvlText w:val=""/>
      <w:lvlJc w:val="left"/>
      <w:pPr>
        <w:ind w:left="2880" w:hanging="360"/>
      </w:pPr>
      <w:rPr>
        <w:rFonts w:ascii="Symbol" w:hAnsi="Symbol" w:hint="default"/>
      </w:rPr>
    </w:lvl>
    <w:lvl w:ilvl="4" w:tplc="0F0461DC">
      <w:start w:val="1"/>
      <w:numFmt w:val="bullet"/>
      <w:lvlText w:val="o"/>
      <w:lvlJc w:val="left"/>
      <w:pPr>
        <w:ind w:left="3600" w:hanging="360"/>
      </w:pPr>
      <w:rPr>
        <w:rFonts w:ascii="Courier New" w:hAnsi="Courier New" w:hint="default"/>
      </w:rPr>
    </w:lvl>
    <w:lvl w:ilvl="5" w:tplc="B8FC3EA4">
      <w:start w:val="1"/>
      <w:numFmt w:val="bullet"/>
      <w:lvlText w:val=""/>
      <w:lvlJc w:val="left"/>
      <w:pPr>
        <w:ind w:left="4320" w:hanging="360"/>
      </w:pPr>
      <w:rPr>
        <w:rFonts w:ascii="Wingdings" w:hAnsi="Wingdings" w:hint="default"/>
      </w:rPr>
    </w:lvl>
    <w:lvl w:ilvl="6" w:tplc="AC04C276">
      <w:start w:val="1"/>
      <w:numFmt w:val="bullet"/>
      <w:lvlText w:val=""/>
      <w:lvlJc w:val="left"/>
      <w:pPr>
        <w:ind w:left="5040" w:hanging="360"/>
      </w:pPr>
      <w:rPr>
        <w:rFonts w:ascii="Symbol" w:hAnsi="Symbol" w:hint="default"/>
      </w:rPr>
    </w:lvl>
    <w:lvl w:ilvl="7" w:tplc="A3F473AC">
      <w:start w:val="1"/>
      <w:numFmt w:val="bullet"/>
      <w:lvlText w:val="o"/>
      <w:lvlJc w:val="left"/>
      <w:pPr>
        <w:ind w:left="5760" w:hanging="360"/>
      </w:pPr>
      <w:rPr>
        <w:rFonts w:ascii="Courier New" w:hAnsi="Courier New" w:hint="default"/>
      </w:rPr>
    </w:lvl>
    <w:lvl w:ilvl="8" w:tplc="F7145E14">
      <w:start w:val="1"/>
      <w:numFmt w:val="bullet"/>
      <w:lvlText w:val=""/>
      <w:lvlJc w:val="left"/>
      <w:pPr>
        <w:ind w:left="6480" w:hanging="360"/>
      </w:pPr>
      <w:rPr>
        <w:rFonts w:ascii="Wingdings" w:hAnsi="Wingdings" w:hint="default"/>
      </w:rPr>
    </w:lvl>
  </w:abstractNum>
  <w:abstractNum w:abstractNumId="5" w15:restartNumberingAfterBreak="0">
    <w:nsid w:val="10427659"/>
    <w:multiLevelType w:val="multilevel"/>
    <w:tmpl w:val="BC78F8A0"/>
    <w:lvl w:ilvl="0">
      <w:start w:val="1"/>
      <w:numFmt w:val="bullet"/>
      <w:lvlText w:val="●"/>
      <w:lvlJc w:val="left"/>
      <w:pPr>
        <w:ind w:left="36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pStyle w:val="VSOL16BSUB"/>
      <w:lvlText w:val="o"/>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B6D7CE"/>
    <w:multiLevelType w:val="hybridMultilevel"/>
    <w:tmpl w:val="293EA4DC"/>
    <w:lvl w:ilvl="0" w:tplc="FE0219F2">
      <w:start w:val="1"/>
      <w:numFmt w:val="bullet"/>
      <w:lvlText w:val=""/>
      <w:lvlJc w:val="left"/>
      <w:pPr>
        <w:ind w:left="720" w:hanging="360"/>
      </w:pPr>
      <w:rPr>
        <w:rFonts w:ascii="Symbol" w:hAnsi="Symbol" w:hint="default"/>
      </w:rPr>
    </w:lvl>
    <w:lvl w:ilvl="1" w:tplc="9FF86DCA">
      <w:start w:val="1"/>
      <w:numFmt w:val="bullet"/>
      <w:lvlText w:val="o"/>
      <w:lvlJc w:val="left"/>
      <w:pPr>
        <w:ind w:left="1440" w:hanging="360"/>
      </w:pPr>
      <w:rPr>
        <w:rFonts w:ascii="Courier New" w:hAnsi="Courier New" w:hint="default"/>
      </w:rPr>
    </w:lvl>
    <w:lvl w:ilvl="2" w:tplc="4FF0FAEA">
      <w:start w:val="1"/>
      <w:numFmt w:val="bullet"/>
      <w:lvlText w:val=""/>
      <w:lvlJc w:val="left"/>
      <w:pPr>
        <w:ind w:left="2160" w:hanging="360"/>
      </w:pPr>
      <w:rPr>
        <w:rFonts w:ascii="Wingdings" w:hAnsi="Wingdings" w:hint="default"/>
      </w:rPr>
    </w:lvl>
    <w:lvl w:ilvl="3" w:tplc="745C6FB4">
      <w:start w:val="1"/>
      <w:numFmt w:val="bullet"/>
      <w:lvlText w:val=""/>
      <w:lvlJc w:val="left"/>
      <w:pPr>
        <w:ind w:left="2880" w:hanging="360"/>
      </w:pPr>
      <w:rPr>
        <w:rFonts w:ascii="Symbol" w:hAnsi="Symbol" w:hint="default"/>
      </w:rPr>
    </w:lvl>
    <w:lvl w:ilvl="4" w:tplc="D10E8264">
      <w:start w:val="1"/>
      <w:numFmt w:val="bullet"/>
      <w:lvlText w:val="o"/>
      <w:lvlJc w:val="left"/>
      <w:pPr>
        <w:ind w:left="3600" w:hanging="360"/>
      </w:pPr>
      <w:rPr>
        <w:rFonts w:ascii="Courier New" w:hAnsi="Courier New" w:hint="default"/>
      </w:rPr>
    </w:lvl>
    <w:lvl w:ilvl="5" w:tplc="D0200AA6">
      <w:start w:val="1"/>
      <w:numFmt w:val="bullet"/>
      <w:lvlText w:val=""/>
      <w:lvlJc w:val="left"/>
      <w:pPr>
        <w:ind w:left="4320" w:hanging="360"/>
      </w:pPr>
      <w:rPr>
        <w:rFonts w:ascii="Wingdings" w:hAnsi="Wingdings" w:hint="default"/>
      </w:rPr>
    </w:lvl>
    <w:lvl w:ilvl="6" w:tplc="BF6ADB78">
      <w:start w:val="1"/>
      <w:numFmt w:val="bullet"/>
      <w:lvlText w:val=""/>
      <w:lvlJc w:val="left"/>
      <w:pPr>
        <w:ind w:left="5040" w:hanging="360"/>
      </w:pPr>
      <w:rPr>
        <w:rFonts w:ascii="Symbol" w:hAnsi="Symbol" w:hint="default"/>
      </w:rPr>
    </w:lvl>
    <w:lvl w:ilvl="7" w:tplc="3C7CB332">
      <w:start w:val="1"/>
      <w:numFmt w:val="bullet"/>
      <w:lvlText w:val="o"/>
      <w:lvlJc w:val="left"/>
      <w:pPr>
        <w:ind w:left="5760" w:hanging="360"/>
      </w:pPr>
      <w:rPr>
        <w:rFonts w:ascii="Courier New" w:hAnsi="Courier New" w:hint="default"/>
      </w:rPr>
    </w:lvl>
    <w:lvl w:ilvl="8" w:tplc="F1DC0C76">
      <w:start w:val="1"/>
      <w:numFmt w:val="bullet"/>
      <w:lvlText w:val=""/>
      <w:lvlJc w:val="left"/>
      <w:pPr>
        <w:ind w:left="6480" w:hanging="360"/>
      </w:pPr>
      <w:rPr>
        <w:rFonts w:ascii="Wingdings" w:hAnsi="Wingdings" w:hint="default"/>
      </w:rPr>
    </w:lvl>
  </w:abstractNum>
  <w:abstractNum w:abstractNumId="7" w15:restartNumberingAfterBreak="0">
    <w:nsid w:val="1BFF2A29"/>
    <w:multiLevelType w:val="multilevel"/>
    <w:tmpl w:val="000C2FC2"/>
    <w:styleLink w:val="TNR12fontbullet"/>
    <w:lvl w:ilvl="0">
      <w:start w:val="1"/>
      <w:numFmt w:val="bullet"/>
      <w:pStyle w:val="Sump1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9D76FB"/>
    <w:multiLevelType w:val="hybridMultilevel"/>
    <w:tmpl w:val="9378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10" w15:restartNumberingAfterBreak="0">
    <w:nsid w:val="35A94D3B"/>
    <w:multiLevelType w:val="multilevel"/>
    <w:tmpl w:val="8F3A0664"/>
    <w:lvl w:ilvl="0">
      <w:start w:val="3"/>
      <w:numFmt w:val="lowerLetter"/>
      <w:pStyle w:val="VSOL16L"/>
      <w:lvlText w:val="%1)"/>
      <w:lvlJc w:val="left"/>
      <w:pPr>
        <w:ind w:left="288" w:hanging="288"/>
      </w:pPr>
      <w:rPr>
        <w:rFonts w:ascii="Times New Roman" w:eastAsia="Times New Roman" w:hAnsi="Times New Roman" w:cs="Times New Roman" w:hint="default"/>
        <w:b/>
        <w:bCs w:val="0"/>
        <w:i w:val="0"/>
        <w:color w:val="000000"/>
        <w:sz w:val="20"/>
        <w:szCs w:val="20"/>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1" w15:restartNumberingAfterBreak="0">
    <w:nsid w:val="44DB4A67"/>
    <w:multiLevelType w:val="multilevel"/>
    <w:tmpl w:val="CE4CB12C"/>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pStyle w:val="VSOL16Bsub0"/>
      <w:lvlText w:val="○"/>
      <w:lvlJc w:val="left"/>
      <w:pPr>
        <w:ind w:left="1440" w:hanging="360"/>
      </w:pPr>
      <w:rPr>
        <w:rFonts w:ascii="Times New Roman" w:eastAsia="Times New Roman" w:hAnsi="Times New Roman" w:cs="Times New Roman"/>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D83B92"/>
    <w:multiLevelType w:val="multilevel"/>
    <w:tmpl w:val="11D8059E"/>
    <w:lvl w:ilvl="0">
      <w:start w:val="1"/>
      <w:numFmt w:val="lowerLetter"/>
      <w:pStyle w:val="VSOL23L0"/>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Calibri" w:eastAsia="Calibri" w:hAnsi="Calibri" w:cs="Calibri" w:hint="default"/>
        <w:b w:val="0"/>
        <w:i w:val="0"/>
        <w:color w:val="000000"/>
        <w:sz w:val="20"/>
        <w:szCs w:val="20"/>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3" w15:restartNumberingAfterBreak="0">
    <w:nsid w:val="59756773"/>
    <w:multiLevelType w:val="multilevel"/>
    <w:tmpl w:val="8BB6642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Bsub"/>
      <w:lvlText w:val="%2)"/>
      <w:lvlJc w:val="left"/>
      <w:pPr>
        <w:ind w:left="1080" w:hanging="360"/>
      </w:pPr>
      <w:rPr>
        <w:rFonts w:ascii="Times New Roman" w:eastAsia="Times New Roman"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4" w15:restartNumberingAfterBreak="0">
    <w:nsid w:val="5B743C02"/>
    <w:multiLevelType w:val="multilevel"/>
    <w:tmpl w:val="0409001D"/>
    <w:styleLink w:val="VSOLBullet"/>
    <w:lvl w:ilvl="0">
      <w:start w:val="1"/>
      <w:numFmt w:val="bullet"/>
      <w:lvlText w:val="●"/>
      <w:lvlJc w:val="left"/>
      <w:pPr>
        <w:ind w:left="360" w:hanging="360"/>
      </w:pPr>
      <w:rPr>
        <w:rFonts w:ascii="Times New Roman" w:hAnsi="Times New Roman" w:cs="Times New Roman" w:hint="default"/>
        <w:sz w:val="24"/>
      </w:rPr>
    </w:lvl>
    <w:lvl w:ilvl="1">
      <w:start w:val="1"/>
      <w:numFmt w:val="bullet"/>
      <w:lvlText w:val="◦"/>
      <w:lvlJc w:val="left"/>
      <w:pPr>
        <w:ind w:left="720" w:hanging="360"/>
      </w:pPr>
      <w:rPr>
        <w:rFonts w:ascii="Times New Roman" w:hAnsi="Times New Roman" w:cs="Times New Roman" w:hint="default"/>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5925F41"/>
    <w:multiLevelType w:val="multilevel"/>
    <w:tmpl w:val="BBAAFA8E"/>
    <w:lvl w:ilvl="0">
      <w:start w:val="1"/>
      <w:numFmt w:val="lowerLetter"/>
      <w:lvlText w:val="%1)"/>
      <w:lvlJc w:val="left"/>
      <w:pPr>
        <w:ind w:left="576" w:hanging="288"/>
      </w:pPr>
      <w:rPr>
        <w:rFonts w:ascii="Times New Roman" w:eastAsia="Times New Roman" w:hAnsi="Times New Roman" w:cs="Times New Roman"/>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bullet"/>
      <w:lvlText w:val="o"/>
      <w:lvlJc w:val="left"/>
      <w:pPr>
        <w:ind w:left="1225" w:hanging="360"/>
      </w:pPr>
      <w:rPr>
        <w:rFonts w:ascii="Courier New" w:hAnsi="Courier New" w:cs="Courier New" w:hint="default"/>
      </w:rPr>
    </w:lvl>
    <w:lvl w:ilvl="3">
      <w:start w:val="1"/>
      <w:numFmt w:val="bullet"/>
      <w:pStyle w:val="VSOLL23LSubbullet"/>
      <w:lvlText w:val="o"/>
      <w:lvlJc w:val="left"/>
      <w:pPr>
        <w:ind w:left="1512" w:hanging="360"/>
      </w:pPr>
      <w:rPr>
        <w:rFonts w:ascii="Courier New" w:hAnsi="Courier New" w:cs="Courier New" w:hint="default"/>
      </w:r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6" w15:restartNumberingAfterBreak="0">
    <w:nsid w:val="6B67DAC6"/>
    <w:multiLevelType w:val="multilevel"/>
    <w:tmpl w:val="E17E5F00"/>
    <w:lvl w:ilvl="0">
      <w:start w:val="1"/>
      <w:numFmt w:val="lowerLetter"/>
      <w:pStyle w:val="ks"/>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3E08FE9"/>
    <w:multiLevelType w:val="multilevel"/>
    <w:tmpl w:val="D5E0A784"/>
    <w:lvl w:ilvl="0">
      <w:start w:val="3"/>
      <w:numFmt w:val="lowerLetter"/>
      <w:lvlText w:val="%1)"/>
      <w:lvlJc w:val="left"/>
      <w:pPr>
        <w:ind w:left="360" w:hanging="360"/>
      </w:pPr>
      <w:rPr>
        <w:rFonts w:ascii="Times New Roman" w:eastAsia="Times New Roman" w:hAnsi="Times New Roman" w:cs="Times New Roman"/>
        <w:b/>
      </w:rPr>
    </w:lvl>
    <w:lvl w:ilvl="1">
      <w:start w:val="1"/>
      <w:numFmt w:val="lowerLetter"/>
      <w:pStyle w:val="vsol23lnEW"/>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66673232">
    <w:abstractNumId w:val="6"/>
  </w:num>
  <w:num w:numId="2" w16cid:durableId="899050905">
    <w:abstractNumId w:val="4"/>
  </w:num>
  <w:num w:numId="3" w16cid:durableId="591471194">
    <w:abstractNumId w:val="13"/>
  </w:num>
  <w:num w:numId="4" w16cid:durableId="184707899">
    <w:abstractNumId w:val="3"/>
  </w:num>
  <w:num w:numId="5" w16cid:durableId="1973512546">
    <w:abstractNumId w:val="9"/>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6" w16cid:durableId="1207523348">
    <w:abstractNumId w:val="0"/>
  </w:num>
  <w:num w:numId="7" w16cid:durableId="2140415403">
    <w:abstractNumId w:val="7"/>
  </w:num>
  <w:num w:numId="8" w16cid:durableId="972640387">
    <w:abstractNumId w:val="11"/>
  </w:num>
  <w:num w:numId="9" w16cid:durableId="2097700708">
    <w:abstractNumId w:val="14"/>
  </w:num>
  <w:num w:numId="10" w16cid:durableId="1066148932">
    <w:abstractNumId w:val="5"/>
  </w:num>
  <w:num w:numId="11" w16cid:durableId="793641813">
    <w:abstractNumId w:val="1"/>
  </w:num>
  <w:num w:numId="12" w16cid:durableId="627130164">
    <w:abstractNumId w:val="17"/>
  </w:num>
  <w:num w:numId="13" w16cid:durableId="565723387">
    <w:abstractNumId w:val="16"/>
  </w:num>
  <w:num w:numId="14" w16cid:durableId="1241257988">
    <w:abstractNumId w:val="10"/>
  </w:num>
  <w:num w:numId="15" w16cid:durableId="985545231">
    <w:abstractNumId w:val="2"/>
  </w:num>
  <w:num w:numId="16" w16cid:durableId="1195848526">
    <w:abstractNumId w:val="15"/>
  </w:num>
  <w:num w:numId="17" w16cid:durableId="336737340">
    <w:abstractNumId w:val="12"/>
  </w:num>
  <w:num w:numId="18" w16cid:durableId="160025835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AA"/>
    <w:rsid w:val="00002CB2"/>
    <w:rsid w:val="00004AC3"/>
    <w:rsid w:val="000108C7"/>
    <w:rsid w:val="000118D1"/>
    <w:rsid w:val="00011A31"/>
    <w:rsid w:val="00013234"/>
    <w:rsid w:val="00014F60"/>
    <w:rsid w:val="00020658"/>
    <w:rsid w:val="00020B4E"/>
    <w:rsid w:val="00023355"/>
    <w:rsid w:val="0002343E"/>
    <w:rsid w:val="00023E1C"/>
    <w:rsid w:val="000254A8"/>
    <w:rsid w:val="00025ECA"/>
    <w:rsid w:val="000303D3"/>
    <w:rsid w:val="00030C01"/>
    <w:rsid w:val="00032481"/>
    <w:rsid w:val="00032ABF"/>
    <w:rsid w:val="0003345F"/>
    <w:rsid w:val="00033AD5"/>
    <w:rsid w:val="000355A9"/>
    <w:rsid w:val="00036B19"/>
    <w:rsid w:val="00042A25"/>
    <w:rsid w:val="000444F3"/>
    <w:rsid w:val="00047198"/>
    <w:rsid w:val="00047BB8"/>
    <w:rsid w:val="00053891"/>
    <w:rsid w:val="000561AB"/>
    <w:rsid w:val="00060F5D"/>
    <w:rsid w:val="0006190C"/>
    <w:rsid w:val="00062058"/>
    <w:rsid w:val="0006228D"/>
    <w:rsid w:val="00062824"/>
    <w:rsid w:val="00062BA5"/>
    <w:rsid w:val="00063806"/>
    <w:rsid w:val="00064AEF"/>
    <w:rsid w:val="0006556D"/>
    <w:rsid w:val="00070391"/>
    <w:rsid w:val="000707FF"/>
    <w:rsid w:val="00070C97"/>
    <w:rsid w:val="00071842"/>
    <w:rsid w:val="00076C0A"/>
    <w:rsid w:val="00080B4B"/>
    <w:rsid w:val="00084F88"/>
    <w:rsid w:val="00085EF3"/>
    <w:rsid w:val="0009218A"/>
    <w:rsid w:val="000934EE"/>
    <w:rsid w:val="000939DC"/>
    <w:rsid w:val="00093BD7"/>
    <w:rsid w:val="00095E3C"/>
    <w:rsid w:val="000969F3"/>
    <w:rsid w:val="000A1BD2"/>
    <w:rsid w:val="000A3937"/>
    <w:rsid w:val="000A43D8"/>
    <w:rsid w:val="000A52A4"/>
    <w:rsid w:val="000A52BD"/>
    <w:rsid w:val="000A747F"/>
    <w:rsid w:val="000B259B"/>
    <w:rsid w:val="000B3C81"/>
    <w:rsid w:val="000B5BFA"/>
    <w:rsid w:val="000B725E"/>
    <w:rsid w:val="000C7E81"/>
    <w:rsid w:val="000D070B"/>
    <w:rsid w:val="000D3A2C"/>
    <w:rsid w:val="000D4035"/>
    <w:rsid w:val="000D6CA9"/>
    <w:rsid w:val="000E0239"/>
    <w:rsid w:val="000E414E"/>
    <w:rsid w:val="000E4B57"/>
    <w:rsid w:val="000F0226"/>
    <w:rsid w:val="000F0960"/>
    <w:rsid w:val="000F649E"/>
    <w:rsid w:val="000F6516"/>
    <w:rsid w:val="001022E5"/>
    <w:rsid w:val="001051DE"/>
    <w:rsid w:val="001071AB"/>
    <w:rsid w:val="00110C7A"/>
    <w:rsid w:val="00110D07"/>
    <w:rsid w:val="00110D4D"/>
    <w:rsid w:val="00111465"/>
    <w:rsid w:val="001117FF"/>
    <w:rsid w:val="00111942"/>
    <w:rsid w:val="00114CAB"/>
    <w:rsid w:val="00115896"/>
    <w:rsid w:val="00120FF6"/>
    <w:rsid w:val="001212E3"/>
    <w:rsid w:val="001215B9"/>
    <w:rsid w:val="00121FAE"/>
    <w:rsid w:val="00122A43"/>
    <w:rsid w:val="00123D0E"/>
    <w:rsid w:val="00125FC4"/>
    <w:rsid w:val="00127F9F"/>
    <w:rsid w:val="00130D93"/>
    <w:rsid w:val="00132BF3"/>
    <w:rsid w:val="00140284"/>
    <w:rsid w:val="001405C6"/>
    <w:rsid w:val="00143134"/>
    <w:rsid w:val="00143820"/>
    <w:rsid w:val="00144224"/>
    <w:rsid w:val="0014432B"/>
    <w:rsid w:val="001465E1"/>
    <w:rsid w:val="00146649"/>
    <w:rsid w:val="0015041A"/>
    <w:rsid w:val="00152D31"/>
    <w:rsid w:val="001570B2"/>
    <w:rsid w:val="00157D11"/>
    <w:rsid w:val="00160BF9"/>
    <w:rsid w:val="001615BE"/>
    <w:rsid w:val="00166145"/>
    <w:rsid w:val="00167C8E"/>
    <w:rsid w:val="0017239B"/>
    <w:rsid w:val="001726BC"/>
    <w:rsid w:val="001731F0"/>
    <w:rsid w:val="001732C8"/>
    <w:rsid w:val="001736CF"/>
    <w:rsid w:val="001738E4"/>
    <w:rsid w:val="001740DC"/>
    <w:rsid w:val="001806A5"/>
    <w:rsid w:val="00180FC5"/>
    <w:rsid w:val="00181C7C"/>
    <w:rsid w:val="00182034"/>
    <w:rsid w:val="00184B1C"/>
    <w:rsid w:val="00185571"/>
    <w:rsid w:val="00185D2B"/>
    <w:rsid w:val="001920FD"/>
    <w:rsid w:val="00192663"/>
    <w:rsid w:val="001938F8"/>
    <w:rsid w:val="001941F1"/>
    <w:rsid w:val="00194B1F"/>
    <w:rsid w:val="001967E3"/>
    <w:rsid w:val="0019691E"/>
    <w:rsid w:val="00196EBC"/>
    <w:rsid w:val="001A3B1A"/>
    <w:rsid w:val="001A510B"/>
    <w:rsid w:val="001A5CEE"/>
    <w:rsid w:val="001A6BD1"/>
    <w:rsid w:val="001B30FD"/>
    <w:rsid w:val="001B4C7B"/>
    <w:rsid w:val="001B4F32"/>
    <w:rsid w:val="001B7D09"/>
    <w:rsid w:val="001C0422"/>
    <w:rsid w:val="001C0ED7"/>
    <w:rsid w:val="001C0F5E"/>
    <w:rsid w:val="001C1FF0"/>
    <w:rsid w:val="001C2159"/>
    <w:rsid w:val="001C5549"/>
    <w:rsid w:val="001C6CE8"/>
    <w:rsid w:val="001C700F"/>
    <w:rsid w:val="001C7A0F"/>
    <w:rsid w:val="001D1A1F"/>
    <w:rsid w:val="001D1A32"/>
    <w:rsid w:val="001D1EEC"/>
    <w:rsid w:val="001D2655"/>
    <w:rsid w:val="001D301C"/>
    <w:rsid w:val="001D423F"/>
    <w:rsid w:val="001D4DFC"/>
    <w:rsid w:val="001E0423"/>
    <w:rsid w:val="001E0790"/>
    <w:rsid w:val="001E1DF0"/>
    <w:rsid w:val="001E3B79"/>
    <w:rsid w:val="001E4456"/>
    <w:rsid w:val="001E59B8"/>
    <w:rsid w:val="001E60DB"/>
    <w:rsid w:val="001F55A8"/>
    <w:rsid w:val="002005CB"/>
    <w:rsid w:val="00207907"/>
    <w:rsid w:val="00207BFF"/>
    <w:rsid w:val="00211966"/>
    <w:rsid w:val="002144C8"/>
    <w:rsid w:val="00214ED0"/>
    <w:rsid w:val="0021615A"/>
    <w:rsid w:val="0021701A"/>
    <w:rsid w:val="002207C8"/>
    <w:rsid w:val="00221F98"/>
    <w:rsid w:val="002235E0"/>
    <w:rsid w:val="00224B24"/>
    <w:rsid w:val="002260CD"/>
    <w:rsid w:val="00231F33"/>
    <w:rsid w:val="00233043"/>
    <w:rsid w:val="00233745"/>
    <w:rsid w:val="00233855"/>
    <w:rsid w:val="00233B89"/>
    <w:rsid w:val="00233D1F"/>
    <w:rsid w:val="002340CB"/>
    <w:rsid w:val="002347DB"/>
    <w:rsid w:val="002401F8"/>
    <w:rsid w:val="00241282"/>
    <w:rsid w:val="00241AEC"/>
    <w:rsid w:val="00243D62"/>
    <w:rsid w:val="0024692C"/>
    <w:rsid w:val="002507BE"/>
    <w:rsid w:val="00251787"/>
    <w:rsid w:val="00255409"/>
    <w:rsid w:val="00261496"/>
    <w:rsid w:val="00263134"/>
    <w:rsid w:val="002635C1"/>
    <w:rsid w:val="00265168"/>
    <w:rsid w:val="002668C5"/>
    <w:rsid w:val="0027223E"/>
    <w:rsid w:val="00277F38"/>
    <w:rsid w:val="00283AC9"/>
    <w:rsid w:val="00286636"/>
    <w:rsid w:val="0028667E"/>
    <w:rsid w:val="00286E18"/>
    <w:rsid w:val="00287CE2"/>
    <w:rsid w:val="00291026"/>
    <w:rsid w:val="00291199"/>
    <w:rsid w:val="00291B41"/>
    <w:rsid w:val="00292112"/>
    <w:rsid w:val="00292332"/>
    <w:rsid w:val="002927D0"/>
    <w:rsid w:val="00296454"/>
    <w:rsid w:val="0029BE69"/>
    <w:rsid w:val="002A05FD"/>
    <w:rsid w:val="002A2E05"/>
    <w:rsid w:val="002A37F8"/>
    <w:rsid w:val="002B10A5"/>
    <w:rsid w:val="002B142E"/>
    <w:rsid w:val="002B1CEC"/>
    <w:rsid w:val="002B3D55"/>
    <w:rsid w:val="002B3E75"/>
    <w:rsid w:val="002B5E0B"/>
    <w:rsid w:val="002B66FC"/>
    <w:rsid w:val="002C0419"/>
    <w:rsid w:val="002C271A"/>
    <w:rsid w:val="002C2B0B"/>
    <w:rsid w:val="002C3D86"/>
    <w:rsid w:val="002C49DE"/>
    <w:rsid w:val="002C55A3"/>
    <w:rsid w:val="002C5BB5"/>
    <w:rsid w:val="002C6589"/>
    <w:rsid w:val="002C76B8"/>
    <w:rsid w:val="002C7AFE"/>
    <w:rsid w:val="002D0160"/>
    <w:rsid w:val="002D1BD8"/>
    <w:rsid w:val="002D204C"/>
    <w:rsid w:val="002D40D4"/>
    <w:rsid w:val="002D5367"/>
    <w:rsid w:val="002E5947"/>
    <w:rsid w:val="002E6E55"/>
    <w:rsid w:val="002F1F1A"/>
    <w:rsid w:val="003012DE"/>
    <w:rsid w:val="003035A0"/>
    <w:rsid w:val="00303DAD"/>
    <w:rsid w:val="00304ADB"/>
    <w:rsid w:val="003078AD"/>
    <w:rsid w:val="00311C51"/>
    <w:rsid w:val="00320D61"/>
    <w:rsid w:val="00321CE8"/>
    <w:rsid w:val="0032271D"/>
    <w:rsid w:val="0032451B"/>
    <w:rsid w:val="003331D1"/>
    <w:rsid w:val="00337E41"/>
    <w:rsid w:val="00340B11"/>
    <w:rsid w:val="00342E0D"/>
    <w:rsid w:val="00342EE3"/>
    <w:rsid w:val="003434DC"/>
    <w:rsid w:val="00347C43"/>
    <w:rsid w:val="0035094A"/>
    <w:rsid w:val="00351D1F"/>
    <w:rsid w:val="0035533C"/>
    <w:rsid w:val="003559E0"/>
    <w:rsid w:val="00356CD5"/>
    <w:rsid w:val="00357EFB"/>
    <w:rsid w:val="003635F3"/>
    <w:rsid w:val="00363748"/>
    <w:rsid w:val="00363AC5"/>
    <w:rsid w:val="00367BCB"/>
    <w:rsid w:val="00375F69"/>
    <w:rsid w:val="0037712A"/>
    <w:rsid w:val="003832D0"/>
    <w:rsid w:val="0038431E"/>
    <w:rsid w:val="00385395"/>
    <w:rsid w:val="00395B26"/>
    <w:rsid w:val="003961AD"/>
    <w:rsid w:val="003966A4"/>
    <w:rsid w:val="00397388"/>
    <w:rsid w:val="00397596"/>
    <w:rsid w:val="003A1165"/>
    <w:rsid w:val="003A1199"/>
    <w:rsid w:val="003A175D"/>
    <w:rsid w:val="003A39A7"/>
    <w:rsid w:val="003A51B9"/>
    <w:rsid w:val="003A5344"/>
    <w:rsid w:val="003B0C8D"/>
    <w:rsid w:val="003B13C8"/>
    <w:rsid w:val="003B2D01"/>
    <w:rsid w:val="003B2E90"/>
    <w:rsid w:val="003B3953"/>
    <w:rsid w:val="003B47C4"/>
    <w:rsid w:val="003B4D7A"/>
    <w:rsid w:val="003B5477"/>
    <w:rsid w:val="003B5E96"/>
    <w:rsid w:val="003B6983"/>
    <w:rsid w:val="003B77AC"/>
    <w:rsid w:val="003C11D0"/>
    <w:rsid w:val="003C22BA"/>
    <w:rsid w:val="003C33D5"/>
    <w:rsid w:val="003C3E6A"/>
    <w:rsid w:val="003C49D9"/>
    <w:rsid w:val="003C697E"/>
    <w:rsid w:val="003C7138"/>
    <w:rsid w:val="003D1652"/>
    <w:rsid w:val="003D3B01"/>
    <w:rsid w:val="003E187C"/>
    <w:rsid w:val="003E19C9"/>
    <w:rsid w:val="003E1D16"/>
    <w:rsid w:val="003E240E"/>
    <w:rsid w:val="003E25B6"/>
    <w:rsid w:val="003E5577"/>
    <w:rsid w:val="003E5B40"/>
    <w:rsid w:val="003E6BC5"/>
    <w:rsid w:val="003E7C40"/>
    <w:rsid w:val="003E7F91"/>
    <w:rsid w:val="003F0768"/>
    <w:rsid w:val="003F0D4A"/>
    <w:rsid w:val="003F1992"/>
    <w:rsid w:val="003F26DB"/>
    <w:rsid w:val="003F50C7"/>
    <w:rsid w:val="003F64D8"/>
    <w:rsid w:val="004016E0"/>
    <w:rsid w:val="004040C3"/>
    <w:rsid w:val="004045FC"/>
    <w:rsid w:val="00406625"/>
    <w:rsid w:val="004125B2"/>
    <w:rsid w:val="00415957"/>
    <w:rsid w:val="00422BD6"/>
    <w:rsid w:val="0042420F"/>
    <w:rsid w:val="004245BA"/>
    <w:rsid w:val="00425BCB"/>
    <w:rsid w:val="0042622E"/>
    <w:rsid w:val="00426446"/>
    <w:rsid w:val="00433586"/>
    <w:rsid w:val="004352D5"/>
    <w:rsid w:val="00437F2A"/>
    <w:rsid w:val="004419E5"/>
    <w:rsid w:val="004516D6"/>
    <w:rsid w:val="0045376D"/>
    <w:rsid w:val="00453917"/>
    <w:rsid w:val="0045500D"/>
    <w:rsid w:val="00455311"/>
    <w:rsid w:val="00456934"/>
    <w:rsid w:val="00461543"/>
    <w:rsid w:val="00466452"/>
    <w:rsid w:val="00473FF0"/>
    <w:rsid w:val="0047420F"/>
    <w:rsid w:val="004770C1"/>
    <w:rsid w:val="00482098"/>
    <w:rsid w:val="0048305F"/>
    <w:rsid w:val="00483A15"/>
    <w:rsid w:val="004863D9"/>
    <w:rsid w:val="0048663A"/>
    <w:rsid w:val="00487D40"/>
    <w:rsid w:val="00492C62"/>
    <w:rsid w:val="00493D50"/>
    <w:rsid w:val="0049489C"/>
    <w:rsid w:val="0049532E"/>
    <w:rsid w:val="00495ED8"/>
    <w:rsid w:val="0049693E"/>
    <w:rsid w:val="00496B34"/>
    <w:rsid w:val="004A4D8C"/>
    <w:rsid w:val="004A6F4A"/>
    <w:rsid w:val="004A79A7"/>
    <w:rsid w:val="004B066A"/>
    <w:rsid w:val="004B0782"/>
    <w:rsid w:val="004B0A3D"/>
    <w:rsid w:val="004B148C"/>
    <w:rsid w:val="004B50E8"/>
    <w:rsid w:val="004B521D"/>
    <w:rsid w:val="004B5D89"/>
    <w:rsid w:val="004B65F8"/>
    <w:rsid w:val="004B67DC"/>
    <w:rsid w:val="004B6C79"/>
    <w:rsid w:val="004B6D2E"/>
    <w:rsid w:val="004B71BB"/>
    <w:rsid w:val="004B75AD"/>
    <w:rsid w:val="004C0D93"/>
    <w:rsid w:val="004C120C"/>
    <w:rsid w:val="004C4B04"/>
    <w:rsid w:val="004C4D0E"/>
    <w:rsid w:val="004C61C9"/>
    <w:rsid w:val="004C63A6"/>
    <w:rsid w:val="004C6E49"/>
    <w:rsid w:val="004C74CB"/>
    <w:rsid w:val="004D087D"/>
    <w:rsid w:val="004D0F90"/>
    <w:rsid w:val="004D24BF"/>
    <w:rsid w:val="004D3A41"/>
    <w:rsid w:val="004D5268"/>
    <w:rsid w:val="004D5639"/>
    <w:rsid w:val="004D7F19"/>
    <w:rsid w:val="004E07AF"/>
    <w:rsid w:val="004E09DA"/>
    <w:rsid w:val="004E44A3"/>
    <w:rsid w:val="004E58A7"/>
    <w:rsid w:val="004E689A"/>
    <w:rsid w:val="004E6A9A"/>
    <w:rsid w:val="004F5928"/>
    <w:rsid w:val="00500843"/>
    <w:rsid w:val="00502C90"/>
    <w:rsid w:val="005038E2"/>
    <w:rsid w:val="00504121"/>
    <w:rsid w:val="00507B2D"/>
    <w:rsid w:val="00511998"/>
    <w:rsid w:val="00513CEF"/>
    <w:rsid w:val="005141DA"/>
    <w:rsid w:val="005147F8"/>
    <w:rsid w:val="00515C83"/>
    <w:rsid w:val="00516DD2"/>
    <w:rsid w:val="00521DF0"/>
    <w:rsid w:val="0052299F"/>
    <w:rsid w:val="00522FC9"/>
    <w:rsid w:val="00523FA6"/>
    <w:rsid w:val="0052586E"/>
    <w:rsid w:val="00527C3D"/>
    <w:rsid w:val="00532660"/>
    <w:rsid w:val="00535617"/>
    <w:rsid w:val="00540FE4"/>
    <w:rsid w:val="0054247B"/>
    <w:rsid w:val="00546494"/>
    <w:rsid w:val="005474DA"/>
    <w:rsid w:val="005555B6"/>
    <w:rsid w:val="005575D8"/>
    <w:rsid w:val="00560CA1"/>
    <w:rsid w:val="00562BCE"/>
    <w:rsid w:val="00563D0A"/>
    <w:rsid w:val="00563E7B"/>
    <w:rsid w:val="00564E1A"/>
    <w:rsid w:val="00567229"/>
    <w:rsid w:val="00571A7C"/>
    <w:rsid w:val="00573814"/>
    <w:rsid w:val="005740BF"/>
    <w:rsid w:val="00575300"/>
    <w:rsid w:val="005769A5"/>
    <w:rsid w:val="00580695"/>
    <w:rsid w:val="00580BA5"/>
    <w:rsid w:val="0058179C"/>
    <w:rsid w:val="00582565"/>
    <w:rsid w:val="00592D27"/>
    <w:rsid w:val="00593698"/>
    <w:rsid w:val="00597F37"/>
    <w:rsid w:val="005A0879"/>
    <w:rsid w:val="005A251B"/>
    <w:rsid w:val="005A2D07"/>
    <w:rsid w:val="005A4908"/>
    <w:rsid w:val="005A4BA9"/>
    <w:rsid w:val="005A6ACE"/>
    <w:rsid w:val="005A6B2D"/>
    <w:rsid w:val="005A7401"/>
    <w:rsid w:val="005B63DE"/>
    <w:rsid w:val="005C00ED"/>
    <w:rsid w:val="005C0C1B"/>
    <w:rsid w:val="005C686E"/>
    <w:rsid w:val="005C7508"/>
    <w:rsid w:val="005C7577"/>
    <w:rsid w:val="005D1A6D"/>
    <w:rsid w:val="005D3968"/>
    <w:rsid w:val="005D6BCE"/>
    <w:rsid w:val="005D6E3D"/>
    <w:rsid w:val="005D6ED1"/>
    <w:rsid w:val="005D7866"/>
    <w:rsid w:val="005E09CD"/>
    <w:rsid w:val="005E1A6F"/>
    <w:rsid w:val="005E30AA"/>
    <w:rsid w:val="005E420F"/>
    <w:rsid w:val="005E463C"/>
    <w:rsid w:val="005E5E50"/>
    <w:rsid w:val="005E6D9A"/>
    <w:rsid w:val="005F194E"/>
    <w:rsid w:val="005F2E91"/>
    <w:rsid w:val="005F32D8"/>
    <w:rsid w:val="005F3E89"/>
    <w:rsid w:val="005F5347"/>
    <w:rsid w:val="005F6B7D"/>
    <w:rsid w:val="00601204"/>
    <w:rsid w:val="00607A0C"/>
    <w:rsid w:val="00611578"/>
    <w:rsid w:val="0061202A"/>
    <w:rsid w:val="006121A7"/>
    <w:rsid w:val="00612DDB"/>
    <w:rsid w:val="00617989"/>
    <w:rsid w:val="006241E8"/>
    <w:rsid w:val="006248F2"/>
    <w:rsid w:val="006251DB"/>
    <w:rsid w:val="00625346"/>
    <w:rsid w:val="00625D5C"/>
    <w:rsid w:val="00626CE3"/>
    <w:rsid w:val="00631C32"/>
    <w:rsid w:val="00633011"/>
    <w:rsid w:val="00633B56"/>
    <w:rsid w:val="00635C72"/>
    <w:rsid w:val="00635E55"/>
    <w:rsid w:val="00636A86"/>
    <w:rsid w:val="006415F2"/>
    <w:rsid w:val="00642707"/>
    <w:rsid w:val="0064376E"/>
    <w:rsid w:val="00643965"/>
    <w:rsid w:val="006507BF"/>
    <w:rsid w:val="00650B58"/>
    <w:rsid w:val="00652143"/>
    <w:rsid w:val="00654C7E"/>
    <w:rsid w:val="0065710F"/>
    <w:rsid w:val="00657B21"/>
    <w:rsid w:val="00662E91"/>
    <w:rsid w:val="0066373D"/>
    <w:rsid w:val="006639AA"/>
    <w:rsid w:val="006649AB"/>
    <w:rsid w:val="0066593E"/>
    <w:rsid w:val="006663BF"/>
    <w:rsid w:val="00666667"/>
    <w:rsid w:val="00667796"/>
    <w:rsid w:val="006715E8"/>
    <w:rsid w:val="006744BA"/>
    <w:rsid w:val="006764F2"/>
    <w:rsid w:val="00676916"/>
    <w:rsid w:val="006778D5"/>
    <w:rsid w:val="00681738"/>
    <w:rsid w:val="00681BA6"/>
    <w:rsid w:val="00684529"/>
    <w:rsid w:val="00685D79"/>
    <w:rsid w:val="00685DF1"/>
    <w:rsid w:val="00685E74"/>
    <w:rsid w:val="0068704D"/>
    <w:rsid w:val="006906C1"/>
    <w:rsid w:val="00693C1A"/>
    <w:rsid w:val="006A0ED8"/>
    <w:rsid w:val="006A3853"/>
    <w:rsid w:val="006A3E27"/>
    <w:rsid w:val="006B0EBD"/>
    <w:rsid w:val="006B5156"/>
    <w:rsid w:val="006B6447"/>
    <w:rsid w:val="006C3C3E"/>
    <w:rsid w:val="006C3E7A"/>
    <w:rsid w:val="006C5C79"/>
    <w:rsid w:val="006C6D63"/>
    <w:rsid w:val="006D72D5"/>
    <w:rsid w:val="006D7770"/>
    <w:rsid w:val="006D7EA4"/>
    <w:rsid w:val="006E0627"/>
    <w:rsid w:val="006E0E48"/>
    <w:rsid w:val="006E4603"/>
    <w:rsid w:val="006E5B48"/>
    <w:rsid w:val="006F0830"/>
    <w:rsid w:val="006F50C4"/>
    <w:rsid w:val="006F71FD"/>
    <w:rsid w:val="007016AA"/>
    <w:rsid w:val="00711C02"/>
    <w:rsid w:val="00715A22"/>
    <w:rsid w:val="0072040F"/>
    <w:rsid w:val="00722189"/>
    <w:rsid w:val="00723F11"/>
    <w:rsid w:val="007242A2"/>
    <w:rsid w:val="00726B87"/>
    <w:rsid w:val="00730407"/>
    <w:rsid w:val="0073595B"/>
    <w:rsid w:val="00737673"/>
    <w:rsid w:val="00741B0F"/>
    <w:rsid w:val="007459D9"/>
    <w:rsid w:val="00747CCD"/>
    <w:rsid w:val="0075014D"/>
    <w:rsid w:val="00751EE2"/>
    <w:rsid w:val="00753F5F"/>
    <w:rsid w:val="00760287"/>
    <w:rsid w:val="00763A3E"/>
    <w:rsid w:val="00763A8B"/>
    <w:rsid w:val="007657D5"/>
    <w:rsid w:val="00766C25"/>
    <w:rsid w:val="00771EC4"/>
    <w:rsid w:val="00773D31"/>
    <w:rsid w:val="00774B57"/>
    <w:rsid w:val="007772FA"/>
    <w:rsid w:val="007777A4"/>
    <w:rsid w:val="00781037"/>
    <w:rsid w:val="00781AFD"/>
    <w:rsid w:val="00785B37"/>
    <w:rsid w:val="007866D9"/>
    <w:rsid w:val="007868D4"/>
    <w:rsid w:val="00791A54"/>
    <w:rsid w:val="007959A3"/>
    <w:rsid w:val="00795C8E"/>
    <w:rsid w:val="00795EBE"/>
    <w:rsid w:val="00796CA5"/>
    <w:rsid w:val="00797644"/>
    <w:rsid w:val="007A39EE"/>
    <w:rsid w:val="007A3AB6"/>
    <w:rsid w:val="007A5A45"/>
    <w:rsid w:val="007A5B95"/>
    <w:rsid w:val="007B4941"/>
    <w:rsid w:val="007B5C96"/>
    <w:rsid w:val="007C0DD0"/>
    <w:rsid w:val="007C0FF4"/>
    <w:rsid w:val="007C1670"/>
    <w:rsid w:val="007C32A3"/>
    <w:rsid w:val="007C4BDC"/>
    <w:rsid w:val="007C6102"/>
    <w:rsid w:val="007C77E0"/>
    <w:rsid w:val="007D28F8"/>
    <w:rsid w:val="007D2A58"/>
    <w:rsid w:val="007D2B80"/>
    <w:rsid w:val="007E0317"/>
    <w:rsid w:val="007E05AF"/>
    <w:rsid w:val="007E20BB"/>
    <w:rsid w:val="007E26DC"/>
    <w:rsid w:val="007E3CE3"/>
    <w:rsid w:val="007E42CC"/>
    <w:rsid w:val="007E7D4C"/>
    <w:rsid w:val="007F0678"/>
    <w:rsid w:val="007F1274"/>
    <w:rsid w:val="007F1F90"/>
    <w:rsid w:val="007F1FA8"/>
    <w:rsid w:val="007F6B6F"/>
    <w:rsid w:val="007F70B6"/>
    <w:rsid w:val="007F7440"/>
    <w:rsid w:val="0080013B"/>
    <w:rsid w:val="00803ACF"/>
    <w:rsid w:val="00805B42"/>
    <w:rsid w:val="00806E23"/>
    <w:rsid w:val="00807440"/>
    <w:rsid w:val="00811E4E"/>
    <w:rsid w:val="008133BE"/>
    <w:rsid w:val="00813729"/>
    <w:rsid w:val="008149E5"/>
    <w:rsid w:val="00815329"/>
    <w:rsid w:val="00816654"/>
    <w:rsid w:val="008200C9"/>
    <w:rsid w:val="00823531"/>
    <w:rsid w:val="00826843"/>
    <w:rsid w:val="00827CE7"/>
    <w:rsid w:val="008300B8"/>
    <w:rsid w:val="00831246"/>
    <w:rsid w:val="00831468"/>
    <w:rsid w:val="0083191B"/>
    <w:rsid w:val="00833B87"/>
    <w:rsid w:val="0083418B"/>
    <w:rsid w:val="0083542D"/>
    <w:rsid w:val="008355C4"/>
    <w:rsid w:val="00837F9B"/>
    <w:rsid w:val="008403BB"/>
    <w:rsid w:val="008415C4"/>
    <w:rsid w:val="00841607"/>
    <w:rsid w:val="00842AB1"/>
    <w:rsid w:val="00843CD1"/>
    <w:rsid w:val="008542C8"/>
    <w:rsid w:val="008544BC"/>
    <w:rsid w:val="00854CCA"/>
    <w:rsid w:val="0086178E"/>
    <w:rsid w:val="00862ECC"/>
    <w:rsid w:val="00871E3D"/>
    <w:rsid w:val="00872822"/>
    <w:rsid w:val="00873379"/>
    <w:rsid w:val="00876DFB"/>
    <w:rsid w:val="0088434C"/>
    <w:rsid w:val="008929F7"/>
    <w:rsid w:val="00892BA3"/>
    <w:rsid w:val="00893539"/>
    <w:rsid w:val="008935C4"/>
    <w:rsid w:val="00895C42"/>
    <w:rsid w:val="008A04F6"/>
    <w:rsid w:val="008A085A"/>
    <w:rsid w:val="008A2288"/>
    <w:rsid w:val="008A3293"/>
    <w:rsid w:val="008A5626"/>
    <w:rsid w:val="008A5AED"/>
    <w:rsid w:val="008A6411"/>
    <w:rsid w:val="008B2AA5"/>
    <w:rsid w:val="008B4820"/>
    <w:rsid w:val="008B50A9"/>
    <w:rsid w:val="008B5702"/>
    <w:rsid w:val="008B6561"/>
    <w:rsid w:val="008B768E"/>
    <w:rsid w:val="008C015D"/>
    <w:rsid w:val="008C0D84"/>
    <w:rsid w:val="008C1129"/>
    <w:rsid w:val="008C2463"/>
    <w:rsid w:val="008C5023"/>
    <w:rsid w:val="008C540B"/>
    <w:rsid w:val="008C54E7"/>
    <w:rsid w:val="008D1671"/>
    <w:rsid w:val="008D1830"/>
    <w:rsid w:val="008D2C60"/>
    <w:rsid w:val="008D2D52"/>
    <w:rsid w:val="008D6212"/>
    <w:rsid w:val="008D6850"/>
    <w:rsid w:val="008DF18F"/>
    <w:rsid w:val="008E1E2B"/>
    <w:rsid w:val="008E2EFE"/>
    <w:rsid w:val="008E3E0B"/>
    <w:rsid w:val="008E44F1"/>
    <w:rsid w:val="008E6AE4"/>
    <w:rsid w:val="008E6FD8"/>
    <w:rsid w:val="008E7B00"/>
    <w:rsid w:val="008F1B81"/>
    <w:rsid w:val="008F1F2C"/>
    <w:rsid w:val="008F2CAA"/>
    <w:rsid w:val="008F513F"/>
    <w:rsid w:val="008F6F6D"/>
    <w:rsid w:val="0090012D"/>
    <w:rsid w:val="0090109A"/>
    <w:rsid w:val="0090139F"/>
    <w:rsid w:val="00902C47"/>
    <w:rsid w:val="00902F8C"/>
    <w:rsid w:val="00904176"/>
    <w:rsid w:val="0090463A"/>
    <w:rsid w:val="009055B1"/>
    <w:rsid w:val="009055DE"/>
    <w:rsid w:val="009067AC"/>
    <w:rsid w:val="009121A2"/>
    <w:rsid w:val="009144E2"/>
    <w:rsid w:val="00915864"/>
    <w:rsid w:val="00917647"/>
    <w:rsid w:val="009176D3"/>
    <w:rsid w:val="00917E5A"/>
    <w:rsid w:val="009211CA"/>
    <w:rsid w:val="009212E3"/>
    <w:rsid w:val="00922796"/>
    <w:rsid w:val="009241D4"/>
    <w:rsid w:val="00926815"/>
    <w:rsid w:val="00926F00"/>
    <w:rsid w:val="00931430"/>
    <w:rsid w:val="00931C89"/>
    <w:rsid w:val="00933529"/>
    <w:rsid w:val="009346B2"/>
    <w:rsid w:val="00934E80"/>
    <w:rsid w:val="009354B8"/>
    <w:rsid w:val="00935794"/>
    <w:rsid w:val="009371F2"/>
    <w:rsid w:val="009375FA"/>
    <w:rsid w:val="009405FB"/>
    <w:rsid w:val="0094252E"/>
    <w:rsid w:val="00942792"/>
    <w:rsid w:val="009459D2"/>
    <w:rsid w:val="00946AC3"/>
    <w:rsid w:val="00950987"/>
    <w:rsid w:val="00952142"/>
    <w:rsid w:val="00954299"/>
    <w:rsid w:val="00962848"/>
    <w:rsid w:val="00964218"/>
    <w:rsid w:val="0096793A"/>
    <w:rsid w:val="0097090F"/>
    <w:rsid w:val="00970976"/>
    <w:rsid w:val="00971F83"/>
    <w:rsid w:val="009750B9"/>
    <w:rsid w:val="00977CE3"/>
    <w:rsid w:val="00985389"/>
    <w:rsid w:val="00986947"/>
    <w:rsid w:val="009872B3"/>
    <w:rsid w:val="00992A0B"/>
    <w:rsid w:val="0099310D"/>
    <w:rsid w:val="00994396"/>
    <w:rsid w:val="00994689"/>
    <w:rsid w:val="00994CF7"/>
    <w:rsid w:val="00996937"/>
    <w:rsid w:val="00996E67"/>
    <w:rsid w:val="009A26AC"/>
    <w:rsid w:val="009A4E42"/>
    <w:rsid w:val="009A5571"/>
    <w:rsid w:val="009A56C0"/>
    <w:rsid w:val="009A7361"/>
    <w:rsid w:val="009B2634"/>
    <w:rsid w:val="009B461B"/>
    <w:rsid w:val="009B5D26"/>
    <w:rsid w:val="009C170F"/>
    <w:rsid w:val="009C1A05"/>
    <w:rsid w:val="009C248A"/>
    <w:rsid w:val="009C3D5A"/>
    <w:rsid w:val="009C5A1A"/>
    <w:rsid w:val="009C6295"/>
    <w:rsid w:val="009C6325"/>
    <w:rsid w:val="009C6646"/>
    <w:rsid w:val="009C6FCB"/>
    <w:rsid w:val="009D0FFC"/>
    <w:rsid w:val="009D312C"/>
    <w:rsid w:val="009D5F46"/>
    <w:rsid w:val="009D703E"/>
    <w:rsid w:val="009D7DE2"/>
    <w:rsid w:val="009E2306"/>
    <w:rsid w:val="009E3BF0"/>
    <w:rsid w:val="009E6848"/>
    <w:rsid w:val="009F143C"/>
    <w:rsid w:val="009F2FF0"/>
    <w:rsid w:val="009F3192"/>
    <w:rsid w:val="009F3B11"/>
    <w:rsid w:val="009F4687"/>
    <w:rsid w:val="009F562E"/>
    <w:rsid w:val="009F617A"/>
    <w:rsid w:val="009F6502"/>
    <w:rsid w:val="009F69F0"/>
    <w:rsid w:val="009F6A0E"/>
    <w:rsid w:val="009F6BA3"/>
    <w:rsid w:val="009F730F"/>
    <w:rsid w:val="00A0073C"/>
    <w:rsid w:val="00A0127D"/>
    <w:rsid w:val="00A01C71"/>
    <w:rsid w:val="00A0216E"/>
    <w:rsid w:val="00A05C49"/>
    <w:rsid w:val="00A061E1"/>
    <w:rsid w:val="00A06556"/>
    <w:rsid w:val="00A0751F"/>
    <w:rsid w:val="00A07A05"/>
    <w:rsid w:val="00A1402C"/>
    <w:rsid w:val="00A16C8D"/>
    <w:rsid w:val="00A16DCA"/>
    <w:rsid w:val="00A230AB"/>
    <w:rsid w:val="00A2703C"/>
    <w:rsid w:val="00A316DA"/>
    <w:rsid w:val="00A32269"/>
    <w:rsid w:val="00A337FD"/>
    <w:rsid w:val="00A37A60"/>
    <w:rsid w:val="00A37F2A"/>
    <w:rsid w:val="00A46F69"/>
    <w:rsid w:val="00A51DBB"/>
    <w:rsid w:val="00A52D40"/>
    <w:rsid w:val="00A545EE"/>
    <w:rsid w:val="00A56F3D"/>
    <w:rsid w:val="00A60AE9"/>
    <w:rsid w:val="00A610B0"/>
    <w:rsid w:val="00A617BD"/>
    <w:rsid w:val="00A6277F"/>
    <w:rsid w:val="00A6340B"/>
    <w:rsid w:val="00A636E2"/>
    <w:rsid w:val="00A64706"/>
    <w:rsid w:val="00A64C5B"/>
    <w:rsid w:val="00A650AA"/>
    <w:rsid w:val="00A6632F"/>
    <w:rsid w:val="00A67CE3"/>
    <w:rsid w:val="00A67D99"/>
    <w:rsid w:val="00A707A0"/>
    <w:rsid w:val="00A71032"/>
    <w:rsid w:val="00A710D9"/>
    <w:rsid w:val="00A74793"/>
    <w:rsid w:val="00A758AE"/>
    <w:rsid w:val="00A76F07"/>
    <w:rsid w:val="00A818BE"/>
    <w:rsid w:val="00A82E12"/>
    <w:rsid w:val="00A83D42"/>
    <w:rsid w:val="00A83EE7"/>
    <w:rsid w:val="00A8420C"/>
    <w:rsid w:val="00A84D35"/>
    <w:rsid w:val="00A86B14"/>
    <w:rsid w:val="00A90BFD"/>
    <w:rsid w:val="00A90CC9"/>
    <w:rsid w:val="00A92A35"/>
    <w:rsid w:val="00A9355B"/>
    <w:rsid w:val="00A9573C"/>
    <w:rsid w:val="00A95A1A"/>
    <w:rsid w:val="00A9745F"/>
    <w:rsid w:val="00AA12EC"/>
    <w:rsid w:val="00AA21AF"/>
    <w:rsid w:val="00AA7298"/>
    <w:rsid w:val="00AA732C"/>
    <w:rsid w:val="00AB0F58"/>
    <w:rsid w:val="00AB172E"/>
    <w:rsid w:val="00AB1C5F"/>
    <w:rsid w:val="00AB6D5E"/>
    <w:rsid w:val="00AB74A2"/>
    <w:rsid w:val="00AB76F3"/>
    <w:rsid w:val="00AC0660"/>
    <w:rsid w:val="00AC0F92"/>
    <w:rsid w:val="00AC24AB"/>
    <w:rsid w:val="00AC3C8F"/>
    <w:rsid w:val="00AC3F43"/>
    <w:rsid w:val="00AC6D8E"/>
    <w:rsid w:val="00AD3DF7"/>
    <w:rsid w:val="00AD4011"/>
    <w:rsid w:val="00AD5138"/>
    <w:rsid w:val="00AD52CF"/>
    <w:rsid w:val="00AD6106"/>
    <w:rsid w:val="00AD7D05"/>
    <w:rsid w:val="00AE098A"/>
    <w:rsid w:val="00AE1BDE"/>
    <w:rsid w:val="00AE485E"/>
    <w:rsid w:val="00AE4E5D"/>
    <w:rsid w:val="00AE6789"/>
    <w:rsid w:val="00AE767A"/>
    <w:rsid w:val="00AF0F74"/>
    <w:rsid w:val="00AF5278"/>
    <w:rsid w:val="00AF7BCF"/>
    <w:rsid w:val="00AF7F04"/>
    <w:rsid w:val="00B00345"/>
    <w:rsid w:val="00B12AF2"/>
    <w:rsid w:val="00B17BA6"/>
    <w:rsid w:val="00B2018B"/>
    <w:rsid w:val="00B20929"/>
    <w:rsid w:val="00B23A96"/>
    <w:rsid w:val="00B24521"/>
    <w:rsid w:val="00B24625"/>
    <w:rsid w:val="00B265C4"/>
    <w:rsid w:val="00B273E0"/>
    <w:rsid w:val="00B34A5D"/>
    <w:rsid w:val="00B34F00"/>
    <w:rsid w:val="00B356F1"/>
    <w:rsid w:val="00B40904"/>
    <w:rsid w:val="00B42178"/>
    <w:rsid w:val="00B423A3"/>
    <w:rsid w:val="00B428B3"/>
    <w:rsid w:val="00B42CAF"/>
    <w:rsid w:val="00B466C5"/>
    <w:rsid w:val="00B50857"/>
    <w:rsid w:val="00B5087D"/>
    <w:rsid w:val="00B5412C"/>
    <w:rsid w:val="00B55D67"/>
    <w:rsid w:val="00B6429A"/>
    <w:rsid w:val="00B67580"/>
    <w:rsid w:val="00B67B69"/>
    <w:rsid w:val="00B720AF"/>
    <w:rsid w:val="00B7235D"/>
    <w:rsid w:val="00B753B1"/>
    <w:rsid w:val="00B771DB"/>
    <w:rsid w:val="00B814DB"/>
    <w:rsid w:val="00B83D84"/>
    <w:rsid w:val="00B85DC5"/>
    <w:rsid w:val="00B90930"/>
    <w:rsid w:val="00B912EB"/>
    <w:rsid w:val="00B91EA8"/>
    <w:rsid w:val="00B92188"/>
    <w:rsid w:val="00B924A7"/>
    <w:rsid w:val="00B93020"/>
    <w:rsid w:val="00B9645B"/>
    <w:rsid w:val="00B97374"/>
    <w:rsid w:val="00BA05B6"/>
    <w:rsid w:val="00BB0ED3"/>
    <w:rsid w:val="00BB1DA3"/>
    <w:rsid w:val="00BB2020"/>
    <w:rsid w:val="00BB459E"/>
    <w:rsid w:val="00BB71B9"/>
    <w:rsid w:val="00BB7844"/>
    <w:rsid w:val="00BB7DA1"/>
    <w:rsid w:val="00BC2814"/>
    <w:rsid w:val="00BC2F67"/>
    <w:rsid w:val="00BC31BF"/>
    <w:rsid w:val="00BC4F1C"/>
    <w:rsid w:val="00BC5403"/>
    <w:rsid w:val="00BD7E2C"/>
    <w:rsid w:val="00BE2250"/>
    <w:rsid w:val="00BE28AB"/>
    <w:rsid w:val="00BE2EC2"/>
    <w:rsid w:val="00BE3234"/>
    <w:rsid w:val="00BE6F11"/>
    <w:rsid w:val="00BF1C70"/>
    <w:rsid w:val="00BF23BF"/>
    <w:rsid w:val="00BF35D5"/>
    <w:rsid w:val="00BF788A"/>
    <w:rsid w:val="00C00E06"/>
    <w:rsid w:val="00C01ADA"/>
    <w:rsid w:val="00C041CA"/>
    <w:rsid w:val="00C074F9"/>
    <w:rsid w:val="00C11C4B"/>
    <w:rsid w:val="00C13DF0"/>
    <w:rsid w:val="00C2038C"/>
    <w:rsid w:val="00C23BC2"/>
    <w:rsid w:val="00C255AA"/>
    <w:rsid w:val="00C25F4F"/>
    <w:rsid w:val="00C26849"/>
    <w:rsid w:val="00C278AF"/>
    <w:rsid w:val="00C327EE"/>
    <w:rsid w:val="00C32AE6"/>
    <w:rsid w:val="00C349A6"/>
    <w:rsid w:val="00C368B2"/>
    <w:rsid w:val="00C36EA6"/>
    <w:rsid w:val="00C412D4"/>
    <w:rsid w:val="00C42FDB"/>
    <w:rsid w:val="00C45E00"/>
    <w:rsid w:val="00C463F8"/>
    <w:rsid w:val="00C50158"/>
    <w:rsid w:val="00C516F4"/>
    <w:rsid w:val="00C51ABC"/>
    <w:rsid w:val="00C576C9"/>
    <w:rsid w:val="00C577F3"/>
    <w:rsid w:val="00C60FFE"/>
    <w:rsid w:val="00C610BF"/>
    <w:rsid w:val="00C615AD"/>
    <w:rsid w:val="00C615CB"/>
    <w:rsid w:val="00C63C1C"/>
    <w:rsid w:val="00C666E1"/>
    <w:rsid w:val="00C673D8"/>
    <w:rsid w:val="00C747A9"/>
    <w:rsid w:val="00C7516F"/>
    <w:rsid w:val="00C76A8D"/>
    <w:rsid w:val="00C772F6"/>
    <w:rsid w:val="00C819E3"/>
    <w:rsid w:val="00C83700"/>
    <w:rsid w:val="00C91702"/>
    <w:rsid w:val="00C92536"/>
    <w:rsid w:val="00C9544D"/>
    <w:rsid w:val="00C96826"/>
    <w:rsid w:val="00CA154C"/>
    <w:rsid w:val="00CA24EE"/>
    <w:rsid w:val="00CA42E9"/>
    <w:rsid w:val="00CB0C73"/>
    <w:rsid w:val="00CB2948"/>
    <w:rsid w:val="00CB40D3"/>
    <w:rsid w:val="00CB495A"/>
    <w:rsid w:val="00CB662B"/>
    <w:rsid w:val="00CC0769"/>
    <w:rsid w:val="00CC0E57"/>
    <w:rsid w:val="00CC2231"/>
    <w:rsid w:val="00CC39E4"/>
    <w:rsid w:val="00CC3A47"/>
    <w:rsid w:val="00CD194F"/>
    <w:rsid w:val="00CD20D8"/>
    <w:rsid w:val="00CD475F"/>
    <w:rsid w:val="00CD541B"/>
    <w:rsid w:val="00CD58EF"/>
    <w:rsid w:val="00CD6889"/>
    <w:rsid w:val="00CD6BE7"/>
    <w:rsid w:val="00CE1B99"/>
    <w:rsid w:val="00CE232C"/>
    <w:rsid w:val="00CE2867"/>
    <w:rsid w:val="00CE33C8"/>
    <w:rsid w:val="00CE3A36"/>
    <w:rsid w:val="00CE3F71"/>
    <w:rsid w:val="00CE65DC"/>
    <w:rsid w:val="00CE7FAF"/>
    <w:rsid w:val="00CF00CB"/>
    <w:rsid w:val="00CF3FFA"/>
    <w:rsid w:val="00CF5119"/>
    <w:rsid w:val="00D00534"/>
    <w:rsid w:val="00D06C49"/>
    <w:rsid w:val="00D07634"/>
    <w:rsid w:val="00D07992"/>
    <w:rsid w:val="00D12879"/>
    <w:rsid w:val="00D12E60"/>
    <w:rsid w:val="00D1390A"/>
    <w:rsid w:val="00D15B16"/>
    <w:rsid w:val="00D17889"/>
    <w:rsid w:val="00D215DF"/>
    <w:rsid w:val="00D25F3E"/>
    <w:rsid w:val="00D2674A"/>
    <w:rsid w:val="00D3361B"/>
    <w:rsid w:val="00D33E9C"/>
    <w:rsid w:val="00D342C5"/>
    <w:rsid w:val="00D45D04"/>
    <w:rsid w:val="00D4654E"/>
    <w:rsid w:val="00D46E9E"/>
    <w:rsid w:val="00D51034"/>
    <w:rsid w:val="00D53FDF"/>
    <w:rsid w:val="00D55DA9"/>
    <w:rsid w:val="00D5792B"/>
    <w:rsid w:val="00D57D70"/>
    <w:rsid w:val="00D606FB"/>
    <w:rsid w:val="00D62A9D"/>
    <w:rsid w:val="00D636EF"/>
    <w:rsid w:val="00D727D3"/>
    <w:rsid w:val="00D7321D"/>
    <w:rsid w:val="00D77CC5"/>
    <w:rsid w:val="00D81D4C"/>
    <w:rsid w:val="00D849CF"/>
    <w:rsid w:val="00D90268"/>
    <w:rsid w:val="00D9283A"/>
    <w:rsid w:val="00DA4333"/>
    <w:rsid w:val="00DA5744"/>
    <w:rsid w:val="00DA7A9D"/>
    <w:rsid w:val="00DB03D3"/>
    <w:rsid w:val="00DB1FE3"/>
    <w:rsid w:val="00DB23D0"/>
    <w:rsid w:val="00DB3141"/>
    <w:rsid w:val="00DB42DE"/>
    <w:rsid w:val="00DB7AEE"/>
    <w:rsid w:val="00DC282E"/>
    <w:rsid w:val="00DC3B39"/>
    <w:rsid w:val="00DC5E04"/>
    <w:rsid w:val="00DC6EDE"/>
    <w:rsid w:val="00DD2F67"/>
    <w:rsid w:val="00DD3D09"/>
    <w:rsid w:val="00DD6353"/>
    <w:rsid w:val="00DD74C0"/>
    <w:rsid w:val="00DD7A64"/>
    <w:rsid w:val="00DDA060"/>
    <w:rsid w:val="00DE512D"/>
    <w:rsid w:val="00DF0797"/>
    <w:rsid w:val="00DF0B9C"/>
    <w:rsid w:val="00DF251E"/>
    <w:rsid w:val="00DF2F3C"/>
    <w:rsid w:val="00DF530F"/>
    <w:rsid w:val="00E01FA6"/>
    <w:rsid w:val="00E04234"/>
    <w:rsid w:val="00E06DA1"/>
    <w:rsid w:val="00E11D38"/>
    <w:rsid w:val="00E171BB"/>
    <w:rsid w:val="00E21E37"/>
    <w:rsid w:val="00E22885"/>
    <w:rsid w:val="00E240F3"/>
    <w:rsid w:val="00E25A6C"/>
    <w:rsid w:val="00E25E5C"/>
    <w:rsid w:val="00E27B24"/>
    <w:rsid w:val="00E342BD"/>
    <w:rsid w:val="00E347EA"/>
    <w:rsid w:val="00E34ADE"/>
    <w:rsid w:val="00E40529"/>
    <w:rsid w:val="00E43789"/>
    <w:rsid w:val="00E44308"/>
    <w:rsid w:val="00E456D2"/>
    <w:rsid w:val="00E46797"/>
    <w:rsid w:val="00E47605"/>
    <w:rsid w:val="00E50A2E"/>
    <w:rsid w:val="00E534B7"/>
    <w:rsid w:val="00E554D6"/>
    <w:rsid w:val="00E5588A"/>
    <w:rsid w:val="00E55A77"/>
    <w:rsid w:val="00E564E9"/>
    <w:rsid w:val="00E56807"/>
    <w:rsid w:val="00E572CE"/>
    <w:rsid w:val="00E57A45"/>
    <w:rsid w:val="00E60C4D"/>
    <w:rsid w:val="00E64046"/>
    <w:rsid w:val="00E67190"/>
    <w:rsid w:val="00E711BB"/>
    <w:rsid w:val="00E71399"/>
    <w:rsid w:val="00E7196E"/>
    <w:rsid w:val="00E72F3A"/>
    <w:rsid w:val="00E77314"/>
    <w:rsid w:val="00E81374"/>
    <w:rsid w:val="00E861DC"/>
    <w:rsid w:val="00E86F26"/>
    <w:rsid w:val="00E878E1"/>
    <w:rsid w:val="00E90411"/>
    <w:rsid w:val="00E91014"/>
    <w:rsid w:val="00E91B49"/>
    <w:rsid w:val="00E91C07"/>
    <w:rsid w:val="00E91E40"/>
    <w:rsid w:val="00E94314"/>
    <w:rsid w:val="00E94AD7"/>
    <w:rsid w:val="00E95BD8"/>
    <w:rsid w:val="00E96A26"/>
    <w:rsid w:val="00EA0958"/>
    <w:rsid w:val="00EA1DBA"/>
    <w:rsid w:val="00EA5900"/>
    <w:rsid w:val="00EA69AA"/>
    <w:rsid w:val="00EA6A09"/>
    <w:rsid w:val="00EA6C8F"/>
    <w:rsid w:val="00EB0E11"/>
    <w:rsid w:val="00EB1A4E"/>
    <w:rsid w:val="00EC1F83"/>
    <w:rsid w:val="00EC26EE"/>
    <w:rsid w:val="00EC58E5"/>
    <w:rsid w:val="00EC6FB1"/>
    <w:rsid w:val="00EC71B1"/>
    <w:rsid w:val="00ED0342"/>
    <w:rsid w:val="00ED1776"/>
    <w:rsid w:val="00ED24F4"/>
    <w:rsid w:val="00ED2A39"/>
    <w:rsid w:val="00ED53B5"/>
    <w:rsid w:val="00ED688E"/>
    <w:rsid w:val="00EE3921"/>
    <w:rsid w:val="00EE3AD6"/>
    <w:rsid w:val="00EE4F82"/>
    <w:rsid w:val="00EE5990"/>
    <w:rsid w:val="00EE6EFB"/>
    <w:rsid w:val="00EE7DE4"/>
    <w:rsid w:val="00EF01B6"/>
    <w:rsid w:val="00EF20B6"/>
    <w:rsid w:val="00EF2800"/>
    <w:rsid w:val="00EF5DDB"/>
    <w:rsid w:val="00EF6696"/>
    <w:rsid w:val="00F00D34"/>
    <w:rsid w:val="00F01476"/>
    <w:rsid w:val="00F0260F"/>
    <w:rsid w:val="00F037EC"/>
    <w:rsid w:val="00F03804"/>
    <w:rsid w:val="00F03896"/>
    <w:rsid w:val="00F0483A"/>
    <w:rsid w:val="00F102A4"/>
    <w:rsid w:val="00F1048E"/>
    <w:rsid w:val="00F1183D"/>
    <w:rsid w:val="00F12A20"/>
    <w:rsid w:val="00F1464A"/>
    <w:rsid w:val="00F15B91"/>
    <w:rsid w:val="00F16D7A"/>
    <w:rsid w:val="00F21945"/>
    <w:rsid w:val="00F23FA2"/>
    <w:rsid w:val="00F30971"/>
    <w:rsid w:val="00F342A0"/>
    <w:rsid w:val="00F342A4"/>
    <w:rsid w:val="00F35C69"/>
    <w:rsid w:val="00F3C8CD"/>
    <w:rsid w:val="00F432FB"/>
    <w:rsid w:val="00F4447F"/>
    <w:rsid w:val="00F46BAF"/>
    <w:rsid w:val="00F513E2"/>
    <w:rsid w:val="00F52348"/>
    <w:rsid w:val="00F52388"/>
    <w:rsid w:val="00F527D0"/>
    <w:rsid w:val="00F52989"/>
    <w:rsid w:val="00F53B7C"/>
    <w:rsid w:val="00F53E84"/>
    <w:rsid w:val="00F544D8"/>
    <w:rsid w:val="00F600CE"/>
    <w:rsid w:val="00F62632"/>
    <w:rsid w:val="00F65CE8"/>
    <w:rsid w:val="00F663F8"/>
    <w:rsid w:val="00F66556"/>
    <w:rsid w:val="00F70E05"/>
    <w:rsid w:val="00F72BB3"/>
    <w:rsid w:val="00F76B83"/>
    <w:rsid w:val="00F77242"/>
    <w:rsid w:val="00F77603"/>
    <w:rsid w:val="00F77885"/>
    <w:rsid w:val="00F8065B"/>
    <w:rsid w:val="00F83857"/>
    <w:rsid w:val="00F842BB"/>
    <w:rsid w:val="00F84E94"/>
    <w:rsid w:val="00F86105"/>
    <w:rsid w:val="00F86953"/>
    <w:rsid w:val="00F928DD"/>
    <w:rsid w:val="00F929EC"/>
    <w:rsid w:val="00F92AF0"/>
    <w:rsid w:val="00F940B8"/>
    <w:rsid w:val="00F97D7E"/>
    <w:rsid w:val="00FA0133"/>
    <w:rsid w:val="00FA1BA3"/>
    <w:rsid w:val="00FA1F79"/>
    <w:rsid w:val="00FA2D55"/>
    <w:rsid w:val="00FA326C"/>
    <w:rsid w:val="00FA464E"/>
    <w:rsid w:val="00FA4803"/>
    <w:rsid w:val="00FA6835"/>
    <w:rsid w:val="00FA7914"/>
    <w:rsid w:val="00FA7DD0"/>
    <w:rsid w:val="00FB295C"/>
    <w:rsid w:val="00FB2C94"/>
    <w:rsid w:val="00FB5A95"/>
    <w:rsid w:val="00FC08E6"/>
    <w:rsid w:val="00FC28C1"/>
    <w:rsid w:val="00FC373F"/>
    <w:rsid w:val="00FC3B54"/>
    <w:rsid w:val="00FC4D59"/>
    <w:rsid w:val="00FC53AE"/>
    <w:rsid w:val="00FC63CC"/>
    <w:rsid w:val="00FC6CCE"/>
    <w:rsid w:val="00FC7E30"/>
    <w:rsid w:val="00FD30C8"/>
    <w:rsid w:val="00FD3FAB"/>
    <w:rsid w:val="00FD641C"/>
    <w:rsid w:val="00FE5DAB"/>
    <w:rsid w:val="00FE6727"/>
    <w:rsid w:val="00FE6AAD"/>
    <w:rsid w:val="00FE7C9A"/>
    <w:rsid w:val="00FF5AE3"/>
    <w:rsid w:val="00FF6253"/>
    <w:rsid w:val="00FF65B6"/>
    <w:rsid w:val="00FF6E54"/>
    <w:rsid w:val="01121B2E"/>
    <w:rsid w:val="0118D7ED"/>
    <w:rsid w:val="012906F4"/>
    <w:rsid w:val="0135A326"/>
    <w:rsid w:val="015AB83A"/>
    <w:rsid w:val="016EB17B"/>
    <w:rsid w:val="02055976"/>
    <w:rsid w:val="0217EDD9"/>
    <w:rsid w:val="02B6D534"/>
    <w:rsid w:val="03416522"/>
    <w:rsid w:val="0402CCC3"/>
    <w:rsid w:val="0409A065"/>
    <w:rsid w:val="04329764"/>
    <w:rsid w:val="04352FC3"/>
    <w:rsid w:val="056DFDB5"/>
    <w:rsid w:val="05D4A8CF"/>
    <w:rsid w:val="066F319B"/>
    <w:rsid w:val="0685786F"/>
    <w:rsid w:val="0691F19C"/>
    <w:rsid w:val="069D19C1"/>
    <w:rsid w:val="06C7184E"/>
    <w:rsid w:val="06FCFE7A"/>
    <w:rsid w:val="07616EF7"/>
    <w:rsid w:val="07DA594F"/>
    <w:rsid w:val="07DDF2FF"/>
    <w:rsid w:val="07EFDACC"/>
    <w:rsid w:val="08098428"/>
    <w:rsid w:val="08243352"/>
    <w:rsid w:val="086EE70B"/>
    <w:rsid w:val="08B894F2"/>
    <w:rsid w:val="08EC5A31"/>
    <w:rsid w:val="0930B9C7"/>
    <w:rsid w:val="094FD8A0"/>
    <w:rsid w:val="09838490"/>
    <w:rsid w:val="09920CEE"/>
    <w:rsid w:val="09C508AB"/>
    <w:rsid w:val="09C54614"/>
    <w:rsid w:val="09CF907F"/>
    <w:rsid w:val="0AA0A9F8"/>
    <w:rsid w:val="0ACC8A28"/>
    <w:rsid w:val="0B1352D9"/>
    <w:rsid w:val="0B8AE022"/>
    <w:rsid w:val="0B903F06"/>
    <w:rsid w:val="0C24E269"/>
    <w:rsid w:val="0C3C2F1E"/>
    <w:rsid w:val="0C7855CD"/>
    <w:rsid w:val="0C99F795"/>
    <w:rsid w:val="0CA596F4"/>
    <w:rsid w:val="0CE42320"/>
    <w:rsid w:val="0CEE49F5"/>
    <w:rsid w:val="0D36F04F"/>
    <w:rsid w:val="0DB66B94"/>
    <w:rsid w:val="0DF706DA"/>
    <w:rsid w:val="0E3CF5CB"/>
    <w:rsid w:val="0EC47B31"/>
    <w:rsid w:val="0F092CE4"/>
    <w:rsid w:val="0F2FE3DD"/>
    <w:rsid w:val="0F95AC28"/>
    <w:rsid w:val="0F96235D"/>
    <w:rsid w:val="0FA00F42"/>
    <w:rsid w:val="1022B549"/>
    <w:rsid w:val="103421F6"/>
    <w:rsid w:val="10C2E2DB"/>
    <w:rsid w:val="1154DAEB"/>
    <w:rsid w:val="116D7F37"/>
    <w:rsid w:val="118149B3"/>
    <w:rsid w:val="11BA899B"/>
    <w:rsid w:val="11BE4841"/>
    <w:rsid w:val="122F8E9F"/>
    <w:rsid w:val="129B4B4F"/>
    <w:rsid w:val="129F3BCB"/>
    <w:rsid w:val="1344EC54"/>
    <w:rsid w:val="134583CC"/>
    <w:rsid w:val="13856F2D"/>
    <w:rsid w:val="13CFD651"/>
    <w:rsid w:val="1431953C"/>
    <w:rsid w:val="143FC783"/>
    <w:rsid w:val="14894C6B"/>
    <w:rsid w:val="16B27ECA"/>
    <w:rsid w:val="16DCAF38"/>
    <w:rsid w:val="16EB7F4F"/>
    <w:rsid w:val="16F047EF"/>
    <w:rsid w:val="170D6B60"/>
    <w:rsid w:val="171EE7BD"/>
    <w:rsid w:val="17434B7F"/>
    <w:rsid w:val="1764C5CA"/>
    <w:rsid w:val="177DFF0B"/>
    <w:rsid w:val="17D22D00"/>
    <w:rsid w:val="17D6F25D"/>
    <w:rsid w:val="18246065"/>
    <w:rsid w:val="1900DCC8"/>
    <w:rsid w:val="1909D99F"/>
    <w:rsid w:val="197D3FFA"/>
    <w:rsid w:val="19A606BE"/>
    <w:rsid w:val="19A8FB1B"/>
    <w:rsid w:val="19EF346B"/>
    <w:rsid w:val="1A2D7C74"/>
    <w:rsid w:val="1A5916BA"/>
    <w:rsid w:val="1A915696"/>
    <w:rsid w:val="1AE26FF6"/>
    <w:rsid w:val="1AF39ABD"/>
    <w:rsid w:val="1B11F7B6"/>
    <w:rsid w:val="1BD4C12C"/>
    <w:rsid w:val="1BF258E0"/>
    <w:rsid w:val="1C7C9CB0"/>
    <w:rsid w:val="1C903FFF"/>
    <w:rsid w:val="1D46C5BD"/>
    <w:rsid w:val="1D8E2941"/>
    <w:rsid w:val="1DAE62E3"/>
    <w:rsid w:val="1DFC8742"/>
    <w:rsid w:val="1E6B1302"/>
    <w:rsid w:val="1EC4A95F"/>
    <w:rsid w:val="1EFCBD77"/>
    <w:rsid w:val="1F270CCA"/>
    <w:rsid w:val="1F44D8B7"/>
    <w:rsid w:val="1FB29446"/>
    <w:rsid w:val="1FB33BD6"/>
    <w:rsid w:val="2039A261"/>
    <w:rsid w:val="20824213"/>
    <w:rsid w:val="2090B9AB"/>
    <w:rsid w:val="209DB5FA"/>
    <w:rsid w:val="20E17DF9"/>
    <w:rsid w:val="20EDC0A2"/>
    <w:rsid w:val="2177EBE9"/>
    <w:rsid w:val="21A1B6AA"/>
    <w:rsid w:val="21C598B1"/>
    <w:rsid w:val="21F94A31"/>
    <w:rsid w:val="21FF55A5"/>
    <w:rsid w:val="222D381F"/>
    <w:rsid w:val="226942FE"/>
    <w:rsid w:val="22809686"/>
    <w:rsid w:val="22DF2B51"/>
    <w:rsid w:val="22F1E231"/>
    <w:rsid w:val="22F71AEE"/>
    <w:rsid w:val="23034AC1"/>
    <w:rsid w:val="23219D22"/>
    <w:rsid w:val="232F5D42"/>
    <w:rsid w:val="23BB365D"/>
    <w:rsid w:val="23D995A5"/>
    <w:rsid w:val="2405CCA2"/>
    <w:rsid w:val="2483EFEF"/>
    <w:rsid w:val="248F820D"/>
    <w:rsid w:val="2497606D"/>
    <w:rsid w:val="24FE6D35"/>
    <w:rsid w:val="25176072"/>
    <w:rsid w:val="25683D78"/>
    <w:rsid w:val="25A675D1"/>
    <w:rsid w:val="26385B59"/>
    <w:rsid w:val="26410CD1"/>
    <w:rsid w:val="265B3622"/>
    <w:rsid w:val="26814338"/>
    <w:rsid w:val="268CFE19"/>
    <w:rsid w:val="26A0554A"/>
    <w:rsid w:val="26AC7C50"/>
    <w:rsid w:val="26C32019"/>
    <w:rsid w:val="26C63A27"/>
    <w:rsid w:val="273A5DD6"/>
    <w:rsid w:val="274EEE7D"/>
    <w:rsid w:val="27F13196"/>
    <w:rsid w:val="280EFC5E"/>
    <w:rsid w:val="288CD263"/>
    <w:rsid w:val="288EA780"/>
    <w:rsid w:val="288ECAA1"/>
    <w:rsid w:val="28A78E57"/>
    <w:rsid w:val="290C75D6"/>
    <w:rsid w:val="2A33D0C5"/>
    <w:rsid w:val="2A57A733"/>
    <w:rsid w:val="2A703401"/>
    <w:rsid w:val="2AD392B7"/>
    <w:rsid w:val="2B16E0A9"/>
    <w:rsid w:val="2B1FD7A0"/>
    <w:rsid w:val="2B2B4BE3"/>
    <w:rsid w:val="2BC64842"/>
    <w:rsid w:val="2BCEC828"/>
    <w:rsid w:val="2BF4D53E"/>
    <w:rsid w:val="2BF7B62A"/>
    <w:rsid w:val="2C7D56C3"/>
    <w:rsid w:val="2C9AAD05"/>
    <w:rsid w:val="2D6218A3"/>
    <w:rsid w:val="2D727A7C"/>
    <w:rsid w:val="2D8BD6CF"/>
    <w:rsid w:val="2DFADF5B"/>
    <w:rsid w:val="2E18CD15"/>
    <w:rsid w:val="2E2EC2B1"/>
    <w:rsid w:val="2EB4142F"/>
    <w:rsid w:val="2ED606D1"/>
    <w:rsid w:val="2EE2550D"/>
    <w:rsid w:val="2FDA6D23"/>
    <w:rsid w:val="302F48BB"/>
    <w:rsid w:val="30C34E33"/>
    <w:rsid w:val="3103B19B"/>
    <w:rsid w:val="3103BD2E"/>
    <w:rsid w:val="31EE8CBA"/>
    <w:rsid w:val="31F346A9"/>
    <w:rsid w:val="32511583"/>
    <w:rsid w:val="32556AB4"/>
    <w:rsid w:val="32594F33"/>
    <w:rsid w:val="326B28D1"/>
    <w:rsid w:val="32C4937F"/>
    <w:rsid w:val="32F30C1A"/>
    <w:rsid w:val="33168DFB"/>
    <w:rsid w:val="33853146"/>
    <w:rsid w:val="33A5A931"/>
    <w:rsid w:val="33CB2EEC"/>
    <w:rsid w:val="33E66BBD"/>
    <w:rsid w:val="344B5A84"/>
    <w:rsid w:val="348C9788"/>
    <w:rsid w:val="35F8A7E0"/>
    <w:rsid w:val="3658CA02"/>
    <w:rsid w:val="36888A0B"/>
    <w:rsid w:val="3696CF8A"/>
    <w:rsid w:val="36B54A24"/>
    <w:rsid w:val="36BC3A90"/>
    <w:rsid w:val="36F1D65D"/>
    <w:rsid w:val="3710E86F"/>
    <w:rsid w:val="373A68D1"/>
    <w:rsid w:val="374FB423"/>
    <w:rsid w:val="375547E3"/>
    <w:rsid w:val="379B123C"/>
    <w:rsid w:val="37ECA156"/>
    <w:rsid w:val="37FBBB4B"/>
    <w:rsid w:val="38223B9A"/>
    <w:rsid w:val="38CCDE94"/>
    <w:rsid w:val="392AC394"/>
    <w:rsid w:val="392C4C93"/>
    <w:rsid w:val="39541F16"/>
    <w:rsid w:val="39CC18F6"/>
    <w:rsid w:val="3A018A54"/>
    <w:rsid w:val="3A34AEF4"/>
    <w:rsid w:val="3B23DE60"/>
    <w:rsid w:val="3B488829"/>
    <w:rsid w:val="3B765C18"/>
    <w:rsid w:val="3B989558"/>
    <w:rsid w:val="3B9FA31A"/>
    <w:rsid w:val="3BB073D9"/>
    <w:rsid w:val="3C074653"/>
    <w:rsid w:val="3C1624C8"/>
    <w:rsid w:val="3C1BC3E6"/>
    <w:rsid w:val="3C27E00B"/>
    <w:rsid w:val="3C60EE92"/>
    <w:rsid w:val="3C762FDE"/>
    <w:rsid w:val="3C8410B6"/>
    <w:rsid w:val="3CEC5234"/>
    <w:rsid w:val="3D03DB67"/>
    <w:rsid w:val="3D14E468"/>
    <w:rsid w:val="3D7E9144"/>
    <w:rsid w:val="3D8A0A9F"/>
    <w:rsid w:val="3DBC114E"/>
    <w:rsid w:val="3DE77E07"/>
    <w:rsid w:val="3DF4DBD3"/>
    <w:rsid w:val="3E7C48B0"/>
    <w:rsid w:val="3E7CD173"/>
    <w:rsid w:val="3EB69D90"/>
    <w:rsid w:val="3EB9A906"/>
    <w:rsid w:val="3F1BFA54"/>
    <w:rsid w:val="3F50E044"/>
    <w:rsid w:val="404B2369"/>
    <w:rsid w:val="406A18D5"/>
    <w:rsid w:val="4102B0D9"/>
    <w:rsid w:val="4126A6E7"/>
    <w:rsid w:val="4154F223"/>
    <w:rsid w:val="41C87F18"/>
    <w:rsid w:val="421CA820"/>
    <w:rsid w:val="422462C6"/>
    <w:rsid w:val="422E5331"/>
    <w:rsid w:val="428508FE"/>
    <w:rsid w:val="42A3D0DA"/>
    <w:rsid w:val="42FC3BDF"/>
    <w:rsid w:val="43165F60"/>
    <w:rsid w:val="43706A14"/>
    <w:rsid w:val="43AB9E60"/>
    <w:rsid w:val="43C10817"/>
    <w:rsid w:val="43EFCC01"/>
    <w:rsid w:val="44120EDE"/>
    <w:rsid w:val="4456BF8B"/>
    <w:rsid w:val="44E91D9F"/>
    <w:rsid w:val="44F3CCB1"/>
    <w:rsid w:val="44FFAAB3"/>
    <w:rsid w:val="4573E6D3"/>
    <w:rsid w:val="4584AAFB"/>
    <w:rsid w:val="45A3A484"/>
    <w:rsid w:val="45B0DF2F"/>
    <w:rsid w:val="45DCD5FA"/>
    <w:rsid w:val="4633DCA1"/>
    <w:rsid w:val="46AE5515"/>
    <w:rsid w:val="473A0993"/>
    <w:rsid w:val="474356AC"/>
    <w:rsid w:val="47CA1553"/>
    <w:rsid w:val="48254750"/>
    <w:rsid w:val="4831C762"/>
    <w:rsid w:val="486DD4AC"/>
    <w:rsid w:val="4924C00C"/>
    <w:rsid w:val="4931FED4"/>
    <w:rsid w:val="495E65D9"/>
    <w:rsid w:val="49CD97C3"/>
    <w:rsid w:val="4A04CB44"/>
    <w:rsid w:val="4A0542B0"/>
    <w:rsid w:val="4A4023AC"/>
    <w:rsid w:val="4A47886F"/>
    <w:rsid w:val="4A6330D2"/>
    <w:rsid w:val="4AAAF4E0"/>
    <w:rsid w:val="4AC29483"/>
    <w:rsid w:val="4ACDEE95"/>
    <w:rsid w:val="4B029134"/>
    <w:rsid w:val="4B314E23"/>
    <w:rsid w:val="4B401AD1"/>
    <w:rsid w:val="4B6C48FE"/>
    <w:rsid w:val="4BA4DDF6"/>
    <w:rsid w:val="4C020123"/>
    <w:rsid w:val="4C1898CF"/>
    <w:rsid w:val="4C58C966"/>
    <w:rsid w:val="4C5B31DE"/>
    <w:rsid w:val="4C709D5F"/>
    <w:rsid w:val="4C75892B"/>
    <w:rsid w:val="4CDFC2E7"/>
    <w:rsid w:val="4D0302DE"/>
    <w:rsid w:val="4D3C6C06"/>
    <w:rsid w:val="4DB25C86"/>
    <w:rsid w:val="4E058F57"/>
    <w:rsid w:val="4E080B40"/>
    <w:rsid w:val="4E1AA6DD"/>
    <w:rsid w:val="4E203683"/>
    <w:rsid w:val="4E336384"/>
    <w:rsid w:val="4E42E99A"/>
    <w:rsid w:val="4E70E853"/>
    <w:rsid w:val="4E961C6B"/>
    <w:rsid w:val="4EDB7801"/>
    <w:rsid w:val="4FA15FB8"/>
    <w:rsid w:val="4FCF6CCA"/>
    <w:rsid w:val="5038DD38"/>
    <w:rsid w:val="507D3CAF"/>
    <w:rsid w:val="508FF545"/>
    <w:rsid w:val="50A22121"/>
    <w:rsid w:val="50D41085"/>
    <w:rsid w:val="51023CF7"/>
    <w:rsid w:val="51A12EEA"/>
    <w:rsid w:val="51A3B039"/>
    <w:rsid w:val="51EB1E07"/>
    <w:rsid w:val="51FE1F46"/>
    <w:rsid w:val="52A88D31"/>
    <w:rsid w:val="532C832A"/>
    <w:rsid w:val="53343BB3"/>
    <w:rsid w:val="533D63F2"/>
    <w:rsid w:val="5344872F"/>
    <w:rsid w:val="53517D86"/>
    <w:rsid w:val="539D7B7C"/>
    <w:rsid w:val="54084CB0"/>
    <w:rsid w:val="545F50D8"/>
    <w:rsid w:val="546B3BF1"/>
    <w:rsid w:val="5474D0DB"/>
    <w:rsid w:val="549FA7BA"/>
    <w:rsid w:val="54B092CB"/>
    <w:rsid w:val="54BB796A"/>
    <w:rsid w:val="550EE8A9"/>
    <w:rsid w:val="5511BAE0"/>
    <w:rsid w:val="552031F6"/>
    <w:rsid w:val="55477DEB"/>
    <w:rsid w:val="55527A19"/>
    <w:rsid w:val="555814BE"/>
    <w:rsid w:val="555F3E0C"/>
    <w:rsid w:val="55F95D50"/>
    <w:rsid w:val="5610A13C"/>
    <w:rsid w:val="5685531C"/>
    <w:rsid w:val="56C273F0"/>
    <w:rsid w:val="58A2B079"/>
    <w:rsid w:val="58B1C041"/>
    <w:rsid w:val="58E0D29C"/>
    <w:rsid w:val="58F4F0C8"/>
    <w:rsid w:val="594ABDE7"/>
    <w:rsid w:val="59733783"/>
    <w:rsid w:val="5978A98D"/>
    <w:rsid w:val="5A07602B"/>
    <w:rsid w:val="5A09312B"/>
    <w:rsid w:val="5A2DDC80"/>
    <w:rsid w:val="5A79A65D"/>
    <w:rsid w:val="5AAF9791"/>
    <w:rsid w:val="5AAFAB02"/>
    <w:rsid w:val="5AEDB185"/>
    <w:rsid w:val="5B288FDF"/>
    <w:rsid w:val="5B4D11D5"/>
    <w:rsid w:val="5BA69523"/>
    <w:rsid w:val="5BB6BF6F"/>
    <w:rsid w:val="5C05819F"/>
    <w:rsid w:val="5C721FF1"/>
    <w:rsid w:val="5CB4D3BA"/>
    <w:rsid w:val="5CBC037B"/>
    <w:rsid w:val="5D0CE304"/>
    <w:rsid w:val="5DA6232B"/>
    <w:rsid w:val="5EB87A05"/>
    <w:rsid w:val="5EEAAB5F"/>
    <w:rsid w:val="5F7072AD"/>
    <w:rsid w:val="5F795F26"/>
    <w:rsid w:val="5F80C4CC"/>
    <w:rsid w:val="5FD9989F"/>
    <w:rsid w:val="60544A66"/>
    <w:rsid w:val="608450B1"/>
    <w:rsid w:val="60E0121D"/>
    <w:rsid w:val="6105B0B8"/>
    <w:rsid w:val="6115055F"/>
    <w:rsid w:val="613AAF31"/>
    <w:rsid w:val="61FBF5B5"/>
    <w:rsid w:val="6255D568"/>
    <w:rsid w:val="62A18119"/>
    <w:rsid w:val="62A66B85"/>
    <w:rsid w:val="62A8136F"/>
    <w:rsid w:val="633EAE8B"/>
    <w:rsid w:val="634512D3"/>
    <w:rsid w:val="638BEB28"/>
    <w:rsid w:val="641629E0"/>
    <w:rsid w:val="641D418A"/>
    <w:rsid w:val="643D517A"/>
    <w:rsid w:val="646E1136"/>
    <w:rsid w:val="6490C992"/>
    <w:rsid w:val="64A7082A"/>
    <w:rsid w:val="64C0704D"/>
    <w:rsid w:val="64CD5468"/>
    <w:rsid w:val="656EFB90"/>
    <w:rsid w:val="66454C6A"/>
    <w:rsid w:val="664E51E6"/>
    <w:rsid w:val="66B8BD78"/>
    <w:rsid w:val="66C50BB4"/>
    <w:rsid w:val="66FE33D7"/>
    <w:rsid w:val="6776A5EA"/>
    <w:rsid w:val="679606AE"/>
    <w:rsid w:val="679CA65A"/>
    <w:rsid w:val="67C159A3"/>
    <w:rsid w:val="682EA82F"/>
    <w:rsid w:val="68C22194"/>
    <w:rsid w:val="68E29F04"/>
    <w:rsid w:val="6902EA9E"/>
    <w:rsid w:val="699D21CC"/>
    <w:rsid w:val="6A425E7C"/>
    <w:rsid w:val="6A46C572"/>
    <w:rsid w:val="6AA546C4"/>
    <w:rsid w:val="6B2E0F6D"/>
    <w:rsid w:val="6B61C0CF"/>
    <w:rsid w:val="6B92AC6E"/>
    <w:rsid w:val="6BA9B7AE"/>
    <w:rsid w:val="6BD22258"/>
    <w:rsid w:val="6C389DBA"/>
    <w:rsid w:val="6D0DDB73"/>
    <w:rsid w:val="6DB546D9"/>
    <w:rsid w:val="6E63E00C"/>
    <w:rsid w:val="6E73874C"/>
    <w:rsid w:val="6E7C16E2"/>
    <w:rsid w:val="6F0A974C"/>
    <w:rsid w:val="6F628F7A"/>
    <w:rsid w:val="6F9EC4FD"/>
    <w:rsid w:val="6FC41110"/>
    <w:rsid w:val="6FDD1DE7"/>
    <w:rsid w:val="70311E55"/>
    <w:rsid w:val="7031D8EE"/>
    <w:rsid w:val="7088ACC4"/>
    <w:rsid w:val="708F1985"/>
    <w:rsid w:val="70B8D174"/>
    <w:rsid w:val="70EE7B32"/>
    <w:rsid w:val="70F32681"/>
    <w:rsid w:val="7152862C"/>
    <w:rsid w:val="717ECC9C"/>
    <w:rsid w:val="71CCEEB6"/>
    <w:rsid w:val="71ED2AA0"/>
    <w:rsid w:val="72232556"/>
    <w:rsid w:val="723F3919"/>
    <w:rsid w:val="72B8C423"/>
    <w:rsid w:val="72FC4A9C"/>
    <w:rsid w:val="73363812"/>
    <w:rsid w:val="73390309"/>
    <w:rsid w:val="735361E6"/>
    <w:rsid w:val="7368BF17"/>
    <w:rsid w:val="7426268C"/>
    <w:rsid w:val="745B62CA"/>
    <w:rsid w:val="746B1D7B"/>
    <w:rsid w:val="748CEDEB"/>
    <w:rsid w:val="75448D4D"/>
    <w:rsid w:val="756A9637"/>
    <w:rsid w:val="75A1DE24"/>
    <w:rsid w:val="75B80691"/>
    <w:rsid w:val="768F79F9"/>
    <w:rsid w:val="76995FBD"/>
    <w:rsid w:val="769D1E63"/>
    <w:rsid w:val="76E1CFB5"/>
    <w:rsid w:val="76EF9183"/>
    <w:rsid w:val="76FA084F"/>
    <w:rsid w:val="7701C819"/>
    <w:rsid w:val="773682EE"/>
    <w:rsid w:val="7736DD8C"/>
    <w:rsid w:val="77987C89"/>
    <w:rsid w:val="77D6A193"/>
    <w:rsid w:val="7805221F"/>
    <w:rsid w:val="780D8F71"/>
    <w:rsid w:val="78137B55"/>
    <w:rsid w:val="7830488D"/>
    <w:rsid w:val="78680E7C"/>
    <w:rsid w:val="787E9550"/>
    <w:rsid w:val="78A2A33B"/>
    <w:rsid w:val="78B4D391"/>
    <w:rsid w:val="7917CC07"/>
    <w:rsid w:val="7961B0A9"/>
    <w:rsid w:val="799985C1"/>
    <w:rsid w:val="79BB05D1"/>
    <w:rsid w:val="79ED0CBE"/>
    <w:rsid w:val="79FF5C7F"/>
    <w:rsid w:val="7A2C5A9E"/>
    <w:rsid w:val="7A3A2664"/>
    <w:rsid w:val="7AC93DEA"/>
    <w:rsid w:val="7AE4100C"/>
    <w:rsid w:val="7AEB76B5"/>
    <w:rsid w:val="7AEBEB0C"/>
    <w:rsid w:val="7AEDB55B"/>
    <w:rsid w:val="7B0B52BA"/>
    <w:rsid w:val="7B0D4636"/>
    <w:rsid w:val="7B0F1736"/>
    <w:rsid w:val="7B15D7BD"/>
    <w:rsid w:val="7B23E975"/>
    <w:rsid w:val="7B73D0FC"/>
    <w:rsid w:val="7BDC2532"/>
    <w:rsid w:val="7C0550D0"/>
    <w:rsid w:val="7C3F6B7A"/>
    <w:rsid w:val="7C48CD37"/>
    <w:rsid w:val="7C83B573"/>
    <w:rsid w:val="7C8C79CA"/>
    <w:rsid w:val="7CA8B47B"/>
    <w:rsid w:val="7CA91697"/>
    <w:rsid w:val="7CE1D6E5"/>
    <w:rsid w:val="7D8AF9B5"/>
    <w:rsid w:val="7D9D1952"/>
    <w:rsid w:val="7DDD6961"/>
    <w:rsid w:val="7E1987A5"/>
    <w:rsid w:val="7E81B362"/>
    <w:rsid w:val="7EB1488C"/>
    <w:rsid w:val="7F0EA13A"/>
    <w:rsid w:val="7F293D05"/>
    <w:rsid w:val="7F31F5ED"/>
    <w:rsid w:val="7F521B09"/>
    <w:rsid w:val="7F548AE7"/>
    <w:rsid w:val="7F7DF4C5"/>
    <w:rsid w:val="7FCF871A"/>
    <w:rsid w:val="7FFE2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84535"/>
  <w15:docId w15:val="{5162159C-E41D-4424-9078-874A571B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B58"/>
    <w:pPr>
      <w:pBdr>
        <w:top w:val="nil"/>
        <w:left w:val="nil"/>
        <w:bottom w:val="nil"/>
        <w:right w:val="nil"/>
        <w:between w:val="nil"/>
      </w:pBdr>
      <w:spacing w:line="240" w:lineRule="auto"/>
    </w:pPr>
    <w:rPr>
      <w:rFonts w:ascii="Times New Roman" w:eastAsia="Calibri" w:hAnsi="Times New Roman" w:cs="Times New Roman"/>
      <w:color w:val="000000"/>
      <w:sz w:val="24"/>
      <w:szCs w:val="24"/>
      <w:lang w:val="en-US"/>
    </w:rPr>
  </w:style>
  <w:style w:type="paragraph" w:styleId="Heading1">
    <w:name w:val="heading 1"/>
    <w:basedOn w:val="Normal"/>
    <w:next w:val="Normal"/>
    <w:link w:val="Heading1Char"/>
    <w:qFormat/>
    <w:rsid w:val="00650B58"/>
    <w:pPr>
      <w:keepNext/>
      <w:spacing w:before="160"/>
      <w:outlineLvl w:val="0"/>
    </w:pPr>
    <w:rPr>
      <w:rFonts w:ascii="CG Omega" w:hAnsi="CG Omega"/>
      <w:b/>
      <w:sz w:val="26"/>
    </w:rPr>
  </w:style>
  <w:style w:type="paragraph" w:styleId="Heading2">
    <w:name w:val="heading 2"/>
    <w:basedOn w:val="Normal"/>
    <w:next w:val="Normal"/>
    <w:link w:val="Heading2Char"/>
    <w:qFormat/>
    <w:rsid w:val="00650B58"/>
    <w:pPr>
      <w:keepNext/>
      <w:ind w:left="3600"/>
      <w:outlineLvl w:val="1"/>
    </w:pPr>
    <w:rPr>
      <w:rFonts w:ascii="CG Omega" w:hAnsi="CG Omega"/>
      <w:b/>
      <w:sz w:val="72"/>
    </w:rPr>
  </w:style>
  <w:style w:type="paragraph" w:styleId="Heading3">
    <w:name w:val="heading 3"/>
    <w:basedOn w:val="Normal"/>
    <w:next w:val="Normal"/>
    <w:link w:val="Heading3Char"/>
    <w:qFormat/>
    <w:rsid w:val="00650B58"/>
    <w:pPr>
      <w:keepNext/>
      <w:outlineLvl w:val="2"/>
    </w:pPr>
    <w:rPr>
      <w:rFonts w:ascii="CG Omega" w:hAnsi="CG Omega"/>
      <w:b/>
      <w:sz w:val="30"/>
      <w:szCs w:val="28"/>
    </w:rPr>
  </w:style>
  <w:style w:type="paragraph" w:styleId="Heading4">
    <w:name w:val="heading 4"/>
    <w:basedOn w:val="Normal"/>
    <w:next w:val="Normal"/>
    <w:link w:val="Heading4Char"/>
    <w:qFormat/>
    <w:rsid w:val="00650B58"/>
    <w:pPr>
      <w:keepNext/>
      <w:pageBreakBefore/>
      <w:spacing w:after="220"/>
      <w:outlineLvl w:val="3"/>
    </w:pPr>
    <w:rPr>
      <w:rFonts w:ascii="CG Omega" w:hAnsi="CG Omega"/>
      <w:b/>
      <w:sz w:val="30"/>
      <w:szCs w:val="28"/>
    </w:rPr>
  </w:style>
  <w:style w:type="paragraph" w:styleId="Heading5">
    <w:name w:val="heading 5"/>
    <w:basedOn w:val="Normal"/>
    <w:next w:val="Normal"/>
    <w:link w:val="Heading5Char"/>
    <w:qFormat/>
    <w:rsid w:val="00650B58"/>
    <w:pPr>
      <w:keepNext/>
      <w:outlineLvl w:val="4"/>
    </w:pPr>
    <w:rPr>
      <w:rFonts w:ascii="CG Omega" w:hAnsi="CG Omega"/>
      <w:b/>
    </w:rPr>
  </w:style>
  <w:style w:type="paragraph" w:styleId="Heading6">
    <w:name w:val="heading 6"/>
    <w:basedOn w:val="Normal"/>
    <w:next w:val="Normal"/>
    <w:link w:val="Heading6Char"/>
    <w:qFormat/>
    <w:rsid w:val="00650B58"/>
    <w:pPr>
      <w:keepNext/>
      <w:outlineLvl w:val="5"/>
    </w:pPr>
    <w:rPr>
      <w:b/>
      <w:sz w:val="20"/>
    </w:rPr>
  </w:style>
  <w:style w:type="paragraph" w:styleId="Heading7">
    <w:name w:val="heading 7"/>
    <w:basedOn w:val="Normal"/>
    <w:next w:val="Normal"/>
    <w:link w:val="Heading7Char"/>
    <w:qFormat/>
    <w:rsid w:val="00650B58"/>
    <w:pPr>
      <w:keepNext/>
      <w:jc w:val="center"/>
      <w:outlineLvl w:val="6"/>
    </w:pPr>
    <w:rPr>
      <w:b/>
      <w:sz w:val="32"/>
    </w:rPr>
  </w:style>
  <w:style w:type="paragraph" w:styleId="Heading8">
    <w:name w:val="heading 8"/>
    <w:basedOn w:val="Normal"/>
    <w:next w:val="Normal"/>
    <w:link w:val="Heading8Char"/>
    <w:qFormat/>
    <w:rsid w:val="00650B58"/>
    <w:pPr>
      <w:spacing w:before="240" w:after="60"/>
      <w:outlineLvl w:val="7"/>
    </w:pPr>
    <w:rPr>
      <w:i/>
      <w:iCs/>
    </w:rPr>
  </w:style>
  <w:style w:type="paragraph" w:styleId="Heading9">
    <w:name w:val="heading 9"/>
    <w:basedOn w:val="Normal"/>
    <w:next w:val="Normal"/>
    <w:link w:val="Heading9Char"/>
    <w:qFormat/>
    <w:rsid w:val="00650B5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link w:val="Normal0Char"/>
    <w:qFormat/>
    <w:rsid w:val="001E4B39"/>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link w:val="TitleChar"/>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650B58"/>
    <w:rPr>
      <w:sz w:val="20"/>
      <w:szCs w:val="20"/>
    </w:rPr>
  </w:style>
  <w:style w:type="character" w:customStyle="1" w:styleId="CommentTextChar">
    <w:name w:val="Comment Text Char"/>
    <w:basedOn w:val="DefaultParagraphFont"/>
    <w:link w:val="CommentText"/>
    <w:uiPriority w:val="99"/>
    <w:rsid w:val="00650B58"/>
    <w:rPr>
      <w:rFonts w:ascii="Times New Roman" w:eastAsia="Calibri" w:hAnsi="Times New Roman" w:cs="Times New Roman"/>
      <w:color w:val="000000"/>
      <w:sz w:val="20"/>
      <w:szCs w:val="20"/>
      <w:lang w:val="en-US"/>
    </w:rPr>
  </w:style>
  <w:style w:type="character" w:styleId="CommentReference">
    <w:name w:val="annotation reference"/>
    <w:basedOn w:val="DefaultParagraphFont"/>
    <w:uiPriority w:val="99"/>
    <w:semiHidden/>
    <w:unhideWhenUsed/>
    <w:rsid w:val="00650B58"/>
    <w:rPr>
      <w:sz w:val="16"/>
      <w:szCs w:val="16"/>
    </w:rPr>
  </w:style>
  <w:style w:type="paragraph" w:styleId="Header">
    <w:name w:val="header"/>
    <w:basedOn w:val="Normal"/>
    <w:link w:val="HeaderChar"/>
    <w:uiPriority w:val="99"/>
    <w:unhideWhenUsed/>
    <w:rsid w:val="00650B58"/>
    <w:pPr>
      <w:tabs>
        <w:tab w:val="center" w:pos="4680"/>
        <w:tab w:val="right" w:pos="9360"/>
      </w:tabs>
    </w:pPr>
  </w:style>
  <w:style w:type="character" w:customStyle="1" w:styleId="HeaderChar">
    <w:name w:val="Header Char"/>
    <w:basedOn w:val="DefaultParagraphFont"/>
    <w:link w:val="Header"/>
    <w:uiPriority w:val="99"/>
    <w:rsid w:val="00650B58"/>
    <w:rPr>
      <w:rFonts w:ascii="Times New Roman" w:eastAsia="Calibri" w:hAnsi="Times New Roman" w:cs="Times New Roman"/>
      <w:color w:val="000000"/>
      <w:sz w:val="24"/>
      <w:szCs w:val="24"/>
      <w:lang w:val="en-US"/>
    </w:rPr>
  </w:style>
  <w:style w:type="paragraph" w:styleId="Footer">
    <w:name w:val="footer"/>
    <w:basedOn w:val="Normal"/>
    <w:link w:val="FooterChar"/>
    <w:uiPriority w:val="99"/>
    <w:unhideWhenUsed/>
    <w:rsid w:val="00650B58"/>
    <w:pPr>
      <w:tabs>
        <w:tab w:val="center" w:pos="4680"/>
        <w:tab w:val="right" w:pos="9360"/>
      </w:tabs>
    </w:pPr>
  </w:style>
  <w:style w:type="character" w:customStyle="1" w:styleId="FooterChar">
    <w:name w:val="Footer Char"/>
    <w:basedOn w:val="DefaultParagraphFont"/>
    <w:link w:val="Footer"/>
    <w:uiPriority w:val="99"/>
    <w:rsid w:val="00650B58"/>
    <w:rPr>
      <w:rFonts w:ascii="Times New Roman" w:eastAsia="Calibri" w:hAnsi="Times New Roman" w:cs="Times New Roman"/>
      <w:color w:val="000000"/>
      <w:sz w:val="24"/>
      <w:szCs w:val="24"/>
      <w:lang w:val="en-US"/>
    </w:r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paragraph" w:customStyle="1" w:styleId="CFKSFormat">
    <w:name w:val="CF KS Format"/>
    <w:basedOn w:val="Normal"/>
    <w:link w:val="CFKSFormatChar"/>
    <w:qFormat/>
    <w:rsid w:val="00650B58"/>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table" w:customStyle="1" w:styleId="afb">
    <w:basedOn w:val="NormalTable0"/>
    <w:tblPr>
      <w:tblStyleRowBandSize w:val="1"/>
      <w:tblStyleColBandSize w:val="1"/>
      <w:tblCellMar>
        <w:top w:w="100" w:type="dxa"/>
        <w:left w:w="100" w:type="dxa"/>
        <w:bottom w:w="100" w:type="dxa"/>
        <w:right w:w="100" w:type="dxa"/>
      </w:tblCellMar>
    </w:tblPr>
  </w:style>
  <w:style w:type="table" w:customStyle="1" w:styleId="afc">
    <w:basedOn w:val="NormalTable0"/>
    <w:tblPr>
      <w:tblStyleRowBandSize w:val="1"/>
      <w:tblStyleColBandSize w:val="1"/>
      <w:tblCellMar>
        <w:top w:w="100" w:type="dxa"/>
        <w:left w:w="100" w:type="dxa"/>
        <w:bottom w:w="100" w:type="dxa"/>
        <w:right w:w="100" w:type="dxa"/>
      </w:tblCellMar>
    </w:tblPr>
  </w:style>
  <w:style w:type="table" w:customStyle="1" w:styleId="afd">
    <w:basedOn w:val="NormalTable0"/>
    <w:tblPr>
      <w:tblStyleRowBandSize w:val="1"/>
      <w:tblStyleColBandSize w:val="1"/>
      <w:tblCellMar>
        <w:top w:w="100" w:type="dxa"/>
        <w:left w:w="100" w:type="dxa"/>
        <w:bottom w:w="100" w:type="dxa"/>
        <w:right w:w="100" w:type="dxa"/>
      </w:tblCellMar>
    </w:tblPr>
  </w:style>
  <w:style w:type="table" w:customStyle="1" w:styleId="afe">
    <w:basedOn w:val="NormalTable0"/>
    <w:tblPr>
      <w:tblStyleRowBandSize w:val="1"/>
      <w:tblStyleColBandSize w:val="1"/>
      <w:tblCellMar>
        <w:top w:w="100" w:type="dxa"/>
        <w:left w:w="100" w:type="dxa"/>
        <w:bottom w:w="100" w:type="dxa"/>
        <w:right w:w="100" w:type="dxa"/>
      </w:tblCellMar>
    </w:tblPr>
  </w:style>
  <w:style w:type="table" w:customStyle="1" w:styleId="aff">
    <w:basedOn w:val="NormalTable0"/>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b">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c">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d">
    <w:basedOn w:val="NormalTable0"/>
    <w:pPr>
      <w:spacing w:line="240" w:lineRule="auto"/>
    </w:pPr>
    <w:tblPr>
      <w:tblStyleRowBandSize w:val="1"/>
      <w:tblStyleColBandSize w:val="1"/>
      <w:tblCellMar>
        <w:top w:w="100" w:type="dxa"/>
        <w:left w:w="100" w:type="dxa"/>
        <w:bottom w:w="100" w:type="dxa"/>
        <w:right w:w="100" w:type="dxa"/>
      </w:tblCellMar>
    </w:tblPr>
  </w:style>
  <w:style w:type="paragraph" w:customStyle="1" w:styleId="SumLastPagebullets">
    <w:name w:val="Sum Last Page bullets"/>
    <w:basedOn w:val="Sump1bullet"/>
    <w:link w:val="SumLastPagebulletsChar"/>
    <w:qFormat/>
    <w:rsid w:val="00650B58"/>
  </w:style>
  <w:style w:type="character" w:customStyle="1" w:styleId="SumLastPagebulletsChar">
    <w:name w:val="Sum Last Page bullets Char"/>
    <w:basedOn w:val="DefaultParagraphFont"/>
    <w:link w:val="SumLastPagebullets"/>
    <w:rsid w:val="00650B58"/>
    <w:rPr>
      <w:rFonts w:ascii="Times New Roman" w:eastAsia="Calibri" w:hAnsi="Times New Roman" w:cs="Times New Roman"/>
      <w:color w:val="000000"/>
      <w:sz w:val="24"/>
      <w:szCs w:val="24"/>
      <w:lang w:val="en-US"/>
    </w:rPr>
  </w:style>
  <w:style w:type="paragraph" w:customStyle="1" w:styleId="Sump1blankline">
    <w:name w:val="Sum p1 blank line"/>
    <w:basedOn w:val="Normal"/>
    <w:link w:val="Sump1blanklineChar"/>
    <w:qFormat/>
    <w:rsid w:val="00650B58"/>
    <w:pPr>
      <w:spacing w:line="259" w:lineRule="auto"/>
    </w:pPr>
    <w:rPr>
      <w:b/>
      <w:sz w:val="12"/>
      <w:szCs w:val="12"/>
      <w:lang w:val="en"/>
    </w:rPr>
  </w:style>
  <w:style w:type="character" w:customStyle="1" w:styleId="Sump1blanklineChar">
    <w:name w:val="Sum p1 blank line Char"/>
    <w:basedOn w:val="DefaultParagraphFont"/>
    <w:link w:val="Sump1blankline"/>
    <w:rsid w:val="00650B58"/>
    <w:rPr>
      <w:rFonts w:ascii="Times New Roman" w:eastAsia="Calibri" w:hAnsi="Times New Roman" w:cs="Times New Roman"/>
      <w:b/>
      <w:color w:val="000000"/>
      <w:sz w:val="12"/>
      <w:szCs w:val="12"/>
    </w:rPr>
  </w:style>
  <w:style w:type="paragraph" w:customStyle="1" w:styleId="Sump1bullet">
    <w:name w:val="Sum p1 bullet"/>
    <w:basedOn w:val="SOLBullet"/>
    <w:link w:val="Sump1bulletChar"/>
    <w:qFormat/>
    <w:rsid w:val="00650B58"/>
    <w:pPr>
      <w:numPr>
        <w:numId w:val="7"/>
      </w:numPr>
      <w:spacing w:line="259" w:lineRule="auto"/>
    </w:pPr>
  </w:style>
  <w:style w:type="character" w:customStyle="1" w:styleId="Sump1bulletChar">
    <w:name w:val="Sum p1 bullet Char"/>
    <w:basedOn w:val="DefaultParagraphFont"/>
    <w:link w:val="Sump1bullet"/>
    <w:rsid w:val="00650B58"/>
    <w:rPr>
      <w:rFonts w:ascii="Times New Roman" w:eastAsia="Calibri" w:hAnsi="Times New Roman" w:cs="Times New Roman"/>
      <w:color w:val="000000"/>
      <w:sz w:val="24"/>
      <w:szCs w:val="24"/>
      <w:lang w:val="en-US"/>
    </w:rPr>
  </w:style>
  <w:style w:type="paragraph" w:customStyle="1" w:styleId="Sump1Italic">
    <w:name w:val="Sum p1 Italic"/>
    <w:basedOn w:val="Normal"/>
    <w:link w:val="Sump1ItalicChar"/>
    <w:qFormat/>
    <w:rsid w:val="00650B58"/>
    <w:pPr>
      <w:spacing w:line="259" w:lineRule="auto"/>
    </w:pPr>
    <w:rPr>
      <w:i/>
      <w:lang w:val="en"/>
    </w:rPr>
  </w:style>
  <w:style w:type="character" w:customStyle="1" w:styleId="Sump1ItalicChar">
    <w:name w:val="Sum p1 Italic Char"/>
    <w:basedOn w:val="DefaultParagraphFont"/>
    <w:link w:val="Sump1Italic"/>
    <w:rsid w:val="00650B58"/>
    <w:rPr>
      <w:rFonts w:ascii="Times New Roman" w:eastAsia="Calibri" w:hAnsi="Times New Roman" w:cs="Times New Roman"/>
      <w:i/>
      <w:color w:val="000000"/>
      <w:sz w:val="24"/>
      <w:szCs w:val="24"/>
    </w:rPr>
  </w:style>
  <w:style w:type="paragraph" w:customStyle="1" w:styleId="VHead1">
    <w:name w:val="V Head1"/>
    <w:basedOn w:val="Normal"/>
    <w:link w:val="VHead1Char"/>
    <w:qFormat/>
    <w:rsid w:val="00650B58"/>
    <w:pPr>
      <w:widowControl w:val="0"/>
      <w:shd w:val="clear" w:color="auto" w:fill="8DB3E2" w:themeFill="text2" w:themeFillTint="66"/>
      <w:spacing w:line="288" w:lineRule="auto"/>
      <w:jc w:val="center"/>
    </w:pPr>
    <w:rPr>
      <w:rFonts w:eastAsiaTheme="minorHAnsi"/>
      <w:b/>
      <w:bCs/>
      <w:color w:val="auto"/>
      <w:sz w:val="36"/>
      <w:szCs w:val="36"/>
    </w:rPr>
  </w:style>
  <w:style w:type="character" w:customStyle="1" w:styleId="VHead1Char">
    <w:name w:val="V Head1 Char"/>
    <w:basedOn w:val="DefaultParagraphFont"/>
    <w:link w:val="VHead1"/>
    <w:rsid w:val="00650B58"/>
    <w:rPr>
      <w:rFonts w:ascii="Times New Roman" w:eastAsiaTheme="minorHAnsi" w:hAnsi="Times New Roman" w:cs="Times New Roman"/>
      <w:b/>
      <w:bCs/>
      <w:sz w:val="36"/>
      <w:szCs w:val="36"/>
      <w:shd w:val="clear" w:color="auto" w:fill="8DB3E2" w:themeFill="text2" w:themeFillTint="66"/>
      <w:lang w:val="en-US"/>
    </w:rPr>
  </w:style>
  <w:style w:type="paragraph" w:customStyle="1" w:styleId="VHead2">
    <w:name w:val="V Head2"/>
    <w:basedOn w:val="Normal"/>
    <w:link w:val="VHead2Char"/>
    <w:qFormat/>
    <w:rsid w:val="00650B58"/>
    <w:pPr>
      <w:spacing w:line="259" w:lineRule="auto"/>
      <w:jc w:val="center"/>
    </w:pPr>
    <w:rPr>
      <w:b/>
      <w:sz w:val="28"/>
      <w:szCs w:val="28"/>
      <w:lang w:val="en"/>
    </w:rPr>
  </w:style>
  <w:style w:type="character" w:customStyle="1" w:styleId="VHead2Char">
    <w:name w:val="V Head2 Char"/>
    <w:basedOn w:val="DefaultParagraphFont"/>
    <w:link w:val="VHead2"/>
    <w:rsid w:val="00650B58"/>
    <w:rPr>
      <w:rFonts w:ascii="Times New Roman" w:eastAsia="Calibri" w:hAnsi="Times New Roman" w:cs="Times New Roman"/>
      <w:b/>
      <w:color w:val="000000"/>
      <w:sz w:val="28"/>
      <w:szCs w:val="28"/>
    </w:rPr>
  </w:style>
  <w:style w:type="paragraph" w:customStyle="1" w:styleId="VSOL16">
    <w:name w:val="V SOL16"/>
    <w:basedOn w:val="Normal"/>
    <w:link w:val="VSOL16Char"/>
    <w:qFormat/>
    <w:rsid w:val="00C615CB"/>
    <w:pPr>
      <w:spacing w:after="240"/>
    </w:pPr>
    <w:rPr>
      <w:rFonts w:eastAsia="Times New Roman"/>
      <w:b/>
    </w:rPr>
  </w:style>
  <w:style w:type="character" w:customStyle="1" w:styleId="VSOL16Char">
    <w:name w:val="V SOL16 Char"/>
    <w:basedOn w:val="DefaultParagraphFont"/>
    <w:link w:val="VSOL16"/>
    <w:rsid w:val="00C615CB"/>
    <w:rPr>
      <w:rFonts w:ascii="Times New Roman" w:eastAsia="Times New Roman" w:hAnsi="Times New Roman" w:cs="Times New Roman"/>
      <w:b/>
      <w:color w:val="000000"/>
      <w:sz w:val="24"/>
      <w:szCs w:val="24"/>
      <w:lang w:val="en-US"/>
    </w:rPr>
  </w:style>
  <w:style w:type="paragraph" w:customStyle="1" w:styleId="VSOL16B">
    <w:name w:val="V SOL16B"/>
    <w:basedOn w:val="Sump1bullet"/>
    <w:link w:val="VSOL16BChar"/>
    <w:qFormat/>
    <w:rsid w:val="00650B58"/>
    <w:pPr>
      <w:spacing w:after="60" w:line="240" w:lineRule="auto"/>
      <w:ind w:left="720"/>
    </w:pPr>
  </w:style>
  <w:style w:type="character" w:customStyle="1" w:styleId="VSOL16BChar">
    <w:name w:val="V SOL16B Char"/>
    <w:basedOn w:val="DefaultParagraphFont"/>
    <w:link w:val="VSOL16B"/>
    <w:rsid w:val="00650B58"/>
    <w:rPr>
      <w:rFonts w:ascii="Times New Roman" w:eastAsia="Calibri" w:hAnsi="Times New Roman" w:cs="Times New Roman"/>
      <w:color w:val="000000"/>
      <w:sz w:val="24"/>
      <w:szCs w:val="24"/>
      <w:lang w:val="en-US"/>
    </w:rPr>
  </w:style>
  <w:style w:type="paragraph" w:customStyle="1" w:styleId="VSOL16L">
    <w:name w:val="V SOL16L"/>
    <w:basedOn w:val="Normal"/>
    <w:link w:val="VSOL16LChar"/>
    <w:qFormat/>
    <w:rsid w:val="00047198"/>
    <w:pPr>
      <w:numPr>
        <w:numId w:val="14"/>
      </w:numPr>
    </w:pPr>
    <w:rPr>
      <w:b/>
      <w:bCs/>
      <w:lang w:val="en"/>
    </w:rPr>
  </w:style>
  <w:style w:type="character" w:customStyle="1" w:styleId="VSOL16LChar">
    <w:name w:val="V SOL16L Char"/>
    <w:basedOn w:val="DefaultParagraphFont"/>
    <w:link w:val="VSOL16L"/>
    <w:rsid w:val="00047198"/>
    <w:rPr>
      <w:rFonts w:ascii="Times New Roman" w:eastAsia="Calibri" w:hAnsi="Times New Roman" w:cs="Times New Roman"/>
      <w:b/>
      <w:bCs/>
      <w:color w:val="000000"/>
      <w:sz w:val="24"/>
      <w:szCs w:val="24"/>
    </w:rPr>
  </w:style>
  <w:style w:type="paragraph" w:customStyle="1" w:styleId="VSOL23">
    <w:name w:val="V SOL23"/>
    <w:basedOn w:val="VSOL23L"/>
    <w:link w:val="VSOL23Char"/>
    <w:qFormat/>
    <w:rsid w:val="00C615CB"/>
    <w:pPr>
      <w:numPr>
        <w:ilvl w:val="0"/>
      </w:numPr>
      <w:spacing w:after="240"/>
      <w:contextualSpacing/>
    </w:pPr>
    <w:rPr>
      <w:b/>
      <w:bCs/>
    </w:rPr>
  </w:style>
  <w:style w:type="character" w:customStyle="1" w:styleId="VSOL23Char">
    <w:name w:val="V SOL23 Char"/>
    <w:basedOn w:val="DefaultParagraphFont"/>
    <w:link w:val="VSOL23"/>
    <w:rsid w:val="00C615CB"/>
    <w:rPr>
      <w:rFonts w:ascii="Times New Roman" w:eastAsia="Calibri" w:hAnsi="Times New Roman" w:cs="Times New Roman"/>
      <w:b/>
      <w:bCs/>
      <w:color w:val="000000"/>
      <w:sz w:val="24"/>
      <w:szCs w:val="24"/>
    </w:rPr>
  </w:style>
  <w:style w:type="paragraph" w:customStyle="1" w:styleId="VSOL23L">
    <w:name w:val="V SOL23L"/>
    <w:link w:val="VSOL23LChar"/>
    <w:qFormat/>
    <w:rsid w:val="00650B58"/>
    <w:pPr>
      <w:numPr>
        <w:ilvl w:val="1"/>
        <w:numId w:val="11"/>
      </w:numPr>
      <w:spacing w:after="60" w:line="240" w:lineRule="auto"/>
    </w:pPr>
    <w:rPr>
      <w:rFonts w:ascii="Times New Roman" w:eastAsia="Calibri" w:hAnsi="Times New Roman" w:cs="Times New Roman"/>
      <w:color w:val="000000"/>
      <w:sz w:val="24"/>
      <w:szCs w:val="24"/>
    </w:rPr>
  </w:style>
  <w:style w:type="character" w:customStyle="1" w:styleId="VSOL23LChar">
    <w:name w:val="V SOL23L Char"/>
    <w:basedOn w:val="DefaultParagraphFont"/>
    <w:link w:val="VSOL23L"/>
    <w:rsid w:val="00650B58"/>
    <w:rPr>
      <w:rFonts w:ascii="Times New Roman" w:eastAsia="Calibri" w:hAnsi="Times New Roman" w:cs="Times New Roman"/>
      <w:color w:val="000000"/>
      <w:sz w:val="24"/>
      <w:szCs w:val="24"/>
    </w:rPr>
  </w:style>
  <w:style w:type="paragraph" w:customStyle="1" w:styleId="VSOL23Bsub">
    <w:name w:val="V SOL 23B sub"/>
    <w:basedOn w:val="Normal0"/>
    <w:link w:val="VSOL23BsubChar"/>
    <w:rsid w:val="009375FA"/>
    <w:pPr>
      <w:numPr>
        <w:ilvl w:val="1"/>
        <w:numId w:val="3"/>
      </w:numPr>
      <w:pBdr>
        <w:top w:val="nil"/>
        <w:left w:val="nil"/>
        <w:bottom w:val="nil"/>
        <w:right w:val="nil"/>
        <w:between w:val="nil"/>
      </w:pBdr>
      <w:spacing w:after="60" w:line="240" w:lineRule="auto"/>
      <w:contextualSpacing/>
    </w:pPr>
    <w:rPr>
      <w:rFonts w:ascii="Times New Roman" w:eastAsia="Times New Roman" w:hAnsi="Times New Roman" w:cs="Times New Roman"/>
      <w:color w:val="000000"/>
      <w:sz w:val="24"/>
      <w:szCs w:val="24"/>
    </w:rPr>
  </w:style>
  <w:style w:type="character" w:customStyle="1" w:styleId="VSOL23BsubChar">
    <w:name w:val="V SOL 23B sub Char"/>
    <w:basedOn w:val="VSOL16BChar"/>
    <w:link w:val="VSOL23Bsub"/>
    <w:rsid w:val="009375FA"/>
    <w:rPr>
      <w:rFonts w:ascii="Times New Roman" w:eastAsia="Times New Roman" w:hAnsi="Times New Roman" w:cs="Times New Roman"/>
      <w:color w:val="000000"/>
      <w:sz w:val="24"/>
      <w:szCs w:val="24"/>
      <w:lang w:val="en-US"/>
    </w:rPr>
  </w:style>
  <w:style w:type="table" w:customStyle="1" w:styleId="affe">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5">
    <w:basedOn w:val="NormalTable0"/>
    <w:tblPr>
      <w:tblStyleRowBandSize w:val="1"/>
      <w:tblStyleColBandSize w:val="1"/>
      <w:tblCellMar>
        <w:left w:w="115" w:type="dxa"/>
        <w:right w:w="115" w:type="dxa"/>
      </w:tblCellMar>
    </w:tblPr>
  </w:style>
  <w:style w:type="paragraph" w:styleId="ListParagraph">
    <w:name w:val="List Paragraph"/>
    <w:basedOn w:val="Normal"/>
    <w:uiPriority w:val="34"/>
    <w:qFormat/>
    <w:rsid w:val="00650B58"/>
    <w:pPr>
      <w:ind w:left="720"/>
      <w:contextualSpacing/>
    </w:pPr>
  </w:style>
  <w:style w:type="paragraph" w:customStyle="1" w:styleId="VSOL16bsub1">
    <w:name w:val="V SOL 16b sub"/>
    <w:basedOn w:val="VSOL16B"/>
    <w:link w:val="VSOL16bsubChar"/>
    <w:qFormat/>
    <w:rsid w:val="003B2E90"/>
    <w:pPr>
      <w:numPr>
        <w:numId w:val="0"/>
      </w:numPr>
      <w:contextualSpacing/>
    </w:pPr>
  </w:style>
  <w:style w:type="character" w:customStyle="1" w:styleId="VSOL16bsubChar">
    <w:name w:val="V SOL 16b sub Char"/>
    <w:basedOn w:val="DefaultParagraphFont"/>
    <w:link w:val="VSOL16bsub1"/>
    <w:rsid w:val="003B2E90"/>
    <w:rPr>
      <w:rFonts w:ascii="Times New Roman" w:eastAsia="Times New Roman" w:hAnsi="Times New Roman" w:cs="Times New Roman"/>
      <w:color w:val="000000"/>
      <w:sz w:val="24"/>
      <w:szCs w:val="24"/>
    </w:rPr>
  </w:style>
  <w:style w:type="paragraph" w:customStyle="1" w:styleId="Subtitle0">
    <w:name w:val="Subtitle0"/>
    <w:basedOn w:val="Normal0"/>
    <w:next w:val="Normal0"/>
    <w:pPr>
      <w:keepNext/>
      <w:keepLines/>
      <w:spacing w:after="320"/>
    </w:pPr>
    <w:rPr>
      <w:color w:val="666666"/>
      <w:sz w:val="30"/>
      <w:szCs w:val="30"/>
    </w:rPr>
  </w:style>
  <w:style w:type="table" w:customStyle="1" w:styleId="afff6">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7">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8">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9">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a">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b">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c">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TableGrid1">
    <w:name w:val="Table Grid1"/>
    <w:basedOn w:val="TableNormal"/>
    <w:next w:val="TableGrid"/>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50B58"/>
    <w:rPr>
      <w:b/>
      <w:bCs/>
    </w:rPr>
  </w:style>
  <w:style w:type="character" w:customStyle="1" w:styleId="CommentSubjectChar">
    <w:name w:val="Comment Subject Char"/>
    <w:basedOn w:val="CommentTextChar"/>
    <w:link w:val="CommentSubject"/>
    <w:uiPriority w:val="99"/>
    <w:semiHidden/>
    <w:rsid w:val="00650B58"/>
    <w:rPr>
      <w:rFonts w:ascii="Times New Roman" w:eastAsia="Calibri" w:hAnsi="Times New Roman" w:cs="Times New Roman"/>
      <w:b/>
      <w:bCs/>
      <w:color w:val="000000"/>
      <w:sz w:val="20"/>
      <w:szCs w:val="20"/>
      <w:lang w:val="en-US"/>
    </w:rPr>
  </w:style>
  <w:style w:type="paragraph" w:customStyle="1" w:styleId="CFCourseIntro">
    <w:name w:val="CF Course Intro"/>
    <w:link w:val="CFCourseIntroChar"/>
    <w:qFormat/>
    <w:rsid w:val="00650B58"/>
    <w:pPr>
      <w:spacing w:after="240" w:line="240" w:lineRule="auto"/>
    </w:pPr>
    <w:rPr>
      <w:rFonts w:ascii="Times New Roman" w:eastAsia="Calibri" w:hAnsi="Times New Roman" w:cs="Times New Roman"/>
      <w:b/>
      <w:iCs/>
      <w:sz w:val="28"/>
      <w:szCs w:val="28"/>
      <w:lang w:val="en-US"/>
    </w:rPr>
  </w:style>
  <w:style w:type="character" w:customStyle="1" w:styleId="CFCourseIntroChar">
    <w:name w:val="CF Course Intro Char"/>
    <w:basedOn w:val="DefaultParagraphFont"/>
    <w:link w:val="CFCourseIntro"/>
    <w:rsid w:val="00650B58"/>
    <w:rPr>
      <w:rFonts w:ascii="Times New Roman" w:eastAsia="Calibri" w:hAnsi="Times New Roman" w:cs="Times New Roman"/>
      <w:b/>
      <w:iCs/>
      <w:sz w:val="28"/>
      <w:szCs w:val="28"/>
      <w:lang w:val="en-US"/>
    </w:rPr>
  </w:style>
  <w:style w:type="paragraph" w:customStyle="1" w:styleId="CFHeading18">
    <w:name w:val="CF Heading18"/>
    <w:link w:val="CFHeading18Char"/>
    <w:qFormat/>
    <w:rsid w:val="00650B58"/>
    <w:pPr>
      <w:spacing w:after="240" w:line="240" w:lineRule="auto"/>
    </w:pPr>
    <w:rPr>
      <w:rFonts w:ascii="Times New Roman" w:eastAsia="Calibri" w:hAnsi="Times New Roman" w:cs="Times New Roman"/>
      <w:b/>
      <w:iCs/>
      <w:sz w:val="36"/>
      <w:szCs w:val="36"/>
      <w:lang w:val="en-US"/>
    </w:rPr>
  </w:style>
  <w:style w:type="character" w:customStyle="1" w:styleId="CFHeading18Char">
    <w:name w:val="CF Heading18 Char"/>
    <w:basedOn w:val="DefaultParagraphFont"/>
    <w:link w:val="CFHeading18"/>
    <w:rsid w:val="00650B58"/>
    <w:rPr>
      <w:rFonts w:ascii="Times New Roman" w:eastAsia="Calibri" w:hAnsi="Times New Roman" w:cs="Times New Roman"/>
      <w:b/>
      <w:iCs/>
      <w:sz w:val="36"/>
      <w:szCs w:val="36"/>
      <w:lang w:val="en-US"/>
    </w:rPr>
  </w:style>
  <w:style w:type="paragraph" w:customStyle="1" w:styleId="CFHeading14">
    <w:name w:val="CF Heading 14"/>
    <w:basedOn w:val="CFHeading18"/>
    <w:link w:val="CFHeading14Char"/>
    <w:qFormat/>
    <w:rsid w:val="00650B58"/>
    <w:pPr>
      <w:pBdr>
        <w:bottom w:val="single" w:sz="4" w:space="1" w:color="auto"/>
      </w:pBdr>
      <w:outlineLvl w:val="0"/>
    </w:pPr>
    <w:rPr>
      <w:sz w:val="28"/>
      <w:szCs w:val="28"/>
    </w:rPr>
  </w:style>
  <w:style w:type="character" w:customStyle="1" w:styleId="CFHeading14Char">
    <w:name w:val="CF Heading 14 Char"/>
    <w:basedOn w:val="CFHeading18Char"/>
    <w:link w:val="CFHeading14"/>
    <w:rsid w:val="00650B58"/>
    <w:rPr>
      <w:rFonts w:ascii="Times New Roman" w:eastAsia="Calibri" w:hAnsi="Times New Roman" w:cs="Times New Roman"/>
      <w:b/>
      <w:iCs/>
      <w:sz w:val="28"/>
      <w:szCs w:val="28"/>
      <w:lang w:val="en-US"/>
    </w:rPr>
  </w:style>
  <w:style w:type="paragraph" w:customStyle="1" w:styleId="CFKS">
    <w:name w:val="CF KS"/>
    <w:basedOn w:val="Normal"/>
    <w:link w:val="CFKSChar"/>
    <w:qFormat/>
    <w:rsid w:val="00650B58"/>
    <w:pPr>
      <w:widowControl w:val="0"/>
      <w:numPr>
        <w:numId w:val="4"/>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650B58"/>
    <w:rPr>
      <w:rFonts w:ascii="Calibri" w:eastAsia="Calibri" w:hAnsi="Calibri" w:cs="Calibri"/>
      <w:sz w:val="20"/>
      <w:szCs w:val="20"/>
      <w:lang w:val="en-US"/>
    </w:rPr>
  </w:style>
  <w:style w:type="character" w:customStyle="1" w:styleId="CFKSFormatChar">
    <w:name w:val="CF KS Format Char"/>
    <w:basedOn w:val="DefaultParagraphFont"/>
    <w:link w:val="CFKSFormat"/>
    <w:rsid w:val="00650B58"/>
    <w:rPr>
      <w:rFonts w:ascii="Times New Roman" w:eastAsia="Calibri" w:hAnsi="Times New Roman" w:cs="Times New Roman"/>
      <w:sz w:val="24"/>
      <w:szCs w:val="24"/>
      <w:lang w:val="en-US"/>
    </w:rPr>
  </w:style>
  <w:style w:type="paragraph" w:customStyle="1" w:styleId="CFKSFormatSub">
    <w:name w:val="CF KS Format Sub"/>
    <w:basedOn w:val="CFKSFormat"/>
    <w:link w:val="CFKSFormatSubChar"/>
    <w:qFormat/>
    <w:rsid w:val="00650B58"/>
    <w:pPr>
      <w:numPr>
        <w:ilvl w:val="2"/>
      </w:numPr>
      <w:contextualSpacing/>
    </w:pPr>
  </w:style>
  <w:style w:type="character" w:customStyle="1" w:styleId="CFKSFormatSubChar">
    <w:name w:val="CF KS Format Sub Char"/>
    <w:basedOn w:val="CFKSFormatChar"/>
    <w:link w:val="CFKSFormatSub"/>
    <w:rsid w:val="00650B58"/>
    <w:rPr>
      <w:rFonts w:ascii="Times New Roman" w:eastAsia="Calibri" w:hAnsi="Times New Roman" w:cs="Times New Roman"/>
      <w:sz w:val="24"/>
      <w:szCs w:val="24"/>
      <w:lang w:val="en-US"/>
    </w:rPr>
  </w:style>
  <w:style w:type="numbering" w:customStyle="1" w:styleId="CFKSFormatting">
    <w:name w:val="CF KS Formatting"/>
    <w:basedOn w:val="NoList"/>
    <w:uiPriority w:val="99"/>
    <w:rsid w:val="00650B58"/>
  </w:style>
  <w:style w:type="paragraph" w:customStyle="1" w:styleId="CFlastpage">
    <w:name w:val="CF last page"/>
    <w:link w:val="CFlastpageChar"/>
    <w:qFormat/>
    <w:rsid w:val="00650B58"/>
    <w:pPr>
      <w:spacing w:before="6720" w:line="240" w:lineRule="auto"/>
      <w:jc w:val="center"/>
    </w:pPr>
    <w:rPr>
      <w:rFonts w:ascii="Times New Roman" w:eastAsia="Times New Roman" w:hAnsi="Times New Roman" w:cs="Times New Roman"/>
      <w:noProof/>
      <w:sz w:val="24"/>
      <w:szCs w:val="24"/>
      <w:lang w:val="en-US"/>
    </w:rPr>
  </w:style>
  <w:style w:type="character" w:customStyle="1" w:styleId="CFlastpageChar">
    <w:name w:val="CF last page Char"/>
    <w:basedOn w:val="DefaultParagraphFont"/>
    <w:link w:val="CFlastpage"/>
    <w:rsid w:val="00650B58"/>
    <w:rPr>
      <w:rFonts w:ascii="Times New Roman" w:eastAsia="Times New Roman" w:hAnsi="Times New Roman" w:cs="Times New Roman"/>
      <w:noProof/>
      <w:sz w:val="24"/>
      <w:szCs w:val="24"/>
      <w:lang w:val="en-US"/>
    </w:rPr>
  </w:style>
  <w:style w:type="paragraph" w:customStyle="1" w:styleId="CFStandard">
    <w:name w:val="CF Standard"/>
    <w:link w:val="CFStandardChar"/>
    <w:qFormat/>
    <w:rsid w:val="00650B58"/>
    <w:pPr>
      <w:tabs>
        <w:tab w:val="left" w:pos="1440"/>
      </w:tabs>
      <w:spacing w:after="240" w:line="240" w:lineRule="auto"/>
      <w:ind w:left="1440" w:hanging="1440"/>
      <w:contextualSpacing/>
    </w:pPr>
    <w:rPr>
      <w:rFonts w:ascii="Times New Roman" w:eastAsia="Calibri" w:hAnsi="Times New Roman" w:cs="Times New Roman"/>
      <w:b/>
      <w:bCs/>
      <w:color w:val="000000"/>
      <w:sz w:val="24"/>
      <w:szCs w:val="24"/>
      <w:lang w:val="en-US"/>
    </w:rPr>
  </w:style>
  <w:style w:type="character" w:customStyle="1" w:styleId="CFStandardChar">
    <w:name w:val="CF Standard Char"/>
    <w:basedOn w:val="DefaultParagraphFont"/>
    <w:link w:val="CFStandard"/>
    <w:rsid w:val="00650B58"/>
    <w:rPr>
      <w:rFonts w:ascii="Times New Roman" w:eastAsia="Calibri" w:hAnsi="Times New Roman" w:cs="Times New Roman"/>
      <w:b/>
      <w:bCs/>
      <w:color w:val="000000"/>
      <w:sz w:val="24"/>
      <w:szCs w:val="24"/>
      <w:lang w:val="en-US"/>
    </w:rPr>
  </w:style>
  <w:style w:type="paragraph" w:customStyle="1" w:styleId="CFTNR12">
    <w:name w:val="CF TNR 12"/>
    <w:basedOn w:val="Normal"/>
    <w:link w:val="CFTNR12Char"/>
    <w:qFormat/>
    <w:rsid w:val="00650B58"/>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650B58"/>
    <w:rPr>
      <w:rFonts w:ascii="Times New Roman" w:eastAsia="Times New Roman" w:hAnsi="Times New Roman" w:cs="Times New Roman"/>
      <w:sz w:val="24"/>
      <w:szCs w:val="24"/>
      <w:lang w:val="en-US"/>
    </w:rPr>
  </w:style>
  <w:style w:type="paragraph" w:customStyle="1" w:styleId="CFTSWBT">
    <w:name w:val="CF TSWBT"/>
    <w:basedOn w:val="Normal"/>
    <w:link w:val="CFTSWBTChar"/>
    <w:qFormat/>
    <w:rsid w:val="00650B58"/>
    <w:pPr>
      <w:widowControl w:val="0"/>
      <w:numPr>
        <w:numId w:val="6"/>
      </w:numPr>
      <w:pBdr>
        <w:top w:val="none" w:sz="0" w:space="0" w:color="auto"/>
        <w:left w:val="none" w:sz="0" w:space="0" w:color="auto"/>
        <w:bottom w:val="none" w:sz="0" w:space="0" w:color="auto"/>
        <w:right w:val="none" w:sz="0" w:space="0" w:color="auto"/>
        <w:between w:val="none" w:sz="0" w:space="0" w:color="auto"/>
      </w:pBdr>
      <w:spacing w:before="120" w:after="120"/>
    </w:pPr>
    <w:rPr>
      <w:i/>
      <w:iCs/>
      <w:color w:val="auto"/>
    </w:rPr>
  </w:style>
  <w:style w:type="character" w:customStyle="1" w:styleId="CFTSWBTChar">
    <w:name w:val="CF TSWBT Char"/>
    <w:basedOn w:val="DefaultParagraphFont"/>
    <w:link w:val="CFTSWBT"/>
    <w:rsid w:val="00650B58"/>
    <w:rPr>
      <w:rFonts w:ascii="Times New Roman" w:eastAsia="Calibri" w:hAnsi="Times New Roman" w:cs="Times New Roman"/>
      <w:i/>
      <w:iCs/>
      <w:sz w:val="24"/>
      <w:szCs w:val="24"/>
      <w:lang w:val="en-US"/>
    </w:rPr>
  </w:style>
  <w:style w:type="paragraph" w:customStyle="1" w:styleId="CFUSFormatting">
    <w:name w:val="CF US Formatting"/>
    <w:link w:val="CFUSFormattingChar"/>
    <w:qFormat/>
    <w:rsid w:val="00650B58"/>
    <w:pPr>
      <w:numPr>
        <w:numId w:val="5"/>
      </w:numPr>
      <w:spacing w:after="60" w:line="240" w:lineRule="auto"/>
    </w:pPr>
    <w:rPr>
      <w:rFonts w:ascii="Times New Roman" w:eastAsia="Calibri" w:hAnsi="Times New Roman" w:cs="Times New Roman"/>
      <w:color w:val="000000"/>
      <w:sz w:val="24"/>
      <w:szCs w:val="24"/>
      <w:lang w:val="en-US"/>
    </w:rPr>
  </w:style>
  <w:style w:type="character" w:customStyle="1" w:styleId="CFUSFormattingChar">
    <w:name w:val="CF US Formatting Char"/>
    <w:basedOn w:val="DefaultParagraphFont"/>
    <w:link w:val="CFUSFormatting"/>
    <w:rsid w:val="00650B58"/>
    <w:rPr>
      <w:rFonts w:ascii="Times New Roman" w:eastAsia="Calibri" w:hAnsi="Times New Roman" w:cs="Times New Roman"/>
      <w:color w:val="000000"/>
      <w:sz w:val="24"/>
      <w:szCs w:val="24"/>
      <w:lang w:val="en-US"/>
    </w:rPr>
  </w:style>
  <w:style w:type="paragraph" w:customStyle="1" w:styleId="CFUSSubFormatting">
    <w:name w:val="CF US Sub Formatting"/>
    <w:basedOn w:val="CFUSFormatting"/>
    <w:link w:val="CFUSSubFormattingChar"/>
    <w:qFormat/>
    <w:rsid w:val="00650B58"/>
    <w:pPr>
      <w:numPr>
        <w:ilvl w:val="1"/>
      </w:numPr>
      <w:contextualSpacing/>
    </w:pPr>
  </w:style>
  <w:style w:type="character" w:customStyle="1" w:styleId="CFUSSubFormattingChar">
    <w:name w:val="CF US Sub Formatting Char"/>
    <w:basedOn w:val="CFUSFormattingChar"/>
    <w:link w:val="CFUSSubFormatting"/>
    <w:rsid w:val="00650B58"/>
    <w:rPr>
      <w:rFonts w:ascii="Times New Roman" w:eastAsia="Calibri" w:hAnsi="Times New Roman" w:cs="Times New Roman"/>
      <w:color w:val="000000"/>
      <w:sz w:val="24"/>
      <w:szCs w:val="24"/>
      <w:lang w:val="en-US"/>
    </w:rPr>
  </w:style>
  <w:style w:type="paragraph" w:customStyle="1" w:styleId="CFUSKSHeader">
    <w:name w:val="CF US/KS Header"/>
    <w:link w:val="CFUSKSHeaderChar"/>
    <w:qFormat/>
    <w:rsid w:val="00650B58"/>
    <w:pPr>
      <w:spacing w:line="240" w:lineRule="auto"/>
      <w:jc w:val="center"/>
    </w:pPr>
    <w:rPr>
      <w:rFonts w:ascii="Times New Roman" w:eastAsia="Calibri" w:hAnsi="Times New Roman" w:cs="Times New Roman"/>
      <w:b/>
      <w:iCs/>
      <w:sz w:val="28"/>
      <w:szCs w:val="28"/>
      <w:lang w:val="en-US"/>
    </w:rPr>
  </w:style>
  <w:style w:type="character" w:customStyle="1" w:styleId="CFUSKSHeaderChar">
    <w:name w:val="CF US/KS Header Char"/>
    <w:basedOn w:val="DefaultParagraphFont"/>
    <w:link w:val="CFUSKSHeader"/>
    <w:rsid w:val="00650B58"/>
    <w:rPr>
      <w:rFonts w:ascii="Times New Roman" w:eastAsia="Calibri" w:hAnsi="Times New Roman" w:cs="Times New Roman"/>
      <w:b/>
      <w:iCs/>
      <w:sz w:val="28"/>
      <w:szCs w:val="28"/>
      <w:lang w:val="en-US"/>
    </w:rPr>
  </w:style>
  <w:style w:type="character" w:customStyle="1" w:styleId="eop">
    <w:name w:val="eop"/>
    <w:basedOn w:val="DefaultParagraphFont"/>
    <w:rsid w:val="00650B58"/>
  </w:style>
  <w:style w:type="character" w:customStyle="1" w:styleId="Heading1Char">
    <w:name w:val="Heading 1 Char"/>
    <w:basedOn w:val="DefaultParagraphFont"/>
    <w:link w:val="Heading1"/>
    <w:rsid w:val="00650B58"/>
    <w:rPr>
      <w:rFonts w:ascii="CG Omega" w:eastAsia="Calibri" w:hAnsi="CG Omega" w:cs="Times New Roman"/>
      <w:b/>
      <w:color w:val="000000"/>
      <w:sz w:val="26"/>
      <w:szCs w:val="24"/>
      <w:lang w:val="en-US"/>
    </w:rPr>
  </w:style>
  <w:style w:type="character" w:customStyle="1" w:styleId="Heading2Char">
    <w:name w:val="Heading 2 Char"/>
    <w:basedOn w:val="DefaultParagraphFont"/>
    <w:link w:val="Heading2"/>
    <w:rsid w:val="00650B58"/>
    <w:rPr>
      <w:rFonts w:ascii="CG Omega" w:eastAsia="Calibri" w:hAnsi="CG Omega" w:cs="Times New Roman"/>
      <w:b/>
      <w:color w:val="000000"/>
      <w:sz w:val="72"/>
      <w:szCs w:val="24"/>
      <w:lang w:val="en-US"/>
    </w:rPr>
  </w:style>
  <w:style w:type="character" w:customStyle="1" w:styleId="Heading3Char">
    <w:name w:val="Heading 3 Char"/>
    <w:basedOn w:val="DefaultParagraphFont"/>
    <w:link w:val="Heading3"/>
    <w:rsid w:val="00650B58"/>
    <w:rPr>
      <w:rFonts w:ascii="CG Omega" w:eastAsia="Calibri" w:hAnsi="CG Omega" w:cs="Times New Roman"/>
      <w:b/>
      <w:color w:val="000000"/>
      <w:sz w:val="30"/>
      <w:szCs w:val="28"/>
      <w:lang w:val="en-US"/>
    </w:rPr>
  </w:style>
  <w:style w:type="character" w:customStyle="1" w:styleId="Heading4Char">
    <w:name w:val="Heading 4 Char"/>
    <w:basedOn w:val="DefaultParagraphFont"/>
    <w:link w:val="Heading4"/>
    <w:rsid w:val="00650B58"/>
    <w:rPr>
      <w:rFonts w:ascii="CG Omega" w:eastAsia="Calibri" w:hAnsi="CG Omega" w:cs="Times New Roman"/>
      <w:b/>
      <w:color w:val="000000"/>
      <w:sz w:val="30"/>
      <w:szCs w:val="28"/>
      <w:lang w:val="en-US"/>
    </w:rPr>
  </w:style>
  <w:style w:type="character" w:customStyle="1" w:styleId="Heading5Char">
    <w:name w:val="Heading 5 Char"/>
    <w:basedOn w:val="DefaultParagraphFont"/>
    <w:link w:val="Heading5"/>
    <w:rsid w:val="00650B58"/>
    <w:rPr>
      <w:rFonts w:ascii="CG Omega" w:eastAsia="Calibri" w:hAnsi="CG Omega" w:cs="Times New Roman"/>
      <w:b/>
      <w:color w:val="000000"/>
      <w:sz w:val="24"/>
      <w:szCs w:val="24"/>
      <w:lang w:val="en-US"/>
    </w:rPr>
  </w:style>
  <w:style w:type="character" w:customStyle="1" w:styleId="Heading6Char">
    <w:name w:val="Heading 6 Char"/>
    <w:basedOn w:val="DefaultParagraphFont"/>
    <w:link w:val="Heading6"/>
    <w:rsid w:val="00650B58"/>
    <w:rPr>
      <w:rFonts w:ascii="Times New Roman" w:eastAsia="Calibri" w:hAnsi="Times New Roman" w:cs="Times New Roman"/>
      <w:b/>
      <w:color w:val="000000"/>
      <w:sz w:val="20"/>
      <w:szCs w:val="24"/>
      <w:lang w:val="en-US"/>
    </w:rPr>
  </w:style>
  <w:style w:type="character" w:customStyle="1" w:styleId="Heading7Char">
    <w:name w:val="Heading 7 Char"/>
    <w:basedOn w:val="DefaultParagraphFont"/>
    <w:link w:val="Heading7"/>
    <w:rsid w:val="00650B58"/>
    <w:rPr>
      <w:rFonts w:ascii="Times New Roman" w:eastAsia="Calibri" w:hAnsi="Times New Roman" w:cs="Times New Roman"/>
      <w:b/>
      <w:color w:val="000000"/>
      <w:sz w:val="32"/>
      <w:szCs w:val="24"/>
      <w:lang w:val="en-US"/>
    </w:rPr>
  </w:style>
  <w:style w:type="character" w:customStyle="1" w:styleId="Heading8Char">
    <w:name w:val="Heading 8 Char"/>
    <w:basedOn w:val="DefaultParagraphFont"/>
    <w:link w:val="Heading8"/>
    <w:rsid w:val="00650B58"/>
    <w:rPr>
      <w:rFonts w:ascii="Times New Roman" w:eastAsia="Calibri" w:hAnsi="Times New Roman" w:cs="Times New Roman"/>
      <w:i/>
      <w:iCs/>
      <w:color w:val="000000"/>
      <w:sz w:val="24"/>
      <w:szCs w:val="24"/>
      <w:lang w:val="en-US"/>
    </w:rPr>
  </w:style>
  <w:style w:type="character" w:customStyle="1" w:styleId="Heading9Char">
    <w:name w:val="Heading 9 Char"/>
    <w:basedOn w:val="DefaultParagraphFont"/>
    <w:link w:val="Heading9"/>
    <w:rsid w:val="00650B58"/>
    <w:rPr>
      <w:rFonts w:eastAsia="Calibri"/>
      <w:color w:val="000000"/>
      <w:sz w:val="24"/>
      <w:szCs w:val="24"/>
      <w:lang w:val="en-US"/>
    </w:rPr>
  </w:style>
  <w:style w:type="paragraph" w:styleId="NormalWeb">
    <w:name w:val="Normal (Web)"/>
    <w:basedOn w:val="Normal"/>
    <w:uiPriority w:val="99"/>
    <w:semiHidden/>
    <w:unhideWhenUsed/>
    <w:rsid w:val="00650B58"/>
  </w:style>
  <w:style w:type="character" w:customStyle="1" w:styleId="normaltextrun">
    <w:name w:val="normaltextrun"/>
    <w:basedOn w:val="DefaultParagraphFont"/>
    <w:rsid w:val="00650B58"/>
  </w:style>
  <w:style w:type="paragraph" w:customStyle="1" w:styleId="paragraph">
    <w:name w:val="paragraph"/>
    <w:basedOn w:val="Normal"/>
    <w:rsid w:val="00650B58"/>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Onthe">
    <w:name w:val="SOL * On the..."/>
    <w:basedOn w:val="NormalWeb"/>
    <w:link w:val="SOLOntheChar"/>
    <w:qFormat/>
    <w:rsid w:val="00650B58"/>
    <w:pPr>
      <w:spacing w:before="120" w:after="120"/>
      <w:textAlignment w:val="baseline"/>
    </w:pPr>
    <w:rPr>
      <w:b/>
      <w:bCs/>
      <w:sz w:val="20"/>
      <w:szCs w:val="20"/>
    </w:rPr>
  </w:style>
  <w:style w:type="character" w:customStyle="1" w:styleId="SOLOntheChar">
    <w:name w:val="SOL * On the... Char"/>
    <w:basedOn w:val="DefaultParagraphFont"/>
    <w:link w:val="SOLOnthe"/>
    <w:rsid w:val="00650B58"/>
    <w:rPr>
      <w:rFonts w:ascii="Times New Roman" w:eastAsia="Calibri" w:hAnsi="Times New Roman" w:cs="Times New Roman"/>
      <w:b/>
      <w:bCs/>
      <w:color w:val="000000"/>
      <w:sz w:val="20"/>
      <w:szCs w:val="20"/>
      <w:lang w:val="en-US"/>
    </w:rPr>
  </w:style>
  <w:style w:type="paragraph" w:customStyle="1" w:styleId="SOLBullet">
    <w:name w:val="SOL Bullet"/>
    <w:basedOn w:val="Normal"/>
    <w:next w:val="Normal"/>
    <w:link w:val="SOLBulletChar"/>
    <w:rsid w:val="00650B58"/>
    <w:pPr>
      <w:ind w:left="1260" w:hanging="353"/>
    </w:pPr>
  </w:style>
  <w:style w:type="character" w:customStyle="1" w:styleId="SOLBulletChar">
    <w:name w:val="SOL Bullet Char"/>
    <w:link w:val="SOLBullet"/>
    <w:rsid w:val="00650B58"/>
    <w:rPr>
      <w:rFonts w:ascii="Times New Roman" w:eastAsia="Calibri" w:hAnsi="Times New Roman" w:cs="Times New Roman"/>
      <w:color w:val="000000"/>
      <w:sz w:val="24"/>
      <w:szCs w:val="24"/>
      <w:lang w:val="en-US"/>
    </w:rPr>
  </w:style>
  <w:style w:type="paragraph" w:customStyle="1" w:styleId="SOLHead2">
    <w:name w:val="SOL Head 2"/>
    <w:basedOn w:val="Heading1"/>
    <w:link w:val="SOLHead2Char"/>
    <w:qFormat/>
    <w:rsid w:val="00650B58"/>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50B58"/>
    <w:rPr>
      <w:rFonts w:ascii="Times New Roman" w:eastAsia="Calibri" w:hAnsi="Times New Roman" w:cs="Times New Roman"/>
      <w:b/>
      <w:color w:val="000000" w:themeColor="text1"/>
      <w:sz w:val="28"/>
      <w:szCs w:val="28"/>
      <w:lang w:val="en-US"/>
    </w:rPr>
  </w:style>
  <w:style w:type="paragraph" w:customStyle="1" w:styleId="SOLParagraph">
    <w:name w:val="SOL Paragraph"/>
    <w:basedOn w:val="Normal"/>
    <w:next w:val="Normal"/>
    <w:link w:val="SOLParagraphChar"/>
    <w:rsid w:val="00650B58"/>
  </w:style>
  <w:style w:type="character" w:customStyle="1" w:styleId="SOLParagraphChar">
    <w:name w:val="SOL Paragraph Char"/>
    <w:link w:val="SOLParagraph"/>
    <w:rsid w:val="00650B58"/>
    <w:rPr>
      <w:rFonts w:ascii="Times New Roman" w:eastAsia="Calibri" w:hAnsi="Times New Roman" w:cs="Times New Roman"/>
      <w:color w:val="000000"/>
      <w:sz w:val="24"/>
      <w:szCs w:val="24"/>
      <w:lang w:val="en-US"/>
    </w:rPr>
  </w:style>
  <w:style w:type="paragraph" w:customStyle="1" w:styleId="SOLHead1">
    <w:name w:val="SOL Head1"/>
    <w:basedOn w:val="SOLParagraph"/>
    <w:link w:val="SOLHead1Char"/>
    <w:qFormat/>
    <w:rsid w:val="00650B58"/>
    <w:pPr>
      <w:spacing w:after="240"/>
      <w:contextualSpacing/>
    </w:pPr>
    <w:rPr>
      <w:b/>
      <w:sz w:val="36"/>
      <w:szCs w:val="36"/>
    </w:rPr>
  </w:style>
  <w:style w:type="character" w:customStyle="1" w:styleId="SOLHead1Char">
    <w:name w:val="SOL Head1 Char"/>
    <w:basedOn w:val="SOLParagraphChar"/>
    <w:link w:val="SOLHead1"/>
    <w:rsid w:val="00650B58"/>
    <w:rPr>
      <w:rFonts w:ascii="Times New Roman" w:eastAsia="Calibri" w:hAnsi="Times New Roman" w:cs="Times New Roman"/>
      <w:b/>
      <w:color w:val="000000"/>
      <w:sz w:val="36"/>
      <w:szCs w:val="36"/>
      <w:lang w:val="en-US"/>
    </w:rPr>
  </w:style>
  <w:style w:type="paragraph" w:customStyle="1" w:styleId="SOLKSa">
    <w:name w:val="SOL KS a)"/>
    <w:basedOn w:val="CFKSFormat"/>
    <w:link w:val="SOLKSaChar"/>
    <w:qFormat/>
    <w:rsid w:val="00650B58"/>
  </w:style>
  <w:style w:type="character" w:customStyle="1" w:styleId="SOLKSaChar">
    <w:name w:val="SOL KS a) Char"/>
    <w:basedOn w:val="DefaultParagraphFont"/>
    <w:link w:val="SOLKSa"/>
    <w:rsid w:val="00650B58"/>
    <w:rPr>
      <w:rFonts w:ascii="Times New Roman" w:eastAsia="Calibri" w:hAnsi="Times New Roman" w:cs="Times New Roman"/>
      <w:sz w:val="24"/>
      <w:szCs w:val="24"/>
      <w:lang w:val="en-US"/>
    </w:rPr>
  </w:style>
  <w:style w:type="paragraph" w:customStyle="1" w:styleId="SOLKSiii">
    <w:name w:val="SOL KS iii)"/>
    <w:basedOn w:val="CFKSFormatSub"/>
    <w:link w:val="SOLKSiiiChar"/>
    <w:rsid w:val="00650B58"/>
    <w:pPr>
      <w:ind w:left="1080"/>
    </w:pPr>
  </w:style>
  <w:style w:type="character" w:customStyle="1" w:styleId="SOLKSiiiChar">
    <w:name w:val="SOL KS iii) Char"/>
    <w:basedOn w:val="SOLKSaChar"/>
    <w:link w:val="SOLKSiii"/>
    <w:rsid w:val="00650B58"/>
    <w:rPr>
      <w:rFonts w:ascii="Times New Roman" w:eastAsia="Calibri" w:hAnsi="Times New Roman" w:cs="Times New Roman"/>
      <w:sz w:val="24"/>
      <w:szCs w:val="24"/>
      <w:lang w:val="en-US"/>
    </w:rPr>
  </w:style>
  <w:style w:type="paragraph" w:customStyle="1" w:styleId="SOLNumber">
    <w:name w:val="SOL Number"/>
    <w:basedOn w:val="Normal"/>
    <w:next w:val="Normal"/>
    <w:link w:val="SOLNumberChar"/>
    <w:rsid w:val="00650B58"/>
    <w:pPr>
      <w:keepLines/>
      <w:spacing w:before="100"/>
      <w:ind w:left="907" w:hanging="907"/>
    </w:pPr>
  </w:style>
  <w:style w:type="character" w:customStyle="1" w:styleId="SOLNumberChar">
    <w:name w:val="SOL Number Char"/>
    <w:link w:val="SOLNumber"/>
    <w:rsid w:val="00650B58"/>
    <w:rPr>
      <w:rFonts w:ascii="Times New Roman" w:eastAsia="Calibri" w:hAnsi="Times New Roman" w:cs="Times New Roman"/>
      <w:color w:val="000000"/>
      <w:sz w:val="24"/>
      <w:szCs w:val="24"/>
      <w:lang w:val="en-US"/>
    </w:rPr>
  </w:style>
  <w:style w:type="paragraph" w:customStyle="1" w:styleId="SOLStandard">
    <w:name w:val="SOL Standard"/>
    <w:basedOn w:val="CFStandard"/>
    <w:next w:val="Normal"/>
    <w:rsid w:val="00650B58"/>
    <w:pPr>
      <w:tabs>
        <w:tab w:val="left" w:pos="1152"/>
      </w:tabs>
      <w:ind w:left="1152" w:hanging="1152"/>
    </w:pPr>
  </w:style>
  <w:style w:type="paragraph" w:customStyle="1" w:styleId="SOLTSWBAT">
    <w:name w:val="SOL TSWBAT"/>
    <w:basedOn w:val="CFTSWBT"/>
    <w:link w:val="SOLTSWBATChar"/>
    <w:qFormat/>
    <w:rsid w:val="00650B58"/>
  </w:style>
  <w:style w:type="character" w:customStyle="1" w:styleId="SOLTSWBATChar">
    <w:name w:val="SOL TSWBAT Char"/>
    <w:basedOn w:val="DefaultParagraphFont"/>
    <w:link w:val="SOLTSWBAT"/>
    <w:rsid w:val="00650B58"/>
    <w:rPr>
      <w:rFonts w:ascii="Times New Roman" w:eastAsia="Calibri" w:hAnsi="Times New Roman" w:cs="Times New Roman"/>
      <w:i/>
      <w:iCs/>
      <w:sz w:val="24"/>
      <w:szCs w:val="24"/>
      <w:lang w:val="en-US"/>
    </w:rPr>
  </w:style>
  <w:style w:type="paragraph" w:customStyle="1" w:styleId="SOLFooter">
    <w:name w:val="SOLFooter"/>
    <w:link w:val="SOLFooterChar"/>
    <w:qFormat/>
    <w:rsid w:val="00650B58"/>
    <w:pPr>
      <w:spacing w:line="240" w:lineRule="auto"/>
    </w:pPr>
    <w:rPr>
      <w:rFonts w:ascii="Times New Roman" w:eastAsia="Calibri" w:hAnsi="Times New Roman" w:cs="Times New Roman"/>
      <w:color w:val="000000"/>
      <w:sz w:val="20"/>
      <w:szCs w:val="20"/>
      <w:lang w:val="en-US"/>
    </w:rPr>
  </w:style>
  <w:style w:type="character" w:customStyle="1" w:styleId="SOLFooterChar">
    <w:name w:val="SOLFooter Char"/>
    <w:basedOn w:val="DefaultParagraphFont"/>
    <w:link w:val="SOLFooter"/>
    <w:rsid w:val="00650B58"/>
    <w:rPr>
      <w:rFonts w:ascii="Times New Roman" w:eastAsia="Calibri" w:hAnsi="Times New Roman" w:cs="Times New Roman"/>
      <w:color w:val="000000"/>
      <w:sz w:val="20"/>
      <w:szCs w:val="20"/>
      <w:lang w:val="en-US"/>
    </w:rPr>
  </w:style>
  <w:style w:type="paragraph" w:customStyle="1" w:styleId="SOLpage">
    <w:name w:val="SOLpage#"/>
    <w:link w:val="SOLpageChar"/>
    <w:qFormat/>
    <w:rsid w:val="00650B58"/>
    <w:pPr>
      <w:spacing w:line="240" w:lineRule="auto"/>
      <w:jc w:val="right"/>
    </w:pPr>
    <w:rPr>
      <w:rFonts w:ascii="Times New Roman" w:eastAsia="Calibri" w:hAnsi="Times New Roman" w:cs="Times New Roman"/>
      <w:color w:val="000000"/>
      <w:sz w:val="20"/>
      <w:szCs w:val="20"/>
      <w:lang w:val="en-US"/>
    </w:rPr>
  </w:style>
  <w:style w:type="character" w:customStyle="1" w:styleId="SOLpageChar">
    <w:name w:val="SOLpage# Char"/>
    <w:basedOn w:val="SOLFooterChar"/>
    <w:link w:val="SOLpage"/>
    <w:rsid w:val="00650B58"/>
    <w:rPr>
      <w:rFonts w:ascii="Times New Roman" w:eastAsia="Calibri" w:hAnsi="Times New Roman" w:cs="Times New Roman"/>
      <w:color w:val="000000"/>
      <w:sz w:val="20"/>
      <w:szCs w:val="20"/>
      <w:lang w:val="en-US"/>
    </w:rPr>
  </w:style>
  <w:style w:type="paragraph" w:customStyle="1" w:styleId="Sumpage114center">
    <w:name w:val="Sum page 1 14 center"/>
    <w:basedOn w:val="SOLHead2"/>
    <w:link w:val="Sumpage114centerChar"/>
    <w:qFormat/>
    <w:rsid w:val="00650B58"/>
    <w:pPr>
      <w:jc w:val="center"/>
    </w:pPr>
    <w:rPr>
      <w:b w:val="0"/>
      <w:bCs/>
    </w:rPr>
  </w:style>
  <w:style w:type="character" w:customStyle="1" w:styleId="Sumpage114centerChar">
    <w:name w:val="Sum page 1 14 center Char"/>
    <w:basedOn w:val="SOLHead2Char"/>
    <w:link w:val="Sumpage114center"/>
    <w:rsid w:val="00650B58"/>
    <w:rPr>
      <w:rFonts w:ascii="Times New Roman" w:eastAsia="Calibri" w:hAnsi="Times New Roman" w:cs="Times New Roman"/>
      <w:b w:val="0"/>
      <w:bCs/>
      <w:color w:val="000000" w:themeColor="text1"/>
      <w:sz w:val="28"/>
      <w:szCs w:val="28"/>
      <w:lang w:val="en-US"/>
    </w:rPr>
  </w:style>
  <w:style w:type="paragraph" w:customStyle="1" w:styleId="Sumpage1strandheader">
    <w:name w:val="Sum page 1 strand header"/>
    <w:basedOn w:val="VHead2"/>
    <w:link w:val="Sumpage1strandheaderChar"/>
    <w:qFormat/>
    <w:rsid w:val="00650B58"/>
    <w:pPr>
      <w:jc w:val="left"/>
    </w:pPr>
  </w:style>
  <w:style w:type="character" w:customStyle="1" w:styleId="Sumpage1strandheaderChar">
    <w:name w:val="Sum page 1 strand header Char"/>
    <w:basedOn w:val="VHead2Char"/>
    <w:link w:val="Sumpage1strandheader"/>
    <w:rsid w:val="00650B58"/>
    <w:rPr>
      <w:rFonts w:ascii="Times New Roman" w:eastAsia="Calibri" w:hAnsi="Times New Roman" w:cs="Times New Roman"/>
      <w:b/>
      <w:color w:val="000000"/>
      <w:sz w:val="28"/>
      <w:szCs w:val="28"/>
    </w:rPr>
  </w:style>
  <w:style w:type="paragraph" w:customStyle="1" w:styleId="SumParagraph">
    <w:name w:val="Sum Paragraph"/>
    <w:basedOn w:val="SOLParagraph"/>
    <w:link w:val="SumParagraphChar"/>
    <w:qFormat/>
    <w:rsid w:val="00650B58"/>
  </w:style>
  <w:style w:type="character" w:customStyle="1" w:styleId="SumParagraphChar">
    <w:name w:val="Sum Paragraph Char"/>
    <w:basedOn w:val="SOLParagraphChar"/>
    <w:link w:val="SumParagraph"/>
    <w:rsid w:val="00650B58"/>
    <w:rPr>
      <w:rFonts w:ascii="Times New Roman" w:eastAsia="Calibri" w:hAnsi="Times New Roman" w:cs="Times New Roman"/>
      <w:color w:val="000000"/>
      <w:sz w:val="24"/>
      <w:szCs w:val="24"/>
      <w:lang w:val="en-US"/>
    </w:rPr>
  </w:style>
  <w:style w:type="numbering" w:customStyle="1" w:styleId="TNR12fontbullet">
    <w:name w:val="TNR12font bullet"/>
    <w:uiPriority w:val="99"/>
    <w:rsid w:val="00650B58"/>
    <w:pPr>
      <w:numPr>
        <w:numId w:val="7"/>
      </w:numPr>
    </w:pPr>
  </w:style>
  <w:style w:type="paragraph" w:styleId="TOC1">
    <w:name w:val="toc 1"/>
    <w:basedOn w:val="CFHeading14"/>
    <w:next w:val="CFHeading14"/>
    <w:autoRedefine/>
    <w:uiPriority w:val="39"/>
    <w:rsid w:val="00650B58"/>
    <w:rPr>
      <w:b w:val="0"/>
      <w:sz w:val="24"/>
    </w:rPr>
  </w:style>
  <w:style w:type="paragraph" w:styleId="TOC2">
    <w:name w:val="toc 2"/>
    <w:basedOn w:val="Normal"/>
    <w:next w:val="Normal"/>
    <w:autoRedefine/>
    <w:uiPriority w:val="39"/>
    <w:rsid w:val="00650B58"/>
    <w:pPr>
      <w:tabs>
        <w:tab w:val="right" w:leader="dot" w:pos="7200"/>
      </w:tabs>
      <w:spacing w:after="240"/>
      <w:ind w:left="245" w:firstLine="360"/>
    </w:pPr>
    <w:rPr>
      <w:rFonts w:eastAsia="Times New Roman"/>
      <w:noProof/>
    </w:rPr>
  </w:style>
  <w:style w:type="paragraph" w:customStyle="1" w:styleId="VEKSKSHeader">
    <w:name w:val="V EKS/KS Header"/>
    <w:basedOn w:val="Sumpage114center"/>
    <w:link w:val="VEKSKSHeaderChar"/>
    <w:qFormat/>
    <w:rsid w:val="00650B58"/>
    <w:pPr>
      <w:spacing w:after="0"/>
    </w:pPr>
  </w:style>
  <w:style w:type="character" w:customStyle="1" w:styleId="VEKSKSHeaderChar">
    <w:name w:val="V EKS/KS Header Char"/>
    <w:basedOn w:val="Sumpage114centerChar"/>
    <w:link w:val="VEKSKSHeader"/>
    <w:rsid w:val="00650B58"/>
    <w:rPr>
      <w:rFonts w:ascii="Times New Roman" w:eastAsia="Calibri" w:hAnsi="Times New Roman" w:cs="Times New Roman"/>
      <w:b w:val="0"/>
      <w:bCs/>
      <w:color w:val="000000" w:themeColor="text1"/>
      <w:sz w:val="28"/>
      <w:szCs w:val="28"/>
      <w:lang w:val="en-US"/>
    </w:rPr>
  </w:style>
  <w:style w:type="paragraph" w:customStyle="1" w:styleId="VSOL16Bsub0">
    <w:name w:val="V SOL 16B sub"/>
    <w:basedOn w:val="Normal"/>
    <w:link w:val="VSOL16BsubChar0"/>
    <w:qFormat/>
    <w:rsid w:val="00650B58"/>
    <w:pPr>
      <w:numPr>
        <w:ilvl w:val="1"/>
        <w:numId w:val="8"/>
      </w:numPr>
    </w:pPr>
    <w:rPr>
      <w:rFonts w:eastAsia="Times New Roman"/>
    </w:rPr>
  </w:style>
  <w:style w:type="character" w:customStyle="1" w:styleId="VSOL16BsubChar0">
    <w:name w:val="V SOL 16B sub Char"/>
    <w:basedOn w:val="DefaultParagraphFont"/>
    <w:link w:val="VSOL16Bsub0"/>
    <w:rsid w:val="00650B58"/>
    <w:rPr>
      <w:rFonts w:ascii="Times New Roman" w:eastAsia="Times New Roman" w:hAnsi="Times New Roman" w:cs="Times New Roman"/>
      <w:color w:val="000000"/>
      <w:sz w:val="24"/>
      <w:szCs w:val="24"/>
      <w:lang w:val="en-US"/>
    </w:rPr>
  </w:style>
  <w:style w:type="numbering" w:customStyle="1" w:styleId="VSOLBullet">
    <w:name w:val="V SOL Bullet"/>
    <w:uiPriority w:val="99"/>
    <w:rsid w:val="00650B58"/>
    <w:pPr>
      <w:numPr>
        <w:numId w:val="9"/>
      </w:numPr>
    </w:pPr>
  </w:style>
  <w:style w:type="paragraph" w:customStyle="1" w:styleId="VSOL16BSUB">
    <w:name w:val="V SOL16B SUB"/>
    <w:basedOn w:val="Sump1bullet"/>
    <w:link w:val="VSOL16BSUBChar1"/>
    <w:qFormat/>
    <w:rsid w:val="00902F8C"/>
    <w:pPr>
      <w:numPr>
        <w:ilvl w:val="2"/>
        <w:numId w:val="10"/>
      </w:numPr>
      <w:spacing w:after="60" w:line="240" w:lineRule="auto"/>
      <w:contextualSpacing/>
    </w:pPr>
  </w:style>
  <w:style w:type="character" w:customStyle="1" w:styleId="VSOL16BSUBChar1">
    <w:name w:val="V SOL16B SUB Char"/>
    <w:basedOn w:val="VSOL16BChar"/>
    <w:link w:val="VSOL16BSUB"/>
    <w:rsid w:val="00902F8C"/>
    <w:rPr>
      <w:rFonts w:ascii="Times New Roman" w:eastAsia="Calibri" w:hAnsi="Times New Roman" w:cs="Times New Roman"/>
      <w:color w:val="000000"/>
      <w:sz w:val="24"/>
      <w:szCs w:val="24"/>
      <w:lang w:val="en-US"/>
    </w:rPr>
  </w:style>
  <w:style w:type="paragraph" w:customStyle="1" w:styleId="VSOL23Lsub">
    <w:name w:val="V SOL23L sub"/>
    <w:basedOn w:val="VSOL23L"/>
    <w:link w:val="VSOL23LsubChar"/>
    <w:qFormat/>
    <w:rsid w:val="00650B58"/>
    <w:pPr>
      <w:numPr>
        <w:ilvl w:val="2"/>
      </w:numPr>
      <w:contextualSpacing/>
    </w:pPr>
  </w:style>
  <w:style w:type="character" w:customStyle="1" w:styleId="VSOL23LsubChar">
    <w:name w:val="V SOL23L sub Char"/>
    <w:basedOn w:val="DefaultParagraphFont"/>
    <w:link w:val="VSOL23Lsub"/>
    <w:rsid w:val="00650B58"/>
    <w:rPr>
      <w:rFonts w:ascii="Times New Roman" w:eastAsia="Calibri" w:hAnsi="Times New Roman" w:cs="Times New Roman"/>
      <w:color w:val="000000"/>
      <w:sz w:val="24"/>
      <w:szCs w:val="24"/>
    </w:rPr>
  </w:style>
  <w:style w:type="paragraph" w:customStyle="1" w:styleId="ks">
    <w:name w:val="ks"/>
    <w:basedOn w:val="Normal0"/>
    <w:link w:val="ksChar"/>
    <w:qFormat/>
    <w:rsid w:val="00F928DD"/>
    <w:pPr>
      <w:widowControl w:val="0"/>
      <w:numPr>
        <w:numId w:val="13"/>
      </w:numPr>
      <w:spacing w:after="60" w:line="240" w:lineRule="auto"/>
    </w:pPr>
    <w:rPr>
      <w:rFonts w:ascii="Calibri" w:eastAsia="Calibri" w:hAnsi="Calibri" w:cs="Calibri"/>
      <w:color w:val="101820"/>
      <w:sz w:val="20"/>
      <w:szCs w:val="20"/>
      <w:lang w:val="en-US"/>
    </w:rPr>
  </w:style>
  <w:style w:type="character" w:customStyle="1" w:styleId="ksChar">
    <w:name w:val="ks Char"/>
    <w:basedOn w:val="DefaultParagraphFont"/>
    <w:link w:val="ks"/>
    <w:rsid w:val="00F928DD"/>
    <w:rPr>
      <w:rFonts w:ascii="Calibri" w:eastAsia="Calibri" w:hAnsi="Calibri" w:cs="Calibri"/>
      <w:color w:val="101820"/>
      <w:sz w:val="20"/>
      <w:szCs w:val="20"/>
      <w:lang w:val="en-US"/>
    </w:rPr>
  </w:style>
  <w:style w:type="paragraph" w:customStyle="1" w:styleId="summary1">
    <w:name w:val="summary1"/>
    <w:basedOn w:val="Normal0"/>
    <w:rsid w:val="00F928DD"/>
    <w:pPr>
      <w:tabs>
        <w:tab w:val="num" w:pos="720"/>
      </w:tabs>
      <w:spacing w:after="60" w:line="240" w:lineRule="auto"/>
      <w:ind w:left="720" w:hanging="720"/>
    </w:pPr>
    <w:rPr>
      <w:rFonts w:asciiTheme="minorHAnsi" w:eastAsiaTheme="minorHAnsi" w:hAnsiTheme="minorHAnsi" w:cstheme="minorBidi"/>
      <w:lang w:val="en-US"/>
    </w:rPr>
  </w:style>
  <w:style w:type="character" w:customStyle="1" w:styleId="TitleChar">
    <w:name w:val="Title Char"/>
    <w:basedOn w:val="DefaultParagraphFont"/>
    <w:link w:val="Title0"/>
    <w:uiPriority w:val="10"/>
    <w:rsid w:val="00F928DD"/>
    <w:rPr>
      <w:sz w:val="52"/>
      <w:szCs w:val="52"/>
    </w:rPr>
  </w:style>
  <w:style w:type="paragraph" w:customStyle="1" w:styleId="VSOL16Bsub2">
    <w:name w:val="V SOL 16Bsub"/>
    <w:basedOn w:val="VSOL16B"/>
    <w:link w:val="VSOL16BsubChar2"/>
    <w:qFormat/>
    <w:rsid w:val="00F928DD"/>
    <w:pPr>
      <w:numPr>
        <w:numId w:val="0"/>
      </w:numPr>
      <w:ind w:left="1008" w:hanging="288"/>
    </w:pPr>
  </w:style>
  <w:style w:type="character" w:customStyle="1" w:styleId="VSOL16BsubChar2">
    <w:name w:val="V SOL 16Bsub Char"/>
    <w:basedOn w:val="VSOL16BChar"/>
    <w:link w:val="VSOL16Bsub2"/>
    <w:rsid w:val="00F928DD"/>
    <w:rPr>
      <w:rFonts w:ascii="Times New Roman" w:eastAsia="Calibri" w:hAnsi="Times New Roman" w:cs="Times New Roman"/>
      <w:color w:val="000000"/>
      <w:sz w:val="24"/>
      <w:szCs w:val="24"/>
      <w:lang w:val="en-US"/>
    </w:rPr>
  </w:style>
  <w:style w:type="paragraph" w:customStyle="1" w:styleId="vsol23lnEW">
    <w:name w:val="v sol23l nEW"/>
    <w:basedOn w:val="VSOL23L"/>
    <w:link w:val="vsol23lnEWChar"/>
    <w:qFormat/>
    <w:rsid w:val="00F928DD"/>
    <w:pPr>
      <w:numPr>
        <w:numId w:val="12"/>
      </w:numPr>
    </w:pPr>
  </w:style>
  <w:style w:type="character" w:customStyle="1" w:styleId="vsol23lnEWChar">
    <w:name w:val="v sol23l nEW Char"/>
    <w:basedOn w:val="VSOL23LChar"/>
    <w:link w:val="vsol23lnEW"/>
    <w:rsid w:val="00F928DD"/>
    <w:rPr>
      <w:rFonts w:ascii="Times New Roman" w:eastAsia="Calibri" w:hAnsi="Times New Roman" w:cs="Times New Roman"/>
      <w:color w:val="000000"/>
      <w:sz w:val="24"/>
      <w:szCs w:val="24"/>
    </w:rPr>
  </w:style>
  <w:style w:type="paragraph" w:styleId="Revision">
    <w:name w:val="Revision"/>
    <w:hidden/>
    <w:uiPriority w:val="99"/>
    <w:semiHidden/>
    <w:rsid w:val="00F928DD"/>
    <w:pPr>
      <w:spacing w:line="240" w:lineRule="auto"/>
    </w:pPr>
    <w:rPr>
      <w:rFonts w:ascii="Cambria" w:eastAsia="Cambria" w:hAnsi="Cambria" w:cs="Cambria"/>
      <w:lang w:val="en-US"/>
    </w:rPr>
  </w:style>
  <w:style w:type="paragraph" w:customStyle="1" w:styleId="VSOL23LSub0">
    <w:name w:val="VSOL23LSub"/>
    <w:basedOn w:val="Normal"/>
    <w:link w:val="VSOL23LSubChar0"/>
    <w:qFormat/>
    <w:rsid w:val="00F928DD"/>
    <w:pPr>
      <w:numPr>
        <w:ilvl w:val="1"/>
        <w:numId w:val="15"/>
      </w:numPr>
      <w:spacing w:after="60"/>
      <w:contextualSpacing/>
    </w:pPr>
    <w:rPr>
      <w:rFonts w:eastAsia="Times New Roman"/>
    </w:rPr>
  </w:style>
  <w:style w:type="character" w:customStyle="1" w:styleId="VSOL23LSubChar0">
    <w:name w:val="VSOL23LSub Char"/>
    <w:basedOn w:val="VSOL23LChar"/>
    <w:link w:val="VSOL23LSub0"/>
    <w:rsid w:val="00F928DD"/>
    <w:rPr>
      <w:rFonts w:ascii="Times New Roman" w:eastAsia="Times New Roman" w:hAnsi="Times New Roman" w:cs="Times New Roman"/>
      <w:color w:val="000000"/>
      <w:sz w:val="24"/>
      <w:szCs w:val="24"/>
      <w:lang w:val="en-US"/>
    </w:rPr>
  </w:style>
  <w:style w:type="paragraph" w:customStyle="1" w:styleId="VSOLL23LSubbullet">
    <w:name w:val="VSOLL23LSub bullet"/>
    <w:basedOn w:val="VSOL23LSub0"/>
    <w:qFormat/>
    <w:rsid w:val="00F928DD"/>
    <w:pPr>
      <w:numPr>
        <w:ilvl w:val="3"/>
        <w:numId w:val="16"/>
      </w:numPr>
      <w:ind w:left="1440"/>
    </w:pPr>
  </w:style>
  <w:style w:type="paragraph" w:customStyle="1" w:styleId="VSOL23L0">
    <w:name w:val="V SOL23 L"/>
    <w:basedOn w:val="ListParagraph"/>
    <w:link w:val="VSOL23LChar0"/>
    <w:qFormat/>
    <w:rsid w:val="00F928DD"/>
    <w:pPr>
      <w:numPr>
        <w:numId w:val="17"/>
      </w:numPr>
      <w:spacing w:after="60"/>
      <w:contextualSpacing w:val="0"/>
    </w:pPr>
  </w:style>
  <w:style w:type="character" w:customStyle="1" w:styleId="Normal0Char">
    <w:name w:val="Normal0 Char"/>
    <w:basedOn w:val="DefaultParagraphFont"/>
    <w:link w:val="Normal0"/>
    <w:rsid w:val="00F928DD"/>
  </w:style>
  <w:style w:type="character" w:customStyle="1" w:styleId="VSOL23LChar0">
    <w:name w:val="V SOL23 L Char"/>
    <w:basedOn w:val="DefaultParagraphFont"/>
    <w:link w:val="VSOL23L0"/>
    <w:rsid w:val="00F928DD"/>
    <w:rPr>
      <w:rFonts w:ascii="Times New Roman" w:eastAsia="Calibri" w:hAnsi="Times New Roman" w:cs="Times New Roman"/>
      <w:color w:val="000000"/>
      <w:sz w:val="24"/>
      <w:szCs w:val="24"/>
      <w:lang w:val="en-US"/>
    </w:rPr>
  </w:style>
  <w:style w:type="paragraph" w:customStyle="1" w:styleId="VSOL16BSUBUSE">
    <w:name w:val="V SOL16B SUB  USE"/>
    <w:basedOn w:val="Sump1bullet"/>
    <w:link w:val="VSOL16BSUBUSEChar"/>
    <w:rsid w:val="00F928DD"/>
    <w:pPr>
      <w:numPr>
        <w:numId w:val="0"/>
      </w:numPr>
      <w:spacing w:after="60" w:line="240" w:lineRule="auto"/>
      <w:ind w:left="1080" w:hanging="360"/>
      <w:contextualSpacing/>
    </w:pPr>
  </w:style>
  <w:style w:type="character" w:customStyle="1" w:styleId="VSOL16BSUBUSEChar">
    <w:name w:val="V SOL16B SUB  USE Char"/>
    <w:basedOn w:val="VSOL16BChar"/>
    <w:link w:val="VSOL16BSUBUSE"/>
    <w:rsid w:val="00F928DD"/>
    <w:rPr>
      <w:rFonts w:ascii="Times New Roman" w:eastAsia="Calibri" w:hAnsi="Times New Roman" w:cs="Times New Roman"/>
      <w:color w:val="000000"/>
      <w:sz w:val="24"/>
      <w:szCs w:val="24"/>
      <w:lang w:val="en-US"/>
    </w:rPr>
  </w:style>
  <w:style w:type="paragraph" w:customStyle="1" w:styleId="Sump1italic0">
    <w:name w:val="Sum p1 italic"/>
    <w:basedOn w:val="Normal"/>
    <w:link w:val="Sump1italicChar0"/>
    <w:qFormat/>
    <w:rsid w:val="00F928DD"/>
    <w:pPr>
      <w:spacing w:line="259" w:lineRule="auto"/>
    </w:pPr>
    <w:rPr>
      <w:rFonts w:eastAsia="Times New Roman"/>
      <w:i/>
    </w:rPr>
  </w:style>
  <w:style w:type="character" w:customStyle="1" w:styleId="Sump1italicChar0">
    <w:name w:val="Sum p1 italic Char"/>
    <w:basedOn w:val="DefaultParagraphFont"/>
    <w:link w:val="Sump1italic0"/>
    <w:rsid w:val="00F928DD"/>
    <w:rPr>
      <w:rFonts w:ascii="Times New Roman" w:eastAsia="Times New Roman" w:hAnsi="Times New Roman" w:cs="Times New Roman"/>
      <w:i/>
      <w:color w:val="000000"/>
      <w:sz w:val="24"/>
      <w:szCs w:val="24"/>
      <w:lang w:val="en-US"/>
    </w:rPr>
  </w:style>
  <w:style w:type="paragraph" w:customStyle="1" w:styleId="SumKey">
    <w:name w:val="Sum Key"/>
    <w:link w:val="SumKeyChar"/>
    <w:qFormat/>
    <w:rsid w:val="00904176"/>
    <w:pPr>
      <w:tabs>
        <w:tab w:val="left" w:pos="-360"/>
      </w:tabs>
      <w:spacing w:line="240" w:lineRule="auto"/>
      <w:ind w:left="720" w:right="1440" w:hanging="720"/>
    </w:pPr>
    <w:rPr>
      <w:rFonts w:ascii="Times New Roman" w:eastAsia="Times New Roman" w:hAnsi="Times New Roman" w:cs="Times New Roman"/>
      <w:bCs/>
      <w:sz w:val="24"/>
      <w:szCs w:val="24"/>
    </w:rPr>
  </w:style>
  <w:style w:type="character" w:customStyle="1" w:styleId="SumKeyChar">
    <w:name w:val="Sum Key Char"/>
    <w:basedOn w:val="DefaultParagraphFont"/>
    <w:link w:val="SumKey"/>
    <w:rsid w:val="00904176"/>
    <w:rPr>
      <w:rFonts w:ascii="Times New Roman" w:eastAsia="Times New Roman" w:hAnsi="Times New Roman" w:cs="Times New Roman"/>
      <w:bCs/>
      <w:sz w:val="24"/>
      <w:szCs w:val="24"/>
    </w:rPr>
  </w:style>
  <w:style w:type="paragraph" w:styleId="TOCHeading">
    <w:name w:val="TOC Heading"/>
    <w:basedOn w:val="Heading1"/>
    <w:next w:val="Normal"/>
    <w:uiPriority w:val="39"/>
    <w:unhideWhenUsed/>
    <w:qFormat/>
    <w:rsid w:val="00D4654E"/>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heme="minorBidi"/>
      <w:color w:val="auto"/>
      <w:sz w:val="22"/>
      <w:szCs w:val="22"/>
    </w:rPr>
  </w:style>
  <w:style w:type="paragraph" w:styleId="TOC4">
    <w:name w:val="toc 4"/>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D4654E"/>
    <w:rPr>
      <w:color w:val="0000FF" w:themeColor="hyperlink"/>
      <w:u w:val="single"/>
    </w:rPr>
  </w:style>
  <w:style w:type="character" w:styleId="UnresolvedMention">
    <w:name w:val="Unresolved Mention"/>
    <w:basedOn w:val="DefaultParagraphFont"/>
    <w:uiPriority w:val="99"/>
    <w:semiHidden/>
    <w:unhideWhenUsed/>
    <w:rsid w:val="00D4654E"/>
    <w:rPr>
      <w:color w:val="605E5C"/>
      <w:shd w:val="clear" w:color="auto" w:fill="E1DFDD"/>
    </w:rPr>
  </w:style>
  <w:style w:type="character" w:styleId="FollowedHyperlink">
    <w:name w:val="FollowedHyperlink"/>
    <w:basedOn w:val="DefaultParagraphFont"/>
    <w:uiPriority w:val="99"/>
    <w:semiHidden/>
    <w:unhideWhenUsed/>
    <w:rsid w:val="00E534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79092">
      <w:bodyDiv w:val="1"/>
      <w:marLeft w:val="0"/>
      <w:marRight w:val="0"/>
      <w:marTop w:val="0"/>
      <w:marBottom w:val="0"/>
      <w:divBdr>
        <w:top w:val="none" w:sz="0" w:space="0" w:color="auto"/>
        <w:left w:val="none" w:sz="0" w:space="0" w:color="auto"/>
        <w:bottom w:val="none" w:sz="0" w:space="0" w:color="auto"/>
        <w:right w:val="none" w:sz="0" w:space="0" w:color="auto"/>
      </w:divBdr>
      <w:divsChild>
        <w:div w:id="631638445">
          <w:marLeft w:val="0"/>
          <w:marRight w:val="0"/>
          <w:marTop w:val="0"/>
          <w:marBottom w:val="0"/>
          <w:divBdr>
            <w:top w:val="none" w:sz="0" w:space="0" w:color="auto"/>
            <w:left w:val="none" w:sz="0" w:space="0" w:color="auto"/>
            <w:bottom w:val="none" w:sz="0" w:space="0" w:color="auto"/>
            <w:right w:val="none" w:sz="0" w:space="0" w:color="auto"/>
          </w:divBdr>
        </w:div>
        <w:div w:id="1121074373">
          <w:marLeft w:val="0"/>
          <w:marRight w:val="0"/>
          <w:marTop w:val="0"/>
          <w:marBottom w:val="0"/>
          <w:divBdr>
            <w:top w:val="none" w:sz="0" w:space="0" w:color="auto"/>
            <w:left w:val="none" w:sz="0" w:space="0" w:color="auto"/>
            <w:bottom w:val="none" w:sz="0" w:space="0" w:color="auto"/>
            <w:right w:val="none" w:sz="0" w:space="0" w:color="auto"/>
          </w:divBdr>
        </w:div>
        <w:div w:id="1122533213">
          <w:marLeft w:val="0"/>
          <w:marRight w:val="0"/>
          <w:marTop w:val="0"/>
          <w:marBottom w:val="0"/>
          <w:divBdr>
            <w:top w:val="none" w:sz="0" w:space="0" w:color="auto"/>
            <w:left w:val="none" w:sz="0" w:space="0" w:color="auto"/>
            <w:bottom w:val="none" w:sz="0" w:space="0" w:color="auto"/>
            <w:right w:val="none" w:sz="0" w:space="0" w:color="auto"/>
          </w:divBdr>
        </w:div>
        <w:div w:id="1298146201">
          <w:marLeft w:val="0"/>
          <w:marRight w:val="0"/>
          <w:marTop w:val="0"/>
          <w:marBottom w:val="0"/>
          <w:divBdr>
            <w:top w:val="none" w:sz="0" w:space="0" w:color="auto"/>
            <w:left w:val="none" w:sz="0" w:space="0" w:color="auto"/>
            <w:bottom w:val="none" w:sz="0" w:space="0" w:color="auto"/>
            <w:right w:val="none" w:sz="0" w:space="0" w:color="auto"/>
          </w:divBdr>
        </w:div>
        <w:div w:id="1330670189">
          <w:marLeft w:val="0"/>
          <w:marRight w:val="0"/>
          <w:marTop w:val="0"/>
          <w:marBottom w:val="0"/>
          <w:divBdr>
            <w:top w:val="none" w:sz="0" w:space="0" w:color="auto"/>
            <w:left w:val="none" w:sz="0" w:space="0" w:color="auto"/>
            <w:bottom w:val="none" w:sz="0" w:space="0" w:color="auto"/>
            <w:right w:val="none" w:sz="0" w:space="0" w:color="auto"/>
          </w:divBdr>
        </w:div>
        <w:div w:id="1645740501">
          <w:marLeft w:val="0"/>
          <w:marRight w:val="0"/>
          <w:marTop w:val="0"/>
          <w:marBottom w:val="0"/>
          <w:divBdr>
            <w:top w:val="none" w:sz="0" w:space="0" w:color="auto"/>
            <w:left w:val="none" w:sz="0" w:space="0" w:color="auto"/>
            <w:bottom w:val="none" w:sz="0" w:space="0" w:color="auto"/>
            <w:right w:val="none" w:sz="0" w:space="0" w:color="auto"/>
          </w:divBdr>
        </w:div>
        <w:div w:id="20413218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virginia.gov/home/showpublisheddocument/49007/63829763236027000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doe.virginia.gov/teaching-learning-assessment/k-12-standards-instruction/mathematics/standards-of-learning/2023-mathematics-so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e.virginia.gov/home/showpublisheddocument/48570/63830795377493000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6edea1-9d2e-49f8-b5b3-3e90d7018543">
      <UserInfo>
        <DisplayName>Justin T. Maffei</DisplayName>
        <AccountId>17</AccountId>
        <AccountType/>
      </UserInfo>
      <UserInfo>
        <DisplayName>Sorensen, Marcey (DOE)</DisplayName>
        <AccountId>20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rFaq3I8ESVrNxyqMVBkoP5wXwQ==">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</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393AB-ACB5-4557-B9D8-3E8927FB6FA6}">
  <ds:schemaRefs>
    <ds:schemaRef ds:uri="http://purl.org/dc/elements/1.1/"/>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7bc1f62a-0564-4892-a8bf-7c18ec584b15"/>
    <ds:schemaRef ds:uri="0f6edea1-9d2e-49f8-b5b3-3e90d7018543"/>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D096F80-4875-4257-9E56-C067302C8C08}">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D73A4E1-C289-4903-BBAA-F77467CF9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B8B0BD-67E6-4115-B330-BAD30E1B7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1225</Words>
  <Characters>6987</Characters>
  <Application>Microsoft Office Word</Application>
  <DocSecurity>0</DocSecurity>
  <Lines>58</Lines>
  <Paragraphs>16</Paragraphs>
  <ScaleCrop>false</ScaleCrop>
  <Company/>
  <LinksUpToDate>false</LinksUpToDate>
  <CharactersWithSpaces>8196</CharactersWithSpaces>
  <SharedDoc>false</SharedDoc>
  <HLinks>
    <vt:vector size="18" baseType="variant">
      <vt:variant>
        <vt:i4>1704010</vt:i4>
      </vt:variant>
      <vt:variant>
        <vt:i4>6</vt:i4>
      </vt:variant>
      <vt:variant>
        <vt:i4>0</vt:i4>
      </vt:variant>
      <vt:variant>
        <vt:i4>5</vt:i4>
      </vt:variant>
      <vt:variant>
        <vt:lpwstr>https://www.doe.virginia.gov/home/showpublisheddocument/48570/638307953774930000</vt:lpwstr>
      </vt:variant>
      <vt:variant>
        <vt:lpwstr/>
      </vt:variant>
      <vt:variant>
        <vt:i4>2031685</vt:i4>
      </vt:variant>
      <vt:variant>
        <vt:i4>3</vt:i4>
      </vt:variant>
      <vt:variant>
        <vt:i4>0</vt:i4>
      </vt:variant>
      <vt:variant>
        <vt:i4>5</vt:i4>
      </vt:variant>
      <vt:variant>
        <vt:lpwstr>https://www.doe.virginia.gov/home/showpublisheddocument/49007/638297632360270000</vt:lpwstr>
      </vt:variant>
      <vt:variant>
        <vt:lpwstr/>
      </vt:variant>
      <vt:variant>
        <vt:i4>2097204</vt:i4>
      </vt:variant>
      <vt:variant>
        <vt:i4>0</vt:i4>
      </vt:variant>
      <vt:variant>
        <vt:i4>0</vt:i4>
      </vt:variant>
      <vt:variant>
        <vt:i4>5</vt:i4>
      </vt:variant>
      <vt:variant>
        <vt:lpwstr>https://www.doe.virginia.gov/teaching-learning-assessment/k-12-standards-instruction/mathematics/standards-of-learning/2023-mathematics-sol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Parker</dc:creator>
  <cp:keywords/>
  <cp:lastModifiedBy>Jessica Brown</cp:lastModifiedBy>
  <cp:revision>3</cp:revision>
  <cp:lastPrinted>2023-10-11T11:54:00Z</cp:lastPrinted>
  <dcterms:created xsi:type="dcterms:W3CDTF">2023-09-28T13:15:00Z</dcterms:created>
  <dcterms:modified xsi:type="dcterms:W3CDTF">2023-10-11T11:54:00Z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