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206B" w14:textId="77777777" w:rsidR="00472231" w:rsidRPr="000E1175" w:rsidRDefault="00472231" w:rsidP="00472231">
      <w:pPr>
        <w:pStyle w:val="VHead2"/>
      </w:pPr>
      <w:bookmarkStart w:id="0" w:name="_Hlk146528748"/>
      <w:bookmarkEnd w:id="0"/>
      <w:r w:rsidRPr="000E1175">
        <w:t>Instructional Supports for Prioritization of Content during the 2023-2024 School Year</w:t>
      </w:r>
    </w:p>
    <w:p w14:paraId="0DE088A2" w14:textId="42D9BEF2" w:rsidR="00472231" w:rsidRPr="000E1175" w:rsidRDefault="00472231" w:rsidP="00472231">
      <w:pPr>
        <w:pStyle w:val="VHead2"/>
      </w:pPr>
      <w:r w:rsidRPr="000E1175">
        <w:t>Grade 2 Mathematics</w:t>
      </w:r>
      <w:r w:rsidRPr="000E1175">
        <w:rPr>
          <w:i/>
          <w:iCs/>
        </w:rPr>
        <w:t xml:space="preserve"> Standards of Learning</w:t>
      </w:r>
      <w:r w:rsidRPr="000E1175">
        <w:t xml:space="preserve"> </w:t>
      </w:r>
    </w:p>
    <w:p w14:paraId="45343747" w14:textId="5979E02C" w:rsidR="00B17BA6" w:rsidRPr="000E1175" w:rsidRDefault="00B17BA6" w:rsidP="00B17BA6">
      <w:pPr>
        <w:pStyle w:val="VHead2"/>
        <w:rPr>
          <w:sz w:val="24"/>
          <w:szCs w:val="24"/>
        </w:rPr>
      </w:pPr>
    </w:p>
    <w:p w14:paraId="7CB4737E" w14:textId="77777777" w:rsidR="00F60E8F" w:rsidRPr="000E1175" w:rsidRDefault="00F60E8F" w:rsidP="00F60E8F">
      <w:pPr>
        <w:pStyle w:val="VHead2"/>
        <w:jc w:val="left"/>
        <w:rPr>
          <w:b w:val="0"/>
          <w:sz w:val="24"/>
          <w:szCs w:val="24"/>
          <w:lang w:val="en-US"/>
        </w:rPr>
      </w:pPr>
      <w:r w:rsidRPr="000E1175">
        <w:rPr>
          <w:b w:val="0"/>
          <w:sz w:val="24"/>
          <w:szCs w:val="24"/>
        </w:rPr>
        <w:t>This document outlines the prominent content changes between the 2016 Mathematics</w:t>
      </w:r>
      <w:r w:rsidRPr="000E1175">
        <w:rPr>
          <w:b w:val="0"/>
          <w:i/>
          <w:iCs/>
          <w:sz w:val="24"/>
          <w:szCs w:val="24"/>
        </w:rPr>
        <w:t xml:space="preserve"> Standards of Learning </w:t>
      </w:r>
      <w:r w:rsidRPr="000E1175">
        <w:rPr>
          <w:b w:val="0"/>
          <w:sz w:val="24"/>
          <w:szCs w:val="24"/>
        </w:rPr>
        <w:t>(SOL)</w:t>
      </w:r>
      <w:r w:rsidRPr="000E1175">
        <w:rPr>
          <w:b w:val="0"/>
          <w:i/>
          <w:iCs/>
          <w:sz w:val="24"/>
          <w:szCs w:val="24"/>
        </w:rPr>
        <w:t xml:space="preserve"> </w:t>
      </w:r>
      <w:r w:rsidRPr="000E1175">
        <w:rPr>
          <w:b w:val="0"/>
          <w:sz w:val="24"/>
          <w:szCs w:val="24"/>
        </w:rPr>
        <w:t xml:space="preserve">and the </w:t>
      </w:r>
      <w:hyperlink r:id="rId12" w:history="1">
        <w:r w:rsidRPr="000E1175">
          <w:rPr>
            <w:rStyle w:val="Hyperlink"/>
            <w:b w:val="0"/>
            <w:sz w:val="24"/>
            <w:szCs w:val="24"/>
          </w:rPr>
          <w:t xml:space="preserve">2023 Mathematics </w:t>
        </w:r>
        <w:r w:rsidRPr="000E1175">
          <w:rPr>
            <w:rStyle w:val="Hyperlink"/>
            <w:b w:val="0"/>
            <w:i/>
            <w:iCs/>
            <w:sz w:val="24"/>
            <w:szCs w:val="24"/>
          </w:rPr>
          <w:t>Standards of Learning</w:t>
        </w:r>
      </w:hyperlink>
      <w:r w:rsidRPr="000E1175">
        <w:rPr>
          <w:b w:val="0"/>
          <w:i/>
          <w:iCs/>
          <w:sz w:val="24"/>
          <w:szCs w:val="24"/>
        </w:rPr>
        <w:t xml:space="preserve"> </w:t>
      </w:r>
      <w:r w:rsidRPr="000E1175">
        <w:rPr>
          <w:b w:val="0"/>
          <w:sz w:val="24"/>
          <w:szCs w:val="24"/>
        </w:rPr>
        <w:t>and includes instructional notes to support school divisions in making decisions about the prioritization of content during the 2023-2024 transition year</w:t>
      </w:r>
      <w:r w:rsidRPr="000E1175">
        <w:rPr>
          <w:b w:val="0"/>
          <w:i/>
          <w:iCs/>
          <w:sz w:val="24"/>
          <w:szCs w:val="24"/>
        </w:rPr>
        <w:t xml:space="preserve">. </w:t>
      </w:r>
      <w:r w:rsidRPr="000E1175">
        <w:rPr>
          <w:b w:val="0"/>
          <w:sz w:val="24"/>
          <w:szCs w:val="24"/>
        </w:rPr>
        <w:t xml:space="preserve">In conjunction with the 2023 Mathematics </w:t>
      </w:r>
      <w:r w:rsidRPr="000E1175">
        <w:rPr>
          <w:b w:val="0"/>
          <w:i/>
          <w:iCs/>
          <w:sz w:val="24"/>
          <w:szCs w:val="24"/>
        </w:rPr>
        <w:t xml:space="preserve">Standards of Learning </w:t>
      </w:r>
      <w:r w:rsidRPr="000E1175">
        <w:rPr>
          <w:b w:val="0"/>
          <w:sz w:val="24"/>
          <w:szCs w:val="24"/>
        </w:rPr>
        <w:t xml:space="preserve">Overview of Revisions document, this document supports the transition of instruction during the 2023-2024 school year. School divisions may wish to use this document when planning for instruction, based upon the </w:t>
      </w:r>
      <w:hyperlink r:id="rId13" w:history="1">
        <w:r w:rsidRPr="000E1175">
          <w:rPr>
            <w:rStyle w:val="Hyperlink"/>
            <w:b w:val="0"/>
            <w:sz w:val="24"/>
            <w:szCs w:val="24"/>
          </w:rPr>
          <w:t>options for transitioning</w:t>
        </w:r>
      </w:hyperlink>
      <w:r w:rsidRPr="000E1175">
        <w:rPr>
          <w:b w:val="0"/>
          <w:sz w:val="24"/>
          <w:szCs w:val="24"/>
        </w:rPr>
        <w:t xml:space="preserve">, and determining how to supplement existing curriculum to incorporate content from the 2023 Mathematics SOL. School divisions will determine how best to meet the needs of students when incorporating content during the transition year to prepare for full implementation of the 2023 Mathematics </w:t>
      </w:r>
      <w:r w:rsidRPr="000E1175">
        <w:rPr>
          <w:b w:val="0"/>
          <w:i/>
          <w:iCs/>
          <w:sz w:val="24"/>
          <w:szCs w:val="24"/>
        </w:rPr>
        <w:t>Standards of Learning</w:t>
      </w:r>
      <w:r w:rsidRPr="000E1175">
        <w:rPr>
          <w:b w:val="0"/>
          <w:sz w:val="24"/>
          <w:szCs w:val="24"/>
        </w:rPr>
        <w:t xml:space="preserve"> during the 2024-2025 school year. </w:t>
      </w:r>
    </w:p>
    <w:p w14:paraId="30BD847D" w14:textId="404425C0" w:rsidR="09C54614" w:rsidRPr="000E1175" w:rsidRDefault="09C54614" w:rsidP="09C54614">
      <w:pPr>
        <w:pStyle w:val="VHead2"/>
        <w:jc w:val="left"/>
        <w:rPr>
          <w:b w:val="0"/>
          <w:sz w:val="24"/>
          <w:szCs w:val="24"/>
        </w:rPr>
      </w:pPr>
    </w:p>
    <w:p w14:paraId="686F74E5" w14:textId="0AFEAECE" w:rsidR="00B17BA6" w:rsidRPr="000E1175" w:rsidRDefault="00B17BA6" w:rsidP="00B17BA6">
      <w:pPr>
        <w:pStyle w:val="VHead2"/>
        <w:jc w:val="left"/>
        <w:rPr>
          <w:sz w:val="24"/>
          <w:szCs w:val="24"/>
        </w:rPr>
      </w:pPr>
      <w:r w:rsidRPr="000E1175">
        <w:rPr>
          <w:sz w:val="24"/>
          <w:szCs w:val="24"/>
        </w:rPr>
        <w:t>CONTENT TRANSITIONS:</w:t>
      </w:r>
    </w:p>
    <w:p w14:paraId="3ACD584D" w14:textId="7990EB9D" w:rsidR="08098428" w:rsidRPr="000E1175" w:rsidRDefault="08098428" w:rsidP="08098428">
      <w:pPr>
        <w:pStyle w:val="VHead2"/>
        <w:jc w:val="left"/>
        <w:rPr>
          <w:sz w:val="24"/>
          <w:szCs w:val="24"/>
        </w:rPr>
      </w:pPr>
    </w:p>
    <w:p w14:paraId="5F2FC011" w14:textId="77777777" w:rsidR="004C62B9" w:rsidRPr="000E1175" w:rsidRDefault="004C62B9" w:rsidP="004C62B9">
      <w:pPr>
        <w:pStyle w:val="VHead2"/>
        <w:spacing w:after="240"/>
        <w:jc w:val="left"/>
        <w:rPr>
          <w:sz w:val="24"/>
          <w:szCs w:val="24"/>
        </w:rPr>
      </w:pPr>
      <w:r w:rsidRPr="000E1175">
        <w:rPr>
          <w:sz w:val="24"/>
          <w:szCs w:val="24"/>
        </w:rPr>
        <w:t xml:space="preserve">Critical Instructional Transitions: </w:t>
      </w:r>
    </w:p>
    <w:p w14:paraId="45E83526" w14:textId="1AC81BF3" w:rsidR="004C62B9" w:rsidRPr="000E1175" w:rsidRDefault="004C62B9" w:rsidP="004C62B9">
      <w:pPr>
        <w:pStyle w:val="VHead2"/>
        <w:spacing w:after="240"/>
        <w:jc w:val="left"/>
        <w:rPr>
          <w:b w:val="0"/>
          <w:sz w:val="24"/>
          <w:szCs w:val="24"/>
        </w:rPr>
      </w:pPr>
      <w:r w:rsidRPr="000E1175">
        <w:rPr>
          <w:b w:val="0"/>
          <w:sz w:val="24"/>
          <w:szCs w:val="24"/>
        </w:rPr>
        <w:t xml:space="preserve">The 2023 Mathematics </w:t>
      </w:r>
      <w:r w:rsidRPr="000E1175">
        <w:rPr>
          <w:b w:val="0"/>
          <w:i/>
          <w:iCs/>
          <w:sz w:val="24"/>
          <w:szCs w:val="24"/>
        </w:rPr>
        <w:t>Standards of Learning</w:t>
      </w:r>
      <w:r w:rsidRPr="000E1175">
        <w:rPr>
          <w:b w:val="0"/>
          <w:sz w:val="24"/>
          <w:szCs w:val="24"/>
        </w:rPr>
        <w:t xml:space="preserve"> include critical content, as shown below, that could cause gaps in student learning if instruction is not provided during the transition year.</w:t>
      </w:r>
      <w:r w:rsidR="001313F1">
        <w:rPr>
          <w:b w:val="0"/>
          <w:sz w:val="24"/>
          <w:szCs w:val="24"/>
        </w:rPr>
        <w:t xml:space="preserve"> The following 2016 Mathematics Standards of Learning content has been moved from Grade 3 to Grade 2:</w:t>
      </w:r>
    </w:p>
    <w:tbl>
      <w:tblPr>
        <w:tblStyle w:val="TableGrid"/>
        <w:tblW w:w="0" w:type="auto"/>
        <w:tblLook w:val="04A0" w:firstRow="1" w:lastRow="0" w:firstColumn="1" w:lastColumn="0" w:noHBand="0" w:noVBand="1"/>
      </w:tblPr>
      <w:tblGrid>
        <w:gridCol w:w="1697"/>
        <w:gridCol w:w="2330"/>
        <w:gridCol w:w="10363"/>
      </w:tblGrid>
      <w:tr w:rsidR="734F9121" w:rsidRPr="000E1175" w14:paraId="66EFC11C" w14:textId="77777777" w:rsidTr="00472231">
        <w:trPr>
          <w:trHeight w:val="300"/>
          <w:tblHeader/>
        </w:trPr>
        <w:tc>
          <w:tcPr>
            <w:tcW w:w="1697" w:type="dxa"/>
            <w:shd w:val="clear" w:color="auto" w:fill="FFFF00"/>
          </w:tcPr>
          <w:p w14:paraId="263C8372" w14:textId="77777777" w:rsidR="734F9121" w:rsidRPr="000E1175" w:rsidRDefault="734F9121" w:rsidP="734F9121">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2016 SOL</w:t>
            </w:r>
          </w:p>
        </w:tc>
        <w:tc>
          <w:tcPr>
            <w:tcW w:w="2330" w:type="dxa"/>
            <w:shd w:val="clear" w:color="auto" w:fill="FFFF00"/>
          </w:tcPr>
          <w:p w14:paraId="5B49FD35" w14:textId="456D6C45" w:rsidR="734F9121" w:rsidRPr="000E1175" w:rsidRDefault="734F9121" w:rsidP="734F9121">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2023 SOL</w:t>
            </w:r>
          </w:p>
        </w:tc>
        <w:tc>
          <w:tcPr>
            <w:tcW w:w="10363" w:type="dxa"/>
            <w:shd w:val="clear" w:color="auto" w:fill="FFFF00"/>
          </w:tcPr>
          <w:p w14:paraId="37E87F7D" w14:textId="77777777" w:rsidR="734F9121" w:rsidRPr="000E1175" w:rsidRDefault="734F9121" w:rsidP="734F9121">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Instructional Notes</w:t>
            </w:r>
          </w:p>
        </w:tc>
      </w:tr>
      <w:tr w:rsidR="734F9121" w:rsidRPr="000E1175" w14:paraId="192ED2E6" w14:textId="77777777" w:rsidTr="004C62B9">
        <w:trPr>
          <w:trHeight w:val="300"/>
        </w:trPr>
        <w:tc>
          <w:tcPr>
            <w:tcW w:w="1697" w:type="dxa"/>
          </w:tcPr>
          <w:p w14:paraId="22EF1C1E" w14:textId="52279082" w:rsidR="126DC8F0" w:rsidRPr="000E1175" w:rsidRDefault="126DC8F0" w:rsidP="734F9121">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3.</w:t>
            </w:r>
            <w:r w:rsidR="3DDCA65D" w:rsidRPr="000E1175">
              <w:rPr>
                <w:sz w:val="24"/>
                <w:szCs w:val="24"/>
              </w:rPr>
              <w:t>9c</w:t>
            </w:r>
          </w:p>
        </w:tc>
        <w:tc>
          <w:tcPr>
            <w:tcW w:w="2330" w:type="dxa"/>
          </w:tcPr>
          <w:p w14:paraId="2AD572B1" w14:textId="211014FE" w:rsidR="3DDCA65D" w:rsidRPr="000E1175" w:rsidRDefault="3DDCA65D" w:rsidP="734F9121">
            <w:pPr>
              <w:pStyle w:val="VHead2"/>
              <w:rPr>
                <w:sz w:val="24"/>
                <w:szCs w:val="24"/>
              </w:rPr>
            </w:pPr>
            <w:r w:rsidRPr="000E1175">
              <w:rPr>
                <w:sz w:val="24"/>
                <w:szCs w:val="24"/>
              </w:rPr>
              <w:t>2.MG.2</w:t>
            </w:r>
            <w:r w:rsidR="52950D7B" w:rsidRPr="000E1175">
              <w:rPr>
                <w:sz w:val="24"/>
                <w:szCs w:val="24"/>
              </w:rPr>
              <w:t>a</w:t>
            </w:r>
          </w:p>
        </w:tc>
        <w:tc>
          <w:tcPr>
            <w:tcW w:w="10363" w:type="dxa"/>
          </w:tcPr>
          <w:p w14:paraId="1BA59EE9" w14:textId="5C8BA8FA" w:rsidR="00F61A1D" w:rsidRPr="000E1175" w:rsidRDefault="5B38DEFE" w:rsidP="002D65C1">
            <w:pPr>
              <w:pStyle w:val="VHead2"/>
              <w:jc w:val="left"/>
              <w:rPr>
                <w:rFonts w:eastAsia="Times New Roman"/>
                <w:b w:val="0"/>
                <w:color w:val="000000" w:themeColor="text1"/>
                <w:sz w:val="24"/>
                <w:szCs w:val="24"/>
              </w:rPr>
            </w:pPr>
            <w:r w:rsidRPr="000E1175">
              <w:rPr>
                <w:rFonts w:eastAsia="Times New Roman"/>
                <w:b w:val="0"/>
                <w:color w:val="000000" w:themeColor="text1"/>
                <w:sz w:val="24"/>
                <w:szCs w:val="24"/>
              </w:rPr>
              <w:t xml:space="preserve">Identify the number of minutes in an hour and the number of hours in a day has moved from Grade 3 to Grade 2.  </w:t>
            </w:r>
            <w:r w:rsidR="5415D505" w:rsidRPr="000E1175">
              <w:rPr>
                <w:rFonts w:eastAsia="Times New Roman"/>
                <w:b w:val="0"/>
                <w:color w:val="000000" w:themeColor="text1"/>
                <w:sz w:val="24"/>
                <w:szCs w:val="24"/>
              </w:rPr>
              <w:t>Instruction on this change during the 2023-2024 school year will ensure there is not a gap in understanding these</w:t>
            </w:r>
            <w:r w:rsidRPr="000E1175">
              <w:rPr>
                <w:rFonts w:eastAsia="Times New Roman"/>
                <w:b w:val="0"/>
                <w:color w:val="000000" w:themeColor="text1"/>
                <w:sz w:val="24"/>
                <w:szCs w:val="24"/>
              </w:rPr>
              <w:t xml:space="preserve"> </w:t>
            </w:r>
            <w:r w:rsidR="3DE7398A" w:rsidRPr="000E1175">
              <w:rPr>
                <w:rFonts w:eastAsia="Times New Roman"/>
                <w:b w:val="0"/>
                <w:color w:val="000000" w:themeColor="text1"/>
                <w:sz w:val="24"/>
                <w:szCs w:val="24"/>
              </w:rPr>
              <w:t>equivalencies</w:t>
            </w:r>
            <w:r w:rsidRPr="000E1175">
              <w:rPr>
                <w:rFonts w:eastAsia="Times New Roman"/>
                <w:b w:val="0"/>
                <w:color w:val="000000" w:themeColor="text1"/>
                <w:sz w:val="24"/>
                <w:szCs w:val="24"/>
              </w:rPr>
              <w:t>.</w:t>
            </w:r>
            <w:r w:rsidR="002D65C1" w:rsidRPr="000E1175">
              <w:rPr>
                <w:rFonts w:eastAsia="Times New Roman"/>
                <w:b w:val="0"/>
                <w:color w:val="000000" w:themeColor="text1"/>
                <w:sz w:val="24"/>
                <w:szCs w:val="24"/>
              </w:rPr>
              <w:t xml:space="preserve"> </w:t>
            </w:r>
            <w:r w:rsidR="00F61A1D" w:rsidRPr="000E1175">
              <w:rPr>
                <w:b w:val="0"/>
                <w:sz w:val="24"/>
                <w:szCs w:val="24"/>
              </w:rPr>
              <w:t>When teaching time to the nearest five minutes develop the understanding of number of minutes in an hour using analog clocks. Use a variety of ways to describe 24 hours in a day to include a discussion about the amount of time you spend in school and at home, awake and asleep. 2.MG.2a is a critical skill as it was removed from third grade content.</w:t>
            </w:r>
          </w:p>
        </w:tc>
      </w:tr>
      <w:tr w:rsidR="734F9121" w:rsidRPr="000E1175" w14:paraId="3AF3B06B" w14:textId="77777777" w:rsidTr="004C62B9">
        <w:trPr>
          <w:trHeight w:val="300"/>
        </w:trPr>
        <w:tc>
          <w:tcPr>
            <w:tcW w:w="1697" w:type="dxa"/>
          </w:tcPr>
          <w:p w14:paraId="1D30910B" w14:textId="2B00AFFF" w:rsidR="134E3D44" w:rsidRPr="000E1175" w:rsidRDefault="134E3D44" w:rsidP="734F9121">
            <w:pPr>
              <w:pStyle w:val="VHead2"/>
              <w:rPr>
                <w:sz w:val="24"/>
                <w:szCs w:val="24"/>
              </w:rPr>
            </w:pPr>
            <w:r w:rsidRPr="000E1175">
              <w:rPr>
                <w:sz w:val="24"/>
                <w:szCs w:val="24"/>
              </w:rPr>
              <w:t>3.13</w:t>
            </w:r>
          </w:p>
        </w:tc>
        <w:tc>
          <w:tcPr>
            <w:tcW w:w="2330" w:type="dxa"/>
          </w:tcPr>
          <w:p w14:paraId="0D67AB8F" w14:textId="14BA4C76" w:rsidR="134E3D44" w:rsidRPr="000E1175" w:rsidRDefault="134E3D44" w:rsidP="734F9121">
            <w:pPr>
              <w:pStyle w:val="VHead2"/>
              <w:rPr>
                <w:sz w:val="24"/>
                <w:szCs w:val="24"/>
              </w:rPr>
            </w:pPr>
            <w:r w:rsidRPr="000E1175">
              <w:rPr>
                <w:sz w:val="24"/>
                <w:szCs w:val="24"/>
              </w:rPr>
              <w:t>2.MG.3</w:t>
            </w:r>
            <w:r w:rsidR="72BEA3F3" w:rsidRPr="000E1175">
              <w:rPr>
                <w:sz w:val="24"/>
                <w:szCs w:val="24"/>
              </w:rPr>
              <w:t>c</w:t>
            </w:r>
          </w:p>
        </w:tc>
        <w:tc>
          <w:tcPr>
            <w:tcW w:w="10363" w:type="dxa"/>
          </w:tcPr>
          <w:p w14:paraId="36719C15" w14:textId="2B6EF03C" w:rsidR="734F9121" w:rsidRPr="000E1175" w:rsidRDefault="202D14C6" w:rsidP="1C43AEAE">
            <w:pPr>
              <w:pStyle w:val="VHead2"/>
              <w:jc w:val="left"/>
              <w:rPr>
                <w:rFonts w:eastAsia="Times New Roman"/>
                <w:b w:val="0"/>
                <w:color w:val="000000" w:themeColor="text1"/>
                <w:sz w:val="24"/>
                <w:szCs w:val="24"/>
              </w:rPr>
            </w:pPr>
            <w:r w:rsidRPr="000E1175">
              <w:rPr>
                <w:rFonts w:eastAsia="Times New Roman"/>
                <w:b w:val="0"/>
                <w:color w:val="000000" w:themeColor="text1"/>
                <w:sz w:val="24"/>
                <w:szCs w:val="24"/>
              </w:rPr>
              <w:t>I</w:t>
            </w:r>
            <w:r w:rsidR="1251A987" w:rsidRPr="000E1175">
              <w:rPr>
                <w:rFonts w:eastAsia="Times New Roman"/>
                <w:b w:val="0"/>
                <w:color w:val="000000" w:themeColor="text1"/>
                <w:sz w:val="24"/>
                <w:szCs w:val="24"/>
              </w:rPr>
              <w:t>dentify examples of congruent figures</w:t>
            </w:r>
            <w:r w:rsidR="07E40F01" w:rsidRPr="000E1175">
              <w:rPr>
                <w:rFonts w:eastAsia="Times New Roman"/>
                <w:b w:val="0"/>
                <w:color w:val="000000" w:themeColor="text1"/>
                <w:sz w:val="24"/>
                <w:szCs w:val="24"/>
              </w:rPr>
              <w:t xml:space="preserve"> has been moved from Grade 3 to Grade 2</w:t>
            </w:r>
            <w:r w:rsidR="012D7973" w:rsidRPr="000E1175">
              <w:rPr>
                <w:rFonts w:eastAsia="Times New Roman"/>
                <w:b w:val="0"/>
                <w:color w:val="000000" w:themeColor="text1"/>
                <w:sz w:val="24"/>
                <w:szCs w:val="24"/>
              </w:rPr>
              <w:t xml:space="preserve">. As students develop an understanding of symmetry, they will </w:t>
            </w:r>
            <w:r w:rsidR="00923302">
              <w:rPr>
                <w:rFonts w:eastAsia="Times New Roman"/>
                <w:b w:val="0"/>
                <w:color w:val="000000" w:themeColor="text1"/>
                <w:sz w:val="24"/>
                <w:szCs w:val="24"/>
              </w:rPr>
              <w:t xml:space="preserve">need to </w:t>
            </w:r>
            <w:r w:rsidR="012D7973" w:rsidRPr="000E1175">
              <w:rPr>
                <w:rFonts w:eastAsia="Times New Roman"/>
                <w:b w:val="0"/>
                <w:color w:val="000000" w:themeColor="text1"/>
                <w:sz w:val="24"/>
                <w:szCs w:val="24"/>
              </w:rPr>
              <w:t xml:space="preserve">define </w:t>
            </w:r>
            <w:r w:rsidR="7B4B1530" w:rsidRPr="000E1175">
              <w:rPr>
                <w:rFonts w:eastAsia="Times New Roman"/>
                <w:b w:val="0"/>
                <w:color w:val="000000" w:themeColor="text1"/>
                <w:sz w:val="24"/>
                <w:szCs w:val="24"/>
              </w:rPr>
              <w:t xml:space="preserve">congruency as </w:t>
            </w:r>
            <w:r w:rsidR="1251A987" w:rsidRPr="000E1175">
              <w:rPr>
                <w:rFonts w:eastAsia="Times New Roman"/>
                <w:b w:val="0"/>
                <w:color w:val="000000" w:themeColor="text1"/>
                <w:sz w:val="24"/>
                <w:szCs w:val="24"/>
              </w:rPr>
              <w:t>same shape and size.</w:t>
            </w:r>
            <w:r w:rsidR="7A196F1E" w:rsidRPr="000E1175">
              <w:rPr>
                <w:rFonts w:eastAsia="Times New Roman"/>
                <w:b w:val="0"/>
                <w:color w:val="000000" w:themeColor="text1"/>
                <w:sz w:val="24"/>
                <w:szCs w:val="24"/>
              </w:rPr>
              <w:t xml:space="preserve">  </w:t>
            </w:r>
            <w:r w:rsidR="0F644485" w:rsidRPr="000E1175">
              <w:rPr>
                <w:rFonts w:eastAsia="Times New Roman"/>
                <w:b w:val="0"/>
                <w:color w:val="000000" w:themeColor="text1"/>
                <w:sz w:val="24"/>
                <w:szCs w:val="24"/>
              </w:rPr>
              <w:t>Instruction on this change during the 2023-2024 school year will ensure there is not a gap in understanding the vocabulary term congruent.</w:t>
            </w:r>
          </w:p>
        </w:tc>
      </w:tr>
    </w:tbl>
    <w:p w14:paraId="5B28823C" w14:textId="1A9C2A6D" w:rsidR="33853146" w:rsidRPr="000E1175" w:rsidRDefault="33853146" w:rsidP="33853146">
      <w:pPr>
        <w:pStyle w:val="VHead2"/>
        <w:jc w:val="left"/>
        <w:rPr>
          <w:b w:val="0"/>
          <w:sz w:val="24"/>
          <w:szCs w:val="24"/>
        </w:rPr>
      </w:pPr>
    </w:p>
    <w:p w14:paraId="177E87AD" w14:textId="77777777" w:rsidR="00362F25" w:rsidRDefault="00362F25">
      <w:pPr>
        <w:pBdr>
          <w:top w:val="none" w:sz="0" w:space="0" w:color="auto"/>
          <w:left w:val="none" w:sz="0" w:space="0" w:color="auto"/>
          <w:bottom w:val="none" w:sz="0" w:space="0" w:color="auto"/>
          <w:right w:val="none" w:sz="0" w:space="0" w:color="auto"/>
          <w:between w:val="none" w:sz="0" w:space="0" w:color="auto"/>
        </w:pBdr>
        <w:spacing w:line="276" w:lineRule="auto"/>
        <w:rPr>
          <w:b/>
          <w:lang w:val="en"/>
        </w:rPr>
      </w:pPr>
      <w:r>
        <w:br w:type="page"/>
      </w:r>
    </w:p>
    <w:p w14:paraId="1D36272D" w14:textId="4DA39456" w:rsidR="00CE6FAF" w:rsidRPr="000E1175" w:rsidRDefault="00CE6FAF" w:rsidP="00CE6FAF">
      <w:pPr>
        <w:pStyle w:val="VHead2"/>
        <w:spacing w:after="240"/>
        <w:jc w:val="left"/>
        <w:rPr>
          <w:sz w:val="24"/>
          <w:szCs w:val="24"/>
        </w:rPr>
      </w:pPr>
      <w:r w:rsidRPr="000E1175">
        <w:rPr>
          <w:sz w:val="24"/>
          <w:szCs w:val="24"/>
        </w:rPr>
        <w:lastRenderedPageBreak/>
        <w:t>Overall Instructional Transitions:</w:t>
      </w:r>
    </w:p>
    <w:p w14:paraId="41899960" w14:textId="77777777" w:rsidR="00CE6FAF" w:rsidRPr="000E1175" w:rsidRDefault="00CE6FAF" w:rsidP="00CE6FAF">
      <w:pPr>
        <w:pStyle w:val="VHead2"/>
        <w:spacing w:after="240"/>
        <w:jc w:val="left"/>
        <w:rPr>
          <w:b w:val="0"/>
          <w:i/>
          <w:sz w:val="24"/>
          <w:szCs w:val="24"/>
        </w:rPr>
      </w:pPr>
      <w:r w:rsidRPr="000E1175">
        <w:rPr>
          <w:b w:val="0"/>
          <w:sz w:val="24"/>
          <w:szCs w:val="24"/>
        </w:rPr>
        <w:t xml:space="preserve">The 2023 Mathematics </w:t>
      </w:r>
      <w:r w:rsidRPr="000E1175">
        <w:rPr>
          <w:b w:val="0"/>
          <w:i/>
          <w:sz w:val="24"/>
          <w:szCs w:val="24"/>
        </w:rPr>
        <w:t>Standards of Learning</w:t>
      </w:r>
      <w:r w:rsidRPr="000E1175">
        <w:rPr>
          <w:b w:val="0"/>
          <w:sz w:val="24"/>
          <w:szCs w:val="24"/>
        </w:rPr>
        <w:t xml:space="preserve"> incorporate revisions that span across grade levels.  Instructional notes have been provided that promote deeper understanding of mathematical concepts and support the transition from the 2016 to the 2023 Mathematics </w:t>
      </w:r>
      <w:r w:rsidRPr="000E1175">
        <w:rPr>
          <w:b w:val="0"/>
          <w:i/>
          <w:sz w:val="24"/>
          <w:szCs w:val="24"/>
        </w:rPr>
        <w:t>Standards of Learning.</w:t>
      </w:r>
    </w:p>
    <w:tbl>
      <w:tblPr>
        <w:tblStyle w:val="TableGrid"/>
        <w:tblW w:w="0" w:type="auto"/>
        <w:jc w:val="center"/>
        <w:tblLook w:val="04A0" w:firstRow="1" w:lastRow="0" w:firstColumn="1" w:lastColumn="0" w:noHBand="0" w:noVBand="1"/>
      </w:tblPr>
      <w:tblGrid>
        <w:gridCol w:w="4315"/>
        <w:gridCol w:w="6660"/>
      </w:tblGrid>
      <w:tr w:rsidR="00CE6FAF" w:rsidRPr="000E1175" w14:paraId="2E94BA65" w14:textId="77777777">
        <w:trPr>
          <w:jc w:val="center"/>
        </w:trPr>
        <w:tc>
          <w:tcPr>
            <w:tcW w:w="4315" w:type="dxa"/>
            <w:shd w:val="clear" w:color="auto" w:fill="CCC0D9" w:themeFill="accent4" w:themeFillTint="66"/>
          </w:tcPr>
          <w:p w14:paraId="56CDE246" w14:textId="77777777" w:rsidR="00CE6FAF" w:rsidRPr="000E1175" w:rsidRDefault="00CE6FAF">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Overall Instructional Transition</w:t>
            </w:r>
          </w:p>
        </w:tc>
        <w:tc>
          <w:tcPr>
            <w:tcW w:w="6660" w:type="dxa"/>
            <w:shd w:val="clear" w:color="auto" w:fill="CCC0D9" w:themeFill="accent4" w:themeFillTint="66"/>
          </w:tcPr>
          <w:p w14:paraId="336E6E93" w14:textId="77777777" w:rsidR="00CE6FAF" w:rsidRPr="000E1175" w:rsidRDefault="00CE6FAF">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Instructional Notes</w:t>
            </w:r>
          </w:p>
        </w:tc>
      </w:tr>
      <w:tr w:rsidR="00CE6FAF" w:rsidRPr="000E1175" w14:paraId="694E1540" w14:textId="77777777">
        <w:trPr>
          <w:trHeight w:val="2600"/>
          <w:jc w:val="center"/>
        </w:trPr>
        <w:tc>
          <w:tcPr>
            <w:tcW w:w="4315" w:type="dxa"/>
          </w:tcPr>
          <w:p w14:paraId="1ABF88FD" w14:textId="77777777" w:rsidR="00CE6FAF" w:rsidRPr="000E1175" w:rsidRDefault="00CE6FAF">
            <w:pPr>
              <w:pStyle w:val="VHead2"/>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40F712A6" w14:textId="77777777" w:rsidR="00CE6FAF" w:rsidRPr="000E1175" w:rsidRDefault="00CE6FAF">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r w:rsidRPr="000E1175">
              <w:rPr>
                <w:rFonts w:eastAsia="Times New Roman"/>
                <w:noProof/>
                <w:color w:val="auto"/>
                <w:sz w:val="24"/>
                <w:szCs w:val="24"/>
              </w:rPr>
              <w:drawing>
                <wp:inline distT="0" distB="0" distL="0" distR="0" wp14:anchorId="6CB7393F" wp14:editId="4C1C1FCB">
                  <wp:extent cx="1708150" cy="1444002"/>
                  <wp:effectExtent l="0" t="0" r="6350" b="3810"/>
                  <wp:docPr id="19" name="Picture 19" descr="Mathematics Process Goals Graphic showing reasoning, communication, problem solving, connections, and representations all contribute to mathematical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thematics Process Goals Graphic showing reasoning, communication, problem solving, connections, and representations all contribute to mathematical understanding"/>
                          <pic:cNvPicPr/>
                        </pic:nvPicPr>
                        <pic:blipFill>
                          <a:blip r:embed="rId14"/>
                          <a:stretch>
                            <a:fillRect/>
                          </a:stretch>
                        </pic:blipFill>
                        <pic:spPr>
                          <a:xfrm>
                            <a:off x="0" y="0"/>
                            <a:ext cx="1708150" cy="1444002"/>
                          </a:xfrm>
                          <a:prstGeom prst="rect">
                            <a:avLst/>
                          </a:prstGeom>
                        </pic:spPr>
                      </pic:pic>
                    </a:graphicData>
                  </a:graphic>
                </wp:inline>
              </w:drawing>
            </w:r>
          </w:p>
        </w:tc>
        <w:tc>
          <w:tcPr>
            <w:tcW w:w="6660" w:type="dxa"/>
            <w:vAlign w:val="center"/>
          </w:tcPr>
          <w:p w14:paraId="619341BF" w14:textId="77777777" w:rsidR="00CE6FAF" w:rsidRPr="000E1175" w:rsidRDefault="00CE6FAF">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r w:rsidRPr="000E1175">
              <w:rPr>
                <w:b w:val="0"/>
                <w:sz w:val="24"/>
                <w:szCs w:val="24"/>
              </w:rPr>
              <w:t>The five mathematical process goals have been embedded throughout the standards and knowledge and skills. Students should be given opportunities to learn and apply the process goals as they work to achieve the content of the Mathematics Standards.</w:t>
            </w:r>
          </w:p>
        </w:tc>
      </w:tr>
      <w:tr w:rsidR="00CE6FAF" w:rsidRPr="000E1175" w14:paraId="5B33BAEA" w14:textId="77777777">
        <w:trPr>
          <w:jc w:val="center"/>
        </w:trPr>
        <w:tc>
          <w:tcPr>
            <w:tcW w:w="4315" w:type="dxa"/>
          </w:tcPr>
          <w:p w14:paraId="7392226C" w14:textId="77777777" w:rsidR="00CE6FAF" w:rsidRPr="000E1175" w:rsidRDefault="00CE6FAF">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p w14:paraId="483F71D6" w14:textId="77777777" w:rsidR="00CE6FAF" w:rsidRPr="000E1175" w:rsidRDefault="00CE6FAF">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r w:rsidRPr="000E1175">
              <w:rPr>
                <w:rFonts w:eastAsia="Times New Roman"/>
                <w:noProof/>
                <w:color w:val="auto"/>
                <w:sz w:val="24"/>
                <w:szCs w:val="24"/>
              </w:rPr>
              <w:drawing>
                <wp:inline distT="0" distB="0" distL="0" distR="0" wp14:anchorId="6DFC9CF7" wp14:editId="0F1E90FE">
                  <wp:extent cx="2049946" cy="1944370"/>
                  <wp:effectExtent l="0" t="0" r="7620" b="0"/>
                  <wp:docPr id="7" name="Picture 7" descr="A diagram of data cycle which includes formulating questions, collecting and acquiring data, organizing and representing data, and analyzing and communicating data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data cycle which includes formulating questions, collecting and acquiring data, organizing and representing data, and analyzing and communicating data results"/>
                          <pic:cNvPicPr/>
                        </pic:nvPicPr>
                        <pic:blipFill>
                          <a:blip r:embed="rId15"/>
                          <a:stretch>
                            <a:fillRect/>
                          </a:stretch>
                        </pic:blipFill>
                        <pic:spPr>
                          <a:xfrm>
                            <a:off x="0" y="0"/>
                            <a:ext cx="2078367" cy="1971328"/>
                          </a:xfrm>
                          <a:prstGeom prst="rect">
                            <a:avLst/>
                          </a:prstGeom>
                        </pic:spPr>
                      </pic:pic>
                    </a:graphicData>
                  </a:graphic>
                </wp:inline>
              </w:drawing>
            </w:r>
          </w:p>
          <w:p w14:paraId="44FEE819" w14:textId="77777777" w:rsidR="00CE6FAF" w:rsidRPr="000E1175" w:rsidRDefault="00CE6FAF">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tc>
        <w:tc>
          <w:tcPr>
            <w:tcW w:w="6660" w:type="dxa"/>
            <w:vAlign w:val="center"/>
          </w:tcPr>
          <w:p w14:paraId="021ADA42" w14:textId="77777777" w:rsidR="00CE6FAF" w:rsidRPr="000E1175" w:rsidRDefault="00CE6FAF">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r w:rsidRPr="000E1175">
              <w:rPr>
                <w:b w:val="0"/>
                <w:sz w:val="24"/>
                <w:szCs w:val="24"/>
              </w:rPr>
              <w:t xml:space="preserve">A process for data analysis is included in the standards as a Data Cycle. Students should be given the opportunity to explore data and data analysis using the data cycle. Analyzing data requires the ability to read, write, and communicate about data in context. The skills needed to analyze data are integrated in the mathematics standards and derived from and build upon a strong mathematical foundation.  </w:t>
            </w:r>
          </w:p>
        </w:tc>
      </w:tr>
    </w:tbl>
    <w:p w14:paraId="6A9691E7" w14:textId="77777777" w:rsidR="00CE6FAF" w:rsidRPr="000E1175" w:rsidRDefault="00CE6FAF" w:rsidP="00CE6FAF">
      <w:pPr>
        <w:pStyle w:val="VHead2"/>
        <w:ind w:left="1710" w:right="1890"/>
        <w:jc w:val="left"/>
        <w:rPr>
          <w:b w:val="0"/>
          <w:i/>
          <w:iCs/>
          <w:sz w:val="24"/>
          <w:szCs w:val="24"/>
        </w:rPr>
      </w:pPr>
      <w:r w:rsidRPr="000E1175">
        <w:rPr>
          <w:b w:val="0"/>
          <w:i/>
          <w:iCs/>
          <w:sz w:val="24"/>
          <w:szCs w:val="24"/>
        </w:rPr>
        <w:t xml:space="preserve">Please refer to the Appendix in the </w:t>
      </w:r>
      <w:hyperlink r:id="rId16" w:history="1">
        <w:r w:rsidRPr="000E1175">
          <w:rPr>
            <w:rStyle w:val="Hyperlink"/>
            <w:b w:val="0"/>
            <w:i/>
            <w:iCs/>
            <w:sz w:val="24"/>
            <w:szCs w:val="24"/>
          </w:rPr>
          <w:t>2023 Mathematics Standards of Learning</w:t>
        </w:r>
      </w:hyperlink>
      <w:r w:rsidRPr="000E1175">
        <w:rPr>
          <w:b w:val="0"/>
          <w:i/>
          <w:iCs/>
          <w:sz w:val="24"/>
          <w:szCs w:val="24"/>
        </w:rPr>
        <w:t xml:space="preserve"> to learn more about the process goals and data cycle.</w:t>
      </w:r>
    </w:p>
    <w:p w14:paraId="1A2D0CF8" w14:textId="77777777" w:rsidR="001313F1" w:rsidRDefault="001313F1">
      <w:pPr>
        <w:pBdr>
          <w:top w:val="none" w:sz="0" w:space="0" w:color="auto"/>
          <w:left w:val="none" w:sz="0" w:space="0" w:color="auto"/>
          <w:bottom w:val="none" w:sz="0" w:space="0" w:color="auto"/>
          <w:right w:val="none" w:sz="0" w:space="0" w:color="auto"/>
          <w:between w:val="none" w:sz="0" w:space="0" w:color="auto"/>
        </w:pBdr>
        <w:spacing w:line="276" w:lineRule="auto"/>
        <w:rPr>
          <w:b/>
          <w:lang w:val="en"/>
        </w:rPr>
      </w:pPr>
      <w:r>
        <w:br w:type="page"/>
      </w:r>
    </w:p>
    <w:p w14:paraId="2D68352B" w14:textId="276CF62E" w:rsidR="00CE6FAF" w:rsidRPr="000E1175" w:rsidRDefault="00CE6FAF" w:rsidP="00CE6FAF">
      <w:pPr>
        <w:pStyle w:val="VHead2"/>
        <w:spacing w:before="240" w:after="240"/>
        <w:jc w:val="left"/>
        <w:rPr>
          <w:sz w:val="24"/>
          <w:szCs w:val="24"/>
        </w:rPr>
      </w:pPr>
      <w:r w:rsidRPr="000E1175">
        <w:rPr>
          <w:sz w:val="24"/>
          <w:szCs w:val="24"/>
        </w:rPr>
        <w:lastRenderedPageBreak/>
        <w:t>Specific Instructional Transitions by Strand:</w:t>
      </w:r>
    </w:p>
    <w:p w14:paraId="11CC7BD4" w14:textId="46F07126" w:rsidR="00CE6FAF" w:rsidRPr="000E1175" w:rsidRDefault="00CE6FAF" w:rsidP="00CE6FAF">
      <w:pPr>
        <w:pStyle w:val="VHead2"/>
        <w:spacing w:after="240"/>
        <w:jc w:val="left"/>
        <w:rPr>
          <w:b w:val="0"/>
          <w:sz w:val="24"/>
          <w:szCs w:val="24"/>
        </w:rPr>
      </w:pPr>
      <w:r w:rsidRPr="000E1175">
        <w:rPr>
          <w:b w:val="0"/>
          <w:sz w:val="24"/>
          <w:szCs w:val="24"/>
        </w:rPr>
        <w:t xml:space="preserve">The 2023 Mathematics </w:t>
      </w:r>
      <w:r w:rsidRPr="000E1175">
        <w:rPr>
          <w:b w:val="0"/>
          <w:i/>
          <w:sz w:val="24"/>
          <w:szCs w:val="24"/>
        </w:rPr>
        <w:t>Standards of Learning</w:t>
      </w:r>
      <w:r w:rsidRPr="000E1175">
        <w:rPr>
          <w:b w:val="0"/>
          <w:sz w:val="24"/>
          <w:szCs w:val="24"/>
        </w:rPr>
        <w:t xml:space="preserve"> incorporate revisions that are specific to a grade level or course. Instructional notes have been provided </w:t>
      </w:r>
      <w:r w:rsidR="00E772B1">
        <w:rPr>
          <w:b w:val="0"/>
          <w:sz w:val="24"/>
          <w:szCs w:val="24"/>
        </w:rPr>
        <w:t xml:space="preserve">for specific standards </w:t>
      </w:r>
      <w:r w:rsidRPr="000E1175">
        <w:rPr>
          <w:b w:val="0"/>
          <w:sz w:val="24"/>
          <w:szCs w:val="24"/>
        </w:rPr>
        <w:t xml:space="preserve">that support the transition from the 2016 to the 2023 Mathematics </w:t>
      </w:r>
      <w:r w:rsidRPr="000E1175">
        <w:rPr>
          <w:b w:val="0"/>
          <w:i/>
          <w:sz w:val="24"/>
          <w:szCs w:val="24"/>
        </w:rPr>
        <w:t>Standards of Learning</w:t>
      </w:r>
      <w:r w:rsidRPr="000E1175">
        <w:rPr>
          <w:b w:val="0"/>
          <w:sz w:val="24"/>
          <w:szCs w:val="24"/>
        </w:rPr>
        <w:t>.</w:t>
      </w:r>
    </w:p>
    <w:p w14:paraId="6F9E5E39" w14:textId="2CF016FF" w:rsidR="00B17BA6" w:rsidRPr="000E1175" w:rsidRDefault="00B17BA6" w:rsidP="1C43AEAE">
      <w:pPr>
        <w:pStyle w:val="VHead2"/>
        <w:jc w:val="left"/>
        <w:rPr>
          <w:sz w:val="24"/>
          <w:szCs w:val="24"/>
        </w:rPr>
      </w:pPr>
      <w:r w:rsidRPr="000E1175">
        <w:rPr>
          <w:sz w:val="24"/>
          <w:szCs w:val="24"/>
        </w:rPr>
        <w:t>Number and Number Sense</w:t>
      </w:r>
    </w:p>
    <w:tbl>
      <w:tblPr>
        <w:tblStyle w:val="TableGrid"/>
        <w:tblW w:w="14485" w:type="dxa"/>
        <w:tblLook w:val="04A0" w:firstRow="1" w:lastRow="0" w:firstColumn="1" w:lastColumn="0" w:noHBand="0" w:noVBand="1"/>
      </w:tblPr>
      <w:tblGrid>
        <w:gridCol w:w="1705"/>
        <w:gridCol w:w="2340"/>
        <w:gridCol w:w="10440"/>
      </w:tblGrid>
      <w:tr w:rsidR="00B17BA6" w:rsidRPr="000E1175" w14:paraId="7E230DA6" w14:textId="77777777" w:rsidTr="00EA3F2E">
        <w:trPr>
          <w:tblHeader/>
        </w:trPr>
        <w:tc>
          <w:tcPr>
            <w:tcW w:w="1705" w:type="dxa"/>
            <w:shd w:val="clear" w:color="auto" w:fill="FABF8F" w:themeFill="accent6" w:themeFillTint="99"/>
          </w:tcPr>
          <w:p w14:paraId="06091396" w14:textId="7777777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2016 SOL</w:t>
            </w:r>
          </w:p>
        </w:tc>
        <w:tc>
          <w:tcPr>
            <w:tcW w:w="2340" w:type="dxa"/>
            <w:shd w:val="clear" w:color="auto" w:fill="FABF8F" w:themeFill="accent6" w:themeFillTint="99"/>
          </w:tcPr>
          <w:p w14:paraId="25410E14" w14:textId="456D6C45"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2023 SOL</w:t>
            </w:r>
          </w:p>
        </w:tc>
        <w:tc>
          <w:tcPr>
            <w:tcW w:w="10440" w:type="dxa"/>
            <w:shd w:val="clear" w:color="auto" w:fill="FABF8F" w:themeFill="accent6" w:themeFillTint="99"/>
          </w:tcPr>
          <w:p w14:paraId="4BC5CBAA" w14:textId="7777777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Instructional Notes</w:t>
            </w:r>
          </w:p>
        </w:tc>
      </w:tr>
      <w:tr w:rsidR="1C43AEAE" w:rsidRPr="000E1175" w14:paraId="4A0EDF0D" w14:textId="77777777" w:rsidTr="4C00BE90">
        <w:trPr>
          <w:trHeight w:val="300"/>
        </w:trPr>
        <w:tc>
          <w:tcPr>
            <w:tcW w:w="1705" w:type="dxa"/>
          </w:tcPr>
          <w:p w14:paraId="3EA4E521" w14:textId="19E6F96E" w:rsidR="77CDFC7E" w:rsidRPr="000E1175" w:rsidRDefault="77CDFC7E" w:rsidP="1C43AEAE">
            <w:pPr>
              <w:pStyle w:val="VHead2"/>
              <w:rPr>
                <w:sz w:val="24"/>
                <w:szCs w:val="24"/>
              </w:rPr>
            </w:pPr>
            <w:r w:rsidRPr="000E1175">
              <w:rPr>
                <w:sz w:val="24"/>
                <w:szCs w:val="24"/>
              </w:rPr>
              <w:t>2.1</w:t>
            </w:r>
          </w:p>
        </w:tc>
        <w:tc>
          <w:tcPr>
            <w:tcW w:w="2340" w:type="dxa"/>
          </w:tcPr>
          <w:p w14:paraId="66CC6171" w14:textId="000ABF62" w:rsidR="753E5C1D" w:rsidRPr="000E1175" w:rsidRDefault="753E5C1D" w:rsidP="1C43AEAE">
            <w:pPr>
              <w:pStyle w:val="VHead2"/>
              <w:rPr>
                <w:sz w:val="24"/>
                <w:szCs w:val="24"/>
              </w:rPr>
            </w:pPr>
            <w:r w:rsidRPr="000E1175">
              <w:rPr>
                <w:sz w:val="24"/>
                <w:szCs w:val="24"/>
              </w:rPr>
              <w:t>2.N</w:t>
            </w:r>
            <w:r w:rsidR="1918182A" w:rsidRPr="000E1175">
              <w:rPr>
                <w:sz w:val="24"/>
                <w:szCs w:val="24"/>
              </w:rPr>
              <w:t>S.</w:t>
            </w:r>
            <w:r w:rsidRPr="000E1175">
              <w:rPr>
                <w:sz w:val="24"/>
                <w:szCs w:val="24"/>
              </w:rPr>
              <w:t>2</w:t>
            </w:r>
            <w:r w:rsidR="6B26F628" w:rsidRPr="000E1175">
              <w:rPr>
                <w:sz w:val="24"/>
                <w:szCs w:val="24"/>
              </w:rPr>
              <w:t>e</w:t>
            </w:r>
          </w:p>
        </w:tc>
        <w:tc>
          <w:tcPr>
            <w:tcW w:w="10440" w:type="dxa"/>
          </w:tcPr>
          <w:p w14:paraId="188FC1C5" w14:textId="2EEEA527" w:rsidR="3DDBDF64" w:rsidRPr="000E1175" w:rsidRDefault="4361626B" w:rsidP="1C43AEAE">
            <w:pPr>
              <w:rPr>
                <w:rFonts w:eastAsia="Times New Roman"/>
                <w:color w:val="000000" w:themeColor="text1"/>
                <w:lang w:val="en"/>
              </w:rPr>
            </w:pPr>
            <w:r w:rsidRPr="4C00BE90">
              <w:rPr>
                <w:rFonts w:eastAsia="Times New Roman"/>
                <w:color w:val="000000" w:themeColor="text1"/>
                <w:lang w:val="en"/>
              </w:rPr>
              <w:t>When students are composing</w:t>
            </w:r>
            <w:r w:rsidR="2E1046D3" w:rsidRPr="4C00BE90">
              <w:rPr>
                <w:rFonts w:eastAsia="Times New Roman"/>
                <w:color w:val="000000" w:themeColor="text1"/>
                <w:lang w:val="en"/>
              </w:rPr>
              <w:t xml:space="preserve"> and decompos</w:t>
            </w:r>
            <w:r w:rsidR="7C0E16C1" w:rsidRPr="4C00BE90">
              <w:rPr>
                <w:rFonts w:eastAsia="Times New Roman"/>
                <w:color w:val="000000" w:themeColor="text1"/>
                <w:lang w:val="en"/>
              </w:rPr>
              <w:t>ing</w:t>
            </w:r>
            <w:r w:rsidR="2E1046D3" w:rsidRPr="4C00BE90">
              <w:rPr>
                <w:rFonts w:eastAsia="Times New Roman"/>
                <w:color w:val="000000" w:themeColor="text1"/>
                <w:lang w:val="en"/>
              </w:rPr>
              <w:t xml:space="preserve"> whole numbers up to 200</w:t>
            </w:r>
            <w:r w:rsidR="3C4E3FBB" w:rsidRPr="4C00BE90">
              <w:rPr>
                <w:rFonts w:eastAsia="Times New Roman"/>
                <w:color w:val="000000" w:themeColor="text1"/>
                <w:lang w:val="en"/>
              </w:rPr>
              <w:t xml:space="preserve">, have them </w:t>
            </w:r>
            <w:r w:rsidR="2E1046D3" w:rsidRPr="4C00BE90">
              <w:rPr>
                <w:rFonts w:eastAsia="Times New Roman"/>
                <w:color w:val="000000" w:themeColor="text1"/>
                <w:lang w:val="en"/>
              </w:rPr>
              <w:t>mak</w:t>
            </w:r>
            <w:r w:rsidR="7AA6E18C" w:rsidRPr="4C00BE90">
              <w:rPr>
                <w:rFonts w:eastAsia="Times New Roman"/>
                <w:color w:val="000000" w:themeColor="text1"/>
                <w:lang w:val="en"/>
              </w:rPr>
              <w:t>e</w:t>
            </w:r>
            <w:r w:rsidR="2E1046D3" w:rsidRPr="4C00BE90">
              <w:rPr>
                <w:rFonts w:eastAsia="Times New Roman"/>
                <w:color w:val="000000" w:themeColor="text1"/>
                <w:lang w:val="en"/>
              </w:rPr>
              <w:t xml:space="preserve"> connections between a variety of models and strategies.</w:t>
            </w:r>
            <w:r w:rsidR="30A89EFC" w:rsidRPr="4C00BE90">
              <w:rPr>
                <w:rFonts w:eastAsia="Times New Roman"/>
                <w:color w:val="000000" w:themeColor="text1"/>
                <w:lang w:val="en"/>
              </w:rPr>
              <w:t xml:space="preserve"> </w:t>
            </w:r>
            <w:r w:rsidR="28BD5A9C" w:rsidRPr="4C00BE90">
              <w:rPr>
                <w:rFonts w:eastAsia="Times New Roman"/>
                <w:color w:val="000000" w:themeColor="text1"/>
                <w:lang w:val="en"/>
              </w:rPr>
              <w:t xml:space="preserve">Give students a number in standard form. Have them </w:t>
            </w:r>
            <w:r w:rsidR="613F3DF4" w:rsidRPr="4C00BE90">
              <w:rPr>
                <w:rFonts w:eastAsia="Times New Roman"/>
                <w:color w:val="000000" w:themeColor="text1"/>
                <w:lang w:val="en"/>
              </w:rPr>
              <w:t>build the number using base 10 blocks and writing the expanded form of the number. Using the same number and base 10 blocks, decompose the number a different way and write the expanded form</w:t>
            </w:r>
            <w:r w:rsidR="1E08EA34" w:rsidRPr="4C00BE90">
              <w:rPr>
                <w:rFonts w:eastAsia="Times New Roman"/>
                <w:color w:val="000000" w:themeColor="text1"/>
                <w:lang w:val="en"/>
              </w:rPr>
              <w:t>. Have student</w:t>
            </w:r>
            <w:r w:rsidR="597AB912" w:rsidRPr="4C00BE90">
              <w:rPr>
                <w:rFonts w:eastAsia="Times New Roman"/>
                <w:color w:val="000000" w:themeColor="text1"/>
                <w:lang w:val="en"/>
              </w:rPr>
              <w:t>s</w:t>
            </w:r>
            <w:r w:rsidR="1E08EA34" w:rsidRPr="4C00BE90">
              <w:rPr>
                <w:rFonts w:eastAsia="Times New Roman"/>
                <w:color w:val="000000" w:themeColor="text1"/>
                <w:lang w:val="en"/>
              </w:rPr>
              <w:t xml:space="preserve"> justify their thinking to make connections. Ask, “are there other ways to show the sa</w:t>
            </w:r>
            <w:r w:rsidR="33608BA5" w:rsidRPr="4C00BE90">
              <w:rPr>
                <w:rFonts w:eastAsia="Times New Roman"/>
                <w:color w:val="000000" w:themeColor="text1"/>
                <w:lang w:val="en"/>
              </w:rPr>
              <w:t>me</w:t>
            </w:r>
            <w:r w:rsidR="1E08EA34" w:rsidRPr="4C00BE90">
              <w:rPr>
                <w:rFonts w:eastAsia="Times New Roman"/>
                <w:color w:val="000000" w:themeColor="text1"/>
                <w:lang w:val="en"/>
              </w:rPr>
              <w:t xml:space="preserve"> number using base 10 blocks</w:t>
            </w:r>
            <w:r w:rsidR="0C5A5C44" w:rsidRPr="4C00BE90">
              <w:rPr>
                <w:rFonts w:eastAsia="Times New Roman"/>
                <w:color w:val="000000" w:themeColor="text1"/>
                <w:lang w:val="en"/>
              </w:rPr>
              <w:t>?”</w:t>
            </w:r>
          </w:p>
        </w:tc>
      </w:tr>
      <w:tr w:rsidR="74BD4AB5" w:rsidRPr="000E1175" w14:paraId="49BEEA67" w14:textId="77777777" w:rsidTr="4C00BE90">
        <w:trPr>
          <w:trHeight w:val="300"/>
        </w:trPr>
        <w:tc>
          <w:tcPr>
            <w:tcW w:w="1705" w:type="dxa"/>
          </w:tcPr>
          <w:p w14:paraId="4E2A4FB5" w14:textId="037C7EFE" w:rsidR="6848E55B" w:rsidRPr="000E1175" w:rsidRDefault="6848E55B" w:rsidP="74BD4AB5">
            <w:pPr>
              <w:pStyle w:val="VHead2"/>
              <w:rPr>
                <w:sz w:val="24"/>
                <w:szCs w:val="24"/>
              </w:rPr>
            </w:pPr>
            <w:r w:rsidRPr="000E1175">
              <w:rPr>
                <w:sz w:val="24"/>
                <w:szCs w:val="24"/>
              </w:rPr>
              <w:t>2.1d</w:t>
            </w:r>
          </w:p>
        </w:tc>
        <w:tc>
          <w:tcPr>
            <w:tcW w:w="2340" w:type="dxa"/>
          </w:tcPr>
          <w:p w14:paraId="3B258C2D" w14:textId="41BA6144" w:rsidR="6848E55B" w:rsidRPr="000E1175" w:rsidRDefault="6848E55B" w:rsidP="74BD4AB5">
            <w:pPr>
              <w:pStyle w:val="VHead2"/>
              <w:rPr>
                <w:sz w:val="24"/>
                <w:szCs w:val="24"/>
              </w:rPr>
            </w:pPr>
            <w:r w:rsidRPr="000E1175">
              <w:rPr>
                <w:sz w:val="24"/>
                <w:szCs w:val="24"/>
              </w:rPr>
              <w:t>2.CE.1a</w:t>
            </w:r>
          </w:p>
        </w:tc>
        <w:tc>
          <w:tcPr>
            <w:tcW w:w="10440" w:type="dxa"/>
          </w:tcPr>
          <w:p w14:paraId="2AB0C371" w14:textId="76520474" w:rsidR="6848E55B" w:rsidRPr="000E1175" w:rsidRDefault="6848E55B">
            <w:r w:rsidRPr="000E1175">
              <w:rPr>
                <w:rFonts w:eastAsia="Times New Roman"/>
                <w:color w:val="000000" w:themeColor="text1"/>
              </w:rPr>
              <w:t xml:space="preserve">When </w:t>
            </w:r>
            <w:r w:rsidR="00E900D4">
              <w:rPr>
                <w:rFonts w:eastAsia="Times New Roman"/>
                <w:color w:val="000000" w:themeColor="text1"/>
              </w:rPr>
              <w:t xml:space="preserve">students are </w:t>
            </w:r>
            <w:r w:rsidRPr="000E1175">
              <w:rPr>
                <w:rFonts w:eastAsia="Times New Roman"/>
                <w:color w:val="000000" w:themeColor="text1"/>
              </w:rPr>
              <w:t xml:space="preserve">estimating and determining sums and differences, incorporate rounding as an estimation strategy. Provide opportunities for students to make sense of rounding using the context of the problem. </w:t>
            </w:r>
            <w:r w:rsidRPr="000E1175">
              <w:rPr>
                <w:lang w:val="en"/>
              </w:rPr>
              <w:t xml:space="preserve"> </w:t>
            </w:r>
          </w:p>
        </w:tc>
      </w:tr>
      <w:tr w:rsidR="00B17BA6" w:rsidRPr="000E1175" w14:paraId="799A8640" w14:textId="77777777" w:rsidTr="4C00BE90">
        <w:tc>
          <w:tcPr>
            <w:tcW w:w="1705" w:type="dxa"/>
          </w:tcPr>
          <w:p w14:paraId="21CF91CB" w14:textId="2354D093" w:rsidR="00B17BA6" w:rsidRPr="000E1175" w:rsidRDefault="30ED11BA"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2.2</w:t>
            </w:r>
            <w:r w:rsidR="7A3CA806" w:rsidRPr="000E1175">
              <w:rPr>
                <w:sz w:val="24"/>
                <w:szCs w:val="24"/>
              </w:rPr>
              <w:t>a</w:t>
            </w:r>
          </w:p>
        </w:tc>
        <w:tc>
          <w:tcPr>
            <w:tcW w:w="2340" w:type="dxa"/>
          </w:tcPr>
          <w:p w14:paraId="3318CF38" w14:textId="1095AF4F" w:rsidR="00B17BA6" w:rsidRPr="000E1175" w:rsidRDefault="4075787B" w:rsidP="734F9121">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 xml:space="preserve"> </w:t>
            </w:r>
            <w:r w:rsidR="1159F268" w:rsidRPr="000E1175">
              <w:rPr>
                <w:sz w:val="24"/>
                <w:szCs w:val="24"/>
              </w:rPr>
              <w:t>2.NS.1</w:t>
            </w:r>
            <w:r w:rsidR="446DB11F" w:rsidRPr="000E1175">
              <w:rPr>
                <w:sz w:val="24"/>
                <w:szCs w:val="24"/>
              </w:rPr>
              <w:t>a-c</w:t>
            </w:r>
          </w:p>
        </w:tc>
        <w:tc>
          <w:tcPr>
            <w:tcW w:w="10440" w:type="dxa"/>
          </w:tcPr>
          <w:p w14:paraId="59D27334" w14:textId="2EB4B604" w:rsidR="00B17BA6" w:rsidRPr="000E1175" w:rsidRDefault="00157579" w:rsidP="1C43AEAE">
            <w:pPr>
              <w:pStyle w:val="VHead2"/>
              <w:pBdr>
                <w:top w:val="none" w:sz="0" w:space="0" w:color="000000"/>
                <w:left w:val="none" w:sz="0" w:space="0" w:color="000000"/>
                <w:bottom w:val="none" w:sz="0" w:space="0" w:color="000000"/>
                <w:right w:val="none" w:sz="0" w:space="0" w:color="000000"/>
                <w:between w:val="none" w:sz="0" w:space="0" w:color="000000"/>
              </w:pBdr>
              <w:jc w:val="left"/>
              <w:rPr>
                <w:sz w:val="24"/>
                <w:szCs w:val="24"/>
              </w:rPr>
            </w:pPr>
            <w:r>
              <w:rPr>
                <w:rFonts w:eastAsia="Times New Roman"/>
                <w:b w:val="0"/>
                <w:color w:val="000000" w:themeColor="text1"/>
                <w:sz w:val="24"/>
                <w:szCs w:val="24"/>
              </w:rPr>
              <w:t xml:space="preserve">While </w:t>
            </w:r>
            <w:r w:rsidR="130C88EC" w:rsidRPr="000E1175">
              <w:rPr>
                <w:rFonts w:eastAsia="Times New Roman"/>
                <w:b w:val="0"/>
                <w:color w:val="000000" w:themeColor="text1"/>
                <w:sz w:val="24"/>
                <w:szCs w:val="24"/>
              </w:rPr>
              <w:t xml:space="preserve">forward counting with groups of 2s to </w:t>
            </w:r>
            <w:r w:rsidR="3FB062BF" w:rsidRPr="000E1175">
              <w:rPr>
                <w:rFonts w:eastAsia="Times New Roman"/>
                <w:b w:val="0"/>
                <w:color w:val="000000" w:themeColor="text1"/>
                <w:sz w:val="24"/>
                <w:szCs w:val="24"/>
              </w:rPr>
              <w:t xml:space="preserve">at least </w:t>
            </w:r>
            <w:r w:rsidR="130C88EC" w:rsidRPr="000E1175">
              <w:rPr>
                <w:rFonts w:eastAsia="Times New Roman"/>
                <w:b w:val="0"/>
                <w:color w:val="000000" w:themeColor="text1"/>
                <w:sz w:val="24"/>
                <w:szCs w:val="24"/>
              </w:rPr>
              <w:t xml:space="preserve">50, and groups of 5s, 10s, and 25s to </w:t>
            </w:r>
            <w:r w:rsidR="109F317C" w:rsidRPr="000E1175">
              <w:rPr>
                <w:rFonts w:eastAsia="Times New Roman"/>
                <w:b w:val="0"/>
                <w:color w:val="000000" w:themeColor="text1"/>
                <w:sz w:val="24"/>
                <w:szCs w:val="24"/>
              </w:rPr>
              <w:t xml:space="preserve">at least </w:t>
            </w:r>
            <w:r w:rsidR="111203B1" w:rsidRPr="000E1175">
              <w:rPr>
                <w:rFonts w:eastAsia="Times New Roman"/>
                <w:b w:val="0"/>
                <w:color w:val="000000" w:themeColor="text1"/>
                <w:sz w:val="24"/>
                <w:szCs w:val="24"/>
              </w:rPr>
              <w:t>2</w:t>
            </w:r>
            <w:r w:rsidR="130C88EC" w:rsidRPr="000E1175">
              <w:rPr>
                <w:rFonts w:eastAsia="Times New Roman"/>
                <w:b w:val="0"/>
                <w:color w:val="000000" w:themeColor="text1"/>
                <w:sz w:val="24"/>
                <w:szCs w:val="24"/>
              </w:rPr>
              <w:t>00</w:t>
            </w:r>
            <w:r>
              <w:rPr>
                <w:rFonts w:eastAsia="Times New Roman"/>
                <w:b w:val="0"/>
                <w:color w:val="000000" w:themeColor="text1"/>
                <w:sz w:val="24"/>
                <w:szCs w:val="24"/>
              </w:rPr>
              <w:t xml:space="preserve"> students will represent, </w:t>
            </w:r>
            <w:r w:rsidR="007B4705">
              <w:rPr>
                <w:rFonts w:eastAsia="Times New Roman"/>
                <w:b w:val="0"/>
                <w:color w:val="000000" w:themeColor="text1"/>
                <w:sz w:val="24"/>
                <w:szCs w:val="24"/>
              </w:rPr>
              <w:t>describe,</w:t>
            </w:r>
            <w:r>
              <w:rPr>
                <w:rFonts w:eastAsia="Times New Roman"/>
                <w:b w:val="0"/>
                <w:color w:val="000000" w:themeColor="text1"/>
                <w:sz w:val="24"/>
                <w:szCs w:val="24"/>
              </w:rPr>
              <w:t xml:space="preserve"> and use patterns</w:t>
            </w:r>
            <w:r w:rsidR="130C88EC" w:rsidRPr="000E1175">
              <w:rPr>
                <w:rFonts w:eastAsia="Times New Roman"/>
                <w:b w:val="0"/>
                <w:color w:val="000000" w:themeColor="text1"/>
                <w:sz w:val="24"/>
                <w:szCs w:val="24"/>
              </w:rPr>
              <w:t>.</w:t>
            </w:r>
            <w:r w:rsidR="44F5015F" w:rsidRPr="000E1175">
              <w:rPr>
                <w:rFonts w:eastAsia="Times New Roman"/>
                <w:b w:val="0"/>
                <w:color w:val="000000" w:themeColor="text1"/>
                <w:sz w:val="24"/>
                <w:szCs w:val="24"/>
              </w:rPr>
              <w:t xml:space="preserve">  Note that the language of </w:t>
            </w:r>
            <w:r w:rsidR="44F5015F" w:rsidRPr="000E1175">
              <w:rPr>
                <w:rFonts w:eastAsia="Times New Roman"/>
                <w:b w:val="0"/>
                <w:i/>
                <w:iCs/>
                <w:color w:val="000000" w:themeColor="text1"/>
                <w:sz w:val="24"/>
                <w:szCs w:val="24"/>
              </w:rPr>
              <w:t>at least</w:t>
            </w:r>
            <w:r w:rsidR="44F5015F" w:rsidRPr="000E1175">
              <w:rPr>
                <w:rFonts w:eastAsia="Times New Roman"/>
                <w:b w:val="0"/>
                <w:color w:val="000000" w:themeColor="text1"/>
                <w:sz w:val="24"/>
                <w:szCs w:val="24"/>
              </w:rPr>
              <w:t>, indicates that students can g</w:t>
            </w:r>
            <w:r w:rsidR="03892687" w:rsidRPr="000E1175">
              <w:rPr>
                <w:rFonts w:eastAsia="Times New Roman"/>
                <w:b w:val="0"/>
                <w:color w:val="000000" w:themeColor="text1"/>
                <w:sz w:val="24"/>
                <w:szCs w:val="24"/>
              </w:rPr>
              <w:t xml:space="preserve">eneralize the patterns to count beyond the expectation. </w:t>
            </w:r>
            <w:r w:rsidR="3B4CCF8B" w:rsidRPr="000E1175">
              <w:rPr>
                <w:rFonts w:eastAsia="Times New Roman"/>
                <w:b w:val="0"/>
                <w:color w:val="000000" w:themeColor="text1"/>
                <w:sz w:val="24"/>
                <w:szCs w:val="24"/>
              </w:rPr>
              <w:t>Tools such as objects, number lines, calculators, and hundred</w:t>
            </w:r>
            <w:r w:rsidR="45E83663" w:rsidRPr="000E1175">
              <w:rPr>
                <w:rFonts w:eastAsia="Times New Roman"/>
                <w:b w:val="0"/>
                <w:color w:val="000000" w:themeColor="text1"/>
                <w:sz w:val="24"/>
                <w:szCs w:val="24"/>
              </w:rPr>
              <w:t xml:space="preserve"> </w:t>
            </w:r>
            <w:r w:rsidR="3B4CCF8B" w:rsidRPr="000E1175">
              <w:rPr>
                <w:rFonts w:eastAsia="Times New Roman"/>
                <w:b w:val="0"/>
                <w:color w:val="000000" w:themeColor="text1"/>
                <w:sz w:val="24"/>
                <w:szCs w:val="24"/>
              </w:rPr>
              <w:t>charts can be used to support the understanding of this standard.</w:t>
            </w:r>
          </w:p>
        </w:tc>
      </w:tr>
      <w:tr w:rsidR="734F9121" w:rsidRPr="000E1175" w14:paraId="7AD423F7" w14:textId="77777777" w:rsidTr="4C00BE90">
        <w:trPr>
          <w:trHeight w:val="300"/>
        </w:trPr>
        <w:tc>
          <w:tcPr>
            <w:tcW w:w="1705" w:type="dxa"/>
          </w:tcPr>
          <w:p w14:paraId="4B70BCB1" w14:textId="0FABC17C" w:rsidR="734F9121" w:rsidRPr="000E1175" w:rsidRDefault="734F9121" w:rsidP="734F9121">
            <w:pPr>
              <w:pStyle w:val="VHead2"/>
              <w:rPr>
                <w:sz w:val="24"/>
                <w:szCs w:val="24"/>
              </w:rPr>
            </w:pPr>
          </w:p>
        </w:tc>
        <w:tc>
          <w:tcPr>
            <w:tcW w:w="2340" w:type="dxa"/>
          </w:tcPr>
          <w:p w14:paraId="7BBE818F" w14:textId="2518C62F" w:rsidR="5ECD1999" w:rsidRPr="000E1175" w:rsidRDefault="5ECD1999" w:rsidP="734F9121">
            <w:pPr>
              <w:pStyle w:val="VHead2"/>
              <w:rPr>
                <w:sz w:val="24"/>
                <w:szCs w:val="24"/>
              </w:rPr>
            </w:pPr>
            <w:r w:rsidRPr="000E1175">
              <w:rPr>
                <w:sz w:val="24"/>
                <w:szCs w:val="24"/>
              </w:rPr>
              <w:t>2.NS.1d</w:t>
            </w:r>
          </w:p>
        </w:tc>
        <w:tc>
          <w:tcPr>
            <w:tcW w:w="10440" w:type="dxa"/>
          </w:tcPr>
          <w:p w14:paraId="61249EDB" w14:textId="2320A7DC" w:rsidR="01F1448F" w:rsidRPr="000E1175" w:rsidRDefault="004E1EA8" w:rsidP="734F9121">
            <w:pPr>
              <w:pStyle w:val="VHead2"/>
              <w:jc w:val="left"/>
              <w:rPr>
                <w:rFonts w:eastAsia="Times New Roman"/>
                <w:sz w:val="24"/>
                <w:szCs w:val="24"/>
              </w:rPr>
            </w:pPr>
            <w:r>
              <w:rPr>
                <w:rFonts w:eastAsia="Times New Roman"/>
                <w:b w:val="0"/>
                <w:color w:val="000000" w:themeColor="text1"/>
                <w:sz w:val="24"/>
                <w:szCs w:val="24"/>
              </w:rPr>
              <w:t>Students will r</w:t>
            </w:r>
            <w:r w:rsidR="160C2906" w:rsidRPr="000E1175">
              <w:rPr>
                <w:rFonts w:eastAsia="Times New Roman"/>
                <w:b w:val="0"/>
                <w:color w:val="000000" w:themeColor="text1"/>
                <w:sz w:val="24"/>
                <w:szCs w:val="24"/>
              </w:rPr>
              <w:t xml:space="preserve">epresent </w:t>
            </w:r>
            <w:r>
              <w:rPr>
                <w:rFonts w:eastAsia="Times New Roman"/>
                <w:b w:val="0"/>
                <w:color w:val="000000" w:themeColor="text1"/>
                <w:sz w:val="24"/>
                <w:szCs w:val="24"/>
              </w:rPr>
              <w:t xml:space="preserve">when using </w:t>
            </w:r>
            <w:r w:rsidR="160C2906" w:rsidRPr="000E1175">
              <w:rPr>
                <w:rFonts w:eastAsia="Times New Roman"/>
                <w:b w:val="0"/>
                <w:color w:val="000000" w:themeColor="text1"/>
                <w:sz w:val="24"/>
                <w:szCs w:val="24"/>
              </w:rPr>
              <w:t xml:space="preserve">forward counting patterns </w:t>
            </w:r>
            <w:r w:rsidR="00B24C8A">
              <w:rPr>
                <w:rFonts w:eastAsia="Times New Roman"/>
                <w:b w:val="0"/>
                <w:color w:val="000000" w:themeColor="text1"/>
                <w:sz w:val="24"/>
                <w:szCs w:val="24"/>
              </w:rPr>
              <w:t>to count</w:t>
            </w:r>
            <w:r w:rsidR="160C2906" w:rsidRPr="000E1175">
              <w:rPr>
                <w:rFonts w:eastAsia="Times New Roman"/>
                <w:b w:val="0"/>
                <w:color w:val="000000" w:themeColor="text1"/>
                <w:sz w:val="24"/>
                <w:szCs w:val="24"/>
              </w:rPr>
              <w:t xml:space="preserve"> by groups of 100 up to at least 1,000</w:t>
            </w:r>
            <w:r w:rsidR="01AD35E3" w:rsidRPr="000E1175">
              <w:rPr>
                <w:rFonts w:eastAsia="Times New Roman"/>
                <w:b w:val="0"/>
                <w:color w:val="000000" w:themeColor="text1"/>
                <w:sz w:val="24"/>
                <w:szCs w:val="24"/>
              </w:rPr>
              <w:t xml:space="preserve">. </w:t>
            </w:r>
            <w:r w:rsidR="3122E85B" w:rsidRPr="000E1175">
              <w:rPr>
                <w:rFonts w:eastAsia="Times New Roman"/>
                <w:b w:val="0"/>
                <w:color w:val="000000" w:themeColor="text1"/>
                <w:sz w:val="24"/>
                <w:szCs w:val="24"/>
              </w:rPr>
              <w:t>Being able to count by 100 will deve</w:t>
            </w:r>
            <w:r w:rsidR="01A79645" w:rsidRPr="000E1175">
              <w:rPr>
                <w:rFonts w:eastAsia="Times New Roman"/>
                <w:b w:val="0"/>
                <w:color w:val="000000" w:themeColor="text1"/>
                <w:sz w:val="24"/>
                <w:szCs w:val="24"/>
              </w:rPr>
              <w:t xml:space="preserve">lop skills necessary for place value and computation. </w:t>
            </w:r>
            <w:r w:rsidR="4378CF01" w:rsidRPr="000E1175">
              <w:rPr>
                <w:rFonts w:eastAsia="Times New Roman"/>
                <w:b w:val="0"/>
                <w:color w:val="000000" w:themeColor="text1"/>
                <w:sz w:val="24"/>
                <w:szCs w:val="24"/>
              </w:rPr>
              <w:t>Tools such as objects,</w:t>
            </w:r>
            <w:r w:rsidR="4B0C746A" w:rsidRPr="000E1175">
              <w:rPr>
                <w:rFonts w:eastAsia="Times New Roman"/>
                <w:b w:val="0"/>
                <w:color w:val="000000" w:themeColor="text1"/>
                <w:sz w:val="24"/>
                <w:szCs w:val="24"/>
              </w:rPr>
              <w:t xml:space="preserve"> base 10 flats,</w:t>
            </w:r>
            <w:r w:rsidR="4378CF01" w:rsidRPr="000E1175">
              <w:rPr>
                <w:rFonts w:eastAsia="Times New Roman"/>
                <w:b w:val="0"/>
                <w:color w:val="000000" w:themeColor="text1"/>
                <w:sz w:val="24"/>
                <w:szCs w:val="24"/>
              </w:rPr>
              <w:t xml:space="preserve"> number lines, calculators, and thousands charts can be used to support the understanding of this standard.</w:t>
            </w:r>
          </w:p>
        </w:tc>
      </w:tr>
      <w:tr w:rsidR="2B1FD7A0" w:rsidRPr="000E1175" w14:paraId="73DD3088" w14:textId="77777777" w:rsidTr="4C00BE90">
        <w:trPr>
          <w:trHeight w:val="300"/>
        </w:trPr>
        <w:tc>
          <w:tcPr>
            <w:tcW w:w="1705" w:type="dxa"/>
          </w:tcPr>
          <w:p w14:paraId="44B34AD3" w14:textId="349A9D6F" w:rsidR="2B1FD7A0" w:rsidRPr="000E1175" w:rsidRDefault="21EC50AC" w:rsidP="2B1FD7A0">
            <w:pPr>
              <w:pStyle w:val="VHead2"/>
              <w:rPr>
                <w:sz w:val="24"/>
                <w:szCs w:val="24"/>
              </w:rPr>
            </w:pPr>
            <w:r w:rsidRPr="000E1175">
              <w:rPr>
                <w:sz w:val="24"/>
                <w:szCs w:val="24"/>
              </w:rPr>
              <w:t>2.2b</w:t>
            </w:r>
          </w:p>
        </w:tc>
        <w:tc>
          <w:tcPr>
            <w:tcW w:w="2340" w:type="dxa"/>
          </w:tcPr>
          <w:p w14:paraId="7BD601FA" w14:textId="386F67CE" w:rsidR="2B1FD7A0" w:rsidRPr="000E1175" w:rsidRDefault="76B90041" w:rsidP="2B1FD7A0">
            <w:pPr>
              <w:pStyle w:val="VHead2"/>
              <w:rPr>
                <w:sz w:val="24"/>
                <w:szCs w:val="24"/>
              </w:rPr>
            </w:pPr>
            <w:r w:rsidRPr="000E1175">
              <w:rPr>
                <w:sz w:val="24"/>
                <w:szCs w:val="24"/>
              </w:rPr>
              <w:t>2.NS.1e</w:t>
            </w:r>
            <w:r w:rsidR="5C47B033" w:rsidRPr="000E1175">
              <w:rPr>
                <w:sz w:val="24"/>
                <w:szCs w:val="24"/>
              </w:rPr>
              <w:t>,</w:t>
            </w:r>
            <w:r w:rsidRPr="000E1175">
              <w:rPr>
                <w:sz w:val="24"/>
                <w:szCs w:val="24"/>
              </w:rPr>
              <w:t>f</w:t>
            </w:r>
          </w:p>
        </w:tc>
        <w:tc>
          <w:tcPr>
            <w:tcW w:w="10440" w:type="dxa"/>
          </w:tcPr>
          <w:p w14:paraId="1ED229C4" w14:textId="5FDCDC65" w:rsidR="2B1FD7A0" w:rsidRPr="000E1175" w:rsidRDefault="1D20CF89" w:rsidP="1C43AEAE">
            <w:pPr>
              <w:pStyle w:val="VHead2"/>
              <w:jc w:val="left"/>
              <w:rPr>
                <w:sz w:val="24"/>
                <w:szCs w:val="24"/>
              </w:rPr>
            </w:pPr>
            <w:r w:rsidRPr="000E1175">
              <w:rPr>
                <w:rFonts w:eastAsia="Times New Roman"/>
                <w:b w:val="0"/>
                <w:color w:val="auto"/>
                <w:sz w:val="24"/>
                <w:szCs w:val="24"/>
              </w:rPr>
              <w:t>Represent, describe, and use patterns in skip counting backwards by 10's to justify the number in the counting sequence</w:t>
            </w:r>
            <w:r w:rsidR="7E31DA79" w:rsidRPr="000E1175">
              <w:rPr>
                <w:rFonts w:eastAsia="Times New Roman"/>
                <w:b w:val="0"/>
                <w:color w:val="auto"/>
                <w:sz w:val="24"/>
                <w:szCs w:val="24"/>
              </w:rPr>
              <w:t xml:space="preserve">. Being able to count backwards is an essential skill </w:t>
            </w:r>
            <w:r w:rsidR="2FD06093" w:rsidRPr="000E1175">
              <w:rPr>
                <w:rFonts w:eastAsia="Times New Roman"/>
                <w:b w:val="0"/>
                <w:color w:val="auto"/>
                <w:sz w:val="24"/>
                <w:szCs w:val="24"/>
              </w:rPr>
              <w:t xml:space="preserve">for </w:t>
            </w:r>
            <w:r w:rsidR="7E31DA79" w:rsidRPr="000E1175">
              <w:rPr>
                <w:rFonts w:eastAsia="Times New Roman"/>
                <w:b w:val="0"/>
                <w:color w:val="auto"/>
                <w:sz w:val="24"/>
                <w:szCs w:val="24"/>
              </w:rPr>
              <w:t>subtraction</w:t>
            </w:r>
            <w:r w:rsidR="7EC34F2C" w:rsidRPr="000E1175">
              <w:rPr>
                <w:rFonts w:eastAsia="Times New Roman"/>
                <w:b w:val="0"/>
                <w:color w:val="auto"/>
                <w:sz w:val="24"/>
                <w:szCs w:val="24"/>
              </w:rPr>
              <w:t xml:space="preserve">. </w:t>
            </w:r>
            <w:r w:rsidR="7EC34F2C" w:rsidRPr="000E1175">
              <w:rPr>
                <w:rFonts w:eastAsia="Times New Roman"/>
                <w:b w:val="0"/>
                <w:color w:val="000000" w:themeColor="text1"/>
                <w:sz w:val="24"/>
                <w:szCs w:val="24"/>
              </w:rPr>
              <w:t>Tools such as objects, number lines, calculators, and hundred charts can be used to support the understanding of this standard.</w:t>
            </w:r>
          </w:p>
        </w:tc>
      </w:tr>
      <w:tr w:rsidR="734F9121" w:rsidRPr="000E1175" w14:paraId="24371694" w14:textId="77777777" w:rsidTr="4C00BE90">
        <w:trPr>
          <w:trHeight w:val="300"/>
        </w:trPr>
        <w:tc>
          <w:tcPr>
            <w:tcW w:w="1705" w:type="dxa"/>
          </w:tcPr>
          <w:p w14:paraId="3B15FA33" w14:textId="41FB2C71" w:rsidR="734F9121" w:rsidRPr="000E1175" w:rsidRDefault="75F6FC84" w:rsidP="734F9121">
            <w:pPr>
              <w:pStyle w:val="VHead2"/>
              <w:rPr>
                <w:sz w:val="24"/>
                <w:szCs w:val="24"/>
              </w:rPr>
            </w:pPr>
            <w:r w:rsidRPr="000E1175">
              <w:rPr>
                <w:sz w:val="24"/>
                <w:szCs w:val="24"/>
              </w:rPr>
              <w:t>1.5a</w:t>
            </w:r>
          </w:p>
        </w:tc>
        <w:tc>
          <w:tcPr>
            <w:tcW w:w="2340" w:type="dxa"/>
          </w:tcPr>
          <w:p w14:paraId="3EA4B0DD" w14:textId="37A56894" w:rsidR="03129651" w:rsidRPr="000E1175" w:rsidRDefault="03129651" w:rsidP="734F9121">
            <w:pPr>
              <w:pStyle w:val="VHead2"/>
              <w:rPr>
                <w:sz w:val="24"/>
                <w:szCs w:val="24"/>
              </w:rPr>
            </w:pPr>
            <w:r w:rsidRPr="000E1175">
              <w:rPr>
                <w:sz w:val="24"/>
                <w:szCs w:val="24"/>
              </w:rPr>
              <w:t>2.NS.1.g</w:t>
            </w:r>
          </w:p>
        </w:tc>
        <w:tc>
          <w:tcPr>
            <w:tcW w:w="10440" w:type="dxa"/>
          </w:tcPr>
          <w:p w14:paraId="5870CCB5" w14:textId="772B724A" w:rsidR="734F9121" w:rsidRPr="000E1175" w:rsidRDefault="00DF4B5A" w:rsidP="1C43AEAE">
            <w:pPr>
              <w:rPr>
                <w:rFonts w:eastAsia="Times New Roman"/>
                <w:color w:val="000000" w:themeColor="text1"/>
              </w:rPr>
            </w:pPr>
            <w:r>
              <w:rPr>
                <w:rFonts w:eastAsia="Times New Roman"/>
                <w:color w:val="000000" w:themeColor="text1"/>
              </w:rPr>
              <w:t>While students work with estimating, u</w:t>
            </w:r>
            <w:r w:rsidR="7270FDC8" w:rsidRPr="000E1175">
              <w:rPr>
                <w:rFonts w:eastAsia="Times New Roman"/>
                <w:color w:val="000000" w:themeColor="text1"/>
              </w:rPr>
              <w:t xml:space="preserve">se relatable contexts </w:t>
            </w:r>
            <w:r w:rsidR="582A06C5" w:rsidRPr="000E1175">
              <w:rPr>
                <w:rFonts w:eastAsia="Times New Roman"/>
                <w:color w:val="000000" w:themeColor="text1"/>
              </w:rPr>
              <w:t>such as</w:t>
            </w:r>
            <w:r w:rsidR="2245DDD5" w:rsidRPr="000E1175">
              <w:rPr>
                <w:rFonts w:eastAsia="Times New Roman"/>
                <w:color w:val="000000" w:themeColor="text1"/>
              </w:rPr>
              <w:t xml:space="preserve"> the</w:t>
            </w:r>
            <w:r w:rsidR="582A06C5" w:rsidRPr="000E1175">
              <w:rPr>
                <w:rFonts w:eastAsia="Times New Roman"/>
                <w:color w:val="000000" w:themeColor="text1"/>
              </w:rPr>
              <w:t xml:space="preserve"> number of students in your classroom v</w:t>
            </w:r>
            <w:r>
              <w:rPr>
                <w:rFonts w:eastAsia="Times New Roman"/>
                <w:color w:val="000000" w:themeColor="text1"/>
              </w:rPr>
              <w:t>ersus</w:t>
            </w:r>
            <w:r w:rsidR="582A06C5" w:rsidRPr="000E1175">
              <w:rPr>
                <w:rFonts w:eastAsia="Times New Roman"/>
                <w:color w:val="000000" w:themeColor="text1"/>
              </w:rPr>
              <w:t xml:space="preserve"> the number of students in the school </w:t>
            </w:r>
            <w:r>
              <w:rPr>
                <w:rFonts w:eastAsia="Times New Roman"/>
                <w:color w:val="000000" w:themeColor="text1"/>
              </w:rPr>
              <w:t xml:space="preserve">to support students in choosing </w:t>
            </w:r>
            <w:r w:rsidR="04753DC9" w:rsidRPr="000E1175">
              <w:rPr>
                <w:rFonts w:eastAsia="Times New Roman"/>
                <w:color w:val="000000" w:themeColor="text1"/>
              </w:rPr>
              <w:t>reasonable estimate</w:t>
            </w:r>
            <w:r>
              <w:rPr>
                <w:rFonts w:eastAsia="Times New Roman"/>
                <w:color w:val="000000" w:themeColor="text1"/>
              </w:rPr>
              <w:t>s</w:t>
            </w:r>
            <w:r w:rsidR="04753DC9" w:rsidRPr="000E1175">
              <w:rPr>
                <w:rFonts w:eastAsia="Times New Roman"/>
                <w:color w:val="000000" w:themeColor="text1"/>
              </w:rPr>
              <w:t xml:space="preserve"> up to 1,000</w:t>
            </w:r>
            <w:r w:rsidR="09639B7F" w:rsidRPr="000E1175">
              <w:rPr>
                <w:rFonts w:eastAsia="Times New Roman"/>
                <w:color w:val="000000" w:themeColor="text1"/>
              </w:rPr>
              <w:t xml:space="preserve">. </w:t>
            </w:r>
            <w:r w:rsidR="457A75BB" w:rsidRPr="000E1175">
              <w:rPr>
                <w:rFonts w:eastAsia="Times New Roman"/>
                <w:color w:val="000000" w:themeColor="text1"/>
              </w:rPr>
              <w:t xml:space="preserve"> </w:t>
            </w:r>
          </w:p>
        </w:tc>
      </w:tr>
      <w:tr w:rsidR="734F9121" w:rsidRPr="000E1175" w14:paraId="00EC6AF0" w14:textId="77777777" w:rsidTr="4C00BE90">
        <w:trPr>
          <w:trHeight w:val="300"/>
        </w:trPr>
        <w:tc>
          <w:tcPr>
            <w:tcW w:w="1705" w:type="dxa"/>
          </w:tcPr>
          <w:p w14:paraId="11DF2404" w14:textId="597EE77E" w:rsidR="734F9121" w:rsidRPr="000E1175" w:rsidRDefault="3C65F72B" w:rsidP="734F9121">
            <w:pPr>
              <w:pStyle w:val="VHead2"/>
              <w:rPr>
                <w:sz w:val="24"/>
                <w:szCs w:val="24"/>
              </w:rPr>
            </w:pPr>
            <w:r w:rsidRPr="000E1175">
              <w:rPr>
                <w:sz w:val="24"/>
                <w:szCs w:val="24"/>
              </w:rPr>
              <w:t>2.2c</w:t>
            </w:r>
          </w:p>
        </w:tc>
        <w:tc>
          <w:tcPr>
            <w:tcW w:w="2340" w:type="dxa"/>
          </w:tcPr>
          <w:p w14:paraId="7B46CD94" w14:textId="107F6C5B" w:rsidR="15C2275B" w:rsidRPr="000E1175" w:rsidRDefault="02EBBDAA" w:rsidP="734F9121">
            <w:pPr>
              <w:pStyle w:val="VHead2"/>
              <w:rPr>
                <w:sz w:val="24"/>
                <w:szCs w:val="24"/>
              </w:rPr>
            </w:pPr>
            <w:r w:rsidRPr="000E1175">
              <w:rPr>
                <w:sz w:val="24"/>
                <w:szCs w:val="24"/>
              </w:rPr>
              <w:t>2.NS.1h</w:t>
            </w:r>
            <w:r w:rsidR="0BA642E6" w:rsidRPr="000E1175">
              <w:rPr>
                <w:sz w:val="24"/>
                <w:szCs w:val="24"/>
              </w:rPr>
              <w:t>,</w:t>
            </w:r>
            <w:r w:rsidRPr="000E1175">
              <w:rPr>
                <w:sz w:val="24"/>
                <w:szCs w:val="24"/>
              </w:rPr>
              <w:t>i</w:t>
            </w:r>
          </w:p>
          <w:p w14:paraId="1055EE89" w14:textId="00CED998" w:rsidR="734F9121" w:rsidRPr="000E1175" w:rsidRDefault="734F9121" w:rsidP="734F9121">
            <w:pPr>
              <w:pStyle w:val="VHead2"/>
              <w:rPr>
                <w:sz w:val="24"/>
                <w:szCs w:val="24"/>
              </w:rPr>
            </w:pPr>
          </w:p>
        </w:tc>
        <w:tc>
          <w:tcPr>
            <w:tcW w:w="10440" w:type="dxa"/>
          </w:tcPr>
          <w:p w14:paraId="510632AC" w14:textId="71330E99" w:rsidR="734F9121" w:rsidRPr="000E1175" w:rsidRDefault="0002452D" w:rsidP="1C43AEAE">
            <w:pPr>
              <w:pStyle w:val="VHead2"/>
              <w:jc w:val="left"/>
              <w:rPr>
                <w:rFonts w:eastAsia="Times New Roman"/>
                <w:b w:val="0"/>
                <w:color w:val="000000" w:themeColor="text1"/>
                <w:sz w:val="24"/>
                <w:szCs w:val="24"/>
              </w:rPr>
            </w:pPr>
            <w:r>
              <w:rPr>
                <w:rFonts w:eastAsia="Times New Roman"/>
                <w:b w:val="0"/>
                <w:color w:val="000000" w:themeColor="text1"/>
                <w:sz w:val="24"/>
                <w:szCs w:val="24"/>
              </w:rPr>
              <w:t xml:space="preserve">While students are working with </w:t>
            </w:r>
            <w:r w:rsidR="00EF484C">
              <w:rPr>
                <w:rFonts w:eastAsia="Times New Roman"/>
                <w:b w:val="0"/>
                <w:color w:val="000000" w:themeColor="text1"/>
                <w:sz w:val="24"/>
                <w:szCs w:val="24"/>
              </w:rPr>
              <w:t>determining/representing even/odd numbers up to 50, have students u</w:t>
            </w:r>
            <w:r w:rsidR="626EC408" w:rsidRPr="000E1175">
              <w:rPr>
                <w:rFonts w:eastAsia="Times New Roman"/>
                <w:b w:val="0"/>
                <w:color w:val="000000" w:themeColor="text1"/>
                <w:sz w:val="24"/>
                <w:szCs w:val="24"/>
              </w:rPr>
              <w:t>se c</w:t>
            </w:r>
            <w:r w:rsidR="67C80918" w:rsidRPr="000E1175">
              <w:rPr>
                <w:rFonts w:eastAsia="Times New Roman"/>
                <w:b w:val="0"/>
                <w:color w:val="000000" w:themeColor="text1"/>
                <w:sz w:val="24"/>
                <w:szCs w:val="24"/>
              </w:rPr>
              <w:t xml:space="preserve">oncrete objects to divide collections into </w:t>
            </w:r>
            <w:r w:rsidR="50538177" w:rsidRPr="000E1175">
              <w:rPr>
                <w:rFonts w:eastAsia="Times New Roman"/>
                <w:b w:val="0"/>
                <w:color w:val="000000" w:themeColor="text1"/>
                <w:sz w:val="24"/>
                <w:szCs w:val="24"/>
              </w:rPr>
              <w:t xml:space="preserve">two </w:t>
            </w:r>
            <w:r w:rsidR="67C80918" w:rsidRPr="000E1175">
              <w:rPr>
                <w:rFonts w:eastAsia="Times New Roman"/>
                <w:b w:val="0"/>
                <w:color w:val="000000" w:themeColor="text1"/>
                <w:sz w:val="24"/>
                <w:szCs w:val="24"/>
              </w:rPr>
              <w:t xml:space="preserve">equal groups </w:t>
            </w:r>
            <w:r w:rsidR="526EFC26" w:rsidRPr="000E1175">
              <w:rPr>
                <w:rFonts w:eastAsia="Times New Roman"/>
                <w:b w:val="0"/>
                <w:color w:val="000000" w:themeColor="text1"/>
                <w:sz w:val="24"/>
                <w:szCs w:val="24"/>
              </w:rPr>
              <w:t xml:space="preserve">or </w:t>
            </w:r>
            <w:r w:rsidR="67C80918" w:rsidRPr="000E1175">
              <w:rPr>
                <w:rFonts w:eastAsia="Times New Roman"/>
                <w:b w:val="0"/>
                <w:color w:val="000000" w:themeColor="text1"/>
                <w:sz w:val="24"/>
                <w:szCs w:val="24"/>
              </w:rPr>
              <w:t>pair objects</w:t>
            </w:r>
            <w:r w:rsidR="1E948BE5" w:rsidRPr="000E1175">
              <w:rPr>
                <w:rFonts w:eastAsia="Times New Roman"/>
                <w:b w:val="0"/>
                <w:color w:val="000000" w:themeColor="text1"/>
                <w:sz w:val="24"/>
                <w:szCs w:val="24"/>
              </w:rPr>
              <w:t xml:space="preserve">.  Then have </w:t>
            </w:r>
            <w:r w:rsidR="7701C891" w:rsidRPr="000E1175">
              <w:rPr>
                <w:rFonts w:eastAsia="Times New Roman"/>
                <w:b w:val="0"/>
                <w:color w:val="000000" w:themeColor="text1"/>
                <w:sz w:val="24"/>
                <w:szCs w:val="24"/>
              </w:rPr>
              <w:t xml:space="preserve">students </w:t>
            </w:r>
            <w:r w:rsidR="21C3210C" w:rsidRPr="000E1175">
              <w:rPr>
                <w:rFonts w:eastAsia="Times New Roman"/>
                <w:b w:val="0"/>
                <w:color w:val="000000" w:themeColor="text1"/>
                <w:sz w:val="24"/>
                <w:szCs w:val="24"/>
              </w:rPr>
              <w:t xml:space="preserve">justify </w:t>
            </w:r>
            <w:r w:rsidR="21C3210C" w:rsidRPr="000E1175">
              <w:rPr>
                <w:rFonts w:eastAsia="Times New Roman"/>
                <w:b w:val="0"/>
                <w:color w:val="000000" w:themeColor="text1"/>
                <w:sz w:val="24"/>
                <w:szCs w:val="24"/>
              </w:rPr>
              <w:lastRenderedPageBreak/>
              <w:t>that a number</w:t>
            </w:r>
            <w:r w:rsidR="2ABA0825" w:rsidRPr="000E1175">
              <w:rPr>
                <w:rFonts w:eastAsia="Times New Roman"/>
                <w:b w:val="0"/>
                <w:color w:val="000000" w:themeColor="text1"/>
                <w:sz w:val="24"/>
                <w:szCs w:val="24"/>
              </w:rPr>
              <w:t xml:space="preserve"> is</w:t>
            </w:r>
            <w:r w:rsidR="21C3210C" w:rsidRPr="000E1175">
              <w:rPr>
                <w:rFonts w:eastAsia="Times New Roman"/>
                <w:b w:val="0"/>
                <w:color w:val="000000" w:themeColor="text1"/>
                <w:sz w:val="24"/>
                <w:szCs w:val="24"/>
              </w:rPr>
              <w:t xml:space="preserve"> even when each object has a pair or partner </w:t>
            </w:r>
            <w:r w:rsidR="16CEEBF7" w:rsidRPr="000E1175">
              <w:rPr>
                <w:rFonts w:eastAsia="Times New Roman"/>
                <w:b w:val="0"/>
                <w:color w:val="000000" w:themeColor="text1"/>
                <w:sz w:val="24"/>
                <w:szCs w:val="24"/>
              </w:rPr>
              <w:t>or</w:t>
            </w:r>
            <w:r w:rsidR="21C3210C" w:rsidRPr="000E1175">
              <w:rPr>
                <w:rFonts w:eastAsia="Times New Roman"/>
                <w:b w:val="0"/>
                <w:color w:val="000000" w:themeColor="text1"/>
                <w:sz w:val="24"/>
                <w:szCs w:val="24"/>
              </w:rPr>
              <w:t xml:space="preserve"> odd when an object is leftover or does not have a pair.</w:t>
            </w:r>
          </w:p>
        </w:tc>
      </w:tr>
      <w:tr w:rsidR="74BD4AB5" w:rsidRPr="000E1175" w14:paraId="1C8B593E" w14:textId="77777777" w:rsidTr="4C00BE90">
        <w:trPr>
          <w:trHeight w:val="300"/>
        </w:trPr>
        <w:tc>
          <w:tcPr>
            <w:tcW w:w="1705" w:type="dxa"/>
          </w:tcPr>
          <w:p w14:paraId="390851B2" w14:textId="341C4023" w:rsidR="74BD4AB5" w:rsidRPr="000E1175" w:rsidRDefault="74BD4AB5" w:rsidP="74BD4AB5">
            <w:pPr>
              <w:pStyle w:val="VHead2"/>
              <w:rPr>
                <w:sz w:val="24"/>
                <w:szCs w:val="24"/>
              </w:rPr>
            </w:pPr>
          </w:p>
        </w:tc>
        <w:tc>
          <w:tcPr>
            <w:tcW w:w="2340" w:type="dxa"/>
          </w:tcPr>
          <w:p w14:paraId="6936A68D" w14:textId="418217A1" w:rsidR="74BD4AB5" w:rsidRPr="000E1175" w:rsidRDefault="74BD4AB5" w:rsidP="74BD4AB5">
            <w:pPr>
              <w:pStyle w:val="VHead2"/>
              <w:rPr>
                <w:sz w:val="24"/>
                <w:szCs w:val="24"/>
              </w:rPr>
            </w:pPr>
            <w:r w:rsidRPr="000E1175">
              <w:rPr>
                <w:sz w:val="24"/>
                <w:szCs w:val="24"/>
              </w:rPr>
              <w:t>2.NS.2f</w:t>
            </w:r>
          </w:p>
        </w:tc>
        <w:tc>
          <w:tcPr>
            <w:tcW w:w="10440" w:type="dxa"/>
          </w:tcPr>
          <w:p w14:paraId="0C9888DA" w14:textId="792722A7" w:rsidR="74BD4AB5" w:rsidRPr="000E1175" w:rsidRDefault="74BD4AB5" w:rsidP="74BD4AB5">
            <w:pPr>
              <w:pStyle w:val="VHead2"/>
              <w:jc w:val="left"/>
              <w:rPr>
                <w:rFonts w:eastAsia="Times New Roman"/>
                <w:b w:val="0"/>
                <w:color w:val="000000" w:themeColor="text1"/>
                <w:sz w:val="24"/>
                <w:szCs w:val="24"/>
              </w:rPr>
            </w:pPr>
            <w:r w:rsidRPr="000E1175">
              <w:rPr>
                <w:rFonts w:eastAsia="Times New Roman"/>
                <w:b w:val="0"/>
                <w:color w:val="000000" w:themeColor="text1"/>
                <w:sz w:val="24"/>
                <w:szCs w:val="24"/>
              </w:rPr>
              <w:t>Plot and justify the position of a given number up to 100 on a number line with pre-marked benchmarks of 1s, 2s, 5s, 10s, or 25s. Count and discover patterns on a number line and ask students, “If 30 is here on this number line, where would 31 be? Where would 29 be? Expand to additional numbers.</w:t>
            </w:r>
          </w:p>
        </w:tc>
      </w:tr>
      <w:tr w:rsidR="734F9121" w:rsidRPr="000E1175" w14:paraId="2A47083E" w14:textId="77777777" w:rsidTr="4C00BE90">
        <w:trPr>
          <w:trHeight w:val="300"/>
        </w:trPr>
        <w:tc>
          <w:tcPr>
            <w:tcW w:w="1705" w:type="dxa"/>
          </w:tcPr>
          <w:p w14:paraId="4687A1F2" w14:textId="5E4AA986" w:rsidR="734F9121" w:rsidRPr="000E1175" w:rsidRDefault="04F992AC" w:rsidP="734F9121">
            <w:pPr>
              <w:pStyle w:val="VHead2"/>
              <w:rPr>
                <w:sz w:val="24"/>
                <w:szCs w:val="24"/>
              </w:rPr>
            </w:pPr>
            <w:r w:rsidRPr="000E1175">
              <w:rPr>
                <w:sz w:val="24"/>
                <w:szCs w:val="24"/>
              </w:rPr>
              <w:t>2.4c</w:t>
            </w:r>
          </w:p>
        </w:tc>
        <w:tc>
          <w:tcPr>
            <w:tcW w:w="2340" w:type="dxa"/>
          </w:tcPr>
          <w:p w14:paraId="7AAA1B60" w14:textId="4336A256" w:rsidR="734F9121" w:rsidRPr="000E1175" w:rsidRDefault="1812779D" w:rsidP="734F9121">
            <w:pPr>
              <w:pStyle w:val="VHead2"/>
              <w:rPr>
                <w:rFonts w:eastAsia="Times New Roman"/>
                <w:sz w:val="24"/>
                <w:szCs w:val="24"/>
              </w:rPr>
            </w:pPr>
            <w:r w:rsidRPr="000E1175">
              <w:rPr>
                <w:rFonts w:eastAsia="Times New Roman"/>
                <w:sz w:val="24"/>
                <w:szCs w:val="24"/>
              </w:rPr>
              <w:t>2.NS.3b</w:t>
            </w:r>
          </w:p>
        </w:tc>
        <w:tc>
          <w:tcPr>
            <w:tcW w:w="10440" w:type="dxa"/>
          </w:tcPr>
          <w:p w14:paraId="50E9B960" w14:textId="7C257027" w:rsidR="0EE597EF" w:rsidRPr="000E1175" w:rsidRDefault="6C50A6C1" w:rsidP="1C43AEAE">
            <w:pPr>
              <w:rPr>
                <w:rFonts w:eastAsia="Times New Roman"/>
                <w:color w:val="000000" w:themeColor="text1"/>
                <w:lang w:val="en"/>
              </w:rPr>
            </w:pPr>
            <w:r w:rsidRPr="000E1175">
              <w:rPr>
                <w:rFonts w:eastAsia="Times New Roman"/>
                <w:color w:val="000000" w:themeColor="text1"/>
              </w:rPr>
              <w:t xml:space="preserve">Describe the relationship between the number of fractional parts needed to make a whole and the size of the parts.  </w:t>
            </w:r>
            <w:r w:rsidRPr="000E1175">
              <w:rPr>
                <w:rFonts w:eastAsia="Times New Roman"/>
                <w:color w:val="000000" w:themeColor="text1"/>
                <w:lang w:val="en"/>
              </w:rPr>
              <w:t>This will develop a sense of the fraction magnitude and the understanding of when the whole is divided into more parts, each part becomes smaller.</w:t>
            </w:r>
            <w:r w:rsidR="27EBFFD4" w:rsidRPr="000E1175">
              <w:rPr>
                <w:rFonts w:eastAsia="Times New Roman"/>
                <w:color w:val="000000" w:themeColor="text1"/>
                <w:lang w:val="en"/>
              </w:rPr>
              <w:t xml:space="preserve"> Have students take a paper rectangle that represents the whole and fold </w:t>
            </w:r>
            <w:r w:rsidR="4BA3195A" w:rsidRPr="000E1175">
              <w:rPr>
                <w:rFonts w:eastAsia="Times New Roman"/>
                <w:color w:val="000000" w:themeColor="text1"/>
                <w:lang w:val="en"/>
              </w:rPr>
              <w:t>in</w:t>
            </w:r>
            <w:r w:rsidR="27EBFFD4" w:rsidRPr="000E1175">
              <w:rPr>
                <w:rFonts w:eastAsia="Times New Roman"/>
                <w:color w:val="000000" w:themeColor="text1"/>
                <w:lang w:val="en"/>
              </w:rPr>
              <w:t xml:space="preserve">to </w:t>
            </w:r>
            <w:r w:rsidR="373E8699" w:rsidRPr="000E1175">
              <w:rPr>
                <w:rFonts w:eastAsia="Times New Roman"/>
                <w:color w:val="000000" w:themeColor="text1"/>
                <w:lang w:val="en"/>
              </w:rPr>
              <w:t xml:space="preserve">strips to </w:t>
            </w:r>
            <w:r w:rsidR="27EBFFD4" w:rsidRPr="000E1175">
              <w:rPr>
                <w:rFonts w:eastAsia="Times New Roman"/>
                <w:color w:val="000000" w:themeColor="text1"/>
                <w:lang w:val="en"/>
              </w:rPr>
              <w:t xml:space="preserve">divide it into </w:t>
            </w:r>
            <w:r w:rsidR="5535DE63" w:rsidRPr="000E1175">
              <w:rPr>
                <w:rFonts w:eastAsia="Times New Roman"/>
                <w:color w:val="000000" w:themeColor="text1"/>
                <w:lang w:val="en"/>
              </w:rPr>
              <w:t xml:space="preserve">2 equal pieces. Label each piece as ½ as it represents 1 of 2 equal pieces. Do the same with </w:t>
            </w:r>
            <w:r w:rsidR="27EBFFD4" w:rsidRPr="000E1175">
              <w:rPr>
                <w:rFonts w:eastAsia="Times New Roman"/>
                <w:color w:val="000000" w:themeColor="text1"/>
                <w:lang w:val="en"/>
              </w:rPr>
              <w:t>4 equal pieces</w:t>
            </w:r>
            <w:r w:rsidR="0287597A" w:rsidRPr="000E1175">
              <w:rPr>
                <w:rFonts w:eastAsia="Times New Roman"/>
                <w:color w:val="000000" w:themeColor="text1"/>
                <w:lang w:val="en"/>
              </w:rPr>
              <w:t xml:space="preserve">. </w:t>
            </w:r>
            <w:r w:rsidR="283F5656" w:rsidRPr="000E1175">
              <w:rPr>
                <w:rFonts w:eastAsia="Times New Roman"/>
                <w:color w:val="000000" w:themeColor="text1"/>
                <w:lang w:val="en"/>
              </w:rPr>
              <w:t>Label e</w:t>
            </w:r>
            <w:r w:rsidR="0287597A" w:rsidRPr="000E1175">
              <w:rPr>
                <w:rFonts w:eastAsia="Times New Roman"/>
                <w:color w:val="000000" w:themeColor="text1"/>
                <w:lang w:val="en"/>
              </w:rPr>
              <w:t xml:space="preserve">ach piece represents ¼ . </w:t>
            </w:r>
            <w:r w:rsidR="7B66CDA2" w:rsidRPr="000E1175">
              <w:rPr>
                <w:rFonts w:eastAsia="Times New Roman"/>
                <w:color w:val="000000" w:themeColor="text1"/>
                <w:lang w:val="en"/>
              </w:rPr>
              <w:t xml:space="preserve">Do the same to another rectangle </w:t>
            </w:r>
            <w:r w:rsidR="0287597A" w:rsidRPr="000E1175">
              <w:rPr>
                <w:rFonts w:eastAsia="Times New Roman"/>
                <w:color w:val="000000" w:themeColor="text1"/>
                <w:lang w:val="en"/>
              </w:rPr>
              <w:t>to divide into 8 equal pieces</w:t>
            </w:r>
            <w:r w:rsidR="699A7124" w:rsidRPr="000E1175">
              <w:rPr>
                <w:rFonts w:eastAsia="Times New Roman"/>
                <w:color w:val="000000" w:themeColor="text1"/>
                <w:lang w:val="en"/>
              </w:rPr>
              <w:t xml:space="preserve">. Have students </w:t>
            </w:r>
            <w:r w:rsidR="230CC782" w:rsidRPr="000E1175">
              <w:rPr>
                <w:rFonts w:eastAsia="Times New Roman"/>
                <w:color w:val="000000" w:themeColor="text1"/>
                <w:lang w:val="en"/>
              </w:rPr>
              <w:t>label each as 1/8 as it represents 1 of 8 equal pieces. Ask students, “</w:t>
            </w:r>
            <w:r w:rsidR="0ADBF6EE" w:rsidRPr="000E1175">
              <w:rPr>
                <w:rFonts w:eastAsia="Times New Roman"/>
                <w:color w:val="000000" w:themeColor="text1"/>
                <w:lang w:val="en"/>
              </w:rPr>
              <w:t>W</w:t>
            </w:r>
            <w:r w:rsidR="230CC782" w:rsidRPr="000E1175">
              <w:rPr>
                <w:rFonts w:eastAsia="Times New Roman"/>
                <w:color w:val="000000" w:themeColor="text1"/>
                <w:lang w:val="en"/>
              </w:rPr>
              <w:t>hat do you notice about each</w:t>
            </w:r>
            <w:r w:rsidR="10BE5B30" w:rsidRPr="000E1175">
              <w:rPr>
                <w:rFonts w:eastAsia="Times New Roman"/>
                <w:color w:val="000000" w:themeColor="text1"/>
                <w:lang w:val="en"/>
              </w:rPr>
              <w:t>?” “What do you wonder?”</w:t>
            </w:r>
          </w:p>
        </w:tc>
      </w:tr>
      <w:tr w:rsidR="1C43AEAE" w:rsidRPr="000E1175" w14:paraId="7C47543B" w14:textId="77777777" w:rsidTr="4C00BE90">
        <w:trPr>
          <w:trHeight w:val="300"/>
        </w:trPr>
        <w:tc>
          <w:tcPr>
            <w:tcW w:w="1705" w:type="dxa"/>
          </w:tcPr>
          <w:p w14:paraId="01A1AF6E" w14:textId="1EEB5CC6" w:rsidR="1C43AEAE" w:rsidRPr="000E1175" w:rsidRDefault="1C43AEAE" w:rsidP="1C43AEAE">
            <w:pPr>
              <w:pStyle w:val="VHead2"/>
              <w:rPr>
                <w:sz w:val="24"/>
                <w:szCs w:val="24"/>
              </w:rPr>
            </w:pPr>
          </w:p>
        </w:tc>
        <w:tc>
          <w:tcPr>
            <w:tcW w:w="2340" w:type="dxa"/>
          </w:tcPr>
          <w:p w14:paraId="7E8BD130" w14:textId="674AA8D6" w:rsidR="42485B6D" w:rsidRPr="000E1175" w:rsidRDefault="42485B6D" w:rsidP="1C43AEAE">
            <w:pPr>
              <w:pStyle w:val="VHead2"/>
              <w:rPr>
                <w:rFonts w:eastAsia="Times New Roman"/>
                <w:sz w:val="24"/>
                <w:szCs w:val="24"/>
              </w:rPr>
            </w:pPr>
            <w:r w:rsidRPr="000E1175">
              <w:rPr>
                <w:rFonts w:eastAsia="Times New Roman"/>
                <w:sz w:val="24"/>
                <w:szCs w:val="24"/>
              </w:rPr>
              <w:t>2.NS.3c</w:t>
            </w:r>
          </w:p>
        </w:tc>
        <w:tc>
          <w:tcPr>
            <w:tcW w:w="10440" w:type="dxa"/>
          </w:tcPr>
          <w:p w14:paraId="7BE35887" w14:textId="08921ED2" w:rsidR="532787F9" w:rsidRPr="000E1175" w:rsidRDefault="532787F9" w:rsidP="1C43AEAE">
            <w:pPr>
              <w:rPr>
                <w:rFonts w:eastAsia="Times New Roman"/>
              </w:rPr>
            </w:pPr>
            <w:r w:rsidRPr="000E1175">
              <w:rPr>
                <w:rFonts w:eastAsia="Times New Roman"/>
              </w:rPr>
              <w:t xml:space="preserve">Compose the whole for a given fractional part and its value (in context) for halves, fourths, eighths, thirds, and sixths (e.g., when given 1/4, determine how many pieces would be needed to make 4/4).  </w:t>
            </w:r>
          </w:p>
        </w:tc>
      </w:tr>
      <w:tr w:rsidR="734F9121" w:rsidRPr="000E1175" w14:paraId="0AE83DF2" w14:textId="77777777" w:rsidTr="4C00BE90">
        <w:trPr>
          <w:trHeight w:val="300"/>
        </w:trPr>
        <w:tc>
          <w:tcPr>
            <w:tcW w:w="1705" w:type="dxa"/>
          </w:tcPr>
          <w:p w14:paraId="2789F7BE" w14:textId="6F10C085" w:rsidR="734F9121" w:rsidRPr="000E1175" w:rsidRDefault="734F9121" w:rsidP="734F9121">
            <w:pPr>
              <w:pStyle w:val="VHead2"/>
              <w:rPr>
                <w:sz w:val="24"/>
                <w:szCs w:val="24"/>
              </w:rPr>
            </w:pPr>
          </w:p>
        </w:tc>
        <w:tc>
          <w:tcPr>
            <w:tcW w:w="2340" w:type="dxa"/>
          </w:tcPr>
          <w:p w14:paraId="198C841F" w14:textId="615341BA" w:rsidR="734F9121" w:rsidRPr="000E1175" w:rsidRDefault="4582C32C" w:rsidP="734F9121">
            <w:pPr>
              <w:pStyle w:val="VHead2"/>
              <w:rPr>
                <w:rFonts w:eastAsia="Times New Roman"/>
                <w:sz w:val="24"/>
                <w:szCs w:val="24"/>
              </w:rPr>
            </w:pPr>
            <w:r w:rsidRPr="000E1175">
              <w:rPr>
                <w:rFonts w:eastAsia="Times New Roman"/>
                <w:sz w:val="24"/>
                <w:szCs w:val="24"/>
              </w:rPr>
              <w:t>2.NS.3d</w:t>
            </w:r>
          </w:p>
        </w:tc>
        <w:tc>
          <w:tcPr>
            <w:tcW w:w="10440" w:type="dxa"/>
          </w:tcPr>
          <w:p w14:paraId="65D0EEB0" w14:textId="3ACBE3DD" w:rsidR="7A81052D" w:rsidRPr="000E1175" w:rsidRDefault="3489D6D1" w:rsidP="1792E058">
            <w:pPr>
              <w:rPr>
                <w:rFonts w:eastAsia="Times New Roman"/>
                <w:color w:val="000000" w:themeColor="text1"/>
              </w:rPr>
            </w:pPr>
            <w:r w:rsidRPr="4C00BE90">
              <w:rPr>
                <w:rFonts w:eastAsia="Times New Roman"/>
                <w:color w:val="000000" w:themeColor="text1"/>
              </w:rPr>
              <w:t>Counting by unit fractions up to two whole</w:t>
            </w:r>
            <w:r w:rsidR="5443B937" w:rsidRPr="4C00BE90">
              <w:rPr>
                <w:rFonts w:eastAsia="Times New Roman"/>
                <w:color w:val="000000" w:themeColor="text1"/>
              </w:rPr>
              <w:t>s</w:t>
            </w:r>
            <w:r w:rsidRPr="4C00BE90">
              <w:rPr>
                <w:rFonts w:eastAsia="Times New Roman"/>
                <w:color w:val="000000" w:themeColor="text1"/>
              </w:rPr>
              <w:t xml:space="preserve"> is included so students </w:t>
            </w:r>
            <w:proofErr w:type="gramStart"/>
            <w:r w:rsidRPr="4C00BE90">
              <w:rPr>
                <w:rFonts w:eastAsia="Times New Roman"/>
                <w:color w:val="000000" w:themeColor="text1"/>
              </w:rPr>
              <w:t>are able to</w:t>
            </w:r>
            <w:proofErr w:type="gramEnd"/>
            <w:r w:rsidRPr="4C00BE90">
              <w:rPr>
                <w:rFonts w:eastAsia="Times New Roman"/>
                <w:color w:val="000000" w:themeColor="text1"/>
              </w:rPr>
              <w:t xml:space="preserve"> count by the number of unit fractions separately and together.  For example, they will count zero one-fourths, one one-fourth, two one-fourths, three one fourths as well as zero-fourths, one-fourth, two-</w:t>
            </w:r>
            <w:r w:rsidR="00E63159" w:rsidRPr="4C00BE90">
              <w:rPr>
                <w:rFonts w:eastAsia="Times New Roman"/>
                <w:color w:val="000000" w:themeColor="text1"/>
              </w:rPr>
              <w:t>fourths,</w:t>
            </w:r>
            <w:r w:rsidRPr="4C00BE90">
              <w:rPr>
                <w:rFonts w:eastAsia="Times New Roman"/>
                <w:color w:val="000000" w:themeColor="text1"/>
              </w:rPr>
              <w:t xml:space="preserve"> and three-fourths.</w:t>
            </w:r>
            <w:r w:rsidR="65972406" w:rsidRPr="4C00BE90">
              <w:rPr>
                <w:rFonts w:eastAsia="Times New Roman"/>
                <w:color w:val="000000" w:themeColor="text1"/>
              </w:rPr>
              <w:t xml:space="preserve">  Using fraction manipulatives </w:t>
            </w:r>
            <w:r w:rsidR="186E3EDA" w:rsidRPr="4C00BE90">
              <w:rPr>
                <w:rFonts w:eastAsia="Times New Roman"/>
                <w:color w:val="000000" w:themeColor="text1"/>
              </w:rPr>
              <w:t>representing the</w:t>
            </w:r>
            <w:r w:rsidR="65972406" w:rsidRPr="4C00BE90">
              <w:rPr>
                <w:rFonts w:eastAsia="Times New Roman"/>
                <w:color w:val="000000" w:themeColor="text1"/>
              </w:rPr>
              <w:t xml:space="preserve"> region/area model will help develop this understanding.</w:t>
            </w:r>
          </w:p>
        </w:tc>
      </w:tr>
    </w:tbl>
    <w:p w14:paraId="381D48D3" w14:textId="77777777" w:rsidR="00B17BA6" w:rsidRPr="000E1175" w:rsidRDefault="00B17BA6" w:rsidP="00B17BA6">
      <w:pPr>
        <w:pStyle w:val="VHead2"/>
        <w:jc w:val="left"/>
        <w:rPr>
          <w:sz w:val="24"/>
          <w:szCs w:val="24"/>
        </w:rPr>
      </w:pPr>
    </w:p>
    <w:p w14:paraId="567F9EFE" w14:textId="77777777" w:rsidR="00B17BA6" w:rsidRPr="000E1175" w:rsidRDefault="00B17BA6" w:rsidP="00B17BA6">
      <w:pPr>
        <w:pStyle w:val="VHead2"/>
        <w:jc w:val="left"/>
        <w:rPr>
          <w:sz w:val="24"/>
          <w:szCs w:val="24"/>
        </w:rPr>
      </w:pPr>
      <w:r w:rsidRPr="000E1175">
        <w:rPr>
          <w:sz w:val="24"/>
          <w:szCs w:val="24"/>
        </w:rPr>
        <w:t xml:space="preserve">Computation and Estimation </w:t>
      </w:r>
    </w:p>
    <w:tbl>
      <w:tblPr>
        <w:tblStyle w:val="TableGrid"/>
        <w:tblW w:w="14485" w:type="dxa"/>
        <w:tblLook w:val="04A0" w:firstRow="1" w:lastRow="0" w:firstColumn="1" w:lastColumn="0" w:noHBand="0" w:noVBand="1"/>
      </w:tblPr>
      <w:tblGrid>
        <w:gridCol w:w="1920"/>
        <w:gridCol w:w="2316"/>
        <w:gridCol w:w="10249"/>
      </w:tblGrid>
      <w:tr w:rsidR="00B17BA6" w:rsidRPr="000E1175" w14:paraId="324B140F" w14:textId="77777777" w:rsidTr="00EA3F2E">
        <w:trPr>
          <w:tblHeader/>
        </w:trPr>
        <w:tc>
          <w:tcPr>
            <w:tcW w:w="1705" w:type="dxa"/>
            <w:shd w:val="clear" w:color="auto" w:fill="FABF8F" w:themeFill="accent6" w:themeFillTint="99"/>
          </w:tcPr>
          <w:p w14:paraId="79035607" w14:textId="7777777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2016 SOL</w:t>
            </w:r>
          </w:p>
        </w:tc>
        <w:tc>
          <w:tcPr>
            <w:tcW w:w="2340" w:type="dxa"/>
            <w:shd w:val="clear" w:color="auto" w:fill="FABF8F" w:themeFill="accent6" w:themeFillTint="99"/>
          </w:tcPr>
          <w:p w14:paraId="10084FFE" w14:textId="7CDAB072"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2023 SOL</w:t>
            </w:r>
          </w:p>
        </w:tc>
        <w:tc>
          <w:tcPr>
            <w:tcW w:w="10440" w:type="dxa"/>
            <w:shd w:val="clear" w:color="auto" w:fill="FABF8F" w:themeFill="accent6" w:themeFillTint="99"/>
          </w:tcPr>
          <w:p w14:paraId="29F18A15" w14:textId="7777777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Instructional Notes</w:t>
            </w:r>
          </w:p>
        </w:tc>
      </w:tr>
      <w:tr w:rsidR="74BD4AB5" w:rsidRPr="000E1175" w14:paraId="285062D8" w14:textId="77777777" w:rsidTr="4C00BE90">
        <w:trPr>
          <w:trHeight w:val="300"/>
        </w:trPr>
        <w:tc>
          <w:tcPr>
            <w:tcW w:w="1948" w:type="dxa"/>
          </w:tcPr>
          <w:p w14:paraId="557FB9CC" w14:textId="1B6378E4" w:rsidR="1E4E0050" w:rsidRPr="000E1175" w:rsidRDefault="1E4E0050" w:rsidP="74BD4AB5">
            <w:pPr>
              <w:pStyle w:val="VHead2"/>
              <w:rPr>
                <w:sz w:val="24"/>
                <w:szCs w:val="24"/>
              </w:rPr>
            </w:pPr>
            <w:r w:rsidRPr="000E1175">
              <w:rPr>
                <w:sz w:val="24"/>
                <w:szCs w:val="24"/>
              </w:rPr>
              <w:t>2.5</w:t>
            </w:r>
          </w:p>
        </w:tc>
        <w:tc>
          <w:tcPr>
            <w:tcW w:w="2313" w:type="dxa"/>
          </w:tcPr>
          <w:p w14:paraId="58AF3144" w14:textId="70D38CD9" w:rsidR="1E4E0050" w:rsidRPr="000E1175" w:rsidRDefault="1E4E0050" w:rsidP="74BD4AB5">
            <w:pPr>
              <w:pStyle w:val="VHead2"/>
              <w:rPr>
                <w:sz w:val="24"/>
                <w:szCs w:val="24"/>
              </w:rPr>
            </w:pPr>
            <w:r w:rsidRPr="000E1175">
              <w:rPr>
                <w:sz w:val="24"/>
                <w:szCs w:val="24"/>
              </w:rPr>
              <w:t>2.CE.1d,e</w:t>
            </w:r>
          </w:p>
        </w:tc>
        <w:tc>
          <w:tcPr>
            <w:tcW w:w="10224" w:type="dxa"/>
          </w:tcPr>
          <w:p w14:paraId="7E5011A4" w14:textId="57A1D93B" w:rsidR="1E4E0050" w:rsidRPr="000E1175" w:rsidRDefault="7F77B6A8" w:rsidP="74BD4AB5">
            <w:pPr>
              <w:rPr>
                <w:rFonts w:eastAsia="Times New Roman"/>
                <w:color w:val="000000" w:themeColor="text1"/>
                <w:lang w:val="en"/>
              </w:rPr>
            </w:pPr>
            <w:r w:rsidRPr="4C00BE90">
              <w:rPr>
                <w:rFonts w:eastAsia="Times New Roman"/>
                <w:color w:val="000000" w:themeColor="text1"/>
                <w:lang w:val="en"/>
              </w:rPr>
              <w:t xml:space="preserve">Teach and reinforce the basic facts reasoning strategies such as doubles, near doubles, make-a-ten, </w:t>
            </w:r>
            <w:r w:rsidR="00E63159" w:rsidRPr="4C00BE90">
              <w:rPr>
                <w:rFonts w:eastAsia="Times New Roman"/>
                <w:color w:val="000000" w:themeColor="text1"/>
                <w:lang w:val="en"/>
              </w:rPr>
              <w:t>compensation,</w:t>
            </w:r>
            <w:r w:rsidR="2EDF12E3" w:rsidRPr="4C00BE90">
              <w:rPr>
                <w:rFonts w:eastAsia="Times New Roman"/>
                <w:color w:val="000000" w:themeColor="text1"/>
                <w:lang w:val="en"/>
              </w:rPr>
              <w:t xml:space="preserve"> </w:t>
            </w:r>
            <w:r w:rsidRPr="4C00BE90">
              <w:rPr>
                <w:rFonts w:eastAsia="Times New Roman"/>
                <w:color w:val="000000" w:themeColor="text1"/>
                <w:lang w:val="en"/>
              </w:rPr>
              <w:t xml:space="preserve">and inverse relationships. Provide opportunities for students to practice hands-on games based on targeted addition and subtraction strategies to develop fluency and automaticity with addition and subtraction facts within 20.  </w:t>
            </w:r>
          </w:p>
        </w:tc>
      </w:tr>
      <w:tr w:rsidR="00B17BA6" w:rsidRPr="000E1175" w14:paraId="72AB52B0" w14:textId="77777777" w:rsidTr="4C00BE90">
        <w:tc>
          <w:tcPr>
            <w:tcW w:w="1705" w:type="dxa"/>
          </w:tcPr>
          <w:p w14:paraId="054D416B" w14:textId="20142643" w:rsidR="00B17BA6" w:rsidRPr="000E1175" w:rsidRDefault="168143C6"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2.6</w:t>
            </w:r>
          </w:p>
        </w:tc>
        <w:tc>
          <w:tcPr>
            <w:tcW w:w="2340" w:type="dxa"/>
          </w:tcPr>
          <w:p w14:paraId="7FD361A9" w14:textId="40CE1957" w:rsidR="00B17BA6" w:rsidRPr="000E1175" w:rsidRDefault="04459E35"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2.CE.1</w:t>
            </w:r>
            <w:r w:rsidR="1D77F1C2" w:rsidRPr="000E1175">
              <w:rPr>
                <w:sz w:val="24"/>
                <w:szCs w:val="24"/>
              </w:rPr>
              <w:t>c</w:t>
            </w:r>
          </w:p>
        </w:tc>
        <w:tc>
          <w:tcPr>
            <w:tcW w:w="10440" w:type="dxa"/>
          </w:tcPr>
          <w:p w14:paraId="6B568EA5" w14:textId="795A7A36" w:rsidR="00B17BA6" w:rsidRPr="000E1175" w:rsidRDefault="0FA4B45A" w:rsidP="1C43AEAE">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0E1175">
              <w:rPr>
                <w:b w:val="0"/>
                <w:sz w:val="24"/>
                <w:szCs w:val="24"/>
              </w:rPr>
              <w:t>When solving problems, estimate, represent, solve, and justify solutions for</w:t>
            </w:r>
            <w:r w:rsidR="10E7A1F6" w:rsidRPr="000E1175">
              <w:rPr>
                <w:b w:val="0"/>
                <w:sz w:val="24"/>
                <w:szCs w:val="24"/>
              </w:rPr>
              <w:t xml:space="preserve"> </w:t>
            </w:r>
            <w:r w:rsidR="7647A1D7" w:rsidRPr="000E1175">
              <w:rPr>
                <w:b w:val="0"/>
                <w:sz w:val="24"/>
                <w:szCs w:val="24"/>
              </w:rPr>
              <w:t>addition and subtraction problems</w:t>
            </w:r>
            <w:r w:rsidR="62AE2C4C" w:rsidRPr="000E1175">
              <w:rPr>
                <w:b w:val="0"/>
                <w:sz w:val="24"/>
                <w:szCs w:val="24"/>
              </w:rPr>
              <w:t xml:space="preserve"> where</w:t>
            </w:r>
            <w:r w:rsidR="52AD4234" w:rsidRPr="000E1175">
              <w:rPr>
                <w:b w:val="0"/>
                <w:sz w:val="24"/>
                <w:szCs w:val="24"/>
              </w:rPr>
              <w:t xml:space="preserve"> addends and minuends do not exceed 100. </w:t>
            </w:r>
            <w:r w:rsidR="26167E1D" w:rsidRPr="000E1175">
              <w:rPr>
                <w:b w:val="0"/>
                <w:sz w:val="24"/>
                <w:szCs w:val="24"/>
              </w:rPr>
              <w:t xml:space="preserve"> This means in an addition problem, the sum of two numbers can go up to 200.</w:t>
            </w:r>
          </w:p>
        </w:tc>
      </w:tr>
    </w:tbl>
    <w:p w14:paraId="50881DEE" w14:textId="0B309728" w:rsidR="1C43AEAE" w:rsidRPr="000E1175" w:rsidRDefault="1C43AEAE"/>
    <w:p w14:paraId="319028CB" w14:textId="77777777" w:rsidR="00B17BA6" w:rsidRPr="000E1175" w:rsidRDefault="00B17BA6" w:rsidP="00B17BA6">
      <w:pPr>
        <w:pStyle w:val="VHead2"/>
        <w:jc w:val="left"/>
        <w:rPr>
          <w:sz w:val="24"/>
          <w:szCs w:val="24"/>
        </w:rPr>
      </w:pPr>
    </w:p>
    <w:p w14:paraId="290DB868" w14:textId="77777777" w:rsidR="00E63159" w:rsidRDefault="00E63159">
      <w:pPr>
        <w:pBdr>
          <w:top w:val="none" w:sz="0" w:space="0" w:color="auto"/>
          <w:left w:val="none" w:sz="0" w:space="0" w:color="auto"/>
          <w:bottom w:val="none" w:sz="0" w:space="0" w:color="auto"/>
          <w:right w:val="none" w:sz="0" w:space="0" w:color="auto"/>
          <w:between w:val="none" w:sz="0" w:space="0" w:color="auto"/>
        </w:pBdr>
        <w:spacing w:line="276" w:lineRule="auto"/>
        <w:rPr>
          <w:b/>
          <w:lang w:val="en"/>
        </w:rPr>
      </w:pPr>
      <w:r>
        <w:br w:type="page"/>
      </w:r>
    </w:p>
    <w:p w14:paraId="0279BB28" w14:textId="55C95D50" w:rsidR="00B17BA6" w:rsidRPr="000E1175" w:rsidRDefault="00B17BA6" w:rsidP="00B17BA6">
      <w:pPr>
        <w:pStyle w:val="VHead2"/>
        <w:jc w:val="left"/>
        <w:rPr>
          <w:sz w:val="24"/>
          <w:szCs w:val="24"/>
        </w:rPr>
      </w:pPr>
      <w:r w:rsidRPr="000E1175">
        <w:rPr>
          <w:sz w:val="24"/>
          <w:szCs w:val="24"/>
        </w:rPr>
        <w:lastRenderedPageBreak/>
        <w:t>Measurement and Geometry</w:t>
      </w:r>
    </w:p>
    <w:tbl>
      <w:tblPr>
        <w:tblStyle w:val="TableGrid"/>
        <w:tblW w:w="14485" w:type="dxa"/>
        <w:tblLook w:val="04A0" w:firstRow="1" w:lastRow="0" w:firstColumn="1" w:lastColumn="0" w:noHBand="0" w:noVBand="1"/>
      </w:tblPr>
      <w:tblGrid>
        <w:gridCol w:w="1705"/>
        <w:gridCol w:w="2340"/>
        <w:gridCol w:w="10440"/>
      </w:tblGrid>
      <w:tr w:rsidR="00B17BA6" w:rsidRPr="000E1175" w14:paraId="5A2003AE" w14:textId="77777777" w:rsidTr="00EA3F2E">
        <w:trPr>
          <w:tblHeader/>
        </w:trPr>
        <w:tc>
          <w:tcPr>
            <w:tcW w:w="1705" w:type="dxa"/>
            <w:shd w:val="clear" w:color="auto" w:fill="FABF8F" w:themeFill="accent6" w:themeFillTint="99"/>
          </w:tcPr>
          <w:p w14:paraId="130DA4FB" w14:textId="7777777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2016 SOL</w:t>
            </w:r>
          </w:p>
        </w:tc>
        <w:tc>
          <w:tcPr>
            <w:tcW w:w="2340" w:type="dxa"/>
            <w:shd w:val="clear" w:color="auto" w:fill="FABF8F" w:themeFill="accent6" w:themeFillTint="99"/>
          </w:tcPr>
          <w:p w14:paraId="0D7EF48D" w14:textId="7E8D78D3"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2023 SOL</w:t>
            </w:r>
          </w:p>
        </w:tc>
        <w:tc>
          <w:tcPr>
            <w:tcW w:w="10440" w:type="dxa"/>
            <w:shd w:val="clear" w:color="auto" w:fill="FABF8F" w:themeFill="accent6" w:themeFillTint="99"/>
          </w:tcPr>
          <w:p w14:paraId="5A7874A7" w14:textId="7777777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Instructional Notes</w:t>
            </w:r>
          </w:p>
        </w:tc>
      </w:tr>
      <w:tr w:rsidR="74BD4AB5" w:rsidRPr="000E1175" w14:paraId="35A37870" w14:textId="77777777" w:rsidTr="4C00BE90">
        <w:trPr>
          <w:trHeight w:val="300"/>
        </w:trPr>
        <w:tc>
          <w:tcPr>
            <w:tcW w:w="1705" w:type="dxa"/>
          </w:tcPr>
          <w:p w14:paraId="07715661" w14:textId="0C4DA9D4" w:rsidR="74BD4AB5" w:rsidRPr="000E1175" w:rsidRDefault="74BD4AB5" w:rsidP="74BD4AB5">
            <w:pPr>
              <w:pStyle w:val="VHead2"/>
              <w:rPr>
                <w:sz w:val="24"/>
                <w:szCs w:val="24"/>
              </w:rPr>
            </w:pPr>
            <w:r w:rsidRPr="000E1175">
              <w:rPr>
                <w:sz w:val="24"/>
                <w:szCs w:val="24"/>
              </w:rPr>
              <w:t>2.7</w:t>
            </w:r>
            <w:r w:rsidR="39119C2D" w:rsidRPr="000E1175">
              <w:rPr>
                <w:sz w:val="24"/>
                <w:szCs w:val="24"/>
              </w:rPr>
              <w:t>a</w:t>
            </w:r>
          </w:p>
        </w:tc>
        <w:tc>
          <w:tcPr>
            <w:tcW w:w="2340" w:type="dxa"/>
          </w:tcPr>
          <w:p w14:paraId="4204DC62" w14:textId="1EE7824A" w:rsidR="74BD4AB5" w:rsidRPr="000E1175" w:rsidRDefault="74BD4AB5" w:rsidP="74BD4AB5">
            <w:pPr>
              <w:pStyle w:val="VHead2"/>
              <w:rPr>
                <w:rFonts w:eastAsia="Times New Roman"/>
                <w:sz w:val="24"/>
                <w:szCs w:val="24"/>
              </w:rPr>
            </w:pPr>
            <w:r w:rsidRPr="000E1175">
              <w:rPr>
                <w:rFonts w:eastAsia="Times New Roman"/>
                <w:sz w:val="24"/>
                <w:szCs w:val="24"/>
              </w:rPr>
              <w:t>2.NS.4a</w:t>
            </w:r>
          </w:p>
        </w:tc>
        <w:tc>
          <w:tcPr>
            <w:tcW w:w="10440" w:type="dxa"/>
          </w:tcPr>
          <w:p w14:paraId="44B6B793" w14:textId="45E3B168" w:rsidR="74BD4AB5" w:rsidRPr="000E1175" w:rsidRDefault="79606A45" w:rsidP="74BD4AB5">
            <w:pPr>
              <w:rPr>
                <w:rFonts w:eastAsia="Times New Roman"/>
                <w:color w:val="000000" w:themeColor="text1"/>
                <w:highlight w:val="yellow"/>
              </w:rPr>
            </w:pPr>
            <w:r w:rsidRPr="4C00BE90">
              <w:rPr>
                <w:rFonts w:eastAsia="Times New Roman"/>
                <w:color w:val="000000" w:themeColor="text1"/>
              </w:rPr>
              <w:t xml:space="preserve">Identify a quarter and its value and determine multiple ways to represent the value of a quarter using pennies, nickels, and/or dimes. This can be connected to counting patterns in 2.NS.1. Use multiple representations to count including coins, number lines and </w:t>
            </w:r>
            <w:bookmarkStart w:id="1" w:name="_Int_4GQRNOfm"/>
            <w:r w:rsidRPr="4C00BE90">
              <w:rPr>
                <w:rFonts w:eastAsia="Times New Roman"/>
                <w:color w:val="000000" w:themeColor="text1"/>
              </w:rPr>
              <w:t>hundreds</w:t>
            </w:r>
            <w:bookmarkEnd w:id="1"/>
            <w:r w:rsidRPr="4C00BE90">
              <w:rPr>
                <w:rFonts w:eastAsia="Times New Roman"/>
                <w:color w:val="000000" w:themeColor="text1"/>
              </w:rPr>
              <w:t xml:space="preserve"> chart</w:t>
            </w:r>
            <w:r w:rsidR="6C24218D" w:rsidRPr="4C00BE90">
              <w:rPr>
                <w:rFonts w:eastAsia="Times New Roman"/>
                <w:color w:val="000000" w:themeColor="text1"/>
              </w:rPr>
              <w:t>s</w:t>
            </w:r>
            <w:r w:rsidRPr="4C00BE90">
              <w:rPr>
                <w:rFonts w:eastAsia="Times New Roman"/>
                <w:color w:val="000000" w:themeColor="text1"/>
              </w:rPr>
              <w:t xml:space="preserve">.  </w:t>
            </w:r>
          </w:p>
        </w:tc>
      </w:tr>
      <w:tr w:rsidR="74BD4AB5" w:rsidRPr="000E1175" w14:paraId="00C36BFE" w14:textId="77777777" w:rsidTr="4C00BE90">
        <w:trPr>
          <w:trHeight w:val="300"/>
        </w:trPr>
        <w:tc>
          <w:tcPr>
            <w:tcW w:w="1705" w:type="dxa"/>
          </w:tcPr>
          <w:p w14:paraId="3953FEEF" w14:textId="5B24F025" w:rsidR="26620B23" w:rsidRPr="000E1175" w:rsidRDefault="26620B23" w:rsidP="74BD4AB5">
            <w:pPr>
              <w:pStyle w:val="VHead2"/>
              <w:rPr>
                <w:sz w:val="24"/>
                <w:szCs w:val="24"/>
              </w:rPr>
            </w:pPr>
            <w:r w:rsidRPr="000E1175">
              <w:rPr>
                <w:sz w:val="24"/>
                <w:szCs w:val="24"/>
              </w:rPr>
              <w:t>2.7a</w:t>
            </w:r>
          </w:p>
        </w:tc>
        <w:tc>
          <w:tcPr>
            <w:tcW w:w="2340" w:type="dxa"/>
          </w:tcPr>
          <w:p w14:paraId="343CE4DE" w14:textId="1D82AA94" w:rsidR="74BD4AB5" w:rsidRPr="000E1175" w:rsidRDefault="74BD4AB5" w:rsidP="74BD4AB5">
            <w:pPr>
              <w:pStyle w:val="VHead2"/>
              <w:rPr>
                <w:rFonts w:eastAsia="Times New Roman"/>
                <w:sz w:val="24"/>
                <w:szCs w:val="24"/>
              </w:rPr>
            </w:pPr>
            <w:r w:rsidRPr="000E1175">
              <w:rPr>
                <w:rFonts w:eastAsia="Times New Roman"/>
                <w:sz w:val="24"/>
                <w:szCs w:val="24"/>
              </w:rPr>
              <w:t>2.NS.4c</w:t>
            </w:r>
          </w:p>
        </w:tc>
        <w:tc>
          <w:tcPr>
            <w:tcW w:w="10440" w:type="dxa"/>
          </w:tcPr>
          <w:p w14:paraId="75055ADF" w14:textId="25AC4672" w:rsidR="74BD4AB5" w:rsidRPr="000E1175" w:rsidRDefault="74BD4AB5" w:rsidP="74BD4AB5">
            <w:pPr>
              <w:rPr>
                <w:rFonts w:eastAsia="Times New Roman"/>
                <w:highlight w:val="yellow"/>
              </w:rPr>
            </w:pPr>
            <w:r w:rsidRPr="000E1175">
              <w:rPr>
                <w:rFonts w:eastAsia="Times New Roman"/>
              </w:rPr>
              <w:t>While working with collections of money, construct sets of bills and coins, in multiple ways, to total a given amount of money whose value is $2.00 or less.</w:t>
            </w:r>
          </w:p>
        </w:tc>
      </w:tr>
      <w:tr w:rsidR="00B17BA6" w:rsidRPr="000E1175" w14:paraId="4E9F09C5" w14:textId="77777777" w:rsidTr="4C00BE90">
        <w:tc>
          <w:tcPr>
            <w:tcW w:w="1705" w:type="dxa"/>
          </w:tcPr>
          <w:p w14:paraId="193A2253" w14:textId="71FE7436" w:rsidR="00B17BA6" w:rsidRPr="000E1175" w:rsidRDefault="45260B61"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2.8a,b</w:t>
            </w:r>
          </w:p>
        </w:tc>
        <w:tc>
          <w:tcPr>
            <w:tcW w:w="2340" w:type="dxa"/>
          </w:tcPr>
          <w:p w14:paraId="66438425" w14:textId="6A1BCD5F" w:rsidR="00B17BA6" w:rsidRPr="000E1175" w:rsidRDefault="762762D4"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2.MG.1a,b</w:t>
            </w:r>
          </w:p>
        </w:tc>
        <w:tc>
          <w:tcPr>
            <w:tcW w:w="10440" w:type="dxa"/>
          </w:tcPr>
          <w:p w14:paraId="47316FE9" w14:textId="6BB7D94E" w:rsidR="00B17BA6" w:rsidRPr="000E1175" w:rsidRDefault="008E5C0A" w:rsidP="4C00BE90">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Pr>
                <w:b w:val="0"/>
                <w:sz w:val="24"/>
                <w:szCs w:val="24"/>
              </w:rPr>
              <w:t>Wh</w:t>
            </w:r>
            <w:r w:rsidR="00A7398C">
              <w:rPr>
                <w:b w:val="0"/>
                <w:sz w:val="24"/>
                <w:szCs w:val="24"/>
              </w:rPr>
              <w:t xml:space="preserve">en teaching measurement include </w:t>
            </w:r>
            <w:r w:rsidR="13DC496A" w:rsidRPr="4C00BE90">
              <w:rPr>
                <w:b w:val="0"/>
                <w:sz w:val="24"/>
                <w:szCs w:val="24"/>
              </w:rPr>
              <w:t>measuring liquid volume</w:t>
            </w:r>
            <w:r w:rsidR="16C69A2F" w:rsidRPr="4C00BE90">
              <w:rPr>
                <w:b w:val="0"/>
                <w:sz w:val="24"/>
                <w:szCs w:val="24"/>
              </w:rPr>
              <w:t xml:space="preserve"> to the nearest whole unit</w:t>
            </w:r>
            <w:r w:rsidR="13DC496A" w:rsidRPr="4C00BE90">
              <w:rPr>
                <w:b w:val="0"/>
                <w:sz w:val="24"/>
                <w:szCs w:val="24"/>
              </w:rPr>
              <w:t xml:space="preserve">. Students should have the opportunity to </w:t>
            </w:r>
            <w:r w:rsidR="41651E20" w:rsidRPr="4C00BE90">
              <w:rPr>
                <w:b w:val="0"/>
                <w:sz w:val="24"/>
                <w:szCs w:val="24"/>
              </w:rPr>
              <w:t xml:space="preserve">explain </w:t>
            </w:r>
            <w:r w:rsidR="4F6B1225" w:rsidRPr="4C00BE90">
              <w:rPr>
                <w:b w:val="0"/>
                <w:sz w:val="24"/>
                <w:szCs w:val="24"/>
              </w:rPr>
              <w:t xml:space="preserve">that </w:t>
            </w:r>
            <w:r w:rsidR="41651E20" w:rsidRPr="4C00BE90">
              <w:rPr>
                <w:b w:val="0"/>
                <w:sz w:val="24"/>
                <w:szCs w:val="24"/>
              </w:rPr>
              <w:t>measuring cups</w:t>
            </w:r>
            <w:r w:rsidR="40F59CAB" w:rsidRPr="4C00BE90">
              <w:rPr>
                <w:b w:val="0"/>
                <w:sz w:val="24"/>
                <w:szCs w:val="24"/>
              </w:rPr>
              <w:t xml:space="preserve"> are</w:t>
            </w:r>
            <w:r w:rsidR="41651E20" w:rsidRPr="4C00BE90">
              <w:rPr>
                <w:b w:val="0"/>
                <w:sz w:val="24"/>
                <w:szCs w:val="24"/>
              </w:rPr>
              <w:t xml:space="preserve"> a tool to measure liquid volume. They should be exposed to a </w:t>
            </w:r>
            <w:r w:rsidR="13DC496A" w:rsidRPr="4C00BE90">
              <w:rPr>
                <w:b w:val="0"/>
                <w:sz w:val="24"/>
                <w:szCs w:val="24"/>
              </w:rPr>
              <w:t>variety of measuring cups</w:t>
            </w:r>
            <w:r w:rsidR="17875181" w:rsidRPr="4C00BE90">
              <w:rPr>
                <w:b w:val="0"/>
                <w:sz w:val="24"/>
                <w:szCs w:val="24"/>
              </w:rPr>
              <w:t xml:space="preserve"> when estimating, measuring</w:t>
            </w:r>
            <w:r w:rsidR="7D10358C" w:rsidRPr="4C00BE90">
              <w:rPr>
                <w:b w:val="0"/>
                <w:sz w:val="24"/>
                <w:szCs w:val="24"/>
              </w:rPr>
              <w:t xml:space="preserve"> liquid </w:t>
            </w:r>
            <w:r w:rsidR="00E63159" w:rsidRPr="4C00BE90">
              <w:rPr>
                <w:b w:val="0"/>
                <w:sz w:val="24"/>
                <w:szCs w:val="24"/>
              </w:rPr>
              <w:t>volume,</w:t>
            </w:r>
            <w:r w:rsidR="17875181" w:rsidRPr="4C00BE90">
              <w:rPr>
                <w:b w:val="0"/>
                <w:sz w:val="24"/>
                <w:szCs w:val="24"/>
              </w:rPr>
              <w:t xml:space="preserve"> and comparing </w:t>
            </w:r>
            <w:r w:rsidR="6E6ABD6A" w:rsidRPr="4C00BE90">
              <w:rPr>
                <w:b w:val="0"/>
                <w:sz w:val="24"/>
                <w:szCs w:val="24"/>
              </w:rPr>
              <w:t xml:space="preserve">the </w:t>
            </w:r>
            <w:r w:rsidR="3026DEFD" w:rsidRPr="4C00BE90">
              <w:rPr>
                <w:b w:val="0"/>
                <w:sz w:val="24"/>
                <w:szCs w:val="24"/>
              </w:rPr>
              <w:t>estimate with the actual measure</w:t>
            </w:r>
            <w:r w:rsidR="17875181" w:rsidRPr="4C00BE90">
              <w:rPr>
                <w:b w:val="0"/>
                <w:sz w:val="24"/>
                <w:szCs w:val="24"/>
              </w:rPr>
              <w:t xml:space="preserve">. </w:t>
            </w:r>
          </w:p>
        </w:tc>
      </w:tr>
      <w:tr w:rsidR="1C43AEAE" w:rsidRPr="000E1175" w14:paraId="55E20D1E" w14:textId="77777777" w:rsidTr="4C00BE90">
        <w:trPr>
          <w:trHeight w:val="300"/>
        </w:trPr>
        <w:tc>
          <w:tcPr>
            <w:tcW w:w="1705" w:type="dxa"/>
          </w:tcPr>
          <w:p w14:paraId="48AF0048" w14:textId="6F01D189" w:rsidR="6081F7CE" w:rsidRPr="000E1175" w:rsidRDefault="6081F7CE" w:rsidP="1C43AEAE">
            <w:pPr>
              <w:pStyle w:val="VHead2"/>
              <w:rPr>
                <w:sz w:val="24"/>
                <w:szCs w:val="24"/>
              </w:rPr>
            </w:pPr>
            <w:r w:rsidRPr="000E1175">
              <w:rPr>
                <w:sz w:val="24"/>
                <w:szCs w:val="24"/>
              </w:rPr>
              <w:t>2.9</w:t>
            </w:r>
          </w:p>
        </w:tc>
        <w:tc>
          <w:tcPr>
            <w:tcW w:w="2340" w:type="dxa"/>
          </w:tcPr>
          <w:p w14:paraId="3A419CFB" w14:textId="571B7EE4" w:rsidR="26015465" w:rsidRPr="000E1175" w:rsidRDefault="26015465" w:rsidP="1C43AEAE">
            <w:pPr>
              <w:pStyle w:val="VHead2"/>
              <w:rPr>
                <w:sz w:val="24"/>
                <w:szCs w:val="24"/>
              </w:rPr>
            </w:pPr>
            <w:r w:rsidRPr="000E1175">
              <w:rPr>
                <w:sz w:val="24"/>
                <w:szCs w:val="24"/>
              </w:rPr>
              <w:t>2.MG.2a</w:t>
            </w:r>
          </w:p>
        </w:tc>
        <w:tc>
          <w:tcPr>
            <w:tcW w:w="10440" w:type="dxa"/>
          </w:tcPr>
          <w:p w14:paraId="4D1A5141" w14:textId="55854928" w:rsidR="26015465" w:rsidRPr="000E1175" w:rsidRDefault="4D5329DE" w:rsidP="1C43AEAE">
            <w:pPr>
              <w:pStyle w:val="VHead2"/>
              <w:jc w:val="left"/>
              <w:rPr>
                <w:b w:val="0"/>
                <w:sz w:val="24"/>
                <w:szCs w:val="24"/>
              </w:rPr>
            </w:pPr>
            <w:r w:rsidRPr="4C00BE90">
              <w:rPr>
                <w:b w:val="0"/>
                <w:sz w:val="24"/>
                <w:szCs w:val="24"/>
              </w:rPr>
              <w:t>When teaching time to the nearest five minutes develop the understanding of</w:t>
            </w:r>
            <w:r w:rsidR="48EE6992" w:rsidRPr="4C00BE90">
              <w:rPr>
                <w:b w:val="0"/>
                <w:sz w:val="24"/>
                <w:szCs w:val="24"/>
              </w:rPr>
              <w:t xml:space="preserve"> the</w:t>
            </w:r>
            <w:r w:rsidRPr="4C00BE90">
              <w:rPr>
                <w:b w:val="0"/>
                <w:sz w:val="24"/>
                <w:szCs w:val="24"/>
              </w:rPr>
              <w:t xml:space="preserve"> number of </w:t>
            </w:r>
            <w:r w:rsidR="1CCB710F" w:rsidRPr="4C00BE90">
              <w:rPr>
                <w:b w:val="0"/>
                <w:sz w:val="24"/>
                <w:szCs w:val="24"/>
              </w:rPr>
              <w:t>minutes</w:t>
            </w:r>
            <w:r w:rsidRPr="4C00BE90">
              <w:rPr>
                <w:b w:val="0"/>
                <w:sz w:val="24"/>
                <w:szCs w:val="24"/>
              </w:rPr>
              <w:t xml:space="preserve"> in an hour </w:t>
            </w:r>
            <w:r w:rsidR="4637F4A5" w:rsidRPr="4C00BE90">
              <w:rPr>
                <w:b w:val="0"/>
                <w:sz w:val="24"/>
                <w:szCs w:val="24"/>
              </w:rPr>
              <w:t>using analog clocks</w:t>
            </w:r>
            <w:r w:rsidR="54CA5701" w:rsidRPr="4C00BE90">
              <w:rPr>
                <w:b w:val="0"/>
                <w:sz w:val="24"/>
                <w:szCs w:val="24"/>
              </w:rPr>
              <w:t xml:space="preserve">. </w:t>
            </w:r>
            <w:r w:rsidR="00C0B556" w:rsidRPr="4C00BE90">
              <w:rPr>
                <w:b w:val="0"/>
                <w:sz w:val="24"/>
                <w:szCs w:val="24"/>
              </w:rPr>
              <w:t>Use a variety of ways to describe 24 hours in a day to include a discussion about the amount of time you spend in school and at home,</w:t>
            </w:r>
            <w:r w:rsidR="716D97D9" w:rsidRPr="4C00BE90">
              <w:rPr>
                <w:b w:val="0"/>
                <w:sz w:val="24"/>
                <w:szCs w:val="24"/>
              </w:rPr>
              <w:t xml:space="preserve"> awake and asleep. 2.MG.2a is a critical skill as it </w:t>
            </w:r>
            <w:r w:rsidR="022B9625" w:rsidRPr="4C00BE90">
              <w:rPr>
                <w:b w:val="0"/>
                <w:sz w:val="24"/>
                <w:szCs w:val="24"/>
              </w:rPr>
              <w:t>moved</w:t>
            </w:r>
            <w:r w:rsidR="716D97D9" w:rsidRPr="4C00BE90">
              <w:rPr>
                <w:b w:val="0"/>
                <w:sz w:val="24"/>
                <w:szCs w:val="24"/>
              </w:rPr>
              <w:t xml:space="preserve"> from third grade content</w:t>
            </w:r>
            <w:r w:rsidR="5BEA073D" w:rsidRPr="4C00BE90">
              <w:rPr>
                <w:b w:val="0"/>
                <w:sz w:val="24"/>
                <w:szCs w:val="24"/>
              </w:rPr>
              <w:t xml:space="preserve"> to second grade</w:t>
            </w:r>
            <w:r w:rsidR="716D97D9" w:rsidRPr="4C00BE90">
              <w:rPr>
                <w:b w:val="0"/>
                <w:sz w:val="24"/>
                <w:szCs w:val="24"/>
              </w:rPr>
              <w:t xml:space="preserve">. </w:t>
            </w:r>
          </w:p>
        </w:tc>
      </w:tr>
      <w:tr w:rsidR="1C43AEAE" w:rsidRPr="000E1175" w14:paraId="024871E9" w14:textId="77777777" w:rsidTr="4C00BE90">
        <w:trPr>
          <w:trHeight w:val="300"/>
        </w:trPr>
        <w:tc>
          <w:tcPr>
            <w:tcW w:w="1705" w:type="dxa"/>
          </w:tcPr>
          <w:p w14:paraId="5EA3C559" w14:textId="2C4D6E6B" w:rsidR="66E88E32" w:rsidRPr="000E1175" w:rsidRDefault="66E88E32" w:rsidP="1C43AEAE">
            <w:pPr>
              <w:pStyle w:val="VHead2"/>
              <w:rPr>
                <w:sz w:val="24"/>
                <w:szCs w:val="24"/>
              </w:rPr>
            </w:pPr>
            <w:r w:rsidRPr="000E1175">
              <w:rPr>
                <w:sz w:val="24"/>
                <w:szCs w:val="24"/>
              </w:rPr>
              <w:t>2.9</w:t>
            </w:r>
          </w:p>
        </w:tc>
        <w:tc>
          <w:tcPr>
            <w:tcW w:w="2340" w:type="dxa"/>
          </w:tcPr>
          <w:p w14:paraId="75C3E5F2" w14:textId="5B7873D9" w:rsidR="6FD2D92C" w:rsidRPr="000E1175" w:rsidRDefault="6FD2D92C" w:rsidP="1C43AEAE">
            <w:pPr>
              <w:pStyle w:val="VHead2"/>
              <w:rPr>
                <w:sz w:val="24"/>
                <w:szCs w:val="24"/>
              </w:rPr>
            </w:pPr>
            <w:r w:rsidRPr="000E1175">
              <w:rPr>
                <w:sz w:val="24"/>
                <w:szCs w:val="24"/>
              </w:rPr>
              <w:t>2.MG.2b</w:t>
            </w:r>
          </w:p>
        </w:tc>
        <w:tc>
          <w:tcPr>
            <w:tcW w:w="10440" w:type="dxa"/>
          </w:tcPr>
          <w:p w14:paraId="70730418" w14:textId="562D37A9" w:rsidR="6FD2D92C" w:rsidRPr="000E1175" w:rsidRDefault="31674D7B" w:rsidP="1C43AEAE">
            <w:pPr>
              <w:pStyle w:val="VHead2"/>
              <w:jc w:val="left"/>
              <w:rPr>
                <w:b w:val="0"/>
                <w:sz w:val="24"/>
                <w:szCs w:val="24"/>
              </w:rPr>
            </w:pPr>
            <w:r w:rsidRPr="4C00BE90">
              <w:rPr>
                <w:b w:val="0"/>
                <w:sz w:val="24"/>
                <w:szCs w:val="24"/>
              </w:rPr>
              <w:t xml:space="preserve">When determining the best unit of time (minutes, hours, days, or weeks) </w:t>
            </w:r>
            <w:r w:rsidR="1239C83C" w:rsidRPr="4C00BE90">
              <w:rPr>
                <w:b w:val="0"/>
                <w:sz w:val="24"/>
                <w:szCs w:val="24"/>
              </w:rPr>
              <w:t>to</w:t>
            </w:r>
            <w:r w:rsidRPr="4C00BE90">
              <w:rPr>
                <w:b w:val="0"/>
                <w:sz w:val="24"/>
                <w:szCs w:val="24"/>
              </w:rPr>
              <w:t xml:space="preserve"> measu</w:t>
            </w:r>
            <w:r w:rsidR="70A0F0C5" w:rsidRPr="4C00BE90">
              <w:rPr>
                <w:b w:val="0"/>
                <w:sz w:val="24"/>
                <w:szCs w:val="24"/>
              </w:rPr>
              <w:t>re</w:t>
            </w:r>
            <w:r w:rsidRPr="4C00BE90">
              <w:rPr>
                <w:b w:val="0"/>
                <w:sz w:val="24"/>
                <w:szCs w:val="24"/>
              </w:rPr>
              <w:t xml:space="preserve"> a given activity or context</w:t>
            </w:r>
            <w:r w:rsidR="4287D32E" w:rsidRPr="4C00BE90">
              <w:rPr>
                <w:b w:val="0"/>
                <w:sz w:val="24"/>
                <w:szCs w:val="24"/>
              </w:rPr>
              <w:t xml:space="preserve">, </w:t>
            </w:r>
            <w:r w:rsidRPr="4C00BE90">
              <w:rPr>
                <w:b w:val="0"/>
                <w:sz w:val="24"/>
                <w:szCs w:val="24"/>
              </w:rPr>
              <w:t>start with common activi</w:t>
            </w:r>
            <w:r w:rsidR="54DC2394" w:rsidRPr="4C00BE90">
              <w:rPr>
                <w:b w:val="0"/>
                <w:sz w:val="24"/>
                <w:szCs w:val="24"/>
              </w:rPr>
              <w:t xml:space="preserve">ties students experience such as: brushing </w:t>
            </w:r>
            <w:r w:rsidR="4871CBC3" w:rsidRPr="4C00BE90">
              <w:rPr>
                <w:b w:val="0"/>
                <w:sz w:val="24"/>
                <w:szCs w:val="24"/>
              </w:rPr>
              <w:t>their</w:t>
            </w:r>
            <w:r w:rsidR="54DC2394" w:rsidRPr="4C00BE90">
              <w:rPr>
                <w:b w:val="0"/>
                <w:sz w:val="24"/>
                <w:szCs w:val="24"/>
              </w:rPr>
              <w:t xml:space="preserve"> teeth, travel</w:t>
            </w:r>
            <w:r w:rsidR="17BF3565" w:rsidRPr="4C00BE90">
              <w:rPr>
                <w:b w:val="0"/>
                <w:sz w:val="24"/>
                <w:szCs w:val="24"/>
              </w:rPr>
              <w:t>ing</w:t>
            </w:r>
            <w:r w:rsidR="54DC2394" w:rsidRPr="4C00BE90">
              <w:rPr>
                <w:b w:val="0"/>
                <w:sz w:val="24"/>
                <w:szCs w:val="24"/>
              </w:rPr>
              <w:t xml:space="preserve"> to a given destination</w:t>
            </w:r>
            <w:r w:rsidR="57E6D5C5" w:rsidRPr="4C00BE90">
              <w:rPr>
                <w:b w:val="0"/>
                <w:sz w:val="24"/>
                <w:szCs w:val="24"/>
              </w:rPr>
              <w:t xml:space="preserve">, </w:t>
            </w:r>
            <w:r w:rsidR="4E52E798" w:rsidRPr="4C00BE90">
              <w:rPr>
                <w:b w:val="0"/>
                <w:sz w:val="24"/>
                <w:szCs w:val="24"/>
              </w:rPr>
              <w:t xml:space="preserve">or </w:t>
            </w:r>
            <w:r w:rsidR="57E6D5C5" w:rsidRPr="4C00BE90">
              <w:rPr>
                <w:b w:val="0"/>
                <w:sz w:val="24"/>
                <w:szCs w:val="24"/>
              </w:rPr>
              <w:t xml:space="preserve">a project </w:t>
            </w:r>
            <w:r w:rsidR="27CF33B2" w:rsidRPr="4C00BE90">
              <w:rPr>
                <w:b w:val="0"/>
                <w:sz w:val="24"/>
                <w:szCs w:val="24"/>
              </w:rPr>
              <w:t>that would take days or weeks to complete. This part of the standard would allow for discussion of the number of hours in a day which is expected in 2.MG.2a</w:t>
            </w:r>
            <w:r w:rsidR="05DB5891" w:rsidRPr="4C00BE90">
              <w:rPr>
                <w:b w:val="0"/>
                <w:sz w:val="24"/>
                <w:szCs w:val="24"/>
              </w:rPr>
              <w:t xml:space="preserve">. </w:t>
            </w:r>
          </w:p>
        </w:tc>
      </w:tr>
      <w:tr w:rsidR="00B17BA6" w:rsidRPr="000E1175" w14:paraId="632F6A67" w14:textId="77777777" w:rsidTr="4C00BE90">
        <w:tc>
          <w:tcPr>
            <w:tcW w:w="1705" w:type="dxa"/>
          </w:tcPr>
          <w:p w14:paraId="4646B963" w14:textId="76F3746B" w:rsidR="00B17BA6" w:rsidRPr="000E1175" w:rsidRDefault="45260B61"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2.12</w:t>
            </w:r>
          </w:p>
        </w:tc>
        <w:tc>
          <w:tcPr>
            <w:tcW w:w="2340" w:type="dxa"/>
          </w:tcPr>
          <w:p w14:paraId="2242D73E" w14:textId="2DD72410" w:rsidR="00B17BA6" w:rsidRPr="000E1175" w:rsidRDefault="609CFE29"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2.MG.3c</w:t>
            </w:r>
          </w:p>
        </w:tc>
        <w:tc>
          <w:tcPr>
            <w:tcW w:w="10440" w:type="dxa"/>
          </w:tcPr>
          <w:p w14:paraId="79483BEA" w14:textId="60588329" w:rsidR="00B17BA6" w:rsidRPr="000E1175" w:rsidRDefault="00E04FF7" w:rsidP="4C00BE90">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Pr>
                <w:b w:val="0"/>
                <w:sz w:val="24"/>
                <w:szCs w:val="24"/>
              </w:rPr>
              <w:t>While working with symmetry, students will need t</w:t>
            </w:r>
            <w:r w:rsidR="003A56C4">
              <w:rPr>
                <w:b w:val="0"/>
                <w:sz w:val="24"/>
                <w:szCs w:val="24"/>
              </w:rPr>
              <w:t xml:space="preserve">o describe figures as congruent </w:t>
            </w:r>
            <w:r w:rsidR="6E977AAF" w:rsidRPr="4C00BE90">
              <w:rPr>
                <w:b w:val="0"/>
                <w:sz w:val="24"/>
                <w:szCs w:val="24"/>
              </w:rPr>
              <w:t>(same shape and size) w</w:t>
            </w:r>
            <w:r w:rsidR="4A65D0CD" w:rsidRPr="4C00BE90">
              <w:rPr>
                <w:b w:val="0"/>
                <w:sz w:val="24"/>
                <w:szCs w:val="24"/>
              </w:rPr>
              <w:t>hen determining a line of symmetry that results in two figures</w:t>
            </w:r>
            <w:r w:rsidR="473F385F" w:rsidRPr="4C00BE90">
              <w:rPr>
                <w:b w:val="0"/>
                <w:sz w:val="24"/>
                <w:szCs w:val="24"/>
              </w:rPr>
              <w:t xml:space="preserve">. This is a critical skill as it </w:t>
            </w:r>
            <w:r w:rsidR="38ECF47D" w:rsidRPr="4C00BE90">
              <w:rPr>
                <w:b w:val="0"/>
                <w:sz w:val="24"/>
                <w:szCs w:val="24"/>
              </w:rPr>
              <w:t>moved</w:t>
            </w:r>
            <w:r w:rsidR="473F385F" w:rsidRPr="4C00BE90">
              <w:rPr>
                <w:b w:val="0"/>
                <w:sz w:val="24"/>
                <w:szCs w:val="24"/>
              </w:rPr>
              <w:t xml:space="preserve"> from third grade content</w:t>
            </w:r>
            <w:r w:rsidR="03803F93" w:rsidRPr="4C00BE90">
              <w:rPr>
                <w:b w:val="0"/>
                <w:sz w:val="24"/>
                <w:szCs w:val="24"/>
              </w:rPr>
              <w:t xml:space="preserve"> to second grade</w:t>
            </w:r>
            <w:r w:rsidR="473F385F" w:rsidRPr="4C00BE90">
              <w:rPr>
                <w:b w:val="0"/>
                <w:sz w:val="24"/>
                <w:szCs w:val="24"/>
              </w:rPr>
              <w:t xml:space="preserve">.  </w:t>
            </w:r>
          </w:p>
        </w:tc>
      </w:tr>
      <w:tr w:rsidR="1C43AEAE" w:rsidRPr="000E1175" w14:paraId="1A885C07" w14:textId="77777777" w:rsidTr="4C00BE90">
        <w:trPr>
          <w:trHeight w:val="300"/>
        </w:trPr>
        <w:tc>
          <w:tcPr>
            <w:tcW w:w="1705" w:type="dxa"/>
          </w:tcPr>
          <w:p w14:paraId="47F253FD" w14:textId="100BBF9B" w:rsidR="1C43AEAE" w:rsidRPr="000E1175" w:rsidRDefault="1C43AEAE" w:rsidP="1C43AEAE">
            <w:pPr>
              <w:pStyle w:val="VHead2"/>
              <w:rPr>
                <w:sz w:val="24"/>
                <w:szCs w:val="24"/>
              </w:rPr>
            </w:pPr>
          </w:p>
        </w:tc>
        <w:tc>
          <w:tcPr>
            <w:tcW w:w="2340" w:type="dxa"/>
          </w:tcPr>
          <w:p w14:paraId="2A949244" w14:textId="5BEB1244" w:rsidR="7169E8B1" w:rsidRPr="000E1175" w:rsidRDefault="7169E8B1" w:rsidP="1C43AEAE">
            <w:pPr>
              <w:pStyle w:val="VHead2"/>
              <w:rPr>
                <w:sz w:val="24"/>
                <w:szCs w:val="24"/>
              </w:rPr>
            </w:pPr>
            <w:r w:rsidRPr="000E1175">
              <w:rPr>
                <w:sz w:val="24"/>
                <w:szCs w:val="24"/>
              </w:rPr>
              <w:t>2.MG.4b</w:t>
            </w:r>
          </w:p>
        </w:tc>
        <w:tc>
          <w:tcPr>
            <w:tcW w:w="10440" w:type="dxa"/>
          </w:tcPr>
          <w:p w14:paraId="409D6370" w14:textId="7D3D2FE5" w:rsidR="7169E8B1" w:rsidRPr="000E1175" w:rsidRDefault="008932DA" w:rsidP="1C43AEAE">
            <w:pPr>
              <w:pStyle w:val="VHead2"/>
              <w:jc w:val="left"/>
              <w:rPr>
                <w:b w:val="0"/>
                <w:sz w:val="24"/>
                <w:szCs w:val="24"/>
              </w:rPr>
            </w:pPr>
            <w:r>
              <w:rPr>
                <w:b w:val="0"/>
                <w:sz w:val="24"/>
                <w:szCs w:val="24"/>
              </w:rPr>
              <w:t>While working with 3D figures, s</w:t>
            </w:r>
            <w:r w:rsidR="7169E8B1" w:rsidRPr="000E1175">
              <w:rPr>
                <w:b w:val="0"/>
                <w:sz w:val="24"/>
                <w:szCs w:val="24"/>
              </w:rPr>
              <w:t xml:space="preserve">tudents </w:t>
            </w:r>
            <w:r>
              <w:rPr>
                <w:b w:val="0"/>
                <w:sz w:val="24"/>
                <w:szCs w:val="24"/>
              </w:rPr>
              <w:t xml:space="preserve">will also need to </w:t>
            </w:r>
            <w:proofErr w:type="gramStart"/>
            <w:r w:rsidR="7169E8B1" w:rsidRPr="000E1175">
              <w:rPr>
                <w:b w:val="0"/>
                <w:sz w:val="24"/>
                <w:szCs w:val="24"/>
              </w:rPr>
              <w:t>compare and contrast</w:t>
            </w:r>
            <w:proofErr w:type="gramEnd"/>
            <w:r w:rsidR="7169E8B1" w:rsidRPr="000E1175">
              <w:rPr>
                <w:b w:val="0"/>
                <w:sz w:val="24"/>
                <w:szCs w:val="24"/>
              </w:rPr>
              <w:t xml:space="preserve"> models and nets of cubes and rectangular prisms. Nets are cutouts of the 3D figures. </w:t>
            </w:r>
            <w:r w:rsidR="428AA004" w:rsidRPr="000E1175">
              <w:rPr>
                <w:b w:val="0"/>
                <w:sz w:val="24"/>
                <w:szCs w:val="24"/>
              </w:rPr>
              <w:t>Students c</w:t>
            </w:r>
            <w:r w:rsidR="1622F043" w:rsidRPr="000E1175">
              <w:rPr>
                <w:b w:val="0"/>
                <w:sz w:val="24"/>
                <w:szCs w:val="24"/>
              </w:rPr>
              <w:t>an make nets</w:t>
            </w:r>
            <w:r w:rsidR="428AA004" w:rsidRPr="000E1175">
              <w:rPr>
                <w:b w:val="0"/>
                <w:sz w:val="24"/>
                <w:szCs w:val="24"/>
              </w:rPr>
              <w:t xml:space="preserve"> by tracing the faces, cutting out the pieces and putting them back together. </w:t>
            </w:r>
            <w:r>
              <w:rPr>
                <w:b w:val="0"/>
                <w:sz w:val="24"/>
                <w:szCs w:val="24"/>
              </w:rPr>
              <w:t>T</w:t>
            </w:r>
            <w:r w:rsidR="428AA004" w:rsidRPr="000E1175">
              <w:rPr>
                <w:b w:val="0"/>
                <w:sz w:val="24"/>
                <w:szCs w:val="24"/>
              </w:rPr>
              <w:t>he vocabu</w:t>
            </w:r>
            <w:r w:rsidR="21DD129D" w:rsidRPr="000E1175">
              <w:rPr>
                <w:b w:val="0"/>
                <w:sz w:val="24"/>
                <w:szCs w:val="24"/>
              </w:rPr>
              <w:t>lary of face, edge, vertex (plural vertices)</w:t>
            </w:r>
            <w:r>
              <w:rPr>
                <w:b w:val="0"/>
                <w:sz w:val="24"/>
                <w:szCs w:val="24"/>
              </w:rPr>
              <w:t xml:space="preserve"> will need to be developed</w:t>
            </w:r>
            <w:r w:rsidR="21DD129D" w:rsidRPr="000E1175">
              <w:rPr>
                <w:b w:val="0"/>
                <w:sz w:val="24"/>
                <w:szCs w:val="24"/>
              </w:rPr>
              <w:t xml:space="preserve">. </w:t>
            </w:r>
          </w:p>
        </w:tc>
      </w:tr>
    </w:tbl>
    <w:p w14:paraId="2D11EEED" w14:textId="77777777" w:rsidR="00B17BA6" w:rsidRPr="000E1175" w:rsidRDefault="00B17BA6" w:rsidP="00B17BA6">
      <w:pPr>
        <w:pStyle w:val="VHead2"/>
        <w:jc w:val="left"/>
        <w:rPr>
          <w:sz w:val="24"/>
          <w:szCs w:val="24"/>
        </w:rPr>
      </w:pPr>
    </w:p>
    <w:p w14:paraId="2407B717" w14:textId="77777777" w:rsidR="00B17BA6" w:rsidRPr="000E1175" w:rsidRDefault="00B17BA6" w:rsidP="00B17BA6">
      <w:pPr>
        <w:pStyle w:val="VHead2"/>
        <w:jc w:val="left"/>
        <w:rPr>
          <w:sz w:val="24"/>
          <w:szCs w:val="24"/>
        </w:rPr>
      </w:pPr>
      <w:r w:rsidRPr="000E1175">
        <w:rPr>
          <w:sz w:val="24"/>
          <w:szCs w:val="24"/>
        </w:rPr>
        <w:t>Probability and Statistics</w:t>
      </w:r>
    </w:p>
    <w:tbl>
      <w:tblPr>
        <w:tblStyle w:val="TableGrid"/>
        <w:tblW w:w="14485" w:type="dxa"/>
        <w:tblLook w:val="04A0" w:firstRow="1" w:lastRow="0" w:firstColumn="1" w:lastColumn="0" w:noHBand="0" w:noVBand="1"/>
      </w:tblPr>
      <w:tblGrid>
        <w:gridCol w:w="1705"/>
        <w:gridCol w:w="2340"/>
        <w:gridCol w:w="10440"/>
      </w:tblGrid>
      <w:tr w:rsidR="00B17BA6" w:rsidRPr="000E1175" w14:paraId="2F1A0093" w14:textId="77777777" w:rsidTr="00EA3F2E">
        <w:trPr>
          <w:tblHeader/>
        </w:trPr>
        <w:tc>
          <w:tcPr>
            <w:tcW w:w="1705" w:type="dxa"/>
            <w:shd w:val="clear" w:color="auto" w:fill="FABF8F" w:themeFill="accent6" w:themeFillTint="99"/>
          </w:tcPr>
          <w:p w14:paraId="5707C1A6" w14:textId="7777777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2016 SOL</w:t>
            </w:r>
          </w:p>
        </w:tc>
        <w:tc>
          <w:tcPr>
            <w:tcW w:w="2340" w:type="dxa"/>
            <w:shd w:val="clear" w:color="auto" w:fill="FABF8F" w:themeFill="accent6" w:themeFillTint="99"/>
          </w:tcPr>
          <w:p w14:paraId="5F9CE468" w14:textId="46C54DB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2023 SOL</w:t>
            </w:r>
          </w:p>
        </w:tc>
        <w:tc>
          <w:tcPr>
            <w:tcW w:w="10440" w:type="dxa"/>
            <w:shd w:val="clear" w:color="auto" w:fill="FABF8F" w:themeFill="accent6" w:themeFillTint="99"/>
          </w:tcPr>
          <w:p w14:paraId="20F3413A" w14:textId="7777777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Instructional Notes</w:t>
            </w:r>
          </w:p>
        </w:tc>
      </w:tr>
      <w:tr w:rsidR="1C43AEAE" w:rsidRPr="000E1175" w14:paraId="7942487D" w14:textId="77777777" w:rsidTr="4C00BE90">
        <w:trPr>
          <w:trHeight w:val="300"/>
        </w:trPr>
        <w:tc>
          <w:tcPr>
            <w:tcW w:w="1705" w:type="dxa"/>
          </w:tcPr>
          <w:p w14:paraId="275CE620" w14:textId="7D845584" w:rsidR="40A340D0" w:rsidRPr="000E1175" w:rsidRDefault="40A340D0" w:rsidP="1C43AEAE">
            <w:pPr>
              <w:pStyle w:val="VHead2"/>
              <w:rPr>
                <w:sz w:val="24"/>
                <w:szCs w:val="24"/>
              </w:rPr>
            </w:pPr>
            <w:r w:rsidRPr="000E1175">
              <w:rPr>
                <w:sz w:val="24"/>
                <w:szCs w:val="24"/>
              </w:rPr>
              <w:t>2.15a,b</w:t>
            </w:r>
          </w:p>
        </w:tc>
        <w:tc>
          <w:tcPr>
            <w:tcW w:w="2340" w:type="dxa"/>
          </w:tcPr>
          <w:p w14:paraId="5D3B107D" w14:textId="5C100E04" w:rsidR="4D469431" w:rsidRPr="000E1175" w:rsidRDefault="4D469431" w:rsidP="1C43AEAE">
            <w:pPr>
              <w:pStyle w:val="VHead2"/>
              <w:rPr>
                <w:sz w:val="24"/>
                <w:szCs w:val="24"/>
              </w:rPr>
            </w:pPr>
            <w:r w:rsidRPr="000E1175">
              <w:rPr>
                <w:sz w:val="24"/>
                <w:szCs w:val="24"/>
              </w:rPr>
              <w:t>2.PS.1a-e</w:t>
            </w:r>
          </w:p>
        </w:tc>
        <w:tc>
          <w:tcPr>
            <w:tcW w:w="10440" w:type="dxa"/>
          </w:tcPr>
          <w:p w14:paraId="282D63EB" w14:textId="36F1C31D" w:rsidR="4D469431" w:rsidRPr="000E1175" w:rsidRDefault="4D469431" w:rsidP="1C43AEAE">
            <w:pPr>
              <w:rPr>
                <w:rFonts w:eastAsia="Times New Roman"/>
                <w:color w:val="000000" w:themeColor="text1"/>
                <w:lang w:val="en"/>
              </w:rPr>
            </w:pPr>
            <w:r w:rsidRPr="000E1175">
              <w:rPr>
                <w:rFonts w:eastAsia="Times New Roman"/>
                <w:color w:val="000000" w:themeColor="text1"/>
                <w:lang w:val="en"/>
              </w:rPr>
              <w:t>While students are representing and analyzing data in pictographs and bar graphs, provide opportunities for students to incorporate additional components of the data cycle, including:</w:t>
            </w:r>
            <w:r w:rsidRPr="000E1175">
              <w:rPr>
                <w:rFonts w:eastAsia="Times New Roman"/>
                <w:b/>
                <w:bCs/>
                <w:color w:val="000000" w:themeColor="text1"/>
                <w:lang w:val="en"/>
              </w:rPr>
              <w:t xml:space="preserve"> </w:t>
            </w:r>
          </w:p>
          <w:p w14:paraId="05160AF7" w14:textId="7145C911" w:rsidR="4D469431" w:rsidRPr="000E1175" w:rsidRDefault="6DC95BD0" w:rsidP="4C00BE90">
            <w:pPr>
              <w:pStyle w:val="ListParagraph"/>
              <w:numPr>
                <w:ilvl w:val="0"/>
                <w:numId w:val="2"/>
              </w:numPr>
              <w:rPr>
                <w:rFonts w:eastAsia="Times New Roman"/>
                <w:color w:val="000000" w:themeColor="text1"/>
                <w:lang w:val="en"/>
              </w:rPr>
            </w:pPr>
            <w:r w:rsidRPr="4C00BE90">
              <w:rPr>
                <w:rFonts w:eastAsia="Times New Roman"/>
                <w:color w:val="000000" w:themeColor="text1"/>
                <w:lang w:val="en"/>
              </w:rPr>
              <w:t>Pose questions given a predetermined context, that require the collection of data.</w:t>
            </w:r>
          </w:p>
          <w:p w14:paraId="4DB4E197" w14:textId="573EB0DF" w:rsidR="4D469431" w:rsidRPr="000E1175" w:rsidRDefault="4D469431" w:rsidP="4C00BE90">
            <w:pPr>
              <w:pStyle w:val="ListParagraph"/>
              <w:numPr>
                <w:ilvl w:val="0"/>
                <w:numId w:val="2"/>
              </w:numPr>
              <w:rPr>
                <w:rFonts w:eastAsia="Times New Roman"/>
                <w:color w:val="000000" w:themeColor="text1"/>
                <w:lang w:val="en"/>
              </w:rPr>
            </w:pPr>
            <w:r w:rsidRPr="4C00BE90">
              <w:rPr>
                <w:rFonts w:eastAsia="Times New Roman"/>
                <w:color w:val="000000" w:themeColor="text1"/>
                <w:lang w:val="en"/>
              </w:rPr>
              <w:lastRenderedPageBreak/>
              <w:t xml:space="preserve">Determine the data needed to answer a </w:t>
            </w:r>
            <w:r w:rsidR="2DD3DEED" w:rsidRPr="4C00BE90">
              <w:rPr>
                <w:rFonts w:eastAsia="Times New Roman"/>
                <w:color w:val="000000" w:themeColor="text1"/>
                <w:lang w:val="en"/>
              </w:rPr>
              <w:t xml:space="preserve">posed </w:t>
            </w:r>
            <w:r w:rsidRPr="4C00BE90">
              <w:rPr>
                <w:rFonts w:eastAsia="Times New Roman"/>
                <w:color w:val="000000" w:themeColor="text1"/>
                <w:lang w:val="en"/>
              </w:rPr>
              <w:t>question and collect the data using various methods (</w:t>
            </w:r>
            <w:r w:rsidR="40836FF7" w:rsidRPr="4C00BE90">
              <w:rPr>
                <w:rFonts w:eastAsia="Times New Roman"/>
                <w:color w:val="000000" w:themeColor="text1"/>
                <w:lang w:val="en"/>
              </w:rPr>
              <w:t>e.g., voting; creating lists, tables, or charts; tallying</w:t>
            </w:r>
            <w:r w:rsidRPr="4C00BE90">
              <w:rPr>
                <w:rFonts w:eastAsia="Times New Roman"/>
                <w:color w:val="000000" w:themeColor="text1"/>
                <w:lang w:val="en"/>
              </w:rPr>
              <w:t>).</w:t>
            </w:r>
            <w:r w:rsidRPr="4C00BE90">
              <w:rPr>
                <w:rFonts w:eastAsia="Times New Roman"/>
                <w:b/>
                <w:bCs/>
                <w:color w:val="000000" w:themeColor="text1"/>
                <w:lang w:val="en"/>
              </w:rPr>
              <w:t xml:space="preserve"> </w:t>
            </w:r>
          </w:p>
          <w:p w14:paraId="597BE735" w14:textId="41D2A6A8" w:rsidR="4D469431" w:rsidRPr="000E1175" w:rsidRDefault="35794171" w:rsidP="4C00BE90">
            <w:pPr>
              <w:pStyle w:val="ListParagraph"/>
              <w:numPr>
                <w:ilvl w:val="0"/>
                <w:numId w:val="2"/>
              </w:numPr>
              <w:rPr>
                <w:rFonts w:eastAsia="Times New Roman"/>
                <w:color w:val="000000" w:themeColor="text1"/>
                <w:lang w:val="en"/>
              </w:rPr>
            </w:pPr>
            <w:r w:rsidRPr="4C00BE90">
              <w:rPr>
                <w:rFonts w:eastAsia="Times New Roman"/>
                <w:color w:val="000000" w:themeColor="text1"/>
                <w:lang w:val="en"/>
              </w:rPr>
              <w:t xml:space="preserve">Organize and represent a data set using a pictograph or bar graph </w:t>
            </w:r>
          </w:p>
          <w:p w14:paraId="4A9D0CB2" w14:textId="19DC0654" w:rsidR="4D469431" w:rsidRPr="000E1175" w:rsidRDefault="64A3ED5E" w:rsidP="4C00BE90">
            <w:pPr>
              <w:rPr>
                <w:color w:val="000000" w:themeColor="text1"/>
                <w:lang w:val="en"/>
              </w:rPr>
            </w:pPr>
            <w:r w:rsidRPr="4C00BE90">
              <w:rPr>
                <w:rFonts w:eastAsia="Times New Roman"/>
                <w:color w:val="000000" w:themeColor="text1"/>
                <w:lang w:val="en"/>
              </w:rPr>
              <w:t xml:space="preserve">Additionally, </w:t>
            </w:r>
            <w:r w:rsidR="00F807E9">
              <w:rPr>
                <w:rFonts w:eastAsia="Times New Roman"/>
                <w:color w:val="000000" w:themeColor="text1"/>
                <w:lang w:val="en"/>
              </w:rPr>
              <w:t>students will need</w:t>
            </w:r>
            <w:r w:rsidR="00662030">
              <w:rPr>
                <w:rFonts w:eastAsia="Times New Roman"/>
                <w:color w:val="000000" w:themeColor="text1"/>
                <w:lang w:val="en"/>
              </w:rPr>
              <w:t xml:space="preserve"> </w:t>
            </w:r>
            <w:r w:rsidRPr="4C00BE90">
              <w:rPr>
                <w:rFonts w:eastAsia="Times New Roman"/>
                <w:color w:val="000000" w:themeColor="text1"/>
                <w:lang w:val="en"/>
              </w:rPr>
              <w:t>opportunities for students to:</w:t>
            </w:r>
            <w:r w:rsidR="32D059C2" w:rsidRPr="4C00BE90">
              <w:rPr>
                <w:rFonts w:eastAsia="Times New Roman"/>
                <w:color w:val="000000" w:themeColor="text1"/>
                <w:lang w:val="en"/>
              </w:rPr>
              <w:t xml:space="preserve"> </w:t>
            </w:r>
          </w:p>
          <w:p w14:paraId="79A16C33" w14:textId="593BA0E5" w:rsidR="4D1BCE69" w:rsidRPr="000E1175" w:rsidRDefault="34EF863D" w:rsidP="4C00BE90">
            <w:pPr>
              <w:pStyle w:val="ListParagraph"/>
              <w:numPr>
                <w:ilvl w:val="0"/>
                <w:numId w:val="1"/>
              </w:numPr>
              <w:rPr>
                <w:rFonts w:eastAsia="Times New Roman"/>
                <w:color w:val="000000" w:themeColor="text1"/>
                <w:lang w:val="en"/>
              </w:rPr>
            </w:pPr>
            <w:r w:rsidRPr="4C00BE90">
              <w:rPr>
                <w:rFonts w:eastAsia="Times New Roman"/>
                <w:color w:val="000000" w:themeColor="text1"/>
                <w:lang w:val="en"/>
              </w:rPr>
              <w:t>Analyze data and communicate the results by asking and answering questions about the data presented</w:t>
            </w:r>
            <w:r w:rsidR="1809AE41" w:rsidRPr="4C00BE90">
              <w:rPr>
                <w:rFonts w:eastAsia="Times New Roman"/>
                <w:color w:val="000000" w:themeColor="text1"/>
                <w:lang w:val="en"/>
              </w:rPr>
              <w:t>; and</w:t>
            </w:r>
          </w:p>
          <w:p w14:paraId="2CA5CB3F" w14:textId="5228C8D6" w:rsidR="4D1BCE69" w:rsidRPr="000E1175" w:rsidRDefault="4D1BCE69" w:rsidP="4C00BE90">
            <w:pPr>
              <w:pStyle w:val="ListParagraph"/>
              <w:numPr>
                <w:ilvl w:val="0"/>
                <w:numId w:val="1"/>
              </w:numPr>
              <w:rPr>
                <w:rFonts w:eastAsia="Times New Roman"/>
                <w:color w:val="000000" w:themeColor="text1"/>
                <w:lang w:val="en"/>
              </w:rPr>
            </w:pPr>
            <w:r w:rsidRPr="4C00BE90">
              <w:rPr>
                <w:rFonts w:eastAsia="Times New Roman"/>
                <w:color w:val="000000" w:themeColor="text1"/>
                <w:lang w:val="en"/>
              </w:rPr>
              <w:t>Draw conclusions about the data and make predictions based on the data</w:t>
            </w:r>
          </w:p>
        </w:tc>
      </w:tr>
      <w:tr w:rsidR="00926F00" w:rsidRPr="000E1175" w14:paraId="76BC979B" w14:textId="77777777" w:rsidTr="4C00BE90">
        <w:tc>
          <w:tcPr>
            <w:tcW w:w="1705" w:type="dxa"/>
          </w:tcPr>
          <w:p w14:paraId="32A49E93" w14:textId="1BCE5FAF" w:rsidR="00926F00" w:rsidRPr="000E1175" w:rsidRDefault="7A008AE4" w:rsidP="74BD4AB5">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lastRenderedPageBreak/>
              <w:t>2.15a,b</w:t>
            </w:r>
          </w:p>
        </w:tc>
        <w:tc>
          <w:tcPr>
            <w:tcW w:w="2340" w:type="dxa"/>
          </w:tcPr>
          <w:p w14:paraId="70643CF9" w14:textId="6AB54BD5" w:rsidR="00926F00" w:rsidRPr="000E1175" w:rsidRDefault="4C8EB721"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2.PS.1a</w:t>
            </w:r>
          </w:p>
        </w:tc>
        <w:tc>
          <w:tcPr>
            <w:tcW w:w="10440" w:type="dxa"/>
          </w:tcPr>
          <w:p w14:paraId="508418EA" w14:textId="1FB09ED0" w:rsidR="00926F00" w:rsidRPr="000E1175" w:rsidRDefault="00662030" w:rsidP="4C00BE90">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Pr>
                <w:b w:val="0"/>
                <w:sz w:val="24"/>
                <w:szCs w:val="24"/>
              </w:rPr>
              <w:t>While working with dat</w:t>
            </w:r>
            <w:r w:rsidR="008932DA">
              <w:rPr>
                <w:b w:val="0"/>
                <w:sz w:val="24"/>
                <w:szCs w:val="24"/>
              </w:rPr>
              <w:t>a</w:t>
            </w:r>
            <w:r>
              <w:rPr>
                <w:b w:val="0"/>
                <w:sz w:val="24"/>
                <w:szCs w:val="24"/>
              </w:rPr>
              <w:t xml:space="preserve">, increase </w:t>
            </w:r>
            <w:r w:rsidR="00C53252">
              <w:rPr>
                <w:b w:val="0"/>
                <w:sz w:val="24"/>
                <w:szCs w:val="24"/>
              </w:rPr>
              <w:t xml:space="preserve">the number of </w:t>
            </w:r>
            <w:r w:rsidR="35097E47" w:rsidRPr="4C00BE90">
              <w:rPr>
                <w:b w:val="0"/>
                <w:sz w:val="24"/>
                <w:szCs w:val="24"/>
              </w:rPr>
              <w:t xml:space="preserve">data points from 16 to 25. </w:t>
            </w:r>
            <w:r w:rsidR="270B81EA" w:rsidRPr="4C00BE90">
              <w:rPr>
                <w:b w:val="0"/>
                <w:sz w:val="24"/>
                <w:szCs w:val="24"/>
              </w:rPr>
              <w:t>This gives the opportunity to collect data from a classroom of student</w:t>
            </w:r>
            <w:r w:rsidR="38EE971D" w:rsidRPr="4C00BE90">
              <w:rPr>
                <w:b w:val="0"/>
                <w:sz w:val="24"/>
                <w:szCs w:val="24"/>
              </w:rPr>
              <w:t>s</w:t>
            </w:r>
            <w:r w:rsidR="0733FF62" w:rsidRPr="4C00BE90">
              <w:rPr>
                <w:b w:val="0"/>
                <w:sz w:val="24"/>
                <w:szCs w:val="24"/>
              </w:rPr>
              <w:t xml:space="preserve"> using voting; creating lists, </w:t>
            </w:r>
            <w:r w:rsidR="00E63159" w:rsidRPr="4C00BE90">
              <w:rPr>
                <w:b w:val="0"/>
                <w:sz w:val="24"/>
                <w:szCs w:val="24"/>
              </w:rPr>
              <w:t>tables,</w:t>
            </w:r>
            <w:r w:rsidR="0733FF62" w:rsidRPr="4C00BE90">
              <w:rPr>
                <w:b w:val="0"/>
                <w:sz w:val="24"/>
                <w:szCs w:val="24"/>
              </w:rPr>
              <w:t xml:space="preserve"> or charts; tallying.</w:t>
            </w:r>
          </w:p>
        </w:tc>
      </w:tr>
    </w:tbl>
    <w:p w14:paraId="1F400D2A" w14:textId="77777777" w:rsidR="00B17BA6" w:rsidRPr="000E1175" w:rsidRDefault="00B17BA6" w:rsidP="00B17BA6">
      <w:pPr>
        <w:pStyle w:val="VHead2"/>
        <w:jc w:val="left"/>
        <w:rPr>
          <w:sz w:val="24"/>
          <w:szCs w:val="24"/>
        </w:rPr>
      </w:pPr>
    </w:p>
    <w:p w14:paraId="7745D0C2" w14:textId="77777777" w:rsidR="00B17BA6" w:rsidRPr="000E1175" w:rsidRDefault="00B17BA6" w:rsidP="00B17BA6">
      <w:pPr>
        <w:pStyle w:val="VHead2"/>
        <w:jc w:val="left"/>
        <w:rPr>
          <w:sz w:val="24"/>
          <w:szCs w:val="24"/>
        </w:rPr>
      </w:pPr>
      <w:r w:rsidRPr="000E1175">
        <w:rPr>
          <w:sz w:val="24"/>
          <w:szCs w:val="24"/>
        </w:rPr>
        <w:t>Patterns, Functions, and Algebra</w:t>
      </w:r>
    </w:p>
    <w:tbl>
      <w:tblPr>
        <w:tblStyle w:val="TableGrid"/>
        <w:tblW w:w="14485" w:type="dxa"/>
        <w:tblLook w:val="04A0" w:firstRow="1" w:lastRow="0" w:firstColumn="1" w:lastColumn="0" w:noHBand="0" w:noVBand="1"/>
      </w:tblPr>
      <w:tblGrid>
        <w:gridCol w:w="1705"/>
        <w:gridCol w:w="2340"/>
        <w:gridCol w:w="10440"/>
      </w:tblGrid>
      <w:tr w:rsidR="00B17BA6" w:rsidRPr="000E1175" w14:paraId="2884F06E" w14:textId="77777777" w:rsidTr="00EA3F2E">
        <w:trPr>
          <w:tblHeader/>
        </w:trPr>
        <w:tc>
          <w:tcPr>
            <w:tcW w:w="1705" w:type="dxa"/>
            <w:shd w:val="clear" w:color="auto" w:fill="FABF8F" w:themeFill="accent6" w:themeFillTint="99"/>
          </w:tcPr>
          <w:p w14:paraId="4C668DC6" w14:textId="7777777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2016 SOL</w:t>
            </w:r>
          </w:p>
        </w:tc>
        <w:tc>
          <w:tcPr>
            <w:tcW w:w="2340" w:type="dxa"/>
            <w:shd w:val="clear" w:color="auto" w:fill="FABF8F" w:themeFill="accent6" w:themeFillTint="99"/>
          </w:tcPr>
          <w:p w14:paraId="1559C2F8" w14:textId="6B1DE955"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2023 SOL</w:t>
            </w:r>
          </w:p>
        </w:tc>
        <w:tc>
          <w:tcPr>
            <w:tcW w:w="10440" w:type="dxa"/>
            <w:shd w:val="clear" w:color="auto" w:fill="FABF8F" w:themeFill="accent6" w:themeFillTint="99"/>
          </w:tcPr>
          <w:p w14:paraId="2F9955FF" w14:textId="77777777" w:rsidR="00B17BA6" w:rsidRPr="000E1175"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Instructional Notes</w:t>
            </w:r>
          </w:p>
        </w:tc>
      </w:tr>
      <w:tr w:rsidR="00B17BA6" w:rsidRPr="000E1175" w14:paraId="3179C222" w14:textId="77777777" w:rsidTr="4C00BE90">
        <w:tc>
          <w:tcPr>
            <w:tcW w:w="1705" w:type="dxa"/>
          </w:tcPr>
          <w:p w14:paraId="0F0868CE" w14:textId="3640D411" w:rsidR="00B17BA6" w:rsidRPr="000E1175" w:rsidRDefault="471DE691"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2.16</w:t>
            </w:r>
          </w:p>
        </w:tc>
        <w:tc>
          <w:tcPr>
            <w:tcW w:w="2340" w:type="dxa"/>
          </w:tcPr>
          <w:p w14:paraId="50A96D31" w14:textId="73E3D95B" w:rsidR="00B17BA6" w:rsidRPr="000E1175" w:rsidRDefault="471DE691"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2.PFA.1a</w:t>
            </w:r>
          </w:p>
        </w:tc>
        <w:tc>
          <w:tcPr>
            <w:tcW w:w="10440" w:type="dxa"/>
          </w:tcPr>
          <w:p w14:paraId="0ECEE026" w14:textId="785F7F63" w:rsidR="00B17BA6" w:rsidRPr="000E1175" w:rsidRDefault="00BA2D78" w:rsidP="1C43AEAE">
            <w:pPr>
              <w:pStyle w:val="VHead2"/>
              <w:jc w:val="left"/>
              <w:rPr>
                <w:sz w:val="24"/>
                <w:szCs w:val="24"/>
              </w:rPr>
            </w:pPr>
            <w:r>
              <w:rPr>
                <w:rFonts w:eastAsia="Times New Roman"/>
                <w:b w:val="0"/>
                <w:color w:val="000000" w:themeColor="text1"/>
                <w:sz w:val="24"/>
                <w:szCs w:val="24"/>
              </w:rPr>
              <w:t xml:space="preserve">While teaching </w:t>
            </w:r>
            <w:r w:rsidR="692825EA" w:rsidRPr="000E1175">
              <w:rPr>
                <w:rFonts w:eastAsia="Times New Roman"/>
                <w:b w:val="0"/>
                <w:color w:val="000000" w:themeColor="text1"/>
                <w:sz w:val="24"/>
                <w:szCs w:val="24"/>
              </w:rPr>
              <w:t xml:space="preserve">growing patterns use the word “increasing” interchangeably with growing patterns as first grade limits growing patterns to increasing patterns.  </w:t>
            </w:r>
            <w:r w:rsidR="692825EA" w:rsidRPr="000E1175">
              <w:rPr>
                <w:sz w:val="24"/>
                <w:szCs w:val="24"/>
              </w:rPr>
              <w:t xml:space="preserve"> </w:t>
            </w:r>
          </w:p>
        </w:tc>
      </w:tr>
      <w:tr w:rsidR="00B17BA6" w:rsidRPr="000E1175" w14:paraId="79BB00FA" w14:textId="77777777" w:rsidTr="4C00BE90">
        <w:tc>
          <w:tcPr>
            <w:tcW w:w="1705" w:type="dxa"/>
          </w:tcPr>
          <w:p w14:paraId="27197243" w14:textId="7B49F72A" w:rsidR="00B17BA6" w:rsidRPr="000E1175" w:rsidRDefault="5AE332BB" w:rsidP="74BD4AB5">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2.16</w:t>
            </w:r>
          </w:p>
        </w:tc>
        <w:tc>
          <w:tcPr>
            <w:tcW w:w="2340" w:type="dxa"/>
          </w:tcPr>
          <w:p w14:paraId="16413B00" w14:textId="694C88BD" w:rsidR="00B17BA6" w:rsidRPr="000E1175" w:rsidRDefault="7557DCA3" w:rsidP="1C43AEA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0E1175">
              <w:rPr>
                <w:sz w:val="24"/>
                <w:szCs w:val="24"/>
              </w:rPr>
              <w:t>2.PFA.1d</w:t>
            </w:r>
          </w:p>
        </w:tc>
        <w:tc>
          <w:tcPr>
            <w:tcW w:w="10440" w:type="dxa"/>
          </w:tcPr>
          <w:p w14:paraId="5F812D7D" w14:textId="79B39B2E" w:rsidR="00B17BA6" w:rsidRPr="000E1175" w:rsidRDefault="00BA2D78" w:rsidP="74BD4AB5">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Pr>
                <w:b w:val="0"/>
                <w:sz w:val="24"/>
                <w:szCs w:val="24"/>
              </w:rPr>
              <w:t xml:space="preserve">While students </w:t>
            </w:r>
            <w:r w:rsidR="107AF3B4" w:rsidRPr="000E1175">
              <w:rPr>
                <w:b w:val="0"/>
                <w:sz w:val="24"/>
                <w:szCs w:val="24"/>
              </w:rPr>
              <w:t xml:space="preserve">transfer a given </w:t>
            </w:r>
            <w:r w:rsidR="69D12A38" w:rsidRPr="000E1175">
              <w:rPr>
                <w:b w:val="0"/>
                <w:sz w:val="24"/>
                <w:szCs w:val="24"/>
              </w:rPr>
              <w:t xml:space="preserve">increasing </w:t>
            </w:r>
            <w:r w:rsidR="107AF3B4" w:rsidRPr="000E1175">
              <w:rPr>
                <w:b w:val="0"/>
                <w:sz w:val="24"/>
                <w:szCs w:val="24"/>
              </w:rPr>
              <w:t>pattern from one form to another have them explain the connection between the two patterns.</w:t>
            </w:r>
          </w:p>
        </w:tc>
      </w:tr>
      <w:tr w:rsidR="00B17BA6" w:rsidRPr="000E1175" w14:paraId="604C6E43" w14:textId="77777777" w:rsidTr="4C00BE90">
        <w:tc>
          <w:tcPr>
            <w:tcW w:w="1705" w:type="dxa"/>
          </w:tcPr>
          <w:p w14:paraId="4D4058C7" w14:textId="47875241" w:rsidR="00B17BA6" w:rsidRPr="000E1175" w:rsidRDefault="25026687" w:rsidP="74BD4AB5">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0E1175">
              <w:rPr>
                <w:sz w:val="24"/>
                <w:szCs w:val="24"/>
              </w:rPr>
              <w:t>2.17</w:t>
            </w:r>
          </w:p>
        </w:tc>
        <w:tc>
          <w:tcPr>
            <w:tcW w:w="2340" w:type="dxa"/>
          </w:tcPr>
          <w:p w14:paraId="052E8F5D" w14:textId="3EA9F5D1" w:rsidR="74BD4AB5" w:rsidRPr="000E1175" w:rsidRDefault="74BD4AB5" w:rsidP="74BD4AB5">
            <w:pPr>
              <w:pStyle w:val="VHead2"/>
              <w:rPr>
                <w:sz w:val="24"/>
                <w:szCs w:val="24"/>
              </w:rPr>
            </w:pPr>
            <w:r w:rsidRPr="000E1175">
              <w:rPr>
                <w:sz w:val="24"/>
                <w:szCs w:val="24"/>
              </w:rPr>
              <w:t>2.CE.1f-j</w:t>
            </w:r>
          </w:p>
        </w:tc>
        <w:tc>
          <w:tcPr>
            <w:tcW w:w="10440" w:type="dxa"/>
          </w:tcPr>
          <w:p w14:paraId="455ABFD6" w14:textId="4DD74F75" w:rsidR="74BD4AB5" w:rsidRPr="000E1175" w:rsidRDefault="005F626D" w:rsidP="74BD4AB5">
            <w:pPr>
              <w:pStyle w:val="VHead2"/>
              <w:jc w:val="left"/>
              <w:rPr>
                <w:rFonts w:eastAsia="Times New Roman"/>
                <w:b w:val="0"/>
                <w:color w:val="000000" w:themeColor="text1"/>
                <w:sz w:val="24"/>
                <w:szCs w:val="24"/>
              </w:rPr>
            </w:pPr>
            <w:r>
              <w:rPr>
                <w:rFonts w:eastAsia="Times New Roman"/>
                <w:b w:val="0"/>
                <w:color w:val="000000" w:themeColor="text1"/>
                <w:sz w:val="24"/>
                <w:szCs w:val="24"/>
              </w:rPr>
              <w:t xml:space="preserve">While teaching expressions, include </w:t>
            </w:r>
            <w:r w:rsidR="79606A45" w:rsidRPr="4C00BE90">
              <w:rPr>
                <w:rFonts w:eastAsia="Times New Roman"/>
                <w:b w:val="0"/>
                <w:color w:val="000000" w:themeColor="text1"/>
                <w:sz w:val="24"/>
                <w:szCs w:val="24"/>
              </w:rPr>
              <w:t>discussion</w:t>
            </w:r>
            <w:r w:rsidR="34E3E9B7" w:rsidRPr="4C00BE90">
              <w:rPr>
                <w:rFonts w:eastAsia="Times New Roman"/>
                <w:b w:val="0"/>
                <w:color w:val="000000" w:themeColor="text1"/>
                <w:sz w:val="24"/>
                <w:szCs w:val="24"/>
              </w:rPr>
              <w:t>s</w:t>
            </w:r>
            <w:r w:rsidR="79606A45" w:rsidRPr="4C00BE90">
              <w:rPr>
                <w:rFonts w:eastAsia="Times New Roman"/>
                <w:b w:val="0"/>
                <w:color w:val="000000" w:themeColor="text1"/>
                <w:sz w:val="24"/>
                <w:szCs w:val="24"/>
              </w:rPr>
              <w:t xml:space="preserve"> about expressions that are equal and not equal and the appropriate use of the equal sign and not equal sign when working with related facts or using strategies and properties to find sums and difference</w:t>
            </w:r>
            <w:r w:rsidR="57133228" w:rsidRPr="4C00BE90">
              <w:rPr>
                <w:rFonts w:eastAsia="Times New Roman"/>
                <w:b w:val="0"/>
                <w:color w:val="000000" w:themeColor="text1"/>
                <w:sz w:val="24"/>
                <w:szCs w:val="24"/>
              </w:rPr>
              <w:t>s</w:t>
            </w:r>
            <w:r w:rsidR="79606A45" w:rsidRPr="4C00BE90">
              <w:rPr>
                <w:rFonts w:eastAsia="Times New Roman"/>
                <w:b w:val="0"/>
                <w:color w:val="000000" w:themeColor="text1"/>
                <w:sz w:val="24"/>
                <w:szCs w:val="24"/>
              </w:rPr>
              <w:t xml:space="preserve">.  </w:t>
            </w:r>
            <w:r w:rsidR="00A414C4">
              <w:rPr>
                <w:rFonts w:eastAsia="Times New Roman"/>
                <w:b w:val="0"/>
                <w:color w:val="000000" w:themeColor="text1"/>
                <w:sz w:val="24"/>
                <w:szCs w:val="24"/>
              </w:rPr>
              <w:t>Students need to be able to</w:t>
            </w:r>
            <w:r w:rsidR="79606A45" w:rsidRPr="4C00BE90">
              <w:rPr>
                <w:rFonts w:eastAsia="Times New Roman"/>
                <w:b w:val="0"/>
                <w:color w:val="000000" w:themeColor="text1"/>
                <w:sz w:val="24"/>
                <w:szCs w:val="24"/>
              </w:rPr>
              <w:t xml:space="preserve"> justify these relationships.</w:t>
            </w:r>
          </w:p>
        </w:tc>
      </w:tr>
    </w:tbl>
    <w:p w14:paraId="221377A8" w14:textId="2192212D" w:rsidR="74BD4AB5" w:rsidRPr="000E1175" w:rsidRDefault="74BD4AB5" w:rsidP="74BD4AB5">
      <w:pPr>
        <w:pStyle w:val="VHead2"/>
        <w:jc w:val="left"/>
        <w:rPr>
          <w:sz w:val="24"/>
          <w:szCs w:val="24"/>
        </w:rPr>
      </w:pPr>
    </w:p>
    <w:sectPr w:rsidR="74BD4AB5" w:rsidRPr="000E1175" w:rsidSect="00047198">
      <w:headerReference w:type="even" r:id="rId17"/>
      <w:footerReference w:type="even" r:id="rId18"/>
      <w:footerReference w:type="default" r:id="rId19"/>
      <w:headerReference w:type="first" r:id="rId20"/>
      <w:footerReference w:type="first" r:id="rId21"/>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1A29" w14:textId="77777777" w:rsidR="00D52FA1" w:rsidRDefault="00D52FA1">
      <w:r>
        <w:separator/>
      </w:r>
    </w:p>
  </w:endnote>
  <w:endnote w:type="continuationSeparator" w:id="0">
    <w:p w14:paraId="29E56EA2" w14:textId="77777777" w:rsidR="00D52FA1" w:rsidRDefault="00D52FA1">
      <w:r>
        <w:continuationSeparator/>
      </w:r>
    </w:p>
  </w:endnote>
  <w:endnote w:type="continuationNotice" w:id="1">
    <w:p w14:paraId="5202A9E3" w14:textId="77777777" w:rsidR="00D52FA1" w:rsidRDefault="00D52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64452"/>
      <w:docPartObj>
        <w:docPartGallery w:val="Page Numbers (Bottom of Page)"/>
        <w:docPartUnique/>
      </w:docPartObj>
    </w:sdtPr>
    <w:sdtEndPr>
      <w:rPr>
        <w:noProof/>
      </w:rPr>
    </w:sdtEndPr>
    <w:sdtContent>
      <w:p w14:paraId="1D910A88" w14:textId="04CFCB69" w:rsidR="000E1175" w:rsidRPr="004E689A" w:rsidRDefault="000E1175" w:rsidP="000E1175">
        <w:pPr>
          <w:pStyle w:val="Footer"/>
          <w:rPr>
            <w:sz w:val="12"/>
            <w:szCs w:val="12"/>
          </w:rPr>
        </w:pPr>
      </w:p>
      <w:p w14:paraId="2F456A8C" w14:textId="04C486F8" w:rsidR="000E1175" w:rsidRDefault="000E1175" w:rsidP="000E1175">
        <w:pPr>
          <w:pStyle w:val="Footer"/>
          <w:tabs>
            <w:tab w:val="left" w:pos="13590"/>
          </w:tabs>
          <w:ind w:right="90"/>
        </w:pPr>
        <w:r>
          <w:t>Virginia Department of Education, September 2023</w:t>
        </w:r>
        <w:r>
          <w:tab/>
        </w:r>
        <w:r>
          <w:tab/>
          <w:t xml:space="preserve">Page </w:t>
        </w:r>
        <w:r>
          <w:fldChar w:fldCharType="begin"/>
        </w:r>
        <w:r>
          <w:instrText xml:space="preserve"> PAGE   \* MERGEFORMAT </w:instrText>
        </w:r>
        <w:r>
          <w:fldChar w:fldCharType="separate"/>
        </w:r>
        <w:r>
          <w:t>1</w:t>
        </w:r>
        <w:r>
          <w:rPr>
            <w:noProof/>
          </w:rPr>
          <w:fldChar w:fldCharType="end"/>
        </w:r>
      </w:p>
    </w:sdtContent>
  </w:sdt>
  <w:p w14:paraId="3142D80B" w14:textId="77777777" w:rsidR="000E1175" w:rsidRDefault="000E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CC24" w14:textId="77777777" w:rsidR="00D52FA1" w:rsidRDefault="00D52FA1">
      <w:r>
        <w:separator/>
      </w:r>
    </w:p>
  </w:footnote>
  <w:footnote w:type="continuationSeparator" w:id="0">
    <w:p w14:paraId="021475CE" w14:textId="77777777" w:rsidR="00D52FA1" w:rsidRDefault="00D52FA1">
      <w:r>
        <w:continuationSeparator/>
      </w:r>
    </w:p>
  </w:footnote>
  <w:footnote w:type="continuationNotice" w:id="1">
    <w:p w14:paraId="76B0F0C3" w14:textId="77777777" w:rsidR="00D52FA1" w:rsidRDefault="00D52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4GQRNOfm" int2:invalidationBookmarkName="" int2:hashCode="zMUvXLPYWWzyVJ" int2:id="HKaDhcu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839"/>
    <w:multiLevelType w:val="multilevel"/>
    <w:tmpl w:val="90708186"/>
    <w:name w:val="CF"/>
    <w:lvl w:ilvl="0">
      <w:start w:val="1"/>
      <w:numFmt w:val="none"/>
      <w:pStyle w:val="CFTSWBT"/>
      <w:lvlText w:val="%1"/>
      <w:lvlJc w:val="left"/>
      <w:pPr>
        <w:ind w:left="-90" w:firstLine="360"/>
      </w:pPr>
      <w:rPr>
        <w:rFonts w:hint="default"/>
        <w:u w:val="none"/>
      </w:rPr>
    </w:lvl>
    <w:lvl w:ilvl="1">
      <w:start w:val="1"/>
      <w:numFmt w:val="lowerLetter"/>
      <w:pStyle w:val="CFKSFormat"/>
      <w:lvlText w:val="%2)"/>
      <w:lvlJc w:val="left"/>
      <w:pPr>
        <w:ind w:left="630" w:hanging="360"/>
      </w:pPr>
      <w:rPr>
        <w:rFonts w:hint="default"/>
        <w:u w:val="none"/>
      </w:rPr>
    </w:lvl>
    <w:lvl w:ilvl="2">
      <w:start w:val="1"/>
      <w:numFmt w:val="lowerRoman"/>
      <w:pStyle w:val="CFKSFormatSub"/>
      <w:lvlText w:val="%3)"/>
      <w:lvlJc w:val="left"/>
      <w:pPr>
        <w:ind w:left="630" w:hanging="360"/>
      </w:pPr>
      <w:rPr>
        <w:rFonts w:hint="default"/>
        <w:b w:val="0"/>
        <w:bCs/>
        <w:u w:val="none"/>
      </w:rPr>
    </w:lvl>
    <w:lvl w:ilvl="3">
      <w:start w:val="1"/>
      <w:numFmt w:val="decimal"/>
      <w:lvlText w:val="(%4)"/>
      <w:lvlJc w:val="left"/>
      <w:pPr>
        <w:ind w:left="990" w:firstLine="0"/>
      </w:pPr>
      <w:rPr>
        <w:rFonts w:hint="default"/>
        <w:u w:val="none"/>
      </w:rPr>
    </w:lvl>
    <w:lvl w:ilvl="4">
      <w:start w:val="1"/>
      <w:numFmt w:val="lowerLetter"/>
      <w:lvlText w:val="(%5)"/>
      <w:lvlJc w:val="left"/>
      <w:pPr>
        <w:ind w:left="1350" w:firstLine="0"/>
      </w:pPr>
      <w:rPr>
        <w:rFonts w:hint="default"/>
        <w:u w:val="none"/>
      </w:rPr>
    </w:lvl>
    <w:lvl w:ilvl="5">
      <w:start w:val="1"/>
      <w:numFmt w:val="lowerRoman"/>
      <w:lvlText w:val="(%6)"/>
      <w:lvlJc w:val="right"/>
      <w:pPr>
        <w:ind w:left="1710" w:firstLine="0"/>
      </w:pPr>
      <w:rPr>
        <w:rFonts w:hint="default"/>
        <w:u w:val="none"/>
      </w:rPr>
    </w:lvl>
    <w:lvl w:ilvl="6">
      <w:start w:val="1"/>
      <w:numFmt w:val="decimal"/>
      <w:lvlText w:val="%7."/>
      <w:lvlJc w:val="left"/>
      <w:pPr>
        <w:ind w:left="2070" w:firstLine="0"/>
      </w:pPr>
      <w:rPr>
        <w:rFonts w:hint="default"/>
        <w:u w:val="none"/>
      </w:rPr>
    </w:lvl>
    <w:lvl w:ilvl="7">
      <w:start w:val="1"/>
      <w:numFmt w:val="lowerLetter"/>
      <w:lvlText w:val="%8."/>
      <w:lvlJc w:val="left"/>
      <w:pPr>
        <w:ind w:left="2430" w:firstLine="0"/>
      </w:pPr>
      <w:rPr>
        <w:rFonts w:hint="default"/>
        <w:u w:val="none"/>
      </w:rPr>
    </w:lvl>
    <w:lvl w:ilvl="8">
      <w:start w:val="1"/>
      <w:numFmt w:val="lowerRoman"/>
      <w:lvlText w:val="%9."/>
      <w:lvlJc w:val="right"/>
      <w:pPr>
        <w:ind w:left="2790" w:firstLine="0"/>
      </w:pPr>
      <w:rPr>
        <w:rFonts w:hint="default"/>
        <w:u w:val="none"/>
      </w:rPr>
    </w:lvl>
  </w:abstractNum>
  <w:abstractNum w:abstractNumId="1" w15:restartNumberingAfterBreak="0">
    <w:nsid w:val="083B6D26"/>
    <w:multiLevelType w:val="multilevel"/>
    <w:tmpl w:val="80641224"/>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0"/>
        <w:szCs w:val="20"/>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3"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4"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6B83C8"/>
    <w:multiLevelType w:val="hybridMultilevel"/>
    <w:tmpl w:val="CECE2C56"/>
    <w:lvl w:ilvl="0" w:tplc="5C268A9E">
      <w:start w:val="1"/>
      <w:numFmt w:val="bullet"/>
      <w:lvlText w:val=""/>
      <w:lvlJc w:val="left"/>
      <w:pPr>
        <w:ind w:left="720" w:hanging="360"/>
      </w:pPr>
      <w:rPr>
        <w:rFonts w:ascii="Symbol" w:hAnsi="Symbol" w:hint="default"/>
      </w:rPr>
    </w:lvl>
    <w:lvl w:ilvl="1" w:tplc="6A1C337C">
      <w:start w:val="1"/>
      <w:numFmt w:val="bullet"/>
      <w:lvlText w:val="o"/>
      <w:lvlJc w:val="left"/>
      <w:pPr>
        <w:ind w:left="1440" w:hanging="360"/>
      </w:pPr>
      <w:rPr>
        <w:rFonts w:ascii="Courier New" w:hAnsi="Courier New" w:hint="default"/>
      </w:rPr>
    </w:lvl>
    <w:lvl w:ilvl="2" w:tplc="9CCE17BA">
      <w:start w:val="1"/>
      <w:numFmt w:val="bullet"/>
      <w:lvlText w:val=""/>
      <w:lvlJc w:val="left"/>
      <w:pPr>
        <w:ind w:left="2160" w:hanging="360"/>
      </w:pPr>
      <w:rPr>
        <w:rFonts w:ascii="Wingdings" w:hAnsi="Wingdings" w:hint="default"/>
      </w:rPr>
    </w:lvl>
    <w:lvl w:ilvl="3" w:tplc="7E08A090">
      <w:start w:val="1"/>
      <w:numFmt w:val="bullet"/>
      <w:lvlText w:val=""/>
      <w:lvlJc w:val="left"/>
      <w:pPr>
        <w:ind w:left="2880" w:hanging="360"/>
      </w:pPr>
      <w:rPr>
        <w:rFonts w:ascii="Symbol" w:hAnsi="Symbol" w:hint="default"/>
      </w:rPr>
    </w:lvl>
    <w:lvl w:ilvl="4" w:tplc="5C0EF1FE">
      <w:start w:val="1"/>
      <w:numFmt w:val="bullet"/>
      <w:lvlText w:val="o"/>
      <w:lvlJc w:val="left"/>
      <w:pPr>
        <w:ind w:left="3600" w:hanging="360"/>
      </w:pPr>
      <w:rPr>
        <w:rFonts w:ascii="Courier New" w:hAnsi="Courier New" w:hint="default"/>
      </w:rPr>
    </w:lvl>
    <w:lvl w:ilvl="5" w:tplc="54081BEC">
      <w:start w:val="1"/>
      <w:numFmt w:val="bullet"/>
      <w:lvlText w:val=""/>
      <w:lvlJc w:val="left"/>
      <w:pPr>
        <w:ind w:left="4320" w:hanging="360"/>
      </w:pPr>
      <w:rPr>
        <w:rFonts w:ascii="Wingdings" w:hAnsi="Wingdings" w:hint="default"/>
      </w:rPr>
    </w:lvl>
    <w:lvl w:ilvl="6" w:tplc="755E212E">
      <w:start w:val="1"/>
      <w:numFmt w:val="bullet"/>
      <w:lvlText w:val=""/>
      <w:lvlJc w:val="left"/>
      <w:pPr>
        <w:ind w:left="5040" w:hanging="360"/>
      </w:pPr>
      <w:rPr>
        <w:rFonts w:ascii="Symbol" w:hAnsi="Symbol" w:hint="default"/>
      </w:rPr>
    </w:lvl>
    <w:lvl w:ilvl="7" w:tplc="5454A798">
      <w:start w:val="1"/>
      <w:numFmt w:val="bullet"/>
      <w:lvlText w:val="o"/>
      <w:lvlJc w:val="left"/>
      <w:pPr>
        <w:ind w:left="5760" w:hanging="360"/>
      </w:pPr>
      <w:rPr>
        <w:rFonts w:ascii="Courier New" w:hAnsi="Courier New" w:hint="default"/>
      </w:rPr>
    </w:lvl>
    <w:lvl w:ilvl="8" w:tplc="F2D8EC4E">
      <w:start w:val="1"/>
      <w:numFmt w:val="bullet"/>
      <w:lvlText w:val=""/>
      <w:lvlJc w:val="left"/>
      <w:pPr>
        <w:ind w:left="6480" w:hanging="360"/>
      </w:pPr>
      <w:rPr>
        <w:rFonts w:ascii="Wingdings" w:hAnsi="Wingdings" w:hint="default"/>
      </w:rPr>
    </w:lvl>
  </w:abstractNum>
  <w:abstractNum w:abstractNumId="7" w15:restartNumberingAfterBreak="0">
    <w:nsid w:val="25312365"/>
    <w:multiLevelType w:val="hybridMultilevel"/>
    <w:tmpl w:val="828499AE"/>
    <w:lvl w:ilvl="0" w:tplc="57F27BBE">
      <w:start w:val="1"/>
      <w:numFmt w:val="bullet"/>
      <w:lvlText w:val=""/>
      <w:lvlJc w:val="left"/>
      <w:pPr>
        <w:ind w:left="720" w:hanging="360"/>
      </w:pPr>
      <w:rPr>
        <w:rFonts w:ascii="Symbol" w:hAnsi="Symbol" w:hint="default"/>
      </w:rPr>
    </w:lvl>
    <w:lvl w:ilvl="1" w:tplc="C9F8CACA">
      <w:start w:val="1"/>
      <w:numFmt w:val="bullet"/>
      <w:lvlText w:val="o"/>
      <w:lvlJc w:val="left"/>
      <w:pPr>
        <w:ind w:left="1440" w:hanging="360"/>
      </w:pPr>
      <w:rPr>
        <w:rFonts w:ascii="Courier New" w:hAnsi="Courier New" w:hint="default"/>
      </w:rPr>
    </w:lvl>
    <w:lvl w:ilvl="2" w:tplc="556465B2">
      <w:start w:val="1"/>
      <w:numFmt w:val="bullet"/>
      <w:lvlText w:val=""/>
      <w:lvlJc w:val="left"/>
      <w:pPr>
        <w:ind w:left="2160" w:hanging="360"/>
      </w:pPr>
      <w:rPr>
        <w:rFonts w:ascii="Wingdings" w:hAnsi="Wingdings" w:hint="default"/>
      </w:rPr>
    </w:lvl>
    <w:lvl w:ilvl="3" w:tplc="D1FC4532">
      <w:start w:val="1"/>
      <w:numFmt w:val="bullet"/>
      <w:lvlText w:val=""/>
      <w:lvlJc w:val="left"/>
      <w:pPr>
        <w:ind w:left="2880" w:hanging="360"/>
      </w:pPr>
      <w:rPr>
        <w:rFonts w:ascii="Symbol" w:hAnsi="Symbol" w:hint="default"/>
      </w:rPr>
    </w:lvl>
    <w:lvl w:ilvl="4" w:tplc="149CF44A">
      <w:start w:val="1"/>
      <w:numFmt w:val="bullet"/>
      <w:lvlText w:val="o"/>
      <w:lvlJc w:val="left"/>
      <w:pPr>
        <w:ind w:left="3600" w:hanging="360"/>
      </w:pPr>
      <w:rPr>
        <w:rFonts w:ascii="Courier New" w:hAnsi="Courier New" w:hint="default"/>
      </w:rPr>
    </w:lvl>
    <w:lvl w:ilvl="5" w:tplc="3A461AF2">
      <w:start w:val="1"/>
      <w:numFmt w:val="bullet"/>
      <w:lvlText w:val=""/>
      <w:lvlJc w:val="left"/>
      <w:pPr>
        <w:ind w:left="4320" w:hanging="360"/>
      </w:pPr>
      <w:rPr>
        <w:rFonts w:ascii="Wingdings" w:hAnsi="Wingdings" w:hint="default"/>
      </w:rPr>
    </w:lvl>
    <w:lvl w:ilvl="6" w:tplc="39107CDA">
      <w:start w:val="1"/>
      <w:numFmt w:val="bullet"/>
      <w:lvlText w:val=""/>
      <w:lvlJc w:val="left"/>
      <w:pPr>
        <w:ind w:left="5040" w:hanging="360"/>
      </w:pPr>
      <w:rPr>
        <w:rFonts w:ascii="Symbol" w:hAnsi="Symbol" w:hint="default"/>
      </w:rPr>
    </w:lvl>
    <w:lvl w:ilvl="7" w:tplc="5F1C2906">
      <w:start w:val="1"/>
      <w:numFmt w:val="bullet"/>
      <w:lvlText w:val="o"/>
      <w:lvlJc w:val="left"/>
      <w:pPr>
        <w:ind w:left="5760" w:hanging="360"/>
      </w:pPr>
      <w:rPr>
        <w:rFonts w:ascii="Courier New" w:hAnsi="Courier New" w:hint="default"/>
      </w:rPr>
    </w:lvl>
    <w:lvl w:ilvl="8" w:tplc="18386BC0">
      <w:start w:val="1"/>
      <w:numFmt w:val="bullet"/>
      <w:lvlText w:val=""/>
      <w:lvlJc w:val="left"/>
      <w:pPr>
        <w:ind w:left="6480" w:hanging="360"/>
      </w:pPr>
      <w:rPr>
        <w:rFonts w:ascii="Wingdings" w:hAnsi="Wingdings" w:hint="default"/>
      </w:rPr>
    </w:lvl>
  </w:abstractNum>
  <w:abstractNum w:abstractNumId="8"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9" w15:restartNumberingAfterBreak="0">
    <w:nsid w:val="35A94D3B"/>
    <w:multiLevelType w:val="multilevel"/>
    <w:tmpl w:val="8F3A0664"/>
    <w:lvl w:ilvl="0">
      <w:start w:val="3"/>
      <w:numFmt w:val="lowerLetter"/>
      <w:pStyle w:val="VSOL16L"/>
      <w:lvlText w:val="%1)"/>
      <w:lvlJc w:val="left"/>
      <w:pPr>
        <w:ind w:left="288" w:hanging="288"/>
      </w:pPr>
      <w:rPr>
        <w:rFonts w:ascii="Times New Roman" w:eastAsia="Times New Roman" w:hAnsi="Times New Roman" w:cs="Times New Roman" w:hint="default"/>
        <w:b/>
        <w:bCs w:val="0"/>
        <w:i w:val="0"/>
        <w:color w:val="000000"/>
        <w:sz w:val="20"/>
        <w:szCs w:val="20"/>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3"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5"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DC7509A"/>
    <w:multiLevelType w:val="hybridMultilevel"/>
    <w:tmpl w:val="D01C4CB6"/>
    <w:lvl w:ilvl="0" w:tplc="6A466BF6">
      <w:start w:val="1"/>
      <w:numFmt w:val="bullet"/>
      <w:lvlText w:val=""/>
      <w:lvlJc w:val="left"/>
      <w:pPr>
        <w:ind w:left="720" w:hanging="360"/>
      </w:pPr>
      <w:rPr>
        <w:rFonts w:ascii="Symbol" w:hAnsi="Symbol" w:hint="default"/>
      </w:rPr>
    </w:lvl>
    <w:lvl w:ilvl="1" w:tplc="5CB025A2">
      <w:start w:val="1"/>
      <w:numFmt w:val="bullet"/>
      <w:lvlText w:val="o"/>
      <w:lvlJc w:val="left"/>
      <w:pPr>
        <w:ind w:left="1440" w:hanging="360"/>
      </w:pPr>
      <w:rPr>
        <w:rFonts w:ascii="Courier New" w:hAnsi="Courier New" w:hint="default"/>
      </w:rPr>
    </w:lvl>
    <w:lvl w:ilvl="2" w:tplc="3EDE5994">
      <w:start w:val="1"/>
      <w:numFmt w:val="bullet"/>
      <w:lvlText w:val=""/>
      <w:lvlJc w:val="left"/>
      <w:pPr>
        <w:ind w:left="2160" w:hanging="360"/>
      </w:pPr>
      <w:rPr>
        <w:rFonts w:ascii="Wingdings" w:hAnsi="Wingdings" w:hint="default"/>
      </w:rPr>
    </w:lvl>
    <w:lvl w:ilvl="3" w:tplc="0DB8C602">
      <w:start w:val="1"/>
      <w:numFmt w:val="bullet"/>
      <w:lvlText w:val=""/>
      <w:lvlJc w:val="left"/>
      <w:pPr>
        <w:ind w:left="2880" w:hanging="360"/>
      </w:pPr>
      <w:rPr>
        <w:rFonts w:ascii="Symbol" w:hAnsi="Symbol" w:hint="default"/>
      </w:rPr>
    </w:lvl>
    <w:lvl w:ilvl="4" w:tplc="DDE099AE">
      <w:start w:val="1"/>
      <w:numFmt w:val="bullet"/>
      <w:lvlText w:val="o"/>
      <w:lvlJc w:val="left"/>
      <w:pPr>
        <w:ind w:left="3600" w:hanging="360"/>
      </w:pPr>
      <w:rPr>
        <w:rFonts w:ascii="Courier New" w:hAnsi="Courier New" w:hint="default"/>
      </w:rPr>
    </w:lvl>
    <w:lvl w:ilvl="5" w:tplc="3B0A65BE">
      <w:start w:val="1"/>
      <w:numFmt w:val="bullet"/>
      <w:lvlText w:val=""/>
      <w:lvlJc w:val="left"/>
      <w:pPr>
        <w:ind w:left="4320" w:hanging="360"/>
      </w:pPr>
      <w:rPr>
        <w:rFonts w:ascii="Wingdings" w:hAnsi="Wingdings" w:hint="default"/>
      </w:rPr>
    </w:lvl>
    <w:lvl w:ilvl="6" w:tplc="B198A264">
      <w:start w:val="1"/>
      <w:numFmt w:val="bullet"/>
      <w:lvlText w:val=""/>
      <w:lvlJc w:val="left"/>
      <w:pPr>
        <w:ind w:left="5040" w:hanging="360"/>
      </w:pPr>
      <w:rPr>
        <w:rFonts w:ascii="Symbol" w:hAnsi="Symbol" w:hint="default"/>
      </w:rPr>
    </w:lvl>
    <w:lvl w:ilvl="7" w:tplc="7BDAE39C">
      <w:start w:val="1"/>
      <w:numFmt w:val="bullet"/>
      <w:lvlText w:val="o"/>
      <w:lvlJc w:val="left"/>
      <w:pPr>
        <w:ind w:left="5760" w:hanging="360"/>
      </w:pPr>
      <w:rPr>
        <w:rFonts w:ascii="Courier New" w:hAnsi="Courier New" w:hint="default"/>
      </w:rPr>
    </w:lvl>
    <w:lvl w:ilvl="8" w:tplc="9B3019B4">
      <w:start w:val="1"/>
      <w:numFmt w:val="bullet"/>
      <w:lvlText w:val=""/>
      <w:lvlJc w:val="left"/>
      <w:pPr>
        <w:ind w:left="6480" w:hanging="360"/>
      </w:pPr>
      <w:rPr>
        <w:rFonts w:ascii="Wingdings" w:hAnsi="Wingdings" w:hint="default"/>
      </w:rPr>
    </w:lvl>
  </w:abstractNum>
  <w:abstractNum w:abstractNumId="17"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91389166">
    <w:abstractNumId w:val="6"/>
  </w:num>
  <w:num w:numId="2" w16cid:durableId="2096513003">
    <w:abstractNumId w:val="7"/>
  </w:num>
  <w:num w:numId="3" w16cid:durableId="522402421">
    <w:abstractNumId w:val="16"/>
  </w:num>
  <w:num w:numId="4" w16cid:durableId="591471194">
    <w:abstractNumId w:val="12"/>
  </w:num>
  <w:num w:numId="5" w16cid:durableId="184707899">
    <w:abstractNumId w:val="3"/>
  </w:num>
  <w:num w:numId="6" w16cid:durableId="1973512546">
    <w:abstractNumId w:val="8"/>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7" w16cid:durableId="1207523348">
    <w:abstractNumId w:val="0"/>
  </w:num>
  <w:num w:numId="8" w16cid:durableId="2140415403">
    <w:abstractNumId w:val="5"/>
  </w:num>
  <w:num w:numId="9" w16cid:durableId="972640387">
    <w:abstractNumId w:val="10"/>
  </w:num>
  <w:num w:numId="10" w16cid:durableId="2097700708">
    <w:abstractNumId w:val="13"/>
  </w:num>
  <w:num w:numId="11" w16cid:durableId="1066148932">
    <w:abstractNumId w:val="4"/>
  </w:num>
  <w:num w:numId="12" w16cid:durableId="793641813">
    <w:abstractNumId w:val="1"/>
  </w:num>
  <w:num w:numId="13" w16cid:durableId="627130164">
    <w:abstractNumId w:val="17"/>
  </w:num>
  <w:num w:numId="14" w16cid:durableId="565723387">
    <w:abstractNumId w:val="15"/>
  </w:num>
  <w:num w:numId="15" w16cid:durableId="1241257988">
    <w:abstractNumId w:val="9"/>
  </w:num>
  <w:num w:numId="16" w16cid:durableId="985545231">
    <w:abstractNumId w:val="2"/>
  </w:num>
  <w:num w:numId="17" w16cid:durableId="1195848526">
    <w:abstractNumId w:val="14"/>
  </w:num>
  <w:num w:numId="18" w16cid:durableId="33673734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04AC3"/>
    <w:rsid w:val="000108C7"/>
    <w:rsid w:val="00011A31"/>
    <w:rsid w:val="00013234"/>
    <w:rsid w:val="00014F60"/>
    <w:rsid w:val="00020658"/>
    <w:rsid w:val="00023355"/>
    <w:rsid w:val="0002343E"/>
    <w:rsid w:val="00023E1C"/>
    <w:rsid w:val="0002452D"/>
    <w:rsid w:val="000254A8"/>
    <w:rsid w:val="00025ECA"/>
    <w:rsid w:val="00030C01"/>
    <w:rsid w:val="00032481"/>
    <w:rsid w:val="00032ABF"/>
    <w:rsid w:val="0003345F"/>
    <w:rsid w:val="00033AD5"/>
    <w:rsid w:val="00036B19"/>
    <w:rsid w:val="00042A25"/>
    <w:rsid w:val="00047198"/>
    <w:rsid w:val="00047BB8"/>
    <w:rsid w:val="00053891"/>
    <w:rsid w:val="000561AB"/>
    <w:rsid w:val="00060F5D"/>
    <w:rsid w:val="0006190C"/>
    <w:rsid w:val="00062058"/>
    <w:rsid w:val="0006228D"/>
    <w:rsid w:val="00062824"/>
    <w:rsid w:val="000630EA"/>
    <w:rsid w:val="00064AEF"/>
    <w:rsid w:val="00070C97"/>
    <w:rsid w:val="00071842"/>
    <w:rsid w:val="00076C0A"/>
    <w:rsid w:val="00080B4B"/>
    <w:rsid w:val="00084F88"/>
    <w:rsid w:val="000934EE"/>
    <w:rsid w:val="000939DC"/>
    <w:rsid w:val="00093BD7"/>
    <w:rsid w:val="00095E3C"/>
    <w:rsid w:val="000A3937"/>
    <w:rsid w:val="000A43D8"/>
    <w:rsid w:val="000A52A4"/>
    <w:rsid w:val="000A52BD"/>
    <w:rsid w:val="000A747F"/>
    <w:rsid w:val="000B3C81"/>
    <w:rsid w:val="000B5EFD"/>
    <w:rsid w:val="000B725E"/>
    <w:rsid w:val="000D070B"/>
    <w:rsid w:val="000D3A2C"/>
    <w:rsid w:val="000D6CA9"/>
    <w:rsid w:val="000E0239"/>
    <w:rsid w:val="000E1175"/>
    <w:rsid w:val="000E414E"/>
    <w:rsid w:val="000E4B57"/>
    <w:rsid w:val="000F0960"/>
    <w:rsid w:val="000F649E"/>
    <w:rsid w:val="000F6516"/>
    <w:rsid w:val="001022E5"/>
    <w:rsid w:val="001051DE"/>
    <w:rsid w:val="001071AB"/>
    <w:rsid w:val="00110D07"/>
    <w:rsid w:val="00110D4D"/>
    <w:rsid w:val="00111465"/>
    <w:rsid w:val="001117FF"/>
    <w:rsid w:val="00111942"/>
    <w:rsid w:val="00114CAB"/>
    <w:rsid w:val="00115896"/>
    <w:rsid w:val="00120FF6"/>
    <w:rsid w:val="001212E3"/>
    <w:rsid w:val="00121FAE"/>
    <w:rsid w:val="00122A43"/>
    <w:rsid w:val="00123D0E"/>
    <w:rsid w:val="00130D93"/>
    <w:rsid w:val="001313F1"/>
    <w:rsid w:val="00132BF3"/>
    <w:rsid w:val="001405C6"/>
    <w:rsid w:val="00143134"/>
    <w:rsid w:val="00144224"/>
    <w:rsid w:val="001465E1"/>
    <w:rsid w:val="00146649"/>
    <w:rsid w:val="0015041A"/>
    <w:rsid w:val="00152D31"/>
    <w:rsid w:val="001570B2"/>
    <w:rsid w:val="00157579"/>
    <w:rsid w:val="00157D11"/>
    <w:rsid w:val="001654DD"/>
    <w:rsid w:val="00166145"/>
    <w:rsid w:val="00167C8E"/>
    <w:rsid w:val="0017239B"/>
    <w:rsid w:val="001726BC"/>
    <w:rsid w:val="001731F0"/>
    <w:rsid w:val="001732C8"/>
    <w:rsid w:val="001736CF"/>
    <w:rsid w:val="001738E4"/>
    <w:rsid w:val="001740DC"/>
    <w:rsid w:val="001806A5"/>
    <w:rsid w:val="00180FC5"/>
    <w:rsid w:val="00181C7C"/>
    <w:rsid w:val="00182034"/>
    <w:rsid w:val="00184B1C"/>
    <w:rsid w:val="00185571"/>
    <w:rsid w:val="00185D2B"/>
    <w:rsid w:val="001920FD"/>
    <w:rsid w:val="00192663"/>
    <w:rsid w:val="001938F8"/>
    <w:rsid w:val="001941F1"/>
    <w:rsid w:val="00194B1F"/>
    <w:rsid w:val="001967E3"/>
    <w:rsid w:val="0019691E"/>
    <w:rsid w:val="00196EBC"/>
    <w:rsid w:val="001A510B"/>
    <w:rsid w:val="001A5CEE"/>
    <w:rsid w:val="001A6BD1"/>
    <w:rsid w:val="001B4F32"/>
    <w:rsid w:val="001B7D09"/>
    <w:rsid w:val="001C0422"/>
    <w:rsid w:val="001C0ED7"/>
    <w:rsid w:val="001C0F5E"/>
    <w:rsid w:val="001C1FF0"/>
    <w:rsid w:val="001C2159"/>
    <w:rsid w:val="001C6CE8"/>
    <w:rsid w:val="001D1A1F"/>
    <w:rsid w:val="001D1EEC"/>
    <w:rsid w:val="001D2655"/>
    <w:rsid w:val="001D4DFC"/>
    <w:rsid w:val="001E0423"/>
    <w:rsid w:val="001E0790"/>
    <w:rsid w:val="001E3B79"/>
    <w:rsid w:val="001E4456"/>
    <w:rsid w:val="001E59B8"/>
    <w:rsid w:val="001F55A8"/>
    <w:rsid w:val="002005CB"/>
    <w:rsid w:val="00207907"/>
    <w:rsid w:val="00211966"/>
    <w:rsid w:val="00214ED0"/>
    <w:rsid w:val="0021615A"/>
    <w:rsid w:val="0021701A"/>
    <w:rsid w:val="002207C8"/>
    <w:rsid w:val="00221F98"/>
    <w:rsid w:val="00224B24"/>
    <w:rsid w:val="002260CD"/>
    <w:rsid w:val="00231F33"/>
    <w:rsid w:val="00233043"/>
    <w:rsid w:val="00233745"/>
    <w:rsid w:val="00233B89"/>
    <w:rsid w:val="00233D1F"/>
    <w:rsid w:val="002347DB"/>
    <w:rsid w:val="002401F8"/>
    <w:rsid w:val="00241282"/>
    <w:rsid w:val="00241AEC"/>
    <w:rsid w:val="00243D62"/>
    <w:rsid w:val="0024692C"/>
    <w:rsid w:val="00255409"/>
    <w:rsid w:val="00263134"/>
    <w:rsid w:val="002635C1"/>
    <w:rsid w:val="00265168"/>
    <w:rsid w:val="002668C5"/>
    <w:rsid w:val="00277F38"/>
    <w:rsid w:val="00286636"/>
    <w:rsid w:val="0028667E"/>
    <w:rsid w:val="00286E18"/>
    <w:rsid w:val="00291026"/>
    <w:rsid w:val="00291199"/>
    <w:rsid w:val="00291B41"/>
    <w:rsid w:val="00292112"/>
    <w:rsid w:val="00292332"/>
    <w:rsid w:val="00296454"/>
    <w:rsid w:val="0029BE69"/>
    <w:rsid w:val="002A05FD"/>
    <w:rsid w:val="002A2E05"/>
    <w:rsid w:val="002B142E"/>
    <w:rsid w:val="002B1CEC"/>
    <w:rsid w:val="002B3D55"/>
    <w:rsid w:val="002B5E0B"/>
    <w:rsid w:val="002B66FC"/>
    <w:rsid w:val="002C0419"/>
    <w:rsid w:val="002C271A"/>
    <w:rsid w:val="002C2B0B"/>
    <w:rsid w:val="002C3D86"/>
    <w:rsid w:val="002C55A3"/>
    <w:rsid w:val="002C5BB5"/>
    <w:rsid w:val="002C6589"/>
    <w:rsid w:val="002C76B8"/>
    <w:rsid w:val="002D0160"/>
    <w:rsid w:val="002D1BD8"/>
    <w:rsid w:val="002D204C"/>
    <w:rsid w:val="002D40D4"/>
    <w:rsid w:val="002D5367"/>
    <w:rsid w:val="002D65C1"/>
    <w:rsid w:val="002E5947"/>
    <w:rsid w:val="003035A0"/>
    <w:rsid w:val="00303DAD"/>
    <w:rsid w:val="003078AD"/>
    <w:rsid w:val="00311C51"/>
    <w:rsid w:val="00320D61"/>
    <w:rsid w:val="00321CE8"/>
    <w:rsid w:val="0032451B"/>
    <w:rsid w:val="00337E41"/>
    <w:rsid w:val="00340B11"/>
    <w:rsid w:val="00342E0D"/>
    <w:rsid w:val="00342EE3"/>
    <w:rsid w:val="003434DC"/>
    <w:rsid w:val="0035094A"/>
    <w:rsid w:val="00351D1F"/>
    <w:rsid w:val="0035533C"/>
    <w:rsid w:val="003559E0"/>
    <w:rsid w:val="00356CD5"/>
    <w:rsid w:val="00357EFB"/>
    <w:rsid w:val="00362F25"/>
    <w:rsid w:val="003635F3"/>
    <w:rsid w:val="00363748"/>
    <w:rsid w:val="00363AC5"/>
    <w:rsid w:val="00367BCB"/>
    <w:rsid w:val="00375F69"/>
    <w:rsid w:val="003832D0"/>
    <w:rsid w:val="0038431E"/>
    <w:rsid w:val="00385395"/>
    <w:rsid w:val="00395B26"/>
    <w:rsid w:val="003966A4"/>
    <w:rsid w:val="00397388"/>
    <w:rsid w:val="00397596"/>
    <w:rsid w:val="003A1165"/>
    <w:rsid w:val="003A1199"/>
    <w:rsid w:val="003A175D"/>
    <w:rsid w:val="003A39A7"/>
    <w:rsid w:val="003A5344"/>
    <w:rsid w:val="003A56C4"/>
    <w:rsid w:val="003B13C8"/>
    <w:rsid w:val="003B2E90"/>
    <w:rsid w:val="003B3953"/>
    <w:rsid w:val="003B47C4"/>
    <w:rsid w:val="003B4D7A"/>
    <w:rsid w:val="003B5E96"/>
    <w:rsid w:val="003B6983"/>
    <w:rsid w:val="003B77AC"/>
    <w:rsid w:val="003C22BA"/>
    <w:rsid w:val="003C49D9"/>
    <w:rsid w:val="003C67C1"/>
    <w:rsid w:val="003C7138"/>
    <w:rsid w:val="003D1652"/>
    <w:rsid w:val="003D3B01"/>
    <w:rsid w:val="003E1D16"/>
    <w:rsid w:val="003E240E"/>
    <w:rsid w:val="003E25B6"/>
    <w:rsid w:val="003E5B40"/>
    <w:rsid w:val="003E6BC5"/>
    <w:rsid w:val="003E7C40"/>
    <w:rsid w:val="003E7F91"/>
    <w:rsid w:val="003F0768"/>
    <w:rsid w:val="003F0D4A"/>
    <w:rsid w:val="003F1992"/>
    <w:rsid w:val="003F26DB"/>
    <w:rsid w:val="003F50C7"/>
    <w:rsid w:val="003F64D8"/>
    <w:rsid w:val="004016E0"/>
    <w:rsid w:val="004040C3"/>
    <w:rsid w:val="004045FC"/>
    <w:rsid w:val="00406625"/>
    <w:rsid w:val="004125B2"/>
    <w:rsid w:val="00415957"/>
    <w:rsid w:val="0042420F"/>
    <w:rsid w:val="004245BA"/>
    <w:rsid w:val="00425BCB"/>
    <w:rsid w:val="00426446"/>
    <w:rsid w:val="00433586"/>
    <w:rsid w:val="004352D5"/>
    <w:rsid w:val="004419E5"/>
    <w:rsid w:val="004516D6"/>
    <w:rsid w:val="0045376D"/>
    <w:rsid w:val="00453917"/>
    <w:rsid w:val="00455311"/>
    <w:rsid w:val="00456934"/>
    <w:rsid w:val="00472231"/>
    <w:rsid w:val="0047420F"/>
    <w:rsid w:val="004770C1"/>
    <w:rsid w:val="00482098"/>
    <w:rsid w:val="0048305F"/>
    <w:rsid w:val="004863D9"/>
    <w:rsid w:val="0048663A"/>
    <w:rsid w:val="00487D40"/>
    <w:rsid w:val="00492C62"/>
    <w:rsid w:val="0049489C"/>
    <w:rsid w:val="00495ED8"/>
    <w:rsid w:val="0049693E"/>
    <w:rsid w:val="004A4D8C"/>
    <w:rsid w:val="004A6F4A"/>
    <w:rsid w:val="004A79A7"/>
    <w:rsid w:val="004B066A"/>
    <w:rsid w:val="004B0782"/>
    <w:rsid w:val="004B0A3D"/>
    <w:rsid w:val="004B261A"/>
    <w:rsid w:val="004B50E8"/>
    <w:rsid w:val="004B521D"/>
    <w:rsid w:val="004B5D89"/>
    <w:rsid w:val="004B65F8"/>
    <w:rsid w:val="004B67DC"/>
    <w:rsid w:val="004B6C79"/>
    <w:rsid w:val="004B6D2E"/>
    <w:rsid w:val="004B71BB"/>
    <w:rsid w:val="004C0D93"/>
    <w:rsid w:val="004C4B04"/>
    <w:rsid w:val="004C4D0E"/>
    <w:rsid w:val="004C61C9"/>
    <w:rsid w:val="004C62B9"/>
    <w:rsid w:val="004C63A6"/>
    <w:rsid w:val="004C6E49"/>
    <w:rsid w:val="004C74CB"/>
    <w:rsid w:val="004D087D"/>
    <w:rsid w:val="004D0F90"/>
    <w:rsid w:val="004D24BF"/>
    <w:rsid w:val="004D3A41"/>
    <w:rsid w:val="004D5268"/>
    <w:rsid w:val="004D5639"/>
    <w:rsid w:val="004D7F19"/>
    <w:rsid w:val="004E07AF"/>
    <w:rsid w:val="004E09DA"/>
    <w:rsid w:val="004E1EA8"/>
    <w:rsid w:val="004E44A3"/>
    <w:rsid w:val="004E58A7"/>
    <w:rsid w:val="004E6A9A"/>
    <w:rsid w:val="004F5928"/>
    <w:rsid w:val="00502C90"/>
    <w:rsid w:val="005038E2"/>
    <w:rsid w:val="00504121"/>
    <w:rsid w:val="00513CEF"/>
    <w:rsid w:val="005147F8"/>
    <w:rsid w:val="00515C83"/>
    <w:rsid w:val="00516DD2"/>
    <w:rsid w:val="00521DF0"/>
    <w:rsid w:val="0052586E"/>
    <w:rsid w:val="00532660"/>
    <w:rsid w:val="00540FE4"/>
    <w:rsid w:val="0054247B"/>
    <w:rsid w:val="00546494"/>
    <w:rsid w:val="005474DA"/>
    <w:rsid w:val="005555B6"/>
    <w:rsid w:val="00562BCE"/>
    <w:rsid w:val="00563D0A"/>
    <w:rsid w:val="00563E7B"/>
    <w:rsid w:val="00564E1A"/>
    <w:rsid w:val="005740BF"/>
    <w:rsid w:val="00575300"/>
    <w:rsid w:val="005769A5"/>
    <w:rsid w:val="00580695"/>
    <w:rsid w:val="00580BA5"/>
    <w:rsid w:val="0058179C"/>
    <w:rsid w:val="00582565"/>
    <w:rsid w:val="00592D27"/>
    <w:rsid w:val="00593698"/>
    <w:rsid w:val="005A0879"/>
    <w:rsid w:val="005A251B"/>
    <w:rsid w:val="005A2D07"/>
    <w:rsid w:val="005A4BA9"/>
    <w:rsid w:val="005A6ACE"/>
    <w:rsid w:val="005A6B2D"/>
    <w:rsid w:val="005A7401"/>
    <w:rsid w:val="005A74CC"/>
    <w:rsid w:val="005B63DE"/>
    <w:rsid w:val="005C00ED"/>
    <w:rsid w:val="005C0C1B"/>
    <w:rsid w:val="005C686E"/>
    <w:rsid w:val="005C7508"/>
    <w:rsid w:val="005C7577"/>
    <w:rsid w:val="005D1A6D"/>
    <w:rsid w:val="005D3968"/>
    <w:rsid w:val="005D6BCE"/>
    <w:rsid w:val="005D6E3D"/>
    <w:rsid w:val="005D6ED1"/>
    <w:rsid w:val="005E1A6F"/>
    <w:rsid w:val="005E30AA"/>
    <w:rsid w:val="005E420F"/>
    <w:rsid w:val="005E463C"/>
    <w:rsid w:val="005E6D9A"/>
    <w:rsid w:val="005F194E"/>
    <w:rsid w:val="005F2E91"/>
    <w:rsid w:val="005F3E89"/>
    <w:rsid w:val="005F5347"/>
    <w:rsid w:val="005F626D"/>
    <w:rsid w:val="005F6B7D"/>
    <w:rsid w:val="00601204"/>
    <w:rsid w:val="00607A0C"/>
    <w:rsid w:val="00611578"/>
    <w:rsid w:val="0061202A"/>
    <w:rsid w:val="006121A7"/>
    <w:rsid w:val="00612DDB"/>
    <w:rsid w:val="00617989"/>
    <w:rsid w:val="006241E8"/>
    <w:rsid w:val="006248F2"/>
    <w:rsid w:val="00625D5C"/>
    <w:rsid w:val="00631C32"/>
    <w:rsid w:val="00633B56"/>
    <w:rsid w:val="00635C72"/>
    <w:rsid w:val="00636A86"/>
    <w:rsid w:val="006415F2"/>
    <w:rsid w:val="00642707"/>
    <w:rsid w:val="00643965"/>
    <w:rsid w:val="00650B58"/>
    <w:rsid w:val="00652143"/>
    <w:rsid w:val="00654C7E"/>
    <w:rsid w:val="0065710F"/>
    <w:rsid w:val="00657B21"/>
    <w:rsid w:val="00662030"/>
    <w:rsid w:val="0066373D"/>
    <w:rsid w:val="0066593E"/>
    <w:rsid w:val="006663BF"/>
    <w:rsid w:val="00666667"/>
    <w:rsid w:val="00667796"/>
    <w:rsid w:val="006715E8"/>
    <w:rsid w:val="00676916"/>
    <w:rsid w:val="006778D5"/>
    <w:rsid w:val="00681738"/>
    <w:rsid w:val="00681BA6"/>
    <w:rsid w:val="00684529"/>
    <w:rsid w:val="00685D79"/>
    <w:rsid w:val="00685DF1"/>
    <w:rsid w:val="006906C1"/>
    <w:rsid w:val="00693C1A"/>
    <w:rsid w:val="006A3853"/>
    <w:rsid w:val="006A3E27"/>
    <w:rsid w:val="006A6A2B"/>
    <w:rsid w:val="006B0EBD"/>
    <w:rsid w:val="006B5156"/>
    <w:rsid w:val="006C3C3E"/>
    <w:rsid w:val="006C3E7A"/>
    <w:rsid w:val="006C41A4"/>
    <w:rsid w:val="006C6D63"/>
    <w:rsid w:val="006D7770"/>
    <w:rsid w:val="006D7EA4"/>
    <w:rsid w:val="006E0627"/>
    <w:rsid w:val="006E5B48"/>
    <w:rsid w:val="006F0830"/>
    <w:rsid w:val="006F71FD"/>
    <w:rsid w:val="007016AA"/>
    <w:rsid w:val="00715A22"/>
    <w:rsid w:val="0072040F"/>
    <w:rsid w:val="00723F11"/>
    <w:rsid w:val="007242A2"/>
    <w:rsid w:val="00726B87"/>
    <w:rsid w:val="00730407"/>
    <w:rsid w:val="0073595B"/>
    <w:rsid w:val="00737673"/>
    <w:rsid w:val="00741B0F"/>
    <w:rsid w:val="00747CCD"/>
    <w:rsid w:val="0075014D"/>
    <w:rsid w:val="00751EE2"/>
    <w:rsid w:val="00753F5F"/>
    <w:rsid w:val="00760287"/>
    <w:rsid w:val="00763A3E"/>
    <w:rsid w:val="007657D5"/>
    <w:rsid w:val="00766C25"/>
    <w:rsid w:val="00771EC4"/>
    <w:rsid w:val="00774B57"/>
    <w:rsid w:val="007772FA"/>
    <w:rsid w:val="00781037"/>
    <w:rsid w:val="007866D9"/>
    <w:rsid w:val="00791A54"/>
    <w:rsid w:val="007959A3"/>
    <w:rsid w:val="00795EBE"/>
    <w:rsid w:val="00797644"/>
    <w:rsid w:val="007A3AB6"/>
    <w:rsid w:val="007A5A45"/>
    <w:rsid w:val="007A5B95"/>
    <w:rsid w:val="007B4705"/>
    <w:rsid w:val="007B5C96"/>
    <w:rsid w:val="007C0FF4"/>
    <w:rsid w:val="007C1670"/>
    <w:rsid w:val="007C32A3"/>
    <w:rsid w:val="007C4BDC"/>
    <w:rsid w:val="007C6102"/>
    <w:rsid w:val="007C77E0"/>
    <w:rsid w:val="007D128C"/>
    <w:rsid w:val="007D28F8"/>
    <w:rsid w:val="007D2B80"/>
    <w:rsid w:val="007E0317"/>
    <w:rsid w:val="007E05AF"/>
    <w:rsid w:val="007E20BB"/>
    <w:rsid w:val="007E26DC"/>
    <w:rsid w:val="007E3CE3"/>
    <w:rsid w:val="007E7D4C"/>
    <w:rsid w:val="007F0678"/>
    <w:rsid w:val="007F1274"/>
    <w:rsid w:val="007F1F90"/>
    <w:rsid w:val="007F1FA8"/>
    <w:rsid w:val="007F5BE9"/>
    <w:rsid w:val="007F6B6F"/>
    <w:rsid w:val="007F70B6"/>
    <w:rsid w:val="007FDA4B"/>
    <w:rsid w:val="0080013B"/>
    <w:rsid w:val="00803ACF"/>
    <w:rsid w:val="008133BE"/>
    <w:rsid w:val="008149E5"/>
    <w:rsid w:val="00815329"/>
    <w:rsid w:val="00816654"/>
    <w:rsid w:val="008200C9"/>
    <w:rsid w:val="00823531"/>
    <w:rsid w:val="00827CE7"/>
    <w:rsid w:val="008300B8"/>
    <w:rsid w:val="00831246"/>
    <w:rsid w:val="00831468"/>
    <w:rsid w:val="0083191B"/>
    <w:rsid w:val="0083418B"/>
    <w:rsid w:val="0083542D"/>
    <w:rsid w:val="008354D7"/>
    <w:rsid w:val="008355C4"/>
    <w:rsid w:val="00837F9B"/>
    <w:rsid w:val="008403BB"/>
    <w:rsid w:val="008415C4"/>
    <w:rsid w:val="00841607"/>
    <w:rsid w:val="00842AB1"/>
    <w:rsid w:val="00843CD1"/>
    <w:rsid w:val="008542C8"/>
    <w:rsid w:val="008544BC"/>
    <w:rsid w:val="0086178E"/>
    <w:rsid w:val="00872822"/>
    <w:rsid w:val="00873379"/>
    <w:rsid w:val="00876DFB"/>
    <w:rsid w:val="008929F7"/>
    <w:rsid w:val="00892BA3"/>
    <w:rsid w:val="008932DA"/>
    <w:rsid w:val="00893539"/>
    <w:rsid w:val="008935C4"/>
    <w:rsid w:val="008A04F6"/>
    <w:rsid w:val="008A2288"/>
    <w:rsid w:val="008A5626"/>
    <w:rsid w:val="008A5AED"/>
    <w:rsid w:val="008A6411"/>
    <w:rsid w:val="008B4820"/>
    <w:rsid w:val="008B50A9"/>
    <w:rsid w:val="008B5702"/>
    <w:rsid w:val="008B6561"/>
    <w:rsid w:val="008B768E"/>
    <w:rsid w:val="008C0D84"/>
    <w:rsid w:val="008C1129"/>
    <w:rsid w:val="008C2463"/>
    <w:rsid w:val="008C5023"/>
    <w:rsid w:val="008C540B"/>
    <w:rsid w:val="008D1671"/>
    <w:rsid w:val="008D2D52"/>
    <w:rsid w:val="008E2EFE"/>
    <w:rsid w:val="008E3E0B"/>
    <w:rsid w:val="008E5C0A"/>
    <w:rsid w:val="008E6FD8"/>
    <w:rsid w:val="008E7B00"/>
    <w:rsid w:val="008F1B81"/>
    <w:rsid w:val="008F1F2C"/>
    <w:rsid w:val="008F2CAA"/>
    <w:rsid w:val="008F513F"/>
    <w:rsid w:val="008F6F6D"/>
    <w:rsid w:val="0090012D"/>
    <w:rsid w:val="0090139F"/>
    <w:rsid w:val="00902F8C"/>
    <w:rsid w:val="00904176"/>
    <w:rsid w:val="009055B1"/>
    <w:rsid w:val="009055DE"/>
    <w:rsid w:val="009067AC"/>
    <w:rsid w:val="009121A2"/>
    <w:rsid w:val="009144E2"/>
    <w:rsid w:val="00917647"/>
    <w:rsid w:val="00917E5A"/>
    <w:rsid w:val="009211CA"/>
    <w:rsid w:val="00922796"/>
    <w:rsid w:val="00923302"/>
    <w:rsid w:val="009241D4"/>
    <w:rsid w:val="009258DF"/>
    <w:rsid w:val="00926815"/>
    <w:rsid w:val="00926F00"/>
    <w:rsid w:val="00931C89"/>
    <w:rsid w:val="009346B2"/>
    <w:rsid w:val="00934E80"/>
    <w:rsid w:val="009375FA"/>
    <w:rsid w:val="0094252E"/>
    <w:rsid w:val="00942792"/>
    <w:rsid w:val="00946AC3"/>
    <w:rsid w:val="00950987"/>
    <w:rsid w:val="00952142"/>
    <w:rsid w:val="00954299"/>
    <w:rsid w:val="00962848"/>
    <w:rsid w:val="00964218"/>
    <w:rsid w:val="0096793A"/>
    <w:rsid w:val="0097090F"/>
    <w:rsid w:val="00971F83"/>
    <w:rsid w:val="009750B9"/>
    <w:rsid w:val="00977CE3"/>
    <w:rsid w:val="009840EE"/>
    <w:rsid w:val="00985389"/>
    <w:rsid w:val="009872B3"/>
    <w:rsid w:val="00992A0B"/>
    <w:rsid w:val="0099310D"/>
    <w:rsid w:val="00994396"/>
    <w:rsid w:val="00994689"/>
    <w:rsid w:val="00994CF7"/>
    <w:rsid w:val="00996937"/>
    <w:rsid w:val="00996E67"/>
    <w:rsid w:val="009A26AC"/>
    <w:rsid w:val="009A4E42"/>
    <w:rsid w:val="009A5571"/>
    <w:rsid w:val="009A56C0"/>
    <w:rsid w:val="009A7361"/>
    <w:rsid w:val="009B461B"/>
    <w:rsid w:val="009B5D26"/>
    <w:rsid w:val="009C170F"/>
    <w:rsid w:val="009C1A05"/>
    <w:rsid w:val="009C248A"/>
    <w:rsid w:val="009C3D5A"/>
    <w:rsid w:val="009C5A1A"/>
    <w:rsid w:val="009C6295"/>
    <w:rsid w:val="009C6646"/>
    <w:rsid w:val="009D0FFC"/>
    <w:rsid w:val="009D312C"/>
    <w:rsid w:val="009D703E"/>
    <w:rsid w:val="009D7DE2"/>
    <w:rsid w:val="009E2306"/>
    <w:rsid w:val="009E3BF0"/>
    <w:rsid w:val="009E6848"/>
    <w:rsid w:val="009F143C"/>
    <w:rsid w:val="009F2FF0"/>
    <w:rsid w:val="009F3B11"/>
    <w:rsid w:val="009F4687"/>
    <w:rsid w:val="009F562E"/>
    <w:rsid w:val="009F617A"/>
    <w:rsid w:val="009F6502"/>
    <w:rsid w:val="009F69F0"/>
    <w:rsid w:val="009F6A0E"/>
    <w:rsid w:val="009F6BA3"/>
    <w:rsid w:val="00A0127D"/>
    <w:rsid w:val="00A03F4C"/>
    <w:rsid w:val="00A05C49"/>
    <w:rsid w:val="00A061E1"/>
    <w:rsid w:val="00A07A05"/>
    <w:rsid w:val="00A1402C"/>
    <w:rsid w:val="00A16C8D"/>
    <w:rsid w:val="00A230AB"/>
    <w:rsid w:val="00A2703C"/>
    <w:rsid w:val="00A316DA"/>
    <w:rsid w:val="00A32269"/>
    <w:rsid w:val="00A337FD"/>
    <w:rsid w:val="00A37A60"/>
    <w:rsid w:val="00A37F2A"/>
    <w:rsid w:val="00A414C4"/>
    <w:rsid w:val="00A51DBB"/>
    <w:rsid w:val="00A52D40"/>
    <w:rsid w:val="00A56F3D"/>
    <w:rsid w:val="00A58417"/>
    <w:rsid w:val="00A610B0"/>
    <w:rsid w:val="00A617BD"/>
    <w:rsid w:val="00A6277F"/>
    <w:rsid w:val="00A6340B"/>
    <w:rsid w:val="00A64706"/>
    <w:rsid w:val="00A67D99"/>
    <w:rsid w:val="00A71032"/>
    <w:rsid w:val="00A710D9"/>
    <w:rsid w:val="00A7398C"/>
    <w:rsid w:val="00A74793"/>
    <w:rsid w:val="00A758AE"/>
    <w:rsid w:val="00A76F07"/>
    <w:rsid w:val="00A82E12"/>
    <w:rsid w:val="00A83D42"/>
    <w:rsid w:val="00A83EE7"/>
    <w:rsid w:val="00A8420C"/>
    <w:rsid w:val="00A84D35"/>
    <w:rsid w:val="00A90CC9"/>
    <w:rsid w:val="00A9355B"/>
    <w:rsid w:val="00A9573C"/>
    <w:rsid w:val="00A9745F"/>
    <w:rsid w:val="00AA21AF"/>
    <w:rsid w:val="00AA7298"/>
    <w:rsid w:val="00AA732C"/>
    <w:rsid w:val="00AB0F58"/>
    <w:rsid w:val="00AB172E"/>
    <w:rsid w:val="00AB1C5F"/>
    <w:rsid w:val="00AB6D5E"/>
    <w:rsid w:val="00AB74A2"/>
    <w:rsid w:val="00AB76F3"/>
    <w:rsid w:val="00AC0660"/>
    <w:rsid w:val="00AC0F92"/>
    <w:rsid w:val="00AC24AB"/>
    <w:rsid w:val="00AC3F43"/>
    <w:rsid w:val="00AC6D8E"/>
    <w:rsid w:val="00AD4011"/>
    <w:rsid w:val="00AD52CF"/>
    <w:rsid w:val="00AD6106"/>
    <w:rsid w:val="00AD7D05"/>
    <w:rsid w:val="00AE098A"/>
    <w:rsid w:val="00AE1BDE"/>
    <w:rsid w:val="00AE485E"/>
    <w:rsid w:val="00AE4E5D"/>
    <w:rsid w:val="00AE6789"/>
    <w:rsid w:val="00AE767A"/>
    <w:rsid w:val="00AF0F74"/>
    <w:rsid w:val="00AF5278"/>
    <w:rsid w:val="00AF7F04"/>
    <w:rsid w:val="00B00345"/>
    <w:rsid w:val="00B17BA6"/>
    <w:rsid w:val="00B2018B"/>
    <w:rsid w:val="00B20929"/>
    <w:rsid w:val="00B23A96"/>
    <w:rsid w:val="00B24521"/>
    <w:rsid w:val="00B24625"/>
    <w:rsid w:val="00B24C8A"/>
    <w:rsid w:val="00B265C4"/>
    <w:rsid w:val="00B273E0"/>
    <w:rsid w:val="00B30195"/>
    <w:rsid w:val="00B34A5D"/>
    <w:rsid w:val="00B34F00"/>
    <w:rsid w:val="00B356F1"/>
    <w:rsid w:val="00B42178"/>
    <w:rsid w:val="00B423A3"/>
    <w:rsid w:val="00B428B3"/>
    <w:rsid w:val="00B42CAF"/>
    <w:rsid w:val="00B43A20"/>
    <w:rsid w:val="00B46C2C"/>
    <w:rsid w:val="00B46D80"/>
    <w:rsid w:val="00B50857"/>
    <w:rsid w:val="00B5412C"/>
    <w:rsid w:val="00B6429A"/>
    <w:rsid w:val="00B67580"/>
    <w:rsid w:val="00B67B69"/>
    <w:rsid w:val="00B720AF"/>
    <w:rsid w:val="00B7235D"/>
    <w:rsid w:val="00B753B1"/>
    <w:rsid w:val="00B771DB"/>
    <w:rsid w:val="00B814DB"/>
    <w:rsid w:val="00B83D84"/>
    <w:rsid w:val="00B85DC5"/>
    <w:rsid w:val="00B90930"/>
    <w:rsid w:val="00B92188"/>
    <w:rsid w:val="00B924A7"/>
    <w:rsid w:val="00B93020"/>
    <w:rsid w:val="00B9645B"/>
    <w:rsid w:val="00B97374"/>
    <w:rsid w:val="00BA05B6"/>
    <w:rsid w:val="00BA2D78"/>
    <w:rsid w:val="00BB0ED3"/>
    <w:rsid w:val="00BB1DA3"/>
    <w:rsid w:val="00BB2020"/>
    <w:rsid w:val="00BB71B9"/>
    <w:rsid w:val="00BB7844"/>
    <w:rsid w:val="00BB7DA1"/>
    <w:rsid w:val="00BC2F67"/>
    <w:rsid w:val="00BC31BF"/>
    <w:rsid w:val="00BC4F1C"/>
    <w:rsid w:val="00BC5403"/>
    <w:rsid w:val="00BD7E2C"/>
    <w:rsid w:val="00BE28AB"/>
    <w:rsid w:val="00BE2EC2"/>
    <w:rsid w:val="00BE3234"/>
    <w:rsid w:val="00BF1C70"/>
    <w:rsid w:val="00BF23BF"/>
    <w:rsid w:val="00BF35D5"/>
    <w:rsid w:val="00BF788A"/>
    <w:rsid w:val="00C00E06"/>
    <w:rsid w:val="00C01ADA"/>
    <w:rsid w:val="00C041CA"/>
    <w:rsid w:val="00C074F9"/>
    <w:rsid w:val="00C0B556"/>
    <w:rsid w:val="00C13DF0"/>
    <w:rsid w:val="00C2038C"/>
    <w:rsid w:val="00C23BC2"/>
    <w:rsid w:val="00C255AA"/>
    <w:rsid w:val="00C25F4F"/>
    <w:rsid w:val="00C26849"/>
    <w:rsid w:val="00C278AF"/>
    <w:rsid w:val="00C349A6"/>
    <w:rsid w:val="00C368B2"/>
    <w:rsid w:val="00C412D4"/>
    <w:rsid w:val="00C42FDB"/>
    <w:rsid w:val="00C45E00"/>
    <w:rsid w:val="00C516F4"/>
    <w:rsid w:val="00C51ABC"/>
    <w:rsid w:val="00C53252"/>
    <w:rsid w:val="00C60FFE"/>
    <w:rsid w:val="00C615AD"/>
    <w:rsid w:val="00C615CB"/>
    <w:rsid w:val="00C666E1"/>
    <w:rsid w:val="00C673D8"/>
    <w:rsid w:val="00C747A9"/>
    <w:rsid w:val="00C7516F"/>
    <w:rsid w:val="00C76A8D"/>
    <w:rsid w:val="00C772F6"/>
    <w:rsid w:val="00C819E3"/>
    <w:rsid w:val="00C83700"/>
    <w:rsid w:val="00C922C1"/>
    <w:rsid w:val="00C92536"/>
    <w:rsid w:val="00C9544D"/>
    <w:rsid w:val="00C96826"/>
    <w:rsid w:val="00CA154C"/>
    <w:rsid w:val="00CA42E9"/>
    <w:rsid w:val="00CB2948"/>
    <w:rsid w:val="00CB40D3"/>
    <w:rsid w:val="00CB662B"/>
    <w:rsid w:val="00CC0769"/>
    <w:rsid w:val="00CC2231"/>
    <w:rsid w:val="00CC3A47"/>
    <w:rsid w:val="00CD194F"/>
    <w:rsid w:val="00CD20D8"/>
    <w:rsid w:val="00CD541B"/>
    <w:rsid w:val="00CD58EF"/>
    <w:rsid w:val="00CD6889"/>
    <w:rsid w:val="00CD6BE7"/>
    <w:rsid w:val="00CE1B99"/>
    <w:rsid w:val="00CE232C"/>
    <w:rsid w:val="00CE2867"/>
    <w:rsid w:val="00CE33C8"/>
    <w:rsid w:val="00CE3F71"/>
    <w:rsid w:val="00CE65DC"/>
    <w:rsid w:val="00CE6FAF"/>
    <w:rsid w:val="00CF00CB"/>
    <w:rsid w:val="00CF3FFA"/>
    <w:rsid w:val="00CF5119"/>
    <w:rsid w:val="00D06C49"/>
    <w:rsid w:val="00D07634"/>
    <w:rsid w:val="00D07992"/>
    <w:rsid w:val="00D12879"/>
    <w:rsid w:val="00D12E60"/>
    <w:rsid w:val="00D1390A"/>
    <w:rsid w:val="00D15B16"/>
    <w:rsid w:val="00D17889"/>
    <w:rsid w:val="00D25F3E"/>
    <w:rsid w:val="00D3361B"/>
    <w:rsid w:val="00D33E9C"/>
    <w:rsid w:val="00D45D04"/>
    <w:rsid w:val="00D4654E"/>
    <w:rsid w:val="00D51034"/>
    <w:rsid w:val="00D52FA1"/>
    <w:rsid w:val="00D5792B"/>
    <w:rsid w:val="00D57D70"/>
    <w:rsid w:val="00D606FB"/>
    <w:rsid w:val="00D62A9D"/>
    <w:rsid w:val="00D636EF"/>
    <w:rsid w:val="00D727D3"/>
    <w:rsid w:val="00D7321D"/>
    <w:rsid w:val="00D77CC5"/>
    <w:rsid w:val="00D81D4C"/>
    <w:rsid w:val="00D82FBB"/>
    <w:rsid w:val="00D849CF"/>
    <w:rsid w:val="00D90268"/>
    <w:rsid w:val="00D9283A"/>
    <w:rsid w:val="00DA4333"/>
    <w:rsid w:val="00DA5744"/>
    <w:rsid w:val="00DB03D3"/>
    <w:rsid w:val="00DB1FE3"/>
    <w:rsid w:val="00DB23D0"/>
    <w:rsid w:val="00DB3141"/>
    <w:rsid w:val="00DB42DE"/>
    <w:rsid w:val="00DB7AEE"/>
    <w:rsid w:val="00DC282E"/>
    <w:rsid w:val="00DC5E04"/>
    <w:rsid w:val="00DD6353"/>
    <w:rsid w:val="00DD74C0"/>
    <w:rsid w:val="00DD7A64"/>
    <w:rsid w:val="00DDA060"/>
    <w:rsid w:val="00DE512D"/>
    <w:rsid w:val="00DF0797"/>
    <w:rsid w:val="00DF0B9C"/>
    <w:rsid w:val="00DF251E"/>
    <w:rsid w:val="00DF2F3C"/>
    <w:rsid w:val="00DF4B5A"/>
    <w:rsid w:val="00E04234"/>
    <w:rsid w:val="00E04FF7"/>
    <w:rsid w:val="00E06DA1"/>
    <w:rsid w:val="00E11D38"/>
    <w:rsid w:val="00E1294B"/>
    <w:rsid w:val="00E167DC"/>
    <w:rsid w:val="00E21E37"/>
    <w:rsid w:val="00E240F3"/>
    <w:rsid w:val="00E25A6C"/>
    <w:rsid w:val="00E269C8"/>
    <w:rsid w:val="00E27B24"/>
    <w:rsid w:val="00E342BD"/>
    <w:rsid w:val="00E347EA"/>
    <w:rsid w:val="00E34ADE"/>
    <w:rsid w:val="00E40529"/>
    <w:rsid w:val="00E44308"/>
    <w:rsid w:val="00E47605"/>
    <w:rsid w:val="00E534B7"/>
    <w:rsid w:val="00E554D6"/>
    <w:rsid w:val="00E55A77"/>
    <w:rsid w:val="00E56807"/>
    <w:rsid w:val="00E572CE"/>
    <w:rsid w:val="00E63159"/>
    <w:rsid w:val="00E655DA"/>
    <w:rsid w:val="00E711BB"/>
    <w:rsid w:val="00E71399"/>
    <w:rsid w:val="00E7196E"/>
    <w:rsid w:val="00E72F3A"/>
    <w:rsid w:val="00E772B1"/>
    <w:rsid w:val="00E77314"/>
    <w:rsid w:val="00E81374"/>
    <w:rsid w:val="00E861DC"/>
    <w:rsid w:val="00E86F26"/>
    <w:rsid w:val="00E878E1"/>
    <w:rsid w:val="00E900D4"/>
    <w:rsid w:val="00E90411"/>
    <w:rsid w:val="00E91014"/>
    <w:rsid w:val="00E91B49"/>
    <w:rsid w:val="00E91C07"/>
    <w:rsid w:val="00E94314"/>
    <w:rsid w:val="00E94AD7"/>
    <w:rsid w:val="00E96A26"/>
    <w:rsid w:val="00EA3F2E"/>
    <w:rsid w:val="00EA5900"/>
    <w:rsid w:val="00EA6A09"/>
    <w:rsid w:val="00EA6C8F"/>
    <w:rsid w:val="00EB0E11"/>
    <w:rsid w:val="00EB1A4E"/>
    <w:rsid w:val="00EC26EE"/>
    <w:rsid w:val="00EC6FB1"/>
    <w:rsid w:val="00EC71B1"/>
    <w:rsid w:val="00ED0342"/>
    <w:rsid w:val="00ED1776"/>
    <w:rsid w:val="00ED24F4"/>
    <w:rsid w:val="00ED2A39"/>
    <w:rsid w:val="00EE3AD6"/>
    <w:rsid w:val="00EE5990"/>
    <w:rsid w:val="00EE6EFB"/>
    <w:rsid w:val="00EE7DE4"/>
    <w:rsid w:val="00EF01B6"/>
    <w:rsid w:val="00EF20B6"/>
    <w:rsid w:val="00EF2800"/>
    <w:rsid w:val="00EF484C"/>
    <w:rsid w:val="00EF6696"/>
    <w:rsid w:val="00F00D34"/>
    <w:rsid w:val="00F01476"/>
    <w:rsid w:val="00F0260F"/>
    <w:rsid w:val="00F037EC"/>
    <w:rsid w:val="00F03804"/>
    <w:rsid w:val="00F03896"/>
    <w:rsid w:val="00F0483A"/>
    <w:rsid w:val="00F102A4"/>
    <w:rsid w:val="00F1048E"/>
    <w:rsid w:val="00F1183D"/>
    <w:rsid w:val="00F15B91"/>
    <w:rsid w:val="00F16D7A"/>
    <w:rsid w:val="00F21945"/>
    <w:rsid w:val="00F23FA2"/>
    <w:rsid w:val="00F30971"/>
    <w:rsid w:val="00F35C69"/>
    <w:rsid w:val="00F3C8CD"/>
    <w:rsid w:val="00F432FB"/>
    <w:rsid w:val="00F46BAF"/>
    <w:rsid w:val="00F52388"/>
    <w:rsid w:val="00F527D0"/>
    <w:rsid w:val="00F52989"/>
    <w:rsid w:val="00F53B7C"/>
    <w:rsid w:val="00F53E84"/>
    <w:rsid w:val="00F544D8"/>
    <w:rsid w:val="00F600CE"/>
    <w:rsid w:val="00F60E8F"/>
    <w:rsid w:val="00F61A1D"/>
    <w:rsid w:val="00F65CE8"/>
    <w:rsid w:val="00F663F8"/>
    <w:rsid w:val="00F70E05"/>
    <w:rsid w:val="00F76B83"/>
    <w:rsid w:val="00F77603"/>
    <w:rsid w:val="00F77885"/>
    <w:rsid w:val="00F8065B"/>
    <w:rsid w:val="00F807E9"/>
    <w:rsid w:val="00F83857"/>
    <w:rsid w:val="00F842BB"/>
    <w:rsid w:val="00F84E94"/>
    <w:rsid w:val="00F86953"/>
    <w:rsid w:val="00F928DD"/>
    <w:rsid w:val="00F929EC"/>
    <w:rsid w:val="00FA0133"/>
    <w:rsid w:val="00FA1BA3"/>
    <w:rsid w:val="00FA1F79"/>
    <w:rsid w:val="00FA2D55"/>
    <w:rsid w:val="00FA4803"/>
    <w:rsid w:val="00FA6835"/>
    <w:rsid w:val="00FA7914"/>
    <w:rsid w:val="00FA7DD0"/>
    <w:rsid w:val="00FB295C"/>
    <w:rsid w:val="00FB5A95"/>
    <w:rsid w:val="00FB9C35"/>
    <w:rsid w:val="00FC08E6"/>
    <w:rsid w:val="00FC28C1"/>
    <w:rsid w:val="00FC373F"/>
    <w:rsid w:val="00FC3B54"/>
    <w:rsid w:val="00FC53AE"/>
    <w:rsid w:val="00FC63CC"/>
    <w:rsid w:val="00FC6CCE"/>
    <w:rsid w:val="00FC7E30"/>
    <w:rsid w:val="00FD30C8"/>
    <w:rsid w:val="00FD3FAB"/>
    <w:rsid w:val="00FE6AAD"/>
    <w:rsid w:val="00FE7C9A"/>
    <w:rsid w:val="00FF5AE3"/>
    <w:rsid w:val="00FF6253"/>
    <w:rsid w:val="00FF65B6"/>
    <w:rsid w:val="00FF6E54"/>
    <w:rsid w:val="01121B2E"/>
    <w:rsid w:val="0118D7ED"/>
    <w:rsid w:val="012D7973"/>
    <w:rsid w:val="0135A326"/>
    <w:rsid w:val="016EB17B"/>
    <w:rsid w:val="0180B2A8"/>
    <w:rsid w:val="01A79645"/>
    <w:rsid w:val="01AC0E08"/>
    <w:rsid w:val="01AD35E3"/>
    <w:rsid w:val="01D9D00B"/>
    <w:rsid w:val="01F1448F"/>
    <w:rsid w:val="0217EDD9"/>
    <w:rsid w:val="021A2C9C"/>
    <w:rsid w:val="022B3A83"/>
    <w:rsid w:val="022B9625"/>
    <w:rsid w:val="0287597A"/>
    <w:rsid w:val="02A4F3D0"/>
    <w:rsid w:val="02B6D534"/>
    <w:rsid w:val="02D23EC9"/>
    <w:rsid w:val="02E68699"/>
    <w:rsid w:val="02EBBDAA"/>
    <w:rsid w:val="03129651"/>
    <w:rsid w:val="032FEB52"/>
    <w:rsid w:val="03416522"/>
    <w:rsid w:val="03803F93"/>
    <w:rsid w:val="03892687"/>
    <w:rsid w:val="03A9A928"/>
    <w:rsid w:val="0402CCC3"/>
    <w:rsid w:val="0409A065"/>
    <w:rsid w:val="041F5AED"/>
    <w:rsid w:val="042437AE"/>
    <w:rsid w:val="04329764"/>
    <w:rsid w:val="04459E35"/>
    <w:rsid w:val="04753DC9"/>
    <w:rsid w:val="04B58F0B"/>
    <w:rsid w:val="04D56C43"/>
    <w:rsid w:val="04F87969"/>
    <w:rsid w:val="04F992AC"/>
    <w:rsid w:val="05C8CBEE"/>
    <w:rsid w:val="05D4A8CF"/>
    <w:rsid w:val="05DB5891"/>
    <w:rsid w:val="061C23A3"/>
    <w:rsid w:val="06269FE4"/>
    <w:rsid w:val="062E3533"/>
    <w:rsid w:val="065423CB"/>
    <w:rsid w:val="06713CA4"/>
    <w:rsid w:val="0685786F"/>
    <w:rsid w:val="069D19C1"/>
    <w:rsid w:val="06C7184E"/>
    <w:rsid w:val="06FCFE7A"/>
    <w:rsid w:val="0708C492"/>
    <w:rsid w:val="0733FF62"/>
    <w:rsid w:val="07616EF7"/>
    <w:rsid w:val="07DA594F"/>
    <w:rsid w:val="07DDF2FF"/>
    <w:rsid w:val="07E40F01"/>
    <w:rsid w:val="07EFDACC"/>
    <w:rsid w:val="08098428"/>
    <w:rsid w:val="0884B110"/>
    <w:rsid w:val="090A1D49"/>
    <w:rsid w:val="0930B9C7"/>
    <w:rsid w:val="093C5062"/>
    <w:rsid w:val="09639B7F"/>
    <w:rsid w:val="09838490"/>
    <w:rsid w:val="09920CEE"/>
    <w:rsid w:val="09A58367"/>
    <w:rsid w:val="09A8DD66"/>
    <w:rsid w:val="09C508AB"/>
    <w:rsid w:val="09C54614"/>
    <w:rsid w:val="09CF907F"/>
    <w:rsid w:val="09E4E1F0"/>
    <w:rsid w:val="0A2034BA"/>
    <w:rsid w:val="0A3677DC"/>
    <w:rsid w:val="0A661D9D"/>
    <w:rsid w:val="0AA0A9F8"/>
    <w:rsid w:val="0ACC8A28"/>
    <w:rsid w:val="0ADBF6EE"/>
    <w:rsid w:val="0ADD509A"/>
    <w:rsid w:val="0AE5231D"/>
    <w:rsid w:val="0B7BE59A"/>
    <w:rsid w:val="0B8AE022"/>
    <w:rsid w:val="0B903F06"/>
    <w:rsid w:val="0BA642E6"/>
    <w:rsid w:val="0C03715F"/>
    <w:rsid w:val="0C24E269"/>
    <w:rsid w:val="0C3C2F1E"/>
    <w:rsid w:val="0C5A5C44"/>
    <w:rsid w:val="0C7855CD"/>
    <w:rsid w:val="0C8B0067"/>
    <w:rsid w:val="0C99F795"/>
    <w:rsid w:val="0CA596F4"/>
    <w:rsid w:val="0CE42320"/>
    <w:rsid w:val="0D36F04F"/>
    <w:rsid w:val="0D53138B"/>
    <w:rsid w:val="0D5BECED"/>
    <w:rsid w:val="0DA7B2D8"/>
    <w:rsid w:val="0DAE2F9D"/>
    <w:rsid w:val="0DB66B94"/>
    <w:rsid w:val="0E0FC185"/>
    <w:rsid w:val="0E3CF5CB"/>
    <w:rsid w:val="0EC47B31"/>
    <w:rsid w:val="0EC794B1"/>
    <w:rsid w:val="0EE597EF"/>
    <w:rsid w:val="0F092CE4"/>
    <w:rsid w:val="0F2A96B1"/>
    <w:rsid w:val="0F2FE3DD"/>
    <w:rsid w:val="0F644485"/>
    <w:rsid w:val="0F96235D"/>
    <w:rsid w:val="0F98A397"/>
    <w:rsid w:val="0FA00F42"/>
    <w:rsid w:val="0FA4B45A"/>
    <w:rsid w:val="0FC333BF"/>
    <w:rsid w:val="1022B549"/>
    <w:rsid w:val="103421F6"/>
    <w:rsid w:val="107AF3B4"/>
    <w:rsid w:val="109EDF84"/>
    <w:rsid w:val="109F317C"/>
    <w:rsid w:val="10BE5B30"/>
    <w:rsid w:val="10CFF45B"/>
    <w:rsid w:val="10DF539A"/>
    <w:rsid w:val="10E7A1F6"/>
    <w:rsid w:val="111203B1"/>
    <w:rsid w:val="1143E6FE"/>
    <w:rsid w:val="1154DAEB"/>
    <w:rsid w:val="1159F268"/>
    <w:rsid w:val="116AAFB4"/>
    <w:rsid w:val="116D7F37"/>
    <w:rsid w:val="11959146"/>
    <w:rsid w:val="11BA899B"/>
    <w:rsid w:val="11BE4841"/>
    <w:rsid w:val="12121E42"/>
    <w:rsid w:val="122F8E9F"/>
    <w:rsid w:val="1239C83C"/>
    <w:rsid w:val="12460198"/>
    <w:rsid w:val="1251A987"/>
    <w:rsid w:val="12520FC7"/>
    <w:rsid w:val="126DC8F0"/>
    <w:rsid w:val="12793655"/>
    <w:rsid w:val="127B23FB"/>
    <w:rsid w:val="127B7DF1"/>
    <w:rsid w:val="129B4B4F"/>
    <w:rsid w:val="129F3BCB"/>
    <w:rsid w:val="130C88EC"/>
    <w:rsid w:val="1344EC54"/>
    <w:rsid w:val="134583CC"/>
    <w:rsid w:val="134E3D44"/>
    <w:rsid w:val="13729BD9"/>
    <w:rsid w:val="13856F2D"/>
    <w:rsid w:val="13C71700"/>
    <w:rsid w:val="13CFD651"/>
    <w:rsid w:val="13DC496A"/>
    <w:rsid w:val="13EE544F"/>
    <w:rsid w:val="141506B6"/>
    <w:rsid w:val="1431953C"/>
    <w:rsid w:val="143D6619"/>
    <w:rsid w:val="143FC783"/>
    <w:rsid w:val="1466309E"/>
    <w:rsid w:val="14894C6B"/>
    <w:rsid w:val="1535ACE3"/>
    <w:rsid w:val="15A42434"/>
    <w:rsid w:val="15C2275B"/>
    <w:rsid w:val="160C2906"/>
    <w:rsid w:val="1622F043"/>
    <w:rsid w:val="168143C6"/>
    <w:rsid w:val="16AA3C9B"/>
    <w:rsid w:val="16B27ECA"/>
    <w:rsid w:val="16C69A2F"/>
    <w:rsid w:val="16CEEBF7"/>
    <w:rsid w:val="16DCAF38"/>
    <w:rsid w:val="16DE5B82"/>
    <w:rsid w:val="16EB7F4F"/>
    <w:rsid w:val="16F047EF"/>
    <w:rsid w:val="170D6B60"/>
    <w:rsid w:val="173FF495"/>
    <w:rsid w:val="17434B7F"/>
    <w:rsid w:val="1764C5CA"/>
    <w:rsid w:val="177506DB"/>
    <w:rsid w:val="1777F588"/>
    <w:rsid w:val="177DFF0B"/>
    <w:rsid w:val="17875181"/>
    <w:rsid w:val="1792E058"/>
    <w:rsid w:val="17BF3565"/>
    <w:rsid w:val="17C25F50"/>
    <w:rsid w:val="17D22D00"/>
    <w:rsid w:val="17D6F25D"/>
    <w:rsid w:val="1809AE41"/>
    <w:rsid w:val="1812779D"/>
    <w:rsid w:val="186E3EDA"/>
    <w:rsid w:val="18D594F0"/>
    <w:rsid w:val="1909D99F"/>
    <w:rsid w:val="1918182A"/>
    <w:rsid w:val="197D3FFA"/>
    <w:rsid w:val="199E29B1"/>
    <w:rsid w:val="19C77325"/>
    <w:rsid w:val="19EF346B"/>
    <w:rsid w:val="1A4F31D7"/>
    <w:rsid w:val="1A6A99EC"/>
    <w:rsid w:val="1A84483A"/>
    <w:rsid w:val="1AF39ABD"/>
    <w:rsid w:val="1AF63213"/>
    <w:rsid w:val="1B11F7B6"/>
    <w:rsid w:val="1B43C992"/>
    <w:rsid w:val="1B711B71"/>
    <w:rsid w:val="1B806706"/>
    <w:rsid w:val="1C22E831"/>
    <w:rsid w:val="1C4038E9"/>
    <w:rsid w:val="1C43AEAE"/>
    <w:rsid w:val="1C75B964"/>
    <w:rsid w:val="1C7C9CB0"/>
    <w:rsid w:val="1C903FFF"/>
    <w:rsid w:val="1CB1CD42"/>
    <w:rsid w:val="1CCB710F"/>
    <w:rsid w:val="1D20CF89"/>
    <w:rsid w:val="1D3F9F88"/>
    <w:rsid w:val="1D46C5BD"/>
    <w:rsid w:val="1D77F1C2"/>
    <w:rsid w:val="1DAE62E3"/>
    <w:rsid w:val="1DBBE8FC"/>
    <w:rsid w:val="1DEC1ABB"/>
    <w:rsid w:val="1DFC8742"/>
    <w:rsid w:val="1E08EA34"/>
    <w:rsid w:val="1E4E0050"/>
    <w:rsid w:val="1E6B1302"/>
    <w:rsid w:val="1E948BE5"/>
    <w:rsid w:val="1EA8208D"/>
    <w:rsid w:val="1EC4A95F"/>
    <w:rsid w:val="1EFCBD77"/>
    <w:rsid w:val="1F20863F"/>
    <w:rsid w:val="1F44D8B7"/>
    <w:rsid w:val="1F8641CC"/>
    <w:rsid w:val="1FA010C6"/>
    <w:rsid w:val="1FB33BD6"/>
    <w:rsid w:val="1FD26B1D"/>
    <w:rsid w:val="202D14C6"/>
    <w:rsid w:val="2039A261"/>
    <w:rsid w:val="20725674"/>
    <w:rsid w:val="2090B9AB"/>
    <w:rsid w:val="209DB5FA"/>
    <w:rsid w:val="20BA8D5E"/>
    <w:rsid w:val="20BADBF3"/>
    <w:rsid w:val="20E17DF9"/>
    <w:rsid w:val="20EDC0A2"/>
    <w:rsid w:val="214FFA91"/>
    <w:rsid w:val="216E3B7E"/>
    <w:rsid w:val="2177EBE9"/>
    <w:rsid w:val="2180349E"/>
    <w:rsid w:val="21807E51"/>
    <w:rsid w:val="21A1B6AA"/>
    <w:rsid w:val="21C3210C"/>
    <w:rsid w:val="21C598B1"/>
    <w:rsid w:val="21DD129D"/>
    <w:rsid w:val="21EC50AC"/>
    <w:rsid w:val="21F94A31"/>
    <w:rsid w:val="21FF55A5"/>
    <w:rsid w:val="222D381F"/>
    <w:rsid w:val="223E6E2E"/>
    <w:rsid w:val="2245DDD5"/>
    <w:rsid w:val="226942FE"/>
    <w:rsid w:val="22809686"/>
    <w:rsid w:val="229231E7"/>
    <w:rsid w:val="22DF2B51"/>
    <w:rsid w:val="23034AC1"/>
    <w:rsid w:val="230CC782"/>
    <w:rsid w:val="2314BAF1"/>
    <w:rsid w:val="23219D22"/>
    <w:rsid w:val="23321CAD"/>
    <w:rsid w:val="23C023B8"/>
    <w:rsid w:val="23D995A5"/>
    <w:rsid w:val="24266523"/>
    <w:rsid w:val="242EA10C"/>
    <w:rsid w:val="24635A39"/>
    <w:rsid w:val="2483EFEF"/>
    <w:rsid w:val="2497606D"/>
    <w:rsid w:val="24B08B52"/>
    <w:rsid w:val="24FDBE43"/>
    <w:rsid w:val="24FE6D35"/>
    <w:rsid w:val="25026687"/>
    <w:rsid w:val="25176072"/>
    <w:rsid w:val="25683D78"/>
    <w:rsid w:val="2598539D"/>
    <w:rsid w:val="25A675D1"/>
    <w:rsid w:val="25C32610"/>
    <w:rsid w:val="25CF4275"/>
    <w:rsid w:val="25D8586C"/>
    <w:rsid w:val="26015465"/>
    <w:rsid w:val="26167E1D"/>
    <w:rsid w:val="26385B59"/>
    <w:rsid w:val="26410CD1"/>
    <w:rsid w:val="265B3622"/>
    <w:rsid w:val="26620B23"/>
    <w:rsid w:val="26814338"/>
    <w:rsid w:val="26A0554A"/>
    <w:rsid w:val="26AC7C50"/>
    <w:rsid w:val="26C32019"/>
    <w:rsid w:val="26C63A27"/>
    <w:rsid w:val="26D8ECD8"/>
    <w:rsid w:val="26F0B7E6"/>
    <w:rsid w:val="270B81EA"/>
    <w:rsid w:val="27250985"/>
    <w:rsid w:val="273A5DD6"/>
    <w:rsid w:val="274EEE7D"/>
    <w:rsid w:val="275E05E5"/>
    <w:rsid w:val="27CF33B2"/>
    <w:rsid w:val="27EBFFD4"/>
    <w:rsid w:val="280EFC5E"/>
    <w:rsid w:val="283F5656"/>
    <w:rsid w:val="288CD263"/>
    <w:rsid w:val="288ECAA1"/>
    <w:rsid w:val="28A78E57"/>
    <w:rsid w:val="28BD5A9C"/>
    <w:rsid w:val="2908D0C5"/>
    <w:rsid w:val="290C75D6"/>
    <w:rsid w:val="292C8EF2"/>
    <w:rsid w:val="292D830A"/>
    <w:rsid w:val="298B4683"/>
    <w:rsid w:val="2A340D94"/>
    <w:rsid w:val="2A57A733"/>
    <w:rsid w:val="2A703401"/>
    <w:rsid w:val="2ABA0825"/>
    <w:rsid w:val="2AD392B7"/>
    <w:rsid w:val="2B16E0A9"/>
    <w:rsid w:val="2B1FD7A0"/>
    <w:rsid w:val="2B327D3B"/>
    <w:rsid w:val="2BCEC828"/>
    <w:rsid w:val="2BF4D53E"/>
    <w:rsid w:val="2C326794"/>
    <w:rsid w:val="2C7D56C3"/>
    <w:rsid w:val="2C836F3D"/>
    <w:rsid w:val="2C9AAD05"/>
    <w:rsid w:val="2D727A7C"/>
    <w:rsid w:val="2DAF602A"/>
    <w:rsid w:val="2DB55894"/>
    <w:rsid w:val="2DD3DEED"/>
    <w:rsid w:val="2DFADF5B"/>
    <w:rsid w:val="2E1046D3"/>
    <w:rsid w:val="2E18CD15"/>
    <w:rsid w:val="2E2EC2B1"/>
    <w:rsid w:val="2E4256F1"/>
    <w:rsid w:val="2E7EF377"/>
    <w:rsid w:val="2EACA75C"/>
    <w:rsid w:val="2ED606D1"/>
    <w:rsid w:val="2EDF12E3"/>
    <w:rsid w:val="2EE2550D"/>
    <w:rsid w:val="2F5128F5"/>
    <w:rsid w:val="2F7E3272"/>
    <w:rsid w:val="2FCD4D89"/>
    <w:rsid w:val="2FD06093"/>
    <w:rsid w:val="2FDA6D23"/>
    <w:rsid w:val="3026DEFD"/>
    <w:rsid w:val="302F48BB"/>
    <w:rsid w:val="304877BD"/>
    <w:rsid w:val="30A89EFC"/>
    <w:rsid w:val="30C34E33"/>
    <w:rsid w:val="30ED11BA"/>
    <w:rsid w:val="3103B19B"/>
    <w:rsid w:val="3103BD2E"/>
    <w:rsid w:val="3122E85B"/>
    <w:rsid w:val="31674D7B"/>
    <w:rsid w:val="31691DEA"/>
    <w:rsid w:val="31CCEE7C"/>
    <w:rsid w:val="31F346A9"/>
    <w:rsid w:val="32511583"/>
    <w:rsid w:val="32594F33"/>
    <w:rsid w:val="326B28D1"/>
    <w:rsid w:val="32C4937F"/>
    <w:rsid w:val="32C50380"/>
    <w:rsid w:val="32D059C2"/>
    <w:rsid w:val="32F30C1A"/>
    <w:rsid w:val="3313B3B4"/>
    <w:rsid w:val="33184257"/>
    <w:rsid w:val="3332CC41"/>
    <w:rsid w:val="333F2016"/>
    <w:rsid w:val="33608BA5"/>
    <w:rsid w:val="33853146"/>
    <w:rsid w:val="33A5A931"/>
    <w:rsid w:val="33CB2EEC"/>
    <w:rsid w:val="33D0FA4F"/>
    <w:rsid w:val="33E66BBD"/>
    <w:rsid w:val="3412297F"/>
    <w:rsid w:val="348747D3"/>
    <w:rsid w:val="3489D6D1"/>
    <w:rsid w:val="348C9788"/>
    <w:rsid w:val="348DE9C3"/>
    <w:rsid w:val="34D0639B"/>
    <w:rsid w:val="34E3E9B7"/>
    <w:rsid w:val="34EDFF38"/>
    <w:rsid w:val="34EF863D"/>
    <w:rsid w:val="34FFE8CC"/>
    <w:rsid w:val="35048F3E"/>
    <w:rsid w:val="35097E47"/>
    <w:rsid w:val="35794171"/>
    <w:rsid w:val="358DD2B9"/>
    <w:rsid w:val="35F8A7E0"/>
    <w:rsid w:val="364B5476"/>
    <w:rsid w:val="3658CA02"/>
    <w:rsid w:val="36888A0B"/>
    <w:rsid w:val="3696CF8A"/>
    <w:rsid w:val="36B54A24"/>
    <w:rsid w:val="36BC3A90"/>
    <w:rsid w:val="37218A39"/>
    <w:rsid w:val="373E8699"/>
    <w:rsid w:val="374FB423"/>
    <w:rsid w:val="375547E3"/>
    <w:rsid w:val="379EC951"/>
    <w:rsid w:val="37D7402E"/>
    <w:rsid w:val="38223B9A"/>
    <w:rsid w:val="3883BB61"/>
    <w:rsid w:val="389C6C83"/>
    <w:rsid w:val="38A1BA8A"/>
    <w:rsid w:val="38AD432C"/>
    <w:rsid w:val="38E4606E"/>
    <w:rsid w:val="38ECF47D"/>
    <w:rsid w:val="38EE05AF"/>
    <w:rsid w:val="38EE971D"/>
    <w:rsid w:val="39119C2D"/>
    <w:rsid w:val="392AC394"/>
    <w:rsid w:val="392C4C93"/>
    <w:rsid w:val="39541F16"/>
    <w:rsid w:val="39D01D78"/>
    <w:rsid w:val="3A018A54"/>
    <w:rsid w:val="3A1F8BC2"/>
    <w:rsid w:val="3A34AEF4"/>
    <w:rsid w:val="3A592AFB"/>
    <w:rsid w:val="3A921C91"/>
    <w:rsid w:val="3AC8E85D"/>
    <w:rsid w:val="3AEC89C0"/>
    <w:rsid w:val="3B23DE60"/>
    <w:rsid w:val="3B36F9FF"/>
    <w:rsid w:val="3B3BF067"/>
    <w:rsid w:val="3B4CCF8B"/>
    <w:rsid w:val="3B765C18"/>
    <w:rsid w:val="3B989558"/>
    <w:rsid w:val="3B9FA31A"/>
    <w:rsid w:val="3BAA0420"/>
    <w:rsid w:val="3BB073D9"/>
    <w:rsid w:val="3C05DC24"/>
    <w:rsid w:val="3C07D97A"/>
    <w:rsid w:val="3C1BC3E6"/>
    <w:rsid w:val="3C25A671"/>
    <w:rsid w:val="3C27E00B"/>
    <w:rsid w:val="3C32CF0E"/>
    <w:rsid w:val="3C4E3FBB"/>
    <w:rsid w:val="3C65F72B"/>
    <w:rsid w:val="3C762FDE"/>
    <w:rsid w:val="3C8410B6"/>
    <w:rsid w:val="3C8C7D6E"/>
    <w:rsid w:val="3CA86661"/>
    <w:rsid w:val="3CEC5234"/>
    <w:rsid w:val="3D03DB67"/>
    <w:rsid w:val="3D14E468"/>
    <w:rsid w:val="3D27FE5A"/>
    <w:rsid w:val="3D572C84"/>
    <w:rsid w:val="3D7E9144"/>
    <w:rsid w:val="3D8A0A9F"/>
    <w:rsid w:val="3DA1AC85"/>
    <w:rsid w:val="3DA64C7C"/>
    <w:rsid w:val="3DBC114E"/>
    <w:rsid w:val="3DDBDF64"/>
    <w:rsid w:val="3DDCA65D"/>
    <w:rsid w:val="3DE7398A"/>
    <w:rsid w:val="3DF4DBD3"/>
    <w:rsid w:val="3E284DCF"/>
    <w:rsid w:val="3E6EFF93"/>
    <w:rsid w:val="3E739129"/>
    <w:rsid w:val="3E7CD173"/>
    <w:rsid w:val="3EB9A906"/>
    <w:rsid w:val="3EF3180F"/>
    <w:rsid w:val="3F50E044"/>
    <w:rsid w:val="3F5D4733"/>
    <w:rsid w:val="3F9B9CAA"/>
    <w:rsid w:val="3FB062BF"/>
    <w:rsid w:val="3FC41E30"/>
    <w:rsid w:val="3FC76B0C"/>
    <w:rsid w:val="404B2369"/>
    <w:rsid w:val="406A18D5"/>
    <w:rsid w:val="4075787B"/>
    <w:rsid w:val="40836FF7"/>
    <w:rsid w:val="408EE870"/>
    <w:rsid w:val="40A340D0"/>
    <w:rsid w:val="40F59CAB"/>
    <w:rsid w:val="4102B0D9"/>
    <w:rsid w:val="411542AC"/>
    <w:rsid w:val="4154F223"/>
    <w:rsid w:val="41651E20"/>
    <w:rsid w:val="41872F3A"/>
    <w:rsid w:val="41F5A68B"/>
    <w:rsid w:val="421CA820"/>
    <w:rsid w:val="422E5331"/>
    <w:rsid w:val="42485B6D"/>
    <w:rsid w:val="4287D32E"/>
    <w:rsid w:val="428AA004"/>
    <w:rsid w:val="42A3D0DA"/>
    <w:rsid w:val="42DE7348"/>
    <w:rsid w:val="42FC3BDF"/>
    <w:rsid w:val="43165F60"/>
    <w:rsid w:val="43363D48"/>
    <w:rsid w:val="4361626B"/>
    <w:rsid w:val="4377CBD3"/>
    <w:rsid w:val="4378CF01"/>
    <w:rsid w:val="43AB9E60"/>
    <w:rsid w:val="43C10817"/>
    <w:rsid w:val="43C66E08"/>
    <w:rsid w:val="43C68932"/>
    <w:rsid w:val="43EFCC01"/>
    <w:rsid w:val="440EACDE"/>
    <w:rsid w:val="44120EDE"/>
    <w:rsid w:val="444BBA73"/>
    <w:rsid w:val="446DB11F"/>
    <w:rsid w:val="446F7C81"/>
    <w:rsid w:val="447A43A9"/>
    <w:rsid w:val="449545C6"/>
    <w:rsid w:val="44A55923"/>
    <w:rsid w:val="44E91D9F"/>
    <w:rsid w:val="44F3CCB1"/>
    <w:rsid w:val="44F5015F"/>
    <w:rsid w:val="44FFAAB3"/>
    <w:rsid w:val="45260B61"/>
    <w:rsid w:val="4546F772"/>
    <w:rsid w:val="457A75BB"/>
    <w:rsid w:val="4582C32C"/>
    <w:rsid w:val="4584AAFB"/>
    <w:rsid w:val="45B0DF2F"/>
    <w:rsid w:val="45DCD5FA"/>
    <w:rsid w:val="45E83663"/>
    <w:rsid w:val="4633DCA1"/>
    <w:rsid w:val="4637F4A5"/>
    <w:rsid w:val="46412984"/>
    <w:rsid w:val="46AE5515"/>
    <w:rsid w:val="46D24F8D"/>
    <w:rsid w:val="46F960A4"/>
    <w:rsid w:val="471DE691"/>
    <w:rsid w:val="473A0993"/>
    <w:rsid w:val="473F385F"/>
    <w:rsid w:val="474356AC"/>
    <w:rsid w:val="47B99D48"/>
    <w:rsid w:val="48028C53"/>
    <w:rsid w:val="48254750"/>
    <w:rsid w:val="48260EBA"/>
    <w:rsid w:val="4831C762"/>
    <w:rsid w:val="486DD4AC"/>
    <w:rsid w:val="4871CBC3"/>
    <w:rsid w:val="48A1CCB1"/>
    <w:rsid w:val="48D39667"/>
    <w:rsid w:val="48EE6992"/>
    <w:rsid w:val="4924C00C"/>
    <w:rsid w:val="4931FED4"/>
    <w:rsid w:val="495E65D9"/>
    <w:rsid w:val="496F3D21"/>
    <w:rsid w:val="49C10E39"/>
    <w:rsid w:val="49CD97C3"/>
    <w:rsid w:val="4A3D9D12"/>
    <w:rsid w:val="4A4023AC"/>
    <w:rsid w:val="4A6330D2"/>
    <w:rsid w:val="4A6598CC"/>
    <w:rsid w:val="4A65D0CD"/>
    <w:rsid w:val="4AAAF4E0"/>
    <w:rsid w:val="4AD77471"/>
    <w:rsid w:val="4B029134"/>
    <w:rsid w:val="4B0C746A"/>
    <w:rsid w:val="4B149AA7"/>
    <w:rsid w:val="4B314E23"/>
    <w:rsid w:val="4B5A01B7"/>
    <w:rsid w:val="4BA041F2"/>
    <w:rsid w:val="4BA138FE"/>
    <w:rsid w:val="4BA3195A"/>
    <w:rsid w:val="4BA4DDF6"/>
    <w:rsid w:val="4C00BE90"/>
    <w:rsid w:val="4C020123"/>
    <w:rsid w:val="4C1898CF"/>
    <w:rsid w:val="4C58C966"/>
    <w:rsid w:val="4C5B31DE"/>
    <w:rsid w:val="4C709D5F"/>
    <w:rsid w:val="4C75892B"/>
    <w:rsid w:val="4C8EB721"/>
    <w:rsid w:val="4CBD97C2"/>
    <w:rsid w:val="4CCEA73E"/>
    <w:rsid w:val="4CDD7322"/>
    <w:rsid w:val="4CDFC2E7"/>
    <w:rsid w:val="4D0302DE"/>
    <w:rsid w:val="4D1BCE69"/>
    <w:rsid w:val="4D3C1253"/>
    <w:rsid w:val="4D469431"/>
    <w:rsid w:val="4D5329DE"/>
    <w:rsid w:val="4D720AB0"/>
    <w:rsid w:val="4E080B40"/>
    <w:rsid w:val="4E1AA6DD"/>
    <w:rsid w:val="4E203683"/>
    <w:rsid w:val="4E42E99A"/>
    <w:rsid w:val="4E4C3B69"/>
    <w:rsid w:val="4E52E798"/>
    <w:rsid w:val="4E91A279"/>
    <w:rsid w:val="4E961C6B"/>
    <w:rsid w:val="4EDB7801"/>
    <w:rsid w:val="4EFFB632"/>
    <w:rsid w:val="4F6B1225"/>
    <w:rsid w:val="4FCF6CCA"/>
    <w:rsid w:val="4FE73B06"/>
    <w:rsid w:val="5038DD38"/>
    <w:rsid w:val="50538177"/>
    <w:rsid w:val="507D3CAF"/>
    <w:rsid w:val="508FF545"/>
    <w:rsid w:val="50ACDE96"/>
    <w:rsid w:val="50D41085"/>
    <w:rsid w:val="50E2F51C"/>
    <w:rsid w:val="51023CF7"/>
    <w:rsid w:val="5116D872"/>
    <w:rsid w:val="5122B37C"/>
    <w:rsid w:val="51506315"/>
    <w:rsid w:val="51A12EEA"/>
    <w:rsid w:val="51B92ADF"/>
    <w:rsid w:val="51C121BB"/>
    <w:rsid w:val="51C9433B"/>
    <w:rsid w:val="51EB1E07"/>
    <w:rsid w:val="51FE1F46"/>
    <w:rsid w:val="52668862"/>
    <w:rsid w:val="526EFC26"/>
    <w:rsid w:val="52950D7B"/>
    <w:rsid w:val="52A88D31"/>
    <w:rsid w:val="52AD4234"/>
    <w:rsid w:val="52BB6B3A"/>
    <w:rsid w:val="532787F9"/>
    <w:rsid w:val="532C832A"/>
    <w:rsid w:val="53343BB3"/>
    <w:rsid w:val="533D63F2"/>
    <w:rsid w:val="5344872F"/>
    <w:rsid w:val="53517D86"/>
    <w:rsid w:val="539D7B7C"/>
    <w:rsid w:val="53E47F58"/>
    <w:rsid w:val="54084CB0"/>
    <w:rsid w:val="5415D505"/>
    <w:rsid w:val="5443B937"/>
    <w:rsid w:val="545F50D8"/>
    <w:rsid w:val="546B3BF1"/>
    <w:rsid w:val="547EF7F3"/>
    <w:rsid w:val="549FA7BA"/>
    <w:rsid w:val="54B092CB"/>
    <w:rsid w:val="54BB796A"/>
    <w:rsid w:val="54CA5701"/>
    <w:rsid w:val="54DC2394"/>
    <w:rsid w:val="550EE8A9"/>
    <w:rsid w:val="5535DE63"/>
    <w:rsid w:val="5545D485"/>
    <w:rsid w:val="55527A19"/>
    <w:rsid w:val="555F3E0C"/>
    <w:rsid w:val="5574DB44"/>
    <w:rsid w:val="55804FB9"/>
    <w:rsid w:val="55E473C6"/>
    <w:rsid w:val="55F95D50"/>
    <w:rsid w:val="5612127B"/>
    <w:rsid w:val="56DA610C"/>
    <w:rsid w:val="57133228"/>
    <w:rsid w:val="571C201A"/>
    <w:rsid w:val="574A7B0B"/>
    <w:rsid w:val="574C880F"/>
    <w:rsid w:val="57E6D5C5"/>
    <w:rsid w:val="582A06C5"/>
    <w:rsid w:val="5840F362"/>
    <w:rsid w:val="58A2B079"/>
    <w:rsid w:val="58A60412"/>
    <w:rsid w:val="58B1C041"/>
    <w:rsid w:val="58E0D29C"/>
    <w:rsid w:val="58F4F0C8"/>
    <w:rsid w:val="59051CD8"/>
    <w:rsid w:val="594ABDE7"/>
    <w:rsid w:val="59733783"/>
    <w:rsid w:val="597AB912"/>
    <w:rsid w:val="59CAA14B"/>
    <w:rsid w:val="5A02A173"/>
    <w:rsid w:val="5A07602B"/>
    <w:rsid w:val="5A09312B"/>
    <w:rsid w:val="5A2DDC80"/>
    <w:rsid w:val="5AAFAB02"/>
    <w:rsid w:val="5AC04C61"/>
    <w:rsid w:val="5AC91350"/>
    <w:rsid w:val="5AE332BB"/>
    <w:rsid w:val="5AEDB185"/>
    <w:rsid w:val="5B288FDF"/>
    <w:rsid w:val="5B38DEFE"/>
    <w:rsid w:val="5B53AFAE"/>
    <w:rsid w:val="5B5DD62F"/>
    <w:rsid w:val="5B6671AC"/>
    <w:rsid w:val="5BA69523"/>
    <w:rsid w:val="5BEA073D"/>
    <w:rsid w:val="5C05819F"/>
    <w:rsid w:val="5C23A066"/>
    <w:rsid w:val="5C47B033"/>
    <w:rsid w:val="5C721FF1"/>
    <w:rsid w:val="5CBC037B"/>
    <w:rsid w:val="5CDA7A09"/>
    <w:rsid w:val="5D0CE304"/>
    <w:rsid w:val="5D480DC4"/>
    <w:rsid w:val="5DE4CA10"/>
    <w:rsid w:val="5E081690"/>
    <w:rsid w:val="5E82D450"/>
    <w:rsid w:val="5E87228B"/>
    <w:rsid w:val="5E92BAD1"/>
    <w:rsid w:val="5ECD1999"/>
    <w:rsid w:val="5EEAAB5F"/>
    <w:rsid w:val="5EEB7C4D"/>
    <w:rsid w:val="5F628C37"/>
    <w:rsid w:val="5F65360B"/>
    <w:rsid w:val="5F7072AD"/>
    <w:rsid w:val="5F795F26"/>
    <w:rsid w:val="5F80C4CC"/>
    <w:rsid w:val="5FD9989F"/>
    <w:rsid w:val="5FF7F6AF"/>
    <w:rsid w:val="601EA4B1"/>
    <w:rsid w:val="602F900D"/>
    <w:rsid w:val="60745D64"/>
    <w:rsid w:val="6081F7CE"/>
    <w:rsid w:val="608450B1"/>
    <w:rsid w:val="609CFE29"/>
    <w:rsid w:val="60ADB4B0"/>
    <w:rsid w:val="60D8CA2A"/>
    <w:rsid w:val="60E0121D"/>
    <w:rsid w:val="60ECB1A7"/>
    <w:rsid w:val="61065324"/>
    <w:rsid w:val="613AAF31"/>
    <w:rsid w:val="613F3DF4"/>
    <w:rsid w:val="613FB752"/>
    <w:rsid w:val="61561195"/>
    <w:rsid w:val="61ADEB2C"/>
    <w:rsid w:val="61D4DCCF"/>
    <w:rsid w:val="61FBF5B5"/>
    <w:rsid w:val="6255D568"/>
    <w:rsid w:val="626EC408"/>
    <w:rsid w:val="629CD6CD"/>
    <w:rsid w:val="62A66B85"/>
    <w:rsid w:val="62A8136F"/>
    <w:rsid w:val="62AE2C4C"/>
    <w:rsid w:val="62DB87B3"/>
    <w:rsid w:val="62DB991F"/>
    <w:rsid w:val="63BB7E28"/>
    <w:rsid w:val="63C61787"/>
    <w:rsid w:val="641629E0"/>
    <w:rsid w:val="641D418A"/>
    <w:rsid w:val="644DD281"/>
    <w:rsid w:val="6490C992"/>
    <w:rsid w:val="649831D8"/>
    <w:rsid w:val="64A3ED5E"/>
    <w:rsid w:val="64A7082A"/>
    <w:rsid w:val="64CD5468"/>
    <w:rsid w:val="6539A2F4"/>
    <w:rsid w:val="65406C67"/>
    <w:rsid w:val="656B4303"/>
    <w:rsid w:val="656EFB90"/>
    <w:rsid w:val="65972406"/>
    <w:rsid w:val="65AC3B4D"/>
    <w:rsid w:val="65F1A25D"/>
    <w:rsid w:val="65F7C97B"/>
    <w:rsid w:val="6638D9A4"/>
    <w:rsid w:val="664E51E6"/>
    <w:rsid w:val="66534638"/>
    <w:rsid w:val="66B2C633"/>
    <w:rsid w:val="66B8BD78"/>
    <w:rsid w:val="66C50BB4"/>
    <w:rsid w:val="66E88E32"/>
    <w:rsid w:val="66FE33D7"/>
    <w:rsid w:val="67283130"/>
    <w:rsid w:val="67359868"/>
    <w:rsid w:val="678E6DFB"/>
    <w:rsid w:val="679606AE"/>
    <w:rsid w:val="679CA65A"/>
    <w:rsid w:val="679EEAFE"/>
    <w:rsid w:val="67C80918"/>
    <w:rsid w:val="67D723A8"/>
    <w:rsid w:val="6814DD34"/>
    <w:rsid w:val="682EA82F"/>
    <w:rsid w:val="6848E55B"/>
    <w:rsid w:val="685870AC"/>
    <w:rsid w:val="68620D8D"/>
    <w:rsid w:val="68C22194"/>
    <w:rsid w:val="68E29F04"/>
    <w:rsid w:val="6902EA9E"/>
    <w:rsid w:val="692825EA"/>
    <w:rsid w:val="692A3E5C"/>
    <w:rsid w:val="69594091"/>
    <w:rsid w:val="697BF3A8"/>
    <w:rsid w:val="699A7124"/>
    <w:rsid w:val="699D21CC"/>
    <w:rsid w:val="69D12A38"/>
    <w:rsid w:val="6A30F080"/>
    <w:rsid w:val="6A433DA1"/>
    <w:rsid w:val="6AA546C4"/>
    <w:rsid w:val="6ABE4970"/>
    <w:rsid w:val="6ACB3A9E"/>
    <w:rsid w:val="6AFB2520"/>
    <w:rsid w:val="6B26F628"/>
    <w:rsid w:val="6B61C0CF"/>
    <w:rsid w:val="6BA9B7AE"/>
    <w:rsid w:val="6BDF0E02"/>
    <w:rsid w:val="6C1AAC0D"/>
    <w:rsid w:val="6C24218D"/>
    <w:rsid w:val="6C389DBA"/>
    <w:rsid w:val="6C50A6C1"/>
    <w:rsid w:val="6C58E466"/>
    <w:rsid w:val="6C670AFF"/>
    <w:rsid w:val="6D1CA38F"/>
    <w:rsid w:val="6D987984"/>
    <w:rsid w:val="6DB546D9"/>
    <w:rsid w:val="6DB67C6E"/>
    <w:rsid w:val="6DC95BD0"/>
    <w:rsid w:val="6E2B0095"/>
    <w:rsid w:val="6E3CCDA5"/>
    <w:rsid w:val="6E48196E"/>
    <w:rsid w:val="6E63E00C"/>
    <w:rsid w:val="6E6ABD6A"/>
    <w:rsid w:val="6E73874C"/>
    <w:rsid w:val="6E7C16E2"/>
    <w:rsid w:val="6E977AAF"/>
    <w:rsid w:val="6EC69FFF"/>
    <w:rsid w:val="6F0A974C"/>
    <w:rsid w:val="6F2FF59F"/>
    <w:rsid w:val="6F628F7A"/>
    <w:rsid w:val="6F9EC4FD"/>
    <w:rsid w:val="6FB9175C"/>
    <w:rsid w:val="6FC6D0F6"/>
    <w:rsid w:val="6FD2D92C"/>
    <w:rsid w:val="6FD8716F"/>
    <w:rsid w:val="6FDD1DE7"/>
    <w:rsid w:val="7031D8EE"/>
    <w:rsid w:val="706C72F4"/>
    <w:rsid w:val="70883327"/>
    <w:rsid w:val="7088ACC4"/>
    <w:rsid w:val="70A0F0C5"/>
    <w:rsid w:val="70B8D174"/>
    <w:rsid w:val="70EE7B32"/>
    <w:rsid w:val="7169E8B1"/>
    <w:rsid w:val="716D97D9"/>
    <w:rsid w:val="716DDD30"/>
    <w:rsid w:val="717441D0"/>
    <w:rsid w:val="717ECC9C"/>
    <w:rsid w:val="71ED2AA0"/>
    <w:rsid w:val="720D2932"/>
    <w:rsid w:val="72232556"/>
    <w:rsid w:val="723F3919"/>
    <w:rsid w:val="7270FDC8"/>
    <w:rsid w:val="72BEA3F3"/>
    <w:rsid w:val="72FC4A9C"/>
    <w:rsid w:val="7309AD91"/>
    <w:rsid w:val="73101231"/>
    <w:rsid w:val="73390309"/>
    <w:rsid w:val="734F9121"/>
    <w:rsid w:val="735361E6"/>
    <w:rsid w:val="7367CCDD"/>
    <w:rsid w:val="73A4A574"/>
    <w:rsid w:val="73A999E7"/>
    <w:rsid w:val="73D160C9"/>
    <w:rsid w:val="73DA748A"/>
    <w:rsid w:val="741E68DF"/>
    <w:rsid w:val="7426268C"/>
    <w:rsid w:val="746445A9"/>
    <w:rsid w:val="746B1D7B"/>
    <w:rsid w:val="74913A75"/>
    <w:rsid w:val="74969568"/>
    <w:rsid w:val="74BD4AB5"/>
    <w:rsid w:val="753E5C1D"/>
    <w:rsid w:val="7557DCA3"/>
    <w:rsid w:val="756A9637"/>
    <w:rsid w:val="75A1DE24"/>
    <w:rsid w:val="75B80691"/>
    <w:rsid w:val="75F6FC84"/>
    <w:rsid w:val="7600160A"/>
    <w:rsid w:val="762762D4"/>
    <w:rsid w:val="7647A1D7"/>
    <w:rsid w:val="7647B2F3"/>
    <w:rsid w:val="764F29E2"/>
    <w:rsid w:val="768F79F9"/>
    <w:rsid w:val="76995FBD"/>
    <w:rsid w:val="769D1E63"/>
    <w:rsid w:val="76A6FC17"/>
    <w:rsid w:val="76B90041"/>
    <w:rsid w:val="76DC6C70"/>
    <w:rsid w:val="76E1CFB5"/>
    <w:rsid w:val="76EF9183"/>
    <w:rsid w:val="7701C819"/>
    <w:rsid w:val="7701C891"/>
    <w:rsid w:val="772E4609"/>
    <w:rsid w:val="7736DD8C"/>
    <w:rsid w:val="773B0784"/>
    <w:rsid w:val="77987C89"/>
    <w:rsid w:val="779BE66B"/>
    <w:rsid w:val="77CDFC7E"/>
    <w:rsid w:val="77D6A193"/>
    <w:rsid w:val="780D8F71"/>
    <w:rsid w:val="7830488D"/>
    <w:rsid w:val="787C962A"/>
    <w:rsid w:val="789FB736"/>
    <w:rsid w:val="78A2A33B"/>
    <w:rsid w:val="78B4D391"/>
    <w:rsid w:val="79606A45"/>
    <w:rsid w:val="7961B0A9"/>
    <w:rsid w:val="799985C1"/>
    <w:rsid w:val="79C8D298"/>
    <w:rsid w:val="79FF5C7F"/>
    <w:rsid w:val="7A008AE4"/>
    <w:rsid w:val="7A196F1E"/>
    <w:rsid w:val="7A2C5A9E"/>
    <w:rsid w:val="7A3A2664"/>
    <w:rsid w:val="7A3CA806"/>
    <w:rsid w:val="7A81052D"/>
    <w:rsid w:val="7AA6E18C"/>
    <w:rsid w:val="7AE4100C"/>
    <w:rsid w:val="7AEDB55B"/>
    <w:rsid w:val="7B0B52BA"/>
    <w:rsid w:val="7B0D4636"/>
    <w:rsid w:val="7B0F1736"/>
    <w:rsid w:val="7B15D7BD"/>
    <w:rsid w:val="7B23E975"/>
    <w:rsid w:val="7B4B1530"/>
    <w:rsid w:val="7B66CDA2"/>
    <w:rsid w:val="7BAE22BE"/>
    <w:rsid w:val="7BB6A6C1"/>
    <w:rsid w:val="7BEAD231"/>
    <w:rsid w:val="7C0E16C1"/>
    <w:rsid w:val="7C1AAF6E"/>
    <w:rsid w:val="7C48CD37"/>
    <w:rsid w:val="7C83B573"/>
    <w:rsid w:val="7C8C79CA"/>
    <w:rsid w:val="7CA91697"/>
    <w:rsid w:val="7CE1D6E5"/>
    <w:rsid w:val="7CEE7B20"/>
    <w:rsid w:val="7D10358C"/>
    <w:rsid w:val="7D376664"/>
    <w:rsid w:val="7D39C42B"/>
    <w:rsid w:val="7D57C95F"/>
    <w:rsid w:val="7D86A292"/>
    <w:rsid w:val="7D98EFB3"/>
    <w:rsid w:val="7E13FB82"/>
    <w:rsid w:val="7E1987A5"/>
    <w:rsid w:val="7E31DA79"/>
    <w:rsid w:val="7EC34F2C"/>
    <w:rsid w:val="7EE5C380"/>
    <w:rsid w:val="7EFEEAE2"/>
    <w:rsid w:val="7F0EA13A"/>
    <w:rsid w:val="7F293D05"/>
    <w:rsid w:val="7F2D970A"/>
    <w:rsid w:val="7F2FD27E"/>
    <w:rsid w:val="7F31F5ED"/>
    <w:rsid w:val="7F5B0C0F"/>
    <w:rsid w:val="7F77B6A8"/>
    <w:rsid w:val="7F7DF4C5"/>
    <w:rsid w:val="7FB79130"/>
    <w:rsid w:val="7FCF871A"/>
    <w:rsid w:val="7FE4E246"/>
    <w:rsid w:val="7FF9A4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4535"/>
  <w15:docId w15:val="{3BBE9C38-B6C3-4CD0-9B29-E2CFBFD3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58"/>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7"/>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8"/>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ind w:left="720"/>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5"/>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12"/>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4"/>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5"/>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7"/>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6"/>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8"/>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9"/>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10"/>
      </w:numPr>
    </w:pPr>
  </w:style>
  <w:style w:type="paragraph" w:customStyle="1" w:styleId="VSOL16BSUB">
    <w:name w:val="V SOL16B SUB"/>
    <w:basedOn w:val="Sump1bullet"/>
    <w:link w:val="VSOL16BSUBChar1"/>
    <w:qFormat/>
    <w:rsid w:val="00902F8C"/>
    <w:pPr>
      <w:numPr>
        <w:ilvl w:val="2"/>
        <w:numId w:val="11"/>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14"/>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3"/>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16"/>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17"/>
      </w:numPr>
      <w:ind w:left="1440"/>
    </w:pPr>
  </w:style>
  <w:style w:type="paragraph" w:customStyle="1" w:styleId="VSOL23L0">
    <w:name w:val="V SOL23 L"/>
    <w:basedOn w:val="ListParagraph"/>
    <w:link w:val="VSOL23LChar0"/>
    <w:qFormat/>
    <w:rsid w:val="00F928DD"/>
    <w:pPr>
      <w:numPr>
        <w:numId w:val="18"/>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character" w:styleId="FollowedHyperlink">
    <w:name w:val="FollowedHyperlink"/>
    <w:basedOn w:val="DefaultParagraphFont"/>
    <w:uiPriority w:val="99"/>
    <w:semiHidden/>
    <w:unhideWhenUsed/>
    <w:rsid w:val="00E53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virginia.gov/home/showpublisheddocument/49007/6382976323602700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doe.virginia.gov/teaching-learning-assessment/k-12-standards-instruction/mathematics/standards-of-learning/2023-mathematics-s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virginia.gov/home/showpublisheddocument/48570/6383079537749300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f6edea1-9d2e-49f8-b5b3-3e90d7018543">
      <UserInfo>
        <DisplayName>patricia.mck.parker</DisplayName>
        <AccountId>17</AccountId>
        <AccountType/>
      </UserInfo>
    </SharedWithUsers>
  </documentManagement>
</p:properties>
</file>

<file path=customXml/itemProps1.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2.xml><?xml version="1.0" encoding="utf-8"?>
<ds:datastoreItem xmlns:ds="http://schemas.openxmlformats.org/officeDocument/2006/customXml" ds:itemID="{4A5EFA48-720E-454B-9208-0C715B032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5.xml><?xml version="1.0" encoding="utf-8"?>
<ds:datastoreItem xmlns:ds="http://schemas.openxmlformats.org/officeDocument/2006/customXml" ds:itemID="{079393AB-ACB5-4557-B9D8-3E8927FB6FA6}">
  <ds:schemaRefs>
    <ds:schemaRef ds:uri="http://schemas.microsoft.com/office/2006/metadata/properties"/>
    <ds:schemaRef ds:uri="http://schemas.microsoft.com/office/infopath/2007/PartnerControls"/>
    <ds:schemaRef ds:uri="0f6edea1-9d2e-49f8-b5b3-3e90d701854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1965</Words>
  <Characters>11205</Characters>
  <Application>Microsoft Office Word</Application>
  <DocSecurity>0</DocSecurity>
  <Lines>93</Lines>
  <Paragraphs>26</Paragraphs>
  <ScaleCrop>false</ScaleCrop>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Delozier, Debra (DOE)</cp:lastModifiedBy>
  <cp:revision>2</cp:revision>
  <cp:lastPrinted>2023-06-08T07:33:00Z</cp:lastPrinted>
  <dcterms:created xsi:type="dcterms:W3CDTF">2023-09-28T14:34:00Z</dcterms:created>
  <dcterms:modified xsi:type="dcterms:W3CDTF">2023-09-28T14:34:00Z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