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3E23CD67" w:rsidR="00AD0966" w:rsidRDefault="001E412D" w:rsidP="40B254B5">
      <w:pPr>
        <w:pStyle w:val="Heading1"/>
        <w:ind w:left="2160" w:hanging="2160"/>
        <w:rPr>
          <w:rFonts w:asciiTheme="majorHAnsi" w:eastAsiaTheme="majorEastAsia" w:hAnsiTheme="majorHAnsi" w:cstheme="majorBidi"/>
        </w:rPr>
      </w:pPr>
      <w:bookmarkStart w:id="0" w:name="_v6h2tvc63wcj"/>
      <w:bookmarkEnd w:id="0"/>
      <w:r w:rsidRPr="40B254B5">
        <w:rPr>
          <w:rFonts w:asciiTheme="majorHAnsi" w:eastAsiaTheme="majorEastAsia" w:hAnsiTheme="majorHAnsi" w:cstheme="majorBidi"/>
        </w:rPr>
        <w:t>Agenda Item:</w:t>
      </w:r>
      <w:r w:rsidR="00DF63A5" w:rsidRPr="40B254B5">
        <w:rPr>
          <w:rFonts w:asciiTheme="majorHAnsi" w:eastAsiaTheme="majorEastAsia" w:hAnsiTheme="majorHAnsi" w:cstheme="majorBidi"/>
        </w:rPr>
        <w:t xml:space="preserve"> </w:t>
      </w:r>
      <w:r>
        <w:tab/>
      </w:r>
      <w:r w:rsidR="00A668E8" w:rsidRPr="40B254B5">
        <w:rPr>
          <w:rFonts w:asciiTheme="majorHAnsi" w:eastAsiaTheme="majorEastAsia" w:hAnsiTheme="majorHAnsi" w:cstheme="majorBidi"/>
        </w:rPr>
        <w:t>F</w:t>
      </w:r>
      <w:r>
        <w:tab/>
      </w:r>
    </w:p>
    <w:p w14:paraId="672A6659" w14:textId="77777777" w:rsidR="00AD0966" w:rsidRDefault="00AD0966" w:rsidP="40B254B5">
      <w:pPr>
        <w:ind w:left="2160" w:hanging="2160"/>
        <w:rPr>
          <w:rFonts w:asciiTheme="majorHAnsi" w:eastAsiaTheme="majorEastAsia" w:hAnsiTheme="majorHAnsi" w:cstheme="majorBidi"/>
          <w:b/>
          <w:bCs/>
        </w:rPr>
      </w:pPr>
    </w:p>
    <w:p w14:paraId="4C8BFC02" w14:textId="7E8BCB9F" w:rsidR="00AD0966" w:rsidRDefault="001E412D" w:rsidP="40B254B5">
      <w:pPr>
        <w:pStyle w:val="Heading2"/>
        <w:ind w:left="2160" w:hanging="2160"/>
        <w:rPr>
          <w:rFonts w:asciiTheme="majorHAnsi" w:eastAsiaTheme="majorEastAsia" w:hAnsiTheme="majorHAnsi" w:cstheme="majorBidi"/>
        </w:rPr>
      </w:pPr>
      <w:bookmarkStart w:id="1" w:name="_tehyq7yeo3rn"/>
      <w:bookmarkEnd w:id="1"/>
      <w:r w:rsidRPr="40B254B5">
        <w:rPr>
          <w:rFonts w:asciiTheme="majorHAnsi" w:eastAsiaTheme="majorEastAsia" w:hAnsiTheme="majorHAnsi" w:cstheme="majorBidi"/>
        </w:rPr>
        <w:t xml:space="preserve">Date: </w:t>
      </w:r>
      <w:r>
        <w:tab/>
      </w:r>
      <w:r w:rsidR="00910BA9" w:rsidRPr="40B254B5">
        <w:rPr>
          <w:rFonts w:asciiTheme="majorHAnsi" w:eastAsiaTheme="majorEastAsia" w:hAnsiTheme="majorHAnsi" w:cstheme="majorBidi"/>
        </w:rPr>
        <w:t>September 14, 2023</w:t>
      </w:r>
      <w:r>
        <w:tab/>
      </w:r>
    </w:p>
    <w:p w14:paraId="0A37501D" w14:textId="77777777" w:rsidR="00AD0966" w:rsidRDefault="00AD0966" w:rsidP="40B254B5">
      <w:pPr>
        <w:ind w:left="2160" w:hanging="2160"/>
        <w:rPr>
          <w:rFonts w:asciiTheme="majorHAnsi" w:eastAsiaTheme="majorEastAsia" w:hAnsiTheme="majorHAnsi" w:cstheme="majorBidi"/>
          <w:b/>
          <w:bCs/>
        </w:rPr>
      </w:pPr>
    </w:p>
    <w:p w14:paraId="3728E60B" w14:textId="39559A43" w:rsidR="00AD0966" w:rsidRDefault="001E412D" w:rsidP="002E1EBF">
      <w:pPr>
        <w:pStyle w:val="Heading2"/>
        <w:ind w:left="2160" w:hanging="2160"/>
        <w:rPr>
          <w:rFonts w:asciiTheme="majorHAnsi" w:eastAsiaTheme="majorEastAsia" w:hAnsiTheme="majorHAnsi" w:cstheme="majorBidi"/>
        </w:rPr>
      </w:pPr>
      <w:bookmarkStart w:id="2" w:name="_d0ckn4izyzin"/>
      <w:bookmarkEnd w:id="2"/>
      <w:r w:rsidRPr="40B254B5">
        <w:rPr>
          <w:rFonts w:asciiTheme="majorHAnsi" w:eastAsiaTheme="majorEastAsia" w:hAnsiTheme="majorHAnsi" w:cstheme="majorBidi"/>
        </w:rPr>
        <w:t>Title:</w:t>
      </w:r>
      <w:r w:rsidR="00910BA9" w:rsidRPr="40B254B5">
        <w:rPr>
          <w:rFonts w:asciiTheme="majorHAnsi" w:eastAsiaTheme="majorEastAsia" w:hAnsiTheme="majorHAnsi" w:cstheme="majorBidi"/>
        </w:rPr>
        <w:t xml:space="preserve"> </w:t>
      </w:r>
      <w:r>
        <w:tab/>
      </w:r>
      <w:r w:rsidR="00910BA9" w:rsidRPr="40B254B5">
        <w:rPr>
          <w:rFonts w:asciiTheme="majorHAnsi" w:eastAsiaTheme="majorEastAsia" w:hAnsiTheme="majorHAnsi" w:cstheme="majorBidi"/>
        </w:rPr>
        <w:t xml:space="preserve">First and Final Review of Accountability </w:t>
      </w:r>
      <w:r w:rsidR="00A668E8" w:rsidRPr="40B254B5">
        <w:rPr>
          <w:rFonts w:asciiTheme="majorHAnsi" w:eastAsiaTheme="majorEastAsia" w:hAnsiTheme="majorHAnsi" w:cstheme="majorBidi"/>
        </w:rPr>
        <w:t>Rating System</w:t>
      </w:r>
    </w:p>
    <w:p w14:paraId="5DAB6C7B" w14:textId="77777777" w:rsidR="00AD0966" w:rsidRDefault="00AD0966" w:rsidP="40B254B5">
      <w:pPr>
        <w:pStyle w:val="Heading2"/>
        <w:ind w:left="2160" w:hanging="2160"/>
        <w:rPr>
          <w:rFonts w:asciiTheme="majorHAnsi" w:eastAsiaTheme="majorEastAsia" w:hAnsiTheme="majorHAnsi" w:cstheme="majorBidi"/>
        </w:rPr>
      </w:pPr>
      <w:bookmarkStart w:id="3" w:name="_ckp6aa8djvis"/>
      <w:bookmarkEnd w:id="3"/>
    </w:p>
    <w:p w14:paraId="37E2EE6D" w14:textId="4CDB7DA9" w:rsidR="00AD0966" w:rsidRDefault="00D31432" w:rsidP="002E1EBF">
      <w:pPr>
        <w:pStyle w:val="Heading2"/>
        <w:ind w:left="2160" w:hanging="2160"/>
        <w:rPr>
          <w:rFonts w:asciiTheme="majorHAnsi" w:eastAsiaTheme="majorEastAsia" w:hAnsiTheme="majorHAnsi" w:cstheme="majorBidi"/>
        </w:rPr>
      </w:pPr>
      <w:bookmarkStart w:id="4" w:name="_k7s1zrg76o8l"/>
      <w:bookmarkEnd w:id="4"/>
      <w:r w:rsidRPr="40B254B5">
        <w:rPr>
          <w:rFonts w:asciiTheme="majorHAnsi" w:eastAsiaTheme="majorEastAsia" w:hAnsiTheme="majorHAnsi" w:cstheme="majorBidi"/>
        </w:rPr>
        <w:t>Staff Contact</w:t>
      </w:r>
      <w:r w:rsidR="001E412D" w:rsidRPr="40B254B5">
        <w:rPr>
          <w:rFonts w:asciiTheme="majorHAnsi" w:eastAsiaTheme="majorEastAsia" w:hAnsiTheme="majorHAnsi" w:cstheme="majorBidi"/>
        </w:rPr>
        <w:t xml:space="preserve">: </w:t>
      </w:r>
      <w:r>
        <w:tab/>
      </w:r>
      <w:r w:rsidR="002F0805" w:rsidRPr="40B254B5">
        <w:rPr>
          <w:rFonts w:asciiTheme="majorHAnsi" w:eastAsiaTheme="majorEastAsia" w:hAnsiTheme="majorHAnsi" w:cstheme="majorBidi"/>
        </w:rPr>
        <w:t>Katie Carroll</w:t>
      </w:r>
      <w:r w:rsidR="2D12CF52" w:rsidRPr="40B254B5">
        <w:rPr>
          <w:rFonts w:asciiTheme="majorHAnsi" w:eastAsiaTheme="majorEastAsia" w:hAnsiTheme="majorHAnsi" w:cstheme="majorBidi"/>
        </w:rPr>
        <w:t xml:space="preserve">, Deputy Superintendent of </w:t>
      </w:r>
      <w:r w:rsidR="0296F3D1" w:rsidRPr="40B254B5">
        <w:rPr>
          <w:rFonts w:asciiTheme="majorHAnsi" w:eastAsiaTheme="majorEastAsia" w:hAnsiTheme="majorHAnsi" w:cstheme="majorBidi"/>
        </w:rPr>
        <w:t>Student Performance and Support</w:t>
      </w:r>
    </w:p>
    <w:p w14:paraId="02EB378F" w14:textId="77777777" w:rsidR="00AD0966" w:rsidRDefault="00AD0966" w:rsidP="40B254B5">
      <w:pPr>
        <w:pStyle w:val="Heading2"/>
        <w:ind w:left="2160" w:hanging="2160"/>
        <w:rPr>
          <w:rFonts w:asciiTheme="majorHAnsi" w:eastAsiaTheme="majorEastAsia" w:hAnsiTheme="majorHAnsi" w:cstheme="majorBidi"/>
        </w:rPr>
      </w:pPr>
      <w:bookmarkStart w:id="5" w:name="_6qxna5iyurd3"/>
      <w:bookmarkEnd w:id="5"/>
    </w:p>
    <w:p w14:paraId="1CC5911D" w14:textId="5C53794E" w:rsidR="00AD0966" w:rsidRDefault="001E412D" w:rsidP="40B254B5">
      <w:pPr>
        <w:pStyle w:val="Heading2"/>
        <w:ind w:left="2160" w:hanging="2160"/>
        <w:rPr>
          <w:rFonts w:asciiTheme="majorHAnsi" w:eastAsiaTheme="majorEastAsia" w:hAnsiTheme="majorHAnsi" w:cstheme="majorBidi"/>
        </w:rPr>
      </w:pPr>
      <w:bookmarkStart w:id="6" w:name="_fsl9fl59q6tz"/>
      <w:bookmarkEnd w:id="6"/>
      <w:r w:rsidRPr="40B254B5">
        <w:rPr>
          <w:rFonts w:asciiTheme="majorHAnsi" w:eastAsiaTheme="majorEastAsia" w:hAnsiTheme="majorHAnsi" w:cstheme="majorBidi"/>
        </w:rPr>
        <w:t xml:space="preserve">Email: </w:t>
      </w:r>
      <w:r>
        <w:tab/>
      </w:r>
      <w:hyperlink r:id="rId8">
        <w:r w:rsidR="002F0805" w:rsidRPr="40B254B5">
          <w:rPr>
            <w:rStyle w:val="Hyperlink"/>
            <w:rFonts w:asciiTheme="majorHAnsi" w:eastAsiaTheme="majorEastAsia" w:hAnsiTheme="majorHAnsi" w:cstheme="majorBidi"/>
          </w:rPr>
          <w:t>Katie.Carroll@doe.virginia.gov</w:t>
        </w:r>
      </w:hyperlink>
      <w:r>
        <w:tab/>
      </w:r>
      <w:r w:rsidRPr="40B254B5">
        <w:rPr>
          <w:rFonts w:asciiTheme="majorHAnsi" w:eastAsiaTheme="majorEastAsia" w:hAnsiTheme="majorHAnsi" w:cstheme="majorBidi"/>
        </w:rPr>
        <w:t xml:space="preserve">Phone: </w:t>
      </w:r>
      <w:r w:rsidR="1E4B67D6" w:rsidRPr="40B254B5">
        <w:rPr>
          <w:rFonts w:asciiTheme="majorHAnsi" w:eastAsiaTheme="majorEastAsia" w:hAnsiTheme="majorHAnsi" w:cstheme="majorBidi"/>
        </w:rPr>
        <w:t>804-750-8160</w:t>
      </w:r>
    </w:p>
    <w:p w14:paraId="6A05A809" w14:textId="77777777" w:rsidR="00AD0966" w:rsidRDefault="00AD0966" w:rsidP="40B254B5">
      <w:pPr>
        <w:rPr>
          <w:rFonts w:asciiTheme="majorHAnsi" w:eastAsiaTheme="majorEastAsia" w:hAnsiTheme="majorHAnsi" w:cstheme="majorBidi"/>
        </w:rPr>
      </w:pPr>
    </w:p>
    <w:p w14:paraId="4A278986" w14:textId="68F9AA6E" w:rsidR="00AD0966" w:rsidRDefault="001E412D" w:rsidP="40B254B5">
      <w:pPr>
        <w:pStyle w:val="Heading2"/>
        <w:rPr>
          <w:rFonts w:asciiTheme="majorHAnsi" w:eastAsiaTheme="majorEastAsia" w:hAnsiTheme="majorHAnsi" w:cstheme="majorBidi"/>
        </w:rPr>
      </w:pPr>
      <w:bookmarkStart w:id="7" w:name="_augujpan37ee"/>
      <w:bookmarkEnd w:id="7"/>
      <w:r w:rsidRPr="40B254B5">
        <w:rPr>
          <w:rFonts w:asciiTheme="majorHAnsi" w:eastAsiaTheme="majorEastAsia" w:hAnsiTheme="majorHAnsi" w:cstheme="majorBidi"/>
        </w:rPr>
        <w:t xml:space="preserve">Purpose of Presentation </w:t>
      </w:r>
    </w:p>
    <w:p w14:paraId="1AA0E3BB" w14:textId="77777777" w:rsidR="002F0805" w:rsidRDefault="002F0805" w:rsidP="40B254B5">
      <w:pPr>
        <w:rPr>
          <w:rFonts w:asciiTheme="majorHAnsi" w:eastAsiaTheme="majorEastAsia" w:hAnsiTheme="majorHAnsi" w:cstheme="majorBidi"/>
        </w:rPr>
      </w:pPr>
      <w:r w:rsidRPr="40B254B5">
        <w:rPr>
          <w:rFonts w:asciiTheme="majorHAnsi" w:eastAsiaTheme="majorEastAsia" w:hAnsiTheme="majorHAnsi" w:cstheme="majorBidi"/>
        </w:rPr>
        <w:t xml:space="preserve">Action required by state or federal law or regulation (i.e., a change in law requires a change in program requirements; this is part of a regulatory action). </w:t>
      </w:r>
    </w:p>
    <w:p w14:paraId="5A39BBE3" w14:textId="77777777" w:rsidR="00AD0966" w:rsidRDefault="00AD0966" w:rsidP="40B254B5">
      <w:pPr>
        <w:rPr>
          <w:rFonts w:asciiTheme="majorHAnsi" w:eastAsiaTheme="majorEastAsia" w:hAnsiTheme="majorHAnsi" w:cstheme="majorBidi"/>
        </w:rPr>
      </w:pPr>
    </w:p>
    <w:p w14:paraId="51FFD37E" w14:textId="1EE09935" w:rsidR="00AD0966" w:rsidRDefault="001E412D" w:rsidP="40B254B5">
      <w:pPr>
        <w:pStyle w:val="Heading2"/>
        <w:spacing w:line="240" w:lineRule="auto"/>
        <w:rPr>
          <w:rFonts w:asciiTheme="majorHAnsi" w:eastAsiaTheme="majorEastAsia" w:hAnsiTheme="majorHAnsi" w:cstheme="majorBidi"/>
        </w:rPr>
      </w:pPr>
      <w:bookmarkStart w:id="8" w:name="_1ix2z9h4zl5e"/>
      <w:bookmarkEnd w:id="8"/>
      <w:r w:rsidRPr="40B254B5">
        <w:rPr>
          <w:rFonts w:asciiTheme="majorHAnsi" w:eastAsiaTheme="majorEastAsia" w:hAnsiTheme="majorHAnsi" w:cstheme="majorBidi"/>
        </w:rPr>
        <w:t>Executive Summary</w:t>
      </w:r>
    </w:p>
    <w:p w14:paraId="6C8E1C94" w14:textId="77777777" w:rsidR="0040179E" w:rsidRDefault="0040179E" w:rsidP="40B254B5">
      <w:pPr>
        <w:rPr>
          <w:rFonts w:asciiTheme="majorHAnsi" w:eastAsiaTheme="majorEastAsia" w:hAnsiTheme="majorHAnsi" w:cstheme="majorBidi"/>
          <w:color w:val="000000"/>
        </w:rPr>
      </w:pPr>
      <w:r w:rsidRPr="40B254B5">
        <w:rPr>
          <w:rFonts w:asciiTheme="majorHAnsi" w:eastAsiaTheme="majorEastAsia" w:hAnsiTheme="majorHAnsi" w:cstheme="majorBidi"/>
          <w:color w:val="000000" w:themeColor="text1"/>
        </w:rPr>
        <w:t xml:space="preserve">The Board of Education (“Board”) began discussing a revision to Virginia’s current accreditation/accountability system in fall 2022 following the publication of </w:t>
      </w:r>
      <w:hyperlink r:id="rId9">
        <w:r w:rsidRPr="40B254B5">
          <w:rPr>
            <w:rStyle w:val="Hyperlink"/>
            <w:rFonts w:asciiTheme="majorHAnsi" w:eastAsiaTheme="majorEastAsia" w:hAnsiTheme="majorHAnsi" w:cstheme="majorBidi"/>
          </w:rPr>
          <w:t>Our Commitment to Virginians</w:t>
        </w:r>
      </w:hyperlink>
      <w:r w:rsidRPr="40B254B5">
        <w:rPr>
          <w:rFonts w:asciiTheme="majorHAnsi" w:eastAsiaTheme="majorEastAsia" w:hAnsiTheme="majorHAnsi" w:cstheme="majorBidi"/>
          <w:color w:val="000000" w:themeColor="text1"/>
        </w:rPr>
        <w:t xml:space="preserve"> and the release of the 2022 Nation’s Report Card. These reports illuminated for the Board that Virginia’s students are experiencing declines in both reading and mathematics performance. An accountability system is a key element in driving student outcomes because it sets performance targets and incentivizes school-level practices. By revising Virginia’s accountability system, the Board will take a necessary action to address declining student achievement. Additionally, the Board should regularly revise and update its regulations to reflect current priorities and to address the needs of all students. </w:t>
      </w:r>
    </w:p>
    <w:p w14:paraId="22EB460A" w14:textId="77777777" w:rsidR="0040179E" w:rsidRDefault="0040179E" w:rsidP="40B254B5">
      <w:pPr>
        <w:rPr>
          <w:rFonts w:asciiTheme="majorHAnsi" w:eastAsiaTheme="majorEastAsia" w:hAnsiTheme="majorHAnsi" w:cstheme="majorBidi"/>
          <w:color w:val="000000"/>
        </w:rPr>
      </w:pPr>
    </w:p>
    <w:p w14:paraId="36EAB33E" w14:textId="77777777" w:rsidR="0040179E" w:rsidRPr="00E85FD1" w:rsidRDefault="0040179E" w:rsidP="40B254B5">
      <w:pPr>
        <w:rPr>
          <w:rFonts w:asciiTheme="majorHAnsi" w:eastAsiaTheme="majorEastAsia" w:hAnsiTheme="majorHAnsi" w:cstheme="majorBidi"/>
          <w:color w:val="000000"/>
        </w:rPr>
      </w:pPr>
      <w:r w:rsidRPr="40B254B5">
        <w:rPr>
          <w:rFonts w:asciiTheme="majorHAnsi" w:eastAsiaTheme="majorEastAsia" w:hAnsiTheme="majorHAnsi" w:cstheme="majorBidi"/>
          <w:color w:val="000000" w:themeColor="text1"/>
        </w:rPr>
        <w:t>Since the fall of 2022, the Board has held a series of work sessions where it explored Virginia’s current accountability system and its difficulties addressing the challenges experienced by students since the pandemic. Additionally, during the summer of 2023, Superintendent Coons conducted a series of meetings with stakeholder groups on revisions to the accountability system. During those sessions, three themes surfaced: achievement; growth, and career readiness.</w:t>
      </w:r>
    </w:p>
    <w:p w14:paraId="1FBD97B6" w14:textId="77777777" w:rsidR="00E85FD1" w:rsidRPr="0040179E" w:rsidRDefault="00E85FD1" w:rsidP="40B254B5">
      <w:pPr>
        <w:rPr>
          <w:rFonts w:asciiTheme="majorHAnsi" w:eastAsiaTheme="majorEastAsia" w:hAnsiTheme="majorHAnsi" w:cstheme="majorBidi"/>
          <w:color w:val="000000"/>
        </w:rPr>
      </w:pPr>
    </w:p>
    <w:p w14:paraId="4699F815" w14:textId="2EDE83CF" w:rsidR="00543A07" w:rsidRPr="00543A07" w:rsidRDefault="6DD570F8" w:rsidP="40B254B5">
      <w:pPr>
        <w:rPr>
          <w:rFonts w:asciiTheme="majorHAnsi" w:eastAsiaTheme="majorEastAsia" w:hAnsiTheme="majorHAnsi" w:cstheme="majorBidi"/>
          <w:color w:val="000000" w:themeColor="text1"/>
        </w:rPr>
      </w:pPr>
      <w:r w:rsidRPr="40B254B5">
        <w:rPr>
          <w:rFonts w:asciiTheme="majorHAnsi" w:eastAsiaTheme="majorEastAsia" w:hAnsiTheme="majorHAnsi" w:cstheme="majorBidi"/>
          <w:color w:val="000000" w:themeColor="text1"/>
        </w:rPr>
        <w:lastRenderedPageBreak/>
        <w:t xml:space="preserve">At a special meeting </w:t>
      </w:r>
      <w:r w:rsidR="00B956B6" w:rsidRPr="40B254B5">
        <w:rPr>
          <w:rFonts w:asciiTheme="majorHAnsi" w:eastAsiaTheme="majorEastAsia" w:hAnsiTheme="majorHAnsi" w:cstheme="majorBidi"/>
          <w:color w:val="000000" w:themeColor="text1"/>
        </w:rPr>
        <w:t>i</w:t>
      </w:r>
      <w:r w:rsidR="00B36F1A" w:rsidRPr="40B254B5">
        <w:rPr>
          <w:rFonts w:asciiTheme="majorHAnsi" w:eastAsiaTheme="majorEastAsia" w:hAnsiTheme="majorHAnsi" w:cstheme="majorBidi"/>
          <w:color w:val="000000" w:themeColor="text1"/>
        </w:rPr>
        <w:t>n August 202</w:t>
      </w:r>
      <w:r w:rsidR="00BA546C" w:rsidRPr="40B254B5">
        <w:rPr>
          <w:rFonts w:asciiTheme="majorHAnsi" w:eastAsiaTheme="majorEastAsia" w:hAnsiTheme="majorHAnsi" w:cstheme="majorBidi"/>
          <w:color w:val="000000" w:themeColor="text1"/>
        </w:rPr>
        <w:t>3</w:t>
      </w:r>
      <w:r w:rsidR="00B36F1A" w:rsidRPr="40B254B5">
        <w:rPr>
          <w:rFonts w:asciiTheme="majorHAnsi" w:eastAsiaTheme="majorEastAsia" w:hAnsiTheme="majorHAnsi" w:cstheme="majorBidi"/>
          <w:color w:val="000000" w:themeColor="text1"/>
        </w:rPr>
        <w:t xml:space="preserve">, </w:t>
      </w:r>
      <w:r w:rsidR="00F233D0" w:rsidRPr="40B254B5">
        <w:rPr>
          <w:rFonts w:asciiTheme="majorHAnsi" w:eastAsiaTheme="majorEastAsia" w:hAnsiTheme="majorHAnsi" w:cstheme="majorBidi"/>
          <w:color w:val="000000" w:themeColor="text1"/>
        </w:rPr>
        <w:t>the Board</w:t>
      </w:r>
      <w:r w:rsidR="00730AFE" w:rsidRPr="40B254B5">
        <w:rPr>
          <w:rFonts w:asciiTheme="majorHAnsi" w:eastAsiaTheme="majorEastAsia" w:hAnsiTheme="majorHAnsi" w:cstheme="majorBidi"/>
          <w:color w:val="000000" w:themeColor="text1"/>
        </w:rPr>
        <w:t xml:space="preserve"> reviewed and discussed options </w:t>
      </w:r>
      <w:r w:rsidR="00C41309" w:rsidRPr="40B254B5">
        <w:rPr>
          <w:rFonts w:asciiTheme="majorHAnsi" w:eastAsiaTheme="majorEastAsia" w:hAnsiTheme="majorHAnsi" w:cstheme="majorBidi"/>
          <w:color w:val="000000" w:themeColor="text1"/>
        </w:rPr>
        <w:t>for providing</w:t>
      </w:r>
      <w:r w:rsidR="00BA26BA" w:rsidRPr="40B254B5">
        <w:rPr>
          <w:rFonts w:asciiTheme="majorHAnsi" w:eastAsiaTheme="majorEastAsia" w:hAnsiTheme="majorHAnsi" w:cstheme="majorBidi"/>
          <w:color w:val="000000" w:themeColor="text1"/>
        </w:rPr>
        <w:t xml:space="preserve"> meaningful and transparent information to the public from the accountability system</w:t>
      </w:r>
      <w:r w:rsidR="00D05CB5" w:rsidRPr="40B254B5">
        <w:rPr>
          <w:rFonts w:asciiTheme="majorHAnsi" w:eastAsiaTheme="majorEastAsia" w:hAnsiTheme="majorHAnsi" w:cstheme="majorBidi"/>
          <w:color w:val="000000" w:themeColor="text1"/>
        </w:rPr>
        <w:t xml:space="preserve">. </w:t>
      </w:r>
      <w:r w:rsidR="000861AF" w:rsidRPr="40B254B5">
        <w:rPr>
          <w:rFonts w:asciiTheme="majorHAnsi" w:eastAsiaTheme="majorEastAsia" w:hAnsiTheme="majorHAnsi" w:cstheme="majorBidi"/>
          <w:color w:val="000000" w:themeColor="text1"/>
        </w:rPr>
        <w:t xml:space="preserve">The current </w:t>
      </w:r>
      <w:r w:rsidR="009A6329" w:rsidRPr="40B254B5">
        <w:rPr>
          <w:rFonts w:asciiTheme="majorHAnsi" w:eastAsiaTheme="majorEastAsia" w:hAnsiTheme="majorHAnsi" w:cstheme="majorBidi"/>
          <w:color w:val="000000" w:themeColor="text1"/>
        </w:rPr>
        <w:t>accreditation</w:t>
      </w:r>
      <w:r w:rsidR="00BC590A" w:rsidRPr="40B254B5">
        <w:rPr>
          <w:rFonts w:asciiTheme="majorHAnsi" w:eastAsiaTheme="majorEastAsia" w:hAnsiTheme="majorHAnsi" w:cstheme="majorBidi"/>
          <w:color w:val="000000" w:themeColor="text1"/>
        </w:rPr>
        <w:t xml:space="preserve"> systems labels schools as “accredited” or “accredited with conditions”</w:t>
      </w:r>
      <w:r w:rsidR="00DF4B70" w:rsidRPr="40B254B5">
        <w:rPr>
          <w:rFonts w:asciiTheme="majorHAnsi" w:eastAsiaTheme="majorEastAsia" w:hAnsiTheme="majorHAnsi" w:cstheme="majorBidi"/>
          <w:color w:val="000000" w:themeColor="text1"/>
        </w:rPr>
        <w:t xml:space="preserve">, while the accountability system identifies schools for support. </w:t>
      </w:r>
    </w:p>
    <w:p w14:paraId="08BBCD39" w14:textId="77777777" w:rsidR="00B83721" w:rsidRDefault="00B83721" w:rsidP="40B254B5">
      <w:pPr>
        <w:rPr>
          <w:rFonts w:asciiTheme="majorHAnsi" w:eastAsiaTheme="majorEastAsia" w:hAnsiTheme="majorHAnsi" w:cstheme="majorBidi"/>
          <w:color w:val="000000" w:themeColor="text1"/>
        </w:rPr>
      </w:pPr>
    </w:p>
    <w:p w14:paraId="00C7DCB3" w14:textId="76A54945" w:rsidR="00BA6A21" w:rsidRPr="00BA6A21" w:rsidRDefault="00B83721" w:rsidP="40B254B5">
      <w:pPr>
        <w:rPr>
          <w:rFonts w:asciiTheme="majorHAnsi" w:eastAsiaTheme="majorEastAsia" w:hAnsiTheme="majorHAnsi" w:cstheme="majorBidi"/>
          <w:color w:val="000000" w:themeColor="text1"/>
        </w:rPr>
      </w:pPr>
      <w:r w:rsidRPr="40B254B5">
        <w:rPr>
          <w:rFonts w:asciiTheme="majorHAnsi" w:eastAsiaTheme="majorEastAsia" w:hAnsiTheme="majorHAnsi" w:cstheme="majorBidi"/>
          <w:color w:val="000000" w:themeColor="text1"/>
        </w:rPr>
        <w:t xml:space="preserve">During the </w:t>
      </w:r>
      <w:r w:rsidR="00033EBE" w:rsidRPr="40B254B5">
        <w:rPr>
          <w:rFonts w:asciiTheme="majorHAnsi" w:eastAsiaTheme="majorEastAsia" w:hAnsiTheme="majorHAnsi" w:cstheme="majorBidi"/>
          <w:color w:val="000000" w:themeColor="text1"/>
        </w:rPr>
        <w:t>special</w:t>
      </w:r>
      <w:r w:rsidRPr="40B254B5">
        <w:rPr>
          <w:rFonts w:asciiTheme="majorHAnsi" w:eastAsiaTheme="majorEastAsia" w:hAnsiTheme="majorHAnsi" w:cstheme="majorBidi"/>
          <w:color w:val="000000" w:themeColor="text1"/>
        </w:rPr>
        <w:t xml:space="preserve"> meeting, the Board heard from </w:t>
      </w:r>
      <w:r w:rsidR="00DF4B70" w:rsidRPr="40B254B5">
        <w:rPr>
          <w:rFonts w:asciiTheme="majorHAnsi" w:eastAsiaTheme="majorEastAsia" w:hAnsiTheme="majorHAnsi" w:cstheme="majorBidi"/>
          <w:color w:val="000000" w:themeColor="text1"/>
        </w:rPr>
        <w:t>two national experts</w:t>
      </w:r>
      <w:r w:rsidR="0089503C" w:rsidRPr="40B254B5">
        <w:rPr>
          <w:rFonts w:asciiTheme="majorHAnsi" w:eastAsiaTheme="majorEastAsia" w:hAnsiTheme="majorHAnsi" w:cstheme="majorBidi"/>
          <w:color w:val="000000" w:themeColor="text1"/>
        </w:rPr>
        <w:t xml:space="preserve"> on how states</w:t>
      </w:r>
      <w:r w:rsidR="005B4CCF" w:rsidRPr="40B254B5">
        <w:rPr>
          <w:rFonts w:asciiTheme="majorHAnsi" w:eastAsiaTheme="majorEastAsia" w:hAnsiTheme="majorHAnsi" w:cstheme="majorBidi"/>
          <w:color w:val="000000" w:themeColor="text1"/>
        </w:rPr>
        <w:t xml:space="preserve"> ha</w:t>
      </w:r>
      <w:r w:rsidR="00046F5D" w:rsidRPr="40B254B5">
        <w:rPr>
          <w:rFonts w:asciiTheme="majorHAnsi" w:eastAsiaTheme="majorEastAsia" w:hAnsiTheme="majorHAnsi" w:cstheme="majorBidi"/>
          <w:color w:val="000000" w:themeColor="text1"/>
        </w:rPr>
        <w:t>ve used different methods to communicate accountability results. Many states use a “rating” or summative method for communicat</w:t>
      </w:r>
      <w:r w:rsidR="00346625" w:rsidRPr="40B254B5">
        <w:rPr>
          <w:rFonts w:asciiTheme="majorHAnsi" w:eastAsiaTheme="majorEastAsia" w:hAnsiTheme="majorHAnsi" w:cstheme="majorBidi"/>
          <w:color w:val="000000" w:themeColor="text1"/>
        </w:rPr>
        <w:t>ing results</w:t>
      </w:r>
      <w:r w:rsidR="00046F5D" w:rsidRPr="40B254B5">
        <w:rPr>
          <w:rFonts w:asciiTheme="majorHAnsi" w:eastAsiaTheme="majorEastAsia" w:hAnsiTheme="majorHAnsi" w:cstheme="majorBidi"/>
          <w:color w:val="000000" w:themeColor="text1"/>
        </w:rPr>
        <w:t xml:space="preserve">, this includes A-F ratings, stars, </w:t>
      </w:r>
      <w:r w:rsidR="002125F3" w:rsidRPr="40B254B5">
        <w:rPr>
          <w:rFonts w:asciiTheme="majorHAnsi" w:eastAsiaTheme="majorEastAsia" w:hAnsiTheme="majorHAnsi" w:cstheme="majorBidi"/>
          <w:color w:val="000000" w:themeColor="text1"/>
        </w:rPr>
        <w:t>or descriptive labels (i.e., “high performing school”).</w:t>
      </w:r>
      <w:r w:rsidR="00346625" w:rsidRPr="40B254B5">
        <w:rPr>
          <w:rFonts w:asciiTheme="majorHAnsi" w:eastAsiaTheme="majorEastAsia" w:hAnsiTheme="majorHAnsi" w:cstheme="majorBidi"/>
          <w:color w:val="000000" w:themeColor="text1"/>
        </w:rPr>
        <w:t xml:space="preserve"> States using summative ratings include Florida, Louisiana, and </w:t>
      </w:r>
      <w:r w:rsidR="00A246D7" w:rsidRPr="40B254B5">
        <w:rPr>
          <w:rFonts w:asciiTheme="majorHAnsi" w:eastAsiaTheme="majorEastAsia" w:hAnsiTheme="majorHAnsi" w:cstheme="majorBidi"/>
          <w:color w:val="000000" w:themeColor="text1"/>
        </w:rPr>
        <w:t xml:space="preserve">Texas. </w:t>
      </w:r>
      <w:r w:rsidR="00696B6F" w:rsidRPr="40B254B5">
        <w:rPr>
          <w:rFonts w:asciiTheme="majorHAnsi" w:eastAsiaTheme="majorEastAsia" w:hAnsiTheme="majorHAnsi" w:cstheme="majorBidi"/>
          <w:color w:val="000000" w:themeColor="text1"/>
        </w:rPr>
        <w:t xml:space="preserve">Other states use a “dashboard” or “placemat” method where they don’t provide an </w:t>
      </w:r>
      <w:r w:rsidR="00D13E65" w:rsidRPr="40B254B5">
        <w:rPr>
          <w:rFonts w:asciiTheme="majorHAnsi" w:eastAsiaTheme="majorEastAsia" w:hAnsiTheme="majorHAnsi" w:cstheme="majorBidi"/>
          <w:color w:val="000000" w:themeColor="text1"/>
        </w:rPr>
        <w:t>overall rating</w:t>
      </w:r>
      <w:r w:rsidR="002F07CF" w:rsidRPr="40B254B5">
        <w:rPr>
          <w:rFonts w:asciiTheme="majorHAnsi" w:eastAsiaTheme="majorEastAsia" w:hAnsiTheme="majorHAnsi" w:cstheme="majorBidi"/>
          <w:color w:val="000000" w:themeColor="text1"/>
        </w:rPr>
        <w:t xml:space="preserve"> for purposes of accountability</w:t>
      </w:r>
      <w:r w:rsidR="00D13E65" w:rsidRPr="40B254B5">
        <w:rPr>
          <w:rFonts w:asciiTheme="majorHAnsi" w:eastAsiaTheme="majorEastAsia" w:hAnsiTheme="majorHAnsi" w:cstheme="majorBidi"/>
          <w:color w:val="000000" w:themeColor="text1"/>
        </w:rPr>
        <w:t xml:space="preserve">. Rather, they </w:t>
      </w:r>
      <w:r w:rsidR="00D226BD" w:rsidRPr="40B254B5">
        <w:rPr>
          <w:rFonts w:asciiTheme="majorHAnsi" w:eastAsiaTheme="majorEastAsia" w:hAnsiTheme="majorHAnsi" w:cstheme="majorBidi"/>
          <w:color w:val="000000" w:themeColor="text1"/>
        </w:rPr>
        <w:t>provide information at the indicator or measure level</w:t>
      </w:r>
      <w:r w:rsidR="002F07CF" w:rsidRPr="40B254B5">
        <w:rPr>
          <w:rFonts w:asciiTheme="majorHAnsi" w:eastAsiaTheme="majorEastAsia" w:hAnsiTheme="majorHAnsi" w:cstheme="majorBidi"/>
          <w:color w:val="000000" w:themeColor="text1"/>
        </w:rPr>
        <w:t>, while identifying schools for support</w:t>
      </w:r>
      <w:r w:rsidR="001734FF" w:rsidRPr="40B254B5">
        <w:rPr>
          <w:rFonts w:asciiTheme="majorHAnsi" w:eastAsiaTheme="majorEastAsia" w:hAnsiTheme="majorHAnsi" w:cstheme="majorBidi"/>
          <w:color w:val="000000" w:themeColor="text1"/>
        </w:rPr>
        <w:t>.</w:t>
      </w:r>
      <w:r w:rsidR="00CB573C" w:rsidRPr="40B254B5">
        <w:rPr>
          <w:rFonts w:asciiTheme="majorHAnsi" w:eastAsiaTheme="majorEastAsia" w:hAnsiTheme="majorHAnsi" w:cstheme="majorBidi"/>
          <w:color w:val="000000" w:themeColor="text1"/>
        </w:rPr>
        <w:t xml:space="preserve"> States using a placemat or dashboard include Indiana (for </w:t>
      </w:r>
      <w:r w:rsidR="004F1BA0" w:rsidRPr="40B254B5">
        <w:rPr>
          <w:rFonts w:asciiTheme="majorHAnsi" w:eastAsiaTheme="majorEastAsia" w:hAnsiTheme="majorHAnsi" w:cstheme="majorBidi"/>
          <w:color w:val="000000" w:themeColor="text1"/>
        </w:rPr>
        <w:t>Indiana Graduates initiative</w:t>
      </w:r>
      <w:r w:rsidR="00CB573C" w:rsidRPr="40B254B5">
        <w:rPr>
          <w:rFonts w:asciiTheme="majorHAnsi" w:eastAsiaTheme="majorEastAsia" w:hAnsiTheme="majorHAnsi" w:cstheme="majorBidi"/>
          <w:color w:val="000000" w:themeColor="text1"/>
        </w:rPr>
        <w:t>)</w:t>
      </w:r>
      <w:r w:rsidR="00774D0F" w:rsidRPr="40B254B5">
        <w:rPr>
          <w:rFonts w:asciiTheme="majorHAnsi" w:eastAsiaTheme="majorEastAsia" w:hAnsiTheme="majorHAnsi" w:cstheme="majorBidi"/>
          <w:color w:val="000000" w:themeColor="text1"/>
        </w:rPr>
        <w:t xml:space="preserve"> and Idaho. </w:t>
      </w:r>
    </w:p>
    <w:p w14:paraId="2663DD45" w14:textId="77777777" w:rsidR="00BA6A21" w:rsidRDefault="00BA6A21" w:rsidP="40B254B5">
      <w:pPr>
        <w:rPr>
          <w:rFonts w:asciiTheme="majorHAnsi" w:eastAsiaTheme="majorEastAsia" w:hAnsiTheme="majorHAnsi" w:cstheme="majorBidi"/>
        </w:rPr>
      </w:pPr>
    </w:p>
    <w:p w14:paraId="711EC671" w14:textId="2862CF16" w:rsidR="00A42C96" w:rsidRDefault="00904172" w:rsidP="40B254B5">
      <w:pPr>
        <w:rPr>
          <w:rFonts w:asciiTheme="majorHAnsi" w:eastAsiaTheme="majorEastAsia" w:hAnsiTheme="majorHAnsi" w:cstheme="majorBidi"/>
        </w:rPr>
      </w:pPr>
      <w:r w:rsidRPr="40B254B5">
        <w:rPr>
          <w:rFonts w:asciiTheme="majorHAnsi" w:eastAsiaTheme="majorEastAsia" w:hAnsiTheme="majorHAnsi" w:cstheme="majorBidi"/>
        </w:rPr>
        <w:t>The decision around communicating accountability results to the public is a vital decision for ensuring transparency. A summative rating, like A-F</w:t>
      </w:r>
      <w:r w:rsidR="00BA5BA4" w:rsidRPr="40B254B5">
        <w:rPr>
          <w:rFonts w:asciiTheme="majorHAnsi" w:eastAsiaTheme="majorEastAsia" w:hAnsiTheme="majorHAnsi" w:cstheme="majorBidi"/>
        </w:rPr>
        <w:t xml:space="preserve"> or stars, is simple for everyone to understand</w:t>
      </w:r>
      <w:r w:rsidR="00000CE7" w:rsidRPr="40B254B5">
        <w:rPr>
          <w:rFonts w:asciiTheme="majorHAnsi" w:eastAsiaTheme="majorEastAsia" w:hAnsiTheme="majorHAnsi" w:cstheme="majorBidi"/>
        </w:rPr>
        <w:t xml:space="preserve">. A placemat approach </w:t>
      </w:r>
      <w:r w:rsidR="007D3C46" w:rsidRPr="40B254B5">
        <w:rPr>
          <w:rFonts w:asciiTheme="majorHAnsi" w:eastAsiaTheme="majorEastAsia" w:hAnsiTheme="majorHAnsi" w:cstheme="majorBidi"/>
        </w:rPr>
        <w:t xml:space="preserve">provides a different level of transparency, encouraging stakeholders to dig deeper into the data to understand the accountability measures. </w:t>
      </w:r>
    </w:p>
    <w:p w14:paraId="278EB1F8" w14:textId="77777777" w:rsidR="00A42C96" w:rsidRDefault="00A42C96" w:rsidP="40B254B5">
      <w:pPr>
        <w:rPr>
          <w:rFonts w:asciiTheme="majorHAnsi" w:eastAsiaTheme="majorEastAsia" w:hAnsiTheme="majorHAnsi" w:cstheme="majorBidi"/>
        </w:rPr>
      </w:pPr>
    </w:p>
    <w:p w14:paraId="6FAA7CA3" w14:textId="6761947B" w:rsidR="0047628A" w:rsidRPr="000C7F1F" w:rsidRDefault="0047628A" w:rsidP="40B254B5">
      <w:pPr>
        <w:rPr>
          <w:rFonts w:asciiTheme="majorHAnsi" w:eastAsiaTheme="majorEastAsia" w:hAnsiTheme="majorHAnsi" w:cstheme="majorBidi"/>
          <w:color w:val="000000" w:themeColor="text1"/>
        </w:rPr>
      </w:pPr>
      <w:r w:rsidRPr="40B254B5">
        <w:rPr>
          <w:rFonts w:asciiTheme="majorHAnsi" w:eastAsiaTheme="majorEastAsia" w:hAnsiTheme="majorHAnsi" w:cstheme="majorBidi"/>
        </w:rPr>
        <w:t xml:space="preserve">On August 31, 2023, the Board approved a Notice of Intended Regulatory Action (NOIRA) to revise </w:t>
      </w:r>
      <w:hyperlink r:id="rId10">
        <w:r w:rsidRPr="40B254B5">
          <w:rPr>
            <w:rStyle w:val="Hyperlink"/>
            <w:rFonts w:asciiTheme="majorHAnsi" w:eastAsiaTheme="majorEastAsia" w:hAnsiTheme="majorHAnsi" w:cstheme="majorBidi"/>
          </w:rPr>
          <w:t>8VAC20-131</w:t>
        </w:r>
      </w:hyperlink>
      <w:r w:rsidRPr="40B254B5">
        <w:rPr>
          <w:rFonts w:asciiTheme="majorHAnsi" w:eastAsiaTheme="majorEastAsia" w:hAnsiTheme="majorHAnsi" w:cstheme="majorBidi"/>
        </w:rPr>
        <w:t xml:space="preserve"> in order to revise the accountability model and increase transparency on school performance. The Board must </w:t>
      </w:r>
      <w:proofErr w:type="gramStart"/>
      <w:r w:rsidRPr="40B254B5">
        <w:rPr>
          <w:rFonts w:asciiTheme="majorHAnsi" w:eastAsiaTheme="majorEastAsia" w:hAnsiTheme="majorHAnsi" w:cstheme="majorBidi"/>
        </w:rPr>
        <w:t>make a decision</w:t>
      </w:r>
      <w:proofErr w:type="gramEnd"/>
      <w:r w:rsidRPr="40B254B5">
        <w:rPr>
          <w:rFonts w:asciiTheme="majorHAnsi" w:eastAsiaTheme="majorEastAsia" w:hAnsiTheme="majorHAnsi" w:cstheme="majorBidi"/>
        </w:rPr>
        <w:t xml:space="preserve"> point on </w:t>
      </w:r>
      <w:r w:rsidR="00386C34" w:rsidRPr="40B254B5">
        <w:rPr>
          <w:rFonts w:asciiTheme="majorHAnsi" w:eastAsiaTheme="majorEastAsia" w:hAnsiTheme="majorHAnsi" w:cstheme="majorBidi"/>
        </w:rPr>
        <w:t>accountability rating system</w:t>
      </w:r>
      <w:r w:rsidRPr="40B254B5">
        <w:rPr>
          <w:rFonts w:asciiTheme="majorHAnsi" w:eastAsiaTheme="majorEastAsia" w:hAnsiTheme="majorHAnsi" w:cstheme="majorBidi"/>
        </w:rPr>
        <w:t xml:space="preserve"> in order for staff to begin work on regulations for the proposed stage.</w:t>
      </w:r>
    </w:p>
    <w:p w14:paraId="7A7C70A6" w14:textId="77777777" w:rsidR="0047628A" w:rsidRDefault="0047628A" w:rsidP="40B254B5">
      <w:pPr>
        <w:rPr>
          <w:rFonts w:asciiTheme="majorHAnsi" w:eastAsiaTheme="majorEastAsia" w:hAnsiTheme="majorHAnsi" w:cstheme="majorBidi"/>
        </w:rPr>
      </w:pPr>
    </w:p>
    <w:p w14:paraId="12FA7ED4" w14:textId="77777777" w:rsidR="0047628A" w:rsidRDefault="0047628A" w:rsidP="40B254B5">
      <w:pPr>
        <w:rPr>
          <w:rFonts w:asciiTheme="majorHAnsi" w:eastAsiaTheme="majorEastAsia" w:hAnsiTheme="majorHAnsi" w:cstheme="majorBidi"/>
        </w:rPr>
      </w:pPr>
      <w:r w:rsidRPr="40B254B5">
        <w:rPr>
          <w:rFonts w:asciiTheme="majorHAnsi" w:eastAsiaTheme="majorEastAsia" w:hAnsiTheme="majorHAnsi" w:cstheme="majorBidi"/>
        </w:rPr>
        <w:t>The following principles have guided the accountability work over the past year and will continue to inform the Board as it revises the accountability system.</w:t>
      </w:r>
    </w:p>
    <w:p w14:paraId="2EE03B7F" w14:textId="77777777" w:rsidR="0047628A" w:rsidRDefault="0047628A" w:rsidP="40B254B5">
      <w:pPr>
        <w:rPr>
          <w:rFonts w:asciiTheme="majorHAnsi" w:eastAsiaTheme="majorEastAsia" w:hAnsiTheme="majorHAnsi" w:cstheme="majorBidi"/>
        </w:rPr>
      </w:pPr>
    </w:p>
    <w:p w14:paraId="6B573E9E" w14:textId="77777777" w:rsidR="0047628A" w:rsidRPr="00E34067" w:rsidRDefault="0047628A" w:rsidP="40B254B5">
      <w:pPr>
        <w:numPr>
          <w:ilvl w:val="0"/>
          <w:numId w:val="13"/>
        </w:numPr>
        <w:rPr>
          <w:rFonts w:asciiTheme="majorHAnsi" w:eastAsiaTheme="majorEastAsia" w:hAnsiTheme="majorHAnsi" w:cstheme="majorBidi"/>
          <w:lang w:val="en-US"/>
        </w:rPr>
      </w:pPr>
      <w:r w:rsidRPr="40B254B5">
        <w:rPr>
          <w:rFonts w:asciiTheme="majorHAnsi" w:eastAsiaTheme="majorEastAsia" w:hAnsiTheme="majorHAnsi" w:cstheme="majorBidi"/>
          <w:b/>
          <w:bCs/>
          <w:lang w:val="en-US"/>
        </w:rPr>
        <w:t>The North Star is high expectations for every student.</w:t>
      </w:r>
      <w:r w:rsidRPr="40B254B5">
        <w:rPr>
          <w:rFonts w:asciiTheme="majorHAnsi" w:eastAsiaTheme="majorEastAsia" w:hAnsiTheme="majorHAnsi" w:cstheme="majorBidi"/>
          <w:lang w:val="en-US"/>
        </w:rPr>
        <w:t>  Proficiency definitions will be set by benchmarking against the demands of Virginia employers and higher education, as well as against states who have the most rigorous definitions of proficiency in the nation. </w:t>
      </w:r>
    </w:p>
    <w:p w14:paraId="0D0A182E" w14:textId="77777777" w:rsidR="0047628A" w:rsidRPr="00E34067" w:rsidRDefault="0047628A" w:rsidP="40B254B5">
      <w:pPr>
        <w:numPr>
          <w:ilvl w:val="0"/>
          <w:numId w:val="13"/>
        </w:numPr>
        <w:rPr>
          <w:rFonts w:asciiTheme="majorHAnsi" w:eastAsiaTheme="majorEastAsia" w:hAnsiTheme="majorHAnsi" w:cstheme="majorBidi"/>
          <w:lang w:val="en-US"/>
        </w:rPr>
      </w:pPr>
      <w:r w:rsidRPr="40B254B5">
        <w:rPr>
          <w:rFonts w:asciiTheme="majorHAnsi" w:eastAsiaTheme="majorEastAsia" w:hAnsiTheme="majorHAnsi" w:cstheme="majorBidi"/>
          <w:b/>
          <w:bCs/>
          <w:lang w:val="en-US"/>
        </w:rPr>
        <w:t>Transparency and access to actionable information</w:t>
      </w:r>
      <w:r w:rsidRPr="40B254B5">
        <w:rPr>
          <w:rFonts w:asciiTheme="majorHAnsi" w:eastAsiaTheme="majorEastAsia" w:hAnsiTheme="majorHAnsi" w:cstheme="majorBidi"/>
          <w:lang w:val="en-US"/>
        </w:rPr>
        <w:t xml:space="preserve"> will be a hallmark of our approach and our new system.  </w:t>
      </w:r>
    </w:p>
    <w:p w14:paraId="574E5C06" w14:textId="77777777" w:rsidR="0047628A" w:rsidRPr="00E34067" w:rsidRDefault="0047628A" w:rsidP="40B254B5">
      <w:pPr>
        <w:numPr>
          <w:ilvl w:val="0"/>
          <w:numId w:val="13"/>
        </w:numPr>
        <w:rPr>
          <w:rFonts w:asciiTheme="majorHAnsi" w:eastAsiaTheme="majorEastAsia" w:hAnsiTheme="majorHAnsi" w:cstheme="majorBidi"/>
          <w:lang w:val="en-US"/>
        </w:rPr>
      </w:pPr>
      <w:r w:rsidRPr="40B254B5">
        <w:rPr>
          <w:rFonts w:asciiTheme="majorHAnsi" w:eastAsiaTheme="majorEastAsia" w:hAnsiTheme="majorHAnsi" w:cstheme="majorBidi"/>
          <w:lang w:val="en-US"/>
        </w:rPr>
        <w:t xml:space="preserve">Student academic growth and proficiency are both vital measures, but the </w:t>
      </w:r>
      <w:r w:rsidRPr="40B254B5">
        <w:rPr>
          <w:rFonts w:asciiTheme="majorHAnsi" w:eastAsiaTheme="majorEastAsia" w:hAnsiTheme="majorHAnsi" w:cstheme="majorBidi"/>
          <w:b/>
          <w:bCs/>
          <w:lang w:val="en-US"/>
        </w:rPr>
        <w:t>system must prioritize getting every student to proficiency/mastery</w:t>
      </w:r>
      <w:r w:rsidRPr="40B254B5">
        <w:rPr>
          <w:rFonts w:asciiTheme="majorHAnsi" w:eastAsiaTheme="majorEastAsia" w:hAnsiTheme="majorHAnsi" w:cstheme="majorBidi"/>
          <w:lang w:val="en-US"/>
        </w:rPr>
        <w:t>. </w:t>
      </w:r>
    </w:p>
    <w:p w14:paraId="742D3EAC" w14:textId="77777777" w:rsidR="0047628A" w:rsidRPr="00E34067" w:rsidRDefault="0047628A" w:rsidP="40B254B5">
      <w:pPr>
        <w:numPr>
          <w:ilvl w:val="0"/>
          <w:numId w:val="13"/>
        </w:numPr>
        <w:rPr>
          <w:rFonts w:asciiTheme="majorHAnsi" w:eastAsiaTheme="majorEastAsia" w:hAnsiTheme="majorHAnsi" w:cstheme="majorBidi"/>
          <w:lang w:val="en-US"/>
        </w:rPr>
      </w:pPr>
      <w:r w:rsidRPr="40B254B5">
        <w:rPr>
          <w:rFonts w:asciiTheme="majorHAnsi" w:eastAsiaTheme="majorEastAsia" w:hAnsiTheme="majorHAnsi" w:cstheme="majorBidi"/>
          <w:lang w:val="en-US"/>
        </w:rPr>
        <w:t xml:space="preserve">The purpose of accountability is </w:t>
      </w:r>
      <w:r w:rsidRPr="40B254B5">
        <w:rPr>
          <w:rFonts w:asciiTheme="majorHAnsi" w:eastAsiaTheme="majorEastAsia" w:hAnsiTheme="majorHAnsi" w:cstheme="majorBidi"/>
          <w:b/>
          <w:bCs/>
          <w:lang w:val="en-US"/>
        </w:rPr>
        <w:t>to build trust between schools, parents, and students through transparent, concrete, and easy to understand reporting. </w:t>
      </w:r>
      <w:r w:rsidRPr="40B254B5">
        <w:rPr>
          <w:rFonts w:asciiTheme="majorHAnsi" w:eastAsiaTheme="majorEastAsia" w:hAnsiTheme="majorHAnsi" w:cstheme="majorBidi"/>
          <w:lang w:val="en-US"/>
        </w:rPr>
        <w:t> We must provide necessary supports and work alongside schools in need of help.  </w:t>
      </w:r>
    </w:p>
    <w:p w14:paraId="06CA4D4A" w14:textId="77777777" w:rsidR="0047628A" w:rsidRPr="00E34067" w:rsidRDefault="0047628A" w:rsidP="40B254B5">
      <w:pPr>
        <w:numPr>
          <w:ilvl w:val="0"/>
          <w:numId w:val="13"/>
        </w:numPr>
        <w:rPr>
          <w:rFonts w:asciiTheme="majorHAnsi" w:eastAsiaTheme="majorEastAsia" w:hAnsiTheme="majorHAnsi" w:cstheme="majorBidi"/>
          <w:lang w:val="en-US"/>
        </w:rPr>
      </w:pPr>
      <w:r w:rsidRPr="40B254B5">
        <w:rPr>
          <w:rFonts w:asciiTheme="majorHAnsi" w:eastAsiaTheme="majorEastAsia" w:hAnsiTheme="majorHAnsi" w:cstheme="majorBidi"/>
          <w:b/>
          <w:bCs/>
          <w:lang w:val="en-US"/>
        </w:rPr>
        <w:lastRenderedPageBreak/>
        <w:t>Stakeholder input is critical</w:t>
      </w:r>
      <w:r w:rsidRPr="40B254B5">
        <w:rPr>
          <w:rFonts w:asciiTheme="majorHAnsi" w:eastAsiaTheme="majorEastAsia" w:hAnsiTheme="majorHAnsi" w:cstheme="majorBidi"/>
          <w:lang w:val="en-US"/>
        </w:rPr>
        <w:t>. Teachers, parents, students, and education leaders will inform the Board’s process to build a best-in-class accreditation and accountability system. </w:t>
      </w:r>
    </w:p>
    <w:p w14:paraId="1A03CCA7" w14:textId="77777777" w:rsidR="0047628A" w:rsidRDefault="0047628A" w:rsidP="40B254B5">
      <w:pPr>
        <w:rPr>
          <w:rFonts w:asciiTheme="majorHAnsi" w:eastAsiaTheme="majorEastAsia" w:hAnsiTheme="majorHAnsi" w:cstheme="majorBidi"/>
        </w:rPr>
      </w:pPr>
    </w:p>
    <w:p w14:paraId="04453FBA" w14:textId="61507B48" w:rsidR="0047628A" w:rsidRDefault="0047628A" w:rsidP="40B254B5">
      <w:pPr>
        <w:rPr>
          <w:rFonts w:asciiTheme="majorHAnsi" w:eastAsiaTheme="majorEastAsia" w:hAnsiTheme="majorHAnsi" w:cstheme="majorBidi"/>
          <w:color w:val="000000"/>
        </w:rPr>
      </w:pPr>
      <w:r w:rsidRPr="40B254B5">
        <w:rPr>
          <w:rFonts w:asciiTheme="majorHAnsi" w:eastAsiaTheme="majorEastAsia" w:hAnsiTheme="majorHAnsi" w:cstheme="majorBidi"/>
          <w:color w:val="000000" w:themeColor="text1"/>
        </w:rPr>
        <w:t>This item supports Priority 3 of the Board’s Comprehensive Plan by ensuring the accountability system holds schools accountable for actual performance.</w:t>
      </w:r>
    </w:p>
    <w:p w14:paraId="0F595706" w14:textId="77777777" w:rsidR="0047628A" w:rsidRPr="0047628A" w:rsidRDefault="0047628A" w:rsidP="40B254B5">
      <w:pPr>
        <w:rPr>
          <w:rFonts w:asciiTheme="majorHAnsi" w:eastAsiaTheme="majorEastAsia" w:hAnsiTheme="majorHAnsi" w:cstheme="majorBidi"/>
          <w:color w:val="000000"/>
        </w:rPr>
      </w:pPr>
    </w:p>
    <w:p w14:paraId="41BD4332" w14:textId="603E2B37" w:rsidR="00AD0966" w:rsidRDefault="001E412D" w:rsidP="40B254B5">
      <w:pPr>
        <w:pStyle w:val="Heading2"/>
        <w:spacing w:line="240" w:lineRule="auto"/>
        <w:rPr>
          <w:rFonts w:asciiTheme="majorHAnsi" w:eastAsiaTheme="majorEastAsia" w:hAnsiTheme="majorHAnsi" w:cstheme="majorBidi"/>
        </w:rPr>
      </w:pPr>
      <w:bookmarkStart w:id="9" w:name="_e237r4fk2eq0"/>
      <w:bookmarkEnd w:id="9"/>
      <w:r w:rsidRPr="40B254B5">
        <w:rPr>
          <w:rFonts w:asciiTheme="majorHAnsi" w:eastAsiaTheme="majorEastAsia" w:hAnsiTheme="majorHAnsi" w:cstheme="majorBidi"/>
        </w:rPr>
        <w:t>Action Requested</w:t>
      </w:r>
    </w:p>
    <w:p w14:paraId="4E49F4A5" w14:textId="77777777" w:rsidR="00AD0966" w:rsidRDefault="001E412D" w:rsidP="40B254B5">
      <w:pPr>
        <w:spacing w:line="240" w:lineRule="auto"/>
        <w:rPr>
          <w:rFonts w:asciiTheme="majorHAnsi" w:eastAsiaTheme="majorEastAsia" w:hAnsiTheme="majorHAnsi" w:cstheme="majorBidi"/>
        </w:rPr>
      </w:pPr>
      <w:r w:rsidRPr="40B254B5">
        <w:rPr>
          <w:rFonts w:asciiTheme="majorHAnsi" w:eastAsiaTheme="majorEastAsia" w:hAnsiTheme="majorHAnsi" w:cstheme="majorBidi"/>
        </w:rPr>
        <w:t xml:space="preserve">Final review: Action requested at this meeting. </w:t>
      </w:r>
    </w:p>
    <w:p w14:paraId="72A3D3EC" w14:textId="77777777" w:rsidR="00AD0966" w:rsidRDefault="00AD0966" w:rsidP="40B254B5">
      <w:pPr>
        <w:spacing w:line="240" w:lineRule="auto"/>
        <w:rPr>
          <w:rFonts w:asciiTheme="majorHAnsi" w:eastAsiaTheme="majorEastAsia" w:hAnsiTheme="majorHAnsi" w:cstheme="majorBidi"/>
        </w:rPr>
      </w:pPr>
    </w:p>
    <w:p w14:paraId="0B4557F9" w14:textId="77777777" w:rsidR="00AD0966" w:rsidRDefault="001E412D" w:rsidP="40B254B5">
      <w:pPr>
        <w:pStyle w:val="Heading2"/>
        <w:spacing w:line="240" w:lineRule="auto"/>
        <w:rPr>
          <w:rFonts w:asciiTheme="majorHAnsi" w:eastAsiaTheme="majorEastAsia" w:hAnsiTheme="majorHAnsi" w:cstheme="majorBidi"/>
        </w:rPr>
      </w:pPr>
      <w:bookmarkStart w:id="10" w:name="_1vp15r958csl"/>
      <w:bookmarkEnd w:id="10"/>
      <w:r w:rsidRPr="40B254B5">
        <w:rPr>
          <w:rFonts w:asciiTheme="majorHAnsi" w:eastAsiaTheme="majorEastAsia" w:hAnsiTheme="majorHAnsi" w:cstheme="majorBidi"/>
        </w:rPr>
        <w:t xml:space="preserve">Superintendent’s Recommendation </w:t>
      </w:r>
    </w:p>
    <w:p w14:paraId="15E83BB9" w14:textId="77777777" w:rsidR="00927DFD" w:rsidRDefault="00927DFD" w:rsidP="40B254B5">
      <w:pPr>
        <w:spacing w:line="240" w:lineRule="auto"/>
        <w:rPr>
          <w:rFonts w:asciiTheme="majorHAnsi" w:eastAsiaTheme="majorEastAsia" w:hAnsiTheme="majorHAnsi" w:cstheme="majorBidi"/>
        </w:rPr>
      </w:pPr>
    </w:p>
    <w:p w14:paraId="3DEF06A0" w14:textId="77777777" w:rsidR="006955FD" w:rsidRDefault="006955FD" w:rsidP="40B254B5">
      <w:pPr>
        <w:pStyle w:val="Heading2"/>
        <w:spacing w:line="240" w:lineRule="auto"/>
        <w:rPr>
          <w:rFonts w:asciiTheme="majorHAnsi" w:eastAsiaTheme="majorEastAsia" w:hAnsiTheme="majorHAnsi" w:cstheme="majorBidi"/>
        </w:rPr>
      </w:pPr>
      <w:bookmarkStart w:id="11" w:name="_c8sc8xwenrnu"/>
      <w:bookmarkStart w:id="12" w:name="_dge9fgx5ke9n"/>
      <w:bookmarkEnd w:id="11"/>
      <w:bookmarkEnd w:id="12"/>
      <w:r w:rsidRPr="40B254B5">
        <w:rPr>
          <w:rFonts w:asciiTheme="majorHAnsi" w:eastAsiaTheme="majorEastAsia" w:hAnsiTheme="majorHAnsi" w:cstheme="majorBidi"/>
        </w:rPr>
        <w:t>Rationale for Action</w:t>
      </w:r>
    </w:p>
    <w:p w14:paraId="15DE0BDC" w14:textId="2588B5DC" w:rsidR="006955FD" w:rsidRDefault="006955FD" w:rsidP="40B254B5">
      <w:pPr>
        <w:rPr>
          <w:rFonts w:asciiTheme="majorHAnsi" w:eastAsiaTheme="majorEastAsia" w:hAnsiTheme="majorHAnsi" w:cstheme="majorBidi"/>
          <w:color w:val="000000" w:themeColor="text1"/>
        </w:rPr>
      </w:pPr>
      <w:r w:rsidRPr="40B254B5">
        <w:rPr>
          <w:rFonts w:asciiTheme="majorHAnsi" w:eastAsiaTheme="majorEastAsia" w:hAnsiTheme="majorHAnsi" w:cstheme="majorBidi"/>
          <w:color w:val="000000" w:themeColor="text1"/>
        </w:rPr>
        <w:t xml:space="preserve">The Board’s decision on the </w:t>
      </w:r>
      <w:r w:rsidR="00DB3245" w:rsidRPr="40B254B5">
        <w:rPr>
          <w:rFonts w:asciiTheme="majorHAnsi" w:eastAsiaTheme="majorEastAsia" w:hAnsiTheme="majorHAnsi" w:cstheme="majorBidi"/>
          <w:color w:val="000000" w:themeColor="text1"/>
        </w:rPr>
        <w:t>accountability rating methodology</w:t>
      </w:r>
      <w:r w:rsidRPr="40B254B5">
        <w:rPr>
          <w:rFonts w:asciiTheme="majorHAnsi" w:eastAsiaTheme="majorEastAsia" w:hAnsiTheme="majorHAnsi" w:cstheme="majorBidi"/>
          <w:color w:val="000000" w:themeColor="text1"/>
        </w:rPr>
        <w:t xml:space="preserve"> is essential to framing the new accountability system that the Board requested when it approved the NOIRA on August 31, 2023. VDOE staff will use this decision to begin drafting regulatory text to bring to the Board at the proposed stage of the current regulatory action.</w:t>
      </w:r>
      <w:r w:rsidRPr="40B254B5">
        <w:rPr>
          <w:rFonts w:asciiTheme="majorHAnsi" w:eastAsiaTheme="majorEastAsia" w:hAnsiTheme="majorHAnsi" w:cstheme="majorBidi"/>
        </w:rPr>
        <w:t xml:space="preserve"> </w:t>
      </w:r>
    </w:p>
    <w:p w14:paraId="0279A156" w14:textId="77777777" w:rsidR="006955FD" w:rsidRDefault="006955FD" w:rsidP="40B254B5">
      <w:pPr>
        <w:ind w:left="720"/>
        <w:rPr>
          <w:rFonts w:asciiTheme="majorHAnsi" w:eastAsiaTheme="majorEastAsia" w:hAnsiTheme="majorHAnsi" w:cstheme="majorBidi"/>
        </w:rPr>
      </w:pPr>
    </w:p>
    <w:p w14:paraId="0F2F0C61" w14:textId="77777777" w:rsidR="006955FD" w:rsidRDefault="006955FD" w:rsidP="40B254B5">
      <w:pPr>
        <w:pStyle w:val="Heading2"/>
        <w:rPr>
          <w:rFonts w:asciiTheme="majorHAnsi" w:eastAsiaTheme="majorEastAsia" w:hAnsiTheme="majorHAnsi" w:cstheme="majorBidi"/>
        </w:rPr>
      </w:pPr>
      <w:bookmarkStart w:id="13" w:name="_w5qk3aw7qqio"/>
      <w:bookmarkEnd w:id="13"/>
      <w:r w:rsidRPr="40B254B5">
        <w:rPr>
          <w:rFonts w:asciiTheme="majorHAnsi" w:eastAsiaTheme="majorEastAsia" w:hAnsiTheme="majorHAnsi" w:cstheme="majorBidi"/>
        </w:rPr>
        <w:t>Previous Review or Action</w:t>
      </w:r>
    </w:p>
    <w:p w14:paraId="1AFA9832" w14:textId="77777777" w:rsidR="006955FD" w:rsidRDefault="006955FD" w:rsidP="40B254B5">
      <w:pPr>
        <w:rPr>
          <w:rFonts w:asciiTheme="majorHAnsi" w:eastAsiaTheme="majorEastAsia" w:hAnsiTheme="majorHAnsi" w:cstheme="majorBidi"/>
        </w:rPr>
      </w:pPr>
      <w:r w:rsidRPr="40B254B5">
        <w:rPr>
          <w:rFonts w:asciiTheme="majorHAnsi" w:eastAsiaTheme="majorEastAsia" w:hAnsiTheme="majorHAnsi" w:cstheme="majorBidi"/>
        </w:rPr>
        <w:t xml:space="preserve">No previous review or action. </w:t>
      </w:r>
    </w:p>
    <w:p w14:paraId="1AAD6E10" w14:textId="77777777" w:rsidR="006955FD" w:rsidRDefault="006955FD" w:rsidP="40B254B5">
      <w:pPr>
        <w:spacing w:line="240" w:lineRule="auto"/>
        <w:rPr>
          <w:rFonts w:asciiTheme="majorHAnsi" w:eastAsiaTheme="majorEastAsia" w:hAnsiTheme="majorHAnsi" w:cstheme="majorBidi"/>
        </w:rPr>
      </w:pPr>
    </w:p>
    <w:p w14:paraId="0A6422A0" w14:textId="77777777" w:rsidR="006955FD" w:rsidRDefault="006955FD" w:rsidP="40B254B5">
      <w:pPr>
        <w:rPr>
          <w:rFonts w:asciiTheme="majorHAnsi" w:eastAsiaTheme="majorEastAsia" w:hAnsiTheme="majorHAnsi" w:cstheme="majorBidi"/>
        </w:rPr>
      </w:pPr>
      <w:bookmarkStart w:id="14" w:name="_4l4a85n09u6"/>
      <w:bookmarkEnd w:id="14"/>
      <w:r w:rsidRPr="40B254B5">
        <w:rPr>
          <w:rFonts w:asciiTheme="majorHAnsi" w:eastAsiaTheme="majorEastAsia" w:hAnsiTheme="majorHAnsi" w:cstheme="majorBidi"/>
        </w:rPr>
        <w:t xml:space="preserve">Section </w:t>
      </w:r>
      <w:hyperlink r:id="rId11">
        <w:r w:rsidRPr="40B254B5">
          <w:rPr>
            <w:rStyle w:val="Hyperlink"/>
            <w:rFonts w:asciiTheme="majorHAnsi" w:eastAsiaTheme="majorEastAsia" w:hAnsiTheme="majorHAnsi" w:cstheme="majorBidi"/>
          </w:rPr>
          <w:t>22.1-16</w:t>
        </w:r>
      </w:hyperlink>
      <w:r w:rsidRPr="40B254B5">
        <w:rPr>
          <w:rFonts w:asciiTheme="majorHAnsi" w:eastAsiaTheme="majorEastAsia" w:hAnsiTheme="majorHAnsi" w:cstheme="majorBidi"/>
        </w:rPr>
        <w:t xml:space="preserve"> of </w:t>
      </w:r>
      <w:r w:rsidRPr="40B254B5">
        <w:rPr>
          <w:rFonts w:asciiTheme="majorHAnsi" w:eastAsiaTheme="majorEastAsia" w:hAnsiTheme="majorHAnsi" w:cstheme="majorBidi"/>
          <w:i/>
          <w:iCs/>
        </w:rPr>
        <w:t>Code of Virginia</w:t>
      </w:r>
      <w:r w:rsidRPr="40B254B5">
        <w:rPr>
          <w:rFonts w:asciiTheme="majorHAnsi" w:eastAsiaTheme="majorEastAsia" w:hAnsiTheme="majorHAnsi" w:cstheme="majorBidi"/>
        </w:rPr>
        <w:t xml:space="preserve"> establishes the Board of Education’s authority to promulgate regulations that are necessary to fulfill its powers and responsibilities generally:</w:t>
      </w:r>
    </w:p>
    <w:p w14:paraId="3E90FA30" w14:textId="77777777" w:rsidR="006955FD" w:rsidRDefault="006955FD" w:rsidP="40B254B5">
      <w:pPr>
        <w:rPr>
          <w:rFonts w:asciiTheme="majorHAnsi" w:eastAsiaTheme="majorEastAsia" w:hAnsiTheme="majorHAnsi" w:cstheme="majorBidi"/>
        </w:rPr>
      </w:pPr>
    </w:p>
    <w:p w14:paraId="5ADAE7C4" w14:textId="77777777" w:rsidR="006955FD" w:rsidRDefault="006955FD" w:rsidP="40B254B5">
      <w:pPr>
        <w:ind w:left="720"/>
        <w:rPr>
          <w:rFonts w:asciiTheme="majorHAnsi" w:eastAsiaTheme="majorEastAsia" w:hAnsiTheme="majorHAnsi" w:cstheme="majorBidi"/>
        </w:rPr>
      </w:pPr>
      <w:r w:rsidRPr="40B254B5">
        <w:rPr>
          <w:rFonts w:asciiTheme="majorHAnsi" w:eastAsiaTheme="majorEastAsia" w:hAnsiTheme="majorHAnsi" w:cstheme="majorBidi"/>
        </w:rPr>
        <w:t>The Board of Education may adopt bylaws for its own government and promulgate such regulations as may be necessary to carry out its powers and duties and the provisions of this title.</w:t>
      </w:r>
    </w:p>
    <w:p w14:paraId="1AFA2C5D" w14:textId="77777777" w:rsidR="006955FD" w:rsidRDefault="006955FD" w:rsidP="40B254B5">
      <w:pPr>
        <w:rPr>
          <w:rFonts w:asciiTheme="majorHAnsi" w:eastAsiaTheme="majorEastAsia" w:hAnsiTheme="majorHAnsi" w:cstheme="majorBidi"/>
        </w:rPr>
      </w:pPr>
    </w:p>
    <w:p w14:paraId="0A849D51" w14:textId="77777777" w:rsidR="006955FD" w:rsidRDefault="006955FD" w:rsidP="40B254B5">
      <w:pPr>
        <w:rPr>
          <w:rFonts w:asciiTheme="majorHAnsi" w:eastAsiaTheme="majorEastAsia" w:hAnsiTheme="majorHAnsi" w:cstheme="majorBidi"/>
        </w:rPr>
      </w:pPr>
      <w:r w:rsidRPr="40B254B5">
        <w:rPr>
          <w:rFonts w:asciiTheme="majorHAnsi" w:eastAsiaTheme="majorEastAsia" w:hAnsiTheme="majorHAnsi" w:cstheme="majorBidi"/>
        </w:rPr>
        <w:t xml:space="preserve">The Board’s authority to promulgate regulations governing standards for accrediting public schools is found in § </w:t>
      </w:r>
      <w:hyperlink r:id="rId12">
        <w:r w:rsidRPr="40B254B5">
          <w:rPr>
            <w:rStyle w:val="Hyperlink"/>
            <w:rFonts w:asciiTheme="majorHAnsi" w:eastAsiaTheme="majorEastAsia" w:hAnsiTheme="majorHAnsi" w:cstheme="majorBidi"/>
          </w:rPr>
          <w:t>22.1-253.13</w:t>
        </w:r>
      </w:hyperlink>
      <w:r w:rsidRPr="40B254B5">
        <w:rPr>
          <w:rFonts w:asciiTheme="majorHAnsi" w:eastAsiaTheme="majorEastAsia" w:hAnsiTheme="majorHAnsi" w:cstheme="majorBidi"/>
        </w:rPr>
        <w:t xml:space="preserve">(A) of the </w:t>
      </w:r>
      <w:r w:rsidRPr="40B254B5">
        <w:rPr>
          <w:rFonts w:asciiTheme="majorHAnsi" w:eastAsiaTheme="majorEastAsia" w:hAnsiTheme="majorHAnsi" w:cstheme="majorBidi"/>
          <w:i/>
          <w:iCs/>
        </w:rPr>
        <w:t>Code of Virginia</w:t>
      </w:r>
      <w:r w:rsidRPr="40B254B5">
        <w:rPr>
          <w:rFonts w:asciiTheme="majorHAnsi" w:eastAsiaTheme="majorEastAsia" w:hAnsiTheme="majorHAnsi" w:cstheme="majorBidi"/>
        </w:rPr>
        <w:t>:</w:t>
      </w:r>
    </w:p>
    <w:p w14:paraId="1C93E260" w14:textId="77777777" w:rsidR="006955FD" w:rsidRDefault="006955FD" w:rsidP="40B254B5">
      <w:pPr>
        <w:rPr>
          <w:rFonts w:asciiTheme="majorHAnsi" w:eastAsiaTheme="majorEastAsia" w:hAnsiTheme="majorHAnsi" w:cstheme="majorBidi"/>
        </w:rPr>
      </w:pPr>
    </w:p>
    <w:p w14:paraId="70604E52" w14:textId="77777777" w:rsidR="006955FD" w:rsidRDefault="006955FD" w:rsidP="40B254B5">
      <w:pPr>
        <w:ind w:left="720"/>
        <w:rPr>
          <w:rFonts w:asciiTheme="majorHAnsi" w:eastAsiaTheme="majorEastAsia" w:hAnsiTheme="majorHAnsi" w:cstheme="majorBidi"/>
        </w:rPr>
      </w:pPr>
      <w:r w:rsidRPr="40B254B5">
        <w:rPr>
          <w:rFonts w:asciiTheme="majorHAnsi" w:eastAsiaTheme="majorEastAsia" w:hAnsiTheme="majorHAnsi" w:cstheme="majorBidi"/>
        </w:rPr>
        <w:t xml:space="preserve">The Board of Education shall promulgate regulations establishing standards for accreditation pursuant to the Administrative Process Act (§ 2.2-4000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w:t>
      </w:r>
      <w:r w:rsidRPr="40B254B5">
        <w:rPr>
          <w:rFonts w:asciiTheme="majorHAnsi" w:eastAsiaTheme="majorEastAsia" w:hAnsiTheme="majorHAnsi" w:cstheme="majorBidi"/>
        </w:rPr>
        <w:lastRenderedPageBreak/>
        <w:t>school, community relations, and the philosophy, goals, and objectives of public education in Virginia.</w:t>
      </w:r>
    </w:p>
    <w:p w14:paraId="39A98AA3" w14:textId="77777777" w:rsidR="006955FD" w:rsidRDefault="006955FD" w:rsidP="40B254B5">
      <w:pPr>
        <w:ind w:left="720"/>
        <w:rPr>
          <w:rFonts w:asciiTheme="majorHAnsi" w:eastAsiaTheme="majorEastAsia" w:hAnsiTheme="majorHAnsi" w:cstheme="majorBidi"/>
        </w:rPr>
      </w:pPr>
    </w:p>
    <w:p w14:paraId="383869F4" w14:textId="77777777" w:rsidR="006955FD" w:rsidRDefault="006955FD" w:rsidP="40B254B5">
      <w:pPr>
        <w:pStyle w:val="Heading2"/>
        <w:rPr>
          <w:rFonts w:asciiTheme="majorHAnsi" w:eastAsiaTheme="majorEastAsia" w:hAnsiTheme="majorHAnsi" w:cstheme="majorBidi"/>
        </w:rPr>
      </w:pPr>
      <w:r w:rsidRPr="40B254B5">
        <w:rPr>
          <w:rFonts w:asciiTheme="majorHAnsi" w:eastAsiaTheme="majorEastAsia" w:hAnsiTheme="majorHAnsi" w:cstheme="majorBidi"/>
        </w:rPr>
        <w:t>Stakeholder Engagement</w:t>
      </w:r>
    </w:p>
    <w:p w14:paraId="67458E34" w14:textId="77777777" w:rsidR="006955FD" w:rsidRDefault="006955FD" w:rsidP="40B254B5">
      <w:pPr>
        <w:rPr>
          <w:rFonts w:asciiTheme="majorHAnsi" w:eastAsiaTheme="majorEastAsia" w:hAnsiTheme="majorHAnsi" w:cstheme="majorBidi"/>
        </w:rPr>
      </w:pPr>
      <w:r w:rsidRPr="40B254B5">
        <w:rPr>
          <w:rFonts w:asciiTheme="majorHAnsi" w:eastAsiaTheme="majorEastAsia" w:hAnsiTheme="majorHAnsi" w:cstheme="majorBidi"/>
        </w:rPr>
        <w:t>Between June and August 2023, Superintendent Coons conducted stakeholder engagement meetings across Virginia, including the following:</w:t>
      </w:r>
    </w:p>
    <w:p w14:paraId="726D558D" w14:textId="77777777" w:rsidR="006955FD" w:rsidRDefault="006955FD" w:rsidP="40B254B5">
      <w:pPr>
        <w:rPr>
          <w:rFonts w:asciiTheme="majorHAnsi" w:eastAsiaTheme="majorEastAsia" w:hAnsiTheme="majorHAnsi" w:cstheme="majorBidi"/>
        </w:rPr>
      </w:pPr>
    </w:p>
    <w:p w14:paraId="6777FB4E" w14:textId="77777777" w:rsidR="006955FD" w:rsidRDefault="006955FD" w:rsidP="40B254B5">
      <w:pPr>
        <w:pStyle w:val="ListParagraph"/>
        <w:numPr>
          <w:ilvl w:val="0"/>
          <w:numId w:val="12"/>
        </w:numPr>
        <w:rPr>
          <w:rFonts w:asciiTheme="majorHAnsi" w:eastAsiaTheme="majorEastAsia" w:hAnsiTheme="majorHAnsi" w:cstheme="majorBidi"/>
        </w:rPr>
      </w:pPr>
      <w:r w:rsidRPr="40B254B5">
        <w:rPr>
          <w:rFonts w:asciiTheme="majorHAnsi" w:eastAsiaTheme="majorEastAsia" w:hAnsiTheme="majorHAnsi" w:cstheme="majorBidi"/>
        </w:rPr>
        <w:t xml:space="preserve">Eight regional superintendents’ meetings in </w:t>
      </w:r>
      <w:proofErr w:type="gramStart"/>
      <w:r w:rsidRPr="40B254B5">
        <w:rPr>
          <w:rFonts w:asciiTheme="majorHAnsi" w:eastAsiaTheme="majorEastAsia" w:hAnsiTheme="majorHAnsi" w:cstheme="majorBidi"/>
        </w:rPr>
        <w:t>June;</w:t>
      </w:r>
      <w:proofErr w:type="gramEnd"/>
    </w:p>
    <w:p w14:paraId="00F0CD8F" w14:textId="77777777" w:rsidR="006955FD" w:rsidRDefault="006955FD" w:rsidP="40B254B5">
      <w:pPr>
        <w:pStyle w:val="ListParagraph"/>
        <w:numPr>
          <w:ilvl w:val="0"/>
          <w:numId w:val="12"/>
        </w:numPr>
        <w:rPr>
          <w:rFonts w:asciiTheme="majorHAnsi" w:eastAsiaTheme="majorEastAsia" w:hAnsiTheme="majorHAnsi" w:cstheme="majorBidi"/>
        </w:rPr>
      </w:pPr>
      <w:r w:rsidRPr="40B254B5">
        <w:rPr>
          <w:rFonts w:asciiTheme="majorHAnsi" w:eastAsiaTheme="majorEastAsia" w:hAnsiTheme="majorHAnsi" w:cstheme="majorBidi"/>
        </w:rPr>
        <w:t>Virginia Association of Elementary School Principals (VAESP</w:t>
      </w:r>
      <w:proofErr w:type="gramStart"/>
      <w:r w:rsidRPr="40B254B5">
        <w:rPr>
          <w:rFonts w:asciiTheme="majorHAnsi" w:eastAsiaTheme="majorEastAsia" w:hAnsiTheme="majorHAnsi" w:cstheme="majorBidi"/>
        </w:rPr>
        <w:t>);</w:t>
      </w:r>
      <w:proofErr w:type="gramEnd"/>
    </w:p>
    <w:p w14:paraId="310AA1D8" w14:textId="77777777" w:rsidR="006955FD" w:rsidRDefault="006955FD" w:rsidP="40B254B5">
      <w:pPr>
        <w:pStyle w:val="ListParagraph"/>
        <w:numPr>
          <w:ilvl w:val="0"/>
          <w:numId w:val="12"/>
        </w:numPr>
        <w:rPr>
          <w:rFonts w:asciiTheme="majorHAnsi" w:eastAsiaTheme="majorEastAsia" w:hAnsiTheme="majorHAnsi" w:cstheme="majorBidi"/>
        </w:rPr>
      </w:pPr>
      <w:r w:rsidRPr="40B254B5">
        <w:rPr>
          <w:rFonts w:asciiTheme="majorHAnsi" w:eastAsiaTheme="majorEastAsia" w:hAnsiTheme="majorHAnsi" w:cstheme="majorBidi"/>
        </w:rPr>
        <w:t>Virginia Association of Secondary School Principals (VASSP) conferences; and</w:t>
      </w:r>
    </w:p>
    <w:p w14:paraId="7FEFAC77" w14:textId="77777777" w:rsidR="006955FD" w:rsidRDefault="006955FD" w:rsidP="40B254B5">
      <w:pPr>
        <w:pStyle w:val="ListParagraph"/>
        <w:numPr>
          <w:ilvl w:val="0"/>
          <w:numId w:val="12"/>
        </w:numPr>
        <w:rPr>
          <w:rFonts w:asciiTheme="majorHAnsi" w:eastAsiaTheme="majorEastAsia" w:hAnsiTheme="majorHAnsi" w:cstheme="majorBidi"/>
        </w:rPr>
      </w:pPr>
      <w:r w:rsidRPr="40B254B5">
        <w:rPr>
          <w:rFonts w:asciiTheme="majorHAnsi" w:eastAsiaTheme="majorEastAsia" w:hAnsiTheme="majorHAnsi" w:cstheme="majorBidi"/>
        </w:rPr>
        <w:t>Weekly superintendents meeting throughout during July and August</w:t>
      </w:r>
    </w:p>
    <w:p w14:paraId="28B84422" w14:textId="77777777" w:rsidR="006955FD" w:rsidRDefault="006955FD" w:rsidP="40B254B5">
      <w:pPr>
        <w:pStyle w:val="ListParagraph"/>
        <w:rPr>
          <w:rFonts w:asciiTheme="majorHAnsi" w:eastAsiaTheme="majorEastAsia" w:hAnsiTheme="majorHAnsi" w:cstheme="majorBidi"/>
        </w:rPr>
      </w:pPr>
    </w:p>
    <w:p w14:paraId="401AA7FD" w14:textId="77777777" w:rsidR="006955FD" w:rsidRDefault="006955FD" w:rsidP="40B254B5">
      <w:pPr>
        <w:rPr>
          <w:rFonts w:asciiTheme="majorHAnsi" w:eastAsiaTheme="majorEastAsia" w:hAnsiTheme="majorHAnsi" w:cstheme="majorBidi"/>
        </w:rPr>
      </w:pPr>
      <w:r w:rsidRPr="40B254B5">
        <w:rPr>
          <w:rFonts w:asciiTheme="majorHAnsi" w:eastAsiaTheme="majorEastAsia" w:hAnsiTheme="majorHAnsi" w:cstheme="majorBidi"/>
        </w:rPr>
        <w:t xml:space="preserve">VDOE will continue to conduct stakeholder engagement as the accountability system and measures are finalized. </w:t>
      </w:r>
    </w:p>
    <w:p w14:paraId="59AB745E" w14:textId="77777777" w:rsidR="006955FD" w:rsidRPr="00400867" w:rsidRDefault="006955FD" w:rsidP="40B254B5">
      <w:pPr>
        <w:rPr>
          <w:rFonts w:asciiTheme="majorHAnsi" w:eastAsiaTheme="majorEastAsia" w:hAnsiTheme="majorHAnsi" w:cstheme="majorBidi"/>
        </w:rPr>
      </w:pPr>
    </w:p>
    <w:p w14:paraId="219C23B9" w14:textId="77777777" w:rsidR="006955FD" w:rsidRDefault="006955FD" w:rsidP="40B254B5">
      <w:pPr>
        <w:pStyle w:val="Heading2"/>
        <w:rPr>
          <w:rFonts w:asciiTheme="majorHAnsi" w:eastAsiaTheme="majorEastAsia" w:hAnsiTheme="majorHAnsi" w:cstheme="majorBidi"/>
        </w:rPr>
      </w:pPr>
      <w:r w:rsidRPr="40B254B5">
        <w:rPr>
          <w:rFonts w:asciiTheme="majorHAnsi" w:eastAsiaTheme="majorEastAsia" w:hAnsiTheme="majorHAnsi" w:cstheme="majorBidi"/>
        </w:rPr>
        <w:t>Implementation and Communication</w:t>
      </w:r>
    </w:p>
    <w:p w14:paraId="7E13476C" w14:textId="04B17100" w:rsidR="006955FD" w:rsidRDefault="006955FD" w:rsidP="40B254B5">
      <w:pPr>
        <w:rPr>
          <w:rFonts w:asciiTheme="majorHAnsi" w:eastAsiaTheme="majorEastAsia" w:hAnsiTheme="majorHAnsi" w:cstheme="majorBidi"/>
          <w:sz w:val="22"/>
          <w:szCs w:val="22"/>
        </w:rPr>
      </w:pPr>
      <w:r w:rsidRPr="40B254B5">
        <w:rPr>
          <w:rFonts w:asciiTheme="majorHAnsi" w:eastAsiaTheme="majorEastAsia" w:hAnsiTheme="majorHAnsi" w:cstheme="majorBidi"/>
          <w:color w:val="000000" w:themeColor="text1"/>
        </w:rPr>
        <w:t xml:space="preserve">Following the Board’s approval of the </w:t>
      </w:r>
      <w:r w:rsidR="00DB3245" w:rsidRPr="40B254B5">
        <w:rPr>
          <w:rFonts w:asciiTheme="majorHAnsi" w:eastAsiaTheme="majorEastAsia" w:hAnsiTheme="majorHAnsi" w:cstheme="majorBidi"/>
          <w:color w:val="000000" w:themeColor="text1"/>
        </w:rPr>
        <w:t>accountability rating system</w:t>
      </w:r>
      <w:r w:rsidRPr="40B254B5">
        <w:rPr>
          <w:rFonts w:asciiTheme="majorHAnsi" w:eastAsiaTheme="majorEastAsia" w:hAnsiTheme="majorHAnsi" w:cstheme="majorBidi"/>
          <w:color w:val="000000" w:themeColor="text1"/>
        </w:rPr>
        <w:t xml:space="preserve">, VDOE staff will work with the accountability consultants to build the accountability system components. </w:t>
      </w:r>
    </w:p>
    <w:p w14:paraId="44A7E48F" w14:textId="77777777" w:rsidR="006955FD" w:rsidRDefault="006955FD" w:rsidP="40B254B5">
      <w:pPr>
        <w:rPr>
          <w:rFonts w:asciiTheme="majorHAnsi" w:eastAsiaTheme="majorEastAsia" w:hAnsiTheme="majorHAnsi" w:cstheme="majorBidi"/>
          <w:color w:val="000000" w:themeColor="text1"/>
        </w:rPr>
      </w:pPr>
    </w:p>
    <w:p w14:paraId="77F81232" w14:textId="77777777" w:rsidR="006955FD" w:rsidRDefault="006955FD" w:rsidP="40B254B5">
      <w:pPr>
        <w:rPr>
          <w:rFonts w:asciiTheme="majorHAnsi" w:eastAsiaTheme="majorEastAsia" w:hAnsiTheme="majorHAnsi" w:cstheme="majorBidi"/>
          <w:color w:val="000000" w:themeColor="text1"/>
        </w:rPr>
      </w:pPr>
      <w:r w:rsidRPr="40B254B5">
        <w:rPr>
          <w:rFonts w:asciiTheme="majorHAnsi" w:eastAsiaTheme="majorEastAsia" w:hAnsiTheme="majorHAnsi" w:cstheme="majorBidi"/>
          <w:color w:val="000000" w:themeColor="text1"/>
        </w:rPr>
        <w:t xml:space="preserve">This decision is a step in the Board’s current regulatory action on </w:t>
      </w:r>
      <w:hyperlink r:id="rId13">
        <w:r w:rsidRPr="40B254B5">
          <w:rPr>
            <w:rStyle w:val="Hyperlink"/>
            <w:rFonts w:asciiTheme="majorHAnsi" w:eastAsiaTheme="majorEastAsia" w:hAnsiTheme="majorHAnsi" w:cstheme="majorBidi"/>
          </w:rPr>
          <w:t>8VAC20-131</w:t>
        </w:r>
      </w:hyperlink>
      <w:r w:rsidRPr="40B254B5">
        <w:rPr>
          <w:rFonts w:asciiTheme="majorHAnsi" w:eastAsiaTheme="majorEastAsia" w:hAnsiTheme="majorHAnsi" w:cstheme="majorBidi"/>
          <w:color w:val="000000" w:themeColor="text1"/>
        </w:rPr>
        <w:t xml:space="preserve">. As VDOE staff drafts regulatory text for the Board to consider at the proposed stage, VDOE will engage stakeholders to ensure that the final accountability system is transparent. VDOE staff will provide the Board with regular updates.  </w:t>
      </w:r>
    </w:p>
    <w:p w14:paraId="02DEF69D" w14:textId="77777777" w:rsidR="006955FD" w:rsidRDefault="006955FD" w:rsidP="40B254B5">
      <w:pPr>
        <w:rPr>
          <w:rFonts w:asciiTheme="majorHAnsi" w:eastAsiaTheme="majorEastAsia" w:hAnsiTheme="majorHAnsi" w:cstheme="majorBidi"/>
        </w:rPr>
      </w:pPr>
    </w:p>
    <w:p w14:paraId="3EA78E9F" w14:textId="77777777" w:rsidR="006955FD" w:rsidRDefault="006955FD" w:rsidP="40B254B5">
      <w:pPr>
        <w:pStyle w:val="Heading2"/>
        <w:rPr>
          <w:rFonts w:asciiTheme="majorHAnsi" w:eastAsiaTheme="majorEastAsia" w:hAnsiTheme="majorHAnsi" w:cstheme="majorBidi"/>
        </w:rPr>
      </w:pPr>
      <w:bookmarkStart w:id="15" w:name="_b3843xqorbi9"/>
      <w:bookmarkEnd w:id="15"/>
      <w:r w:rsidRPr="40B254B5">
        <w:rPr>
          <w:rFonts w:asciiTheme="majorHAnsi" w:eastAsiaTheme="majorEastAsia" w:hAnsiTheme="majorHAnsi" w:cstheme="majorBidi"/>
        </w:rPr>
        <w:t xml:space="preserve">Impact on Fiscal and Human Resources: </w:t>
      </w:r>
    </w:p>
    <w:p w14:paraId="3D173C56" w14:textId="77777777" w:rsidR="006955FD" w:rsidRPr="00CF699C" w:rsidRDefault="006955FD" w:rsidP="40B254B5">
      <w:pPr>
        <w:rPr>
          <w:rFonts w:asciiTheme="majorHAnsi" w:eastAsiaTheme="majorEastAsia" w:hAnsiTheme="majorHAnsi" w:cstheme="majorBidi"/>
          <w:sz w:val="22"/>
          <w:szCs w:val="22"/>
        </w:rPr>
      </w:pPr>
      <w:r w:rsidRPr="40B254B5">
        <w:rPr>
          <w:rFonts w:asciiTheme="majorHAnsi" w:eastAsiaTheme="majorEastAsia" w:hAnsiTheme="majorHAnsi" w:cstheme="majorBidi"/>
          <w:color w:val="000000" w:themeColor="text1"/>
        </w:rPr>
        <w:t xml:space="preserve">The revisions can be absorbed by the agency’s existing resources at this time. If the agency is required to absorb additional responsibilities related to this activity, other services may be impacted. Additional resources are being considered </w:t>
      </w:r>
      <w:proofErr w:type="gramStart"/>
      <w:r w:rsidRPr="40B254B5">
        <w:rPr>
          <w:rFonts w:asciiTheme="majorHAnsi" w:eastAsiaTheme="majorEastAsia" w:hAnsiTheme="majorHAnsi" w:cstheme="majorBidi"/>
          <w:color w:val="000000" w:themeColor="text1"/>
        </w:rPr>
        <w:t>in order to</w:t>
      </w:r>
      <w:proofErr w:type="gramEnd"/>
      <w:r w:rsidRPr="40B254B5">
        <w:rPr>
          <w:rFonts w:asciiTheme="majorHAnsi" w:eastAsiaTheme="majorEastAsia" w:hAnsiTheme="majorHAnsi" w:cstheme="majorBidi"/>
          <w:color w:val="000000" w:themeColor="text1"/>
        </w:rPr>
        <w:t xml:space="preserve"> support implementation.</w:t>
      </w:r>
    </w:p>
    <w:p w14:paraId="45FB0818" w14:textId="24C749EE" w:rsidR="00AD0966" w:rsidRPr="00CF699C" w:rsidRDefault="00AD0966" w:rsidP="40B254B5">
      <w:pPr>
        <w:pStyle w:val="Heading2"/>
        <w:spacing w:line="240" w:lineRule="auto"/>
        <w:rPr>
          <w:rFonts w:asciiTheme="majorHAnsi" w:eastAsiaTheme="majorEastAsia" w:hAnsiTheme="majorHAnsi" w:cstheme="majorBidi"/>
          <w:sz w:val="22"/>
          <w:szCs w:val="22"/>
        </w:rPr>
      </w:pPr>
    </w:p>
    <w:sectPr w:rsidR="00AD0966" w:rsidRPr="00CF699C">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B423D" w14:textId="77777777" w:rsidR="00F75FA4" w:rsidRDefault="00F75FA4">
      <w:pPr>
        <w:spacing w:line="240" w:lineRule="auto"/>
      </w:pPr>
      <w:r>
        <w:separator/>
      </w:r>
    </w:p>
  </w:endnote>
  <w:endnote w:type="continuationSeparator" w:id="0">
    <w:p w14:paraId="373E8E67" w14:textId="77777777" w:rsidR="00F75FA4" w:rsidRDefault="00F75FA4">
      <w:pPr>
        <w:spacing w:line="240" w:lineRule="auto"/>
      </w:pPr>
      <w:r>
        <w:continuationSeparator/>
      </w:r>
    </w:p>
  </w:endnote>
  <w:endnote w:type="continuationNotice" w:id="1">
    <w:p w14:paraId="25411A04" w14:textId="77777777" w:rsidR="00F75FA4" w:rsidRDefault="00F75F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5BB6" w14:textId="77777777" w:rsidR="00F75FA4" w:rsidRDefault="00F75FA4">
      <w:pPr>
        <w:spacing w:line="240" w:lineRule="auto"/>
      </w:pPr>
      <w:r>
        <w:separator/>
      </w:r>
    </w:p>
  </w:footnote>
  <w:footnote w:type="continuationSeparator" w:id="0">
    <w:p w14:paraId="2EBB95C1" w14:textId="77777777" w:rsidR="00F75FA4" w:rsidRDefault="00F75FA4">
      <w:pPr>
        <w:spacing w:line="240" w:lineRule="auto"/>
      </w:pPr>
      <w:r>
        <w:continuationSeparator/>
      </w:r>
    </w:p>
  </w:footnote>
  <w:footnote w:type="continuationNotice" w:id="1">
    <w:p w14:paraId="03752C61" w14:textId="77777777" w:rsidR="00F75FA4" w:rsidRDefault="00F75F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6" w:name="_1y4a0gsejnud" w:colFirst="0" w:colLast="0"/>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62E6A52E"/>
    <w:lvl w:ilvl="0" w:tplc="49E66874">
      <w:start w:val="1"/>
      <w:numFmt w:val="bullet"/>
      <w:lvlText w:val=""/>
      <w:lvlJc w:val="left"/>
      <w:pPr>
        <w:ind w:left="720" w:hanging="360"/>
      </w:pPr>
      <w:rPr>
        <w:rFonts w:ascii="Symbol" w:hAnsi="Symbol" w:hint="default"/>
      </w:rPr>
    </w:lvl>
    <w:lvl w:ilvl="1" w:tplc="804C5814">
      <w:start w:val="1"/>
      <w:numFmt w:val="bullet"/>
      <w:lvlText w:val="o"/>
      <w:lvlJc w:val="left"/>
      <w:pPr>
        <w:ind w:left="1440" w:hanging="360"/>
      </w:pPr>
      <w:rPr>
        <w:rFonts w:ascii="Courier New" w:hAnsi="Courier New" w:hint="default"/>
      </w:rPr>
    </w:lvl>
    <w:lvl w:ilvl="2" w:tplc="63261156">
      <w:start w:val="1"/>
      <w:numFmt w:val="bullet"/>
      <w:lvlText w:val=""/>
      <w:lvlJc w:val="left"/>
      <w:pPr>
        <w:ind w:left="2160" w:hanging="360"/>
      </w:pPr>
      <w:rPr>
        <w:rFonts w:ascii="Wingdings" w:hAnsi="Wingdings" w:hint="default"/>
      </w:rPr>
    </w:lvl>
    <w:lvl w:ilvl="3" w:tplc="7E167C92">
      <w:start w:val="1"/>
      <w:numFmt w:val="bullet"/>
      <w:lvlText w:val=""/>
      <w:lvlJc w:val="left"/>
      <w:pPr>
        <w:ind w:left="2880" w:hanging="360"/>
      </w:pPr>
      <w:rPr>
        <w:rFonts w:ascii="Symbol" w:hAnsi="Symbol" w:hint="default"/>
      </w:rPr>
    </w:lvl>
    <w:lvl w:ilvl="4" w:tplc="7FA20B18">
      <w:start w:val="1"/>
      <w:numFmt w:val="bullet"/>
      <w:lvlText w:val="o"/>
      <w:lvlJc w:val="left"/>
      <w:pPr>
        <w:ind w:left="3600" w:hanging="360"/>
      </w:pPr>
      <w:rPr>
        <w:rFonts w:ascii="Courier New" w:hAnsi="Courier New" w:hint="default"/>
      </w:rPr>
    </w:lvl>
    <w:lvl w:ilvl="5" w:tplc="FF3AEFF0">
      <w:start w:val="1"/>
      <w:numFmt w:val="bullet"/>
      <w:lvlText w:val=""/>
      <w:lvlJc w:val="left"/>
      <w:pPr>
        <w:ind w:left="4320" w:hanging="360"/>
      </w:pPr>
      <w:rPr>
        <w:rFonts w:ascii="Wingdings" w:hAnsi="Wingdings" w:hint="default"/>
      </w:rPr>
    </w:lvl>
    <w:lvl w:ilvl="6" w:tplc="6A166746">
      <w:start w:val="1"/>
      <w:numFmt w:val="bullet"/>
      <w:lvlText w:val=""/>
      <w:lvlJc w:val="left"/>
      <w:pPr>
        <w:ind w:left="5040" w:hanging="360"/>
      </w:pPr>
      <w:rPr>
        <w:rFonts w:ascii="Symbol" w:hAnsi="Symbol" w:hint="default"/>
      </w:rPr>
    </w:lvl>
    <w:lvl w:ilvl="7" w:tplc="67ACB0FE">
      <w:start w:val="1"/>
      <w:numFmt w:val="bullet"/>
      <w:lvlText w:val="o"/>
      <w:lvlJc w:val="left"/>
      <w:pPr>
        <w:ind w:left="5760" w:hanging="360"/>
      </w:pPr>
      <w:rPr>
        <w:rFonts w:ascii="Courier New" w:hAnsi="Courier New" w:hint="default"/>
      </w:rPr>
    </w:lvl>
    <w:lvl w:ilvl="8" w:tplc="9B825776">
      <w:start w:val="1"/>
      <w:numFmt w:val="bullet"/>
      <w:lvlText w:val=""/>
      <w:lvlJc w:val="left"/>
      <w:pPr>
        <w:ind w:left="6480" w:hanging="360"/>
      </w:pPr>
      <w:rPr>
        <w:rFonts w:ascii="Wingdings" w:hAnsi="Wingdings" w:hint="default"/>
      </w:rPr>
    </w:lvl>
  </w:abstractNum>
  <w:abstractNum w:abstractNumId="1" w15:restartNumberingAfterBreak="0">
    <w:nsid w:val="27F811F3"/>
    <w:multiLevelType w:val="hybridMultilevel"/>
    <w:tmpl w:val="84D0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271D2"/>
    <w:multiLevelType w:val="hybridMultilevel"/>
    <w:tmpl w:val="8ECA841C"/>
    <w:lvl w:ilvl="0" w:tplc="8530231C">
      <w:start w:val="1"/>
      <w:numFmt w:val="bullet"/>
      <w:lvlText w:val="•"/>
      <w:lvlJc w:val="left"/>
      <w:pPr>
        <w:tabs>
          <w:tab w:val="num" w:pos="720"/>
        </w:tabs>
        <w:ind w:left="720" w:hanging="360"/>
      </w:pPr>
      <w:rPr>
        <w:rFonts w:ascii="Arial" w:hAnsi="Arial" w:hint="default"/>
      </w:rPr>
    </w:lvl>
    <w:lvl w:ilvl="1" w:tplc="3684EBAA">
      <w:start w:val="1"/>
      <w:numFmt w:val="bullet"/>
      <w:lvlText w:val="•"/>
      <w:lvlJc w:val="left"/>
      <w:pPr>
        <w:tabs>
          <w:tab w:val="num" w:pos="1440"/>
        </w:tabs>
        <w:ind w:left="1440" w:hanging="360"/>
      </w:pPr>
      <w:rPr>
        <w:rFonts w:ascii="Arial" w:hAnsi="Arial" w:hint="default"/>
      </w:rPr>
    </w:lvl>
    <w:lvl w:ilvl="2" w:tplc="9D9C1390" w:tentative="1">
      <w:start w:val="1"/>
      <w:numFmt w:val="bullet"/>
      <w:lvlText w:val="•"/>
      <w:lvlJc w:val="left"/>
      <w:pPr>
        <w:tabs>
          <w:tab w:val="num" w:pos="2160"/>
        </w:tabs>
        <w:ind w:left="2160" w:hanging="360"/>
      </w:pPr>
      <w:rPr>
        <w:rFonts w:ascii="Arial" w:hAnsi="Arial" w:hint="default"/>
      </w:rPr>
    </w:lvl>
    <w:lvl w:ilvl="3" w:tplc="C4605022" w:tentative="1">
      <w:start w:val="1"/>
      <w:numFmt w:val="bullet"/>
      <w:lvlText w:val="•"/>
      <w:lvlJc w:val="left"/>
      <w:pPr>
        <w:tabs>
          <w:tab w:val="num" w:pos="2880"/>
        </w:tabs>
        <w:ind w:left="2880" w:hanging="360"/>
      </w:pPr>
      <w:rPr>
        <w:rFonts w:ascii="Arial" w:hAnsi="Arial" w:hint="default"/>
      </w:rPr>
    </w:lvl>
    <w:lvl w:ilvl="4" w:tplc="9B92D790" w:tentative="1">
      <w:start w:val="1"/>
      <w:numFmt w:val="bullet"/>
      <w:lvlText w:val="•"/>
      <w:lvlJc w:val="left"/>
      <w:pPr>
        <w:tabs>
          <w:tab w:val="num" w:pos="3600"/>
        </w:tabs>
        <w:ind w:left="3600" w:hanging="360"/>
      </w:pPr>
      <w:rPr>
        <w:rFonts w:ascii="Arial" w:hAnsi="Arial" w:hint="default"/>
      </w:rPr>
    </w:lvl>
    <w:lvl w:ilvl="5" w:tplc="56905A4E" w:tentative="1">
      <w:start w:val="1"/>
      <w:numFmt w:val="bullet"/>
      <w:lvlText w:val="•"/>
      <w:lvlJc w:val="left"/>
      <w:pPr>
        <w:tabs>
          <w:tab w:val="num" w:pos="4320"/>
        </w:tabs>
        <w:ind w:left="4320" w:hanging="360"/>
      </w:pPr>
      <w:rPr>
        <w:rFonts w:ascii="Arial" w:hAnsi="Arial" w:hint="default"/>
      </w:rPr>
    </w:lvl>
    <w:lvl w:ilvl="6" w:tplc="D646B1E2" w:tentative="1">
      <w:start w:val="1"/>
      <w:numFmt w:val="bullet"/>
      <w:lvlText w:val="•"/>
      <w:lvlJc w:val="left"/>
      <w:pPr>
        <w:tabs>
          <w:tab w:val="num" w:pos="5040"/>
        </w:tabs>
        <w:ind w:left="5040" w:hanging="360"/>
      </w:pPr>
      <w:rPr>
        <w:rFonts w:ascii="Arial" w:hAnsi="Arial" w:hint="default"/>
      </w:rPr>
    </w:lvl>
    <w:lvl w:ilvl="7" w:tplc="B0C62290" w:tentative="1">
      <w:start w:val="1"/>
      <w:numFmt w:val="bullet"/>
      <w:lvlText w:val="•"/>
      <w:lvlJc w:val="left"/>
      <w:pPr>
        <w:tabs>
          <w:tab w:val="num" w:pos="5760"/>
        </w:tabs>
        <w:ind w:left="5760" w:hanging="360"/>
      </w:pPr>
      <w:rPr>
        <w:rFonts w:ascii="Arial" w:hAnsi="Arial" w:hint="default"/>
      </w:rPr>
    </w:lvl>
    <w:lvl w:ilvl="8" w:tplc="3A94BD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4C6751"/>
    <w:multiLevelType w:val="hybridMultilevel"/>
    <w:tmpl w:val="C95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9D571"/>
    <w:multiLevelType w:val="hybridMultilevel"/>
    <w:tmpl w:val="210E6EFA"/>
    <w:lvl w:ilvl="0" w:tplc="0408EC0C">
      <w:start w:val="1"/>
      <w:numFmt w:val="bullet"/>
      <w:lvlText w:val=""/>
      <w:lvlJc w:val="left"/>
      <w:pPr>
        <w:ind w:left="720" w:hanging="360"/>
      </w:pPr>
      <w:rPr>
        <w:rFonts w:ascii="Symbol" w:hAnsi="Symbol" w:hint="default"/>
      </w:rPr>
    </w:lvl>
    <w:lvl w:ilvl="1" w:tplc="506CCE94">
      <w:start w:val="1"/>
      <w:numFmt w:val="bullet"/>
      <w:lvlText w:val="○"/>
      <w:lvlJc w:val="left"/>
      <w:pPr>
        <w:ind w:left="1440" w:hanging="360"/>
      </w:pPr>
      <w:rPr>
        <w:rFonts w:ascii="Symbol" w:hAnsi="Symbol" w:hint="default"/>
      </w:rPr>
    </w:lvl>
    <w:lvl w:ilvl="2" w:tplc="A7282198">
      <w:start w:val="1"/>
      <w:numFmt w:val="bullet"/>
      <w:lvlText w:val=""/>
      <w:lvlJc w:val="left"/>
      <w:pPr>
        <w:ind w:left="2160" w:hanging="360"/>
      </w:pPr>
      <w:rPr>
        <w:rFonts w:ascii="Wingdings" w:hAnsi="Wingdings" w:hint="default"/>
      </w:rPr>
    </w:lvl>
    <w:lvl w:ilvl="3" w:tplc="24F06D74">
      <w:start w:val="1"/>
      <w:numFmt w:val="bullet"/>
      <w:lvlText w:val=""/>
      <w:lvlJc w:val="left"/>
      <w:pPr>
        <w:ind w:left="2880" w:hanging="360"/>
      </w:pPr>
      <w:rPr>
        <w:rFonts w:ascii="Symbol" w:hAnsi="Symbol" w:hint="default"/>
      </w:rPr>
    </w:lvl>
    <w:lvl w:ilvl="4" w:tplc="52FC1460">
      <w:start w:val="1"/>
      <w:numFmt w:val="bullet"/>
      <w:lvlText w:val="o"/>
      <w:lvlJc w:val="left"/>
      <w:pPr>
        <w:ind w:left="3600" w:hanging="360"/>
      </w:pPr>
      <w:rPr>
        <w:rFonts w:ascii="Courier New" w:hAnsi="Courier New" w:hint="default"/>
      </w:rPr>
    </w:lvl>
    <w:lvl w:ilvl="5" w:tplc="E47E70E8">
      <w:start w:val="1"/>
      <w:numFmt w:val="bullet"/>
      <w:lvlText w:val=""/>
      <w:lvlJc w:val="left"/>
      <w:pPr>
        <w:ind w:left="4320" w:hanging="360"/>
      </w:pPr>
      <w:rPr>
        <w:rFonts w:ascii="Wingdings" w:hAnsi="Wingdings" w:hint="default"/>
      </w:rPr>
    </w:lvl>
    <w:lvl w:ilvl="6" w:tplc="EAA44BBE">
      <w:start w:val="1"/>
      <w:numFmt w:val="bullet"/>
      <w:lvlText w:val=""/>
      <w:lvlJc w:val="left"/>
      <w:pPr>
        <w:ind w:left="5040" w:hanging="360"/>
      </w:pPr>
      <w:rPr>
        <w:rFonts w:ascii="Symbol" w:hAnsi="Symbol" w:hint="default"/>
      </w:rPr>
    </w:lvl>
    <w:lvl w:ilvl="7" w:tplc="219005FA">
      <w:start w:val="1"/>
      <w:numFmt w:val="bullet"/>
      <w:lvlText w:val="o"/>
      <w:lvlJc w:val="left"/>
      <w:pPr>
        <w:ind w:left="5760" w:hanging="360"/>
      </w:pPr>
      <w:rPr>
        <w:rFonts w:ascii="Courier New" w:hAnsi="Courier New" w:hint="default"/>
      </w:rPr>
    </w:lvl>
    <w:lvl w:ilvl="8" w:tplc="9146AFB2">
      <w:start w:val="1"/>
      <w:numFmt w:val="bullet"/>
      <w:lvlText w:val=""/>
      <w:lvlJc w:val="left"/>
      <w:pPr>
        <w:ind w:left="6480" w:hanging="360"/>
      </w:pPr>
      <w:rPr>
        <w:rFonts w:ascii="Wingdings" w:hAnsi="Wingdings" w:hint="default"/>
      </w:rPr>
    </w:lvl>
  </w:abstractNum>
  <w:abstractNum w:abstractNumId="5" w15:restartNumberingAfterBreak="0">
    <w:nsid w:val="3BC12421"/>
    <w:multiLevelType w:val="hybridMultilevel"/>
    <w:tmpl w:val="5F3AC3F0"/>
    <w:lvl w:ilvl="0" w:tplc="79A8A7A2">
      <w:start w:val="1"/>
      <w:numFmt w:val="decimal"/>
      <w:lvlText w:val="%1."/>
      <w:lvlJc w:val="left"/>
      <w:pPr>
        <w:tabs>
          <w:tab w:val="num" w:pos="720"/>
        </w:tabs>
        <w:ind w:left="720" w:hanging="360"/>
      </w:pPr>
    </w:lvl>
    <w:lvl w:ilvl="1" w:tplc="A088EB0E" w:tentative="1">
      <w:start w:val="1"/>
      <w:numFmt w:val="decimal"/>
      <w:lvlText w:val="%2."/>
      <w:lvlJc w:val="left"/>
      <w:pPr>
        <w:tabs>
          <w:tab w:val="num" w:pos="1440"/>
        </w:tabs>
        <w:ind w:left="1440" w:hanging="360"/>
      </w:pPr>
    </w:lvl>
    <w:lvl w:ilvl="2" w:tplc="265C1D7E" w:tentative="1">
      <w:start w:val="1"/>
      <w:numFmt w:val="decimal"/>
      <w:lvlText w:val="%3."/>
      <w:lvlJc w:val="left"/>
      <w:pPr>
        <w:tabs>
          <w:tab w:val="num" w:pos="2160"/>
        </w:tabs>
        <w:ind w:left="2160" w:hanging="360"/>
      </w:pPr>
    </w:lvl>
    <w:lvl w:ilvl="3" w:tplc="C1C67898" w:tentative="1">
      <w:start w:val="1"/>
      <w:numFmt w:val="decimal"/>
      <w:lvlText w:val="%4."/>
      <w:lvlJc w:val="left"/>
      <w:pPr>
        <w:tabs>
          <w:tab w:val="num" w:pos="2880"/>
        </w:tabs>
        <w:ind w:left="2880" w:hanging="360"/>
      </w:pPr>
    </w:lvl>
    <w:lvl w:ilvl="4" w:tplc="FBE06ED0" w:tentative="1">
      <w:start w:val="1"/>
      <w:numFmt w:val="decimal"/>
      <w:lvlText w:val="%5."/>
      <w:lvlJc w:val="left"/>
      <w:pPr>
        <w:tabs>
          <w:tab w:val="num" w:pos="3600"/>
        </w:tabs>
        <w:ind w:left="3600" w:hanging="360"/>
      </w:pPr>
    </w:lvl>
    <w:lvl w:ilvl="5" w:tplc="AF225F3C" w:tentative="1">
      <w:start w:val="1"/>
      <w:numFmt w:val="decimal"/>
      <w:lvlText w:val="%6."/>
      <w:lvlJc w:val="left"/>
      <w:pPr>
        <w:tabs>
          <w:tab w:val="num" w:pos="4320"/>
        </w:tabs>
        <w:ind w:left="4320" w:hanging="360"/>
      </w:pPr>
    </w:lvl>
    <w:lvl w:ilvl="6" w:tplc="E04C8268" w:tentative="1">
      <w:start w:val="1"/>
      <w:numFmt w:val="decimal"/>
      <w:lvlText w:val="%7."/>
      <w:lvlJc w:val="left"/>
      <w:pPr>
        <w:tabs>
          <w:tab w:val="num" w:pos="5040"/>
        </w:tabs>
        <w:ind w:left="5040" w:hanging="360"/>
      </w:pPr>
    </w:lvl>
    <w:lvl w:ilvl="7" w:tplc="64E656D6" w:tentative="1">
      <w:start w:val="1"/>
      <w:numFmt w:val="decimal"/>
      <w:lvlText w:val="%8."/>
      <w:lvlJc w:val="left"/>
      <w:pPr>
        <w:tabs>
          <w:tab w:val="num" w:pos="5760"/>
        </w:tabs>
        <w:ind w:left="5760" w:hanging="360"/>
      </w:pPr>
    </w:lvl>
    <w:lvl w:ilvl="8" w:tplc="B7106B94" w:tentative="1">
      <w:start w:val="1"/>
      <w:numFmt w:val="decimal"/>
      <w:lvlText w:val="%9."/>
      <w:lvlJc w:val="left"/>
      <w:pPr>
        <w:tabs>
          <w:tab w:val="num" w:pos="6480"/>
        </w:tabs>
        <w:ind w:left="6480" w:hanging="360"/>
      </w:pPr>
    </w:lvl>
  </w:abstractNum>
  <w:abstractNum w:abstractNumId="6"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E6348"/>
    <w:multiLevelType w:val="hybridMultilevel"/>
    <w:tmpl w:val="180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134E24"/>
    <w:multiLevelType w:val="hybridMultilevel"/>
    <w:tmpl w:val="0F3E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30F1C"/>
    <w:multiLevelType w:val="hybridMultilevel"/>
    <w:tmpl w:val="AC70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482796">
    <w:abstractNumId w:val="4"/>
  </w:num>
  <w:num w:numId="2" w16cid:durableId="1350642328">
    <w:abstractNumId w:val="0"/>
  </w:num>
  <w:num w:numId="3" w16cid:durableId="951521428">
    <w:abstractNumId w:val="12"/>
  </w:num>
  <w:num w:numId="4" w16cid:durableId="1442408806">
    <w:abstractNumId w:val="8"/>
  </w:num>
  <w:num w:numId="5" w16cid:durableId="1261718262">
    <w:abstractNumId w:val="11"/>
  </w:num>
  <w:num w:numId="6" w16cid:durableId="1076704145">
    <w:abstractNumId w:val="6"/>
  </w:num>
  <w:num w:numId="7" w16cid:durableId="770584785">
    <w:abstractNumId w:val="10"/>
  </w:num>
  <w:num w:numId="8" w16cid:durableId="1287855143">
    <w:abstractNumId w:val="7"/>
  </w:num>
  <w:num w:numId="9" w16cid:durableId="132526690">
    <w:abstractNumId w:val="15"/>
  </w:num>
  <w:num w:numId="10" w16cid:durableId="1696693502">
    <w:abstractNumId w:val="14"/>
  </w:num>
  <w:num w:numId="11" w16cid:durableId="1923876775">
    <w:abstractNumId w:val="3"/>
  </w:num>
  <w:num w:numId="12" w16cid:durableId="1944650500">
    <w:abstractNumId w:val="9"/>
  </w:num>
  <w:num w:numId="13" w16cid:durableId="844437687">
    <w:abstractNumId w:val="5"/>
  </w:num>
  <w:num w:numId="14" w16cid:durableId="353389840">
    <w:abstractNumId w:val="1"/>
  </w:num>
  <w:num w:numId="15" w16cid:durableId="438111417">
    <w:abstractNumId w:val="2"/>
  </w:num>
  <w:num w:numId="16" w16cid:durableId="2039815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0CE7"/>
    <w:rsid w:val="000031FD"/>
    <w:rsid w:val="00003734"/>
    <w:rsid w:val="00004F83"/>
    <w:rsid w:val="000076EB"/>
    <w:rsid w:val="000223E2"/>
    <w:rsid w:val="00033EBE"/>
    <w:rsid w:val="000448A4"/>
    <w:rsid w:val="00046F5D"/>
    <w:rsid w:val="000737F7"/>
    <w:rsid w:val="00085FCB"/>
    <w:rsid w:val="000861AF"/>
    <w:rsid w:val="00094AF3"/>
    <w:rsid w:val="000A3379"/>
    <w:rsid w:val="000C11C7"/>
    <w:rsid w:val="000D796E"/>
    <w:rsid w:val="000E586F"/>
    <w:rsid w:val="000F1A9E"/>
    <w:rsid w:val="00112057"/>
    <w:rsid w:val="001318E5"/>
    <w:rsid w:val="00142CF9"/>
    <w:rsid w:val="00145895"/>
    <w:rsid w:val="00150356"/>
    <w:rsid w:val="00153D99"/>
    <w:rsid w:val="001667ED"/>
    <w:rsid w:val="001676D0"/>
    <w:rsid w:val="00167BC5"/>
    <w:rsid w:val="001734FF"/>
    <w:rsid w:val="0018587A"/>
    <w:rsid w:val="001B5FC2"/>
    <w:rsid w:val="001D03BF"/>
    <w:rsid w:val="001E412D"/>
    <w:rsid w:val="001E639D"/>
    <w:rsid w:val="002125F3"/>
    <w:rsid w:val="00222BA7"/>
    <w:rsid w:val="00226CBA"/>
    <w:rsid w:val="00233635"/>
    <w:rsid w:val="0024489D"/>
    <w:rsid w:val="00245ECE"/>
    <w:rsid w:val="00256ECB"/>
    <w:rsid w:val="00262C5F"/>
    <w:rsid w:val="002B1968"/>
    <w:rsid w:val="002C1DF0"/>
    <w:rsid w:val="002C26E8"/>
    <w:rsid w:val="002C58C8"/>
    <w:rsid w:val="002C63E4"/>
    <w:rsid w:val="002E1EBF"/>
    <w:rsid w:val="002E572E"/>
    <w:rsid w:val="002F07CF"/>
    <w:rsid w:val="002F0805"/>
    <w:rsid w:val="002F0A0B"/>
    <w:rsid w:val="00304C42"/>
    <w:rsid w:val="003250DB"/>
    <w:rsid w:val="00346625"/>
    <w:rsid w:val="003547C1"/>
    <w:rsid w:val="00373BCA"/>
    <w:rsid w:val="00383AA8"/>
    <w:rsid w:val="00386C34"/>
    <w:rsid w:val="00396E5E"/>
    <w:rsid w:val="003C0ED0"/>
    <w:rsid w:val="003C1E7D"/>
    <w:rsid w:val="003C68D8"/>
    <w:rsid w:val="003D0929"/>
    <w:rsid w:val="003D7CBA"/>
    <w:rsid w:val="003E202F"/>
    <w:rsid w:val="003E7E51"/>
    <w:rsid w:val="00400867"/>
    <w:rsid w:val="0040179E"/>
    <w:rsid w:val="00413DB3"/>
    <w:rsid w:val="00423FA4"/>
    <w:rsid w:val="00424638"/>
    <w:rsid w:val="004521C7"/>
    <w:rsid w:val="00462AA1"/>
    <w:rsid w:val="00466FD6"/>
    <w:rsid w:val="0047628A"/>
    <w:rsid w:val="00482423"/>
    <w:rsid w:val="004829D8"/>
    <w:rsid w:val="00493A3F"/>
    <w:rsid w:val="004964D7"/>
    <w:rsid w:val="004A5C76"/>
    <w:rsid w:val="004A78B9"/>
    <w:rsid w:val="004B3EE3"/>
    <w:rsid w:val="004C0EDA"/>
    <w:rsid w:val="004D0CE0"/>
    <w:rsid w:val="004F1BA0"/>
    <w:rsid w:val="004F3495"/>
    <w:rsid w:val="00502CF7"/>
    <w:rsid w:val="00514D6B"/>
    <w:rsid w:val="00515CF6"/>
    <w:rsid w:val="00530976"/>
    <w:rsid w:val="00536168"/>
    <w:rsid w:val="00543A07"/>
    <w:rsid w:val="00554E0D"/>
    <w:rsid w:val="005712F3"/>
    <w:rsid w:val="00575497"/>
    <w:rsid w:val="0058012C"/>
    <w:rsid w:val="00582574"/>
    <w:rsid w:val="0059424A"/>
    <w:rsid w:val="00594984"/>
    <w:rsid w:val="005957D8"/>
    <w:rsid w:val="00595F69"/>
    <w:rsid w:val="005A06E4"/>
    <w:rsid w:val="005A5296"/>
    <w:rsid w:val="005B4CCF"/>
    <w:rsid w:val="005C2AEC"/>
    <w:rsid w:val="005C77D9"/>
    <w:rsid w:val="005F46E7"/>
    <w:rsid w:val="005F5E50"/>
    <w:rsid w:val="005F6983"/>
    <w:rsid w:val="00601B01"/>
    <w:rsid w:val="00616BA0"/>
    <w:rsid w:val="00636F73"/>
    <w:rsid w:val="006458BD"/>
    <w:rsid w:val="00647E6F"/>
    <w:rsid w:val="006548BE"/>
    <w:rsid w:val="006665F0"/>
    <w:rsid w:val="00685C6A"/>
    <w:rsid w:val="00687276"/>
    <w:rsid w:val="00690D19"/>
    <w:rsid w:val="0069473A"/>
    <w:rsid w:val="006955FD"/>
    <w:rsid w:val="00696B6F"/>
    <w:rsid w:val="006B47C0"/>
    <w:rsid w:val="006BB957"/>
    <w:rsid w:val="006C1FF6"/>
    <w:rsid w:val="006D01FF"/>
    <w:rsid w:val="006D2D70"/>
    <w:rsid w:val="007016B5"/>
    <w:rsid w:val="00705090"/>
    <w:rsid w:val="0070798A"/>
    <w:rsid w:val="00730AFE"/>
    <w:rsid w:val="007620D0"/>
    <w:rsid w:val="00766062"/>
    <w:rsid w:val="00771430"/>
    <w:rsid w:val="00774D0F"/>
    <w:rsid w:val="00793CA5"/>
    <w:rsid w:val="00794634"/>
    <w:rsid w:val="007B3568"/>
    <w:rsid w:val="007B4A15"/>
    <w:rsid w:val="007C0673"/>
    <w:rsid w:val="007C46CB"/>
    <w:rsid w:val="007D3C46"/>
    <w:rsid w:val="007D4EB1"/>
    <w:rsid w:val="007E7CA2"/>
    <w:rsid w:val="00816646"/>
    <w:rsid w:val="00830A94"/>
    <w:rsid w:val="008319A9"/>
    <w:rsid w:val="0084442E"/>
    <w:rsid w:val="008477CB"/>
    <w:rsid w:val="00851CD4"/>
    <w:rsid w:val="00865256"/>
    <w:rsid w:val="008838E9"/>
    <w:rsid w:val="00886DA5"/>
    <w:rsid w:val="0089503C"/>
    <w:rsid w:val="008A0C9A"/>
    <w:rsid w:val="008A4707"/>
    <w:rsid w:val="008B4C52"/>
    <w:rsid w:val="008B61BA"/>
    <w:rsid w:val="008B6780"/>
    <w:rsid w:val="008C6AA0"/>
    <w:rsid w:val="008D76BF"/>
    <w:rsid w:val="008D7AA9"/>
    <w:rsid w:val="00904172"/>
    <w:rsid w:val="00910BA9"/>
    <w:rsid w:val="00917263"/>
    <w:rsid w:val="00926ABB"/>
    <w:rsid w:val="00927DFD"/>
    <w:rsid w:val="009307E3"/>
    <w:rsid w:val="00953F7B"/>
    <w:rsid w:val="009725DE"/>
    <w:rsid w:val="00973868"/>
    <w:rsid w:val="00974654"/>
    <w:rsid w:val="00975E30"/>
    <w:rsid w:val="00982085"/>
    <w:rsid w:val="00984EBD"/>
    <w:rsid w:val="00990EB2"/>
    <w:rsid w:val="00995A79"/>
    <w:rsid w:val="009A6329"/>
    <w:rsid w:val="009D1739"/>
    <w:rsid w:val="009D2613"/>
    <w:rsid w:val="009D29B0"/>
    <w:rsid w:val="009E236C"/>
    <w:rsid w:val="009F1299"/>
    <w:rsid w:val="00A246D7"/>
    <w:rsid w:val="00A42C96"/>
    <w:rsid w:val="00A53FB7"/>
    <w:rsid w:val="00A54344"/>
    <w:rsid w:val="00A55CCB"/>
    <w:rsid w:val="00A668E8"/>
    <w:rsid w:val="00A67AB8"/>
    <w:rsid w:val="00A7067A"/>
    <w:rsid w:val="00A73DF9"/>
    <w:rsid w:val="00AC4200"/>
    <w:rsid w:val="00AC5445"/>
    <w:rsid w:val="00AD0966"/>
    <w:rsid w:val="00AF6969"/>
    <w:rsid w:val="00AF76DC"/>
    <w:rsid w:val="00B1625C"/>
    <w:rsid w:val="00B20D9D"/>
    <w:rsid w:val="00B21AF9"/>
    <w:rsid w:val="00B36F1A"/>
    <w:rsid w:val="00B61F96"/>
    <w:rsid w:val="00B80EA9"/>
    <w:rsid w:val="00B83721"/>
    <w:rsid w:val="00B956B6"/>
    <w:rsid w:val="00B957CD"/>
    <w:rsid w:val="00BA0BC0"/>
    <w:rsid w:val="00BA26BA"/>
    <w:rsid w:val="00BA546C"/>
    <w:rsid w:val="00BA5BA4"/>
    <w:rsid w:val="00BA6A21"/>
    <w:rsid w:val="00BC590A"/>
    <w:rsid w:val="00BC7BB8"/>
    <w:rsid w:val="00BD2A00"/>
    <w:rsid w:val="00BD4ABD"/>
    <w:rsid w:val="00C05AF8"/>
    <w:rsid w:val="00C11A83"/>
    <w:rsid w:val="00C41309"/>
    <w:rsid w:val="00C64636"/>
    <w:rsid w:val="00C76BB4"/>
    <w:rsid w:val="00CB573C"/>
    <w:rsid w:val="00CD2A7C"/>
    <w:rsid w:val="00CD7387"/>
    <w:rsid w:val="00CE1AC5"/>
    <w:rsid w:val="00CF699C"/>
    <w:rsid w:val="00D05CB5"/>
    <w:rsid w:val="00D12E17"/>
    <w:rsid w:val="00D13E65"/>
    <w:rsid w:val="00D226BD"/>
    <w:rsid w:val="00D27ACE"/>
    <w:rsid w:val="00D31432"/>
    <w:rsid w:val="00D32FD7"/>
    <w:rsid w:val="00D33A72"/>
    <w:rsid w:val="00D34C4F"/>
    <w:rsid w:val="00D438DD"/>
    <w:rsid w:val="00D55993"/>
    <w:rsid w:val="00D57EA3"/>
    <w:rsid w:val="00D814E6"/>
    <w:rsid w:val="00DA06EB"/>
    <w:rsid w:val="00DA4738"/>
    <w:rsid w:val="00DA4A25"/>
    <w:rsid w:val="00DB2C06"/>
    <w:rsid w:val="00DB3245"/>
    <w:rsid w:val="00DC38A4"/>
    <w:rsid w:val="00DC42A9"/>
    <w:rsid w:val="00DD4397"/>
    <w:rsid w:val="00DD7013"/>
    <w:rsid w:val="00DE01F7"/>
    <w:rsid w:val="00DF1598"/>
    <w:rsid w:val="00DF4B70"/>
    <w:rsid w:val="00DF63A5"/>
    <w:rsid w:val="00E00B22"/>
    <w:rsid w:val="00E10646"/>
    <w:rsid w:val="00E3136D"/>
    <w:rsid w:val="00E34067"/>
    <w:rsid w:val="00E40DE6"/>
    <w:rsid w:val="00E541B3"/>
    <w:rsid w:val="00E6070E"/>
    <w:rsid w:val="00E65CDD"/>
    <w:rsid w:val="00E6719B"/>
    <w:rsid w:val="00E7168C"/>
    <w:rsid w:val="00E76DAF"/>
    <w:rsid w:val="00E85FD1"/>
    <w:rsid w:val="00E90C79"/>
    <w:rsid w:val="00E963D8"/>
    <w:rsid w:val="00EA49A0"/>
    <w:rsid w:val="00EA59E1"/>
    <w:rsid w:val="00EB1251"/>
    <w:rsid w:val="00EB66F1"/>
    <w:rsid w:val="00EE712F"/>
    <w:rsid w:val="00F07DC1"/>
    <w:rsid w:val="00F15E32"/>
    <w:rsid w:val="00F16EFA"/>
    <w:rsid w:val="00F233D0"/>
    <w:rsid w:val="00F343B9"/>
    <w:rsid w:val="00F44DAA"/>
    <w:rsid w:val="00F60F6D"/>
    <w:rsid w:val="00F741D3"/>
    <w:rsid w:val="00F75FA4"/>
    <w:rsid w:val="00F90E8E"/>
    <w:rsid w:val="00F940EA"/>
    <w:rsid w:val="00F94597"/>
    <w:rsid w:val="00F94CC7"/>
    <w:rsid w:val="00FA0C92"/>
    <w:rsid w:val="00FA1DA6"/>
    <w:rsid w:val="00FA31ED"/>
    <w:rsid w:val="00FA44AC"/>
    <w:rsid w:val="00FA756A"/>
    <w:rsid w:val="00FA9E68"/>
    <w:rsid w:val="00FC6320"/>
    <w:rsid w:val="00FD120D"/>
    <w:rsid w:val="00FE32C5"/>
    <w:rsid w:val="00FF3941"/>
    <w:rsid w:val="0185CEA7"/>
    <w:rsid w:val="0296F3D1"/>
    <w:rsid w:val="029FF34C"/>
    <w:rsid w:val="02D0B3BC"/>
    <w:rsid w:val="03D182E4"/>
    <w:rsid w:val="04323F2A"/>
    <w:rsid w:val="04817297"/>
    <w:rsid w:val="049AE6C0"/>
    <w:rsid w:val="04B8242A"/>
    <w:rsid w:val="0641E2D4"/>
    <w:rsid w:val="085F5D5B"/>
    <w:rsid w:val="090D9DD3"/>
    <w:rsid w:val="0A08E200"/>
    <w:rsid w:val="0A7E37F7"/>
    <w:rsid w:val="0C50A33E"/>
    <w:rsid w:val="0CC08700"/>
    <w:rsid w:val="0CD06ED4"/>
    <w:rsid w:val="0E14F5EB"/>
    <w:rsid w:val="0E6C3F35"/>
    <w:rsid w:val="10080F96"/>
    <w:rsid w:val="11574709"/>
    <w:rsid w:val="11E5E082"/>
    <w:rsid w:val="1296270E"/>
    <w:rsid w:val="12DF8DD6"/>
    <w:rsid w:val="142BA89D"/>
    <w:rsid w:val="15BD3D42"/>
    <w:rsid w:val="165E28BD"/>
    <w:rsid w:val="1669076B"/>
    <w:rsid w:val="1AB5D861"/>
    <w:rsid w:val="1ABF91FE"/>
    <w:rsid w:val="1BDA96E8"/>
    <w:rsid w:val="1C25DFB5"/>
    <w:rsid w:val="1D82F214"/>
    <w:rsid w:val="1E4B67D6"/>
    <w:rsid w:val="208C096D"/>
    <w:rsid w:val="21597324"/>
    <w:rsid w:val="22CA9C4B"/>
    <w:rsid w:val="22F63FA4"/>
    <w:rsid w:val="24B5E7ED"/>
    <w:rsid w:val="255E9AD8"/>
    <w:rsid w:val="257684DB"/>
    <w:rsid w:val="25C64121"/>
    <w:rsid w:val="25F109CE"/>
    <w:rsid w:val="292FB77C"/>
    <w:rsid w:val="2976A1E8"/>
    <w:rsid w:val="2B031242"/>
    <w:rsid w:val="2C9EE2A3"/>
    <w:rsid w:val="2D12CF52"/>
    <w:rsid w:val="2E605803"/>
    <w:rsid w:val="321F8C33"/>
    <w:rsid w:val="34FF01EC"/>
    <w:rsid w:val="380564A9"/>
    <w:rsid w:val="3875A55A"/>
    <w:rsid w:val="39431834"/>
    <w:rsid w:val="3B1E66BA"/>
    <w:rsid w:val="3B2DD57A"/>
    <w:rsid w:val="3F24867D"/>
    <w:rsid w:val="3F8A1405"/>
    <w:rsid w:val="3F99734F"/>
    <w:rsid w:val="3FA7AC69"/>
    <w:rsid w:val="405D7437"/>
    <w:rsid w:val="40B254B5"/>
    <w:rsid w:val="42335CFC"/>
    <w:rsid w:val="4242CC11"/>
    <w:rsid w:val="42BCB13C"/>
    <w:rsid w:val="42D3DB0E"/>
    <w:rsid w:val="43105042"/>
    <w:rsid w:val="436E32B8"/>
    <w:rsid w:val="450BFB60"/>
    <w:rsid w:val="461B854B"/>
    <w:rsid w:val="4648ED23"/>
    <w:rsid w:val="466B4DFF"/>
    <w:rsid w:val="46F800AA"/>
    <w:rsid w:val="47ED2FD8"/>
    <w:rsid w:val="4B697491"/>
    <w:rsid w:val="4CB82EA7"/>
    <w:rsid w:val="4E07E6B4"/>
    <w:rsid w:val="529D63E8"/>
    <w:rsid w:val="532A41AD"/>
    <w:rsid w:val="5415E79F"/>
    <w:rsid w:val="54FF39F6"/>
    <w:rsid w:val="5545DD46"/>
    <w:rsid w:val="56EAC70B"/>
    <w:rsid w:val="5D3CEA2E"/>
    <w:rsid w:val="5E711439"/>
    <w:rsid w:val="600DE0B9"/>
    <w:rsid w:val="601D1A33"/>
    <w:rsid w:val="6110164D"/>
    <w:rsid w:val="619088BD"/>
    <w:rsid w:val="6203BA6E"/>
    <w:rsid w:val="6344855C"/>
    <w:rsid w:val="6462A5C9"/>
    <w:rsid w:val="64D69C20"/>
    <w:rsid w:val="66EE2E00"/>
    <w:rsid w:val="68900854"/>
    <w:rsid w:val="68A50F79"/>
    <w:rsid w:val="68A86476"/>
    <w:rsid w:val="6B0E311F"/>
    <w:rsid w:val="6DC60238"/>
    <w:rsid w:val="6DD570F8"/>
    <w:rsid w:val="704DA257"/>
    <w:rsid w:val="7188D339"/>
    <w:rsid w:val="72804AFE"/>
    <w:rsid w:val="72DE433C"/>
    <w:rsid w:val="74E63ACF"/>
    <w:rsid w:val="75B7EBC0"/>
    <w:rsid w:val="75D2103C"/>
    <w:rsid w:val="76ABEEB2"/>
    <w:rsid w:val="7726F93E"/>
    <w:rsid w:val="7753BC21"/>
    <w:rsid w:val="7762135E"/>
    <w:rsid w:val="782222CB"/>
    <w:rsid w:val="79B9ABF2"/>
    <w:rsid w:val="79DB5C40"/>
    <w:rsid w:val="7B40E726"/>
    <w:rsid w:val="7CB7AC65"/>
    <w:rsid w:val="7E52CF89"/>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60F6D"/>
    <w:rPr>
      <w:sz w:val="16"/>
      <w:szCs w:val="16"/>
    </w:rPr>
  </w:style>
  <w:style w:type="paragraph" w:styleId="CommentText">
    <w:name w:val="annotation text"/>
    <w:basedOn w:val="Normal"/>
    <w:link w:val="CommentTextChar"/>
    <w:uiPriority w:val="99"/>
    <w:unhideWhenUsed/>
    <w:rsid w:val="00F60F6D"/>
    <w:pPr>
      <w:spacing w:line="240" w:lineRule="auto"/>
    </w:pPr>
    <w:rPr>
      <w:sz w:val="20"/>
      <w:szCs w:val="20"/>
    </w:rPr>
  </w:style>
  <w:style w:type="character" w:customStyle="1" w:styleId="CommentTextChar">
    <w:name w:val="Comment Text Char"/>
    <w:basedOn w:val="DefaultParagraphFont"/>
    <w:link w:val="CommentText"/>
    <w:uiPriority w:val="99"/>
    <w:rsid w:val="00F60F6D"/>
    <w:rPr>
      <w:sz w:val="20"/>
      <w:szCs w:val="20"/>
    </w:rPr>
  </w:style>
  <w:style w:type="paragraph" w:styleId="CommentSubject">
    <w:name w:val="annotation subject"/>
    <w:basedOn w:val="CommentText"/>
    <w:next w:val="CommentText"/>
    <w:link w:val="CommentSubjectChar"/>
    <w:uiPriority w:val="99"/>
    <w:semiHidden/>
    <w:unhideWhenUsed/>
    <w:rsid w:val="00F60F6D"/>
    <w:rPr>
      <w:b/>
      <w:bCs/>
    </w:rPr>
  </w:style>
  <w:style w:type="character" w:customStyle="1" w:styleId="CommentSubjectChar">
    <w:name w:val="Comment Subject Char"/>
    <w:basedOn w:val="CommentTextChar"/>
    <w:link w:val="CommentSubject"/>
    <w:uiPriority w:val="99"/>
    <w:semiHidden/>
    <w:rsid w:val="00F60F6D"/>
    <w:rPr>
      <w:b/>
      <w:bCs/>
      <w:sz w:val="20"/>
      <w:szCs w:val="20"/>
    </w:rPr>
  </w:style>
  <w:style w:type="character" w:styleId="Hyperlink">
    <w:name w:val="Hyperlink"/>
    <w:basedOn w:val="DefaultParagraphFont"/>
    <w:uiPriority w:val="99"/>
    <w:unhideWhenUsed/>
    <w:rsid w:val="00766062"/>
    <w:rPr>
      <w:color w:val="0000FF" w:themeColor="hyperlink"/>
      <w:u w:val="single"/>
    </w:rPr>
  </w:style>
  <w:style w:type="character" w:styleId="UnresolvedMention">
    <w:name w:val="Unresolved Mention"/>
    <w:basedOn w:val="DefaultParagraphFont"/>
    <w:uiPriority w:val="99"/>
    <w:semiHidden/>
    <w:unhideWhenUsed/>
    <w:rsid w:val="00766062"/>
    <w:rPr>
      <w:color w:val="605E5C"/>
      <w:shd w:val="clear" w:color="auto" w:fill="E1DFDD"/>
    </w:rPr>
  </w:style>
  <w:style w:type="paragraph" w:styleId="Revision">
    <w:name w:val="Revision"/>
    <w:hidden/>
    <w:uiPriority w:val="99"/>
    <w:semiHidden/>
    <w:rsid w:val="006C1FF6"/>
    <w:pPr>
      <w:spacing w:line="240" w:lineRule="auto"/>
    </w:pPr>
  </w:style>
  <w:style w:type="paragraph" w:styleId="Header">
    <w:name w:val="header"/>
    <w:basedOn w:val="Normal"/>
    <w:link w:val="HeaderChar"/>
    <w:uiPriority w:val="99"/>
    <w:unhideWhenUsed/>
    <w:rsid w:val="000737F7"/>
    <w:pPr>
      <w:tabs>
        <w:tab w:val="center" w:pos="4680"/>
        <w:tab w:val="right" w:pos="9360"/>
      </w:tabs>
      <w:spacing w:line="240" w:lineRule="auto"/>
    </w:pPr>
  </w:style>
  <w:style w:type="character" w:customStyle="1" w:styleId="HeaderChar">
    <w:name w:val="Header Char"/>
    <w:basedOn w:val="DefaultParagraphFont"/>
    <w:link w:val="Header"/>
    <w:uiPriority w:val="99"/>
    <w:rsid w:val="000737F7"/>
  </w:style>
  <w:style w:type="paragraph" w:styleId="Footer">
    <w:name w:val="footer"/>
    <w:basedOn w:val="Normal"/>
    <w:link w:val="FooterChar"/>
    <w:uiPriority w:val="99"/>
    <w:unhideWhenUsed/>
    <w:rsid w:val="000737F7"/>
    <w:pPr>
      <w:tabs>
        <w:tab w:val="center" w:pos="4680"/>
        <w:tab w:val="right" w:pos="9360"/>
      </w:tabs>
      <w:spacing w:line="240" w:lineRule="auto"/>
    </w:pPr>
  </w:style>
  <w:style w:type="character" w:customStyle="1" w:styleId="FooterChar">
    <w:name w:val="Footer Char"/>
    <w:basedOn w:val="DefaultParagraphFont"/>
    <w:link w:val="Footer"/>
    <w:uiPriority w:val="99"/>
    <w:rsid w:val="0007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8954">
      <w:bodyDiv w:val="1"/>
      <w:marLeft w:val="0"/>
      <w:marRight w:val="0"/>
      <w:marTop w:val="0"/>
      <w:marBottom w:val="0"/>
      <w:divBdr>
        <w:top w:val="none" w:sz="0" w:space="0" w:color="auto"/>
        <w:left w:val="none" w:sz="0" w:space="0" w:color="auto"/>
        <w:bottom w:val="none" w:sz="0" w:space="0" w:color="auto"/>
        <w:right w:val="none" w:sz="0" w:space="0" w:color="auto"/>
      </w:divBdr>
      <w:divsChild>
        <w:div w:id="985817418">
          <w:marLeft w:val="907"/>
          <w:marRight w:val="0"/>
          <w:marTop w:val="200"/>
          <w:marBottom w:val="0"/>
          <w:divBdr>
            <w:top w:val="none" w:sz="0" w:space="0" w:color="auto"/>
            <w:left w:val="none" w:sz="0" w:space="0" w:color="auto"/>
            <w:bottom w:val="none" w:sz="0" w:space="0" w:color="auto"/>
            <w:right w:val="none" w:sz="0" w:space="0" w:color="auto"/>
          </w:divBdr>
        </w:div>
        <w:div w:id="243496648">
          <w:marLeft w:val="907"/>
          <w:marRight w:val="0"/>
          <w:marTop w:val="200"/>
          <w:marBottom w:val="0"/>
          <w:divBdr>
            <w:top w:val="none" w:sz="0" w:space="0" w:color="auto"/>
            <w:left w:val="none" w:sz="0" w:space="0" w:color="auto"/>
            <w:bottom w:val="none" w:sz="0" w:space="0" w:color="auto"/>
            <w:right w:val="none" w:sz="0" w:space="0" w:color="auto"/>
          </w:divBdr>
        </w:div>
        <w:div w:id="1737244153">
          <w:marLeft w:val="907"/>
          <w:marRight w:val="0"/>
          <w:marTop w:val="200"/>
          <w:marBottom w:val="0"/>
          <w:divBdr>
            <w:top w:val="none" w:sz="0" w:space="0" w:color="auto"/>
            <w:left w:val="none" w:sz="0" w:space="0" w:color="auto"/>
            <w:bottom w:val="none" w:sz="0" w:space="0" w:color="auto"/>
            <w:right w:val="none" w:sz="0" w:space="0" w:color="auto"/>
          </w:divBdr>
        </w:div>
        <w:div w:id="1125076596">
          <w:marLeft w:val="907"/>
          <w:marRight w:val="0"/>
          <w:marTop w:val="200"/>
          <w:marBottom w:val="0"/>
          <w:divBdr>
            <w:top w:val="none" w:sz="0" w:space="0" w:color="auto"/>
            <w:left w:val="none" w:sz="0" w:space="0" w:color="auto"/>
            <w:bottom w:val="none" w:sz="0" w:space="0" w:color="auto"/>
            <w:right w:val="none" w:sz="0" w:space="0" w:color="auto"/>
          </w:divBdr>
        </w:div>
        <w:div w:id="145098191">
          <w:marLeft w:val="907"/>
          <w:marRight w:val="0"/>
          <w:marTop w:val="200"/>
          <w:marBottom w:val="0"/>
          <w:divBdr>
            <w:top w:val="none" w:sz="0" w:space="0" w:color="auto"/>
            <w:left w:val="none" w:sz="0" w:space="0" w:color="auto"/>
            <w:bottom w:val="none" w:sz="0" w:space="0" w:color="auto"/>
            <w:right w:val="none" w:sz="0" w:space="0" w:color="auto"/>
          </w:divBdr>
        </w:div>
      </w:divsChild>
    </w:div>
    <w:div w:id="2117827940">
      <w:bodyDiv w:val="1"/>
      <w:marLeft w:val="0"/>
      <w:marRight w:val="0"/>
      <w:marTop w:val="0"/>
      <w:marBottom w:val="0"/>
      <w:divBdr>
        <w:top w:val="none" w:sz="0" w:space="0" w:color="auto"/>
        <w:left w:val="none" w:sz="0" w:space="0" w:color="auto"/>
        <w:bottom w:val="none" w:sz="0" w:space="0" w:color="auto"/>
        <w:right w:val="none" w:sz="0" w:space="0" w:color="auto"/>
      </w:divBdr>
      <w:divsChild>
        <w:div w:id="1046376258">
          <w:marLeft w:val="907"/>
          <w:marRight w:val="0"/>
          <w:marTop w:val="0"/>
          <w:marBottom w:val="0"/>
          <w:divBdr>
            <w:top w:val="none" w:sz="0" w:space="0" w:color="auto"/>
            <w:left w:val="none" w:sz="0" w:space="0" w:color="auto"/>
            <w:bottom w:val="none" w:sz="0" w:space="0" w:color="auto"/>
            <w:right w:val="none" w:sz="0" w:space="0" w:color="auto"/>
          </w:divBdr>
        </w:div>
        <w:div w:id="1290863451">
          <w:marLeft w:val="907"/>
          <w:marRight w:val="0"/>
          <w:marTop w:val="0"/>
          <w:marBottom w:val="0"/>
          <w:divBdr>
            <w:top w:val="none" w:sz="0" w:space="0" w:color="auto"/>
            <w:left w:val="none" w:sz="0" w:space="0" w:color="auto"/>
            <w:bottom w:val="none" w:sz="0" w:space="0" w:color="auto"/>
            <w:right w:val="none" w:sz="0" w:space="0" w:color="auto"/>
          </w:divBdr>
        </w:div>
        <w:div w:id="692538006">
          <w:marLeft w:val="907"/>
          <w:marRight w:val="0"/>
          <w:marTop w:val="0"/>
          <w:marBottom w:val="0"/>
          <w:divBdr>
            <w:top w:val="none" w:sz="0" w:space="0" w:color="auto"/>
            <w:left w:val="none" w:sz="0" w:space="0" w:color="auto"/>
            <w:bottom w:val="none" w:sz="0" w:space="0" w:color="auto"/>
            <w:right w:val="none" w:sz="0" w:space="0" w:color="auto"/>
          </w:divBdr>
        </w:div>
        <w:div w:id="682829446">
          <w:marLeft w:val="90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ie.Carroll@doe.virginia.gov" TargetMode="External"/><Relationship Id="rId13" Type="http://schemas.openxmlformats.org/officeDocument/2006/relationships/hyperlink" Target="https://law.lis.virginia.gov/admincode/title8/agency20/chapter131/"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law.lis.virginia.gov/vacode/title22.1/chapter13.2/section22.1-253.1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2/section22.1-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lis.virginia.gov/admincode/title8/agency20/chapter13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ducation.virginia.gov/media/governorvirginiagov/secretary-of-education/pdf/Our-Commitment-to-Virginian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07B7C7B9-B528-4CE0-ADF1-ABEC9C818B3B}"/>
</file>

<file path=customXml/itemProps3.xml><?xml version="1.0" encoding="utf-8"?>
<ds:datastoreItem xmlns:ds="http://schemas.openxmlformats.org/officeDocument/2006/customXml" ds:itemID="{A46B0EF3-28B8-4E16-B8E5-153B25ED8AE3}"/>
</file>

<file path=customXml/itemProps4.xml><?xml version="1.0" encoding="utf-8"?>
<ds:datastoreItem xmlns:ds="http://schemas.openxmlformats.org/officeDocument/2006/customXml" ds:itemID="{C972A088-5D16-4DC9-9A84-9B4D4C51C652}"/>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2023-09-07T23:08:00Z</dcterms:created>
  <dcterms:modified xsi:type="dcterms:W3CDTF">2023-09-07T23:08:00Z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