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9842DB" w14:textId="2B9ED0A3" w:rsidR="00AD0966" w:rsidRDefault="001E412D">
      <w:pPr>
        <w:pStyle w:val="Heading1"/>
        <w:ind w:left="2160" w:hanging="2160"/>
        <w:rPr>
          <w:rFonts w:ascii="Times New Roman" w:eastAsia="Times New Roman" w:hAnsi="Times New Roman" w:cs="Times New Roman"/>
        </w:rPr>
      </w:pPr>
      <w:bookmarkStart w:id="0" w:name="_v6h2tvc63wcj"/>
      <w:bookmarkEnd w:id="0"/>
      <w:r w:rsidRPr="5B31A6D8">
        <w:rPr>
          <w:rFonts w:ascii="Times New Roman" w:eastAsia="Times New Roman" w:hAnsi="Times New Roman" w:cs="Times New Roman"/>
        </w:rPr>
        <w:t xml:space="preserve">Agenda Item: </w:t>
      </w:r>
      <w:r>
        <w:tab/>
      </w:r>
      <w:r w:rsidR="1E39BEC0" w:rsidRPr="5B31A6D8">
        <w:rPr>
          <w:rFonts w:ascii="Times New Roman" w:eastAsia="Times New Roman" w:hAnsi="Times New Roman" w:cs="Times New Roman"/>
        </w:rPr>
        <w:t>L</w:t>
      </w:r>
    </w:p>
    <w:p w14:paraId="672A6659" w14:textId="77777777" w:rsidR="00AD0966" w:rsidRDefault="00AD0966" w:rsidP="47ED2FD8">
      <w:pPr>
        <w:ind w:left="2160" w:hanging="2160"/>
        <w:rPr>
          <w:b/>
          <w:bCs/>
        </w:rPr>
      </w:pPr>
    </w:p>
    <w:p w14:paraId="4C8BFC02" w14:textId="09F4A734" w:rsidR="00AD0966" w:rsidRDefault="001E412D" w:rsidP="47ED2FD8">
      <w:pPr>
        <w:pStyle w:val="Heading2"/>
        <w:ind w:left="2160" w:hanging="2160"/>
      </w:pPr>
      <w:bookmarkStart w:id="1" w:name="_tehyq7yeo3rn"/>
      <w:bookmarkEnd w:id="1"/>
      <w:r>
        <w:t xml:space="preserve">Date: </w:t>
      </w:r>
      <w:r>
        <w:tab/>
      </w:r>
      <w:r w:rsidR="00DC2EE9">
        <w:t>Ju</w:t>
      </w:r>
      <w:r w:rsidR="2D2D84B2">
        <w:t>ly 27</w:t>
      </w:r>
      <w:r w:rsidR="00DC2EE9">
        <w:t>, 2023</w:t>
      </w:r>
      <w:r>
        <w:tab/>
      </w:r>
    </w:p>
    <w:p w14:paraId="0A37501D" w14:textId="77777777" w:rsidR="00AD0966" w:rsidRDefault="00AD0966" w:rsidP="47ED2FD8">
      <w:pPr>
        <w:ind w:left="2160" w:hanging="2160"/>
        <w:rPr>
          <w:b/>
          <w:bCs/>
        </w:rPr>
      </w:pPr>
    </w:p>
    <w:p w14:paraId="3728E60B" w14:textId="44A178A1" w:rsidR="00AD0966" w:rsidRDefault="001E412D" w:rsidP="56FA9788">
      <w:pPr>
        <w:pStyle w:val="Heading2"/>
        <w:ind w:left="2160" w:hanging="2160"/>
      </w:pPr>
      <w:bookmarkStart w:id="2" w:name="_d0ckn4izyzin"/>
      <w:bookmarkEnd w:id="2"/>
      <w:r>
        <w:t>Title:</w:t>
      </w:r>
      <w:r w:rsidR="00DC2EE9">
        <w:tab/>
        <w:t>Written Update on the Commonwealth of Virginia’s Critical Shortage Teaching Endorsement Areas for 2023-2024 School Year</w:t>
      </w:r>
    </w:p>
    <w:p w14:paraId="5DAB6C7B" w14:textId="77777777" w:rsidR="00AD0966" w:rsidRDefault="00AD0966" w:rsidP="47ED2FD8">
      <w:pPr>
        <w:pStyle w:val="Heading2"/>
        <w:ind w:left="2160" w:hanging="2160"/>
      </w:pPr>
      <w:bookmarkStart w:id="3" w:name="_ckp6aa8djvis"/>
      <w:bookmarkEnd w:id="3"/>
    </w:p>
    <w:p w14:paraId="37E2EE6D" w14:textId="1E0781E8" w:rsidR="00AD0966" w:rsidRDefault="001E412D" w:rsidP="5BA5E052">
      <w:pPr>
        <w:pStyle w:val="Heading2"/>
        <w:ind w:left="2160" w:hanging="2160"/>
      </w:pPr>
      <w:bookmarkStart w:id="4" w:name="_k7s1zrg76o8l"/>
      <w:bookmarkEnd w:id="4"/>
      <w:r>
        <w:t xml:space="preserve">Presenter: </w:t>
      </w:r>
      <w:r>
        <w:tab/>
      </w:r>
      <w:proofErr w:type="spellStart"/>
      <w:r w:rsidR="0ABABBB3">
        <w:t>Johnelle</w:t>
      </w:r>
      <w:proofErr w:type="spellEnd"/>
      <w:r w:rsidR="11F02098">
        <w:t xml:space="preserve"> M. </w:t>
      </w:r>
      <w:proofErr w:type="spellStart"/>
      <w:r w:rsidR="11F02098">
        <w:t>Torbert</w:t>
      </w:r>
      <w:proofErr w:type="spellEnd"/>
      <w:r w:rsidR="11F02098">
        <w:t xml:space="preserve">, </w:t>
      </w:r>
      <w:r w:rsidR="586E3F90">
        <w:t>Director of Teacher Education</w:t>
      </w:r>
    </w:p>
    <w:p w14:paraId="02EB378F" w14:textId="77777777" w:rsidR="00AD0966" w:rsidRDefault="00AD0966" w:rsidP="47ED2FD8">
      <w:pPr>
        <w:pStyle w:val="Heading2"/>
        <w:ind w:left="2160" w:hanging="2160"/>
      </w:pPr>
      <w:bookmarkStart w:id="5" w:name="_6qxna5iyurd3"/>
      <w:bookmarkEnd w:id="5"/>
    </w:p>
    <w:p w14:paraId="1CC5911D" w14:textId="2A0F19A0" w:rsidR="00AD0966" w:rsidRDefault="001E412D" w:rsidP="47C52558">
      <w:pPr>
        <w:pStyle w:val="Heading2"/>
        <w:ind w:left="2160" w:hanging="2160"/>
      </w:pPr>
      <w:bookmarkStart w:id="6" w:name="_fsl9fl59q6tz"/>
      <w:bookmarkEnd w:id="6"/>
      <w:r>
        <w:t xml:space="preserve">Email: </w:t>
      </w:r>
      <w:r>
        <w:tab/>
      </w:r>
      <w:hyperlink r:id="rId8">
        <w:r w:rsidR="03B4CF15" w:rsidRPr="5B31A6D8">
          <w:rPr>
            <w:rStyle w:val="Hyperlink"/>
          </w:rPr>
          <w:t>Johnelle.Torbert@doe.virginia.gov</w:t>
        </w:r>
      </w:hyperlink>
      <w:r w:rsidR="4DF90956">
        <w:t xml:space="preserve"> </w:t>
      </w:r>
      <w:r>
        <w:tab/>
        <w:t xml:space="preserve">Phone: </w:t>
      </w:r>
      <w:r w:rsidR="00DC2EE9">
        <w:t>(804) 371-2522</w:t>
      </w:r>
    </w:p>
    <w:p w14:paraId="6A05A809" w14:textId="77777777" w:rsidR="00AD0966" w:rsidRDefault="00AD0966" w:rsidP="47ED2FD8"/>
    <w:p w14:paraId="4A278986" w14:textId="68F9AA6E" w:rsidR="00AD0966" w:rsidRDefault="001E412D" w:rsidP="47ED2FD8">
      <w:pPr>
        <w:pStyle w:val="Heading2"/>
      </w:pPr>
      <w:bookmarkStart w:id="7" w:name="_augujpan37ee"/>
      <w:bookmarkEnd w:id="7"/>
      <w:r w:rsidRPr="0A7E37F7">
        <w:t xml:space="preserve">Purpose of Presentation </w:t>
      </w:r>
    </w:p>
    <w:p w14:paraId="3A1194EB" w14:textId="0B39AF7F" w:rsidR="00AD0966" w:rsidRDefault="001E412D" w:rsidP="00DC2EE9">
      <w:r w:rsidRPr="47ED2FD8">
        <w:t xml:space="preserve">For information only: No action required. </w:t>
      </w:r>
    </w:p>
    <w:p w14:paraId="5A39BBE3" w14:textId="77777777" w:rsidR="00AD0966" w:rsidRDefault="00AD0966" w:rsidP="47ED2FD8"/>
    <w:p w14:paraId="0DFD2338" w14:textId="19861101" w:rsidR="00DC2EE9" w:rsidRPr="00F17C82" w:rsidRDefault="001E412D" w:rsidP="5BA5E052">
      <w:pPr>
        <w:pStyle w:val="Heading2"/>
        <w:spacing w:line="240" w:lineRule="auto"/>
      </w:pPr>
      <w:bookmarkStart w:id="8" w:name="_1ix2z9h4zl5e"/>
      <w:bookmarkEnd w:id="8"/>
      <w:r>
        <w:t>Executive Summary</w:t>
      </w:r>
    </w:p>
    <w:p w14:paraId="41EBA5FE" w14:textId="5B7ADB0A" w:rsidR="00DC2EE9" w:rsidRPr="00F17C82" w:rsidRDefault="48159FA2" w:rsidP="1D29C973">
      <w:pPr>
        <w:rPr>
          <w:rStyle w:val="Hyperlink"/>
        </w:rPr>
      </w:pPr>
      <w:r>
        <w:t>The Virginia Board of Education’s (</w:t>
      </w:r>
      <w:r w:rsidR="00DC2EE9" w:rsidRPr="1D29C973">
        <w:rPr>
          <w:i/>
          <w:iCs/>
        </w:rPr>
        <w:fldChar w:fldCharType="begin"/>
      </w:r>
      <w:r w:rsidR="00F17C82" w:rsidRPr="1D29C973">
        <w:rPr>
          <w:i/>
          <w:iCs/>
        </w:rPr>
        <w:instrText xml:space="preserve"> HYPERLINK "https://law.lis.virginia.gov/admincodefull/title8/agency20/chapter650/" </w:instrText>
      </w:r>
      <w:r w:rsidR="00DC2EE9" w:rsidRPr="1D29C973">
        <w:rPr>
          <w:i/>
          <w:iCs/>
        </w:rPr>
      </w:r>
      <w:r w:rsidR="00DC2EE9" w:rsidRPr="1D29C973">
        <w:rPr>
          <w:i/>
          <w:iCs/>
        </w:rPr>
        <w:fldChar w:fldCharType="separate"/>
      </w:r>
      <w:r w:rsidR="00DC2EE9" w:rsidRPr="1D29C973">
        <w:rPr>
          <w:rStyle w:val="Hyperlink"/>
          <w:i/>
          <w:iCs/>
        </w:rPr>
        <w:t xml:space="preserve">Regulations Governing the Determination of Critical </w:t>
      </w:r>
    </w:p>
    <w:p w14:paraId="14E5BE76" w14:textId="3997F6F5" w:rsidR="00DC2EE9" w:rsidRDefault="00DC2EE9" w:rsidP="5BA5E052">
      <w:r w:rsidRPr="1D29C973">
        <w:rPr>
          <w:rStyle w:val="Hyperlink"/>
          <w:i/>
          <w:iCs/>
        </w:rPr>
        <w:t>Teacher Shortage Areas</w:t>
      </w:r>
      <w:r w:rsidRPr="1D29C973">
        <w:rPr>
          <w:rStyle w:val="Hyperlink"/>
        </w:rPr>
        <w:t xml:space="preserve"> (8VAC20-650)</w:t>
      </w:r>
      <w:r w:rsidRPr="1D29C973">
        <w:rPr>
          <w:i/>
          <w:iCs/>
        </w:rPr>
        <w:fldChar w:fldCharType="end"/>
      </w:r>
      <w:r w:rsidR="31E1D7EF">
        <w:t xml:space="preserve"> </w:t>
      </w:r>
      <w:r>
        <w:t xml:space="preserve">provides the responsibilities of the Virginia </w:t>
      </w:r>
      <w:r w:rsidR="00A075D7">
        <w:t>Department of</w:t>
      </w:r>
      <w:r>
        <w:t xml:space="preserve"> Education (VDOE) to administer and report on critical teaching shortages areas in Virginia </w:t>
      </w:r>
      <w:r w:rsidR="00A075D7">
        <w:t>to local</w:t>
      </w:r>
      <w:r>
        <w:t xml:space="preserve"> school divisions, approved teacher preparation programs, other state agencies, and the </w:t>
      </w:r>
    </w:p>
    <w:p w14:paraId="553070AE" w14:textId="5E90CA66" w:rsidR="00DC2EE9" w:rsidRDefault="00DC2EE9" w:rsidP="5BA5E052">
      <w:pPr>
        <w:rPr>
          <w:highlight w:val="yellow"/>
        </w:rPr>
      </w:pPr>
      <w:r>
        <w:t xml:space="preserve">public. In response to this requirement, </w:t>
      </w:r>
      <w:r w:rsidR="3E6CE3CC" w:rsidRPr="5BA5E052">
        <w:t>data were obtained from the Positions and Exits Collection (PEC) sent by the VDOE to each of Virginia’s school division superintendents in October 2022</w:t>
      </w:r>
      <w:r>
        <w:t>, to determine qualifications for teachers and administrators. Information requested on the survey was based on school data reports as of October 1, 202</w:t>
      </w:r>
      <w:r w:rsidR="009D6A29">
        <w:t>2</w:t>
      </w:r>
      <w:r>
        <w:t>. These data were used to determine 202</w:t>
      </w:r>
      <w:r w:rsidR="007F476C">
        <w:t>3</w:t>
      </w:r>
      <w:r>
        <w:t>-202</w:t>
      </w:r>
      <w:r w:rsidR="007F476C">
        <w:t>4</w:t>
      </w:r>
      <w:r>
        <w:t xml:space="preserve"> critical shortage teaching endorsement areas in Virginia.</w:t>
      </w:r>
    </w:p>
    <w:p w14:paraId="5F5DB3B5" w14:textId="77777777" w:rsidR="00DC2EE9" w:rsidRDefault="00DC2EE9" w:rsidP="00DC2EE9"/>
    <w:p w14:paraId="3E5FA1C5" w14:textId="04284AB6" w:rsidR="00DC2EE9" w:rsidRDefault="00DC2EE9" w:rsidP="00DC2EE9">
      <w:r>
        <w:t xml:space="preserve">Additionally, the </w:t>
      </w:r>
      <w:hyperlink r:id="rId9">
        <w:r w:rsidRPr="1D29C973">
          <w:rPr>
            <w:rStyle w:val="Hyperlink"/>
            <w:i/>
            <w:iCs/>
          </w:rPr>
          <w:t>Regulations Governing the Determination of Critical Teacher Shortage Areas</w:t>
        </w:r>
      </w:hyperlink>
    </w:p>
    <w:p w14:paraId="75CDE53E" w14:textId="77777777" w:rsidR="00DC2EE9" w:rsidRDefault="00DC2EE9" w:rsidP="00DC2EE9">
      <w:r>
        <w:t xml:space="preserve">establish criteria for the shortage areas. Specifically, in Virginia, “critical shortage” may </w:t>
      </w:r>
      <w:proofErr w:type="gramStart"/>
      <w:r>
        <w:t>be</w:t>
      </w:r>
      <w:proofErr w:type="gramEnd"/>
      <w:r>
        <w:t xml:space="preserve"> </w:t>
      </w:r>
    </w:p>
    <w:p w14:paraId="76E08431" w14:textId="77777777" w:rsidR="00DC2EE9" w:rsidRDefault="00DC2EE9" w:rsidP="00DC2EE9">
      <w:r>
        <w:t xml:space="preserve">defined in two ways: (1) shortages by subject matter as designated from the top ten </w:t>
      </w:r>
      <w:proofErr w:type="gramStart"/>
      <w:r>
        <w:t>academic</w:t>
      </w:r>
      <w:proofErr w:type="gramEnd"/>
      <w:r>
        <w:t xml:space="preserve"> </w:t>
      </w:r>
    </w:p>
    <w:p w14:paraId="1E3C31A1" w14:textId="77777777" w:rsidR="00DC2EE9" w:rsidRDefault="00DC2EE9" w:rsidP="00DC2EE9">
      <w:r>
        <w:t xml:space="preserve">disciplines identified in an annual survey of school divisions; or (2) a school personnel </w:t>
      </w:r>
      <w:proofErr w:type="gramStart"/>
      <w:r>
        <w:t>vacancy</w:t>
      </w:r>
      <w:proofErr w:type="gramEnd"/>
      <w:r>
        <w:t xml:space="preserve"> </w:t>
      </w:r>
    </w:p>
    <w:p w14:paraId="0648C1A3" w14:textId="77777777" w:rsidR="00DC2EE9" w:rsidRDefault="00DC2EE9" w:rsidP="00DC2EE9">
      <w:r>
        <w:t xml:space="preserve">for which a school division receives three or fewer qualified candidates for a position. </w:t>
      </w:r>
    </w:p>
    <w:p w14:paraId="1EE6A224" w14:textId="1701BBDF" w:rsidR="00DC2EE9" w:rsidRDefault="00DC2EE9" w:rsidP="00DC2EE9">
      <w:r>
        <w:t xml:space="preserve">Determination of critical shortages in specific teaching endorsement areas and their rankings are dependent on the method of calculation used. As such, specific shortage areas identified </w:t>
      </w:r>
      <w:proofErr w:type="gramStart"/>
      <w:r>
        <w:t>will</w:t>
      </w:r>
      <w:proofErr w:type="gramEnd"/>
      <w:r>
        <w:t xml:space="preserve"> </w:t>
      </w:r>
    </w:p>
    <w:p w14:paraId="10E6F0D5" w14:textId="77777777" w:rsidR="00DC2EE9" w:rsidRDefault="00DC2EE9" w:rsidP="00DC2EE9">
      <w:r>
        <w:t xml:space="preserve">differ among school divisions (i.e., geographic regions) and statewide analysis of subject </w:t>
      </w:r>
      <w:proofErr w:type="gramStart"/>
      <w:r>
        <w:t>matter</w:t>
      </w:r>
      <w:proofErr w:type="gramEnd"/>
      <w:r>
        <w:t xml:space="preserve"> </w:t>
      </w:r>
    </w:p>
    <w:p w14:paraId="2577315A" w14:textId="06B1E63C" w:rsidR="00DC2EE9" w:rsidRDefault="00DC2EE9" w:rsidP="00DC2EE9">
      <w:r>
        <w:t>designations.</w:t>
      </w:r>
    </w:p>
    <w:p w14:paraId="3A869874" w14:textId="42B4294C" w:rsidR="5BA5E052" w:rsidRDefault="5BA5E052"/>
    <w:p w14:paraId="3ACAB913" w14:textId="084F49FC" w:rsidR="00DC2EE9" w:rsidRDefault="00DC2EE9" w:rsidP="00DC2EE9">
      <w:r>
        <w:t>The 202</w:t>
      </w:r>
      <w:r w:rsidR="00DF662C">
        <w:t>3</w:t>
      </w:r>
      <w:r>
        <w:t>-202</w:t>
      </w:r>
      <w:r w:rsidR="00DF662C">
        <w:t>4</w:t>
      </w:r>
      <w:r>
        <w:t xml:space="preserve"> top critical shortage teaching endorsement areas identified statewide </w:t>
      </w:r>
      <w:proofErr w:type="gramStart"/>
      <w:r>
        <w:t>were</w:t>
      </w:r>
      <w:proofErr w:type="gramEnd"/>
      <w:r>
        <w:t xml:space="preserve"> </w:t>
      </w:r>
    </w:p>
    <w:p w14:paraId="0E2AD3F7" w14:textId="225D3B12" w:rsidR="00DC2EE9" w:rsidRDefault="00DC2EE9" w:rsidP="00DC2EE9">
      <w:r>
        <w:lastRenderedPageBreak/>
        <w:t xml:space="preserve">determined based on method number one as noted above. The top critical shortage teaching </w:t>
      </w:r>
    </w:p>
    <w:p w14:paraId="1C1257D7" w14:textId="77777777" w:rsidR="00DC2EE9" w:rsidRDefault="00DC2EE9" w:rsidP="00DC2EE9">
      <w:r>
        <w:t xml:space="preserve">endorsement areas will be reported to the Virginia Retirement System and will be used to </w:t>
      </w:r>
    </w:p>
    <w:p w14:paraId="24F77CC8" w14:textId="0149E16F" w:rsidR="00DC2EE9" w:rsidRDefault="00DC2EE9" w:rsidP="00DC2EE9">
      <w:r>
        <w:t xml:space="preserve">determine candidate eligibility for the Virginia Teaching Scholarship Loan Program according to the </w:t>
      </w:r>
      <w:hyperlink r:id="rId10">
        <w:r w:rsidRPr="5BA5E052">
          <w:rPr>
            <w:rStyle w:val="Hyperlink"/>
          </w:rPr>
          <w:t>202</w:t>
        </w:r>
        <w:r w:rsidR="00DF662C" w:rsidRPr="5BA5E052">
          <w:rPr>
            <w:rStyle w:val="Hyperlink"/>
          </w:rPr>
          <w:t>2</w:t>
        </w:r>
        <w:r w:rsidRPr="5BA5E052">
          <w:rPr>
            <w:rStyle w:val="Hyperlink"/>
          </w:rPr>
          <w:t xml:space="preserve"> Appropriation Act</w:t>
        </w:r>
      </w:hyperlink>
      <w:r>
        <w:t xml:space="preserve">. Endorsement areas were ranked according to the most </w:t>
      </w:r>
      <w:proofErr w:type="gramStart"/>
      <w:r>
        <w:t>severe</w:t>
      </w:r>
      <w:proofErr w:type="gramEnd"/>
      <w:r>
        <w:t xml:space="preserve"> </w:t>
      </w:r>
    </w:p>
    <w:p w14:paraId="457AD966" w14:textId="05412440" w:rsidR="00DC2EE9" w:rsidRDefault="00DC2EE9" w:rsidP="00DC2EE9">
      <w:r>
        <w:t>academic teaching shortage areas.</w:t>
      </w:r>
    </w:p>
    <w:p w14:paraId="2F1864F2" w14:textId="77777777" w:rsidR="00DC2EE9" w:rsidRDefault="00DC2EE9" w:rsidP="00DC2EE9"/>
    <w:p w14:paraId="14F3089B" w14:textId="013B7A46" w:rsidR="00DC2EE9" w:rsidRDefault="00DC2EE9" w:rsidP="00DC2EE9">
      <w:r>
        <w:t xml:space="preserve">The ranking is based on an aggregation of the following: </w:t>
      </w:r>
      <w:r w:rsidR="4DD69FE0">
        <w:t>(1</w:t>
      </w:r>
      <w:r>
        <w:t xml:space="preserve">) total number of </w:t>
      </w:r>
      <w:proofErr w:type="gramStart"/>
      <w:r>
        <w:t>teaching</w:t>
      </w:r>
      <w:proofErr w:type="gramEnd"/>
      <w:r>
        <w:t xml:space="preserve"> positions </w:t>
      </w:r>
    </w:p>
    <w:p w14:paraId="4A9DE106" w14:textId="26B3DFD5" w:rsidR="00DC2EE9" w:rsidRDefault="00DC2EE9" w:rsidP="00DC2EE9">
      <w:r>
        <w:t xml:space="preserve">that are unfilled; and </w:t>
      </w:r>
      <w:r w:rsidR="39A0BF6A">
        <w:t>(2</w:t>
      </w:r>
      <w:r>
        <w:t xml:space="preserve">) teaching positions that are filled by teachers who are licensed, but </w:t>
      </w:r>
      <w:proofErr w:type="gramStart"/>
      <w:r>
        <w:t>who</w:t>
      </w:r>
      <w:proofErr w:type="gramEnd"/>
      <w:r>
        <w:t xml:space="preserve"> </w:t>
      </w:r>
    </w:p>
    <w:p w14:paraId="52F18AB2" w14:textId="2579F42D" w:rsidR="00DC2EE9" w:rsidRDefault="00DC2EE9" w:rsidP="675A876A">
      <w:pPr>
        <w:rPr>
          <w:highlight w:val="yellow"/>
        </w:rPr>
      </w:pPr>
      <w:r>
        <w:t>are teaching in academic subject areas other than their area of preparation. Data analyses include calculated rankings in these two areas as of October 1, 202</w:t>
      </w:r>
      <w:r w:rsidR="00F1232B">
        <w:t>2</w:t>
      </w:r>
      <w:r>
        <w:t>, as reported in the 202</w:t>
      </w:r>
      <w:r w:rsidR="00F1232B">
        <w:t>1</w:t>
      </w:r>
      <w:r>
        <w:t>-202</w:t>
      </w:r>
      <w:r w:rsidR="00F1232B">
        <w:t>2</w:t>
      </w:r>
      <w:r>
        <w:t xml:space="preserve"> </w:t>
      </w:r>
      <w:r w:rsidR="18E89F28" w:rsidRPr="1D29C973">
        <w:t>Positions and Exits Collection (PEC). All 132 school divisions responded to the survey</w:t>
      </w:r>
      <w:r w:rsidR="00A075D7" w:rsidRPr="1D29C973">
        <w:t>.</w:t>
      </w:r>
      <w:r w:rsidR="00A075D7">
        <w:t xml:space="preserve"> </w:t>
      </w:r>
      <w:r>
        <w:t xml:space="preserve">A total of </w:t>
      </w:r>
      <w:r w:rsidR="00F1232B">
        <w:t>98,869</w:t>
      </w:r>
      <w:r>
        <w:t xml:space="preserve"> full-time equivalent (FTE) teachers as of October 1, 202</w:t>
      </w:r>
      <w:r w:rsidR="00F1232B">
        <w:t>2</w:t>
      </w:r>
      <w:r>
        <w:t>, were reported for SY 202</w:t>
      </w:r>
      <w:r w:rsidR="00F1232B">
        <w:t>1</w:t>
      </w:r>
      <w:r>
        <w:t>-202</w:t>
      </w:r>
      <w:r w:rsidR="00F1232B">
        <w:t>2</w:t>
      </w:r>
      <w:r>
        <w:t xml:space="preserve"> in the Instructional Personnel and Licensure annual data collection for school divisions. Rankings were totaled and the resulting sum ranked to determine critical teaching area shortages</w:t>
      </w:r>
      <w:r w:rsidR="00643CD5">
        <w:t>.</w:t>
      </w:r>
    </w:p>
    <w:p w14:paraId="7840AF0B" w14:textId="1F5AD696" w:rsidR="1D29C973" w:rsidRDefault="1D29C973" w:rsidP="1D29C973"/>
    <w:p w14:paraId="671108D4" w14:textId="369CB68F" w:rsidR="675A876A" w:rsidRDefault="00DC2EE9" w:rsidP="675A876A">
      <w:r>
        <w:t>2023-2024 Top Critical Shortage Teaching Endorsement Areas in Virginia</w:t>
      </w:r>
    </w:p>
    <w:p w14:paraId="30C94071" w14:textId="5282ADFB" w:rsidR="5FD6C316" w:rsidRDefault="5FD6C316" w:rsidP="5FD6C316"/>
    <w:p w14:paraId="2A8D3C4B" w14:textId="52C08952" w:rsidR="00DC2EE9" w:rsidRDefault="00DC2EE9" w:rsidP="47C52558">
      <w:pPr>
        <w:ind w:left="720"/>
      </w:pPr>
      <w:r>
        <w:t xml:space="preserve">1. </w:t>
      </w:r>
      <w:r w:rsidR="00CA74DA">
        <w:t>Special Education</w:t>
      </w:r>
    </w:p>
    <w:p w14:paraId="074ED06F" w14:textId="7B6A137F" w:rsidR="00DC2EE9" w:rsidRDefault="00DC2EE9" w:rsidP="47C52558">
      <w:pPr>
        <w:ind w:left="720"/>
      </w:pPr>
      <w:r>
        <w:t xml:space="preserve">2. </w:t>
      </w:r>
      <w:r w:rsidR="00CA74DA">
        <w:t>Elementary PK-6</w:t>
      </w:r>
    </w:p>
    <w:p w14:paraId="759ED4DD" w14:textId="77777777" w:rsidR="00DC2EE9" w:rsidRDefault="00DC2EE9" w:rsidP="47C52558">
      <w:pPr>
        <w:ind w:left="720"/>
      </w:pPr>
      <w:r>
        <w:t>3. Middle Education Grades 6-8</w:t>
      </w:r>
    </w:p>
    <w:p w14:paraId="6959185F" w14:textId="77777777" w:rsidR="00DC2EE9" w:rsidRDefault="00DC2EE9" w:rsidP="47C52558">
      <w:pPr>
        <w:ind w:left="720"/>
      </w:pPr>
      <w:r>
        <w:t>4. Career and Technical Education</w:t>
      </w:r>
    </w:p>
    <w:p w14:paraId="1A08D88B" w14:textId="166E75E7" w:rsidR="00DC2EE9" w:rsidRDefault="00DC2EE9" w:rsidP="47C52558">
      <w:pPr>
        <w:ind w:left="720"/>
      </w:pPr>
      <w:r>
        <w:t xml:space="preserve">5. </w:t>
      </w:r>
      <w:r w:rsidR="00CA74DA">
        <w:t>Science (Secondary)</w:t>
      </w:r>
    </w:p>
    <w:p w14:paraId="606812C7" w14:textId="2D7A67E4" w:rsidR="00DC2EE9" w:rsidRDefault="00DC2EE9" w:rsidP="47C52558">
      <w:pPr>
        <w:ind w:left="720"/>
      </w:pPr>
      <w:r>
        <w:t xml:space="preserve">6. </w:t>
      </w:r>
      <w:r w:rsidR="00CA74DA">
        <w:t>Mathematics Grades 6-12 (including Algebra 1)</w:t>
      </w:r>
    </w:p>
    <w:p w14:paraId="13A544AC" w14:textId="77A94159" w:rsidR="00DC2EE9" w:rsidRDefault="00DC2EE9" w:rsidP="47C52558">
      <w:pPr>
        <w:ind w:left="720"/>
      </w:pPr>
      <w:r>
        <w:t xml:space="preserve">7. </w:t>
      </w:r>
      <w:r w:rsidR="00CA74DA">
        <w:t>English (Secondary)</w:t>
      </w:r>
    </w:p>
    <w:p w14:paraId="7A60870D" w14:textId="77777777" w:rsidR="00DC2EE9" w:rsidRDefault="00DC2EE9" w:rsidP="00DC2EE9"/>
    <w:p w14:paraId="2E20640B" w14:textId="77777777" w:rsidR="00DC2EE9" w:rsidRDefault="00DC2EE9" w:rsidP="00DC2EE9">
      <w:r>
        <w:t xml:space="preserve">The purpose of the report is to provide the prescribed methodology for </w:t>
      </w:r>
      <w:proofErr w:type="gramStart"/>
      <w:r>
        <w:t>determining</w:t>
      </w:r>
      <w:proofErr w:type="gramEnd"/>
    </w:p>
    <w:p w14:paraId="2BAABE55" w14:textId="38AEC50C" w:rsidR="00DC2EE9" w:rsidRDefault="00DC2EE9" w:rsidP="00DC2EE9">
      <w:r>
        <w:t xml:space="preserve">critical shortage teaching endorsement areas in Virginia and related top endorsement areas </w:t>
      </w:r>
    </w:p>
    <w:p w14:paraId="5D8093D6" w14:textId="48FD3875" w:rsidR="00DC2EE9" w:rsidRDefault="00DC2EE9" w:rsidP="00DC2EE9">
      <w:r>
        <w:t>for 2023-2024.</w:t>
      </w:r>
    </w:p>
    <w:p w14:paraId="356BAAFC" w14:textId="77777777" w:rsidR="00DC2EE9" w:rsidRPr="00DC2EE9" w:rsidRDefault="00DC2EE9" w:rsidP="00DC2EE9"/>
    <w:p w14:paraId="41BD4332" w14:textId="603E2B37" w:rsidR="00AD0966" w:rsidRDefault="001E412D" w:rsidP="47ED2FD8">
      <w:pPr>
        <w:pStyle w:val="Heading2"/>
        <w:spacing w:line="240" w:lineRule="auto"/>
      </w:pPr>
      <w:bookmarkStart w:id="9" w:name="_e237r4fk2eq0"/>
      <w:bookmarkEnd w:id="9"/>
      <w:r w:rsidRPr="0A7E37F7">
        <w:t>Action Requested</w:t>
      </w:r>
    </w:p>
    <w:p w14:paraId="5A5BF728" w14:textId="77777777" w:rsidR="00AD0966" w:rsidRDefault="001E412D" w:rsidP="00DC2EE9">
      <w:pPr>
        <w:spacing w:line="240" w:lineRule="auto"/>
      </w:pPr>
      <w:r w:rsidRPr="47ED2FD8">
        <w:t xml:space="preserve">No action requested. </w:t>
      </w:r>
    </w:p>
    <w:p w14:paraId="72A3D3EC" w14:textId="77777777" w:rsidR="00AD0966" w:rsidRDefault="00AD0966" w:rsidP="47ED2FD8">
      <w:pPr>
        <w:spacing w:line="240" w:lineRule="auto"/>
      </w:pPr>
    </w:p>
    <w:p w14:paraId="0B4557F9" w14:textId="7E8B4E26" w:rsidR="00AD0966" w:rsidRDefault="001E412D" w:rsidP="47ED2FD8">
      <w:pPr>
        <w:pStyle w:val="Heading2"/>
        <w:spacing w:line="240" w:lineRule="auto"/>
      </w:pPr>
      <w:bookmarkStart w:id="10" w:name="_1vp15r958csl"/>
      <w:bookmarkEnd w:id="10"/>
      <w:r w:rsidRPr="47ED2FD8">
        <w:t xml:space="preserve">Superintendent’s Recommendation </w:t>
      </w:r>
    </w:p>
    <w:p w14:paraId="0E05864F" w14:textId="77777777" w:rsidR="00DC2EE9" w:rsidRDefault="00DC2EE9" w:rsidP="00DC2EE9">
      <w:r>
        <w:t xml:space="preserve">The Superintendent of Public Instruction recommends that the Board of Education receive </w:t>
      </w:r>
      <w:proofErr w:type="gramStart"/>
      <w:r>
        <w:t>this</w:t>
      </w:r>
      <w:proofErr w:type="gramEnd"/>
      <w:r>
        <w:t xml:space="preserve"> </w:t>
      </w:r>
    </w:p>
    <w:p w14:paraId="41420862" w14:textId="5C5AEACC" w:rsidR="00DC2EE9" w:rsidRPr="00DC2EE9" w:rsidRDefault="00F17C82" w:rsidP="00DC2EE9">
      <w:r>
        <w:t>u</w:t>
      </w:r>
      <w:r w:rsidR="00DC2EE9">
        <w:t>pdate</w:t>
      </w:r>
      <w:r>
        <w:t>.</w:t>
      </w:r>
    </w:p>
    <w:p w14:paraId="0E27B00A" w14:textId="77777777" w:rsidR="00AD0966" w:rsidRDefault="00AD0966" w:rsidP="007F476C">
      <w:bookmarkStart w:id="11" w:name="_c8sc8xwenrnu"/>
      <w:bookmarkEnd w:id="11"/>
    </w:p>
    <w:p w14:paraId="66B23662" w14:textId="0BBC7416" w:rsidR="00AD0966" w:rsidRDefault="001E412D" w:rsidP="00CA74DA">
      <w:pPr>
        <w:pStyle w:val="Heading2"/>
      </w:pPr>
      <w:bookmarkStart w:id="12" w:name="_w5qk3aw7qqio"/>
      <w:bookmarkEnd w:id="12"/>
      <w:r w:rsidRPr="0A7E37F7">
        <w:t>Previous Review or Action</w:t>
      </w:r>
    </w:p>
    <w:p w14:paraId="3F609302" w14:textId="77777777" w:rsidR="00AD0966" w:rsidRDefault="001E412D" w:rsidP="00CA74DA">
      <w:r w:rsidRPr="47ED2FD8">
        <w:t xml:space="preserve">No previous review or action. </w:t>
      </w:r>
    </w:p>
    <w:p w14:paraId="44EAFD9C" w14:textId="5CF7F845" w:rsidR="00AD0966" w:rsidRDefault="00AD0966" w:rsidP="0A7E37F7">
      <w:pPr>
        <w:spacing w:line="240" w:lineRule="auto"/>
      </w:pPr>
    </w:p>
    <w:p w14:paraId="4B006F04" w14:textId="57BE1A2D" w:rsidR="00AD0966" w:rsidRDefault="001E412D" w:rsidP="47ED2FD8">
      <w:pPr>
        <w:pStyle w:val="Heading2"/>
      </w:pPr>
      <w:bookmarkStart w:id="13" w:name="_4l4a85n09u6"/>
      <w:bookmarkEnd w:id="13"/>
      <w:r w:rsidRPr="0A7E37F7">
        <w:t>Background Information and Statutory Authority</w:t>
      </w:r>
    </w:p>
    <w:p w14:paraId="2E874265" w14:textId="77718FF9" w:rsidR="00CA74DA" w:rsidRDefault="00CA74DA" w:rsidP="00CA74DA">
      <w:r>
        <w:t xml:space="preserve">The Board’s </w:t>
      </w:r>
      <w:r w:rsidRPr="47C52558">
        <w:rPr>
          <w:i/>
          <w:iCs/>
        </w:rPr>
        <w:t>Regulations Governing the Determination of Critical Teacher Shortage Areas</w:t>
      </w:r>
      <w:r>
        <w:t xml:space="preserve"> </w:t>
      </w:r>
    </w:p>
    <w:p w14:paraId="39C97D4F" w14:textId="2CE266D0" w:rsidR="00CA74DA" w:rsidRDefault="00CA74DA" w:rsidP="00CA74DA">
      <w:r>
        <w:lastRenderedPageBreak/>
        <w:t>provides the responsibilities of the VDOE to administer and report on critical teaching shortage</w:t>
      </w:r>
      <w:r w:rsidR="30938573">
        <w:t>s</w:t>
      </w:r>
      <w:r w:rsidR="0F4F8AB9">
        <w:t xml:space="preserve"> </w:t>
      </w:r>
      <w:r>
        <w:t xml:space="preserve">areas in Virginia to local school divisions, approved teacher preparation programs, other </w:t>
      </w:r>
      <w:proofErr w:type="gramStart"/>
      <w:r>
        <w:t>state</w:t>
      </w:r>
      <w:proofErr w:type="gramEnd"/>
      <w:r>
        <w:t xml:space="preserve"> </w:t>
      </w:r>
    </w:p>
    <w:p w14:paraId="01D90F0D" w14:textId="56B0B660" w:rsidR="00CA74DA" w:rsidRDefault="00CA74DA" w:rsidP="00CA74DA">
      <w:r>
        <w:t>agencies, and the public.</w:t>
      </w:r>
    </w:p>
    <w:p w14:paraId="545160C8" w14:textId="77777777" w:rsidR="00CA74DA" w:rsidRDefault="00CA74DA" w:rsidP="00CA74DA"/>
    <w:p w14:paraId="7F2326E8" w14:textId="3AB84587" w:rsidR="00CA74DA" w:rsidRDefault="00CA74DA" w:rsidP="00CA74DA">
      <w:r>
        <w:t>The 202</w:t>
      </w:r>
      <w:r w:rsidR="00F1232B">
        <w:t>2</w:t>
      </w:r>
      <w:r>
        <w:t xml:space="preserve"> Appropriation Act requires the VDOE to report annually to the General Assembly on </w:t>
      </w:r>
    </w:p>
    <w:p w14:paraId="5073030B" w14:textId="1C43D6B0" w:rsidR="00CA74DA" w:rsidRDefault="00CA74DA" w:rsidP="00CA74DA">
      <w:r>
        <w:t>the critical teaching shortage areas in Virginia. In response to this requirement,</w:t>
      </w:r>
      <w:r w:rsidR="00AF3914" w:rsidRPr="00AF3914">
        <w:t xml:space="preserve"> data were obtained from the Positions and Exits Collection (PEC) sent by the VDOE to each of Virginia’s school division superintende</w:t>
      </w:r>
      <w:r w:rsidR="00A80AB5">
        <w:t>nts</w:t>
      </w:r>
      <w:r>
        <w:t xml:space="preserve"> October 202</w:t>
      </w:r>
      <w:r w:rsidR="00F1232B">
        <w:t>2</w:t>
      </w:r>
      <w:r>
        <w:t>, to determine qualifications for teachers and administrators. Information requested on the survey was based on school data reports as of October 1, 202</w:t>
      </w:r>
      <w:r w:rsidR="00A80AB5">
        <w:t>2</w:t>
      </w:r>
      <w:r>
        <w:t>. These data were used to determine 202</w:t>
      </w:r>
      <w:r w:rsidR="00F1232B">
        <w:t>3</w:t>
      </w:r>
      <w:r>
        <w:t>-202</w:t>
      </w:r>
      <w:r w:rsidR="00F1232B">
        <w:t>4</w:t>
      </w:r>
      <w:r>
        <w:t xml:space="preserve"> critical shortage teaching endorsement areas in Virginia. </w:t>
      </w:r>
    </w:p>
    <w:p w14:paraId="4B94D5A5" w14:textId="77777777" w:rsidR="00AD0966" w:rsidRDefault="00AD0966" w:rsidP="00CA74DA"/>
    <w:p w14:paraId="31360199" w14:textId="72D72C5E" w:rsidR="1D82F214" w:rsidRDefault="1D82F214" w:rsidP="0185CEA7">
      <w:pPr>
        <w:pStyle w:val="Heading2"/>
      </w:pPr>
      <w:r w:rsidRPr="0185CEA7">
        <w:t>Stakeholder Engagement</w:t>
      </w:r>
    </w:p>
    <w:p w14:paraId="43CE07C9" w14:textId="66E90AB2" w:rsidR="009D6A29" w:rsidRPr="009D6A29" w:rsidRDefault="009D6A29" w:rsidP="009D6A29">
      <w:r>
        <w:t xml:space="preserve">The critical shortage teaching areas were presented to the Advisory Board on Teacher Education and Licensure (ABTEL) on April 3, 2023, for information only. </w:t>
      </w:r>
    </w:p>
    <w:p w14:paraId="6B4056DC" w14:textId="7C4040A4" w:rsidR="4B697491" w:rsidRDefault="4B697491" w:rsidP="4B697491">
      <w:pPr>
        <w:rPr>
          <w:highlight w:val="yellow"/>
          <w:u w:val="single"/>
        </w:rPr>
      </w:pPr>
    </w:p>
    <w:p w14:paraId="544C1BB4" w14:textId="439052D9" w:rsidR="0CC08700" w:rsidRDefault="0CC08700" w:rsidP="0185CEA7">
      <w:pPr>
        <w:pStyle w:val="Heading2"/>
      </w:pPr>
      <w:r w:rsidRPr="0185CEA7">
        <w:t>Implementation</w:t>
      </w:r>
      <w:r w:rsidR="68A86476" w:rsidRPr="0185CEA7">
        <w:t xml:space="preserve"> and Communication</w:t>
      </w:r>
    </w:p>
    <w:p w14:paraId="0360AC77" w14:textId="77777777" w:rsidR="00F17C82" w:rsidRDefault="00F17C82" w:rsidP="00F17C82">
      <w:r>
        <w:t xml:space="preserve">No further review or action is anticipated. Following Board review, the Office of Teacher </w:t>
      </w:r>
    </w:p>
    <w:p w14:paraId="0595A8A3" w14:textId="2EC50FCC" w:rsidR="00F17C82" w:rsidRDefault="00F17C82" w:rsidP="00F17C82">
      <w:r>
        <w:t>Education will post the annual report on the VDOE website.</w:t>
      </w:r>
    </w:p>
    <w:p w14:paraId="3DEEC669" w14:textId="5C1FB19E" w:rsidR="00AD0966" w:rsidRDefault="00AD0966" w:rsidP="0185CEA7"/>
    <w:p w14:paraId="498AA006" w14:textId="77777777" w:rsidR="00AD0966" w:rsidRDefault="001E412D" w:rsidP="47ED2FD8">
      <w:pPr>
        <w:pStyle w:val="Heading2"/>
      </w:pPr>
      <w:bookmarkStart w:id="14" w:name="_b3843xqorbi9"/>
      <w:bookmarkEnd w:id="14"/>
      <w:r w:rsidRPr="47ED2FD8">
        <w:t xml:space="preserve">Impact on Fiscal and Human Resources: </w:t>
      </w:r>
    </w:p>
    <w:p w14:paraId="5F5A0DC4" w14:textId="77777777" w:rsidR="00CA74DA" w:rsidRDefault="00CA74DA" w:rsidP="00CA74DA">
      <w:r>
        <w:t xml:space="preserve">School divisions will continue to be responsible to report vacancies annually. The agency </w:t>
      </w:r>
      <w:proofErr w:type="gramStart"/>
      <w:r>
        <w:t>staff</w:t>
      </w:r>
      <w:proofErr w:type="gramEnd"/>
      <w:r>
        <w:t xml:space="preserve"> </w:t>
      </w:r>
    </w:p>
    <w:p w14:paraId="1CCF0B85" w14:textId="77777777" w:rsidR="00CA74DA" w:rsidRDefault="00CA74DA" w:rsidP="00CA74DA">
      <w:r>
        <w:t xml:space="preserve">will absorb the responsibility of utilizing the report data to identify the critical </w:t>
      </w:r>
      <w:proofErr w:type="gramStart"/>
      <w:r>
        <w:t>teaching</w:t>
      </w:r>
      <w:proofErr w:type="gramEnd"/>
      <w:r>
        <w:t xml:space="preserve"> </w:t>
      </w:r>
    </w:p>
    <w:p w14:paraId="258323FE" w14:textId="4DF9B5B2" w:rsidR="00CA74DA" w:rsidRDefault="00CA74DA" w:rsidP="00CA74DA">
      <w:r>
        <w:t>shortages.</w:t>
      </w:r>
    </w:p>
    <w:p w14:paraId="681D60A0" w14:textId="77777777" w:rsidR="00CA74DA" w:rsidRDefault="00CA74DA" w:rsidP="47ED2FD8"/>
    <w:p w14:paraId="01C2EF24" w14:textId="77777777" w:rsidR="00CA74DA" w:rsidRDefault="00CA74DA" w:rsidP="47ED2FD8"/>
    <w:sectPr w:rsidR="00CA74DA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50D78" w14:textId="77777777" w:rsidR="008138F5" w:rsidRDefault="008138F5">
      <w:pPr>
        <w:spacing w:line="240" w:lineRule="auto"/>
      </w:pPr>
      <w:r>
        <w:separator/>
      </w:r>
    </w:p>
  </w:endnote>
  <w:endnote w:type="continuationSeparator" w:id="0">
    <w:p w14:paraId="71F3A75E" w14:textId="77777777" w:rsidR="008138F5" w:rsidRDefault="008138F5">
      <w:pPr>
        <w:spacing w:line="240" w:lineRule="auto"/>
      </w:pPr>
      <w:r>
        <w:continuationSeparator/>
      </w:r>
    </w:p>
  </w:endnote>
  <w:endnote w:type="continuationNotice" w:id="1">
    <w:p w14:paraId="6A338972" w14:textId="77777777" w:rsidR="008138F5" w:rsidRDefault="008138F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8046B" w14:textId="77777777" w:rsidR="00AD0966" w:rsidRDefault="001E412D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62953" w14:textId="77777777" w:rsidR="00AD0966" w:rsidRDefault="001E412D">
    <w:pPr>
      <w:jc w:val="center"/>
      <w:rPr>
        <w:rFonts w:ascii="Cardo" w:eastAsia="Cardo" w:hAnsi="Cardo" w:cs="Cardo"/>
      </w:rPr>
    </w:pPr>
    <w:r>
      <w:rPr>
        <w:rFonts w:ascii="Cardo" w:eastAsia="Cardo" w:hAnsi="Cardo" w:cs="Cardo"/>
      </w:rPr>
      <w:fldChar w:fldCharType="begin"/>
    </w:r>
    <w:r>
      <w:rPr>
        <w:rFonts w:ascii="Cardo" w:eastAsia="Cardo" w:hAnsi="Cardo" w:cs="Cardo"/>
      </w:rPr>
      <w:instrText>PAGE</w:instrText>
    </w:r>
    <w:r>
      <w:rPr>
        <w:rFonts w:ascii="Cardo" w:eastAsia="Cardo" w:hAnsi="Cardo" w:cs="Cardo"/>
      </w:rPr>
      <w:fldChar w:fldCharType="separate"/>
    </w:r>
    <w:r>
      <w:rPr>
        <w:rFonts w:ascii="Cardo" w:eastAsia="Cardo" w:hAnsi="Cardo" w:cs="Cardo"/>
        <w:noProof/>
      </w:rPr>
      <w:t>1</w:t>
    </w:r>
    <w:r>
      <w:rPr>
        <w:rFonts w:ascii="Cardo" w:eastAsia="Cardo" w:hAnsi="Cardo" w:cs="Card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41C74" w14:textId="77777777" w:rsidR="008138F5" w:rsidRDefault="008138F5">
      <w:pPr>
        <w:spacing w:line="240" w:lineRule="auto"/>
      </w:pPr>
      <w:r>
        <w:separator/>
      </w:r>
    </w:p>
  </w:footnote>
  <w:footnote w:type="continuationSeparator" w:id="0">
    <w:p w14:paraId="52FFDE0D" w14:textId="77777777" w:rsidR="008138F5" w:rsidRDefault="008138F5">
      <w:pPr>
        <w:spacing w:line="240" w:lineRule="auto"/>
      </w:pPr>
      <w:r>
        <w:continuationSeparator/>
      </w:r>
    </w:p>
  </w:footnote>
  <w:footnote w:type="continuationNotice" w:id="1">
    <w:p w14:paraId="54FA96F8" w14:textId="77777777" w:rsidR="008138F5" w:rsidRDefault="008138F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4CD77" w14:textId="77777777" w:rsidR="00AD0966" w:rsidRDefault="001E412D">
    <w:pPr>
      <w:pStyle w:val="Heading1"/>
    </w:pPr>
    <w:bookmarkStart w:id="15" w:name="_1y4a0gsejnud" w:colFirst="0" w:colLast="0"/>
    <w:bookmarkEnd w:id="15"/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 wp14:anchorId="659CF71C" wp14:editId="07777777">
          <wp:simplePos x="0" y="0"/>
          <wp:positionH relativeFrom="page">
            <wp:posOffset>-9524</wp:posOffset>
          </wp:positionH>
          <wp:positionV relativeFrom="page">
            <wp:posOffset>0</wp:posOffset>
          </wp:positionV>
          <wp:extent cx="7799913" cy="1604963"/>
          <wp:effectExtent l="0" t="0" r="0" b="0"/>
          <wp:wrapSquare wrapText="bothSides" distT="114300" distB="114300" distL="114300" distR="114300"/>
          <wp:docPr id="1" name="Picture 1" descr="Blue themed graphics and text that include the Virginia state seal on the left, text on the righ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lue themed graphics and text that include the Virginia state seal on the left, text on the righ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9913" cy="16049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1E43"/>
    <w:multiLevelType w:val="hybridMultilevel"/>
    <w:tmpl w:val="99D299BE"/>
    <w:lvl w:ilvl="0" w:tplc="B6883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B86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CAD5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CEC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EBD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F21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440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560B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988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9D571"/>
    <w:multiLevelType w:val="hybridMultilevel"/>
    <w:tmpl w:val="5948B53C"/>
    <w:lvl w:ilvl="0" w:tplc="58180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C0F404">
      <w:start w:val="1"/>
      <w:numFmt w:val="bullet"/>
      <w:lvlText w:val="○"/>
      <w:lvlJc w:val="left"/>
      <w:pPr>
        <w:ind w:left="1440" w:hanging="360"/>
      </w:pPr>
      <w:rPr>
        <w:rFonts w:ascii="Symbol" w:hAnsi="Symbol" w:hint="default"/>
      </w:rPr>
    </w:lvl>
    <w:lvl w:ilvl="2" w:tplc="CAE0A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322C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3E6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B645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49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5C1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A654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643C8"/>
    <w:multiLevelType w:val="multilevel"/>
    <w:tmpl w:val="40F0AB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A781F28"/>
    <w:multiLevelType w:val="multilevel"/>
    <w:tmpl w:val="004227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BC764BE"/>
    <w:multiLevelType w:val="multilevel"/>
    <w:tmpl w:val="163A27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73E7155"/>
    <w:multiLevelType w:val="multilevel"/>
    <w:tmpl w:val="1DAA8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CFA0F42"/>
    <w:multiLevelType w:val="multilevel"/>
    <w:tmpl w:val="2488F6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809535E"/>
    <w:multiLevelType w:val="multilevel"/>
    <w:tmpl w:val="23E2DD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F9431D8"/>
    <w:multiLevelType w:val="multilevel"/>
    <w:tmpl w:val="F2D813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37754856">
    <w:abstractNumId w:val="1"/>
  </w:num>
  <w:num w:numId="2" w16cid:durableId="1204951473">
    <w:abstractNumId w:val="0"/>
  </w:num>
  <w:num w:numId="3" w16cid:durableId="845175500">
    <w:abstractNumId w:val="7"/>
  </w:num>
  <w:num w:numId="4" w16cid:durableId="352079253">
    <w:abstractNumId w:val="4"/>
  </w:num>
  <w:num w:numId="5" w16cid:durableId="156966989">
    <w:abstractNumId w:val="6"/>
  </w:num>
  <w:num w:numId="6" w16cid:durableId="248003622">
    <w:abstractNumId w:val="2"/>
  </w:num>
  <w:num w:numId="7" w16cid:durableId="252974413">
    <w:abstractNumId w:val="5"/>
  </w:num>
  <w:num w:numId="8" w16cid:durableId="1059743693">
    <w:abstractNumId w:val="3"/>
  </w:num>
  <w:num w:numId="9" w16cid:durableId="4465886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66"/>
    <w:rsid w:val="00136447"/>
    <w:rsid w:val="001E412D"/>
    <w:rsid w:val="002014C7"/>
    <w:rsid w:val="0022593C"/>
    <w:rsid w:val="0046579C"/>
    <w:rsid w:val="004668A0"/>
    <w:rsid w:val="005C4656"/>
    <w:rsid w:val="00643CD5"/>
    <w:rsid w:val="006721EA"/>
    <w:rsid w:val="006BB957"/>
    <w:rsid w:val="007F476C"/>
    <w:rsid w:val="008038C9"/>
    <w:rsid w:val="008138F5"/>
    <w:rsid w:val="00885EBD"/>
    <w:rsid w:val="00986F8C"/>
    <w:rsid w:val="009D6A29"/>
    <w:rsid w:val="009FAF55"/>
    <w:rsid w:val="00A075D7"/>
    <w:rsid w:val="00A53839"/>
    <w:rsid w:val="00A80AB5"/>
    <w:rsid w:val="00AD0966"/>
    <w:rsid w:val="00AF3914"/>
    <w:rsid w:val="00AF5FA4"/>
    <w:rsid w:val="00CA74DA"/>
    <w:rsid w:val="00D456FC"/>
    <w:rsid w:val="00DC2EE9"/>
    <w:rsid w:val="00DF662C"/>
    <w:rsid w:val="00E03BF0"/>
    <w:rsid w:val="00E84A6A"/>
    <w:rsid w:val="00F1232B"/>
    <w:rsid w:val="00F17C82"/>
    <w:rsid w:val="00F476ED"/>
    <w:rsid w:val="00FA9E68"/>
    <w:rsid w:val="0185CEA7"/>
    <w:rsid w:val="029FF34C"/>
    <w:rsid w:val="02AA029A"/>
    <w:rsid w:val="02B8560A"/>
    <w:rsid w:val="03B4CF15"/>
    <w:rsid w:val="03D182E4"/>
    <w:rsid w:val="04323F2A"/>
    <w:rsid w:val="049AE6C0"/>
    <w:rsid w:val="090D9DD3"/>
    <w:rsid w:val="0A7E37F7"/>
    <w:rsid w:val="0ABABBB3"/>
    <w:rsid w:val="0C50A33E"/>
    <w:rsid w:val="0CC08700"/>
    <w:rsid w:val="0CD06ED4"/>
    <w:rsid w:val="0E14F5EB"/>
    <w:rsid w:val="0E6C3F35"/>
    <w:rsid w:val="0F4F8AB9"/>
    <w:rsid w:val="10080F96"/>
    <w:rsid w:val="11F02098"/>
    <w:rsid w:val="124BA68A"/>
    <w:rsid w:val="142BA89D"/>
    <w:rsid w:val="144DB900"/>
    <w:rsid w:val="15BD3D42"/>
    <w:rsid w:val="165E28BD"/>
    <w:rsid w:val="1669076B"/>
    <w:rsid w:val="16B159CA"/>
    <w:rsid w:val="186DE504"/>
    <w:rsid w:val="18E89F28"/>
    <w:rsid w:val="1A7358E4"/>
    <w:rsid w:val="1ABF91FE"/>
    <w:rsid w:val="1BDA96E8"/>
    <w:rsid w:val="1D29C973"/>
    <w:rsid w:val="1D82F214"/>
    <w:rsid w:val="1E39BEC0"/>
    <w:rsid w:val="208C096D"/>
    <w:rsid w:val="2127F4BD"/>
    <w:rsid w:val="21597324"/>
    <w:rsid w:val="22F63FA4"/>
    <w:rsid w:val="2397CA58"/>
    <w:rsid w:val="24B2FB27"/>
    <w:rsid w:val="24B5E7ED"/>
    <w:rsid w:val="255E9AD8"/>
    <w:rsid w:val="257684DB"/>
    <w:rsid w:val="25F109CE"/>
    <w:rsid w:val="278DAB8D"/>
    <w:rsid w:val="2D2D84B2"/>
    <w:rsid w:val="2E605803"/>
    <w:rsid w:val="30938573"/>
    <w:rsid w:val="31E1D7EF"/>
    <w:rsid w:val="346B971D"/>
    <w:rsid w:val="34F0C954"/>
    <w:rsid w:val="36BB3E9B"/>
    <w:rsid w:val="380564A9"/>
    <w:rsid w:val="39A0BF6A"/>
    <w:rsid w:val="3B1E66BA"/>
    <w:rsid w:val="3B910C62"/>
    <w:rsid w:val="3CC25B34"/>
    <w:rsid w:val="3E6CE3CC"/>
    <w:rsid w:val="3F8A1405"/>
    <w:rsid w:val="3F99734F"/>
    <w:rsid w:val="3FA7AC69"/>
    <w:rsid w:val="405D7437"/>
    <w:rsid w:val="42BCB13C"/>
    <w:rsid w:val="42D3DB0E"/>
    <w:rsid w:val="43105042"/>
    <w:rsid w:val="449964D8"/>
    <w:rsid w:val="450BFB60"/>
    <w:rsid w:val="4648ED23"/>
    <w:rsid w:val="466B4DFF"/>
    <w:rsid w:val="46D29019"/>
    <w:rsid w:val="47C52558"/>
    <w:rsid w:val="47ED2FD8"/>
    <w:rsid w:val="48159FA2"/>
    <w:rsid w:val="4924A2B3"/>
    <w:rsid w:val="4B697491"/>
    <w:rsid w:val="4CB82EA7"/>
    <w:rsid w:val="4D59B95B"/>
    <w:rsid w:val="4DD69FE0"/>
    <w:rsid w:val="4DF90956"/>
    <w:rsid w:val="4E07E6B4"/>
    <w:rsid w:val="5193628F"/>
    <w:rsid w:val="51C2F883"/>
    <w:rsid w:val="529D63E8"/>
    <w:rsid w:val="532A41AD"/>
    <w:rsid w:val="54FF39F6"/>
    <w:rsid w:val="5545DD46"/>
    <w:rsid w:val="56EAC70B"/>
    <w:rsid w:val="56FA9788"/>
    <w:rsid w:val="586E3F90"/>
    <w:rsid w:val="5B31A6D8"/>
    <w:rsid w:val="5B81A2DC"/>
    <w:rsid w:val="5BA5E052"/>
    <w:rsid w:val="5E711439"/>
    <w:rsid w:val="5FD6C316"/>
    <w:rsid w:val="600DE0B9"/>
    <w:rsid w:val="601D1A33"/>
    <w:rsid w:val="60BD1974"/>
    <w:rsid w:val="619088BD"/>
    <w:rsid w:val="6203BA6E"/>
    <w:rsid w:val="631DE8DE"/>
    <w:rsid w:val="6344855C"/>
    <w:rsid w:val="6462A5C9"/>
    <w:rsid w:val="649FA672"/>
    <w:rsid w:val="66DD02B9"/>
    <w:rsid w:val="66EE2E00"/>
    <w:rsid w:val="675A876A"/>
    <w:rsid w:val="68900854"/>
    <w:rsid w:val="68A86476"/>
    <w:rsid w:val="6C1CBDB6"/>
    <w:rsid w:val="6C2B0335"/>
    <w:rsid w:val="6C544E9E"/>
    <w:rsid w:val="6DB88E17"/>
    <w:rsid w:val="6DC60238"/>
    <w:rsid w:val="6E682E01"/>
    <w:rsid w:val="6E975692"/>
    <w:rsid w:val="709CD7B1"/>
    <w:rsid w:val="7188D339"/>
    <w:rsid w:val="72804AFE"/>
    <w:rsid w:val="735EAC4A"/>
    <w:rsid w:val="74E63ACF"/>
    <w:rsid w:val="75B7EBC0"/>
    <w:rsid w:val="75D2103C"/>
    <w:rsid w:val="76B707E5"/>
    <w:rsid w:val="7753BC21"/>
    <w:rsid w:val="7762135E"/>
    <w:rsid w:val="782222CB"/>
    <w:rsid w:val="79B9ABF2"/>
    <w:rsid w:val="7B40E726"/>
    <w:rsid w:val="7E5B81B1"/>
    <w:rsid w:val="7E8D1D15"/>
    <w:rsid w:val="7EA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2AD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Cardo" w:eastAsia="Cardo" w:hAnsi="Cardo" w:cs="Cardo"/>
      <w:b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rFonts w:ascii="Cardo" w:eastAsia="Cardo" w:hAnsi="Cardo" w:cs="Cardo"/>
      <w:b/>
    </w:rPr>
  </w:style>
  <w:style w:type="paragraph" w:styleId="Heading4">
    <w:name w:val="heading 4"/>
    <w:basedOn w:val="Normal"/>
    <w:next w:val="Normal"/>
    <w:pPr>
      <w:keepNext/>
      <w:keepLines/>
      <w:outlineLvl w:val="3"/>
    </w:pPr>
    <w:rPr>
      <w:rFonts w:ascii="Cardo" w:eastAsia="Cardo" w:hAnsi="Cardo" w:cs="Cardo"/>
      <w:b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Cardo" w:eastAsia="Cardo" w:hAnsi="Cardo" w:cs="Cardo"/>
      <w:b/>
    </w:rPr>
  </w:style>
  <w:style w:type="paragraph" w:styleId="Subtitle">
    <w:name w:val="Subtitle"/>
    <w:basedOn w:val="Normal"/>
    <w:next w:val="Normal"/>
    <w:pPr>
      <w:keepNext/>
      <w:keepLines/>
      <w:spacing w:after="320" w:line="240" w:lineRule="auto"/>
    </w:pPr>
    <w:rPr>
      <w:color w:val="666666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1E412D"/>
    <w:rPr>
      <w:color w:val="80808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7C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7C8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6F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F8C"/>
  </w:style>
  <w:style w:type="paragraph" w:styleId="Footer">
    <w:name w:val="footer"/>
    <w:basedOn w:val="Normal"/>
    <w:link w:val="FooterChar"/>
    <w:uiPriority w:val="99"/>
    <w:unhideWhenUsed/>
    <w:rsid w:val="00986F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elle.Torbert@doe.virginia.gov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udget.lis.virginia.gov/item/2022/2/HB30/Chapter/1/13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w.lis.virginia.gov/admincodefull/title8/agency20/chapter650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E7C583ACDFCF4DB30CA959DC5287DA" ma:contentTypeVersion="5" ma:contentTypeDescription="Create a new document." ma:contentTypeScope="" ma:versionID="f928762306c5a502c2a0a846661488d3">
  <xsd:schema xmlns:xsd="http://www.w3.org/2001/XMLSchema" xmlns:xs="http://www.w3.org/2001/XMLSchema" xmlns:p="http://schemas.microsoft.com/office/2006/metadata/properties" xmlns:ns2="049005b6-5a38-4419-91fa-ebdf32acfed3" xmlns:ns3="4c2c5aab-b472-4b8f-a7fa-721e1e86a722" targetNamespace="http://schemas.microsoft.com/office/2006/metadata/properties" ma:root="true" ma:fieldsID="3730662b02fc00ae5e980e446709117c" ns2:_="" ns3:_="">
    <xsd:import namespace="049005b6-5a38-4419-91fa-ebdf32acfed3"/>
    <xsd:import namespace="4c2c5aab-b472-4b8f-a7fa-721e1e86a7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005b6-5a38-4419-91fa-ebdf32acf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c5aab-b472-4b8f-a7fa-721e1e86a7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2c5aab-b472-4b8f-a7fa-721e1e86a722">
      <UserInfo>
        <DisplayName>Armstrong, Tatanishia (DOE)</DisplayName>
        <AccountId>136</AccountId>
        <AccountType/>
      </UserInfo>
      <UserInfo>
        <DisplayName>Chapman, Jim (DOE)</DisplayName>
        <AccountId>15</AccountId>
        <AccountType/>
      </UserInfo>
      <UserInfo>
        <DisplayName>Perez, Megan (DOE)</DisplayName>
        <AccountId>20</AccountId>
        <AccountType/>
      </UserInfo>
      <UserInfo>
        <DisplayName>Haymes, Patricia (DOE)</DisplayName>
        <AccountId>59</AccountId>
        <AccountType/>
      </UserInfo>
      <UserInfo>
        <DisplayName>Williams, Susan (DOE)</DisplayName>
        <AccountId>54</AccountId>
        <AccountType/>
      </UserInfo>
      <UserInfo>
        <DisplayName>Curwood, Sandra (DOE)</DisplayName>
        <AccountId>82</AccountId>
        <AccountType/>
      </UserInfo>
      <UserInfo>
        <DisplayName>Susbury, Sarah (DOE)</DisplayName>
        <AccountId>47</AccountId>
        <AccountType/>
      </UserInfo>
      <UserInfo>
        <DisplayName>Sodat, Lynn (DOE)</DisplayName>
        <AccountId>66</AccountId>
        <AccountType/>
      </UserInfo>
      <UserInfo>
        <DisplayName>Jones, Monique (DOE)</DisplayName>
        <AccountId>116</AccountId>
        <AccountType/>
      </UserInfo>
      <UserInfo>
        <DisplayName>Harris, Christine (DOE)</DisplayName>
        <AccountId>48</AccountId>
        <AccountType/>
      </UserInfo>
      <UserInfo>
        <DisplayName>Coleman, Tracie (DOE)</DisplayName>
        <AccountId>62</AccountId>
        <AccountType/>
      </UserInfo>
      <UserInfo>
        <DisplayName>Ramnarain, Arravind (DOE)</DisplayName>
        <AccountId>64</AccountId>
        <AccountType/>
      </UserInfo>
      <UserInfo>
        <DisplayName>Dickey, Kent (DOE)</DisplayName>
        <AccountId>30</AccountId>
        <AccountType/>
      </UserInfo>
      <UserInfo>
        <DisplayName>Millward, Hank (DOE)</DisplayName>
        <AccountId>61</AccountId>
        <AccountType/>
      </UserInfo>
      <UserInfo>
        <DisplayName>Phenicie, Jeff (DOE)</DisplayName>
        <AccountId>145</AccountId>
        <AccountType/>
      </UserInfo>
      <UserInfo>
        <DisplayName>Lanza, Edward (DOE)</DisplayName>
        <AccountId>65</AccountId>
        <AccountType/>
      </UserInfo>
      <UserInfo>
        <DisplayName>Loving-ryder, Shelley (DOE)</DisplayName>
        <AccountId>26</AccountId>
        <AccountType/>
      </UserInfo>
      <UserInfo>
        <DisplayName>Broyles, Thomas (DOE)</DisplayName>
        <AccountId>53</AccountId>
        <AccountType/>
      </UserInfo>
      <UserInfo>
        <DisplayName>Torbert, Johnelle (DOE)</DisplayName>
        <AccountId>140</AccountId>
        <AccountType/>
      </UserInfo>
      <UserInfo>
        <DisplayName>Clemmons, Maggie (DOE)</DisplayName>
        <AccountId>37</AccountId>
        <AccountType/>
      </UserInfo>
      <UserInfo>
        <DisplayName>Saimre, Maribel (DOE)</DisplayName>
        <AccountId>146</AccountId>
        <AccountType/>
      </UserInfo>
      <UserInfo>
        <DisplayName>Sale, Leslie (DOE)</DisplayName>
        <AccountId>45</AccountId>
        <AccountType/>
      </UserInfo>
      <UserInfo>
        <DisplayName>Carroll, Erin (DOE)</DisplayName>
        <AccountId>67</AccountId>
        <AccountType/>
      </UserInfo>
      <UserInfo>
        <DisplayName>Pyle, Charles (DOE)</DisplayName>
        <AccountId>25</AccountId>
        <AccountType/>
      </UserInfo>
      <UserInfo>
        <DisplayName>Myers, Dave (DOE)</DisplayName>
        <AccountId>32</AccountId>
        <AccountType/>
      </UserInfo>
      <UserInfo>
        <DisplayName>Hollins, Samantha (DOE)</DisplayName>
        <AccountId>28</AccountId>
        <AccountType/>
      </UserInfo>
      <UserInfo>
        <DisplayName>Richardson, Tamilah (DOE)</DisplayName>
        <AccountId>72</AccountId>
        <AccountType/>
      </UserInfo>
      <UserInfo>
        <DisplayName>Burnett, Zenia (DOE)</DisplayName>
        <AccountId>58</AccountId>
        <AccountType/>
      </UserInfo>
      <UserInfo>
        <DisplayName>Carnohan, Diane (DOE)</DisplayName>
        <AccountId>16</AccountId>
        <AccountType/>
      </UserInfo>
      <UserInfo>
        <DisplayName>Jeffries, Taundwa (DOE)</DisplayName>
        <AccountId>73</AccountId>
        <AccountType/>
      </UserInfo>
      <UserInfo>
        <DisplayName>Ortiz, Aurelia (DOE)</DisplayName>
        <AccountId>56</AccountId>
        <AccountType/>
      </UserInfo>
      <UserInfo>
        <DisplayName>Cormal, Paul (DOE)</DisplayName>
        <AccountId>55</AccountId>
        <AccountType/>
      </UserInfo>
      <UserInfo>
        <DisplayName>Ullrich, Rebecca (DOE)</DisplayName>
        <AccountId>69</AccountId>
        <AccountType/>
      </UserInfo>
      <UserInfo>
        <DisplayName>Albon, Brendon (DOE)</DisplayName>
        <AccountId>36</AccountId>
        <AccountType/>
      </UserInfo>
      <UserInfo>
        <DisplayName>Williams, Jeff (DOE)</DisplayName>
        <AccountId>71</AccountId>
        <AccountType/>
      </UserInfo>
      <UserInfo>
        <DisplayName>Conway, Jenna (DOE)</DisplayName>
        <AccountId>35</AccountId>
        <AccountType/>
      </UserInfo>
      <UserInfo>
        <DisplayName>Johnson, Joan (DOE)</DisplayName>
        <AccountId>31</AccountId>
        <AccountType/>
      </UserInfo>
      <UserInfo>
        <DisplayName>Moore, Megan (DOE)</DisplayName>
        <AccountId>57</AccountId>
        <AccountType/>
      </UserInfo>
      <UserInfo>
        <DisplayName>Lawson, Carol Ann (DOE)</DisplayName>
        <AccountId>51</AccountId>
        <AccountType/>
      </UserInfo>
      <UserInfo>
        <DisplayName>Siepka, Amy (DOE)</DisplayName>
        <AccountId>46</AccountId>
        <AccountType/>
      </UserInfo>
      <UserInfo>
        <DisplayName>Merritt, Adria (DOE)</DisplayName>
        <AccountId>52</AccountId>
        <AccountType/>
      </UserInfo>
      <UserInfo>
        <DisplayName>Sherrill, Annette (DOE)</DisplayName>
        <AccountId>50</AccountId>
        <AccountType/>
      </UserInfo>
      <UserInfo>
        <DisplayName>Schultz, Elizabeth (DOE)</DisplayName>
        <AccountId>33</AccountId>
        <AccountType/>
      </UserInfo>
      <UserInfo>
        <DisplayName>Balow, Jillian (DOE)</DisplayName>
        <AccountId>44</AccountId>
        <AccountType/>
      </UserInfo>
      <UserInfo>
        <DisplayName>Richey, Kimberly (DOE)</DisplayName>
        <AccountId>34</AccountId>
        <AccountType/>
      </UserInfo>
      <UserInfo>
        <DisplayName>Compton, Michael (DOE)</DisplayName>
        <AccountId>147</AccountId>
        <AccountType/>
      </UserInfo>
      <UserInfo>
        <DisplayName>Little, Karin (DOE)</DisplayName>
        <AccountId>68</AccountId>
        <AccountType/>
      </UserInfo>
      <UserInfo>
        <DisplayName>Schneider, Angela (DOE)</DisplayName>
        <AccountId>49</AccountId>
        <AccountType/>
      </UserInfo>
      <UserInfo>
        <DisplayName>Quist, Karen (DOE)</DisplayName>
        <AccountId>148</AccountId>
        <AccountType/>
      </UserInfo>
      <UserInfo>
        <DisplayName>Velazquez, Melissa (DOE)</DisplayName>
        <AccountId>29</AccountId>
        <AccountType/>
      </UserInfo>
      <UserInfo>
        <DisplayName>Ramsey, Sandra (DOE)</DisplayName>
        <AccountId>149</AccountId>
        <AccountType/>
      </UserInfo>
      <UserInfo>
        <DisplayName>Hayes, Geraldine (DOE)</DisplayName>
        <AccountId>150</AccountId>
        <AccountType/>
      </UserInfo>
      <UserInfo>
        <DisplayName>Brown-conklin, Angela (DOE)</DisplayName>
        <AccountId>151</AccountId>
        <AccountType/>
      </UserInfo>
      <UserInfo>
        <DisplayName>Ballard, Quentin (DOE)</DisplayName>
        <AccountId>157</AccountId>
        <AccountType/>
      </UserInfo>
      <UserInfo>
        <DisplayName>Jennings, Laura (DOE)</DisplayName>
        <AccountId>177</AccountId>
        <AccountType/>
      </UserInfo>
      <UserInfo>
        <DisplayName>Meyers, Kris (DOE)</DisplayName>
        <AccountId>112</AccountId>
        <AccountType/>
      </UserInfo>
      <UserInfo>
        <DisplayName>Coons, Lisa (DOE)</DisplayName>
        <AccountId>226</AccountId>
        <AccountType/>
      </UserInfo>
      <UserInfo>
        <DisplayName>Raley, Jeremy (DOE)</DisplayName>
        <AccountId>227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142762C-2E6E-49AE-B0BA-F807F02068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AD1674-0010-434F-A9AC-3199229155B9}"/>
</file>

<file path=customXml/itemProps3.xml><?xml version="1.0" encoding="utf-8"?>
<ds:datastoreItem xmlns:ds="http://schemas.openxmlformats.org/officeDocument/2006/customXml" ds:itemID="{B32CF8DB-3705-4B3A-8A99-A4CB36BB9DBC}"/>
</file>

<file path=customXml/itemProps4.xml><?xml version="1.0" encoding="utf-8"?>
<ds:datastoreItem xmlns:ds="http://schemas.openxmlformats.org/officeDocument/2006/customXml" ds:itemID="{E52950E3-7376-4F19-92F2-D093E5F65F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2023-07-20T04:56:00Z</dcterms:created>
  <dcterms:modified xsi:type="dcterms:W3CDTF">2023-07-20T04:56:00Z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al">
    <vt:lpwstr>Finalized - Copied to Board Book</vt:lpwstr>
  </property>
  <property fmtid="{D5CDD505-2E9C-101B-9397-08002B2CF9AE}" pid="3" name="ContentTypeId">
    <vt:lpwstr>0x01010037E7C583ACDFCF4DB30CA959DC5287DA</vt:lpwstr>
  </property>
</Properties>
</file>