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D0966" w:rsidRDefault="001E412D" w14:paraId="149842DB" w14:textId="6FE1C2DC">
      <w:pPr>
        <w:pStyle w:val="Heading1"/>
        <w:ind w:left="2160" w:hanging="2160"/>
        <w:rPr>
          <w:rFonts w:ascii="Times New Roman" w:hAnsi="Times New Roman" w:eastAsia="Times New Roman" w:cs="Times New Roman"/>
        </w:rPr>
      </w:pPr>
      <w:bookmarkStart w:name="_v6h2tvc63wcj" w:id="0"/>
      <w:bookmarkEnd w:id="0"/>
      <w:r w:rsidRPr="0B551618">
        <w:rPr>
          <w:rFonts w:ascii="Times New Roman" w:hAnsi="Times New Roman" w:eastAsia="Times New Roman" w:cs="Times New Roman"/>
        </w:rPr>
        <w:t xml:space="preserve">Agenda Item: </w:t>
      </w:r>
      <w:r>
        <w:tab/>
      </w:r>
      <w:r w:rsidRPr="0B551618" w:rsidR="56AD31F8">
        <w:rPr>
          <w:rFonts w:ascii="Times New Roman" w:hAnsi="Times New Roman" w:eastAsia="Times New Roman" w:cs="Times New Roman"/>
        </w:rPr>
        <w:t>G</w:t>
      </w:r>
    </w:p>
    <w:p w:rsidR="00AD0966" w:rsidP="47ED2FD8" w:rsidRDefault="00AD0966" w14:paraId="672A6659" w14:textId="77777777">
      <w:pPr>
        <w:ind w:left="2160" w:hanging="2160"/>
        <w:rPr>
          <w:b/>
          <w:bCs/>
        </w:rPr>
      </w:pPr>
    </w:p>
    <w:p w:rsidR="00AD0966" w:rsidP="47ED2FD8" w:rsidRDefault="001E412D" w14:paraId="4C8BFC02" w14:textId="0FF1AB02">
      <w:pPr>
        <w:pStyle w:val="Heading2"/>
        <w:ind w:left="2160" w:hanging="2160"/>
      </w:pPr>
      <w:bookmarkStart w:name="_tehyq7yeo3rn" w:id="1"/>
      <w:bookmarkEnd w:id="1"/>
      <w:r w:rsidRPr="47ED2FD8">
        <w:t xml:space="preserve">Date: </w:t>
      </w:r>
      <w:r>
        <w:tab/>
      </w:r>
      <w:r w:rsidR="00A027E6">
        <w:t>July 27, 2023</w:t>
      </w:r>
    </w:p>
    <w:p w:rsidR="00AD0966" w:rsidP="47ED2FD8" w:rsidRDefault="00AD0966" w14:paraId="0A37501D" w14:textId="77777777">
      <w:pPr>
        <w:ind w:left="2160" w:hanging="2160"/>
        <w:rPr>
          <w:b/>
          <w:bCs/>
        </w:rPr>
      </w:pPr>
    </w:p>
    <w:p w:rsidR="00AD0966" w:rsidP="47ED2FD8" w:rsidRDefault="001E412D" w14:paraId="3728E60B" w14:textId="312215E8">
      <w:pPr>
        <w:pStyle w:val="Heading2"/>
        <w:ind w:left="2160" w:hanging="2160"/>
      </w:pPr>
      <w:bookmarkStart w:name="_d0ckn4izyzin" w:id="2"/>
      <w:bookmarkEnd w:id="2"/>
      <w:r w:rsidRPr="4242CC11">
        <w:t>Title:</w:t>
      </w:r>
      <w:r>
        <w:tab/>
      </w:r>
      <w:r w:rsidR="002A11A2">
        <w:t>First and Final Review of</w:t>
      </w:r>
      <w:r w:rsidR="00D40C01">
        <w:t xml:space="preserve"> </w:t>
      </w:r>
      <w:r w:rsidR="00A027E6">
        <w:t>Regulatory Actions Following the 2023 Legislative Session</w:t>
      </w:r>
    </w:p>
    <w:p w:rsidR="00AD0966" w:rsidP="47ED2FD8" w:rsidRDefault="00AD0966" w14:paraId="5DAB6C7B" w14:textId="77777777">
      <w:pPr>
        <w:pStyle w:val="Heading2"/>
        <w:ind w:left="2160" w:hanging="2160"/>
      </w:pPr>
      <w:bookmarkStart w:name="_ckp6aa8djvis" w:id="3"/>
      <w:bookmarkEnd w:id="3"/>
    </w:p>
    <w:p w:rsidR="00AD0966" w:rsidP="47ED2FD8" w:rsidRDefault="001E412D" w14:paraId="37E2EE6D" w14:textId="50C93FFB">
      <w:pPr>
        <w:pStyle w:val="Heading2"/>
        <w:ind w:left="2160" w:hanging="2160"/>
      </w:pPr>
      <w:bookmarkStart w:name="_k7s1zrg76o8l" w:id="4"/>
      <w:bookmarkEnd w:id="4"/>
      <w:r w:rsidRPr="47ED2FD8">
        <w:t xml:space="preserve">Presenter: </w:t>
      </w:r>
      <w:r w:rsidR="00A027E6">
        <w:tab/>
      </w:r>
      <w:r w:rsidR="00A027E6">
        <w:t>Jim Chapman, Director of Board Relations</w:t>
      </w:r>
    </w:p>
    <w:p w:rsidR="00AD0966" w:rsidP="47ED2FD8" w:rsidRDefault="00AD0966" w14:paraId="02EB378F" w14:textId="77777777">
      <w:pPr>
        <w:pStyle w:val="Heading2"/>
        <w:ind w:left="2160" w:hanging="2160"/>
      </w:pPr>
      <w:bookmarkStart w:name="_6qxna5iyurd3" w:id="5"/>
      <w:bookmarkEnd w:id="5"/>
    </w:p>
    <w:p w:rsidR="00AD0966" w:rsidP="47ED2FD8" w:rsidRDefault="001E412D" w14:paraId="1CC5911D" w14:textId="2B9CCBD9">
      <w:pPr>
        <w:pStyle w:val="Heading2"/>
        <w:ind w:left="2160" w:hanging="2160"/>
      </w:pPr>
      <w:bookmarkStart w:name="_fsl9fl59q6tz" w:id="6"/>
      <w:bookmarkEnd w:id="6"/>
      <w:r w:rsidRPr="47ED2FD8">
        <w:t xml:space="preserve">Email: </w:t>
      </w:r>
      <w:r w:rsidR="00A027E6">
        <w:tab/>
      </w:r>
      <w:hyperlink w:history="1" r:id="rId8">
        <w:r w:rsidRPr="007B557F" w:rsidR="00A027E6">
          <w:rPr>
            <w:rStyle w:val="Hyperlink"/>
          </w:rPr>
          <w:t>Jim.Chapman@doe.virginia.gov</w:t>
        </w:r>
      </w:hyperlink>
      <w:r w:rsidR="00A027E6">
        <w:t xml:space="preserve"> </w:t>
      </w:r>
      <w:r>
        <w:tab/>
      </w:r>
      <w:r>
        <w:tab/>
      </w:r>
      <w:r w:rsidRPr="47ED2FD8">
        <w:t xml:space="preserve">Phone: </w:t>
      </w:r>
      <w:r w:rsidR="00A027E6">
        <w:t>804-225-2924</w:t>
      </w:r>
    </w:p>
    <w:p w:rsidR="00AD0966" w:rsidP="47ED2FD8" w:rsidRDefault="00AD0966" w14:paraId="6A05A809" w14:textId="77777777"/>
    <w:p w:rsidR="00AD0966" w:rsidP="47ED2FD8" w:rsidRDefault="001E412D" w14:paraId="4A278986" w14:textId="68F9AA6E">
      <w:pPr>
        <w:pStyle w:val="Heading2"/>
      </w:pPr>
      <w:bookmarkStart w:name="_augujpan37ee" w:id="7"/>
      <w:bookmarkEnd w:id="7"/>
      <w:r w:rsidRPr="0A7E37F7">
        <w:t xml:space="preserve">Purpose of Presentation </w:t>
      </w:r>
    </w:p>
    <w:p w:rsidR="00AD0966" w:rsidP="00A027E6" w:rsidRDefault="001E412D" w14:paraId="00AD9D4F" w14:textId="77777777">
      <w:r w:rsidRPr="47ED2FD8">
        <w:t xml:space="preserve">Action required by state or federal law or regulation (i.e., a change in law requires a change in program requirements; this is part of a regulatory action). </w:t>
      </w:r>
    </w:p>
    <w:p w:rsidR="00AD0966" w:rsidP="47ED2FD8" w:rsidRDefault="00AD0966" w14:paraId="5A39BBE3" w14:textId="77777777"/>
    <w:p w:rsidR="00AD0966" w:rsidP="47ED2FD8" w:rsidRDefault="001E412D" w14:paraId="51FFD37E" w14:textId="1EE09935">
      <w:pPr>
        <w:pStyle w:val="Heading2"/>
        <w:spacing w:line="240" w:lineRule="auto"/>
      </w:pPr>
      <w:bookmarkStart w:name="_1ix2z9h4zl5e" w:id="8"/>
      <w:bookmarkEnd w:id="8"/>
      <w:r w:rsidRPr="0A7E37F7">
        <w:t>Executive Summary</w:t>
      </w:r>
    </w:p>
    <w:p w:rsidR="00A027E6" w:rsidP="0185CEA7" w:rsidRDefault="00A027E6" w14:paraId="292BDCB4" w14:textId="2FA93A8D">
      <w:r w:rsidR="00A027E6">
        <w:rPr/>
        <w:t>During the 2023 legislative session, the General Assembly passed—and the Governor subsequently signed—numerous bills that affect education in Virginia.</w:t>
      </w:r>
      <w:r w:rsidR="002A11A2">
        <w:rPr/>
        <w:t xml:space="preserve"> Of those, </w:t>
      </w:r>
      <w:r w:rsidR="00A027E6">
        <w:rPr/>
        <w:t xml:space="preserve">Chapters </w:t>
      </w:r>
      <w:hyperlink r:id="R67ee3bec6aa84076">
        <w:r w:rsidRPr="4E12811F" w:rsidR="00A027E6">
          <w:rPr>
            <w:rStyle w:val="Hyperlink"/>
          </w:rPr>
          <w:t>4</w:t>
        </w:r>
      </w:hyperlink>
      <w:r w:rsidR="00A027E6">
        <w:rPr/>
        <w:t xml:space="preserve">, </w:t>
      </w:r>
      <w:hyperlink r:id="Ra3d3da042fe5443a">
        <w:r w:rsidRPr="4E12811F" w:rsidR="00A027E6">
          <w:rPr>
            <w:rStyle w:val="Hyperlink"/>
          </w:rPr>
          <w:t>7</w:t>
        </w:r>
      </w:hyperlink>
      <w:r w:rsidR="00A027E6">
        <w:rPr/>
        <w:t xml:space="preserve">, </w:t>
      </w:r>
      <w:hyperlink r:id="R6a938031bfab4bed">
        <w:r w:rsidRPr="4E12811F" w:rsidR="00A027E6">
          <w:rPr>
            <w:rStyle w:val="Hyperlink"/>
          </w:rPr>
          <w:t>748</w:t>
        </w:r>
      </w:hyperlink>
      <w:r w:rsidR="00A027E6">
        <w:rPr/>
        <w:t xml:space="preserve">, and </w:t>
      </w:r>
      <w:hyperlink r:id="R3294184981154ae7">
        <w:r w:rsidRPr="4E12811F" w:rsidR="00A027E6">
          <w:rPr>
            <w:rStyle w:val="Hyperlink"/>
          </w:rPr>
          <w:t>771</w:t>
        </w:r>
      </w:hyperlink>
      <w:r w:rsidR="00A027E6">
        <w:rPr/>
        <w:t xml:space="preserve"> </w:t>
      </w:r>
      <w:r w:rsidR="002A11A2">
        <w:rPr/>
        <w:t>of the 2023 Acts of the Assembly</w:t>
      </w:r>
      <w:r w:rsidR="00D40C01">
        <w:rPr/>
        <w:t xml:space="preserve"> (“Chapter 4,” “Chapter 7,” “Chapter 748,” and “Chapter 771,” respectively)</w:t>
      </w:r>
      <w:r w:rsidR="00A027E6">
        <w:rPr/>
        <w:t xml:space="preserve"> </w:t>
      </w:r>
      <w:r w:rsidR="002A11A2">
        <w:rPr/>
        <w:t>require the Virginia Board of Education (“Board”) to amend its regulations.</w:t>
      </w:r>
    </w:p>
    <w:p w:rsidR="002A11A2" w:rsidP="0185CEA7" w:rsidRDefault="002A11A2" w14:paraId="3CEB55EE" w14:textId="77777777"/>
    <w:p w:rsidRPr="002A11A2" w:rsidR="002A11A2" w:rsidP="002A11A2" w:rsidRDefault="002A11A2" w14:paraId="200149E6" w14:textId="6F6461E2">
      <w:pPr>
        <w:rPr>
          <w:lang w:val="en-US"/>
        </w:rPr>
      </w:pPr>
      <w:r>
        <w:t>Each of the regulatory changes included in this item are required by legislative mandate</w:t>
      </w:r>
      <w:r w:rsidR="31087F5D">
        <w:t xml:space="preserve">. The Board </w:t>
      </w:r>
      <w:r>
        <w:t>is not exercising discretion in the change</w:t>
      </w:r>
      <w:r w:rsidR="56C9771B">
        <w:t xml:space="preserve">s, but simply amending its regulations </w:t>
      </w:r>
      <w:proofErr w:type="gramStart"/>
      <w:r w:rsidR="56C9771B">
        <w:t>in order to</w:t>
      </w:r>
      <w:proofErr w:type="gramEnd"/>
      <w:r w:rsidR="56C9771B">
        <w:t xml:space="preserve"> align with legislative changes to the </w:t>
      </w:r>
      <w:r w:rsidRPr="0B551618" w:rsidR="56C9771B">
        <w:rPr>
          <w:i/>
          <w:iCs/>
        </w:rPr>
        <w:t>Code of Virginia</w:t>
      </w:r>
      <w:r>
        <w:t xml:space="preserve">. Accordingly, the actions are being presented as exempt actions under </w:t>
      </w:r>
      <w:r w:rsidRPr="0B551618">
        <w:rPr>
          <w:lang w:val="en-US"/>
        </w:rPr>
        <w:t xml:space="preserve">§ </w:t>
      </w:r>
      <w:hyperlink r:id="rId13">
        <w:r w:rsidRPr="0B551618">
          <w:rPr>
            <w:rStyle w:val="Hyperlink"/>
            <w:lang w:val="en-US"/>
          </w:rPr>
          <w:t>2.2-4006</w:t>
        </w:r>
      </w:hyperlink>
      <w:r w:rsidRPr="0B551618">
        <w:rPr>
          <w:lang w:val="en-US"/>
        </w:rPr>
        <w:t xml:space="preserve">(A)(4)(a) of the </w:t>
      </w:r>
      <w:r w:rsidRPr="0B551618">
        <w:rPr>
          <w:i/>
          <w:iCs/>
          <w:lang w:val="en-US"/>
        </w:rPr>
        <w:t>Code of Virginia</w:t>
      </w:r>
      <w:r w:rsidRPr="0B551618">
        <w:rPr>
          <w:lang w:val="en-US"/>
        </w:rPr>
        <w:t>.</w:t>
      </w:r>
    </w:p>
    <w:p w:rsidR="00AD0966" w:rsidP="00D40C01" w:rsidRDefault="00AD0966" w14:paraId="41C8F396" w14:textId="77777777">
      <w:bookmarkStart w:name="_824hejcgkig" w:id="9"/>
      <w:bookmarkEnd w:id="9"/>
    </w:p>
    <w:p w:rsidR="00AD0966" w:rsidP="47ED2FD8" w:rsidRDefault="001E412D" w14:paraId="41BD4332" w14:textId="603E2B37">
      <w:pPr>
        <w:pStyle w:val="Heading2"/>
        <w:spacing w:line="240" w:lineRule="auto"/>
      </w:pPr>
      <w:bookmarkStart w:name="_e237r4fk2eq0" w:id="10"/>
      <w:bookmarkEnd w:id="10"/>
      <w:r w:rsidRPr="0A7E37F7">
        <w:t>Action Requested</w:t>
      </w:r>
    </w:p>
    <w:p w:rsidR="00AD0966" w:rsidP="00D40C01" w:rsidRDefault="001E412D" w14:paraId="4E49F4A5" w14:textId="77777777">
      <w:pPr>
        <w:spacing w:line="240" w:lineRule="auto"/>
      </w:pPr>
      <w:r w:rsidRPr="47ED2FD8">
        <w:t xml:space="preserve">Final review: Action requested at this meeting. </w:t>
      </w:r>
    </w:p>
    <w:p w:rsidR="00AD0966" w:rsidP="47ED2FD8" w:rsidRDefault="00AD0966" w14:paraId="72A3D3EC" w14:textId="77777777">
      <w:pPr>
        <w:spacing w:line="240" w:lineRule="auto"/>
      </w:pPr>
    </w:p>
    <w:p w:rsidR="00AD0966" w:rsidP="47ED2FD8" w:rsidRDefault="001E412D" w14:paraId="0B4557F9" w14:textId="77777777">
      <w:pPr>
        <w:pStyle w:val="Heading2"/>
        <w:spacing w:line="240" w:lineRule="auto"/>
      </w:pPr>
      <w:bookmarkStart w:name="_1vp15r958csl" w:id="11"/>
      <w:bookmarkEnd w:id="11"/>
      <w:r w:rsidRPr="47ED2FD8">
        <w:t xml:space="preserve">Superintendent’s Recommendation </w:t>
      </w:r>
    </w:p>
    <w:p w:rsidR="00AD0966" w:rsidP="47ED2FD8" w:rsidRDefault="001E412D" w14:paraId="3336A3BD" w14:textId="0CDA4A13">
      <w:pPr>
        <w:spacing w:line="240" w:lineRule="auto"/>
      </w:pPr>
      <w:r w:rsidRPr="47ED2FD8">
        <w:t>The Superintendent of Public Instruction recommends that the Board of Educatio</w:t>
      </w:r>
      <w:r w:rsidR="00D40C01">
        <w:t>n waive first review and approve the regulatory changes included with this item.</w:t>
      </w:r>
    </w:p>
    <w:p w:rsidR="00AD0966" w:rsidP="47ED2FD8" w:rsidRDefault="00AD0966" w14:paraId="0D0B940D" w14:textId="77777777">
      <w:pPr>
        <w:spacing w:line="240" w:lineRule="auto"/>
      </w:pPr>
    </w:p>
    <w:p w:rsidR="00AD0966" w:rsidP="47ED2FD8" w:rsidRDefault="001E412D" w14:paraId="0355A790" w14:textId="1D644458">
      <w:pPr>
        <w:pStyle w:val="Heading2"/>
        <w:spacing w:line="240" w:lineRule="auto"/>
      </w:pPr>
      <w:bookmarkStart w:name="_c8sc8xwenrnu" w:id="12"/>
      <w:bookmarkEnd w:id="12"/>
      <w:r w:rsidRPr="0A7E37F7">
        <w:lastRenderedPageBreak/>
        <w:t>Rationale for Action</w:t>
      </w:r>
    </w:p>
    <w:p w:rsidRPr="00D40C01" w:rsidR="00AD0966" w:rsidP="00D40C01" w:rsidRDefault="00D40C01" w14:paraId="36882C90" w14:textId="3E756219">
      <w:r>
        <w:t xml:space="preserve">The Board is being asked to approve this action </w:t>
      </w:r>
      <w:proofErr w:type="gramStart"/>
      <w:r>
        <w:t>in order to</w:t>
      </w:r>
      <w:proofErr w:type="gramEnd"/>
      <w:r>
        <w:t xml:space="preserve"> keep its regulations consistent with the requirements of the </w:t>
      </w:r>
      <w:r>
        <w:rPr>
          <w:i/>
          <w:iCs/>
        </w:rPr>
        <w:t>Code of Virginia</w:t>
      </w:r>
      <w:r>
        <w:t xml:space="preserve"> or in order to fulfill a directive approved by the General Assembly and the Governor.</w:t>
      </w:r>
    </w:p>
    <w:p w:rsidR="00AD0966" w:rsidP="47ED2FD8" w:rsidRDefault="00AD0966" w14:paraId="0E27B00A" w14:textId="77777777">
      <w:pPr>
        <w:ind w:left="720"/>
      </w:pPr>
    </w:p>
    <w:p w:rsidR="00AD0966" w:rsidP="47ED2FD8" w:rsidRDefault="001E412D" w14:paraId="384202B8" w14:textId="02EA3191">
      <w:pPr>
        <w:pStyle w:val="Heading2"/>
      </w:pPr>
      <w:bookmarkStart w:name="_w5qk3aw7qqio" w:id="13"/>
      <w:bookmarkEnd w:id="13"/>
      <w:r w:rsidRPr="0A7E37F7">
        <w:t>Previous Review or Action</w:t>
      </w:r>
    </w:p>
    <w:p w:rsidR="00AD0966" w:rsidP="00D40C01" w:rsidRDefault="001E412D" w14:paraId="3F609302" w14:textId="77777777">
      <w:r w:rsidRPr="47ED2FD8">
        <w:t xml:space="preserve">No previous review or action. </w:t>
      </w:r>
    </w:p>
    <w:p w:rsidR="00AD0966" w:rsidP="0A7E37F7" w:rsidRDefault="00AD0966" w14:paraId="44EAFD9C" w14:textId="5CF7F845">
      <w:pPr>
        <w:spacing w:line="240" w:lineRule="auto"/>
      </w:pPr>
    </w:p>
    <w:p w:rsidR="00AD0966" w:rsidP="47ED2FD8" w:rsidRDefault="001E412D" w14:paraId="4B006F04" w14:textId="0757295D">
      <w:pPr>
        <w:pStyle w:val="Heading2"/>
      </w:pPr>
      <w:bookmarkStart w:name="_4l4a85n09u6" w:id="14"/>
      <w:bookmarkEnd w:id="14"/>
      <w:r w:rsidRPr="0A7E37F7">
        <w:t>Background Information and Statutory Authority</w:t>
      </w:r>
    </w:p>
    <w:p w:rsidR="00D40C01" w:rsidP="00D40C01" w:rsidRDefault="00D40C01" w14:paraId="378AC212" w14:textId="12E32719">
      <w:r>
        <w:t xml:space="preserve">Section </w:t>
      </w:r>
      <w:hyperlink w:history="1" r:id="rId14">
        <w:r w:rsidRPr="00D40C01">
          <w:rPr>
            <w:rStyle w:val="Hyperlink"/>
          </w:rPr>
          <w:t>2.2-4006</w:t>
        </w:r>
      </w:hyperlink>
      <w:r>
        <w:t xml:space="preserve">(A)(4)(a) of the </w:t>
      </w:r>
      <w:r>
        <w:rPr>
          <w:i/>
          <w:iCs/>
        </w:rPr>
        <w:t>Code of Virginia</w:t>
      </w:r>
      <w:r>
        <w:t xml:space="preserve"> exempts from the operation of Article II of the Administrative Process Act regulations that are “necessary to conform to changes in Virginia statutory law or the appropriation act where no agency discretion is involved. However, such regulations shall be filed with the Registrar within 90 days of the law’s effective date.”</w:t>
      </w:r>
    </w:p>
    <w:p w:rsidR="00D40C01" w:rsidP="00D40C01" w:rsidRDefault="00D40C01" w14:paraId="03687A66" w14:textId="77777777"/>
    <w:p w:rsidR="00D40C01" w:rsidP="00D40C01" w:rsidRDefault="004C47D5" w14:paraId="7459B156" w14:textId="58369A80">
      <w:hyperlink w:history="1" r:id="rId15">
        <w:r w:rsidRPr="00D40C01" w:rsidR="00D40C01">
          <w:rPr>
            <w:rStyle w:val="Hyperlink"/>
          </w:rPr>
          <w:t>Chapter 4</w:t>
        </w:r>
      </w:hyperlink>
      <w:r w:rsidR="00D40C01">
        <w:t xml:space="preserve"> directs the Board to amend subdivisions </w:t>
      </w:r>
      <w:hyperlink w:history="1" r:id="rId16">
        <w:r w:rsidRPr="00D40C01" w:rsidR="00D40C01">
          <w:rPr>
            <w:rStyle w:val="Hyperlink"/>
          </w:rPr>
          <w:t>8VAC20-81-60</w:t>
        </w:r>
      </w:hyperlink>
      <w:r w:rsidR="00D40C01">
        <w:t xml:space="preserve">(B)(1)(g) and </w:t>
      </w:r>
      <w:hyperlink w:history="1" r:id="rId17">
        <w:r w:rsidRPr="00D40C01" w:rsidR="00D40C01">
          <w:rPr>
            <w:rStyle w:val="Hyperlink"/>
          </w:rPr>
          <w:t>8VAC20-81-70</w:t>
        </w:r>
      </w:hyperlink>
      <w:r w:rsidR="00D40C01">
        <w:t>(H)(2) and (3)</w:t>
      </w:r>
      <w:r w:rsidR="00490A75">
        <w:t xml:space="preserve"> of the </w:t>
      </w:r>
      <w:hyperlink w:history="1" r:id="rId18">
        <w:r w:rsidRPr="00490A75" w:rsidR="00490A75">
          <w:rPr>
            <w:rStyle w:val="Hyperlink"/>
            <w:i/>
            <w:iCs/>
          </w:rPr>
          <w:t>Regulations Governing Special Education Programs for Children with Disabilities in Virginia</w:t>
        </w:r>
      </w:hyperlink>
      <w:r w:rsidR="00490A75">
        <w:rPr>
          <w:i/>
          <w:iCs/>
        </w:rPr>
        <w:t xml:space="preserve"> </w:t>
      </w:r>
      <w:r w:rsidR="00490A75">
        <w:t>to permit local educational agencies to shorten the deadline from 65 business days from the date of receipt of referral for an initial evaluation or a reevaluation of a child to determine eligibility for special education and related services.</w:t>
      </w:r>
    </w:p>
    <w:p w:rsidR="00D40C01" w:rsidP="00D40C01" w:rsidRDefault="00D40C01" w14:paraId="3C40B83D" w14:textId="77777777"/>
    <w:p w:rsidRPr="001F6C10" w:rsidR="00D40C01" w:rsidP="00D40C01" w:rsidRDefault="004C47D5" w14:paraId="11CBADAE" w14:textId="334EF7B6">
      <w:hyperlink w:history="1" r:id="rId19">
        <w:r w:rsidRPr="00D40C01" w:rsidR="00D40C01">
          <w:rPr>
            <w:rStyle w:val="Hyperlink"/>
          </w:rPr>
          <w:t>Chapter 7</w:t>
        </w:r>
      </w:hyperlink>
      <w:r w:rsidR="00490A75">
        <w:t xml:space="preserve"> amends </w:t>
      </w:r>
      <w:r w:rsidRPr="00490A75" w:rsidR="00490A75">
        <w:t>§</w:t>
      </w:r>
      <w:r w:rsidR="00490A75">
        <w:t xml:space="preserve"> </w:t>
      </w:r>
      <w:hyperlink w:history="1" r:id="rId20">
        <w:r w:rsidRPr="008D2793" w:rsidR="00490A75">
          <w:rPr>
            <w:rStyle w:val="Hyperlink"/>
          </w:rPr>
          <w:t>22.1-253.13:4</w:t>
        </w:r>
      </w:hyperlink>
      <w:r w:rsidR="008D2793">
        <w:t xml:space="preserve"> of the </w:t>
      </w:r>
      <w:r w:rsidR="008D2793">
        <w:rPr>
          <w:i/>
          <w:iCs/>
        </w:rPr>
        <w:t>Code of Virginia</w:t>
      </w:r>
      <w:r w:rsidR="008D2793">
        <w:t xml:space="preserve"> also to allow the Board to waive certain graduation requirements and award a high school diploma “upon the request of the parent of any high school senior who died in good standing prior to graduation during the student’s senior year.”</w:t>
      </w:r>
      <w:r w:rsidR="001F6C10">
        <w:t xml:space="preserve"> The waiver process described in </w:t>
      </w:r>
      <w:r w:rsidRPr="00490A75" w:rsidR="001F6C10">
        <w:t>§</w:t>
      </w:r>
      <w:r w:rsidR="001F6C10">
        <w:t xml:space="preserve"> </w:t>
      </w:r>
      <w:hyperlink w:history="1" r:id="rId21">
        <w:r w:rsidRPr="008D2793" w:rsidR="001F6C10">
          <w:rPr>
            <w:rStyle w:val="Hyperlink"/>
          </w:rPr>
          <w:t>22.1-253.13:4</w:t>
        </w:r>
      </w:hyperlink>
      <w:r w:rsidR="001F6C10">
        <w:t xml:space="preserve"> is currently regulated in </w:t>
      </w:r>
      <w:hyperlink w:history="1" r:id="rId22">
        <w:r w:rsidRPr="001F6C10" w:rsidR="001F6C10">
          <w:rPr>
            <w:rStyle w:val="Hyperlink"/>
          </w:rPr>
          <w:t>8VAC20-131-420</w:t>
        </w:r>
      </w:hyperlink>
      <w:r w:rsidR="001F6C10">
        <w:t xml:space="preserve">(B) of the </w:t>
      </w:r>
      <w:hyperlink w:history="1" r:id="rId23">
        <w:r w:rsidRPr="001F6C10" w:rsidR="001F6C10">
          <w:rPr>
            <w:rStyle w:val="Hyperlink"/>
            <w:i/>
            <w:iCs/>
          </w:rPr>
          <w:t>Regulations Establishing Standards for Accrediting Public Schools in Virginia</w:t>
        </w:r>
      </w:hyperlink>
      <w:r w:rsidR="001F6C10">
        <w:t>.</w:t>
      </w:r>
    </w:p>
    <w:p w:rsidR="00D40C01" w:rsidP="4E12811F" w:rsidRDefault="00D40C01" w14:paraId="5971267D" w14:noSpellErr="1" w14:textId="2EB0C4EC">
      <w:pPr>
        <w:pStyle w:val="Normal"/>
      </w:pPr>
    </w:p>
    <w:p w:rsidRPr="00F8445F" w:rsidR="00D40C01" w:rsidP="00D40C01" w:rsidRDefault="004C47D5" w14:paraId="44E84506" w14:textId="7DDC82D5">
      <w:hyperlink w:history="1" r:id="rId26">
        <w:r w:rsidRPr="00D40C01" w:rsidR="00D40C01">
          <w:rPr>
            <w:rStyle w:val="Hyperlink"/>
          </w:rPr>
          <w:t>Chapter 748</w:t>
        </w:r>
      </w:hyperlink>
      <w:r w:rsidR="008A7AE2">
        <w:t xml:space="preserve"> </w:t>
      </w:r>
      <w:r w:rsidR="00F8445F">
        <w:t>clarifies</w:t>
      </w:r>
      <w:r w:rsidR="008A7AE2">
        <w:t xml:space="preserve"> </w:t>
      </w:r>
      <w:r w:rsidR="00F8445F">
        <w:t xml:space="preserve">when </w:t>
      </w:r>
      <w:r w:rsidR="008A7AE2">
        <w:t>the Board must extend a three-year provisional license issued to a teacher working in a school division</w:t>
      </w:r>
      <w:r w:rsidR="00F8445F">
        <w:t xml:space="preserve"> by specifying that the division superintendent must provide satisfactory performance evaluations for the teacher </w:t>
      </w:r>
      <w:r w:rsidR="00F8445F">
        <w:rPr>
          <w:i/>
          <w:iCs/>
        </w:rPr>
        <w:t>during</w:t>
      </w:r>
      <w:r w:rsidR="00F8445F">
        <w:t xml:space="preserve"> the original three-year provisional license </w:t>
      </w:r>
      <w:r w:rsidR="00F8445F">
        <w:rPr>
          <w:i/>
          <w:iCs/>
        </w:rPr>
        <w:t xml:space="preserve">that such teacher was </w:t>
      </w:r>
      <w:proofErr w:type="gramStart"/>
      <w:r w:rsidR="00F8445F">
        <w:rPr>
          <w:i/>
          <w:iCs/>
        </w:rPr>
        <w:t>actually employed</w:t>
      </w:r>
      <w:proofErr w:type="gramEnd"/>
      <w:r w:rsidR="00F8445F">
        <w:rPr>
          <w:i/>
          <w:iCs/>
        </w:rPr>
        <w:t xml:space="preserve"> and received a filed performance evaluation</w:t>
      </w:r>
      <w:r w:rsidR="00F8445F">
        <w:t xml:space="preserve">. The Board must amend </w:t>
      </w:r>
      <w:hyperlink w:history="1" r:id="rId27">
        <w:r w:rsidRPr="00F8445F" w:rsidR="00F8445F">
          <w:rPr>
            <w:rStyle w:val="Hyperlink"/>
          </w:rPr>
          <w:t>8VAC20-23-50</w:t>
        </w:r>
      </w:hyperlink>
      <w:r w:rsidR="00F8445F">
        <w:t xml:space="preserve">(A) of the </w:t>
      </w:r>
      <w:hyperlink w:history="1" r:id="rId28">
        <w:r w:rsidRPr="00F8445F" w:rsidR="00F8445F">
          <w:rPr>
            <w:rStyle w:val="Hyperlink"/>
            <w:i/>
            <w:iCs/>
          </w:rPr>
          <w:t>Licensure Regulations for School Personnel</w:t>
        </w:r>
      </w:hyperlink>
      <w:r w:rsidR="00F8445F">
        <w:t xml:space="preserve"> in order to account for the additional statutory language.</w:t>
      </w:r>
    </w:p>
    <w:p w:rsidR="00D40C01" w:rsidP="00D40C01" w:rsidRDefault="00D40C01" w14:paraId="39FE2F95" w14:textId="77777777"/>
    <w:p w:rsidR="00D40C01" w:rsidP="00D40C01" w:rsidRDefault="004C47D5" w14:paraId="727A156D" w14:textId="7812BC8B">
      <w:hyperlink w:history="1" r:id="rId29">
        <w:r w:rsidRPr="00D40C01" w:rsidR="00D40C01">
          <w:rPr>
            <w:rStyle w:val="Hyperlink"/>
          </w:rPr>
          <w:t>Chapter 771</w:t>
        </w:r>
      </w:hyperlink>
      <w:r w:rsidR="00F8445F">
        <w:t xml:space="preserve"> </w:t>
      </w:r>
      <w:r w:rsidR="002C7F20">
        <w:t xml:space="preserve">allows a teacher who has had a founded complaint of child abuse or neglect and whose license the Board has revoked to apply for reinstatement if a court reverses the finding of </w:t>
      </w:r>
      <w:r w:rsidR="002C7F20">
        <w:lastRenderedPageBreak/>
        <w:t xml:space="preserve">abuse or neglect. In such situation, the Board is required to consider and act upon the application for reinstatement within 90 days of submission. The statutory provision is being added to </w:t>
      </w:r>
      <w:hyperlink w:history="1" r:id="rId30">
        <w:r w:rsidRPr="00B57F9E" w:rsidR="002C7F20">
          <w:rPr>
            <w:rStyle w:val="Hyperlink"/>
          </w:rPr>
          <w:t>8VAC20-23-720</w:t>
        </w:r>
      </w:hyperlink>
      <w:r w:rsidR="002C7F20">
        <w:t xml:space="preserve">(B) </w:t>
      </w:r>
      <w:r w:rsidR="00B57F9E">
        <w:t xml:space="preserve">of the </w:t>
      </w:r>
      <w:hyperlink w:history="1" r:id="rId31">
        <w:r w:rsidRPr="00F8445F" w:rsidR="00B57F9E">
          <w:rPr>
            <w:rStyle w:val="Hyperlink"/>
            <w:i/>
            <w:iCs/>
          </w:rPr>
          <w:t>Licensure Regulations for School Personnel</w:t>
        </w:r>
      </w:hyperlink>
      <w:r w:rsidR="00B57F9E">
        <w:rPr>
          <w:i/>
          <w:iCs/>
        </w:rPr>
        <w:t xml:space="preserve"> </w:t>
      </w:r>
      <w:r w:rsidR="00B57F9E">
        <w:t>for clarity.</w:t>
      </w:r>
    </w:p>
    <w:p w:rsidR="00D40C01" w:rsidP="00D40C01" w:rsidRDefault="00D40C01" w14:paraId="07A025E1" w14:textId="77777777"/>
    <w:p w:rsidR="1D82F214" w:rsidP="0185CEA7" w:rsidRDefault="1D82F214" w14:paraId="31360199" w14:textId="18FCCF4E">
      <w:pPr>
        <w:pStyle w:val="Heading2"/>
      </w:pPr>
      <w:r w:rsidRPr="0185CEA7">
        <w:t>Stakeholder Engagement</w:t>
      </w:r>
    </w:p>
    <w:p w:rsidR="4B697491" w:rsidP="4B697491" w:rsidRDefault="007B118A" w14:paraId="6B4056DC" w14:textId="16C87289">
      <w:r>
        <w:t>Since the regulatory changes are the result of activity by the General Assembly and Governor that require the Board’s actions, no stakeholder engagement has been performed.</w:t>
      </w:r>
    </w:p>
    <w:p w:rsidR="007B118A" w:rsidP="4B697491" w:rsidRDefault="007B118A" w14:paraId="08CC4D8D" w14:textId="77777777">
      <w:pPr>
        <w:rPr>
          <w:highlight w:val="yellow"/>
          <w:u w:val="single"/>
        </w:rPr>
      </w:pPr>
    </w:p>
    <w:p w:rsidR="0CC08700" w:rsidP="0185CEA7" w:rsidRDefault="0CC08700" w14:paraId="544C1BB4" w14:textId="439052D9">
      <w:pPr>
        <w:pStyle w:val="Heading2"/>
      </w:pPr>
      <w:r w:rsidRPr="0185CEA7">
        <w:t>Implementation</w:t>
      </w:r>
      <w:r w:rsidRPr="0185CEA7" w:rsidR="68A86476">
        <w:t xml:space="preserve"> and Communication</w:t>
      </w:r>
    </w:p>
    <w:p w:rsidR="00AD0966" w:rsidP="0185CEA7" w:rsidRDefault="007B118A" w14:paraId="3DEEC669" w14:textId="1B4E6B84">
      <w:r>
        <w:t>Upon approval by the Board, the regulatory actions will be submitted to the Register of Regulations for publication in accordance with the Administrative Process Act.</w:t>
      </w:r>
    </w:p>
    <w:p w:rsidR="007B118A" w:rsidP="0185CEA7" w:rsidRDefault="007B118A" w14:paraId="5276338F" w14:textId="77777777"/>
    <w:p w:rsidR="00AD0966" w:rsidP="47ED2FD8" w:rsidRDefault="001E412D" w14:paraId="498AA006" w14:textId="77777777">
      <w:pPr>
        <w:pStyle w:val="Heading2"/>
      </w:pPr>
      <w:bookmarkStart w:name="_b3843xqorbi9" w:id="15"/>
      <w:bookmarkEnd w:id="15"/>
      <w:r w:rsidRPr="47ED2FD8">
        <w:t xml:space="preserve">Impact on Fiscal and Human Resources: </w:t>
      </w:r>
    </w:p>
    <w:p w:rsidR="00AD0966" w:rsidP="47ED2FD8" w:rsidRDefault="007B118A" w14:paraId="45FB0818" w14:textId="11E7495D">
      <w:bookmarkStart w:name="_dge9fgx5ke9n" w:id="16"/>
      <w:bookmarkEnd w:id="16"/>
      <w:r>
        <w:t>Any fiscal impact was considered by the General Assembly and Governor.</w:t>
      </w:r>
    </w:p>
    <w:sectPr w:rsidR="00AD0966">
      <w:footerReference w:type="default" r:id="rId32"/>
      <w:headerReference w:type="first" r:id="rId33"/>
      <w:footerReference w:type="first" r:id="rId34"/>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6EAB" w:rsidRDefault="009B6EAB" w14:paraId="0EB8AE24" w14:textId="77777777">
      <w:pPr>
        <w:spacing w:line="240" w:lineRule="auto"/>
      </w:pPr>
      <w:r>
        <w:separator/>
      </w:r>
    </w:p>
  </w:endnote>
  <w:endnote w:type="continuationSeparator" w:id="0">
    <w:p w:rsidR="009B6EAB" w:rsidRDefault="009B6EAB" w14:paraId="58AA5B8B"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2D28046B" w14:textId="77777777">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3D562953"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6EAB" w:rsidRDefault="009B6EAB" w14:paraId="73BC58C6" w14:textId="77777777">
      <w:pPr>
        <w:spacing w:line="240" w:lineRule="auto"/>
      </w:pPr>
      <w:r>
        <w:separator/>
      </w:r>
    </w:p>
  </w:footnote>
  <w:footnote w:type="continuationSeparator" w:id="0">
    <w:p w:rsidR="009B6EAB" w:rsidRDefault="009B6EAB" w14:paraId="5FA0A46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75B4CD77" w14:textId="77777777">
    <w:pPr>
      <w:pStyle w:val="Heading1"/>
    </w:pPr>
    <w:bookmarkStart w:name="_1y4a0gsejnud" w:colFirst="0" w:colLast="0" w:id="17"/>
    <w:bookmarkEnd w:id="17"/>
    <w:r>
      <w:rPr>
        <w:noProof/>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1E43"/>
    <w:multiLevelType w:val="hybridMultilevel"/>
    <w:tmpl w:val="E02A6034"/>
    <w:lvl w:ilvl="0" w:tplc="44AE5284">
      <w:start w:val="1"/>
      <w:numFmt w:val="bullet"/>
      <w:lvlText w:val=""/>
      <w:lvlJc w:val="left"/>
      <w:pPr>
        <w:ind w:left="720" w:hanging="360"/>
      </w:pPr>
      <w:rPr>
        <w:rFonts w:hint="default" w:ascii="Symbol" w:hAnsi="Symbol"/>
      </w:rPr>
    </w:lvl>
    <w:lvl w:ilvl="1" w:tplc="EE189F20">
      <w:start w:val="1"/>
      <w:numFmt w:val="bullet"/>
      <w:lvlText w:val="o"/>
      <w:lvlJc w:val="left"/>
      <w:pPr>
        <w:ind w:left="1440" w:hanging="360"/>
      </w:pPr>
      <w:rPr>
        <w:rFonts w:hint="default" w:ascii="Courier New" w:hAnsi="Courier New"/>
      </w:rPr>
    </w:lvl>
    <w:lvl w:ilvl="2" w:tplc="0E624C54">
      <w:start w:val="1"/>
      <w:numFmt w:val="bullet"/>
      <w:lvlText w:val=""/>
      <w:lvlJc w:val="left"/>
      <w:pPr>
        <w:ind w:left="2160" w:hanging="360"/>
      </w:pPr>
      <w:rPr>
        <w:rFonts w:hint="default" w:ascii="Wingdings" w:hAnsi="Wingdings"/>
      </w:rPr>
    </w:lvl>
    <w:lvl w:ilvl="3" w:tplc="BE2C23FE">
      <w:start w:val="1"/>
      <w:numFmt w:val="bullet"/>
      <w:lvlText w:val=""/>
      <w:lvlJc w:val="left"/>
      <w:pPr>
        <w:ind w:left="2880" w:hanging="360"/>
      </w:pPr>
      <w:rPr>
        <w:rFonts w:hint="default" w:ascii="Symbol" w:hAnsi="Symbol"/>
      </w:rPr>
    </w:lvl>
    <w:lvl w:ilvl="4" w:tplc="0C009FD0">
      <w:start w:val="1"/>
      <w:numFmt w:val="bullet"/>
      <w:lvlText w:val="o"/>
      <w:lvlJc w:val="left"/>
      <w:pPr>
        <w:ind w:left="3600" w:hanging="360"/>
      </w:pPr>
      <w:rPr>
        <w:rFonts w:hint="default" w:ascii="Courier New" w:hAnsi="Courier New"/>
      </w:rPr>
    </w:lvl>
    <w:lvl w:ilvl="5" w:tplc="5D842DA2">
      <w:start w:val="1"/>
      <w:numFmt w:val="bullet"/>
      <w:lvlText w:val=""/>
      <w:lvlJc w:val="left"/>
      <w:pPr>
        <w:ind w:left="4320" w:hanging="360"/>
      </w:pPr>
      <w:rPr>
        <w:rFonts w:hint="default" w:ascii="Wingdings" w:hAnsi="Wingdings"/>
      </w:rPr>
    </w:lvl>
    <w:lvl w:ilvl="6" w:tplc="FB56AE3E">
      <w:start w:val="1"/>
      <w:numFmt w:val="bullet"/>
      <w:lvlText w:val=""/>
      <w:lvlJc w:val="left"/>
      <w:pPr>
        <w:ind w:left="5040" w:hanging="360"/>
      </w:pPr>
      <w:rPr>
        <w:rFonts w:hint="default" w:ascii="Symbol" w:hAnsi="Symbol"/>
      </w:rPr>
    </w:lvl>
    <w:lvl w:ilvl="7" w:tplc="248EC05E">
      <w:start w:val="1"/>
      <w:numFmt w:val="bullet"/>
      <w:lvlText w:val="o"/>
      <w:lvlJc w:val="left"/>
      <w:pPr>
        <w:ind w:left="5760" w:hanging="360"/>
      </w:pPr>
      <w:rPr>
        <w:rFonts w:hint="default" w:ascii="Courier New" w:hAnsi="Courier New"/>
      </w:rPr>
    </w:lvl>
    <w:lvl w:ilvl="8" w:tplc="85A80F04">
      <w:start w:val="1"/>
      <w:numFmt w:val="bullet"/>
      <w:lvlText w:val=""/>
      <w:lvlJc w:val="left"/>
      <w:pPr>
        <w:ind w:left="6480" w:hanging="360"/>
      </w:pPr>
      <w:rPr>
        <w:rFonts w:hint="default" w:ascii="Wingdings" w:hAnsi="Wingdings"/>
      </w:rPr>
    </w:lvl>
  </w:abstractNum>
  <w:abstractNum w:abstractNumId="1" w15:restartNumberingAfterBreak="0">
    <w:nsid w:val="3709D571"/>
    <w:multiLevelType w:val="hybridMultilevel"/>
    <w:tmpl w:val="9FB0BEA0"/>
    <w:lvl w:ilvl="0" w:tplc="AD40E51E">
      <w:start w:val="1"/>
      <w:numFmt w:val="bullet"/>
      <w:lvlText w:val=""/>
      <w:lvlJc w:val="left"/>
      <w:pPr>
        <w:ind w:left="720" w:hanging="360"/>
      </w:pPr>
      <w:rPr>
        <w:rFonts w:hint="default" w:ascii="Symbol" w:hAnsi="Symbol"/>
      </w:rPr>
    </w:lvl>
    <w:lvl w:ilvl="1" w:tplc="48C049D4">
      <w:start w:val="1"/>
      <w:numFmt w:val="bullet"/>
      <w:lvlText w:val="○"/>
      <w:lvlJc w:val="left"/>
      <w:pPr>
        <w:ind w:left="1440" w:hanging="360"/>
      </w:pPr>
      <w:rPr>
        <w:rFonts w:hint="default" w:ascii="Symbol" w:hAnsi="Symbol"/>
      </w:rPr>
    </w:lvl>
    <w:lvl w:ilvl="2" w:tplc="AA84141E">
      <w:start w:val="1"/>
      <w:numFmt w:val="bullet"/>
      <w:lvlText w:val=""/>
      <w:lvlJc w:val="left"/>
      <w:pPr>
        <w:ind w:left="2160" w:hanging="360"/>
      </w:pPr>
      <w:rPr>
        <w:rFonts w:hint="default" w:ascii="Wingdings" w:hAnsi="Wingdings"/>
      </w:rPr>
    </w:lvl>
    <w:lvl w:ilvl="3" w:tplc="3BC2E98C">
      <w:start w:val="1"/>
      <w:numFmt w:val="bullet"/>
      <w:lvlText w:val=""/>
      <w:lvlJc w:val="left"/>
      <w:pPr>
        <w:ind w:left="2880" w:hanging="360"/>
      </w:pPr>
      <w:rPr>
        <w:rFonts w:hint="default" w:ascii="Symbol" w:hAnsi="Symbol"/>
      </w:rPr>
    </w:lvl>
    <w:lvl w:ilvl="4" w:tplc="5AF61E10">
      <w:start w:val="1"/>
      <w:numFmt w:val="bullet"/>
      <w:lvlText w:val="o"/>
      <w:lvlJc w:val="left"/>
      <w:pPr>
        <w:ind w:left="3600" w:hanging="360"/>
      </w:pPr>
      <w:rPr>
        <w:rFonts w:hint="default" w:ascii="Courier New" w:hAnsi="Courier New"/>
      </w:rPr>
    </w:lvl>
    <w:lvl w:ilvl="5" w:tplc="C70A8896">
      <w:start w:val="1"/>
      <w:numFmt w:val="bullet"/>
      <w:lvlText w:val=""/>
      <w:lvlJc w:val="left"/>
      <w:pPr>
        <w:ind w:left="4320" w:hanging="360"/>
      </w:pPr>
      <w:rPr>
        <w:rFonts w:hint="default" w:ascii="Wingdings" w:hAnsi="Wingdings"/>
      </w:rPr>
    </w:lvl>
    <w:lvl w:ilvl="6" w:tplc="6B144820">
      <w:start w:val="1"/>
      <w:numFmt w:val="bullet"/>
      <w:lvlText w:val=""/>
      <w:lvlJc w:val="left"/>
      <w:pPr>
        <w:ind w:left="5040" w:hanging="360"/>
      </w:pPr>
      <w:rPr>
        <w:rFonts w:hint="default" w:ascii="Symbol" w:hAnsi="Symbol"/>
      </w:rPr>
    </w:lvl>
    <w:lvl w:ilvl="7" w:tplc="8AC4EDD6">
      <w:start w:val="1"/>
      <w:numFmt w:val="bullet"/>
      <w:lvlText w:val="o"/>
      <w:lvlJc w:val="left"/>
      <w:pPr>
        <w:ind w:left="5760" w:hanging="360"/>
      </w:pPr>
      <w:rPr>
        <w:rFonts w:hint="default" w:ascii="Courier New" w:hAnsi="Courier New"/>
      </w:rPr>
    </w:lvl>
    <w:lvl w:ilvl="8" w:tplc="CE06623E">
      <w:start w:val="1"/>
      <w:numFmt w:val="bullet"/>
      <w:lvlText w:val=""/>
      <w:lvlJc w:val="left"/>
      <w:pPr>
        <w:ind w:left="6480" w:hanging="360"/>
      </w:pPr>
      <w:rPr>
        <w:rFonts w:hint="default" w:ascii="Wingdings" w:hAnsi="Wingdings"/>
      </w:rPr>
    </w:lvl>
  </w:abstractNum>
  <w:abstractNum w:abstractNumId="2"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2817713">
    <w:abstractNumId w:val="1"/>
  </w:num>
  <w:num w:numId="2" w16cid:durableId="533888470">
    <w:abstractNumId w:val="0"/>
  </w:num>
  <w:num w:numId="3" w16cid:durableId="1940527823">
    <w:abstractNumId w:val="7"/>
  </w:num>
  <w:num w:numId="4" w16cid:durableId="198052527">
    <w:abstractNumId w:val="4"/>
  </w:num>
  <w:num w:numId="5" w16cid:durableId="1269892925">
    <w:abstractNumId w:val="6"/>
  </w:num>
  <w:num w:numId="6" w16cid:durableId="925764831">
    <w:abstractNumId w:val="2"/>
  </w:num>
  <w:num w:numId="7" w16cid:durableId="224265407">
    <w:abstractNumId w:val="5"/>
  </w:num>
  <w:num w:numId="8" w16cid:durableId="1145391305">
    <w:abstractNumId w:val="3"/>
  </w:num>
  <w:num w:numId="9" w16cid:durableId="142506946">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1E412D"/>
    <w:rsid w:val="001F6C10"/>
    <w:rsid w:val="002A11A2"/>
    <w:rsid w:val="002C7F20"/>
    <w:rsid w:val="00490A75"/>
    <w:rsid w:val="006BB957"/>
    <w:rsid w:val="007B118A"/>
    <w:rsid w:val="008A7AE2"/>
    <w:rsid w:val="008D1D2B"/>
    <w:rsid w:val="008D2793"/>
    <w:rsid w:val="008E67EA"/>
    <w:rsid w:val="009B6EAB"/>
    <w:rsid w:val="00A027E6"/>
    <w:rsid w:val="00AD0966"/>
    <w:rsid w:val="00B57F9E"/>
    <w:rsid w:val="00D40C01"/>
    <w:rsid w:val="00F8445F"/>
    <w:rsid w:val="00FA9E68"/>
    <w:rsid w:val="0185CEA7"/>
    <w:rsid w:val="029FF34C"/>
    <w:rsid w:val="02D0B3BC"/>
    <w:rsid w:val="03D182E4"/>
    <w:rsid w:val="04323F2A"/>
    <w:rsid w:val="049AE6C0"/>
    <w:rsid w:val="0641E2D4"/>
    <w:rsid w:val="090D9DD3"/>
    <w:rsid w:val="0A7E37F7"/>
    <w:rsid w:val="0B551618"/>
    <w:rsid w:val="0C50A33E"/>
    <w:rsid w:val="0CC08700"/>
    <w:rsid w:val="0CD06ED4"/>
    <w:rsid w:val="0E14F5EB"/>
    <w:rsid w:val="0E6C3F35"/>
    <w:rsid w:val="10080F96"/>
    <w:rsid w:val="142BA89D"/>
    <w:rsid w:val="15BD3D42"/>
    <w:rsid w:val="165E28BD"/>
    <w:rsid w:val="1669076B"/>
    <w:rsid w:val="1ABF91FE"/>
    <w:rsid w:val="1BDA96E8"/>
    <w:rsid w:val="1C25DFB5"/>
    <w:rsid w:val="1D82F214"/>
    <w:rsid w:val="208C096D"/>
    <w:rsid w:val="21597324"/>
    <w:rsid w:val="22F63FA4"/>
    <w:rsid w:val="23A8AD75"/>
    <w:rsid w:val="24B5E7ED"/>
    <w:rsid w:val="255E9AD8"/>
    <w:rsid w:val="257684DB"/>
    <w:rsid w:val="25F109CE"/>
    <w:rsid w:val="2E605803"/>
    <w:rsid w:val="31087F5D"/>
    <w:rsid w:val="380564A9"/>
    <w:rsid w:val="3B1E66BA"/>
    <w:rsid w:val="3F24867D"/>
    <w:rsid w:val="3F8A1405"/>
    <w:rsid w:val="3F99734F"/>
    <w:rsid w:val="3FA7AC69"/>
    <w:rsid w:val="405D7437"/>
    <w:rsid w:val="4242CC11"/>
    <w:rsid w:val="42BCB13C"/>
    <w:rsid w:val="42D3DB0E"/>
    <w:rsid w:val="43105042"/>
    <w:rsid w:val="450BFB60"/>
    <w:rsid w:val="4648ED23"/>
    <w:rsid w:val="466B4DFF"/>
    <w:rsid w:val="47ED2FD8"/>
    <w:rsid w:val="49CDF50D"/>
    <w:rsid w:val="4B697491"/>
    <w:rsid w:val="4CB82EA7"/>
    <w:rsid w:val="4E07E6B4"/>
    <w:rsid w:val="4E12811F"/>
    <w:rsid w:val="529D63E8"/>
    <w:rsid w:val="532A41AD"/>
    <w:rsid w:val="54FF39F6"/>
    <w:rsid w:val="5545DD46"/>
    <w:rsid w:val="56AD31F8"/>
    <w:rsid w:val="56C9771B"/>
    <w:rsid w:val="56EAC70B"/>
    <w:rsid w:val="57216E26"/>
    <w:rsid w:val="5D3CEA2E"/>
    <w:rsid w:val="5E711439"/>
    <w:rsid w:val="600DE0B9"/>
    <w:rsid w:val="601D1A33"/>
    <w:rsid w:val="619088BD"/>
    <w:rsid w:val="6203BA6E"/>
    <w:rsid w:val="6344855C"/>
    <w:rsid w:val="6462A5C9"/>
    <w:rsid w:val="66EE2E00"/>
    <w:rsid w:val="68900854"/>
    <w:rsid w:val="68A86476"/>
    <w:rsid w:val="6D35E9A8"/>
    <w:rsid w:val="6DC60238"/>
    <w:rsid w:val="7188D339"/>
    <w:rsid w:val="727F2B0E"/>
    <w:rsid w:val="72804AFE"/>
    <w:rsid w:val="74E63ACF"/>
    <w:rsid w:val="75B7EBC0"/>
    <w:rsid w:val="75D2103C"/>
    <w:rsid w:val="7753BC21"/>
    <w:rsid w:val="7762135E"/>
    <w:rsid w:val="782222CB"/>
    <w:rsid w:val="79B9ABF2"/>
    <w:rsid w:val="7B40E726"/>
    <w:rsid w:val="7E5B81B1"/>
    <w:rsid w:val="7E8D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2AD8A"/>
  <w15:docId w15:val="{D1E4A52B-B0A8-4357-92A7-AB6EA793F8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A027E6"/>
    <w:rPr>
      <w:color w:val="0000FF" w:themeColor="hyperlink"/>
      <w:u w:val="single"/>
    </w:rPr>
  </w:style>
  <w:style w:type="character" w:styleId="UnresolvedMention">
    <w:name w:val="Unresolved Mention"/>
    <w:basedOn w:val="DefaultParagraphFont"/>
    <w:uiPriority w:val="99"/>
    <w:semiHidden/>
    <w:unhideWhenUsed/>
    <w:rsid w:val="00A027E6"/>
    <w:rPr>
      <w:color w:val="605E5C"/>
      <w:shd w:val="clear" w:color="auto" w:fill="E1DFDD"/>
    </w:rPr>
  </w:style>
  <w:style w:type="character" w:styleId="FollowedHyperlink">
    <w:name w:val="FollowedHyperlink"/>
    <w:basedOn w:val="DefaultParagraphFont"/>
    <w:uiPriority w:val="99"/>
    <w:semiHidden/>
    <w:unhideWhenUsed/>
    <w:rsid w:val="00D40C01"/>
    <w:rPr>
      <w:color w:val="800080" w:themeColor="followedHyperlink"/>
      <w:u w:val="single"/>
    </w:rPr>
  </w:style>
  <w:style w:type="paragraph" w:styleId="Header">
    <w:name w:val="header"/>
    <w:basedOn w:val="Normal"/>
    <w:link w:val="HeaderChar"/>
    <w:uiPriority w:val="99"/>
    <w:unhideWhenUsed/>
    <w:rsid w:val="008E67EA"/>
    <w:pPr>
      <w:tabs>
        <w:tab w:val="center" w:pos="4680"/>
        <w:tab w:val="right" w:pos="9360"/>
      </w:tabs>
      <w:spacing w:line="240" w:lineRule="auto"/>
    </w:pPr>
  </w:style>
  <w:style w:type="character" w:styleId="HeaderChar" w:customStyle="1">
    <w:name w:val="Header Char"/>
    <w:basedOn w:val="DefaultParagraphFont"/>
    <w:link w:val="Header"/>
    <w:uiPriority w:val="99"/>
    <w:rsid w:val="008E67EA"/>
  </w:style>
  <w:style w:type="paragraph" w:styleId="Footer">
    <w:name w:val="footer"/>
    <w:basedOn w:val="Normal"/>
    <w:link w:val="FooterChar"/>
    <w:uiPriority w:val="99"/>
    <w:unhideWhenUsed/>
    <w:rsid w:val="008E67EA"/>
    <w:pPr>
      <w:tabs>
        <w:tab w:val="center" w:pos="4680"/>
        <w:tab w:val="right" w:pos="9360"/>
      </w:tabs>
      <w:spacing w:line="240" w:lineRule="auto"/>
    </w:pPr>
  </w:style>
  <w:style w:type="character" w:styleId="FooterChar" w:customStyle="1">
    <w:name w:val="Footer Char"/>
    <w:basedOn w:val="DefaultParagraphFont"/>
    <w:link w:val="Footer"/>
    <w:uiPriority w:val="99"/>
    <w:rsid w:val="008E6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901592">
      <w:bodyDiv w:val="1"/>
      <w:marLeft w:val="0"/>
      <w:marRight w:val="0"/>
      <w:marTop w:val="0"/>
      <w:marBottom w:val="0"/>
      <w:divBdr>
        <w:top w:val="none" w:sz="0" w:space="0" w:color="auto"/>
        <w:left w:val="none" w:sz="0" w:space="0" w:color="auto"/>
        <w:bottom w:val="none" w:sz="0" w:space="0" w:color="auto"/>
        <w:right w:val="none" w:sz="0" w:space="0" w:color="auto"/>
      </w:divBdr>
    </w:div>
    <w:div w:id="184073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law.lis.virginia.gov/vacode/title2.2/chapter40/section2.2-4006/" TargetMode="External" Id="rId13" /><Relationship Type="http://schemas.openxmlformats.org/officeDocument/2006/relationships/hyperlink" Target="https://law.lis.virginia.gov/admincode/title8/agency20/chapter81/section70/" TargetMode="External" Id="rId18" /><Relationship Type="http://schemas.openxmlformats.org/officeDocument/2006/relationships/hyperlink" Target="https://lis.virginia.gov/cgi-bin/legp604.exe?231+ful+CHAP0748+hil" TargetMode="External" Id="rId26" /><Relationship Type="http://schemas.openxmlformats.org/officeDocument/2006/relationships/customXml" Target="../customXml/item4.xml" Id="rId39" /><Relationship Type="http://schemas.openxmlformats.org/officeDocument/2006/relationships/hyperlink" Target="https://law.lis.virginia.gov/vacode/22.1-253.13:4/" TargetMode="External" Id="rId21" /><Relationship Type="http://schemas.openxmlformats.org/officeDocument/2006/relationships/footer" Target="footer2.xml" Id="rId34" /><Relationship Type="http://schemas.openxmlformats.org/officeDocument/2006/relationships/endnotes" Target="endnotes.xml" Id="rId7" /><Relationship Type="http://schemas.openxmlformats.org/officeDocument/2006/relationships/hyperlink" Target="https://law.lis.virginia.gov/admincode/title8/agency20/chapter81/section70/" TargetMode="External" Id="rId17" /><Relationship Type="http://schemas.openxmlformats.org/officeDocument/2006/relationships/header" Target="header1.xml" Id="rId33" /><Relationship Type="http://schemas.openxmlformats.org/officeDocument/2006/relationships/customXml" Target="../customXml/item3.xml" Id="rId38" /><Relationship Type="http://schemas.openxmlformats.org/officeDocument/2006/relationships/numbering" Target="numbering.xml" Id="rId2" /><Relationship Type="http://schemas.openxmlformats.org/officeDocument/2006/relationships/hyperlink" Target="https://law.lis.virginia.gov/admincode/title8/agency20/chapter81/section60/" TargetMode="External" Id="rId16" /><Relationship Type="http://schemas.openxmlformats.org/officeDocument/2006/relationships/hyperlink" Target="https://law.lis.virginia.gov/vacode/22.1-253.13:4/" TargetMode="External" Id="rId20" /><Relationship Type="http://schemas.openxmlformats.org/officeDocument/2006/relationships/hyperlink" Target="https://lis.virginia.gov/cgi-bin/legp604.exe?231+ful+CHAP0771+hil"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32" /><Relationship Type="http://schemas.openxmlformats.org/officeDocument/2006/relationships/customXml" Target="../customXml/item2.xml" Id="rId37" /><Relationship Type="http://schemas.openxmlformats.org/officeDocument/2006/relationships/webSettings" Target="webSettings.xml" Id="rId5" /><Relationship Type="http://schemas.openxmlformats.org/officeDocument/2006/relationships/hyperlink" Target="https://lis.virginia.gov/cgi-bin/legp604.exe?231+ful+CHAP0004+hil" TargetMode="External" Id="rId15" /><Relationship Type="http://schemas.openxmlformats.org/officeDocument/2006/relationships/hyperlink" Target="https://law.lis.virginia.gov/admincode/title8/agency20/chapter131/" TargetMode="External" Id="rId23" /><Relationship Type="http://schemas.openxmlformats.org/officeDocument/2006/relationships/hyperlink" Target="https://law.lis.virginia.gov/admincode/title8/agency20/chapter23/section50/" TargetMode="External" Id="rId28" /><Relationship Type="http://schemas.openxmlformats.org/officeDocument/2006/relationships/theme" Target="theme/theme1.xml" Id="rId36" /><Relationship Type="http://schemas.openxmlformats.org/officeDocument/2006/relationships/hyperlink" Target="https://lis.virginia.gov/cgi-bin/legp604.exe?231+ful+CHAP0007+hil" TargetMode="External" Id="rId19" /><Relationship Type="http://schemas.openxmlformats.org/officeDocument/2006/relationships/hyperlink" Target="https://law.lis.virginia.gov/admincode/title8/agency20/chapter23/section50/" TargetMode="External" Id="rId31" /><Relationship Type="http://schemas.openxmlformats.org/officeDocument/2006/relationships/settings" Target="settings.xml" Id="rId4" /><Relationship Type="http://schemas.openxmlformats.org/officeDocument/2006/relationships/hyperlink" Target="https://law.lis.virginia.gov/vacode/title2.2/chapter40/section2.2-4006/" TargetMode="External" Id="rId14" /><Relationship Type="http://schemas.openxmlformats.org/officeDocument/2006/relationships/hyperlink" Target="https://law.lis.virginia.gov/admincode/title8/agency20/chapter131/section420/" TargetMode="External" Id="rId22" /><Relationship Type="http://schemas.openxmlformats.org/officeDocument/2006/relationships/hyperlink" Target="https://law.lis.virginia.gov/admincode/title8/agency20/chapter23/section50/" TargetMode="External" Id="rId27" /><Relationship Type="http://schemas.openxmlformats.org/officeDocument/2006/relationships/hyperlink" Target="https://law.lis.virginia.gov/admincode/title8/agency20/chapter23/section720/" TargetMode="External" Id="rId30" /><Relationship Type="http://schemas.openxmlformats.org/officeDocument/2006/relationships/fontTable" Target="fontTable.xml" Id="rId35" /><Relationship Type="http://schemas.openxmlformats.org/officeDocument/2006/relationships/hyperlink" Target="mailto:Jim.Chapman@doe.virginia.gov" TargetMode="External" Id="rId8" /><Relationship Type="http://schemas.openxmlformats.org/officeDocument/2006/relationships/styles" Target="styles.xml" Id="rId3" /><Relationship Type="http://schemas.openxmlformats.org/officeDocument/2006/relationships/hyperlink" Target="https://lis.virginia.gov/cgi-bin/legp604.exe?231+ful+CHAP0004+hil" TargetMode="External" Id="R67ee3bec6aa84076" /><Relationship Type="http://schemas.openxmlformats.org/officeDocument/2006/relationships/hyperlink" Target="https://lis.virginia.gov/cgi-bin/legp604.exe?231+ful+CHAP0007+hil" TargetMode="External" Id="Ra3d3da042fe5443a" /><Relationship Type="http://schemas.openxmlformats.org/officeDocument/2006/relationships/hyperlink" Target="https://lis.virginia.gov/cgi-bin/legp604.exe?231+ful+CHAP0748+hil" TargetMode="External" Id="R6a938031bfab4bed" /><Relationship Type="http://schemas.openxmlformats.org/officeDocument/2006/relationships/hyperlink" Target="https://lis.virginia.gov/cgi-bin/legp604.exe?231+ful+CHAP0771+hil" TargetMode="External" Id="R3294184981154ae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5" ma:contentTypeDescription="Create a new document." ma:contentTypeScope="" ma:versionID="f928762306c5a502c2a0a846661488d3">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3730662b02fc00ae5e980e446709117c"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2.xml><?xml version="1.0" encoding="utf-8"?>
<ds:datastoreItem xmlns:ds="http://schemas.openxmlformats.org/officeDocument/2006/customXml" ds:itemID="{1DE7D0B7-E1C4-426D-9516-F24145FDE01C}"/>
</file>

<file path=customXml/itemProps3.xml><?xml version="1.0" encoding="utf-8"?>
<ds:datastoreItem xmlns:ds="http://schemas.openxmlformats.org/officeDocument/2006/customXml" ds:itemID="{FBC8A837-2D71-49BC-8C39-CDAA026714B0}"/>
</file>

<file path=customXml/itemProps4.xml><?xml version="1.0" encoding="utf-8"?>
<ds:datastoreItem xmlns:ds="http://schemas.openxmlformats.org/officeDocument/2006/customXml" ds:itemID="{4B98BB82-7C4D-4920-BDD7-6EEB23DCF8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Chapman, Jim (DOE)</cp:lastModifiedBy>
  <cp:revision>2</cp:revision>
  <dcterms:created xsi:type="dcterms:W3CDTF">2023-07-20T04:47:00Z</dcterms:created>
  <dcterms:modified xsi:type="dcterms:W3CDTF">2023-07-27T12:15:38Z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