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C478A" w14:textId="77777777" w:rsidR="00D113D8" w:rsidRPr="000028ED" w:rsidRDefault="00A4312C" w:rsidP="009B4E26">
      <w:pPr>
        <w:pStyle w:val="Heading1"/>
        <w:spacing w:line="276" w:lineRule="auto"/>
        <w:ind w:left="0"/>
        <w:jc w:val="center"/>
        <w:rPr>
          <w:sz w:val="36"/>
          <w:szCs w:val="36"/>
        </w:rPr>
      </w:pPr>
      <w:r>
        <w:rPr>
          <w:sz w:val="36"/>
          <w:szCs w:val="36"/>
        </w:rPr>
        <w:t xml:space="preserve">Virginia </w:t>
      </w:r>
      <w:r w:rsidR="00D113D8" w:rsidRPr="000028ED">
        <w:rPr>
          <w:sz w:val="36"/>
          <w:szCs w:val="36"/>
        </w:rPr>
        <w:t>Compliance with Title III Requirements</w:t>
      </w:r>
    </w:p>
    <w:p w14:paraId="08317C7C" w14:textId="77777777" w:rsidR="00D113D8" w:rsidRPr="000B242F" w:rsidRDefault="00D113D8" w:rsidP="009B4E26">
      <w:pPr>
        <w:tabs>
          <w:tab w:val="left" w:pos="7920"/>
        </w:tabs>
        <w:rPr>
          <w:b/>
          <w:sz w:val="28"/>
        </w:rPr>
      </w:pPr>
    </w:p>
    <w:p w14:paraId="6D81648E" w14:textId="77777777" w:rsidR="00D113D8" w:rsidRPr="00A60F69" w:rsidRDefault="00D113D8" w:rsidP="009B4E26">
      <w:pPr>
        <w:pStyle w:val="Heading2"/>
        <w:jc w:val="center"/>
        <w:rPr>
          <w:rFonts w:ascii="Times New Roman" w:hAnsi="Times New Roman" w:cs="Times New Roman"/>
          <w:sz w:val="32"/>
          <w:szCs w:val="32"/>
        </w:rPr>
      </w:pPr>
      <w:r w:rsidRPr="00A60F69">
        <w:rPr>
          <w:rFonts w:ascii="Times New Roman" w:hAnsi="Times New Roman" w:cs="Times New Roman"/>
          <w:sz w:val="32"/>
          <w:szCs w:val="32"/>
        </w:rPr>
        <w:t>Purpose of Program and General Use of Funds of Title III</w:t>
      </w:r>
    </w:p>
    <w:p w14:paraId="17FB8EAE" w14:textId="77777777" w:rsidR="00451EEF" w:rsidRDefault="00451EEF" w:rsidP="00D113D8">
      <w:pPr>
        <w:rPr>
          <w:color w:val="000000"/>
          <w:sz w:val="22"/>
          <w:szCs w:val="22"/>
        </w:rPr>
      </w:pPr>
    </w:p>
    <w:p w14:paraId="289D5CB0" w14:textId="77777777" w:rsidR="00D113D8" w:rsidRPr="00451EEF" w:rsidRDefault="00D113D8" w:rsidP="00D113D8">
      <w:pPr>
        <w:rPr>
          <w:color w:val="000000"/>
        </w:rPr>
      </w:pPr>
      <w:r w:rsidRPr="00451EEF">
        <w:rPr>
          <w:color w:val="000000"/>
        </w:rPr>
        <w:t xml:space="preserve">The overarching purpose of </w:t>
      </w:r>
      <w:r w:rsidRPr="00451EEF">
        <w:t>Part A</w:t>
      </w:r>
      <w:r w:rsidR="00B862EE" w:rsidRPr="00451EEF">
        <w:t>,</w:t>
      </w:r>
      <w:r w:rsidRPr="00451EEF">
        <w:t xml:space="preserve"> of Title III, </w:t>
      </w:r>
      <w:r w:rsidRPr="00451EEF">
        <w:rPr>
          <w:color w:val="000000"/>
        </w:rPr>
        <w:t xml:space="preserve">known as the </w:t>
      </w:r>
      <w:r w:rsidRPr="00451EEF">
        <w:rPr>
          <w:rStyle w:val="Emphasis"/>
          <w:color w:val="000000"/>
        </w:rPr>
        <w:t xml:space="preserve">English Language Acquisition, Language Enhancement, and Academic Achievement Act, </w:t>
      </w:r>
      <w:r w:rsidRPr="00451EEF">
        <w:rPr>
          <w:color w:val="000000"/>
        </w:rPr>
        <w:t>is to ensure that English learners (ELs), including immigrant children and youth, attain English language proficiency and meet the same challenging academic content and achievement standards that other students are expected to meet.  [ESSA, Section 3102(a</w:t>
      </w:r>
      <w:proofErr w:type="gramStart"/>
      <w:r w:rsidRPr="00451EEF">
        <w:rPr>
          <w:color w:val="000000"/>
        </w:rPr>
        <w:t>)(</w:t>
      </w:r>
      <w:proofErr w:type="gramEnd"/>
      <w:r w:rsidRPr="00451EEF">
        <w:rPr>
          <w:color w:val="000000"/>
        </w:rPr>
        <w:t>1-2)]</w:t>
      </w:r>
    </w:p>
    <w:p w14:paraId="37F99D9C" w14:textId="77777777" w:rsidR="00451EEF" w:rsidRPr="00451EEF" w:rsidRDefault="00451EEF" w:rsidP="00451EEF">
      <w:pPr>
        <w:tabs>
          <w:tab w:val="left" w:pos="7920"/>
        </w:tabs>
        <w:rPr>
          <w:rFonts w:eastAsia="MS Mincho"/>
          <w:bCs/>
        </w:rPr>
      </w:pPr>
    </w:p>
    <w:p w14:paraId="7E20430F" w14:textId="77777777" w:rsidR="00D113D8" w:rsidRPr="00A60F69" w:rsidRDefault="00EC1452" w:rsidP="00451EEF">
      <w:pPr>
        <w:pStyle w:val="Heading3"/>
        <w:spacing w:line="360" w:lineRule="auto"/>
        <w:rPr>
          <w:rFonts w:ascii="Times New Roman" w:hAnsi="Times New Roman" w:cs="Times New Roman"/>
          <w:sz w:val="28"/>
          <w:szCs w:val="28"/>
          <w:lang w:val="en"/>
        </w:rPr>
      </w:pPr>
      <w:r w:rsidRPr="00A60F69">
        <w:rPr>
          <w:rFonts w:ascii="Times New Roman" w:hAnsi="Times New Roman" w:cs="Times New Roman"/>
          <w:sz w:val="28"/>
          <w:szCs w:val="28"/>
          <w:lang w:val="en"/>
        </w:rPr>
        <w:t>Entrance Procedures for</w:t>
      </w:r>
      <w:r w:rsidR="00D113D8" w:rsidRPr="00A60F69">
        <w:rPr>
          <w:rFonts w:ascii="Times New Roman" w:hAnsi="Times New Roman" w:cs="Times New Roman"/>
          <w:sz w:val="28"/>
          <w:szCs w:val="28"/>
          <w:lang w:val="en"/>
        </w:rPr>
        <w:t xml:space="preserve"> ELs</w:t>
      </w:r>
    </w:p>
    <w:p w14:paraId="36B98B0A" w14:textId="77777777" w:rsidR="00451EEF" w:rsidRDefault="00451EEF" w:rsidP="00451EEF">
      <w:pPr>
        <w:tabs>
          <w:tab w:val="left" w:pos="7920"/>
        </w:tabs>
        <w:rPr>
          <w:rFonts w:eastAsia="MS Mincho"/>
          <w:bCs/>
        </w:rPr>
      </w:pPr>
      <w:r w:rsidRPr="00451EEF">
        <w:rPr>
          <w:rFonts w:eastAsia="MS Mincho"/>
          <w:bCs/>
        </w:rPr>
        <w:t xml:space="preserve">Initial identification of ELs is required as part of the enrollment process under </w:t>
      </w:r>
      <w:r w:rsidRPr="00451EEF">
        <w:rPr>
          <w:rFonts w:eastAsia="MS Mincho"/>
          <w:bCs/>
          <w:i/>
        </w:rPr>
        <w:t xml:space="preserve">Title VI </w:t>
      </w:r>
      <w:r w:rsidRPr="00451EEF">
        <w:rPr>
          <w:rFonts w:eastAsia="MS Mincho"/>
          <w:bCs/>
        </w:rPr>
        <w:t>of the</w:t>
      </w:r>
      <w:r w:rsidRPr="00451EEF">
        <w:rPr>
          <w:rFonts w:eastAsia="MS Mincho"/>
          <w:bCs/>
          <w:i/>
        </w:rPr>
        <w:t xml:space="preserve"> Civil Rights Act of 1964</w:t>
      </w:r>
      <w:r w:rsidRPr="00451EEF">
        <w:rPr>
          <w:rFonts w:eastAsia="MS Mincho"/>
          <w:bCs/>
        </w:rPr>
        <w:t xml:space="preserve">. </w:t>
      </w:r>
    </w:p>
    <w:p w14:paraId="0717CA64" w14:textId="156C30DE" w:rsidR="00D113D8" w:rsidRDefault="00D113D8" w:rsidP="00AE53D7">
      <w:pPr>
        <w:rPr>
          <w:lang w:val="en"/>
        </w:rPr>
      </w:pPr>
      <w:r w:rsidRPr="00451EEF">
        <w:rPr>
          <w:lang w:val="en"/>
        </w:rPr>
        <w:t xml:space="preserve">The </w:t>
      </w:r>
      <w:hyperlink r:id="rId7" w:history="1">
        <w:r w:rsidRPr="00F51AAB">
          <w:rPr>
            <w:rStyle w:val="Hyperlink"/>
            <w:i/>
            <w:iCs/>
            <w:lang w:val="en"/>
          </w:rPr>
          <w:t>English Learner Toolkit</w:t>
        </w:r>
        <w:r w:rsidRPr="00F51AAB">
          <w:rPr>
            <w:rStyle w:val="Hyperlink"/>
            <w:noProof/>
          </w:rPr>
          <w:drawing>
            <wp:inline distT="0" distB="0" distL="0" distR="0" wp14:anchorId="601D13E8" wp14:editId="5691923B">
              <wp:extent cx="123825" cy="95250"/>
              <wp:effectExtent l="0" t="0" r="9525" b="0"/>
              <wp:docPr id="1" name="Picture 1" descr="This link takes you out of the Virginia Department of Education websi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link takes you out of the Virginia Department of Education websi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hyperlink>
      <w:r w:rsidRPr="00451EEF">
        <w:rPr>
          <w:lang w:val="en"/>
        </w:rPr>
        <w:t xml:space="preserve"> created by the U.S. Department of Education (USED) states that LEAs must accurately identify EL students in a timely manner.  The USED Office for Civil Rights in conjunction with the U.S. Department of Justice has approved the following questions to demonstrate minimal compliance with the requirement to identify possible EL students in need of language assistance: </w:t>
      </w:r>
    </w:p>
    <w:p w14:paraId="63291523" w14:textId="77777777" w:rsidR="00097028" w:rsidRPr="00451EEF" w:rsidRDefault="00097028" w:rsidP="00AE53D7">
      <w:pPr>
        <w:rPr>
          <w:lang w:val="en"/>
        </w:rPr>
      </w:pPr>
    </w:p>
    <w:p w14:paraId="36BC03F1" w14:textId="77777777" w:rsidR="00D113D8" w:rsidRPr="00963224" w:rsidRDefault="00D113D8" w:rsidP="00AE53D7">
      <w:pPr>
        <w:numPr>
          <w:ilvl w:val="0"/>
          <w:numId w:val="1"/>
        </w:numPr>
        <w:rPr>
          <w:b/>
          <w:color w:val="C00000"/>
          <w:lang w:val="en"/>
        </w:rPr>
      </w:pPr>
      <w:r w:rsidRPr="00963224">
        <w:rPr>
          <w:b/>
          <w:color w:val="C00000"/>
          <w:lang w:val="en"/>
        </w:rPr>
        <w:t xml:space="preserve">What is the primary language used in the home, regardless of the language spoken by the student?  </w:t>
      </w:r>
    </w:p>
    <w:p w14:paraId="65F0156E" w14:textId="77777777" w:rsidR="00D113D8" w:rsidRPr="00963224" w:rsidRDefault="00D113D8" w:rsidP="00D113D8">
      <w:pPr>
        <w:numPr>
          <w:ilvl w:val="0"/>
          <w:numId w:val="1"/>
        </w:numPr>
        <w:spacing w:before="100" w:beforeAutospacing="1" w:after="100" w:afterAutospacing="1"/>
        <w:rPr>
          <w:b/>
          <w:color w:val="C00000"/>
          <w:lang w:val="en"/>
        </w:rPr>
      </w:pPr>
      <w:r w:rsidRPr="00963224">
        <w:rPr>
          <w:b/>
          <w:color w:val="C00000"/>
          <w:lang w:val="en"/>
        </w:rPr>
        <w:t xml:space="preserve">What is the language most often spoken by the student?  </w:t>
      </w:r>
    </w:p>
    <w:p w14:paraId="467317D8" w14:textId="77777777" w:rsidR="00D113D8" w:rsidRPr="00963224" w:rsidRDefault="00D113D8" w:rsidP="00D113D8">
      <w:pPr>
        <w:numPr>
          <w:ilvl w:val="0"/>
          <w:numId w:val="1"/>
        </w:numPr>
        <w:spacing w:before="100" w:beforeAutospacing="1" w:after="100" w:afterAutospacing="1"/>
        <w:rPr>
          <w:b/>
          <w:color w:val="C00000"/>
          <w:lang w:val="en"/>
        </w:rPr>
      </w:pPr>
      <w:r w:rsidRPr="00963224">
        <w:rPr>
          <w:b/>
          <w:color w:val="C00000"/>
          <w:lang w:val="en"/>
        </w:rPr>
        <w:t xml:space="preserve">What is the language that the student first acquired? </w:t>
      </w:r>
    </w:p>
    <w:p w14:paraId="48668F1D" w14:textId="4A5F6A27" w:rsidR="00D113D8" w:rsidRPr="00451EEF" w:rsidRDefault="00D113D8" w:rsidP="00D113D8">
      <w:pPr>
        <w:spacing w:after="150"/>
        <w:rPr>
          <w:lang w:val="en"/>
        </w:rPr>
      </w:pPr>
      <w:r w:rsidRPr="00963224">
        <w:rPr>
          <w:b/>
          <w:lang w:val="en"/>
        </w:rPr>
        <w:t xml:space="preserve">These identifying questions must be included </w:t>
      </w:r>
      <w:r w:rsidR="00667D58" w:rsidRPr="00963224">
        <w:rPr>
          <w:b/>
          <w:lang w:val="en"/>
        </w:rPr>
        <w:t xml:space="preserve">verbatim </w:t>
      </w:r>
      <w:r w:rsidRPr="00963224">
        <w:rPr>
          <w:b/>
          <w:lang w:val="en"/>
        </w:rPr>
        <w:t xml:space="preserve">on registration documents or on a separate home language survey provided to </w:t>
      </w:r>
      <w:r w:rsidRPr="00963224">
        <w:rPr>
          <w:b/>
          <w:u w:val="single"/>
          <w:lang w:val="en"/>
        </w:rPr>
        <w:t>all</w:t>
      </w:r>
      <w:r w:rsidRPr="00963224">
        <w:rPr>
          <w:b/>
          <w:lang w:val="en"/>
        </w:rPr>
        <w:t xml:space="preserve"> students enrolling in a Virginia public school</w:t>
      </w:r>
      <w:r w:rsidRPr="00451EEF">
        <w:rPr>
          <w:lang w:val="en"/>
        </w:rPr>
        <w:t xml:space="preserve">. If a parent or guardian responds with any language other than English for one or more questions, then the student should be progressed to the language screening </w:t>
      </w:r>
      <w:r w:rsidRPr="004629BC">
        <w:rPr>
          <w:lang w:val="en"/>
        </w:rPr>
        <w:t xml:space="preserve">process. </w:t>
      </w:r>
      <w:hyperlink r:id="rId10" w:history="1">
        <w:r w:rsidR="00B03A9F" w:rsidRPr="001179F0">
          <w:rPr>
            <w:rStyle w:val="Hyperlink"/>
            <w:lang w:val="en"/>
          </w:rPr>
          <w:t>Superintendent’s Memo 149-21</w:t>
        </w:r>
      </w:hyperlink>
    </w:p>
    <w:p w14:paraId="218D169E" w14:textId="77777777" w:rsidR="00D113D8" w:rsidRPr="00451EEF" w:rsidRDefault="00D113D8" w:rsidP="00451EEF">
      <w:pPr>
        <w:pStyle w:val="Heading4"/>
        <w:ind w:firstLine="720"/>
        <w:rPr>
          <w:rFonts w:ascii="Times New Roman" w:hAnsi="Times New Roman" w:cs="Times New Roman"/>
        </w:rPr>
      </w:pPr>
      <w:r w:rsidRPr="00451EEF">
        <w:rPr>
          <w:rFonts w:ascii="Times New Roman" w:hAnsi="Times New Roman" w:cs="Times New Roman"/>
        </w:rPr>
        <w:t>Timeframe for Completion</w:t>
      </w:r>
    </w:p>
    <w:p w14:paraId="3CA95F06" w14:textId="77777777" w:rsidR="00D113D8" w:rsidRPr="00451EEF" w:rsidRDefault="00D113D8" w:rsidP="004F5217">
      <w:pPr>
        <w:spacing w:after="150"/>
        <w:ind w:left="720"/>
        <w:rPr>
          <w:lang w:val="en"/>
        </w:rPr>
      </w:pPr>
      <w:r w:rsidRPr="00451EEF">
        <w:rPr>
          <w:lang w:val="en"/>
        </w:rPr>
        <w:t>School divisions must develop a written protocol to ensure that incoming ELs are identified, screened, and placed in appropriate programs and services within thirty days of enrollm</w:t>
      </w:r>
      <w:r w:rsidR="00667D58">
        <w:rPr>
          <w:lang w:val="en"/>
        </w:rPr>
        <w:t xml:space="preserve">ent at the beginning of the school year, or within 2 weeks after the start of the school year. School divisions </w:t>
      </w:r>
      <w:r w:rsidRPr="00451EEF">
        <w:rPr>
          <w:lang w:val="en"/>
        </w:rPr>
        <w:t>must ensure that all ELs enrolling in a school division are identified in a consistent</w:t>
      </w:r>
      <w:r w:rsidR="005E5CD6" w:rsidRPr="00451EEF">
        <w:rPr>
          <w:lang w:val="en"/>
        </w:rPr>
        <w:t xml:space="preserve"> and equitable</w:t>
      </w:r>
      <w:r w:rsidRPr="00451EEF">
        <w:rPr>
          <w:lang w:val="en"/>
        </w:rPr>
        <w:t xml:space="preserve"> manner. </w:t>
      </w:r>
    </w:p>
    <w:p w14:paraId="48AF48CA" w14:textId="77777777" w:rsidR="00D113D8" w:rsidRPr="00A60F69" w:rsidRDefault="00D113D8" w:rsidP="00E35B2C">
      <w:pPr>
        <w:pStyle w:val="Heading3"/>
        <w:spacing w:before="150" w:line="360" w:lineRule="auto"/>
        <w:rPr>
          <w:rFonts w:ascii="Times New Roman" w:hAnsi="Times New Roman" w:cs="Times New Roman"/>
          <w:sz w:val="28"/>
          <w:szCs w:val="28"/>
        </w:rPr>
      </w:pPr>
      <w:r w:rsidRPr="00A60F69">
        <w:rPr>
          <w:rFonts w:ascii="Times New Roman" w:hAnsi="Times New Roman" w:cs="Times New Roman"/>
          <w:sz w:val="28"/>
          <w:szCs w:val="28"/>
        </w:rPr>
        <w:t>Assess</w:t>
      </w:r>
      <w:r w:rsidR="00611439" w:rsidRPr="00A60F69">
        <w:rPr>
          <w:rFonts w:ascii="Times New Roman" w:hAnsi="Times New Roman" w:cs="Times New Roman"/>
          <w:sz w:val="28"/>
          <w:szCs w:val="28"/>
        </w:rPr>
        <w:t>ment of</w:t>
      </w:r>
      <w:r w:rsidRPr="00A60F69">
        <w:rPr>
          <w:rFonts w:ascii="Times New Roman" w:hAnsi="Times New Roman" w:cs="Times New Roman"/>
          <w:sz w:val="28"/>
          <w:szCs w:val="28"/>
        </w:rPr>
        <w:t xml:space="preserve"> students who have been identified as p</w:t>
      </w:r>
      <w:r w:rsidR="00611439" w:rsidRPr="00A60F69">
        <w:rPr>
          <w:rFonts w:ascii="Times New Roman" w:hAnsi="Times New Roman" w:cs="Times New Roman"/>
          <w:sz w:val="28"/>
          <w:szCs w:val="28"/>
        </w:rPr>
        <w:t xml:space="preserve">otential </w:t>
      </w:r>
      <w:proofErr w:type="gramStart"/>
      <w:r w:rsidR="00611439" w:rsidRPr="00A60F69">
        <w:rPr>
          <w:rFonts w:ascii="Times New Roman" w:hAnsi="Times New Roman" w:cs="Times New Roman"/>
          <w:sz w:val="28"/>
          <w:szCs w:val="28"/>
        </w:rPr>
        <w:t>ELs</w:t>
      </w:r>
      <w:proofErr w:type="gramEnd"/>
    </w:p>
    <w:p w14:paraId="07883E89" w14:textId="5565D841" w:rsidR="00B76356" w:rsidRPr="00451EEF" w:rsidRDefault="003539DE" w:rsidP="00B76356">
      <w:pPr>
        <w:rPr>
          <w:lang w:val="en"/>
        </w:rPr>
      </w:pPr>
      <w:r>
        <w:rPr>
          <w:lang w:val="en"/>
        </w:rPr>
        <w:t>S</w:t>
      </w:r>
      <w:r w:rsidR="00D113D8" w:rsidRPr="00451EEF">
        <w:rPr>
          <w:lang w:val="en"/>
        </w:rPr>
        <w:t>chool divisions may select from the following WIDA screening tools</w:t>
      </w:r>
      <w:r w:rsidR="00B862EE" w:rsidRPr="00451EEF">
        <w:rPr>
          <w:lang w:val="en"/>
        </w:rPr>
        <w:t xml:space="preserve"> to identify potential ELs as stated in</w:t>
      </w:r>
      <w:r w:rsidR="00D113D8" w:rsidRPr="00451EEF">
        <w:rPr>
          <w:lang w:val="en"/>
        </w:rPr>
        <w:t xml:space="preserve"> </w:t>
      </w:r>
      <w:hyperlink r:id="rId11" w:history="1">
        <w:r>
          <w:rPr>
            <w:rStyle w:val="Hyperlink"/>
            <w:lang w:val="en"/>
          </w:rPr>
          <w:t>Superintendent’s Memo 189-22</w:t>
        </w:r>
      </w:hyperlink>
    </w:p>
    <w:p w14:paraId="10D3B662" w14:textId="77777777" w:rsidR="00A1315E" w:rsidRPr="004629BC" w:rsidRDefault="00A1315E" w:rsidP="00451EEF">
      <w:pPr>
        <w:rPr>
          <w:lang w:val="en"/>
        </w:rPr>
      </w:pPr>
      <w:r w:rsidRPr="00451EEF">
        <w:rPr>
          <w:lang w:val="en"/>
        </w:rPr>
        <w:t xml:space="preserve">Cut scores for the </w:t>
      </w:r>
      <w:r w:rsidR="00B76356" w:rsidRPr="00451EEF">
        <w:rPr>
          <w:lang w:val="en"/>
        </w:rPr>
        <w:t>WIDA Screeners</w:t>
      </w:r>
      <w:r w:rsidR="00957FCA">
        <w:rPr>
          <w:lang w:val="en"/>
        </w:rPr>
        <w:t xml:space="preserve"> are also</w:t>
      </w:r>
      <w:r w:rsidR="00B76356" w:rsidRPr="00451EEF">
        <w:rPr>
          <w:lang w:val="en"/>
        </w:rPr>
        <w:t xml:space="preserve"> </w:t>
      </w:r>
      <w:r w:rsidR="00957FCA">
        <w:rPr>
          <w:lang w:val="en"/>
        </w:rPr>
        <w:t xml:space="preserve">specified </w:t>
      </w:r>
      <w:r w:rsidR="00B76356" w:rsidRPr="00451EEF">
        <w:rPr>
          <w:lang w:val="en"/>
        </w:rPr>
        <w:t xml:space="preserve">in </w:t>
      </w:r>
      <w:r w:rsidR="00957FCA">
        <w:rPr>
          <w:lang w:val="en"/>
        </w:rPr>
        <w:t>this memo.</w:t>
      </w:r>
    </w:p>
    <w:p w14:paraId="25089250" w14:textId="77777777" w:rsidR="00D113D8" w:rsidRPr="004629BC" w:rsidRDefault="00D113D8" w:rsidP="00451EEF">
      <w:pPr>
        <w:numPr>
          <w:ilvl w:val="0"/>
          <w:numId w:val="2"/>
        </w:numPr>
        <w:tabs>
          <w:tab w:val="clear" w:pos="720"/>
          <w:tab w:val="num" w:pos="360"/>
        </w:tabs>
        <w:ind w:left="360"/>
        <w:rPr>
          <w:lang w:val="en"/>
        </w:rPr>
      </w:pPr>
      <w:r w:rsidRPr="004629BC">
        <w:rPr>
          <w:lang w:val="en"/>
        </w:rPr>
        <w:t>WIDA Screener – Paper or Online</w:t>
      </w:r>
    </w:p>
    <w:p w14:paraId="54E1D031" w14:textId="77777777" w:rsidR="00B03A9F" w:rsidRDefault="00957FCA" w:rsidP="00451EEF">
      <w:pPr>
        <w:numPr>
          <w:ilvl w:val="0"/>
          <w:numId w:val="2"/>
        </w:numPr>
        <w:tabs>
          <w:tab w:val="clear" w:pos="720"/>
          <w:tab w:val="num" w:pos="360"/>
        </w:tabs>
        <w:ind w:left="360"/>
        <w:rPr>
          <w:lang w:val="en"/>
        </w:rPr>
      </w:pPr>
      <w:r>
        <w:rPr>
          <w:lang w:val="en"/>
        </w:rPr>
        <w:t xml:space="preserve">WIDA Screener for Kindergarten </w:t>
      </w:r>
      <w:r w:rsidR="00B03A9F">
        <w:rPr>
          <w:lang w:val="en"/>
        </w:rPr>
        <w:t>- Paper</w:t>
      </w:r>
    </w:p>
    <w:p w14:paraId="75FCCC6D" w14:textId="1BDFC94F" w:rsidR="00D113D8" w:rsidRPr="00451EEF" w:rsidRDefault="00D113D8" w:rsidP="00451EEF">
      <w:pPr>
        <w:numPr>
          <w:ilvl w:val="0"/>
          <w:numId w:val="2"/>
        </w:numPr>
        <w:tabs>
          <w:tab w:val="clear" w:pos="720"/>
          <w:tab w:val="num" w:pos="360"/>
        </w:tabs>
        <w:ind w:left="360"/>
        <w:rPr>
          <w:lang w:val="en"/>
        </w:rPr>
      </w:pPr>
      <w:r w:rsidRPr="00451EEF">
        <w:rPr>
          <w:lang w:val="en"/>
        </w:rPr>
        <w:t xml:space="preserve">WIDA MODEL (Grades 1-12) – Paper </w:t>
      </w:r>
    </w:p>
    <w:p w14:paraId="7E3B6FA0" w14:textId="77777777" w:rsidR="00AF57A9" w:rsidRPr="00451EEF" w:rsidRDefault="00D113D8" w:rsidP="004F0EB4">
      <w:pPr>
        <w:numPr>
          <w:ilvl w:val="0"/>
          <w:numId w:val="2"/>
        </w:numPr>
        <w:tabs>
          <w:tab w:val="clear" w:pos="720"/>
          <w:tab w:val="num" w:pos="360"/>
        </w:tabs>
        <w:spacing w:before="100" w:beforeAutospacing="1" w:after="100" w:afterAutospacing="1"/>
        <w:ind w:left="360"/>
        <w:rPr>
          <w:lang w:val="en"/>
        </w:rPr>
      </w:pPr>
      <w:r w:rsidRPr="00451EEF">
        <w:rPr>
          <w:lang w:val="en"/>
        </w:rPr>
        <w:lastRenderedPageBreak/>
        <w:t xml:space="preserve">Kindergarten MODEL – Paper </w:t>
      </w:r>
    </w:p>
    <w:p w14:paraId="408400D1" w14:textId="77777777" w:rsidR="00D113D8" w:rsidRPr="004629BC" w:rsidRDefault="00D113D8" w:rsidP="00EC1452">
      <w:pPr>
        <w:pStyle w:val="Heading4"/>
        <w:ind w:firstLine="360"/>
        <w:rPr>
          <w:rFonts w:ascii="Times New Roman" w:hAnsi="Times New Roman" w:cs="Times New Roman"/>
        </w:rPr>
      </w:pPr>
      <w:r w:rsidRPr="004629BC">
        <w:rPr>
          <w:rFonts w:ascii="Times New Roman" w:hAnsi="Times New Roman" w:cs="Times New Roman"/>
        </w:rPr>
        <w:t>Timeframe for Completion</w:t>
      </w:r>
    </w:p>
    <w:p w14:paraId="23203A61" w14:textId="77777777" w:rsidR="00D113D8" w:rsidRPr="004629BC" w:rsidRDefault="00D113D8" w:rsidP="000B6CFA">
      <w:pPr>
        <w:ind w:left="360"/>
        <w:rPr>
          <w:lang w:val="en"/>
        </w:rPr>
      </w:pPr>
      <w:r w:rsidRPr="004629BC">
        <w:rPr>
          <w:lang w:val="en"/>
        </w:rPr>
        <w:t>School divisions must develop a written protocol to ensure that incoming ELs are identified, screened, and placed in appropriate programs and services within thirty days of enrollment, and must ensure that all ELs enrolling in a school division are identified in a consistent</w:t>
      </w:r>
      <w:r w:rsidR="005E5CD6" w:rsidRPr="004629BC">
        <w:rPr>
          <w:lang w:val="en"/>
        </w:rPr>
        <w:t xml:space="preserve"> and equitable</w:t>
      </w:r>
      <w:r w:rsidRPr="004629BC">
        <w:rPr>
          <w:lang w:val="en"/>
        </w:rPr>
        <w:t xml:space="preserve"> manner.</w:t>
      </w:r>
    </w:p>
    <w:p w14:paraId="266C56A9" w14:textId="77777777" w:rsidR="000B6CFA" w:rsidRPr="004629BC" w:rsidRDefault="000B6CFA" w:rsidP="000B6CFA">
      <w:pPr>
        <w:ind w:left="360"/>
        <w:rPr>
          <w:lang w:val="en"/>
        </w:rPr>
      </w:pPr>
    </w:p>
    <w:p w14:paraId="25454672" w14:textId="77777777" w:rsidR="00AF57A9" w:rsidRPr="004629BC" w:rsidRDefault="00D113D8" w:rsidP="00051E9B">
      <w:pPr>
        <w:pStyle w:val="Heading3"/>
        <w:rPr>
          <w:rFonts w:ascii="Times New Roman" w:eastAsia="MS Mincho" w:hAnsi="Times New Roman" w:cs="Times New Roman"/>
          <w:sz w:val="28"/>
          <w:szCs w:val="28"/>
        </w:rPr>
      </w:pPr>
      <w:r w:rsidRPr="004629BC">
        <w:rPr>
          <w:rFonts w:ascii="Times New Roman" w:eastAsia="MS Mincho" w:hAnsi="Times New Roman" w:cs="Times New Roman"/>
          <w:sz w:val="28"/>
          <w:szCs w:val="28"/>
        </w:rPr>
        <w:t>Place</w:t>
      </w:r>
      <w:r w:rsidR="009B4E26" w:rsidRPr="004629BC">
        <w:rPr>
          <w:rFonts w:ascii="Times New Roman" w:eastAsia="MS Mincho" w:hAnsi="Times New Roman" w:cs="Times New Roman"/>
          <w:sz w:val="28"/>
          <w:szCs w:val="28"/>
        </w:rPr>
        <w:t>ment of</w:t>
      </w:r>
      <w:r w:rsidRPr="004629BC">
        <w:rPr>
          <w:rFonts w:ascii="Times New Roman" w:eastAsia="MS Mincho" w:hAnsi="Times New Roman" w:cs="Times New Roman"/>
          <w:sz w:val="28"/>
          <w:szCs w:val="28"/>
        </w:rPr>
        <w:t xml:space="preserve"> ELs in an effective English language instruction</w:t>
      </w:r>
      <w:r w:rsidRPr="004629BC">
        <w:rPr>
          <w:rFonts w:ascii="Times New Roman" w:eastAsia="MS Mincho" w:hAnsi="Times New Roman" w:cs="Times New Roman"/>
          <w:color w:val="FF0000"/>
          <w:sz w:val="28"/>
          <w:szCs w:val="28"/>
        </w:rPr>
        <w:t xml:space="preserve"> </w:t>
      </w:r>
      <w:r w:rsidR="00AF57A9" w:rsidRPr="004629BC">
        <w:rPr>
          <w:rFonts w:ascii="Times New Roman" w:eastAsia="MS Mincho" w:hAnsi="Times New Roman" w:cs="Times New Roman"/>
          <w:sz w:val="28"/>
          <w:szCs w:val="28"/>
        </w:rPr>
        <w:t xml:space="preserve">educational program (LIEP) </w:t>
      </w:r>
    </w:p>
    <w:p w14:paraId="6DAC4DF7" w14:textId="77777777" w:rsidR="000B6CFA" w:rsidRPr="004629BC" w:rsidRDefault="000B6CFA" w:rsidP="000B6CFA">
      <w:pPr>
        <w:rPr>
          <w:rFonts w:eastAsia="MS Mincho"/>
        </w:rPr>
      </w:pPr>
    </w:p>
    <w:p w14:paraId="0637F2AC" w14:textId="2FA08D06" w:rsidR="00D113D8" w:rsidRPr="004629BC" w:rsidRDefault="00051E9B" w:rsidP="00EA07F8">
      <w:pPr>
        <w:rPr>
          <w:rFonts w:eastAsia="MS Mincho"/>
        </w:rPr>
      </w:pPr>
      <w:r w:rsidRPr="004629BC">
        <w:rPr>
          <w:rFonts w:eastAsia="MS Mincho"/>
          <w:bCs/>
          <w:color w:val="000000" w:themeColor="text1"/>
        </w:rPr>
        <w:t xml:space="preserve">ELs initially identified using a WIDA Screener should be placed in an effective LIEP. </w:t>
      </w:r>
      <w:r w:rsidR="00AF57A9" w:rsidRPr="004629BC">
        <w:t xml:space="preserve">ELs with an overall proficiency score of less than 4.4 on the ACCESS for ELLS® English language proficiency (ELP) assessment should be placed in an effective LIEP. </w:t>
      </w:r>
      <w:r w:rsidRPr="004629BC">
        <w:rPr>
          <w:color w:val="000000" w:themeColor="text1"/>
        </w:rPr>
        <w:t xml:space="preserve">Under Title VI and the EEOA LEAs must provide EL students with a language assistance program that is educationally sound and proven successful, consistent with </w:t>
      </w:r>
      <w:r w:rsidR="00667D58" w:rsidRPr="004629BC">
        <w:rPr>
          <w:color w:val="000000" w:themeColor="text1"/>
        </w:rPr>
        <w:t xml:space="preserve">Supreme Court decisions </w:t>
      </w:r>
      <w:proofErr w:type="spellStart"/>
      <w:r w:rsidRPr="004629BC">
        <w:rPr>
          <w:color w:val="000000" w:themeColor="text1"/>
        </w:rPr>
        <w:t>Castañeda</w:t>
      </w:r>
      <w:proofErr w:type="spellEnd"/>
      <w:r w:rsidRPr="004629BC">
        <w:rPr>
          <w:color w:val="000000" w:themeColor="text1"/>
        </w:rPr>
        <w:t xml:space="preserve"> v. Pickard and </w:t>
      </w:r>
      <w:r w:rsidR="004F0EB4" w:rsidRPr="004629BC">
        <w:rPr>
          <w:color w:val="000000" w:themeColor="text1"/>
        </w:rPr>
        <w:t xml:space="preserve">in Lau v. Nichols. </w:t>
      </w:r>
      <w:r w:rsidR="00AF57A9" w:rsidRPr="004629BC">
        <w:rPr>
          <w:color w:val="000000" w:themeColor="text1"/>
        </w:rPr>
        <w:t xml:space="preserve">For further in information on </w:t>
      </w:r>
      <w:r w:rsidR="00B862EE" w:rsidRPr="004629BC">
        <w:rPr>
          <w:color w:val="000000" w:themeColor="text1"/>
        </w:rPr>
        <w:t>LIEP definitions</w:t>
      </w:r>
      <w:r w:rsidR="00AF57A9" w:rsidRPr="004629BC">
        <w:rPr>
          <w:color w:val="000000" w:themeColor="text1"/>
        </w:rPr>
        <w:t xml:space="preserve"> please see:</w:t>
      </w:r>
      <w:r w:rsidR="00B862EE" w:rsidRPr="004629BC">
        <w:rPr>
          <w:color w:val="000000" w:themeColor="text1"/>
        </w:rPr>
        <w:t xml:space="preserve"> </w:t>
      </w:r>
      <w:hyperlink r:id="rId12" w:history="1">
        <w:r w:rsidR="00B862EE" w:rsidRPr="004629BC">
          <w:rPr>
            <w:rStyle w:val="Hyperlink"/>
            <w:rFonts w:eastAsia="MS Mincho"/>
            <w:bCs/>
          </w:rPr>
          <w:t>USED Title III Language Instruction Educational Programs Report</w:t>
        </w:r>
      </w:hyperlink>
    </w:p>
    <w:p w14:paraId="2B65605D" w14:textId="77777777" w:rsidR="00AF57A9" w:rsidRPr="004629BC" w:rsidRDefault="00AF57A9" w:rsidP="000B6CFA">
      <w:pPr>
        <w:spacing w:line="276" w:lineRule="auto"/>
      </w:pPr>
      <w:r w:rsidRPr="004629BC">
        <w:rPr>
          <w:rFonts w:eastAsia="MS Mincho"/>
          <w:bCs/>
          <w:color w:val="000000" w:themeColor="text1"/>
        </w:rPr>
        <w:t>[ESSA, Section 3115 (c)(1)]</w:t>
      </w:r>
    </w:p>
    <w:p w14:paraId="6B2EAC3F" w14:textId="77777777" w:rsidR="00D113D8" w:rsidRPr="004629BC" w:rsidRDefault="00D113D8" w:rsidP="000B6CFA">
      <w:pPr>
        <w:pStyle w:val="Heading4"/>
        <w:ind w:firstLine="720"/>
        <w:rPr>
          <w:rFonts w:ascii="Times New Roman" w:hAnsi="Times New Roman" w:cs="Times New Roman"/>
        </w:rPr>
      </w:pPr>
      <w:r w:rsidRPr="004629BC">
        <w:rPr>
          <w:rFonts w:ascii="Times New Roman" w:hAnsi="Times New Roman" w:cs="Times New Roman"/>
        </w:rPr>
        <w:t>Timeframe for Completion</w:t>
      </w:r>
    </w:p>
    <w:p w14:paraId="7892CC44" w14:textId="77777777" w:rsidR="00D113D8" w:rsidRPr="00B03A9F" w:rsidRDefault="00D113D8" w:rsidP="000B6CFA">
      <w:pPr>
        <w:spacing w:line="360" w:lineRule="auto"/>
        <w:ind w:left="720"/>
        <w:rPr>
          <w:rFonts w:eastAsia="MS Mincho"/>
          <w:strike/>
        </w:rPr>
      </w:pPr>
      <w:r w:rsidRPr="004629BC">
        <w:rPr>
          <w:rFonts w:eastAsia="MS Mincho"/>
        </w:rPr>
        <w:t>Ongoing as part of the enrollment process</w:t>
      </w:r>
    </w:p>
    <w:p w14:paraId="32B355C0" w14:textId="77777777" w:rsidR="00A1315E" w:rsidRPr="00451EEF" w:rsidRDefault="00A1315E" w:rsidP="00E35B2C">
      <w:pPr>
        <w:pStyle w:val="Heading3"/>
        <w:spacing w:line="360" w:lineRule="auto"/>
        <w:rPr>
          <w:rFonts w:ascii="Times New Roman" w:eastAsia="MS Mincho" w:hAnsi="Times New Roman" w:cs="Times New Roman"/>
          <w:sz w:val="28"/>
          <w:szCs w:val="28"/>
        </w:rPr>
      </w:pPr>
      <w:r w:rsidRPr="00451EEF">
        <w:rPr>
          <w:rFonts w:ascii="Times New Roman" w:eastAsia="MS Mincho" w:hAnsi="Times New Roman" w:cs="Times New Roman"/>
          <w:sz w:val="28"/>
          <w:szCs w:val="28"/>
        </w:rPr>
        <w:t>Parent Notification</w:t>
      </w:r>
      <w:r w:rsidR="00AF57A9" w:rsidRPr="00451EEF">
        <w:rPr>
          <w:rFonts w:ascii="Times New Roman" w:eastAsia="MS Mincho" w:hAnsi="Times New Roman" w:cs="Times New Roman"/>
          <w:sz w:val="28"/>
          <w:szCs w:val="28"/>
        </w:rPr>
        <w:t xml:space="preserve"> </w:t>
      </w:r>
    </w:p>
    <w:p w14:paraId="24ED62C5" w14:textId="77777777" w:rsidR="00D113D8" w:rsidRPr="00451EEF" w:rsidRDefault="00D113D8" w:rsidP="00D113D8">
      <w:pPr>
        <w:tabs>
          <w:tab w:val="left" w:pos="7920"/>
        </w:tabs>
        <w:rPr>
          <w:rFonts w:eastAsia="MS Mincho"/>
          <w:bCs/>
        </w:rPr>
      </w:pPr>
      <w:r w:rsidRPr="00451EEF">
        <w:rPr>
          <w:rFonts w:eastAsia="MS Mincho"/>
          <w:bCs/>
        </w:rPr>
        <w:t>Inform parents annually regarding their child’s placement in a language instruction education</w:t>
      </w:r>
      <w:r w:rsidR="00B862EE" w:rsidRPr="00451EEF">
        <w:rPr>
          <w:rFonts w:eastAsia="MS Mincho"/>
          <w:bCs/>
        </w:rPr>
        <w:t>al</w:t>
      </w:r>
      <w:r w:rsidRPr="00451EEF">
        <w:rPr>
          <w:rFonts w:eastAsia="MS Mincho"/>
          <w:bCs/>
        </w:rPr>
        <w:t xml:space="preserve"> program within 30 days after the beginning of the school year, or within two weeks of the child’</w:t>
      </w:r>
      <w:r w:rsidR="003126F8" w:rsidRPr="00451EEF">
        <w:rPr>
          <w:rFonts w:eastAsia="MS Mincho"/>
          <w:bCs/>
        </w:rPr>
        <w:t xml:space="preserve">s placement within a program.  </w:t>
      </w:r>
      <w:r w:rsidRPr="00451EEF">
        <w:rPr>
          <w:rFonts w:eastAsia="MS Mincho"/>
          <w:bCs/>
        </w:rPr>
        <w:t>The notification letter as required under Title I, Part A</w:t>
      </w:r>
      <w:r w:rsidR="00AF57A9" w:rsidRPr="00451EEF">
        <w:rPr>
          <w:rFonts w:eastAsia="MS Mincho"/>
          <w:bCs/>
        </w:rPr>
        <w:t>,</w:t>
      </w:r>
      <w:r w:rsidR="003126F8" w:rsidRPr="00451EEF">
        <w:rPr>
          <w:rFonts w:eastAsia="MS Mincho"/>
          <w:bCs/>
        </w:rPr>
        <w:t xml:space="preserve"> or Title III, Part A</w:t>
      </w:r>
      <w:r w:rsidRPr="00451EEF">
        <w:rPr>
          <w:rFonts w:eastAsia="MS Mincho"/>
          <w:bCs/>
        </w:rPr>
        <w:t xml:space="preserve">, must include the following components:  </w:t>
      </w:r>
    </w:p>
    <w:p w14:paraId="41F2E600" w14:textId="77777777" w:rsidR="00D113D8" w:rsidRPr="00451EEF" w:rsidRDefault="00D113D8" w:rsidP="004F0EB4">
      <w:pPr>
        <w:numPr>
          <w:ilvl w:val="0"/>
          <w:numId w:val="3"/>
        </w:numPr>
        <w:tabs>
          <w:tab w:val="clear" w:pos="720"/>
          <w:tab w:val="num" w:pos="360"/>
          <w:tab w:val="left" w:pos="7920"/>
        </w:tabs>
        <w:ind w:left="360"/>
        <w:rPr>
          <w:rFonts w:eastAsia="MS Mincho"/>
          <w:bCs/>
        </w:rPr>
      </w:pPr>
      <w:r w:rsidRPr="00451EEF">
        <w:rPr>
          <w:rFonts w:eastAsia="MS Mincho"/>
          <w:bCs/>
        </w:rPr>
        <w:t xml:space="preserve">Level of English proficiency and how level was </w:t>
      </w:r>
      <w:proofErr w:type="gramStart"/>
      <w:r w:rsidRPr="00451EEF">
        <w:rPr>
          <w:rFonts w:eastAsia="MS Mincho"/>
          <w:bCs/>
        </w:rPr>
        <w:t>assessed;</w:t>
      </w:r>
      <w:proofErr w:type="gramEnd"/>
    </w:p>
    <w:p w14:paraId="1E6E5DF3" w14:textId="77777777" w:rsidR="00D113D8" w:rsidRPr="00451EEF" w:rsidRDefault="00D113D8" w:rsidP="004F0EB4">
      <w:pPr>
        <w:numPr>
          <w:ilvl w:val="0"/>
          <w:numId w:val="3"/>
        </w:numPr>
        <w:tabs>
          <w:tab w:val="clear" w:pos="720"/>
          <w:tab w:val="num" w:pos="360"/>
          <w:tab w:val="left" w:pos="7920"/>
        </w:tabs>
        <w:ind w:left="360"/>
        <w:rPr>
          <w:rFonts w:eastAsia="MS Mincho"/>
          <w:bCs/>
        </w:rPr>
      </w:pPr>
      <w:r w:rsidRPr="00451EEF">
        <w:rPr>
          <w:rFonts w:eastAsia="MS Mincho"/>
          <w:bCs/>
        </w:rPr>
        <w:t xml:space="preserve">Method of instruction and other available methods of </w:t>
      </w:r>
      <w:proofErr w:type="gramStart"/>
      <w:r w:rsidRPr="00451EEF">
        <w:rPr>
          <w:rFonts w:eastAsia="MS Mincho"/>
          <w:bCs/>
        </w:rPr>
        <w:t>instruction;</w:t>
      </w:r>
      <w:proofErr w:type="gramEnd"/>
    </w:p>
    <w:p w14:paraId="0B1705DA" w14:textId="77777777" w:rsidR="00D113D8" w:rsidRPr="00451EEF" w:rsidRDefault="00D113D8" w:rsidP="004F0EB4">
      <w:pPr>
        <w:numPr>
          <w:ilvl w:val="0"/>
          <w:numId w:val="3"/>
        </w:numPr>
        <w:tabs>
          <w:tab w:val="clear" w:pos="720"/>
          <w:tab w:val="num" w:pos="360"/>
          <w:tab w:val="left" w:pos="7920"/>
        </w:tabs>
        <w:ind w:left="360"/>
        <w:rPr>
          <w:rFonts w:eastAsia="MS Mincho"/>
          <w:bCs/>
        </w:rPr>
      </w:pPr>
      <w:r w:rsidRPr="00451EEF">
        <w:rPr>
          <w:rFonts w:eastAsia="MS Mincho"/>
          <w:bCs/>
        </w:rPr>
        <w:t xml:space="preserve">How the program will meet the educational needs of the </w:t>
      </w:r>
      <w:proofErr w:type="gramStart"/>
      <w:r w:rsidRPr="00451EEF">
        <w:rPr>
          <w:rFonts w:eastAsia="MS Mincho"/>
          <w:bCs/>
        </w:rPr>
        <w:t>student;</w:t>
      </w:r>
      <w:proofErr w:type="gramEnd"/>
    </w:p>
    <w:p w14:paraId="0D48361E" w14:textId="77777777" w:rsidR="00D113D8" w:rsidRPr="00451EEF" w:rsidRDefault="00D113D8" w:rsidP="004F0EB4">
      <w:pPr>
        <w:numPr>
          <w:ilvl w:val="0"/>
          <w:numId w:val="3"/>
        </w:numPr>
        <w:tabs>
          <w:tab w:val="clear" w:pos="720"/>
          <w:tab w:val="num" w:pos="360"/>
          <w:tab w:val="left" w:pos="7920"/>
        </w:tabs>
        <w:ind w:left="360"/>
        <w:rPr>
          <w:rFonts w:eastAsia="MS Mincho"/>
          <w:bCs/>
        </w:rPr>
      </w:pPr>
      <w:r w:rsidRPr="00451EEF">
        <w:rPr>
          <w:rFonts w:eastAsia="MS Mincho"/>
          <w:bCs/>
        </w:rPr>
        <w:t xml:space="preserve">Graduation </w:t>
      </w:r>
      <w:proofErr w:type="gramStart"/>
      <w:r w:rsidRPr="00451EEF">
        <w:rPr>
          <w:rFonts w:eastAsia="MS Mincho"/>
          <w:bCs/>
        </w:rPr>
        <w:t>requirements;</w:t>
      </w:r>
      <w:proofErr w:type="gramEnd"/>
    </w:p>
    <w:p w14:paraId="2650E009" w14:textId="77777777" w:rsidR="00D113D8" w:rsidRPr="00451EEF" w:rsidRDefault="00D113D8" w:rsidP="004F0EB4">
      <w:pPr>
        <w:numPr>
          <w:ilvl w:val="0"/>
          <w:numId w:val="3"/>
        </w:numPr>
        <w:tabs>
          <w:tab w:val="clear" w:pos="720"/>
          <w:tab w:val="num" w:pos="360"/>
          <w:tab w:val="left" w:pos="7920"/>
        </w:tabs>
        <w:ind w:left="360"/>
        <w:rPr>
          <w:rFonts w:eastAsia="MS Mincho"/>
          <w:bCs/>
        </w:rPr>
      </w:pPr>
      <w:r w:rsidRPr="00451EEF">
        <w:rPr>
          <w:rFonts w:eastAsia="MS Mincho"/>
          <w:bCs/>
        </w:rPr>
        <w:t xml:space="preserve">Exit </w:t>
      </w:r>
      <w:proofErr w:type="gramStart"/>
      <w:r w:rsidRPr="00451EEF">
        <w:rPr>
          <w:rFonts w:eastAsia="MS Mincho"/>
          <w:bCs/>
        </w:rPr>
        <w:t>requirements;</w:t>
      </w:r>
      <w:proofErr w:type="gramEnd"/>
    </w:p>
    <w:p w14:paraId="07AF8986" w14:textId="77777777" w:rsidR="00D113D8" w:rsidRPr="00451EEF" w:rsidRDefault="00D113D8" w:rsidP="004F0EB4">
      <w:pPr>
        <w:numPr>
          <w:ilvl w:val="0"/>
          <w:numId w:val="3"/>
        </w:numPr>
        <w:tabs>
          <w:tab w:val="clear" w:pos="720"/>
          <w:tab w:val="num" w:pos="360"/>
          <w:tab w:val="left" w:pos="7920"/>
        </w:tabs>
        <w:ind w:left="360"/>
        <w:rPr>
          <w:rFonts w:eastAsia="MS Mincho"/>
          <w:bCs/>
        </w:rPr>
      </w:pPr>
      <w:r w:rsidRPr="00451EEF">
        <w:rPr>
          <w:rFonts w:eastAsia="MS Mincho"/>
          <w:bCs/>
        </w:rPr>
        <w:t>EL students and special education; and</w:t>
      </w:r>
    </w:p>
    <w:p w14:paraId="743B7B65" w14:textId="77777777" w:rsidR="00D113D8" w:rsidRPr="00451EEF" w:rsidRDefault="00D113D8" w:rsidP="004F0EB4">
      <w:pPr>
        <w:numPr>
          <w:ilvl w:val="0"/>
          <w:numId w:val="3"/>
        </w:numPr>
        <w:tabs>
          <w:tab w:val="clear" w:pos="720"/>
          <w:tab w:val="num" w:pos="360"/>
          <w:tab w:val="left" w:pos="7920"/>
        </w:tabs>
        <w:ind w:left="360"/>
        <w:rPr>
          <w:rFonts w:eastAsia="MS Mincho"/>
          <w:bCs/>
        </w:rPr>
      </w:pPr>
      <w:r w:rsidRPr="00451EEF">
        <w:rPr>
          <w:rFonts w:eastAsia="MS Mincho"/>
          <w:bCs/>
        </w:rPr>
        <w:t>Parental right to remove student from program or refuse services.</w:t>
      </w:r>
    </w:p>
    <w:p w14:paraId="28F9C7DB" w14:textId="77777777" w:rsidR="00D113D8" w:rsidRPr="00451EEF" w:rsidRDefault="00D113D8" w:rsidP="004F0EB4">
      <w:pPr>
        <w:tabs>
          <w:tab w:val="left" w:pos="7920"/>
        </w:tabs>
        <w:rPr>
          <w:rFonts w:eastAsia="MS Mincho"/>
          <w:bCs/>
        </w:rPr>
      </w:pPr>
      <w:r w:rsidRPr="00451EEF">
        <w:rPr>
          <w:rFonts w:eastAsia="MS Mincho"/>
          <w:bCs/>
          <w:color w:val="FF0000"/>
        </w:rPr>
        <w:t xml:space="preserve"> </w:t>
      </w:r>
      <w:r w:rsidR="00AF57A9" w:rsidRPr="00451EEF">
        <w:rPr>
          <w:rFonts w:eastAsia="MS Mincho"/>
          <w:bCs/>
        </w:rPr>
        <w:t>[ESSA, Section 1112 (e)(3)(A)]</w:t>
      </w:r>
    </w:p>
    <w:p w14:paraId="1174E145" w14:textId="77777777" w:rsidR="00D113D8" w:rsidRPr="00451EEF" w:rsidRDefault="00D113D8" w:rsidP="00D113D8"/>
    <w:p w14:paraId="4BF2DD32" w14:textId="77777777" w:rsidR="00D113D8" w:rsidRPr="00451EEF" w:rsidRDefault="00D113D8" w:rsidP="00EC1452">
      <w:pPr>
        <w:pStyle w:val="Heading4"/>
        <w:ind w:left="720"/>
        <w:rPr>
          <w:rFonts w:ascii="Times New Roman" w:hAnsi="Times New Roman" w:cs="Times New Roman"/>
        </w:rPr>
      </w:pPr>
      <w:r w:rsidRPr="00451EEF">
        <w:rPr>
          <w:rFonts w:ascii="Times New Roman" w:hAnsi="Times New Roman" w:cs="Times New Roman"/>
        </w:rPr>
        <w:t>Timeframe for Completion</w:t>
      </w:r>
    </w:p>
    <w:p w14:paraId="3F1CABCB" w14:textId="77777777" w:rsidR="00D113D8" w:rsidRPr="00451EEF" w:rsidRDefault="00AE53D7" w:rsidP="00EC1452">
      <w:pPr>
        <w:tabs>
          <w:tab w:val="left" w:pos="7920"/>
        </w:tabs>
        <w:ind w:left="720"/>
        <w:rPr>
          <w:rFonts w:eastAsia="MS Mincho"/>
        </w:rPr>
      </w:pPr>
      <w:r>
        <w:rPr>
          <w:lang w:val="en"/>
        </w:rPr>
        <w:t xml:space="preserve">Parents must be notified within </w:t>
      </w:r>
      <w:r w:rsidRPr="00451EEF">
        <w:rPr>
          <w:lang w:val="en"/>
        </w:rPr>
        <w:t>thirty days of enrollm</w:t>
      </w:r>
      <w:r>
        <w:rPr>
          <w:lang w:val="en"/>
        </w:rPr>
        <w:t>ent at the beginning of the school year, or within 2 weeks after the start of the school year</w:t>
      </w:r>
      <w:r w:rsidR="00D113D8" w:rsidRPr="00451EEF">
        <w:rPr>
          <w:rFonts w:eastAsia="MS Mincho"/>
        </w:rPr>
        <w:t xml:space="preserve"> </w:t>
      </w:r>
      <w:r>
        <w:rPr>
          <w:rFonts w:eastAsia="MS Mincho"/>
        </w:rPr>
        <w:t>following placement in a LIEP</w:t>
      </w:r>
      <w:r w:rsidR="00D113D8" w:rsidRPr="00451EEF">
        <w:rPr>
          <w:rFonts w:eastAsia="MS Mincho"/>
        </w:rPr>
        <w:t>.</w:t>
      </w:r>
    </w:p>
    <w:p w14:paraId="49F76269" w14:textId="7D92DD88" w:rsidR="00D113D8" w:rsidRPr="00451EEF" w:rsidRDefault="00D113D8" w:rsidP="000B6CFA">
      <w:pPr>
        <w:ind w:left="720"/>
        <w:rPr>
          <w:lang w:val="en"/>
        </w:rPr>
      </w:pPr>
      <w:r w:rsidRPr="00451EEF">
        <w:rPr>
          <w:lang w:val="en"/>
        </w:rPr>
        <w:t>The notification should be provided to parents in their nat</w:t>
      </w:r>
      <w:r w:rsidR="005E5CD6" w:rsidRPr="00451EEF">
        <w:rPr>
          <w:lang w:val="en"/>
        </w:rPr>
        <w:t xml:space="preserve">ive language or a language they </w:t>
      </w:r>
      <w:r w:rsidRPr="00451EEF">
        <w:rPr>
          <w:lang w:val="en"/>
        </w:rPr>
        <w:t>understand.</w:t>
      </w:r>
      <w:r w:rsidR="000B6CFA">
        <w:rPr>
          <w:lang w:val="en"/>
        </w:rPr>
        <w:t xml:space="preserve"> </w:t>
      </w:r>
      <w:r w:rsidR="00585DA2">
        <w:rPr>
          <w:rStyle w:val="normaltextrun"/>
          <w:color w:val="000000"/>
          <w:shd w:val="clear" w:color="auto" w:fill="FFFFFF"/>
          <w:lang w:val="en"/>
        </w:rPr>
        <w:t xml:space="preserve">See </w:t>
      </w:r>
      <w:hyperlink r:id="rId13" w:tgtFrame="_blank" w:history="1">
        <w:r w:rsidR="00585DA2" w:rsidRPr="00120078">
          <w:rPr>
            <w:rStyle w:val="Hyperlink"/>
          </w:rPr>
          <w:t xml:space="preserve">Sample Notification Letter </w:t>
        </w:r>
      </w:hyperlink>
      <w:r w:rsidR="00585DA2">
        <w:rPr>
          <w:rStyle w:val="normaltextrun"/>
          <w:color w:val="000000"/>
          <w:shd w:val="clear" w:color="auto" w:fill="FFFFFF"/>
          <w:lang w:val="en"/>
        </w:rPr>
        <w:t xml:space="preserve"> and </w:t>
      </w:r>
      <w:hyperlink r:id="rId14" w:tgtFrame="_blank" w:history="1">
        <w:r w:rsidR="00585DA2" w:rsidRPr="00585DA2">
          <w:rPr>
            <w:rStyle w:val="Hyperlink"/>
          </w:rPr>
          <w:t>Title I/III Parent Notification Requirements</w:t>
        </w:r>
      </w:hyperlink>
      <w:r w:rsidR="00585DA2">
        <w:rPr>
          <w:rStyle w:val="normaltextrun"/>
          <w:color w:val="000000"/>
          <w:shd w:val="clear" w:color="auto" w:fill="FFFFFF"/>
          <w:lang w:val="en"/>
        </w:rPr>
        <w:t> </w:t>
      </w:r>
      <w:r w:rsidR="00957FCA">
        <w:rPr>
          <w:lang w:val="en"/>
        </w:rPr>
        <w:t xml:space="preserve">under Title III Parent, Family and Community Engagement heading. </w:t>
      </w:r>
    </w:p>
    <w:p w14:paraId="328743EA" w14:textId="77777777" w:rsidR="00D113D8" w:rsidRPr="00A60F69" w:rsidRDefault="00D113D8" w:rsidP="00E35B2C">
      <w:pPr>
        <w:spacing w:line="360" w:lineRule="auto"/>
        <w:rPr>
          <w:sz w:val="22"/>
          <w:szCs w:val="22"/>
          <w:lang w:val="en"/>
        </w:rPr>
      </w:pPr>
    </w:p>
    <w:p w14:paraId="0A4545D2" w14:textId="77777777" w:rsidR="00D113D8" w:rsidRPr="00451EEF" w:rsidRDefault="00D113D8" w:rsidP="00E35B2C">
      <w:pPr>
        <w:pStyle w:val="Heading3"/>
        <w:spacing w:line="360" w:lineRule="auto"/>
        <w:rPr>
          <w:rFonts w:ascii="Times New Roman" w:hAnsi="Times New Roman" w:cs="Times New Roman"/>
          <w:sz w:val="28"/>
          <w:szCs w:val="28"/>
          <w:lang w:val="en"/>
        </w:rPr>
      </w:pPr>
      <w:r w:rsidRPr="00451EEF">
        <w:rPr>
          <w:rFonts w:ascii="Times New Roman" w:eastAsia="MS Mincho" w:hAnsi="Times New Roman" w:cs="Times New Roman"/>
          <w:sz w:val="28"/>
          <w:szCs w:val="28"/>
        </w:rPr>
        <w:lastRenderedPageBreak/>
        <w:t>Assessing the English Language Proficiency of ELs</w:t>
      </w:r>
      <w:r w:rsidR="00AF57A9" w:rsidRPr="00451EEF">
        <w:rPr>
          <w:rFonts w:ascii="Times New Roman" w:eastAsia="MS Mincho" w:hAnsi="Times New Roman" w:cs="Times New Roman"/>
          <w:sz w:val="28"/>
          <w:szCs w:val="28"/>
        </w:rPr>
        <w:t xml:space="preserve"> </w:t>
      </w:r>
    </w:p>
    <w:p w14:paraId="1E944CA7" w14:textId="3C365EEE" w:rsidR="00D113D8" w:rsidRDefault="00A4312C" w:rsidP="00D113D8">
      <w:pPr>
        <w:tabs>
          <w:tab w:val="left" w:pos="7920"/>
        </w:tabs>
        <w:rPr>
          <w:rStyle w:val="Hyperlink"/>
          <w:rFonts w:eastAsia="MS Mincho"/>
          <w:bCs/>
        </w:rPr>
      </w:pPr>
      <w:r w:rsidRPr="00451EEF">
        <w:rPr>
          <w:rFonts w:eastAsia="MS Mincho"/>
          <w:bCs/>
        </w:rPr>
        <w:t xml:space="preserve">The state-approved English language proficiency assessment in </w:t>
      </w:r>
      <w:r w:rsidR="00B03A9F">
        <w:rPr>
          <w:rFonts w:eastAsia="MS Mincho"/>
          <w:bCs/>
        </w:rPr>
        <w:t xml:space="preserve">Virginia is the ACCESS for ELLs. </w:t>
      </w:r>
      <w:r w:rsidRPr="00451EEF">
        <w:rPr>
          <w:rFonts w:eastAsia="MS Mincho"/>
          <w:bCs/>
        </w:rPr>
        <w:t>The</w:t>
      </w:r>
      <w:r w:rsidR="00B76356" w:rsidRPr="00451EEF">
        <w:rPr>
          <w:rFonts w:eastAsia="MS Mincho"/>
          <w:bCs/>
        </w:rPr>
        <w:t xml:space="preserve"> overall cut score</w:t>
      </w:r>
      <w:r w:rsidRPr="00451EEF">
        <w:rPr>
          <w:rFonts w:eastAsia="MS Mincho"/>
          <w:bCs/>
        </w:rPr>
        <w:t xml:space="preserve"> to determine EL proficiency</w:t>
      </w:r>
      <w:r w:rsidR="00B76356" w:rsidRPr="00451EEF">
        <w:rPr>
          <w:rFonts w:eastAsia="MS Mincho"/>
          <w:bCs/>
        </w:rPr>
        <w:t xml:space="preserve"> </w:t>
      </w:r>
      <w:r w:rsidRPr="00451EEF">
        <w:rPr>
          <w:rFonts w:eastAsia="MS Mincho"/>
          <w:bCs/>
        </w:rPr>
        <w:t xml:space="preserve">in Virginia </w:t>
      </w:r>
      <w:r w:rsidR="00B76356" w:rsidRPr="00451EEF">
        <w:rPr>
          <w:rFonts w:eastAsia="MS Mincho"/>
          <w:bCs/>
        </w:rPr>
        <w:t xml:space="preserve">is 4.4. </w:t>
      </w:r>
      <w:hyperlink r:id="rId15" w:history="1">
        <w:r w:rsidR="00B76356" w:rsidRPr="00451EEF">
          <w:rPr>
            <w:rStyle w:val="Hyperlink"/>
            <w:rFonts w:eastAsia="MS Mincho"/>
            <w:bCs/>
          </w:rPr>
          <w:t>Superintendent’s Memo #168-17</w:t>
        </w:r>
      </w:hyperlink>
    </w:p>
    <w:p w14:paraId="0CE4AC8D" w14:textId="77777777" w:rsidR="002E60FE" w:rsidRPr="00451EEF" w:rsidRDefault="002E60FE" w:rsidP="00D113D8">
      <w:pPr>
        <w:tabs>
          <w:tab w:val="left" w:pos="7920"/>
        </w:tabs>
        <w:rPr>
          <w:rFonts w:eastAsia="MS Mincho"/>
          <w:bCs/>
        </w:rPr>
      </w:pPr>
    </w:p>
    <w:p w14:paraId="3A4D6175" w14:textId="50DADD99" w:rsidR="00B76356" w:rsidRDefault="00D113D8" w:rsidP="00B862EE">
      <w:pPr>
        <w:tabs>
          <w:tab w:val="left" w:pos="7920"/>
        </w:tabs>
        <w:rPr>
          <w:rFonts w:eastAsia="MS Mincho"/>
          <w:bCs/>
        </w:rPr>
      </w:pPr>
      <w:r w:rsidRPr="00451EEF">
        <w:rPr>
          <w:rFonts w:eastAsia="MS Mincho"/>
          <w:bCs/>
        </w:rPr>
        <w:t>The Division Director of Testing (DDOT) will notify division personnel of the state-app</w:t>
      </w:r>
      <w:r w:rsidR="00B76356" w:rsidRPr="00451EEF">
        <w:rPr>
          <w:rFonts w:eastAsia="MS Mincho"/>
          <w:bCs/>
        </w:rPr>
        <w:t>roved division-testing window</w:t>
      </w:r>
      <w:r w:rsidR="00E851C5">
        <w:rPr>
          <w:rFonts w:eastAsia="MS Mincho"/>
          <w:bCs/>
        </w:rPr>
        <w:t>.</w:t>
      </w:r>
    </w:p>
    <w:p w14:paraId="77741AD5" w14:textId="77777777" w:rsidR="002E60FE" w:rsidRPr="00451EEF" w:rsidRDefault="002E60FE" w:rsidP="00B862EE">
      <w:pPr>
        <w:tabs>
          <w:tab w:val="left" w:pos="7920"/>
        </w:tabs>
        <w:rPr>
          <w:rFonts w:eastAsia="MS Mincho"/>
          <w:bCs/>
        </w:rPr>
      </w:pPr>
    </w:p>
    <w:p w14:paraId="45A0A796" w14:textId="22B107CE" w:rsidR="006D2558" w:rsidRPr="00AF3211" w:rsidRDefault="006D2558" w:rsidP="004743E0">
      <w:pPr>
        <w:tabs>
          <w:tab w:val="left" w:pos="7920"/>
        </w:tabs>
        <w:rPr>
          <w:rFonts w:eastAsia="MS Mincho"/>
          <w:bCs/>
        </w:rPr>
      </w:pPr>
      <w:r w:rsidRPr="002E60FE">
        <w:rPr>
          <w:rFonts w:eastAsia="MS Mincho"/>
          <w:bCs/>
        </w:rPr>
        <w:t>Information on English Learner participation in state assessments can be found</w:t>
      </w:r>
      <w:r w:rsidR="004743E0" w:rsidRPr="002E60FE">
        <w:rPr>
          <w:rFonts w:eastAsia="MS Mincho"/>
          <w:bCs/>
        </w:rPr>
        <w:t xml:space="preserve"> in the</w:t>
      </w:r>
      <w:r w:rsidRPr="002E60FE">
        <w:rPr>
          <w:rFonts w:eastAsia="MS Mincho"/>
          <w:bCs/>
        </w:rPr>
        <w:t xml:space="preserve"> </w:t>
      </w:r>
      <w:hyperlink r:id="rId16" w:history="1">
        <w:r w:rsidR="004743E0" w:rsidRPr="002E60FE">
          <w:rPr>
            <w:rStyle w:val="Hyperlink"/>
          </w:rPr>
          <w:t>Procedures for Determining English Learner Participation in the Virginia Assessment Program</w:t>
        </w:r>
      </w:hyperlink>
      <w:r w:rsidR="004743E0" w:rsidRPr="002E60FE">
        <w:t xml:space="preserve"> </w:t>
      </w:r>
      <w:r w:rsidR="00AF57A9" w:rsidRPr="002E60FE">
        <w:rPr>
          <w:rFonts w:eastAsia="MS Mincho"/>
          <w:bCs/>
        </w:rPr>
        <w:t>[ESSA, Section 1111(b)(2)(G)]</w:t>
      </w:r>
    </w:p>
    <w:p w14:paraId="3F49F66A" w14:textId="77777777" w:rsidR="000652C4" w:rsidRPr="00AF3211" w:rsidRDefault="000652C4" w:rsidP="000B6CFA">
      <w:pPr>
        <w:pStyle w:val="Heading4"/>
        <w:spacing w:before="120"/>
        <w:ind w:left="720"/>
        <w:rPr>
          <w:rFonts w:ascii="Times New Roman" w:eastAsia="MS Mincho" w:hAnsi="Times New Roman" w:cs="Times New Roman"/>
          <w:bCs/>
        </w:rPr>
      </w:pPr>
      <w:r w:rsidRPr="00AF3211">
        <w:rPr>
          <w:rFonts w:ascii="Times New Roman" w:hAnsi="Times New Roman" w:cs="Times New Roman"/>
        </w:rPr>
        <w:t>Timeframe for Completion</w:t>
      </w:r>
    </w:p>
    <w:p w14:paraId="137F20F2" w14:textId="77777777" w:rsidR="000B6CFA" w:rsidRPr="000B6CFA" w:rsidRDefault="004A68E2" w:rsidP="000B6CFA">
      <w:pPr>
        <w:tabs>
          <w:tab w:val="left" w:pos="7920"/>
        </w:tabs>
        <w:spacing w:line="360" w:lineRule="auto"/>
        <w:ind w:left="720"/>
        <w:rPr>
          <w:rFonts w:eastAsia="MS Mincho"/>
        </w:rPr>
      </w:pPr>
      <w:r w:rsidRPr="00AF3211">
        <w:rPr>
          <w:rFonts w:eastAsia="MS Mincho"/>
        </w:rPr>
        <w:t xml:space="preserve">January through March </w:t>
      </w:r>
      <w:r w:rsidR="000652C4" w:rsidRPr="00AF3211">
        <w:rPr>
          <w:rFonts w:eastAsia="MS Mincho"/>
        </w:rPr>
        <w:t>(state-</w:t>
      </w:r>
      <w:r w:rsidR="000652C4" w:rsidRPr="00FD0286">
        <w:rPr>
          <w:rFonts w:eastAsia="MS Mincho"/>
        </w:rPr>
        <w:t>approved testing window)</w:t>
      </w:r>
      <w:r w:rsidR="000652C4" w:rsidRPr="00451EEF">
        <w:rPr>
          <w:rFonts w:eastAsia="MS Mincho"/>
        </w:rPr>
        <w:t xml:space="preserve"> </w:t>
      </w:r>
    </w:p>
    <w:p w14:paraId="0F1F8EA0" w14:textId="77777777" w:rsidR="00A4312C" w:rsidRPr="00451EEF" w:rsidRDefault="00A4312C" w:rsidP="000B4DB6">
      <w:pPr>
        <w:pStyle w:val="Heading3"/>
        <w:rPr>
          <w:rFonts w:ascii="Times New Roman" w:eastAsia="MS Mincho" w:hAnsi="Times New Roman" w:cs="Times New Roman"/>
          <w:sz w:val="28"/>
          <w:szCs w:val="28"/>
        </w:rPr>
      </w:pPr>
      <w:r w:rsidRPr="00451EEF">
        <w:rPr>
          <w:rFonts w:ascii="Times New Roman" w:eastAsia="MS Mincho" w:hAnsi="Times New Roman" w:cs="Times New Roman"/>
          <w:sz w:val="28"/>
          <w:szCs w:val="28"/>
        </w:rPr>
        <w:t xml:space="preserve">State Federal Program Monitoring </w:t>
      </w:r>
    </w:p>
    <w:p w14:paraId="48AF5822" w14:textId="77777777" w:rsidR="000B4DB6" w:rsidRPr="00A60F69" w:rsidRDefault="000B4DB6" w:rsidP="000B4DB6">
      <w:pPr>
        <w:rPr>
          <w:rFonts w:eastAsia="MS Mincho"/>
        </w:rPr>
      </w:pPr>
    </w:p>
    <w:p w14:paraId="09D4D92F" w14:textId="5D210C2E" w:rsidR="000B6CFA" w:rsidRDefault="00FC180D" w:rsidP="000B6CFA">
      <w:pPr>
        <w:spacing w:line="276" w:lineRule="auto"/>
        <w:contextualSpacing/>
      </w:pPr>
      <w:r w:rsidRPr="00451EEF">
        <w:rPr>
          <w:rFonts w:eastAsia="Tahoma"/>
          <w:bCs/>
          <w:color w:val="000000" w:themeColor="text1"/>
          <w:kern w:val="24"/>
        </w:rPr>
        <w:t xml:space="preserve">All federal programs out of the Office of </w:t>
      </w:r>
      <w:r w:rsidR="004743E0">
        <w:rPr>
          <w:rFonts w:eastAsia="Tahoma"/>
          <w:bCs/>
          <w:color w:val="000000" w:themeColor="text1"/>
          <w:kern w:val="24"/>
        </w:rPr>
        <w:t xml:space="preserve">ESEA </w:t>
      </w:r>
      <w:r w:rsidRPr="00451EEF">
        <w:rPr>
          <w:rFonts w:eastAsia="Tahoma"/>
          <w:bCs/>
          <w:color w:val="000000" w:themeColor="text1"/>
          <w:kern w:val="24"/>
        </w:rPr>
        <w:t>Program</w:t>
      </w:r>
      <w:r w:rsidR="004743E0">
        <w:rPr>
          <w:rFonts w:eastAsia="Tahoma"/>
          <w:bCs/>
          <w:color w:val="000000" w:themeColor="text1"/>
          <w:kern w:val="24"/>
        </w:rPr>
        <w:t>s</w:t>
      </w:r>
      <w:r w:rsidRPr="00451EEF">
        <w:rPr>
          <w:rFonts w:eastAsia="Tahoma"/>
          <w:bCs/>
          <w:color w:val="000000" w:themeColor="text1"/>
          <w:kern w:val="24"/>
        </w:rPr>
        <w:t xml:space="preserve"> </w:t>
      </w:r>
      <w:r w:rsidR="004743E0">
        <w:rPr>
          <w:rFonts w:eastAsia="Tahoma"/>
          <w:bCs/>
          <w:color w:val="000000" w:themeColor="text1"/>
          <w:kern w:val="24"/>
        </w:rPr>
        <w:t>are monitored on a 5</w:t>
      </w:r>
      <w:r w:rsidRPr="00451EEF">
        <w:rPr>
          <w:rFonts w:eastAsia="Tahoma"/>
          <w:bCs/>
          <w:color w:val="000000" w:themeColor="text1"/>
          <w:kern w:val="24"/>
        </w:rPr>
        <w:t>-year schedule.</w:t>
      </w:r>
      <w:r w:rsidR="004743E0">
        <w:rPr>
          <w:rFonts w:eastAsia="Tahoma"/>
          <w:bCs/>
          <w:color w:val="000000" w:themeColor="text1"/>
          <w:kern w:val="24"/>
        </w:rPr>
        <w:t xml:space="preserve"> See the FPM Five-Year-Schedule 2020-2024 in</w:t>
      </w:r>
      <w:r w:rsidR="00732B06">
        <w:rPr>
          <w:rFonts w:eastAsia="Tahoma"/>
          <w:bCs/>
          <w:color w:val="000000" w:themeColor="text1"/>
          <w:kern w:val="24"/>
        </w:rPr>
        <w:t xml:space="preserve"> </w:t>
      </w:r>
      <w:hyperlink r:id="rId17" w:history="1">
        <w:r w:rsidR="004743E0" w:rsidRPr="00E24C2A">
          <w:rPr>
            <w:rStyle w:val="Hyperlink"/>
            <w:rFonts w:eastAsia="MS Mincho"/>
            <w:bCs/>
          </w:rPr>
          <w:t>Superintendent’s</w:t>
        </w:r>
        <w:r w:rsidR="000B4DB6" w:rsidRPr="00E24C2A">
          <w:rPr>
            <w:rStyle w:val="Hyperlink"/>
            <w:rFonts w:eastAsia="MS Mincho"/>
            <w:bCs/>
          </w:rPr>
          <w:t xml:space="preserve"> Memo </w:t>
        </w:r>
        <w:r w:rsidR="004743E0" w:rsidRPr="00E24C2A">
          <w:rPr>
            <w:rStyle w:val="Hyperlink"/>
            <w:rFonts w:eastAsia="MS Mincho"/>
            <w:bCs/>
          </w:rPr>
          <w:t>288-20</w:t>
        </w:r>
      </w:hyperlink>
    </w:p>
    <w:p w14:paraId="459CA8D4" w14:textId="77777777" w:rsidR="000B4DB6" w:rsidRPr="00451EEF" w:rsidRDefault="000B4DB6" w:rsidP="000B4DB6">
      <w:pPr>
        <w:pStyle w:val="Heading4"/>
        <w:spacing w:before="120"/>
        <w:ind w:left="720"/>
        <w:rPr>
          <w:rFonts w:ascii="Times New Roman" w:hAnsi="Times New Roman" w:cs="Times New Roman"/>
        </w:rPr>
      </w:pPr>
      <w:r w:rsidRPr="00451EEF">
        <w:rPr>
          <w:rFonts w:ascii="Times New Roman" w:hAnsi="Times New Roman" w:cs="Times New Roman"/>
        </w:rPr>
        <w:t>Timeframe for Completion</w:t>
      </w:r>
    </w:p>
    <w:p w14:paraId="2605B52B" w14:textId="77777777" w:rsidR="000B4DB6" w:rsidRPr="00451EEF" w:rsidRDefault="004743E0" w:rsidP="00ED4BC9">
      <w:pPr>
        <w:spacing w:line="480" w:lineRule="auto"/>
        <w:ind w:firstLine="720"/>
        <w:rPr>
          <w:rFonts w:eastAsia="MS Mincho"/>
        </w:rPr>
      </w:pPr>
      <w:r>
        <w:rPr>
          <w:rFonts w:eastAsia="MS Mincho"/>
        </w:rPr>
        <w:t>Every five</w:t>
      </w:r>
      <w:r w:rsidR="000B4DB6" w:rsidRPr="00451EEF">
        <w:rPr>
          <w:rFonts w:eastAsia="MS Mincho"/>
        </w:rPr>
        <w:t xml:space="preserve"> years</w:t>
      </w:r>
    </w:p>
    <w:p w14:paraId="4403F887" w14:textId="77777777" w:rsidR="00200ED5" w:rsidRPr="00451EEF" w:rsidRDefault="00834299" w:rsidP="00ED4BC9">
      <w:pPr>
        <w:pStyle w:val="Heading3"/>
        <w:spacing w:line="360" w:lineRule="auto"/>
        <w:rPr>
          <w:rFonts w:ascii="Times New Roman" w:eastAsia="MS Mincho" w:hAnsi="Times New Roman" w:cs="Times New Roman"/>
          <w:bCs/>
          <w:sz w:val="28"/>
          <w:szCs w:val="28"/>
        </w:rPr>
      </w:pPr>
      <w:r w:rsidRPr="00451EEF">
        <w:rPr>
          <w:rFonts w:ascii="Times New Roman" w:eastAsia="MS Mincho" w:hAnsi="Times New Roman" w:cs="Times New Roman"/>
          <w:sz w:val="28"/>
          <w:szCs w:val="28"/>
        </w:rPr>
        <w:t xml:space="preserve">Title III </w:t>
      </w:r>
      <w:r w:rsidR="00200ED5" w:rsidRPr="00451EEF">
        <w:rPr>
          <w:rFonts w:ascii="Times New Roman" w:eastAsia="MS Mincho" w:hAnsi="Times New Roman" w:cs="Times New Roman"/>
          <w:sz w:val="28"/>
          <w:szCs w:val="28"/>
        </w:rPr>
        <w:t xml:space="preserve">Funding </w:t>
      </w:r>
    </w:p>
    <w:p w14:paraId="67623EF0" w14:textId="77777777" w:rsidR="00834299" w:rsidRPr="00451EEF" w:rsidRDefault="00834299" w:rsidP="00451EEF">
      <w:pPr>
        <w:tabs>
          <w:tab w:val="left" w:pos="7920"/>
        </w:tabs>
        <w:rPr>
          <w:rFonts w:eastAsia="MS Mincho"/>
          <w:bCs/>
        </w:rPr>
      </w:pPr>
      <w:r w:rsidRPr="00451EEF">
        <w:rPr>
          <w:rFonts w:eastAsia="MS Mincho"/>
          <w:bCs/>
        </w:rPr>
        <w:t>Apply for Title III grant funding.  School divisions may qualify for two types of funding under Title III:</w:t>
      </w:r>
    </w:p>
    <w:p w14:paraId="3F156C9B" w14:textId="77777777" w:rsidR="00834299" w:rsidRPr="00451EEF" w:rsidRDefault="00834299" w:rsidP="00834299">
      <w:pPr>
        <w:pStyle w:val="ListParagraph"/>
        <w:numPr>
          <w:ilvl w:val="0"/>
          <w:numId w:val="5"/>
        </w:numPr>
        <w:tabs>
          <w:tab w:val="left" w:pos="7920"/>
        </w:tabs>
        <w:rPr>
          <w:rFonts w:eastAsia="MS Mincho"/>
          <w:bCs/>
        </w:rPr>
      </w:pPr>
      <w:r w:rsidRPr="00451EEF">
        <w:rPr>
          <w:rFonts w:eastAsia="MS Mincho"/>
          <w:bCs/>
        </w:rPr>
        <w:t>EL subgrants; and/or</w:t>
      </w:r>
    </w:p>
    <w:p w14:paraId="33F453F8" w14:textId="6E7189C2" w:rsidR="00834299" w:rsidRPr="00E851C5" w:rsidRDefault="00834299" w:rsidP="00834299">
      <w:pPr>
        <w:pStyle w:val="ListParagraph"/>
        <w:numPr>
          <w:ilvl w:val="0"/>
          <w:numId w:val="5"/>
        </w:numPr>
        <w:tabs>
          <w:tab w:val="left" w:pos="7920"/>
        </w:tabs>
        <w:rPr>
          <w:rFonts w:eastAsia="MS Mincho"/>
          <w:bCs/>
        </w:rPr>
      </w:pPr>
      <w:r w:rsidRPr="00451EEF">
        <w:rPr>
          <w:rFonts w:eastAsia="MS Mincho"/>
          <w:bCs/>
        </w:rPr>
        <w:t>Immigrant</w:t>
      </w:r>
      <w:r w:rsidR="00667D58">
        <w:rPr>
          <w:rFonts w:eastAsia="MS Mincho"/>
          <w:bCs/>
        </w:rPr>
        <w:t xml:space="preserve"> Children</w:t>
      </w:r>
      <w:r w:rsidRPr="00451EEF">
        <w:rPr>
          <w:rFonts w:eastAsia="MS Mincho"/>
          <w:bCs/>
        </w:rPr>
        <w:t xml:space="preserve"> and Youth (IY) subgrants. </w:t>
      </w:r>
      <w:hyperlink r:id="rId18" w:history="1">
        <w:r w:rsidRPr="00E851C5">
          <w:rPr>
            <w:rStyle w:val="Hyperlink"/>
            <w:rFonts w:eastAsia="MS Mincho"/>
            <w:bCs/>
          </w:rPr>
          <w:t>Superintendent’s Memo #179-17</w:t>
        </w:r>
      </w:hyperlink>
    </w:p>
    <w:p w14:paraId="3F462CE2" w14:textId="77777777" w:rsidR="00834299" w:rsidRPr="00451EEF" w:rsidRDefault="00834299" w:rsidP="00834299">
      <w:pPr>
        <w:tabs>
          <w:tab w:val="left" w:pos="7920"/>
        </w:tabs>
        <w:rPr>
          <w:rFonts w:eastAsia="MS Mincho"/>
          <w:bCs/>
        </w:rPr>
      </w:pPr>
    </w:p>
    <w:p w14:paraId="0234A123" w14:textId="77777777" w:rsidR="00585DA2" w:rsidRDefault="000652C4" w:rsidP="000652C4">
      <w:pPr>
        <w:tabs>
          <w:tab w:val="left" w:pos="7920"/>
        </w:tabs>
        <w:rPr>
          <w:rFonts w:eastAsia="MS Mincho"/>
          <w:bCs/>
        </w:rPr>
      </w:pPr>
      <w:r w:rsidRPr="00451EEF">
        <w:rPr>
          <w:rFonts w:eastAsia="MS Mincho"/>
          <w:bCs/>
        </w:rPr>
        <w:t xml:space="preserve">Divisions must receive $10,000 to apply for EL funds. School divisions that receive less than $10,000 must </w:t>
      </w:r>
      <w:proofErr w:type="gramStart"/>
      <w:r w:rsidRPr="00451EEF">
        <w:rPr>
          <w:rFonts w:eastAsia="MS Mincho"/>
          <w:bCs/>
        </w:rPr>
        <w:t>enter into</w:t>
      </w:r>
      <w:proofErr w:type="gramEnd"/>
      <w:r w:rsidRPr="00451EEF">
        <w:rPr>
          <w:rFonts w:eastAsia="MS Mincho"/>
          <w:bCs/>
        </w:rPr>
        <w:t xml:space="preserve"> a consortium to receive funds. </w:t>
      </w:r>
    </w:p>
    <w:p w14:paraId="381676AF" w14:textId="77777777" w:rsidR="000652C4" w:rsidRPr="00451EEF" w:rsidRDefault="000652C4" w:rsidP="000652C4">
      <w:pPr>
        <w:tabs>
          <w:tab w:val="left" w:pos="7920"/>
        </w:tabs>
        <w:rPr>
          <w:rFonts w:eastAsia="MS Mincho"/>
          <w:bCs/>
        </w:rPr>
      </w:pPr>
      <w:r w:rsidRPr="00451EEF">
        <w:rPr>
          <w:rFonts w:eastAsia="MS Mincho"/>
          <w:bCs/>
        </w:rPr>
        <w:t>Funds must be used for</w:t>
      </w:r>
      <w:r w:rsidR="00B76356" w:rsidRPr="00451EEF">
        <w:rPr>
          <w:rFonts w:eastAsia="MS Mincho"/>
          <w:bCs/>
        </w:rPr>
        <w:t xml:space="preserve"> supplemental</w:t>
      </w:r>
      <w:r w:rsidRPr="00451EEF">
        <w:rPr>
          <w:rFonts w:eastAsia="MS Mincho"/>
          <w:bCs/>
        </w:rPr>
        <w:t>:</w:t>
      </w:r>
    </w:p>
    <w:p w14:paraId="50D3EF8B" w14:textId="77777777" w:rsidR="000652C4" w:rsidRPr="00451EEF" w:rsidRDefault="00B76356" w:rsidP="00834299">
      <w:pPr>
        <w:pStyle w:val="ListParagraph"/>
        <w:numPr>
          <w:ilvl w:val="0"/>
          <w:numId w:val="6"/>
        </w:numPr>
        <w:tabs>
          <w:tab w:val="left" w:pos="7920"/>
        </w:tabs>
        <w:rPr>
          <w:rFonts w:eastAsia="MS Mincho"/>
          <w:bCs/>
        </w:rPr>
      </w:pPr>
      <w:r w:rsidRPr="00451EEF">
        <w:rPr>
          <w:rFonts w:eastAsia="MS Mincho"/>
          <w:bCs/>
        </w:rPr>
        <w:t>Language instruction educational p</w:t>
      </w:r>
      <w:r w:rsidR="000652C4" w:rsidRPr="00451EEF">
        <w:rPr>
          <w:rFonts w:eastAsia="MS Mincho"/>
          <w:bCs/>
        </w:rPr>
        <w:t xml:space="preserve">rograms that increase English language proficiency and student achievement in academic </w:t>
      </w:r>
      <w:proofErr w:type="gramStart"/>
      <w:r w:rsidR="000652C4" w:rsidRPr="00451EEF">
        <w:rPr>
          <w:rFonts w:eastAsia="MS Mincho"/>
          <w:bCs/>
        </w:rPr>
        <w:t>classes;</w:t>
      </w:r>
      <w:proofErr w:type="gramEnd"/>
    </w:p>
    <w:p w14:paraId="6D997B6A" w14:textId="77777777" w:rsidR="000652C4" w:rsidRPr="00451EEF" w:rsidRDefault="000652C4" w:rsidP="00834299">
      <w:pPr>
        <w:pStyle w:val="ListParagraph"/>
        <w:numPr>
          <w:ilvl w:val="0"/>
          <w:numId w:val="6"/>
        </w:numPr>
        <w:tabs>
          <w:tab w:val="left" w:pos="7920"/>
        </w:tabs>
        <w:rPr>
          <w:rFonts w:eastAsia="MS Mincho"/>
          <w:bCs/>
        </w:rPr>
      </w:pPr>
      <w:r w:rsidRPr="00451EEF">
        <w:rPr>
          <w:rFonts w:eastAsia="MS Mincho"/>
          <w:bCs/>
        </w:rPr>
        <w:t>Providing effective professional development to classroom teachers, principals, administrators, and other school personnel; and</w:t>
      </w:r>
    </w:p>
    <w:p w14:paraId="34207C22" w14:textId="77777777" w:rsidR="000652C4" w:rsidRPr="00451EEF" w:rsidRDefault="000652C4" w:rsidP="00834299">
      <w:pPr>
        <w:pStyle w:val="ListParagraph"/>
        <w:numPr>
          <w:ilvl w:val="0"/>
          <w:numId w:val="6"/>
        </w:numPr>
        <w:tabs>
          <w:tab w:val="left" w:pos="7920"/>
        </w:tabs>
        <w:rPr>
          <w:rFonts w:eastAsia="MS Mincho"/>
          <w:bCs/>
        </w:rPr>
      </w:pPr>
      <w:r w:rsidRPr="00451EEF">
        <w:rPr>
          <w:rFonts w:eastAsia="MS Mincho"/>
          <w:bCs/>
        </w:rPr>
        <w:t xml:space="preserve">Parent, </w:t>
      </w:r>
      <w:proofErr w:type="gramStart"/>
      <w:r w:rsidRPr="00451EEF">
        <w:rPr>
          <w:rFonts w:eastAsia="MS Mincho"/>
          <w:bCs/>
        </w:rPr>
        <w:t>family</w:t>
      </w:r>
      <w:proofErr w:type="gramEnd"/>
      <w:r w:rsidRPr="00451EEF">
        <w:rPr>
          <w:rFonts w:eastAsia="MS Mincho"/>
          <w:bCs/>
        </w:rPr>
        <w:t xml:space="preserve"> and community engagement activities</w:t>
      </w:r>
    </w:p>
    <w:p w14:paraId="5D46EA1C" w14:textId="77777777" w:rsidR="00200ED5" w:rsidRPr="00451EEF" w:rsidRDefault="000652C4" w:rsidP="000B6CFA">
      <w:pPr>
        <w:tabs>
          <w:tab w:val="left" w:pos="7920"/>
        </w:tabs>
        <w:spacing w:line="360" w:lineRule="auto"/>
        <w:rPr>
          <w:rFonts w:eastAsia="MS Mincho"/>
        </w:rPr>
      </w:pPr>
      <w:r w:rsidRPr="00451EEF">
        <w:rPr>
          <w:rFonts w:eastAsia="MS Mincho"/>
          <w:bCs/>
          <w:color w:val="FF0000"/>
        </w:rPr>
        <w:t xml:space="preserve"> </w:t>
      </w:r>
      <w:r w:rsidRPr="00451EEF">
        <w:rPr>
          <w:rFonts w:eastAsia="MS Mincho"/>
          <w:bCs/>
        </w:rPr>
        <w:t>[ESSA, Sections 3115(c</w:t>
      </w:r>
      <w:proofErr w:type="gramStart"/>
      <w:r w:rsidRPr="00451EEF">
        <w:rPr>
          <w:rFonts w:eastAsia="MS Mincho"/>
          <w:bCs/>
        </w:rPr>
        <w:t>)(</w:t>
      </w:r>
      <w:proofErr w:type="gramEnd"/>
      <w:r w:rsidRPr="00451EEF">
        <w:rPr>
          <w:rFonts w:eastAsia="MS Mincho"/>
          <w:bCs/>
        </w:rPr>
        <w:t>1-3)]</w:t>
      </w:r>
      <w:r w:rsidR="00200ED5" w:rsidRPr="00451EEF">
        <w:rPr>
          <w:rFonts w:eastAsia="MS Mincho"/>
        </w:rPr>
        <w:t xml:space="preserve"> </w:t>
      </w:r>
    </w:p>
    <w:p w14:paraId="04901223" w14:textId="77777777" w:rsidR="00200ED5" w:rsidRPr="00AF3211" w:rsidRDefault="00200ED5" w:rsidP="000B6CFA">
      <w:pPr>
        <w:pStyle w:val="Heading4"/>
        <w:spacing w:line="276" w:lineRule="auto"/>
        <w:ind w:firstLine="720"/>
        <w:rPr>
          <w:rFonts w:ascii="Times New Roman" w:hAnsi="Times New Roman" w:cs="Times New Roman"/>
        </w:rPr>
      </w:pPr>
      <w:r w:rsidRPr="00AF3211">
        <w:rPr>
          <w:rFonts w:ascii="Times New Roman" w:hAnsi="Times New Roman" w:cs="Times New Roman"/>
        </w:rPr>
        <w:t>Timeframe for Completion</w:t>
      </w:r>
    </w:p>
    <w:p w14:paraId="261473A7" w14:textId="77777777" w:rsidR="00290099" w:rsidRPr="00AF3211" w:rsidRDefault="00290099" w:rsidP="00EC1452">
      <w:pPr>
        <w:tabs>
          <w:tab w:val="left" w:pos="7920"/>
        </w:tabs>
        <w:ind w:left="720"/>
        <w:rPr>
          <w:rFonts w:eastAsia="MS Mincho"/>
        </w:rPr>
      </w:pPr>
      <w:r w:rsidRPr="00AF3211">
        <w:rPr>
          <w:rFonts w:eastAsia="MS Mincho"/>
        </w:rPr>
        <w:t xml:space="preserve">Deadline to submit Title III federal application: </w:t>
      </w:r>
      <w:r w:rsidRPr="00AF3211">
        <w:rPr>
          <w:rFonts w:eastAsia="MS Mincho"/>
          <w:bCs/>
        </w:rPr>
        <w:t>July 1</w:t>
      </w:r>
    </w:p>
    <w:p w14:paraId="79A58436" w14:textId="2F614A31" w:rsidR="000652C4" w:rsidRPr="00451EEF" w:rsidRDefault="00B862EE" w:rsidP="0088056E">
      <w:pPr>
        <w:tabs>
          <w:tab w:val="left" w:pos="7920"/>
        </w:tabs>
        <w:ind w:left="720"/>
        <w:rPr>
          <w:rFonts w:eastAsia="MS Mincho"/>
        </w:rPr>
      </w:pPr>
      <w:r w:rsidRPr="00AF3211">
        <w:rPr>
          <w:rFonts w:eastAsia="MS Mincho"/>
        </w:rPr>
        <w:t>Superintendent’s M</w:t>
      </w:r>
      <w:r w:rsidR="00200ED5" w:rsidRPr="00AF3211">
        <w:rPr>
          <w:rFonts w:eastAsia="MS Mincho"/>
        </w:rPr>
        <w:t>emo</w:t>
      </w:r>
      <w:r w:rsidR="00E851C5" w:rsidRPr="00AF3211">
        <w:rPr>
          <w:rFonts w:eastAsia="MS Mincho"/>
        </w:rPr>
        <w:t>s</w:t>
      </w:r>
      <w:r w:rsidR="00200ED5" w:rsidRPr="00AF3211">
        <w:rPr>
          <w:rFonts w:eastAsia="MS Mincho"/>
        </w:rPr>
        <w:t xml:space="preserve"> announcing federal </w:t>
      </w:r>
      <w:r w:rsidR="00290099" w:rsidRPr="00AF3211">
        <w:rPr>
          <w:rFonts w:eastAsia="MS Mincho"/>
        </w:rPr>
        <w:t>allocations</w:t>
      </w:r>
      <w:r w:rsidR="00E851C5" w:rsidRPr="00AF3211">
        <w:rPr>
          <w:rFonts w:eastAsia="MS Mincho"/>
        </w:rPr>
        <w:t xml:space="preserve"> and reallocations can be located under </w:t>
      </w:r>
      <w:hyperlink r:id="rId19" w:anchor=":~:text=Title%20III%20Allocations%20%2D%20Over,2021%20Reimbursement%20Form%20(XLS)" w:history="1">
        <w:r w:rsidR="00E851C5" w:rsidRPr="00AF3211">
          <w:rPr>
            <w:rStyle w:val="Hyperlink"/>
            <w:rFonts w:eastAsia="MS Mincho"/>
          </w:rPr>
          <w:t>Title III Allocations</w:t>
        </w:r>
      </w:hyperlink>
      <w:r w:rsidR="0088056E" w:rsidRPr="00AF3211">
        <w:rPr>
          <w:rFonts w:eastAsia="MS Mincho"/>
        </w:rPr>
        <w:t>.</w:t>
      </w:r>
      <w:r w:rsidR="00620E16" w:rsidRPr="00AF3211">
        <w:rPr>
          <w:rFonts w:eastAsia="MS Mincho"/>
        </w:rPr>
        <w:t xml:space="preserve"> </w:t>
      </w:r>
    </w:p>
    <w:p w14:paraId="5DCE14CF" w14:textId="77777777" w:rsidR="000028ED" w:rsidRPr="00451EEF" w:rsidRDefault="00200ED5" w:rsidP="00E35B2C">
      <w:pPr>
        <w:pStyle w:val="Heading3"/>
        <w:spacing w:before="120" w:line="360" w:lineRule="auto"/>
        <w:rPr>
          <w:rFonts w:ascii="Times New Roman" w:eastAsia="MS Mincho" w:hAnsi="Times New Roman" w:cs="Times New Roman"/>
          <w:color w:val="auto"/>
          <w:sz w:val="22"/>
          <w:szCs w:val="22"/>
        </w:rPr>
      </w:pPr>
      <w:r w:rsidRPr="00451EEF">
        <w:rPr>
          <w:rFonts w:ascii="Times New Roman" w:eastAsia="MS Mincho" w:hAnsi="Times New Roman" w:cs="Times New Roman"/>
          <w:sz w:val="28"/>
          <w:szCs w:val="28"/>
        </w:rPr>
        <w:lastRenderedPageBreak/>
        <w:t>Accountability</w:t>
      </w:r>
      <w:r w:rsidR="000028ED" w:rsidRPr="00451EEF">
        <w:rPr>
          <w:rFonts w:ascii="Times New Roman" w:eastAsia="MS Mincho" w:hAnsi="Times New Roman" w:cs="Times New Roman"/>
          <w:sz w:val="28"/>
          <w:szCs w:val="28"/>
        </w:rPr>
        <w:t xml:space="preserve"> through Monitoring</w:t>
      </w:r>
      <w:r w:rsidR="00E35B2C" w:rsidRPr="00451EEF">
        <w:rPr>
          <w:rFonts w:ascii="Times New Roman" w:eastAsia="MS Mincho" w:hAnsi="Times New Roman" w:cs="Times New Roman"/>
          <w:sz w:val="28"/>
          <w:szCs w:val="28"/>
        </w:rPr>
        <w:t xml:space="preserve"> Former ELs</w:t>
      </w:r>
      <w:r w:rsidRPr="00451EEF">
        <w:rPr>
          <w:rFonts w:ascii="Times New Roman" w:eastAsia="MS Mincho" w:hAnsi="Times New Roman" w:cs="Times New Roman"/>
          <w:color w:val="auto"/>
          <w:sz w:val="22"/>
          <w:szCs w:val="22"/>
        </w:rPr>
        <w:t xml:space="preserve"> </w:t>
      </w:r>
    </w:p>
    <w:p w14:paraId="46013984" w14:textId="77777777" w:rsidR="000028ED" w:rsidRPr="00451EEF" w:rsidRDefault="000028ED" w:rsidP="000028ED">
      <w:pPr>
        <w:rPr>
          <w:rFonts w:eastAsia="MS Mincho"/>
        </w:rPr>
      </w:pPr>
      <w:r w:rsidRPr="00451EEF">
        <w:rPr>
          <w:rFonts w:eastAsia="MS Mincho"/>
        </w:rPr>
        <w:t xml:space="preserve">Students </w:t>
      </w:r>
      <w:r w:rsidR="00667D58">
        <w:rPr>
          <w:rFonts w:eastAsia="MS Mincho"/>
        </w:rPr>
        <w:t>classified</w:t>
      </w:r>
      <w:r w:rsidRPr="00451EEF">
        <w:rPr>
          <w:rFonts w:eastAsia="MS Mincho"/>
        </w:rPr>
        <w:t xml:space="preserve"> as former</w:t>
      </w:r>
      <w:r w:rsidR="00667D58">
        <w:rPr>
          <w:rFonts w:eastAsia="MS Mincho"/>
        </w:rPr>
        <w:t>ly</w:t>
      </w:r>
      <w:r w:rsidRPr="00451EEF">
        <w:rPr>
          <w:rFonts w:eastAsia="MS Mincho"/>
        </w:rPr>
        <w:t xml:space="preserve"> EL must be monitored for two full academic years to ensure that they </w:t>
      </w:r>
      <w:proofErr w:type="gramStart"/>
      <w:r w:rsidRPr="00451EEF">
        <w:rPr>
          <w:rFonts w:eastAsia="MS Mincho"/>
        </w:rPr>
        <w:t>are able to</w:t>
      </w:r>
      <w:proofErr w:type="gramEnd"/>
      <w:r w:rsidRPr="00451EEF">
        <w:rPr>
          <w:rFonts w:eastAsia="MS Mincho"/>
        </w:rPr>
        <w:t xml:space="preserve"> participate meaningfully in the </w:t>
      </w:r>
      <w:r w:rsidRPr="00451EEF">
        <w:rPr>
          <w:rFonts w:eastAsia="MS Mincho"/>
          <w:color w:val="000000" w:themeColor="text1"/>
        </w:rPr>
        <w:t>regular</w:t>
      </w:r>
      <w:r w:rsidRPr="00451EEF">
        <w:rPr>
          <w:rFonts w:eastAsia="MS Mincho"/>
        </w:rPr>
        <w:t xml:space="preserve"> educational program. Under Title I, Part A, a state may include, for up to four years after exiting the English learner subgroup, the assessment results of such a student previously identified as an English learner in calculating the Academic Achievement indicator in reading/language arts and mathematics for the English learner subgroup in its s</w:t>
      </w:r>
      <w:r w:rsidR="00B76356" w:rsidRPr="00451EEF">
        <w:rPr>
          <w:rFonts w:eastAsia="MS Mincho"/>
        </w:rPr>
        <w:t>tatewide accountability system.</w:t>
      </w:r>
      <w:r w:rsidRPr="00451EEF">
        <w:rPr>
          <w:rFonts w:eastAsia="MS Mincho"/>
        </w:rPr>
        <w:t xml:space="preserve"> </w:t>
      </w:r>
      <w:hyperlink r:id="rId20" w:history="1">
        <w:r w:rsidR="00B76356" w:rsidRPr="00451EEF">
          <w:rPr>
            <w:rStyle w:val="Hyperlink"/>
            <w:rFonts w:eastAsia="MS Mincho"/>
          </w:rPr>
          <w:t>Superintendent's Memo #210-17</w:t>
        </w:r>
      </w:hyperlink>
    </w:p>
    <w:p w14:paraId="38086182" w14:textId="77777777" w:rsidR="001E5A16" w:rsidRPr="00EA07F8" w:rsidRDefault="000028ED" w:rsidP="00EA07F8">
      <w:pPr>
        <w:spacing w:line="360" w:lineRule="auto"/>
        <w:rPr>
          <w:rFonts w:eastAsia="MS Mincho"/>
          <w:color w:val="000000" w:themeColor="text1"/>
        </w:rPr>
      </w:pPr>
      <w:r w:rsidRPr="00451EEF">
        <w:rPr>
          <w:rFonts w:eastAsia="MS Mincho"/>
        </w:rPr>
        <w:t>[</w:t>
      </w:r>
      <w:r w:rsidRPr="00451EEF">
        <w:rPr>
          <w:rFonts w:eastAsia="MS Mincho"/>
          <w:color w:val="000000" w:themeColor="text1"/>
        </w:rPr>
        <w:t xml:space="preserve">ESSA, Section 1111(b)(3)(B)] </w:t>
      </w:r>
    </w:p>
    <w:p w14:paraId="349188ED" w14:textId="77777777" w:rsidR="001E5A16" w:rsidRPr="00451EEF" w:rsidRDefault="001E5A16" w:rsidP="00EC1452">
      <w:pPr>
        <w:pStyle w:val="Heading4"/>
        <w:ind w:left="720"/>
        <w:rPr>
          <w:rFonts w:ascii="Times New Roman" w:hAnsi="Times New Roman" w:cs="Times New Roman"/>
        </w:rPr>
      </w:pPr>
      <w:r w:rsidRPr="00451EEF">
        <w:rPr>
          <w:rFonts w:ascii="Times New Roman" w:hAnsi="Times New Roman" w:cs="Times New Roman"/>
        </w:rPr>
        <w:t>Timeframe for Completion</w:t>
      </w:r>
    </w:p>
    <w:p w14:paraId="4E3EB7A0" w14:textId="77777777" w:rsidR="001E5A16" w:rsidRPr="00451EEF" w:rsidRDefault="001E5A16" w:rsidP="00EC1452">
      <w:pPr>
        <w:tabs>
          <w:tab w:val="left" w:pos="7920"/>
        </w:tabs>
        <w:ind w:left="720"/>
        <w:rPr>
          <w:rFonts w:eastAsia="MS Mincho"/>
        </w:rPr>
      </w:pPr>
      <w:r w:rsidRPr="00451EEF">
        <w:rPr>
          <w:rFonts w:eastAsia="MS Mincho"/>
        </w:rPr>
        <w:t>Monitoring is ongoing as par</w:t>
      </w:r>
      <w:r w:rsidR="00E35B2C" w:rsidRPr="00451EEF">
        <w:rPr>
          <w:rFonts w:eastAsia="MS Mincho"/>
        </w:rPr>
        <w:t xml:space="preserve">t of the instructional </w:t>
      </w:r>
      <w:proofErr w:type="gramStart"/>
      <w:r w:rsidR="00E35B2C" w:rsidRPr="00451EEF">
        <w:rPr>
          <w:rFonts w:eastAsia="MS Mincho"/>
        </w:rPr>
        <w:t>process</w:t>
      </w:r>
      <w:proofErr w:type="gramEnd"/>
    </w:p>
    <w:p w14:paraId="5717528F" w14:textId="77777777" w:rsidR="00ED4BC9" w:rsidRPr="00A60F69" w:rsidRDefault="00ED4BC9" w:rsidP="001E5A16">
      <w:pPr>
        <w:tabs>
          <w:tab w:val="left" w:pos="7920"/>
        </w:tabs>
        <w:rPr>
          <w:rFonts w:eastAsia="MS Mincho"/>
          <w:sz w:val="22"/>
          <w:szCs w:val="22"/>
        </w:rPr>
      </w:pPr>
    </w:p>
    <w:p w14:paraId="34C72532" w14:textId="77777777" w:rsidR="00ED4BC9" w:rsidRPr="00451EEF" w:rsidRDefault="00ED4BC9" w:rsidP="00ED4BC9">
      <w:pPr>
        <w:pStyle w:val="Heading3"/>
        <w:spacing w:line="360" w:lineRule="auto"/>
        <w:rPr>
          <w:rFonts w:ascii="Times New Roman" w:eastAsia="MS Mincho" w:hAnsi="Times New Roman" w:cs="Times New Roman"/>
          <w:sz w:val="28"/>
          <w:szCs w:val="28"/>
        </w:rPr>
      </w:pPr>
      <w:r w:rsidRPr="00451EEF">
        <w:rPr>
          <w:rFonts w:ascii="Times New Roman" w:eastAsia="MS Mincho" w:hAnsi="Times New Roman" w:cs="Times New Roman"/>
          <w:sz w:val="28"/>
          <w:szCs w:val="28"/>
        </w:rPr>
        <w:t xml:space="preserve">EL </w:t>
      </w:r>
      <w:r w:rsidR="00A60F69" w:rsidRPr="00451EEF">
        <w:rPr>
          <w:rFonts w:ascii="Times New Roman" w:eastAsia="MS Mincho" w:hAnsi="Times New Roman" w:cs="Times New Roman"/>
          <w:sz w:val="28"/>
          <w:szCs w:val="28"/>
        </w:rPr>
        <w:t>Proficiency Level Gains</w:t>
      </w:r>
    </w:p>
    <w:p w14:paraId="56EAC28F" w14:textId="63778F4A" w:rsidR="00ED4BC9" w:rsidRPr="000B6CFA" w:rsidRDefault="002E60FE" w:rsidP="00ED4BC9">
      <w:pPr>
        <w:tabs>
          <w:tab w:val="left" w:pos="-1440"/>
          <w:tab w:val="left" w:pos="3060"/>
        </w:tabs>
      </w:pPr>
      <w:hyperlink r:id="rId21" w:history="1">
        <w:r w:rsidR="00ED4BC9" w:rsidRPr="00A60F69">
          <w:rPr>
            <w:rStyle w:val="Hyperlink"/>
            <w:i/>
          </w:rPr>
          <w:t>Virginia ESSA State Plan</w:t>
        </w:r>
      </w:hyperlink>
      <w:r w:rsidR="00ED4BC9" w:rsidRPr="00A60F69">
        <w:rPr>
          <w:color w:val="002060"/>
        </w:rPr>
        <w:t xml:space="preserve">: </w:t>
      </w:r>
      <w:r w:rsidR="00ED4BC9" w:rsidRPr="000B6CFA">
        <w:t>(</w:t>
      </w:r>
      <w:r w:rsidR="00ED4BC9" w:rsidRPr="000B6CFA">
        <w:rPr>
          <w:i/>
        </w:rPr>
        <w:t xml:space="preserve">See page 19) </w:t>
      </w:r>
      <w:r w:rsidR="00ED4BC9" w:rsidRPr="000B6CFA">
        <w:t xml:space="preserve">Virginia will use the WIDA ACCESS for ELLs 2.0 assessment to measure progress in achieving ELP. </w:t>
      </w:r>
    </w:p>
    <w:p w14:paraId="0736C829" w14:textId="77777777" w:rsidR="00ED4BC9" w:rsidRPr="000B6CFA" w:rsidRDefault="00ED4BC9" w:rsidP="00ED4BC9">
      <w:pPr>
        <w:tabs>
          <w:tab w:val="left" w:pos="-1440"/>
          <w:tab w:val="left" w:pos="3060"/>
        </w:tabs>
        <w:ind w:left="3060"/>
      </w:pPr>
    </w:p>
    <w:p w14:paraId="5BA98910" w14:textId="77777777" w:rsidR="00ED4BC9" w:rsidRPr="000B6CFA" w:rsidRDefault="00ED4BC9" w:rsidP="00ED4BC9">
      <w:pPr>
        <w:tabs>
          <w:tab w:val="left" w:pos="-1440"/>
          <w:tab w:val="left" w:pos="3060"/>
        </w:tabs>
      </w:pPr>
      <w:r w:rsidRPr="000B6CFA">
        <w:t>To determine the EL exit criterion under the new scale, ACCESS for ELLs 2.0 data were used to identify the composite score that was most consistent with passing or failing the state reading assessment (consistency rate). This methodology indicated a composite score of 4.4, which was selected as Virginia’s ACCESS for ELLs 2.0 exit criterion.</w:t>
      </w:r>
    </w:p>
    <w:p w14:paraId="11FBFF2F" w14:textId="77777777" w:rsidR="00ED4BC9" w:rsidRPr="000B6CFA" w:rsidRDefault="00ED4BC9" w:rsidP="00ED4BC9">
      <w:pPr>
        <w:tabs>
          <w:tab w:val="left" w:pos="-1440"/>
          <w:tab w:val="left" w:pos="3060"/>
        </w:tabs>
        <w:ind w:left="3060"/>
        <w:rPr>
          <w:u w:val="single"/>
        </w:rPr>
      </w:pPr>
    </w:p>
    <w:p w14:paraId="0B7975C9" w14:textId="77777777" w:rsidR="00ED4BC9" w:rsidRPr="000B6CFA" w:rsidRDefault="00ED4BC9" w:rsidP="00ED4BC9">
      <w:pPr>
        <w:tabs>
          <w:tab w:val="left" w:pos="-1440"/>
        </w:tabs>
      </w:pPr>
      <w:r w:rsidRPr="000B6CFA">
        <w:t xml:space="preserve">To define ELP, </w:t>
      </w:r>
      <w:proofErr w:type="gramStart"/>
      <w:r w:rsidRPr="000B6CFA">
        <w:t>2015-2016 and 2016-2017 year</w:t>
      </w:r>
      <w:proofErr w:type="gramEnd"/>
      <w:r w:rsidRPr="000B6CFA">
        <w:t xml:space="preserve"> ACCESS for ELLs 2.0 data were analyzed using the new scale. Several grade clusters and composite score groupings were compared to determine which could be combined. The data indicated three grade clusters (grades K-2, grades 3-5, and grades 6-12) and three composite score groupings (1.0-2.4, 2.5-3.4, and 3.5-4.4). For these groupings, average growth from 2015-2016 to 2016-2017 was calculated to identify the ELP requirements below.</w:t>
      </w:r>
    </w:p>
    <w:p w14:paraId="4DA84CFA" w14:textId="77777777" w:rsidR="00ED4BC9" w:rsidRPr="000B6CFA" w:rsidRDefault="00120078" w:rsidP="00120078">
      <w:pPr>
        <w:tabs>
          <w:tab w:val="left" w:pos="-1440"/>
        </w:tabs>
        <w:spacing w:before="240"/>
      </w:pPr>
      <w:r>
        <w:t xml:space="preserve">                                                  </w:t>
      </w:r>
      <w:r w:rsidR="00ED4BC9" w:rsidRPr="000B6CFA">
        <w:t>Composite Proficiency Level Gains</w:t>
      </w:r>
    </w:p>
    <w:tbl>
      <w:tblPr>
        <w:tblStyle w:val="TableGrid"/>
        <w:tblW w:w="0" w:type="auto"/>
        <w:tblInd w:w="171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Caption w:val="Composite Proficiency Level Gains for English Learners"/>
        <w:tblDescription w:val="This table providees the English Language Proficiency level gains that are expected for English learners to demonstrate growth. In grades K-2, for proficiency level 1.0 to 2.4, a gain of 1 level is expected. In grades K-2, for proficiency level 2.5 to 3. 4, a gain of 0.4 is expected. In grades K-2, for proficiency level 3.5 to 4.4, a gain of 0.2 is expected. In grades 3-5, for proficiency level 1.0 to 2.4, a gain of 0.7 is expected. In grades 3-5, for proficiency level 2.5 to 3. 4, a gain of 0.4 is expected. In grades 3-5, for proficiency level 3.5 to 4.4, a gain of 0.2 is expected. In grades 6-12, for proficiency level 1.0 to 2.4, a gain of 0.4 is expected. In grades 6-12, for proficiency level 2.5 to 3. 4, a gain of 0.2 is expected. In grades 6-12, for proficiency level 3.5 to 4.4, a gain of 0.1 is expected."/>
      </w:tblPr>
      <w:tblGrid>
        <w:gridCol w:w="1622"/>
        <w:gridCol w:w="1430"/>
        <w:gridCol w:w="1430"/>
        <w:gridCol w:w="1430"/>
      </w:tblGrid>
      <w:tr w:rsidR="000B6CFA" w:rsidRPr="000B6CFA" w14:paraId="4413C8B9" w14:textId="77777777" w:rsidTr="00120078">
        <w:trPr>
          <w:tblHeader/>
        </w:trPr>
        <w:tc>
          <w:tcPr>
            <w:tcW w:w="1622" w:type="dxa"/>
          </w:tcPr>
          <w:p w14:paraId="4C9DEC0F" w14:textId="77777777" w:rsidR="00ED4BC9" w:rsidRPr="000B6CFA" w:rsidRDefault="00ED4BC9" w:rsidP="00120078">
            <w:pPr>
              <w:tabs>
                <w:tab w:val="left" w:pos="-1440"/>
              </w:tabs>
            </w:pPr>
            <w:r w:rsidRPr="000B6CFA">
              <w:t>Proficiency Level</w:t>
            </w:r>
          </w:p>
        </w:tc>
        <w:tc>
          <w:tcPr>
            <w:tcW w:w="1430" w:type="dxa"/>
          </w:tcPr>
          <w:p w14:paraId="6175E219" w14:textId="77777777" w:rsidR="00ED4BC9" w:rsidRPr="000B6CFA" w:rsidRDefault="00ED4BC9" w:rsidP="00120078">
            <w:pPr>
              <w:tabs>
                <w:tab w:val="left" w:pos="-1440"/>
              </w:tabs>
            </w:pPr>
            <w:r w:rsidRPr="000B6CFA">
              <w:t>Grades K-2</w:t>
            </w:r>
          </w:p>
        </w:tc>
        <w:tc>
          <w:tcPr>
            <w:tcW w:w="1430" w:type="dxa"/>
          </w:tcPr>
          <w:p w14:paraId="026FD372" w14:textId="77777777" w:rsidR="00ED4BC9" w:rsidRPr="000B6CFA" w:rsidRDefault="00ED4BC9" w:rsidP="00120078">
            <w:pPr>
              <w:tabs>
                <w:tab w:val="left" w:pos="-1440"/>
              </w:tabs>
            </w:pPr>
            <w:r w:rsidRPr="000B6CFA">
              <w:t>Grades 3-5</w:t>
            </w:r>
          </w:p>
        </w:tc>
        <w:tc>
          <w:tcPr>
            <w:tcW w:w="1430" w:type="dxa"/>
          </w:tcPr>
          <w:p w14:paraId="170F6148" w14:textId="77777777" w:rsidR="00ED4BC9" w:rsidRPr="000B6CFA" w:rsidRDefault="00ED4BC9" w:rsidP="00120078">
            <w:pPr>
              <w:tabs>
                <w:tab w:val="left" w:pos="-1440"/>
              </w:tabs>
            </w:pPr>
            <w:r w:rsidRPr="000B6CFA">
              <w:t>Grades 6-12</w:t>
            </w:r>
          </w:p>
        </w:tc>
      </w:tr>
      <w:tr w:rsidR="000B6CFA" w:rsidRPr="000B6CFA" w14:paraId="7AC61DAC" w14:textId="77777777" w:rsidTr="00120078">
        <w:tc>
          <w:tcPr>
            <w:tcW w:w="1622" w:type="dxa"/>
          </w:tcPr>
          <w:p w14:paraId="46082937" w14:textId="77777777" w:rsidR="00ED4BC9" w:rsidRPr="000B6CFA" w:rsidRDefault="00ED4BC9" w:rsidP="00A60F69">
            <w:pPr>
              <w:tabs>
                <w:tab w:val="left" w:pos="-1440"/>
              </w:tabs>
              <w:jc w:val="center"/>
            </w:pPr>
            <w:r w:rsidRPr="000B6CFA">
              <w:t>1.0-2.4</w:t>
            </w:r>
          </w:p>
        </w:tc>
        <w:tc>
          <w:tcPr>
            <w:tcW w:w="1430" w:type="dxa"/>
          </w:tcPr>
          <w:p w14:paraId="4221EBD0" w14:textId="77777777" w:rsidR="00ED4BC9" w:rsidRPr="000B6CFA" w:rsidRDefault="00ED4BC9" w:rsidP="00A60F69">
            <w:pPr>
              <w:tabs>
                <w:tab w:val="left" w:pos="-1440"/>
              </w:tabs>
              <w:jc w:val="center"/>
            </w:pPr>
            <w:r w:rsidRPr="000B6CFA">
              <w:t>1.0</w:t>
            </w:r>
          </w:p>
        </w:tc>
        <w:tc>
          <w:tcPr>
            <w:tcW w:w="1430" w:type="dxa"/>
          </w:tcPr>
          <w:p w14:paraId="2A605352" w14:textId="77777777" w:rsidR="00ED4BC9" w:rsidRPr="000B6CFA" w:rsidRDefault="00ED4BC9" w:rsidP="00A60F69">
            <w:pPr>
              <w:tabs>
                <w:tab w:val="left" w:pos="-1440"/>
              </w:tabs>
              <w:jc w:val="center"/>
            </w:pPr>
            <w:r w:rsidRPr="000B6CFA">
              <w:t>0.7</w:t>
            </w:r>
          </w:p>
        </w:tc>
        <w:tc>
          <w:tcPr>
            <w:tcW w:w="1430" w:type="dxa"/>
          </w:tcPr>
          <w:p w14:paraId="4C693293" w14:textId="77777777" w:rsidR="00ED4BC9" w:rsidRPr="000B6CFA" w:rsidRDefault="00ED4BC9" w:rsidP="00A60F69">
            <w:pPr>
              <w:tabs>
                <w:tab w:val="left" w:pos="-1440"/>
              </w:tabs>
              <w:jc w:val="center"/>
            </w:pPr>
            <w:r w:rsidRPr="000B6CFA">
              <w:t>0.4</w:t>
            </w:r>
          </w:p>
        </w:tc>
      </w:tr>
      <w:tr w:rsidR="000B6CFA" w:rsidRPr="000B6CFA" w14:paraId="6B5E4763" w14:textId="77777777" w:rsidTr="00120078">
        <w:tc>
          <w:tcPr>
            <w:tcW w:w="1622" w:type="dxa"/>
          </w:tcPr>
          <w:p w14:paraId="1D6D3B62" w14:textId="77777777" w:rsidR="00ED4BC9" w:rsidRPr="000B6CFA" w:rsidRDefault="00ED4BC9" w:rsidP="00A60F69">
            <w:pPr>
              <w:tabs>
                <w:tab w:val="left" w:pos="-1440"/>
              </w:tabs>
              <w:jc w:val="center"/>
            </w:pPr>
            <w:r w:rsidRPr="000B6CFA">
              <w:t>2.5-3.4</w:t>
            </w:r>
          </w:p>
        </w:tc>
        <w:tc>
          <w:tcPr>
            <w:tcW w:w="1430" w:type="dxa"/>
          </w:tcPr>
          <w:p w14:paraId="028BE7A9" w14:textId="77777777" w:rsidR="00ED4BC9" w:rsidRPr="000B6CFA" w:rsidRDefault="00ED4BC9" w:rsidP="00A60F69">
            <w:pPr>
              <w:tabs>
                <w:tab w:val="left" w:pos="-1440"/>
              </w:tabs>
              <w:jc w:val="center"/>
            </w:pPr>
            <w:r w:rsidRPr="000B6CFA">
              <w:t>0.4</w:t>
            </w:r>
          </w:p>
        </w:tc>
        <w:tc>
          <w:tcPr>
            <w:tcW w:w="1430" w:type="dxa"/>
          </w:tcPr>
          <w:p w14:paraId="4C42F5B1" w14:textId="77777777" w:rsidR="00ED4BC9" w:rsidRPr="000B6CFA" w:rsidRDefault="00ED4BC9" w:rsidP="00A60F69">
            <w:pPr>
              <w:tabs>
                <w:tab w:val="left" w:pos="-1440"/>
              </w:tabs>
              <w:jc w:val="center"/>
            </w:pPr>
            <w:r w:rsidRPr="000B6CFA">
              <w:t>0.4</w:t>
            </w:r>
          </w:p>
        </w:tc>
        <w:tc>
          <w:tcPr>
            <w:tcW w:w="1430" w:type="dxa"/>
          </w:tcPr>
          <w:p w14:paraId="3FD86317" w14:textId="77777777" w:rsidR="00ED4BC9" w:rsidRPr="000B6CFA" w:rsidRDefault="00ED4BC9" w:rsidP="00A60F69">
            <w:pPr>
              <w:tabs>
                <w:tab w:val="left" w:pos="-1440"/>
              </w:tabs>
              <w:jc w:val="center"/>
            </w:pPr>
            <w:r w:rsidRPr="000B6CFA">
              <w:t>0.2</w:t>
            </w:r>
          </w:p>
        </w:tc>
      </w:tr>
      <w:tr w:rsidR="000B6CFA" w:rsidRPr="000B6CFA" w14:paraId="37F1E534" w14:textId="77777777" w:rsidTr="00120078">
        <w:tc>
          <w:tcPr>
            <w:tcW w:w="1622" w:type="dxa"/>
          </w:tcPr>
          <w:p w14:paraId="1AE59F99" w14:textId="77777777" w:rsidR="00ED4BC9" w:rsidRPr="000B6CFA" w:rsidRDefault="00ED4BC9" w:rsidP="00A60F69">
            <w:pPr>
              <w:tabs>
                <w:tab w:val="left" w:pos="-1440"/>
              </w:tabs>
              <w:jc w:val="center"/>
            </w:pPr>
            <w:r w:rsidRPr="000B6CFA">
              <w:t>3.5-4.4</w:t>
            </w:r>
          </w:p>
        </w:tc>
        <w:tc>
          <w:tcPr>
            <w:tcW w:w="1430" w:type="dxa"/>
          </w:tcPr>
          <w:p w14:paraId="76286328" w14:textId="77777777" w:rsidR="00ED4BC9" w:rsidRPr="000B6CFA" w:rsidRDefault="00ED4BC9" w:rsidP="00A60F69">
            <w:pPr>
              <w:tabs>
                <w:tab w:val="left" w:pos="-1440"/>
              </w:tabs>
              <w:jc w:val="center"/>
            </w:pPr>
            <w:r w:rsidRPr="000B6CFA">
              <w:t>0.2</w:t>
            </w:r>
          </w:p>
        </w:tc>
        <w:tc>
          <w:tcPr>
            <w:tcW w:w="1430" w:type="dxa"/>
          </w:tcPr>
          <w:p w14:paraId="0670E6AD" w14:textId="77777777" w:rsidR="00ED4BC9" w:rsidRPr="000B6CFA" w:rsidRDefault="00ED4BC9" w:rsidP="00A60F69">
            <w:pPr>
              <w:tabs>
                <w:tab w:val="left" w:pos="-1440"/>
              </w:tabs>
              <w:jc w:val="center"/>
            </w:pPr>
            <w:r w:rsidRPr="000B6CFA">
              <w:t>0.2</w:t>
            </w:r>
          </w:p>
        </w:tc>
        <w:tc>
          <w:tcPr>
            <w:tcW w:w="1430" w:type="dxa"/>
          </w:tcPr>
          <w:p w14:paraId="344E391D" w14:textId="77777777" w:rsidR="00ED4BC9" w:rsidRPr="000B6CFA" w:rsidRDefault="00ED4BC9" w:rsidP="00A60F69">
            <w:pPr>
              <w:tabs>
                <w:tab w:val="left" w:pos="-1440"/>
              </w:tabs>
              <w:jc w:val="center"/>
            </w:pPr>
            <w:r w:rsidRPr="000B6CFA">
              <w:t>0.1</w:t>
            </w:r>
          </w:p>
        </w:tc>
      </w:tr>
    </w:tbl>
    <w:p w14:paraId="55F2C34C" w14:textId="77777777" w:rsidR="00ED4BC9" w:rsidRPr="000B6CFA" w:rsidRDefault="00ED4BC9" w:rsidP="00ED4BC9">
      <w:pPr>
        <w:tabs>
          <w:tab w:val="left" w:pos="-1440"/>
        </w:tabs>
      </w:pPr>
    </w:p>
    <w:p w14:paraId="5D3B186B" w14:textId="77777777" w:rsidR="00ED4BC9" w:rsidRPr="000B6CFA" w:rsidRDefault="00ED4BC9" w:rsidP="00ED4BC9">
      <w:pPr>
        <w:tabs>
          <w:tab w:val="left" w:pos="-1440"/>
        </w:tabs>
        <w:rPr>
          <w:rFonts w:eastAsia="MS Mincho"/>
          <w:bCs/>
          <w:sz w:val="22"/>
          <w:szCs w:val="22"/>
        </w:rPr>
      </w:pPr>
      <w:r w:rsidRPr="000B6CFA">
        <w:t>The school level baseline data, long-term goals, and interim measures of progress for the ELP indicator are described in section A.4.iii.c. and are provided in Attachment A.</w:t>
      </w:r>
      <w:r w:rsidRPr="000B6CFA">
        <w:rPr>
          <w:rFonts w:eastAsia="MS Mincho"/>
          <w:bCs/>
          <w:sz w:val="22"/>
          <w:szCs w:val="22"/>
        </w:rPr>
        <w:t xml:space="preserve"> </w:t>
      </w:r>
    </w:p>
    <w:p w14:paraId="3F24AA98" w14:textId="77777777" w:rsidR="00ED4BC9" w:rsidRDefault="00ED4BC9" w:rsidP="00ED4BC9">
      <w:pPr>
        <w:tabs>
          <w:tab w:val="left" w:pos="7920"/>
        </w:tabs>
        <w:spacing w:line="360" w:lineRule="auto"/>
        <w:rPr>
          <w:rFonts w:eastAsia="MS Mincho"/>
          <w:bCs/>
          <w:sz w:val="22"/>
          <w:szCs w:val="22"/>
        </w:rPr>
      </w:pPr>
    </w:p>
    <w:p w14:paraId="7CB16E5E" w14:textId="77777777" w:rsidR="00103AB7" w:rsidRPr="003F03FC" w:rsidRDefault="00103AB7" w:rsidP="003F03FC">
      <w:pPr>
        <w:pStyle w:val="Heading3"/>
        <w:rPr>
          <w:rFonts w:ascii="Times New Roman" w:hAnsi="Times New Roman" w:cs="Times New Roman"/>
          <w:sz w:val="28"/>
          <w:szCs w:val="28"/>
        </w:rPr>
      </w:pPr>
      <w:r w:rsidRPr="003F03FC">
        <w:rPr>
          <w:rFonts w:ascii="Times New Roman" w:hAnsi="Times New Roman" w:cs="Times New Roman"/>
          <w:sz w:val="28"/>
          <w:szCs w:val="28"/>
        </w:rPr>
        <w:t xml:space="preserve">EL Measurement of Interim Progress </w:t>
      </w:r>
    </w:p>
    <w:p w14:paraId="3DE41498" w14:textId="77777777" w:rsidR="00103AB7" w:rsidRDefault="00103AB7" w:rsidP="00103AB7"/>
    <w:p w14:paraId="71F6DC37" w14:textId="3F5538BE" w:rsidR="00103AB7" w:rsidRDefault="003F03FC" w:rsidP="00103AB7">
      <w:r>
        <w:t>EL baseline data and measures of interim p</w:t>
      </w:r>
      <w:r w:rsidR="00103AB7">
        <w:t xml:space="preserve">rogress </w:t>
      </w:r>
      <w:r w:rsidR="00103AB7" w:rsidRPr="008B2832">
        <w:t xml:space="preserve">toward meeting the long-term goals for academic achievement </w:t>
      </w:r>
      <w:r>
        <w:t xml:space="preserve">can be found </w:t>
      </w:r>
      <w:r w:rsidR="00103AB7" w:rsidRPr="008B2832">
        <w:t>in</w:t>
      </w:r>
      <w:r>
        <w:t xml:space="preserve"> </w:t>
      </w:r>
      <w:hyperlink r:id="rId22" w:history="1">
        <w:r w:rsidRPr="00120078">
          <w:rPr>
            <w:rStyle w:val="Hyperlink"/>
            <w:i/>
          </w:rPr>
          <w:t>Virginia ESSA State Plan</w:t>
        </w:r>
      </w:hyperlink>
      <w:r w:rsidR="00103AB7" w:rsidRPr="008B2832">
        <w:t xml:space="preserve"> </w:t>
      </w:r>
      <w:r>
        <w:t xml:space="preserve">(See </w:t>
      </w:r>
      <w:r w:rsidR="00103AB7" w:rsidRPr="008B2832">
        <w:t>Appendix A</w:t>
      </w:r>
      <w:r>
        <w:t>)</w:t>
      </w:r>
    </w:p>
    <w:p w14:paraId="266B1162" w14:textId="77777777" w:rsidR="00103AB7" w:rsidRDefault="00103AB7" w:rsidP="00ED4BC9">
      <w:pPr>
        <w:tabs>
          <w:tab w:val="left" w:pos="7920"/>
        </w:tabs>
        <w:spacing w:line="360" w:lineRule="auto"/>
        <w:rPr>
          <w:rFonts w:eastAsia="MS Mincho"/>
          <w:bCs/>
          <w:sz w:val="22"/>
          <w:szCs w:val="22"/>
        </w:rPr>
      </w:pPr>
    </w:p>
    <w:p w14:paraId="7486A98D" w14:textId="77777777" w:rsidR="003F03FC" w:rsidRPr="00707B5E" w:rsidRDefault="003F03FC" w:rsidP="00EA07F8">
      <w:pPr>
        <w:pStyle w:val="Heading4"/>
        <w:ind w:left="720"/>
        <w:rPr>
          <w:rFonts w:ascii="Times New Roman" w:hAnsi="Times New Roman" w:cs="Times New Roman"/>
        </w:rPr>
      </w:pPr>
      <w:r w:rsidRPr="00707B5E">
        <w:rPr>
          <w:rFonts w:ascii="Times New Roman" w:hAnsi="Times New Roman" w:cs="Times New Roman"/>
        </w:rPr>
        <w:lastRenderedPageBreak/>
        <w:t>Timeframe for Completion</w:t>
      </w:r>
    </w:p>
    <w:p w14:paraId="6D2374F7" w14:textId="77777777" w:rsidR="00EA07F8" w:rsidRPr="00EA07F8" w:rsidRDefault="003F03FC" w:rsidP="007C3610">
      <w:pPr>
        <w:tabs>
          <w:tab w:val="left" w:pos="7920"/>
        </w:tabs>
        <w:spacing w:line="720" w:lineRule="auto"/>
        <w:ind w:left="720"/>
        <w:rPr>
          <w:rFonts w:eastAsia="MS Mincho"/>
          <w:bCs/>
        </w:rPr>
      </w:pPr>
      <w:r w:rsidRPr="00707B5E">
        <w:rPr>
          <w:rFonts w:eastAsia="MS Mincho"/>
          <w:bCs/>
        </w:rPr>
        <w:t>Interim progress is measured annually. Long-term goals are set for 7 years.</w:t>
      </w:r>
    </w:p>
    <w:p w14:paraId="044B138E" w14:textId="77777777" w:rsidR="00ED4BC9" w:rsidRPr="003F03FC" w:rsidRDefault="00707B5E" w:rsidP="00EA07F8">
      <w:pPr>
        <w:pStyle w:val="Heading3"/>
        <w:spacing w:line="360" w:lineRule="auto"/>
        <w:rPr>
          <w:rFonts w:ascii="Times New Roman" w:eastAsia="MS Mincho" w:hAnsi="Times New Roman" w:cs="Times New Roman"/>
          <w:sz w:val="28"/>
          <w:szCs w:val="28"/>
        </w:rPr>
      </w:pPr>
      <w:r w:rsidRPr="003F03FC">
        <w:rPr>
          <w:rFonts w:ascii="Times New Roman" w:eastAsia="MS Mincho" w:hAnsi="Times New Roman" w:cs="Times New Roman"/>
          <w:sz w:val="28"/>
          <w:szCs w:val="28"/>
        </w:rPr>
        <w:t>E</w:t>
      </w:r>
      <w:r>
        <w:rPr>
          <w:rFonts w:ascii="Times New Roman" w:eastAsia="MS Mincho" w:hAnsi="Times New Roman" w:cs="Times New Roman"/>
          <w:sz w:val="28"/>
          <w:szCs w:val="28"/>
        </w:rPr>
        <w:t xml:space="preserve">nglish </w:t>
      </w:r>
      <w:r w:rsidR="003F03FC" w:rsidRPr="003F03FC">
        <w:rPr>
          <w:rFonts w:ascii="Times New Roman" w:eastAsia="MS Mincho" w:hAnsi="Times New Roman" w:cs="Times New Roman"/>
          <w:sz w:val="28"/>
          <w:szCs w:val="28"/>
        </w:rPr>
        <w:t>L</w:t>
      </w:r>
      <w:r>
        <w:rPr>
          <w:rFonts w:ascii="Times New Roman" w:eastAsia="MS Mincho" w:hAnsi="Times New Roman" w:cs="Times New Roman"/>
          <w:sz w:val="28"/>
          <w:szCs w:val="28"/>
        </w:rPr>
        <w:t xml:space="preserve">anguage </w:t>
      </w:r>
      <w:r w:rsidR="003F03FC" w:rsidRPr="003F03FC">
        <w:rPr>
          <w:rFonts w:ascii="Times New Roman" w:eastAsia="MS Mincho" w:hAnsi="Times New Roman" w:cs="Times New Roman"/>
          <w:sz w:val="28"/>
          <w:szCs w:val="28"/>
        </w:rPr>
        <w:t>P</w:t>
      </w:r>
      <w:r>
        <w:rPr>
          <w:rFonts w:ascii="Times New Roman" w:eastAsia="MS Mincho" w:hAnsi="Times New Roman" w:cs="Times New Roman"/>
          <w:sz w:val="28"/>
          <w:szCs w:val="28"/>
        </w:rPr>
        <w:t>roficiency</w:t>
      </w:r>
      <w:r w:rsidR="003F03FC" w:rsidRPr="003F03FC">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(ELP) </w:t>
      </w:r>
      <w:r w:rsidR="00ED4BC9" w:rsidRPr="003F03FC">
        <w:rPr>
          <w:rFonts w:ascii="Times New Roman" w:eastAsia="MS Mincho" w:hAnsi="Times New Roman" w:cs="Times New Roman"/>
          <w:sz w:val="28"/>
          <w:szCs w:val="28"/>
        </w:rPr>
        <w:t>Progress Indicators</w:t>
      </w:r>
    </w:p>
    <w:p w14:paraId="4F39F0BF" w14:textId="77777777" w:rsidR="00B31C30" w:rsidRDefault="00707B5E" w:rsidP="000B6CFA">
      <w:pPr>
        <w:rPr>
          <w:rFonts w:eastAsia="MS Mincho"/>
        </w:rPr>
      </w:pPr>
      <w:r>
        <w:t xml:space="preserve">EL baseline ACCESS data and measures of interim progress </w:t>
      </w:r>
      <w:r w:rsidRPr="008B2832">
        <w:t xml:space="preserve">toward meeting the long-term goals for </w:t>
      </w:r>
      <w:r>
        <w:t>ELP,</w:t>
      </w:r>
      <w:r w:rsidRPr="008B2832">
        <w:t xml:space="preserve"> </w:t>
      </w:r>
      <w:r>
        <w:t xml:space="preserve">can be found </w:t>
      </w:r>
      <w:r w:rsidRPr="008B2832">
        <w:t>in</w:t>
      </w:r>
      <w:r w:rsidRPr="00A60F69">
        <w:rPr>
          <w:rStyle w:val="Hyperlink"/>
          <w:i/>
        </w:rPr>
        <w:t xml:space="preserve"> </w:t>
      </w:r>
      <w:hyperlink r:id="rId23" w:history="1">
        <w:r w:rsidR="00732B06" w:rsidRPr="001179F0">
          <w:rPr>
            <w:rStyle w:val="Hyperlink"/>
            <w:i/>
          </w:rPr>
          <w:t>Virginia ESSA State Plan</w:t>
        </w:r>
      </w:hyperlink>
      <w:r w:rsidR="00732B06">
        <w:rPr>
          <w:color w:val="002060"/>
        </w:rPr>
        <w:t xml:space="preserve"> </w:t>
      </w:r>
      <w:r w:rsidR="00B31C30">
        <w:rPr>
          <w:color w:val="002060"/>
        </w:rPr>
        <w:t xml:space="preserve">(See Appendix C) </w:t>
      </w:r>
    </w:p>
    <w:p w14:paraId="7CD5B822" w14:textId="06EA0DFC" w:rsidR="003F03FC" w:rsidRDefault="003F03FC" w:rsidP="00B31C30">
      <w:pPr>
        <w:pStyle w:val="ListParagraph"/>
        <w:ind w:left="0"/>
        <w:jc w:val="center"/>
        <w:rPr>
          <w:b/>
          <w:color w:val="002060"/>
        </w:rPr>
      </w:pPr>
    </w:p>
    <w:p w14:paraId="2E05EE02" w14:textId="77777777" w:rsidR="00B31C30" w:rsidRPr="001025BD" w:rsidRDefault="00B31C30" w:rsidP="00B31C30">
      <w:pPr>
        <w:pStyle w:val="ListParagraph"/>
        <w:ind w:left="0"/>
        <w:jc w:val="center"/>
        <w:rPr>
          <w:b/>
          <w:color w:val="002060"/>
        </w:rPr>
      </w:pPr>
      <w:r w:rsidRPr="001025BD">
        <w:rPr>
          <w:b/>
          <w:color w:val="002060"/>
        </w:rPr>
        <w:t>English Learner Progress Targets</w:t>
      </w:r>
    </w:p>
    <w:p w14:paraId="092B1748" w14:textId="7518702B" w:rsidR="000B6CFA" w:rsidRDefault="00097028" w:rsidP="00097028">
      <w:pPr>
        <w:pStyle w:val="ListParagraph"/>
        <w:ind w:left="0"/>
        <w:jc w:val="center"/>
        <w:rPr>
          <w:b/>
          <w:color w:val="002060"/>
        </w:rPr>
      </w:pPr>
      <w:r w:rsidRPr="00067B00">
        <w:rPr>
          <w:rFonts w:eastAsia="MS Mincho"/>
          <w:noProof/>
        </w:rPr>
        <w:drawing>
          <wp:anchor distT="0" distB="0" distL="114300" distR="114300" simplePos="0" relativeHeight="251658240" behindDoc="1" locked="0" layoutInCell="1" allowOverlap="1" wp14:anchorId="5D3F6BE0" wp14:editId="1AAC84CE">
            <wp:simplePos x="0" y="0"/>
            <wp:positionH relativeFrom="margin">
              <wp:align>center</wp:align>
            </wp:positionH>
            <wp:positionV relativeFrom="paragraph">
              <wp:posOffset>345592</wp:posOffset>
            </wp:positionV>
            <wp:extent cx="5874106" cy="2713940"/>
            <wp:effectExtent l="19050" t="19050" r="12700" b="10795"/>
            <wp:wrapTight wrapText="bothSides">
              <wp:wrapPolygon edited="0">
                <wp:start x="-70" y="-152"/>
                <wp:lineTo x="-70" y="21534"/>
                <wp:lineTo x="21577" y="21534"/>
                <wp:lineTo x="21577" y="-152"/>
                <wp:lineTo x="-70" y="-152"/>
              </wp:wrapPolygon>
            </wp:wrapTight>
            <wp:docPr id="2" name="Picture 2"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number, font&#10;&#10;Description automatically generated"/>
                    <pic:cNvPicPr/>
                  </pic:nvPicPr>
                  <pic:blipFill rotWithShape="1">
                    <a:blip r:embed="rId24">
                      <a:extLst>
                        <a:ext uri="{28A0092B-C50C-407E-A947-70E740481C1C}">
                          <a14:useLocalDpi xmlns:a14="http://schemas.microsoft.com/office/drawing/2010/main" val="0"/>
                        </a:ext>
                      </a:extLst>
                    </a:blip>
                    <a:srcRect r="1170" b="4108"/>
                    <a:stretch/>
                  </pic:blipFill>
                  <pic:spPr bwMode="auto">
                    <a:xfrm>
                      <a:off x="0" y="0"/>
                      <a:ext cx="5874106" cy="2713940"/>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sidR="00B31C30" w:rsidRPr="001025BD">
        <w:rPr>
          <w:b/>
          <w:color w:val="002060"/>
        </w:rPr>
        <w:t>Accountability Years 2018-2019 through 2024-202</w:t>
      </w:r>
      <w:r>
        <w:rPr>
          <w:b/>
          <w:color w:val="002060"/>
        </w:rPr>
        <w:t>5</w:t>
      </w:r>
    </w:p>
    <w:p w14:paraId="007B0DBB" w14:textId="77777777" w:rsidR="00097028" w:rsidRPr="00097028" w:rsidRDefault="00097028" w:rsidP="00097028">
      <w:pPr>
        <w:pStyle w:val="ListParagraph"/>
        <w:ind w:left="0"/>
        <w:jc w:val="center"/>
        <w:rPr>
          <w:b/>
          <w:color w:val="002060"/>
        </w:rPr>
      </w:pPr>
    </w:p>
    <w:p w14:paraId="6B1ED941" w14:textId="57B43F79" w:rsidR="00067B00" w:rsidRDefault="002E60FE" w:rsidP="000B6CFA">
      <w:pPr>
        <w:rPr>
          <w:rFonts w:eastAsia="MS Mincho"/>
          <w:sz w:val="20"/>
          <w:szCs w:val="20"/>
        </w:rPr>
      </w:pPr>
      <w:hyperlink r:id="rId25" w:anchor=":~:text=English%20Learner%20Progress,58" w:history="1">
        <w:r w:rsidR="00097028" w:rsidRPr="009F260D">
          <w:rPr>
            <w:rStyle w:val="Hyperlink"/>
            <w:rFonts w:eastAsia="MS Mincho"/>
            <w:sz w:val="20"/>
            <w:szCs w:val="20"/>
          </w:rPr>
          <w:t>https://www.doe.virginia.gov/data-policy-funding/data-reports/statistics-reports/accreditation-federal-reports/federal-accountability#:~:text=English%20Learner%20Progress,58</w:t>
        </w:r>
      </w:hyperlink>
      <w:r w:rsidR="00067B00" w:rsidRPr="00067B00">
        <w:rPr>
          <w:rFonts w:eastAsia="MS Mincho"/>
          <w:sz w:val="20"/>
          <w:szCs w:val="20"/>
        </w:rPr>
        <w:t>)</w:t>
      </w:r>
    </w:p>
    <w:p w14:paraId="4AB179EF" w14:textId="52151734" w:rsidR="00097028" w:rsidRDefault="00097028" w:rsidP="000B6CFA">
      <w:pPr>
        <w:rPr>
          <w:rFonts w:eastAsia="MS Mincho"/>
          <w:sz w:val="20"/>
          <w:szCs w:val="20"/>
        </w:rPr>
      </w:pPr>
    </w:p>
    <w:p w14:paraId="534C644C" w14:textId="77777777" w:rsidR="00097028" w:rsidRPr="00067B00" w:rsidRDefault="00097028" w:rsidP="000B6CFA">
      <w:pPr>
        <w:rPr>
          <w:rFonts w:eastAsia="MS Mincho"/>
          <w:sz w:val="20"/>
          <w:szCs w:val="20"/>
        </w:rPr>
      </w:pPr>
    </w:p>
    <w:p w14:paraId="5528D93B" w14:textId="77777777" w:rsidR="00EA07F8" w:rsidRDefault="00707B5E" w:rsidP="00EA07F8">
      <w:pPr>
        <w:pStyle w:val="Heading4"/>
        <w:ind w:left="720"/>
        <w:rPr>
          <w:rFonts w:ascii="Times New Roman" w:hAnsi="Times New Roman" w:cs="Times New Roman"/>
        </w:rPr>
      </w:pPr>
      <w:r w:rsidRPr="00707B5E">
        <w:rPr>
          <w:rFonts w:ascii="Times New Roman" w:hAnsi="Times New Roman" w:cs="Times New Roman"/>
        </w:rPr>
        <w:t>Timeframe for Completion</w:t>
      </w:r>
    </w:p>
    <w:p w14:paraId="1B228F7E" w14:textId="77777777" w:rsidR="004A68E2" w:rsidRDefault="00707B5E" w:rsidP="00EA07F8">
      <w:pPr>
        <w:ind w:left="720"/>
        <w:rPr>
          <w:rFonts w:eastAsia="MS Mincho"/>
        </w:rPr>
      </w:pPr>
      <w:r w:rsidRPr="00707B5E">
        <w:rPr>
          <w:rFonts w:eastAsia="MS Mincho"/>
        </w:rPr>
        <w:t xml:space="preserve"> Interim progress is measured annually. Long-term goals are set for 7 years.</w:t>
      </w:r>
      <w:r w:rsidR="00ED4480">
        <w:rPr>
          <w:rFonts w:eastAsia="MS Mincho"/>
        </w:rPr>
        <w:t xml:space="preserve"> </w:t>
      </w:r>
    </w:p>
    <w:p w14:paraId="17E78D32" w14:textId="77777777" w:rsidR="00707B5E" w:rsidRPr="00EA07F8" w:rsidRDefault="00E851C5" w:rsidP="00EA07F8">
      <w:pPr>
        <w:ind w:left="720"/>
        <w:rPr>
          <w:rFonts w:eastAsiaTheme="majorEastAsia"/>
        </w:rPr>
      </w:pPr>
      <w:r>
        <w:rPr>
          <w:rFonts w:eastAsia="MS Mincho"/>
        </w:rPr>
        <w:t>*</w:t>
      </w:r>
      <w:r w:rsidR="004A68E2" w:rsidRPr="00E851C5">
        <w:rPr>
          <w:rFonts w:eastAsia="MS Mincho"/>
        </w:rPr>
        <w:t>Accountability waiver for 2020-2021 and 2021-2022 due to COVID-19.</w:t>
      </w:r>
    </w:p>
    <w:p w14:paraId="29208863" w14:textId="77777777" w:rsidR="00707B5E" w:rsidRPr="000B6CFA" w:rsidRDefault="00707B5E" w:rsidP="000B6CFA">
      <w:pPr>
        <w:rPr>
          <w:rFonts w:eastAsia="MS Mincho"/>
        </w:rPr>
      </w:pPr>
    </w:p>
    <w:sectPr w:rsidR="00707B5E" w:rsidRPr="000B6CFA">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4E06" w14:textId="77777777" w:rsidR="00097028" w:rsidRDefault="00097028" w:rsidP="00097028">
      <w:r>
        <w:separator/>
      </w:r>
    </w:p>
  </w:endnote>
  <w:endnote w:type="continuationSeparator" w:id="0">
    <w:p w14:paraId="74C79CF1" w14:textId="77777777" w:rsidR="00097028" w:rsidRDefault="00097028" w:rsidP="0009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F433" w14:textId="6835A628" w:rsidR="00097028" w:rsidRDefault="00097028">
    <w:pPr>
      <w:pStyle w:val="Footer"/>
    </w:pPr>
    <w:r>
      <w:t>Office of ESEA Programs</w:t>
    </w:r>
  </w:p>
  <w:p w14:paraId="6D342E03" w14:textId="0182A275" w:rsidR="00097028" w:rsidRDefault="00097028">
    <w:pPr>
      <w:pStyle w:val="Footer"/>
    </w:pPr>
    <w: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46A0F" w14:textId="77777777" w:rsidR="00097028" w:rsidRDefault="00097028" w:rsidP="00097028">
      <w:r>
        <w:separator/>
      </w:r>
    </w:p>
  </w:footnote>
  <w:footnote w:type="continuationSeparator" w:id="0">
    <w:p w14:paraId="1C641F71" w14:textId="77777777" w:rsidR="00097028" w:rsidRDefault="00097028" w:rsidP="00097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1400"/>
    <w:multiLevelType w:val="multilevel"/>
    <w:tmpl w:val="0EE233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D2B595F"/>
    <w:multiLevelType w:val="hybridMultilevel"/>
    <w:tmpl w:val="B8D07748"/>
    <w:lvl w:ilvl="0" w:tplc="A6AED27A">
      <w:start w:val="1"/>
      <w:numFmt w:val="lowerLetter"/>
      <w:lvlText w:val="%1."/>
      <w:lvlJc w:val="left"/>
      <w:pPr>
        <w:ind w:left="3060" w:hanging="360"/>
      </w:pPr>
      <w:rPr>
        <w:rFonts w:hint="default"/>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335B1"/>
    <w:multiLevelType w:val="hybridMultilevel"/>
    <w:tmpl w:val="7C601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8667DD"/>
    <w:multiLevelType w:val="hybridMultilevel"/>
    <w:tmpl w:val="B878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626BF"/>
    <w:multiLevelType w:val="hybridMultilevel"/>
    <w:tmpl w:val="64F20070"/>
    <w:lvl w:ilvl="0" w:tplc="0BAC483E">
      <w:start w:val="1"/>
      <w:numFmt w:val="bullet"/>
      <w:lvlText w:val="•"/>
      <w:lvlJc w:val="left"/>
      <w:pPr>
        <w:tabs>
          <w:tab w:val="num" w:pos="346"/>
        </w:tabs>
        <w:ind w:left="346" w:hanging="360"/>
      </w:pPr>
      <w:rPr>
        <w:rFonts w:ascii="Arial" w:hAnsi="Arial" w:hint="default"/>
      </w:rPr>
    </w:lvl>
    <w:lvl w:ilvl="1" w:tplc="D66ECA02" w:tentative="1">
      <w:start w:val="1"/>
      <w:numFmt w:val="bullet"/>
      <w:lvlText w:val="•"/>
      <w:lvlJc w:val="left"/>
      <w:pPr>
        <w:tabs>
          <w:tab w:val="num" w:pos="1066"/>
        </w:tabs>
        <w:ind w:left="1066" w:hanging="360"/>
      </w:pPr>
      <w:rPr>
        <w:rFonts w:ascii="Arial" w:hAnsi="Arial" w:hint="default"/>
      </w:rPr>
    </w:lvl>
    <w:lvl w:ilvl="2" w:tplc="3E301FE2" w:tentative="1">
      <w:start w:val="1"/>
      <w:numFmt w:val="bullet"/>
      <w:lvlText w:val="•"/>
      <w:lvlJc w:val="left"/>
      <w:pPr>
        <w:tabs>
          <w:tab w:val="num" w:pos="1786"/>
        </w:tabs>
        <w:ind w:left="1786" w:hanging="360"/>
      </w:pPr>
      <w:rPr>
        <w:rFonts w:ascii="Arial" w:hAnsi="Arial" w:hint="default"/>
      </w:rPr>
    </w:lvl>
    <w:lvl w:ilvl="3" w:tplc="6DE69FE8" w:tentative="1">
      <w:start w:val="1"/>
      <w:numFmt w:val="bullet"/>
      <w:lvlText w:val="•"/>
      <w:lvlJc w:val="left"/>
      <w:pPr>
        <w:tabs>
          <w:tab w:val="num" w:pos="2506"/>
        </w:tabs>
        <w:ind w:left="2506" w:hanging="360"/>
      </w:pPr>
      <w:rPr>
        <w:rFonts w:ascii="Arial" w:hAnsi="Arial" w:hint="default"/>
      </w:rPr>
    </w:lvl>
    <w:lvl w:ilvl="4" w:tplc="10E8D12A" w:tentative="1">
      <w:start w:val="1"/>
      <w:numFmt w:val="bullet"/>
      <w:lvlText w:val="•"/>
      <w:lvlJc w:val="left"/>
      <w:pPr>
        <w:tabs>
          <w:tab w:val="num" w:pos="3226"/>
        </w:tabs>
        <w:ind w:left="3226" w:hanging="360"/>
      </w:pPr>
      <w:rPr>
        <w:rFonts w:ascii="Arial" w:hAnsi="Arial" w:hint="default"/>
      </w:rPr>
    </w:lvl>
    <w:lvl w:ilvl="5" w:tplc="C24ECE8E" w:tentative="1">
      <w:start w:val="1"/>
      <w:numFmt w:val="bullet"/>
      <w:lvlText w:val="•"/>
      <w:lvlJc w:val="left"/>
      <w:pPr>
        <w:tabs>
          <w:tab w:val="num" w:pos="3946"/>
        </w:tabs>
        <w:ind w:left="3946" w:hanging="360"/>
      </w:pPr>
      <w:rPr>
        <w:rFonts w:ascii="Arial" w:hAnsi="Arial" w:hint="default"/>
      </w:rPr>
    </w:lvl>
    <w:lvl w:ilvl="6" w:tplc="B8A4F336" w:tentative="1">
      <w:start w:val="1"/>
      <w:numFmt w:val="bullet"/>
      <w:lvlText w:val="•"/>
      <w:lvlJc w:val="left"/>
      <w:pPr>
        <w:tabs>
          <w:tab w:val="num" w:pos="4666"/>
        </w:tabs>
        <w:ind w:left="4666" w:hanging="360"/>
      </w:pPr>
      <w:rPr>
        <w:rFonts w:ascii="Arial" w:hAnsi="Arial" w:hint="default"/>
      </w:rPr>
    </w:lvl>
    <w:lvl w:ilvl="7" w:tplc="F218243C" w:tentative="1">
      <w:start w:val="1"/>
      <w:numFmt w:val="bullet"/>
      <w:lvlText w:val="•"/>
      <w:lvlJc w:val="left"/>
      <w:pPr>
        <w:tabs>
          <w:tab w:val="num" w:pos="5386"/>
        </w:tabs>
        <w:ind w:left="5386" w:hanging="360"/>
      </w:pPr>
      <w:rPr>
        <w:rFonts w:ascii="Arial" w:hAnsi="Arial" w:hint="default"/>
      </w:rPr>
    </w:lvl>
    <w:lvl w:ilvl="8" w:tplc="75FCBD24" w:tentative="1">
      <w:start w:val="1"/>
      <w:numFmt w:val="bullet"/>
      <w:lvlText w:val="•"/>
      <w:lvlJc w:val="left"/>
      <w:pPr>
        <w:tabs>
          <w:tab w:val="num" w:pos="6106"/>
        </w:tabs>
        <w:ind w:left="6106" w:hanging="360"/>
      </w:pPr>
      <w:rPr>
        <w:rFonts w:ascii="Arial" w:hAnsi="Arial" w:hint="default"/>
      </w:rPr>
    </w:lvl>
  </w:abstractNum>
  <w:abstractNum w:abstractNumId="5" w15:restartNumberingAfterBreak="0">
    <w:nsid w:val="68E44757"/>
    <w:multiLevelType w:val="multilevel"/>
    <w:tmpl w:val="3E72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3056B9"/>
    <w:multiLevelType w:val="hybridMultilevel"/>
    <w:tmpl w:val="268070F0"/>
    <w:lvl w:ilvl="0" w:tplc="04090001">
      <w:start w:val="1"/>
      <w:numFmt w:val="bullet"/>
      <w:lvlText w:val=""/>
      <w:lvlJc w:val="left"/>
      <w:pPr>
        <w:ind w:left="720" w:hanging="360"/>
      </w:pPr>
      <w:rPr>
        <w:rFonts w:ascii="Symbol" w:hAnsi="Symbol" w:hint="default"/>
        <w:b/>
      </w:rPr>
    </w:lvl>
    <w:lvl w:ilvl="1" w:tplc="0409000F">
      <w:start w:val="1"/>
      <w:numFmt w:val="decimal"/>
      <w:lvlText w:val="%2."/>
      <w:lvlJc w:val="left"/>
      <w:pPr>
        <w:ind w:left="1440" w:hanging="360"/>
      </w:pPr>
      <w:rPr>
        <w:rFonts w:hint="default"/>
        <w:b w:val="0"/>
        <w:color w:val="auto"/>
      </w:rPr>
    </w:lvl>
    <w:lvl w:ilvl="2" w:tplc="0409001B">
      <w:start w:val="1"/>
      <w:numFmt w:val="lowerRoman"/>
      <w:lvlText w:val="%3."/>
      <w:lvlJc w:val="right"/>
      <w:pPr>
        <w:ind w:left="2700" w:hanging="720"/>
      </w:pPr>
      <w:rPr>
        <w:rFonts w:hint="default"/>
        <w:color w:val="auto"/>
      </w:rPr>
    </w:lvl>
    <w:lvl w:ilvl="3" w:tplc="8C8693D0">
      <w:start w:val="1"/>
      <w:numFmt w:val="lowerLetter"/>
      <w:lvlText w:val="%4."/>
      <w:lvlJc w:val="left"/>
      <w:pPr>
        <w:ind w:left="3060" w:hanging="360"/>
      </w:pPr>
      <w:rPr>
        <w:rFonts w:hint="default"/>
        <w:color w:val="auto"/>
        <w:sz w:val="22"/>
        <w:szCs w:val="22"/>
      </w:rPr>
    </w:lvl>
    <w:lvl w:ilvl="4" w:tplc="094ABABE">
      <w:start w:val="1"/>
      <w:numFmt w:val="decimal"/>
      <w:lvlText w:val="%5."/>
      <w:lvlJc w:val="left"/>
      <w:pPr>
        <w:ind w:left="3600" w:hanging="360"/>
      </w:pPr>
      <w:rPr>
        <w:rFonts w:hint="default"/>
        <w:color w:val="auto"/>
      </w:rPr>
    </w:lvl>
    <w:lvl w:ilvl="5" w:tplc="91C0E9AE">
      <w:start w:val="1"/>
      <w:numFmt w:val="bullet"/>
      <w:lvlText w:val=""/>
      <w:lvlJc w:val="left"/>
      <w:pPr>
        <w:ind w:left="4500" w:hanging="360"/>
      </w:pPr>
      <w:rPr>
        <w:rFonts w:ascii="Symbol" w:hAnsi="Symbol" w:hint="default"/>
        <w:color w:val="002060"/>
      </w:rPr>
    </w:lvl>
    <w:lvl w:ilvl="6" w:tplc="10921782">
      <w:numFmt w:val="bullet"/>
      <w:lvlText w:val="•"/>
      <w:lvlJc w:val="left"/>
      <w:pPr>
        <w:ind w:left="5040" w:hanging="360"/>
      </w:pPr>
      <w:rPr>
        <w:rFonts w:ascii="Times New Roman" w:eastAsiaTheme="minorHAnsi" w:hAnsi="Times New Roman" w:cs="Times New Roman"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D70F4B"/>
    <w:multiLevelType w:val="hybridMultilevel"/>
    <w:tmpl w:val="BC1024D8"/>
    <w:lvl w:ilvl="0" w:tplc="A8FEC6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C10982"/>
    <w:multiLevelType w:val="hybridMultilevel"/>
    <w:tmpl w:val="FF98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770717">
    <w:abstractNumId w:val="0"/>
  </w:num>
  <w:num w:numId="2" w16cid:durableId="1913931345">
    <w:abstractNumId w:val="5"/>
  </w:num>
  <w:num w:numId="3" w16cid:durableId="625351700">
    <w:abstractNumId w:val="2"/>
  </w:num>
  <w:num w:numId="4" w16cid:durableId="216746959">
    <w:abstractNumId w:val="7"/>
  </w:num>
  <w:num w:numId="5" w16cid:durableId="771752751">
    <w:abstractNumId w:val="3"/>
  </w:num>
  <w:num w:numId="6" w16cid:durableId="486436063">
    <w:abstractNumId w:val="8"/>
  </w:num>
  <w:num w:numId="7" w16cid:durableId="843128201">
    <w:abstractNumId w:val="4"/>
  </w:num>
  <w:num w:numId="8" w16cid:durableId="57562235">
    <w:abstractNumId w:val="1"/>
  </w:num>
  <w:num w:numId="9" w16cid:durableId="1270510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wNbE0MjMxtjC1MDJU0lEKTi0uzszPAykwrQUAjz6ZNywAAAA="/>
  </w:docVars>
  <w:rsids>
    <w:rsidRoot w:val="00D113D8"/>
    <w:rsid w:val="000028ED"/>
    <w:rsid w:val="00051E9B"/>
    <w:rsid w:val="000652C4"/>
    <w:rsid w:val="00067B00"/>
    <w:rsid w:val="00097028"/>
    <w:rsid w:val="000B4DB6"/>
    <w:rsid w:val="000B6CFA"/>
    <w:rsid w:val="00103AB7"/>
    <w:rsid w:val="001179F0"/>
    <w:rsid w:val="00120078"/>
    <w:rsid w:val="00160469"/>
    <w:rsid w:val="001E5A16"/>
    <w:rsid w:val="00200ED5"/>
    <w:rsid w:val="00290099"/>
    <w:rsid w:val="002E60FE"/>
    <w:rsid w:val="003126F8"/>
    <w:rsid w:val="003539DE"/>
    <w:rsid w:val="003A17AD"/>
    <w:rsid w:val="003F03FC"/>
    <w:rsid w:val="00444029"/>
    <w:rsid w:val="00451EEF"/>
    <w:rsid w:val="004629BC"/>
    <w:rsid w:val="004743E0"/>
    <w:rsid w:val="004A68E2"/>
    <w:rsid w:val="004E74C9"/>
    <w:rsid w:val="004F0EB4"/>
    <w:rsid w:val="004F461B"/>
    <w:rsid w:val="004F5217"/>
    <w:rsid w:val="00585DA2"/>
    <w:rsid w:val="005A1325"/>
    <w:rsid w:val="005E5CD6"/>
    <w:rsid w:val="00611439"/>
    <w:rsid w:val="00620E16"/>
    <w:rsid w:val="00636AC0"/>
    <w:rsid w:val="00667D58"/>
    <w:rsid w:val="00680BE0"/>
    <w:rsid w:val="006A3FD6"/>
    <w:rsid w:val="006D2558"/>
    <w:rsid w:val="00707B5E"/>
    <w:rsid w:val="00732B06"/>
    <w:rsid w:val="00795CA2"/>
    <w:rsid w:val="007C3610"/>
    <w:rsid w:val="007E23B9"/>
    <w:rsid w:val="00816048"/>
    <w:rsid w:val="00834299"/>
    <w:rsid w:val="00875ADD"/>
    <w:rsid w:val="0088056E"/>
    <w:rsid w:val="00882D0F"/>
    <w:rsid w:val="00957FCA"/>
    <w:rsid w:val="00963224"/>
    <w:rsid w:val="009B38C5"/>
    <w:rsid w:val="009B4E26"/>
    <w:rsid w:val="00A1315E"/>
    <w:rsid w:val="00A4312C"/>
    <w:rsid w:val="00A60F69"/>
    <w:rsid w:val="00AD71D2"/>
    <w:rsid w:val="00AE53D7"/>
    <w:rsid w:val="00AF3211"/>
    <w:rsid w:val="00AF57A9"/>
    <w:rsid w:val="00B03A9F"/>
    <w:rsid w:val="00B1552A"/>
    <w:rsid w:val="00B22FF5"/>
    <w:rsid w:val="00B31C30"/>
    <w:rsid w:val="00B76356"/>
    <w:rsid w:val="00B862EE"/>
    <w:rsid w:val="00BC065F"/>
    <w:rsid w:val="00BD49CA"/>
    <w:rsid w:val="00C557D9"/>
    <w:rsid w:val="00CD78E2"/>
    <w:rsid w:val="00D113D8"/>
    <w:rsid w:val="00DE26D3"/>
    <w:rsid w:val="00DF10CF"/>
    <w:rsid w:val="00E24C2A"/>
    <w:rsid w:val="00E35B2C"/>
    <w:rsid w:val="00E72DAB"/>
    <w:rsid w:val="00E8463B"/>
    <w:rsid w:val="00E851C5"/>
    <w:rsid w:val="00EA07F8"/>
    <w:rsid w:val="00EC1452"/>
    <w:rsid w:val="00ED4480"/>
    <w:rsid w:val="00ED4BC9"/>
    <w:rsid w:val="00EE53D1"/>
    <w:rsid w:val="00F51AAB"/>
    <w:rsid w:val="00FC180D"/>
    <w:rsid w:val="00FD0286"/>
    <w:rsid w:val="00FD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5815"/>
  <w15:chartTrackingRefBased/>
  <w15:docId w15:val="{9848AFB5-E076-4931-AF88-E8A92251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3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13D8"/>
    <w:pPr>
      <w:keepNext/>
      <w:ind w:left="720" w:firstLine="360"/>
      <w:outlineLvl w:val="0"/>
    </w:pPr>
    <w:rPr>
      <w:sz w:val="20"/>
      <w:szCs w:val="20"/>
      <w:u w:val="single"/>
    </w:rPr>
  </w:style>
  <w:style w:type="paragraph" w:styleId="Heading2">
    <w:name w:val="heading 2"/>
    <w:basedOn w:val="Normal"/>
    <w:next w:val="Normal"/>
    <w:link w:val="Heading2Char"/>
    <w:uiPriority w:val="9"/>
    <w:unhideWhenUsed/>
    <w:qFormat/>
    <w:rsid w:val="000028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028E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0028E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13D8"/>
    <w:rPr>
      <w:rFonts w:ascii="Times New Roman" w:eastAsia="Times New Roman" w:hAnsi="Times New Roman" w:cs="Times New Roman"/>
      <w:sz w:val="20"/>
      <w:szCs w:val="20"/>
      <w:u w:val="single"/>
    </w:rPr>
  </w:style>
  <w:style w:type="character" w:styleId="Emphasis">
    <w:name w:val="Emphasis"/>
    <w:uiPriority w:val="20"/>
    <w:qFormat/>
    <w:rsid w:val="00D113D8"/>
    <w:rPr>
      <w:i/>
      <w:iCs/>
    </w:rPr>
  </w:style>
  <w:style w:type="character" w:styleId="Hyperlink">
    <w:name w:val="Hyperlink"/>
    <w:basedOn w:val="DefaultParagraphFont"/>
    <w:uiPriority w:val="99"/>
    <w:rsid w:val="00D113D8"/>
    <w:rPr>
      <w:color w:val="0000FF"/>
      <w:u w:val="single"/>
    </w:rPr>
  </w:style>
  <w:style w:type="character" w:styleId="FollowedHyperlink">
    <w:name w:val="FollowedHyperlink"/>
    <w:basedOn w:val="DefaultParagraphFont"/>
    <w:uiPriority w:val="99"/>
    <w:semiHidden/>
    <w:unhideWhenUsed/>
    <w:rsid w:val="000652C4"/>
    <w:rPr>
      <w:color w:val="954F72" w:themeColor="followedHyperlink"/>
      <w:u w:val="single"/>
    </w:rPr>
  </w:style>
  <w:style w:type="paragraph" w:styleId="ListParagraph">
    <w:name w:val="List Paragraph"/>
    <w:basedOn w:val="Normal"/>
    <w:uiPriority w:val="34"/>
    <w:qFormat/>
    <w:rsid w:val="000652C4"/>
    <w:pPr>
      <w:ind w:left="720"/>
      <w:contextualSpacing/>
    </w:pPr>
  </w:style>
  <w:style w:type="character" w:customStyle="1" w:styleId="Heading2Char">
    <w:name w:val="Heading 2 Char"/>
    <w:basedOn w:val="DefaultParagraphFont"/>
    <w:link w:val="Heading2"/>
    <w:uiPriority w:val="9"/>
    <w:rsid w:val="000028E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028E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028ED"/>
    <w:rPr>
      <w:rFonts w:asciiTheme="majorHAnsi" w:eastAsiaTheme="majorEastAsia" w:hAnsiTheme="majorHAnsi" w:cstheme="majorBidi"/>
      <w:i/>
      <w:iCs/>
      <w:color w:val="2E74B5" w:themeColor="accent1" w:themeShade="BF"/>
      <w:sz w:val="24"/>
      <w:szCs w:val="24"/>
    </w:rPr>
  </w:style>
  <w:style w:type="paragraph" w:styleId="Revision">
    <w:name w:val="Revision"/>
    <w:hidden/>
    <w:uiPriority w:val="99"/>
    <w:semiHidden/>
    <w:rsid w:val="00A1315E"/>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80BE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85DA2"/>
  </w:style>
  <w:style w:type="character" w:styleId="UnresolvedMention">
    <w:name w:val="Unresolved Mention"/>
    <w:basedOn w:val="DefaultParagraphFont"/>
    <w:uiPriority w:val="99"/>
    <w:semiHidden/>
    <w:unhideWhenUsed/>
    <w:rsid w:val="00097028"/>
    <w:rPr>
      <w:color w:val="605E5C"/>
      <w:shd w:val="clear" w:color="auto" w:fill="E1DFDD"/>
    </w:rPr>
  </w:style>
  <w:style w:type="paragraph" w:styleId="Header">
    <w:name w:val="header"/>
    <w:basedOn w:val="Normal"/>
    <w:link w:val="HeaderChar"/>
    <w:uiPriority w:val="99"/>
    <w:unhideWhenUsed/>
    <w:rsid w:val="00097028"/>
    <w:pPr>
      <w:tabs>
        <w:tab w:val="center" w:pos="4680"/>
        <w:tab w:val="right" w:pos="9360"/>
      </w:tabs>
    </w:pPr>
  </w:style>
  <w:style w:type="character" w:customStyle="1" w:styleId="HeaderChar">
    <w:name w:val="Header Char"/>
    <w:basedOn w:val="DefaultParagraphFont"/>
    <w:link w:val="Header"/>
    <w:uiPriority w:val="99"/>
    <w:rsid w:val="000970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7028"/>
    <w:pPr>
      <w:tabs>
        <w:tab w:val="center" w:pos="4680"/>
        <w:tab w:val="right" w:pos="9360"/>
      </w:tabs>
    </w:pPr>
  </w:style>
  <w:style w:type="character" w:customStyle="1" w:styleId="FooterChar">
    <w:name w:val="Footer Char"/>
    <w:basedOn w:val="DefaultParagraphFont"/>
    <w:link w:val="Footer"/>
    <w:uiPriority w:val="99"/>
    <w:rsid w:val="000970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76798">
      <w:bodyDiv w:val="1"/>
      <w:marLeft w:val="0"/>
      <w:marRight w:val="0"/>
      <w:marTop w:val="0"/>
      <w:marBottom w:val="0"/>
      <w:divBdr>
        <w:top w:val="none" w:sz="0" w:space="0" w:color="auto"/>
        <w:left w:val="none" w:sz="0" w:space="0" w:color="auto"/>
        <w:bottom w:val="none" w:sz="0" w:space="0" w:color="auto"/>
        <w:right w:val="none" w:sz="0" w:space="0" w:color="auto"/>
      </w:divBdr>
      <w:divsChild>
        <w:div w:id="1029259215">
          <w:marLeft w:val="547"/>
          <w:marRight w:val="0"/>
          <w:marTop w:val="154"/>
          <w:marBottom w:val="0"/>
          <w:divBdr>
            <w:top w:val="none" w:sz="0" w:space="0" w:color="auto"/>
            <w:left w:val="none" w:sz="0" w:space="0" w:color="auto"/>
            <w:bottom w:val="none" w:sz="0" w:space="0" w:color="auto"/>
            <w:right w:val="none" w:sz="0" w:space="0" w:color="auto"/>
          </w:divBdr>
        </w:div>
      </w:divsChild>
    </w:div>
    <w:div w:id="98612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ela/english-learner-toolkit/chap1.pdf" TargetMode="External"/><Relationship Id="rId13" Type="http://schemas.openxmlformats.org/officeDocument/2006/relationships/hyperlink" Target="https://view.officeapps.live.com/op/view.aspx?src=https%3A%2F%2Fwww.doe.virginia.gov%2Fhome%2Fshowpublisheddocument%2F23747%2F638043852307670000&amp;wdOrigin=BROWSELINK" TargetMode="External"/><Relationship Id="rId18" Type="http://schemas.openxmlformats.org/officeDocument/2006/relationships/hyperlink" Target="https://www.doe.virginia.gov/home/showpublisheddocument/4312/63800512461727000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doe.virginia.gov/home/showpublisheddocument/40562/638078265189700000" TargetMode="External"/><Relationship Id="rId7" Type="http://schemas.openxmlformats.org/officeDocument/2006/relationships/hyperlink" Target="https://ncela.ed.gov/files/english_learner_toolkit/OELA_2017_ELsToolkit_508C.pdf" TargetMode="External"/><Relationship Id="rId12" Type="http://schemas.openxmlformats.org/officeDocument/2006/relationships/hyperlink" Target="https://www2.ed.gov/rschstat/eval/title-iii/language-instruction-ed-programs-report.pdf" TargetMode="External"/><Relationship Id="rId17" Type="http://schemas.openxmlformats.org/officeDocument/2006/relationships/hyperlink" Target="https://view.officeapps.live.com/op/view.aspx?src=https%3A%2F%2Fwww.doe.virginia.gov%2Fhome%2Fshowpublisheddocument%2F12872%2F638032369535170000&amp;wdOrigin=BROWSELINK" TargetMode="External"/><Relationship Id="rId25" Type="http://schemas.openxmlformats.org/officeDocument/2006/relationships/hyperlink" Target="https://www.doe.virginia.gov/data-policy-funding/data-reports/statistics-reports/accreditation-federal-reports/federal-accountability" TargetMode="External"/><Relationship Id="rId2" Type="http://schemas.openxmlformats.org/officeDocument/2006/relationships/styles" Target="styles.xml"/><Relationship Id="rId16" Type="http://schemas.openxmlformats.org/officeDocument/2006/relationships/hyperlink" Target="https://www.doe.virginia.gov/home/showpublisheddocument/2310/637950342344800000" TargetMode="External"/><Relationship Id="rId20" Type="http://schemas.openxmlformats.org/officeDocument/2006/relationships/hyperlink" Target="https://www.doe.virginia.gov/home/showpublisheddocument/4374/638005125813300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e.virginia.gov/home/showpublisheddocument/8370/638108662902530000"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doe.virginia.gov/home/showpublisheddocument/4290/638005124566070000" TargetMode="External"/><Relationship Id="rId23" Type="http://schemas.openxmlformats.org/officeDocument/2006/relationships/hyperlink" Target="https://www.doe.virginia.gov/home/showpublisheddocument/40562/638078265189700000" TargetMode="External"/><Relationship Id="rId28" Type="http://schemas.openxmlformats.org/officeDocument/2006/relationships/theme" Target="theme/theme1.xml"/><Relationship Id="rId10" Type="http://schemas.openxmlformats.org/officeDocument/2006/relationships/hyperlink" Target="https://www.doe.virginia.gov/home/showpublisheddocument/9548/638025979843300000" TargetMode="External"/><Relationship Id="rId19" Type="http://schemas.openxmlformats.org/officeDocument/2006/relationships/hyperlink" Target="https://www.doe.virginia.gov/programs-services/federal-programs/essa/title-iii"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s://view.officeapps.live.com/op/view.aspx?src=https%3A%2F%2Fwww.doe.virginia.gov%2Fhome%2Fshowpublisheddocument%2F23751%2F638043852315000000&amp;wdOrigin=BROWSELINKT3%20Website%20links/Parent%20Notification%20Requirements-docx.docx" TargetMode="External"/><Relationship Id="rId22" Type="http://schemas.openxmlformats.org/officeDocument/2006/relationships/hyperlink" Target="https://www.doe.virginia.gov/home/showpublisheddocument/40562/63807826518970000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Sutton</dc:creator>
  <cp:keywords/>
  <dc:description/>
  <cp:lastModifiedBy>Saunders, Jessica (DOE)</cp:lastModifiedBy>
  <cp:revision>4</cp:revision>
  <dcterms:created xsi:type="dcterms:W3CDTF">2023-02-23T17:37:00Z</dcterms:created>
  <dcterms:modified xsi:type="dcterms:W3CDTF">2023-05-17T13:30:00Z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ddbe3a2742a2f2b944ba1e44ff1fa2b065c3fe59dbe5f22c1f47b26619c51259</vt:lpwstr>
  </property>
</Properties>
</file>