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D1490" w14:textId="77777777" w:rsidR="00803CE9" w:rsidRPr="000C5CE7" w:rsidRDefault="00803CE9" w:rsidP="00197B56">
      <w:pPr>
        <w:pStyle w:val="Heading1"/>
      </w:pPr>
      <w:r w:rsidRPr="00152496">
        <w:rPr>
          <w:noProof/>
        </w:rPr>
        <w:t>Floyd County Public Schools</w:t>
      </w:r>
      <w:r w:rsidRPr="000C5CE7">
        <w:br/>
        <w:t>Federal Fiscal Year 2021</w:t>
      </w:r>
      <w:r w:rsidRPr="000C5CE7">
        <w:br/>
        <w:t>Special Education Performance Report</w:t>
      </w:r>
    </w:p>
    <w:p w14:paraId="45BAD345" w14:textId="77777777" w:rsidR="00803CE9" w:rsidRPr="000C5CE7" w:rsidRDefault="00803CE9" w:rsidP="00EB635C">
      <w:pPr>
        <w:spacing w:after="240" w:line="259" w:lineRule="auto"/>
      </w:pPr>
      <w:r>
        <w:rPr>
          <w:noProof/>
        </w:rPr>
        <w:t>Floyd County Public Schools</w:t>
      </w:r>
      <w:r w:rsidRPr="000C5CE7">
        <w:br/>
      </w:r>
      <w:r>
        <w:rPr>
          <w:noProof/>
        </w:rPr>
        <w:t>140 Harris Hart Road NE</w:t>
      </w:r>
      <w:r w:rsidRPr="000C5CE7">
        <w:br/>
      </w:r>
      <w:r>
        <w:rPr>
          <w:noProof/>
        </w:rPr>
        <w:t>Floyd, Virginia 24091</w:t>
      </w:r>
    </w:p>
    <w:p w14:paraId="2B47DAC1" w14:textId="77777777" w:rsidR="00803CE9" w:rsidRPr="000C5CE7" w:rsidRDefault="00803CE9" w:rsidP="00EB635C">
      <w:pPr>
        <w:spacing w:after="240" w:line="259" w:lineRule="auto"/>
      </w:pPr>
      <w:r w:rsidRPr="000C5CE7">
        <w:t xml:space="preserve">The </w:t>
      </w:r>
      <w:r w:rsidRPr="000C5CE7">
        <w:rPr>
          <w:i/>
          <w:iCs/>
        </w:rPr>
        <w:t>Individuals with Disabilities Education Act</w:t>
      </w:r>
      <w:r w:rsidRPr="000C5CE7">
        <w:t xml:space="preserve"> (IDEA) requires each state to report to the public on state-level data and individual school division-level data and to report on whether the State and the divisions met state targets described in the State’s special education </w:t>
      </w:r>
      <w:hyperlink r:id="rId6" w:history="1">
        <w:r w:rsidRPr="000C5CE7">
          <w:rPr>
            <w:rStyle w:val="Hyperlink"/>
          </w:rPr>
          <w:t>State Performance Plan/Annual Performance Report</w:t>
        </w:r>
      </w:hyperlink>
      <w:r w:rsidRPr="000C5CE7">
        <w:t>. This report compares the division’s performance to the</w:t>
      </w:r>
      <w:r w:rsidRPr="000C5CE7">
        <w:br/>
        <w:t>State’s target.</w:t>
      </w:r>
    </w:p>
    <w:p w14:paraId="7E9FEC09" w14:textId="77777777" w:rsidR="00803CE9" w:rsidRPr="000C5CE7" w:rsidRDefault="00803CE9" w:rsidP="00EB635C">
      <w:pPr>
        <w:pStyle w:val="Caption"/>
        <w:keepNext/>
        <w:spacing w:before="0"/>
      </w:pPr>
      <w:r w:rsidRPr="000C5CE7">
        <w:t>Reference key for symbols used with data in the tables throughout this document: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Symbols and definitions that are used include: % designates percent; ≥ designates greater than or equal to; ≤ designates less than or equal to."/>
      </w:tblPr>
      <w:tblGrid>
        <w:gridCol w:w="1700"/>
        <w:gridCol w:w="3060"/>
      </w:tblGrid>
      <w:tr w:rsidR="00803CE9" w:rsidRPr="000C5CE7" w14:paraId="0ABCC300" w14:textId="77777777" w:rsidTr="00C025EE">
        <w:trPr>
          <w:trHeight w:hRule="exact" w:val="518"/>
          <w:tblHeader/>
        </w:trPr>
        <w:tc>
          <w:tcPr>
            <w:tcW w:w="1700" w:type="dxa"/>
            <w:shd w:val="clear" w:color="auto" w:fill="F2F2F2" w:themeFill="background1" w:themeFillShade="F2"/>
            <w:vAlign w:val="center"/>
          </w:tcPr>
          <w:p w14:paraId="582F11E0" w14:textId="77777777" w:rsidR="00803CE9" w:rsidRPr="000C5CE7" w:rsidRDefault="00803CE9" w:rsidP="000A5C0C">
            <w:pPr>
              <w:jc w:val="center"/>
            </w:pPr>
            <w:r w:rsidRPr="000C5CE7">
              <w:rPr>
                <w:sz w:val="26"/>
                <w:szCs w:val="26"/>
              </w:rPr>
              <w:t>Symbol</w:t>
            </w:r>
          </w:p>
        </w:tc>
        <w:tc>
          <w:tcPr>
            <w:tcW w:w="3060" w:type="dxa"/>
            <w:shd w:val="clear" w:color="auto" w:fill="F2F2F2" w:themeFill="background1" w:themeFillShade="F2"/>
            <w:vAlign w:val="center"/>
          </w:tcPr>
          <w:p w14:paraId="20CD9AEA" w14:textId="77777777" w:rsidR="00803CE9" w:rsidRPr="000C5CE7" w:rsidRDefault="00803CE9" w:rsidP="000A5C0C">
            <w:r w:rsidRPr="000C5CE7">
              <w:rPr>
                <w:sz w:val="26"/>
                <w:szCs w:val="26"/>
              </w:rPr>
              <w:t>Definition</w:t>
            </w:r>
          </w:p>
        </w:tc>
      </w:tr>
      <w:tr w:rsidR="00803CE9" w:rsidRPr="000C5CE7" w14:paraId="5969FDE2" w14:textId="77777777" w:rsidTr="004F51F5">
        <w:trPr>
          <w:trHeight w:hRule="exact" w:val="432"/>
        </w:trPr>
        <w:tc>
          <w:tcPr>
            <w:tcW w:w="1700" w:type="dxa"/>
            <w:vAlign w:val="center"/>
          </w:tcPr>
          <w:p w14:paraId="06918F20" w14:textId="77777777" w:rsidR="00803CE9" w:rsidRPr="000C5CE7" w:rsidRDefault="00803CE9" w:rsidP="000A5C0C">
            <w:pPr>
              <w:jc w:val="center"/>
            </w:pPr>
            <w:r w:rsidRPr="000C5CE7">
              <w:t>%</w:t>
            </w:r>
          </w:p>
        </w:tc>
        <w:tc>
          <w:tcPr>
            <w:tcW w:w="3060" w:type="dxa"/>
            <w:vAlign w:val="center"/>
          </w:tcPr>
          <w:p w14:paraId="192C73FA" w14:textId="77777777" w:rsidR="00803CE9" w:rsidRPr="000C5CE7" w:rsidRDefault="00803CE9" w:rsidP="000A5C0C">
            <w:pPr>
              <w:ind w:left="69"/>
            </w:pPr>
            <w:r w:rsidRPr="000C5CE7">
              <w:t>Percent</w:t>
            </w:r>
          </w:p>
        </w:tc>
      </w:tr>
      <w:tr w:rsidR="00803CE9" w:rsidRPr="000C5CE7" w14:paraId="757AF425" w14:textId="77777777" w:rsidTr="004F51F5">
        <w:trPr>
          <w:trHeight w:hRule="exact" w:val="432"/>
        </w:trPr>
        <w:tc>
          <w:tcPr>
            <w:tcW w:w="1700" w:type="dxa"/>
            <w:vAlign w:val="center"/>
          </w:tcPr>
          <w:p w14:paraId="523DAC8E" w14:textId="77777777" w:rsidR="00803CE9" w:rsidRPr="000C5CE7" w:rsidRDefault="00803CE9" w:rsidP="000A5C0C">
            <w:pPr>
              <w:jc w:val="center"/>
            </w:pPr>
            <w:r w:rsidRPr="000C5CE7">
              <w:t>≥</w:t>
            </w:r>
          </w:p>
        </w:tc>
        <w:tc>
          <w:tcPr>
            <w:tcW w:w="3060" w:type="dxa"/>
            <w:vAlign w:val="center"/>
          </w:tcPr>
          <w:p w14:paraId="23119B2E" w14:textId="77777777" w:rsidR="00803CE9" w:rsidRPr="000C5CE7" w:rsidRDefault="00803CE9" w:rsidP="000A5C0C">
            <w:pPr>
              <w:ind w:left="69"/>
            </w:pPr>
            <w:r w:rsidRPr="000C5CE7">
              <w:t>Greater than or equal to</w:t>
            </w:r>
          </w:p>
        </w:tc>
      </w:tr>
      <w:tr w:rsidR="00803CE9" w:rsidRPr="000C5CE7" w14:paraId="2D56527D" w14:textId="77777777" w:rsidTr="004F51F5">
        <w:trPr>
          <w:trHeight w:hRule="exact" w:val="432"/>
        </w:trPr>
        <w:tc>
          <w:tcPr>
            <w:tcW w:w="1700" w:type="dxa"/>
            <w:vAlign w:val="center"/>
          </w:tcPr>
          <w:p w14:paraId="08F537BD" w14:textId="77777777" w:rsidR="00803CE9" w:rsidRPr="000C5CE7" w:rsidRDefault="00803CE9" w:rsidP="000A5C0C">
            <w:pPr>
              <w:jc w:val="center"/>
            </w:pPr>
            <w:r w:rsidRPr="000C5CE7">
              <w:t>≤</w:t>
            </w:r>
          </w:p>
        </w:tc>
        <w:tc>
          <w:tcPr>
            <w:tcW w:w="3060" w:type="dxa"/>
            <w:vAlign w:val="center"/>
          </w:tcPr>
          <w:p w14:paraId="426810B9" w14:textId="77777777" w:rsidR="00803CE9" w:rsidRPr="000C5CE7" w:rsidRDefault="00803CE9" w:rsidP="000A5C0C">
            <w:pPr>
              <w:ind w:left="69"/>
            </w:pPr>
            <w:r w:rsidRPr="000C5CE7">
              <w:t>Less than or equal to</w:t>
            </w:r>
          </w:p>
        </w:tc>
      </w:tr>
    </w:tbl>
    <w:p w14:paraId="63A7519C" w14:textId="77777777" w:rsidR="00803CE9" w:rsidRPr="000C5CE7" w:rsidRDefault="00803CE9" w:rsidP="00310047">
      <w:pPr>
        <w:pStyle w:val="Heading2"/>
      </w:pPr>
      <w:r w:rsidRPr="000C5CE7">
        <w:t xml:space="preserve">Indicator </w:t>
      </w:r>
      <w:r>
        <w:rPr>
          <w:noProof/>
        </w:rPr>
        <w:t>1</w:t>
      </w:r>
      <w:r w:rsidRPr="000C5CE7">
        <w:t>: Graduation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Description w:val="Indicator 1: Graduation includes indicator description, 2021-2022 division performance and state target, and whether or not state target was met."/>
      </w:tblPr>
      <w:tblGrid>
        <w:gridCol w:w="3770"/>
        <w:gridCol w:w="2520"/>
        <w:gridCol w:w="1527"/>
        <w:gridCol w:w="1523"/>
      </w:tblGrid>
      <w:tr w:rsidR="00803CE9" w:rsidRPr="000C5CE7" w14:paraId="0E0E9249" w14:textId="77777777" w:rsidTr="000949D4">
        <w:trPr>
          <w:trHeight w:hRule="exact" w:val="1379"/>
          <w:tblHeader/>
        </w:trPr>
        <w:tc>
          <w:tcPr>
            <w:tcW w:w="3770" w:type="dxa"/>
            <w:shd w:val="clear" w:color="auto" w:fill="F2F2F2" w:themeFill="background1" w:themeFillShade="F2"/>
            <w:vAlign w:val="center"/>
          </w:tcPr>
          <w:p w14:paraId="24F2C376" w14:textId="77777777" w:rsidR="00803CE9" w:rsidRPr="000C5CE7" w:rsidRDefault="00803CE9" w:rsidP="00FF436C">
            <w:r w:rsidRPr="000C5CE7">
              <w:rPr>
                <w:sz w:val="26"/>
                <w:szCs w:val="26"/>
              </w:rPr>
              <w:t>Indicator Description</w:t>
            </w:r>
          </w:p>
        </w:tc>
        <w:tc>
          <w:tcPr>
            <w:tcW w:w="2520" w:type="dxa"/>
            <w:shd w:val="clear" w:color="auto" w:fill="F2F2F2" w:themeFill="background1" w:themeFillShade="F2"/>
            <w:vAlign w:val="center"/>
          </w:tcPr>
          <w:p w14:paraId="10414E07" w14:textId="77777777" w:rsidR="00803CE9" w:rsidRPr="000C5CE7" w:rsidRDefault="00803CE9" w:rsidP="00E526F0">
            <w:pPr>
              <w:ind w:left="-12" w:right="-23"/>
              <w:jc w:val="center"/>
            </w:pPr>
            <w:r w:rsidRPr="000C5CE7">
              <w:rPr>
                <w:sz w:val="26"/>
                <w:szCs w:val="26"/>
              </w:rPr>
              <w:t>2021-2022</w:t>
            </w:r>
            <w:r w:rsidRPr="000C5CE7">
              <w:rPr>
                <w:sz w:val="26"/>
                <w:szCs w:val="26"/>
              </w:rPr>
              <w:br/>
              <w:t>Division Performance</w:t>
            </w:r>
            <w:r>
              <w:rPr>
                <w:sz w:val="26"/>
                <w:szCs w:val="26"/>
              </w:rPr>
              <w:t xml:space="preserve"> </w:t>
            </w:r>
            <w:r w:rsidRPr="000C5CE7">
              <w:rPr>
                <w:sz w:val="26"/>
                <w:szCs w:val="26"/>
              </w:rPr>
              <w:t>(based on data</w:t>
            </w:r>
            <w:r w:rsidRPr="000C5CE7">
              <w:rPr>
                <w:sz w:val="26"/>
                <w:szCs w:val="26"/>
              </w:rPr>
              <w:br/>
              <w:t>from 2020-2021)</w:t>
            </w:r>
          </w:p>
        </w:tc>
        <w:tc>
          <w:tcPr>
            <w:tcW w:w="1527" w:type="dxa"/>
            <w:shd w:val="clear" w:color="auto" w:fill="F2F2F2" w:themeFill="background1" w:themeFillShade="F2"/>
            <w:vAlign w:val="center"/>
          </w:tcPr>
          <w:p w14:paraId="345B12F3" w14:textId="77777777" w:rsidR="00803CE9" w:rsidRPr="000C5CE7" w:rsidRDefault="00803CE9" w:rsidP="009B60F5">
            <w:pPr>
              <w:jc w:val="center"/>
            </w:pPr>
            <w:r w:rsidRPr="000C5CE7">
              <w:rPr>
                <w:sz w:val="26"/>
                <w:szCs w:val="26"/>
              </w:rPr>
              <w:t>2021-2022</w:t>
            </w:r>
            <w:r>
              <w:rPr>
                <w:sz w:val="26"/>
                <w:szCs w:val="26"/>
              </w:rPr>
              <w:t xml:space="preserve"> </w:t>
            </w:r>
            <w:r w:rsidRPr="000C5CE7">
              <w:rPr>
                <w:sz w:val="26"/>
                <w:szCs w:val="26"/>
              </w:rPr>
              <w:t>State Target</w:t>
            </w:r>
          </w:p>
        </w:tc>
        <w:tc>
          <w:tcPr>
            <w:tcW w:w="1523" w:type="dxa"/>
            <w:shd w:val="clear" w:color="auto" w:fill="F2F2F2" w:themeFill="background1" w:themeFillShade="F2"/>
            <w:vAlign w:val="center"/>
          </w:tcPr>
          <w:p w14:paraId="24F2B4CB" w14:textId="77777777" w:rsidR="00803CE9" w:rsidRPr="000C5CE7" w:rsidRDefault="00803CE9" w:rsidP="009B60F5">
            <w:pPr>
              <w:jc w:val="center"/>
            </w:pPr>
            <w:r w:rsidRPr="000C5CE7">
              <w:rPr>
                <w:sz w:val="26"/>
                <w:szCs w:val="26"/>
              </w:rPr>
              <w:t>State Target Met</w:t>
            </w:r>
          </w:p>
        </w:tc>
      </w:tr>
      <w:tr w:rsidR="00803CE9" w:rsidRPr="000C5CE7" w14:paraId="0B31D4F9" w14:textId="77777777" w:rsidTr="000949D4">
        <w:trPr>
          <w:trHeight w:hRule="exact" w:val="1469"/>
        </w:trPr>
        <w:tc>
          <w:tcPr>
            <w:tcW w:w="3770" w:type="dxa"/>
            <w:vAlign w:val="center"/>
          </w:tcPr>
          <w:p w14:paraId="600EB962" w14:textId="77777777" w:rsidR="00803CE9" w:rsidRPr="000C5CE7" w:rsidRDefault="00803CE9" w:rsidP="009B60F5">
            <w:pPr>
              <w:spacing w:line="259" w:lineRule="auto"/>
            </w:pPr>
            <w:r w:rsidRPr="000C5CE7">
              <w:rPr>
                <w:color w:val="000000" w:themeColor="text1"/>
              </w:rPr>
              <w:t xml:space="preserve">Percent of youth with </w:t>
            </w:r>
            <w:r>
              <w:rPr>
                <w:color w:val="000000" w:themeColor="text1"/>
              </w:rPr>
              <w:t>i</w:t>
            </w:r>
            <w:r w:rsidRPr="000C5CE7">
              <w:rPr>
                <w:color w:val="000000" w:themeColor="text1"/>
              </w:rPr>
              <w:t xml:space="preserve">ndividualized </w:t>
            </w:r>
            <w:r>
              <w:rPr>
                <w:color w:val="000000" w:themeColor="text1"/>
              </w:rPr>
              <w:t>e</w:t>
            </w:r>
            <w:r w:rsidRPr="000C5CE7">
              <w:rPr>
                <w:color w:val="000000" w:themeColor="text1"/>
              </w:rPr>
              <w:t xml:space="preserve">ducation </w:t>
            </w:r>
            <w:r>
              <w:rPr>
                <w:color w:val="000000" w:themeColor="text1"/>
              </w:rPr>
              <w:t>p</w:t>
            </w:r>
            <w:r w:rsidRPr="000C5CE7">
              <w:rPr>
                <w:color w:val="000000" w:themeColor="text1"/>
              </w:rPr>
              <w:t xml:space="preserve">rograms (IEPs) exiting </w:t>
            </w:r>
            <w:r w:rsidRPr="000C5CE7">
              <w:rPr>
                <w:rFonts w:cs="Arial"/>
                <w:szCs w:val="16"/>
              </w:rPr>
              <w:t>special education due to graduating</w:t>
            </w:r>
            <w:r w:rsidRPr="000C5CE7">
              <w:rPr>
                <w:color w:val="000000" w:themeColor="text1"/>
              </w:rPr>
              <w:t xml:space="preserve"> with a regular high school diploma</w:t>
            </w:r>
          </w:p>
        </w:tc>
        <w:tc>
          <w:tcPr>
            <w:tcW w:w="2520" w:type="dxa"/>
            <w:vAlign w:val="center"/>
          </w:tcPr>
          <w:p w14:paraId="2FEACDA7" w14:textId="4DC13191" w:rsidR="00803CE9" w:rsidRPr="000C5CE7" w:rsidRDefault="00803CE9" w:rsidP="00150AFE">
            <w:pPr>
              <w:jc w:val="center"/>
            </w:pPr>
            <w:r>
              <w:rPr>
                <w:noProof/>
              </w:rPr>
              <w:t>7</w:t>
            </w:r>
            <w:r w:rsidR="00B9434B">
              <w:rPr>
                <w:noProof/>
              </w:rPr>
              <w:t>1.43</w:t>
            </w:r>
            <w:r>
              <w:rPr>
                <w:noProof/>
              </w:rPr>
              <w:t>%</w:t>
            </w:r>
          </w:p>
        </w:tc>
        <w:tc>
          <w:tcPr>
            <w:tcW w:w="1527" w:type="dxa"/>
            <w:vAlign w:val="center"/>
          </w:tcPr>
          <w:p w14:paraId="5DE04C78" w14:textId="77777777" w:rsidR="00803CE9" w:rsidRPr="000C5CE7" w:rsidRDefault="00803CE9" w:rsidP="00150AFE">
            <w:pPr>
              <w:jc w:val="center"/>
            </w:pPr>
            <w:r w:rsidRPr="000C5CE7">
              <w:t>≥71.24%</w:t>
            </w:r>
          </w:p>
        </w:tc>
        <w:tc>
          <w:tcPr>
            <w:tcW w:w="1523" w:type="dxa"/>
            <w:vAlign w:val="center"/>
          </w:tcPr>
          <w:p w14:paraId="00E27868" w14:textId="77777777" w:rsidR="00803CE9" w:rsidRPr="000C5CE7" w:rsidRDefault="00803CE9" w:rsidP="00150AFE">
            <w:pPr>
              <w:jc w:val="center"/>
            </w:pPr>
            <w:r>
              <w:rPr>
                <w:noProof/>
              </w:rPr>
              <w:t>Yes</w:t>
            </w:r>
          </w:p>
        </w:tc>
      </w:tr>
    </w:tbl>
    <w:p w14:paraId="11C407DD" w14:textId="77777777" w:rsidR="00803CE9" w:rsidRPr="000C5CE7" w:rsidRDefault="00803CE9" w:rsidP="00310047">
      <w:pPr>
        <w:pStyle w:val="Heading2"/>
      </w:pPr>
      <w:r w:rsidRPr="000C5CE7">
        <w:t xml:space="preserve">Indicator </w:t>
      </w:r>
      <w:r>
        <w:rPr>
          <w:noProof/>
        </w:rPr>
        <w:t>2</w:t>
      </w:r>
      <w:r w:rsidRPr="000C5CE7">
        <w:t>: Dropouts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Description w:val="Indicator 2: Dropouts includes indicator description, 2021-2022 division performance and state target, and whether or not state target was met."/>
      </w:tblPr>
      <w:tblGrid>
        <w:gridCol w:w="3770"/>
        <w:gridCol w:w="2520"/>
        <w:gridCol w:w="1527"/>
        <w:gridCol w:w="1523"/>
      </w:tblGrid>
      <w:tr w:rsidR="00803CE9" w:rsidRPr="000C5CE7" w14:paraId="0A27B181" w14:textId="77777777" w:rsidTr="000949D4">
        <w:trPr>
          <w:trHeight w:hRule="exact" w:val="1352"/>
          <w:tblHeader/>
        </w:trPr>
        <w:tc>
          <w:tcPr>
            <w:tcW w:w="3770" w:type="dxa"/>
            <w:shd w:val="clear" w:color="auto" w:fill="F2F2F2" w:themeFill="background1" w:themeFillShade="F2"/>
            <w:vAlign w:val="center"/>
          </w:tcPr>
          <w:p w14:paraId="286E5921" w14:textId="77777777" w:rsidR="00803CE9" w:rsidRPr="000C5CE7" w:rsidRDefault="00803CE9" w:rsidP="00B44B03">
            <w:r w:rsidRPr="000C5CE7">
              <w:rPr>
                <w:sz w:val="26"/>
                <w:szCs w:val="26"/>
              </w:rPr>
              <w:t>Indicator Description</w:t>
            </w:r>
          </w:p>
        </w:tc>
        <w:tc>
          <w:tcPr>
            <w:tcW w:w="2520" w:type="dxa"/>
            <w:shd w:val="clear" w:color="auto" w:fill="F2F2F2" w:themeFill="background1" w:themeFillShade="F2"/>
            <w:vAlign w:val="center"/>
          </w:tcPr>
          <w:p w14:paraId="2C5E0CC9" w14:textId="77777777" w:rsidR="00803CE9" w:rsidRPr="000C5CE7" w:rsidRDefault="00803CE9" w:rsidP="00B44B03">
            <w:pPr>
              <w:ind w:left="-105" w:right="-13"/>
              <w:jc w:val="center"/>
            </w:pPr>
            <w:r w:rsidRPr="000C5CE7">
              <w:rPr>
                <w:sz w:val="26"/>
                <w:szCs w:val="26"/>
              </w:rPr>
              <w:t>2021-2022</w:t>
            </w:r>
            <w:r w:rsidRPr="000C5CE7">
              <w:rPr>
                <w:sz w:val="26"/>
                <w:szCs w:val="26"/>
              </w:rPr>
              <w:br/>
              <w:t>Division Performance</w:t>
            </w:r>
            <w:r>
              <w:rPr>
                <w:sz w:val="26"/>
                <w:szCs w:val="26"/>
              </w:rPr>
              <w:t xml:space="preserve"> </w:t>
            </w:r>
            <w:r w:rsidRPr="000C5CE7">
              <w:rPr>
                <w:sz w:val="26"/>
                <w:szCs w:val="26"/>
              </w:rPr>
              <w:t>(based on data</w:t>
            </w:r>
            <w:r w:rsidRPr="000C5CE7">
              <w:rPr>
                <w:sz w:val="26"/>
                <w:szCs w:val="26"/>
              </w:rPr>
              <w:br/>
              <w:t>from 2020-2021)</w:t>
            </w:r>
          </w:p>
        </w:tc>
        <w:tc>
          <w:tcPr>
            <w:tcW w:w="1527" w:type="dxa"/>
            <w:shd w:val="clear" w:color="auto" w:fill="F2F2F2" w:themeFill="background1" w:themeFillShade="F2"/>
            <w:vAlign w:val="center"/>
          </w:tcPr>
          <w:p w14:paraId="2F1D4949" w14:textId="77777777" w:rsidR="00803CE9" w:rsidRPr="000C5CE7" w:rsidRDefault="00803CE9" w:rsidP="00B44B03">
            <w:pPr>
              <w:jc w:val="center"/>
            </w:pPr>
            <w:r w:rsidRPr="000C5CE7">
              <w:rPr>
                <w:sz w:val="26"/>
                <w:szCs w:val="26"/>
              </w:rPr>
              <w:t>2021-2022</w:t>
            </w:r>
            <w:r>
              <w:rPr>
                <w:sz w:val="26"/>
                <w:szCs w:val="26"/>
              </w:rPr>
              <w:t xml:space="preserve"> </w:t>
            </w:r>
            <w:r w:rsidRPr="000C5CE7">
              <w:rPr>
                <w:sz w:val="26"/>
                <w:szCs w:val="26"/>
              </w:rPr>
              <w:t>State Target</w:t>
            </w:r>
          </w:p>
        </w:tc>
        <w:tc>
          <w:tcPr>
            <w:tcW w:w="1523" w:type="dxa"/>
            <w:shd w:val="clear" w:color="auto" w:fill="F2F2F2" w:themeFill="background1" w:themeFillShade="F2"/>
            <w:vAlign w:val="center"/>
          </w:tcPr>
          <w:p w14:paraId="11913194" w14:textId="77777777" w:rsidR="00803CE9" w:rsidRPr="000C5CE7" w:rsidRDefault="00803CE9" w:rsidP="00B44B03">
            <w:pPr>
              <w:jc w:val="center"/>
            </w:pPr>
            <w:r w:rsidRPr="000C5CE7">
              <w:rPr>
                <w:sz w:val="26"/>
                <w:szCs w:val="26"/>
              </w:rPr>
              <w:t>State Target Met</w:t>
            </w:r>
          </w:p>
        </w:tc>
      </w:tr>
      <w:tr w:rsidR="00803CE9" w:rsidRPr="000C5CE7" w14:paraId="61922ADE" w14:textId="77777777" w:rsidTr="000949D4">
        <w:trPr>
          <w:trHeight w:hRule="exact" w:val="1136"/>
        </w:trPr>
        <w:tc>
          <w:tcPr>
            <w:tcW w:w="3770" w:type="dxa"/>
            <w:vAlign w:val="center"/>
          </w:tcPr>
          <w:p w14:paraId="2FD15C92" w14:textId="77777777" w:rsidR="00803CE9" w:rsidRPr="000C5CE7" w:rsidRDefault="00803CE9" w:rsidP="00B44B03">
            <w:pPr>
              <w:spacing w:line="259" w:lineRule="auto"/>
            </w:pPr>
            <w:r w:rsidRPr="000C5CE7">
              <w:rPr>
                <w:color w:val="000000" w:themeColor="text1"/>
              </w:rPr>
              <w:t xml:space="preserve">Percent of youth with IEPs </w:t>
            </w:r>
            <w:r w:rsidRPr="000C5CE7">
              <w:rPr>
                <w:rFonts w:cs="Arial"/>
                <w:szCs w:val="16"/>
              </w:rPr>
              <w:t xml:space="preserve">who exited special education due to </w:t>
            </w:r>
            <w:r w:rsidRPr="000C5CE7">
              <w:rPr>
                <w:color w:val="000000" w:themeColor="text1"/>
              </w:rPr>
              <w:t>dropping out</w:t>
            </w:r>
          </w:p>
        </w:tc>
        <w:tc>
          <w:tcPr>
            <w:tcW w:w="2520" w:type="dxa"/>
            <w:vAlign w:val="center"/>
          </w:tcPr>
          <w:p w14:paraId="0DD91FCD" w14:textId="3E40E40E" w:rsidR="00803CE9" w:rsidRPr="000C5CE7" w:rsidRDefault="00B9434B" w:rsidP="00150AFE">
            <w:pPr>
              <w:jc w:val="center"/>
            </w:pPr>
            <w:r>
              <w:rPr>
                <w:noProof/>
              </w:rPr>
              <w:t>0</w:t>
            </w:r>
            <w:r w:rsidR="00803CE9">
              <w:rPr>
                <w:noProof/>
              </w:rPr>
              <w:t>%</w:t>
            </w:r>
          </w:p>
        </w:tc>
        <w:tc>
          <w:tcPr>
            <w:tcW w:w="1527" w:type="dxa"/>
            <w:vAlign w:val="center"/>
          </w:tcPr>
          <w:p w14:paraId="5DA5B3A1" w14:textId="77777777" w:rsidR="00803CE9" w:rsidRPr="000C5CE7" w:rsidRDefault="00803CE9" w:rsidP="00150AFE">
            <w:pPr>
              <w:jc w:val="center"/>
            </w:pPr>
            <w:r w:rsidRPr="000C5CE7">
              <w:t>≤6.41%</w:t>
            </w:r>
          </w:p>
        </w:tc>
        <w:tc>
          <w:tcPr>
            <w:tcW w:w="1523" w:type="dxa"/>
            <w:vAlign w:val="center"/>
          </w:tcPr>
          <w:p w14:paraId="38E919DE" w14:textId="77777777" w:rsidR="00803CE9" w:rsidRPr="000C5CE7" w:rsidRDefault="00803CE9" w:rsidP="00150AFE">
            <w:pPr>
              <w:jc w:val="center"/>
            </w:pPr>
            <w:r>
              <w:rPr>
                <w:noProof/>
              </w:rPr>
              <w:t>Yes</w:t>
            </w:r>
          </w:p>
        </w:tc>
      </w:tr>
    </w:tbl>
    <w:p w14:paraId="3F8382F4" w14:textId="77777777" w:rsidR="00803CE9" w:rsidRPr="000C5CE7" w:rsidRDefault="00803CE9" w:rsidP="00A556DD">
      <w:pPr>
        <w:pStyle w:val="Heading2"/>
        <w:spacing w:after="240"/>
      </w:pPr>
      <w:r w:rsidRPr="000C5CE7">
        <w:lastRenderedPageBreak/>
        <w:t xml:space="preserve">Indicator </w:t>
      </w:r>
      <w:r>
        <w:rPr>
          <w:noProof/>
        </w:rPr>
        <w:t>3</w:t>
      </w:r>
      <w:r w:rsidRPr="000C5CE7">
        <w:t>: Participation and Performance on Statewide Assessments</w:t>
      </w:r>
    </w:p>
    <w:p w14:paraId="3343B198" w14:textId="77777777" w:rsidR="00803CE9" w:rsidRPr="000C5CE7" w:rsidRDefault="00803CE9" w:rsidP="006A1411">
      <w:pPr>
        <w:pStyle w:val="Heading3"/>
      </w:pPr>
      <w:proofErr w:type="spellStart"/>
      <w:r w:rsidRPr="000C5CE7">
        <w:t>3a</w:t>
      </w:r>
      <w:proofErr w:type="spellEnd"/>
      <w:r w:rsidRPr="000C5CE7">
        <w:t>. Participation Rate for Children with IEPs for English/Reading</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Indicator 3a. Participation Rate for Children with IEPs for English/Reading, by grade level, includes 2021-2022 division performance and state target, and whether or not state target was met."/>
      </w:tblPr>
      <w:tblGrid>
        <w:gridCol w:w="2335"/>
        <w:gridCol w:w="2335"/>
        <w:gridCol w:w="2335"/>
        <w:gridCol w:w="2335"/>
      </w:tblGrid>
      <w:tr w:rsidR="00803CE9" w:rsidRPr="000C5CE7" w14:paraId="04474B82" w14:textId="77777777" w:rsidTr="00E216DE">
        <w:trPr>
          <w:trHeight w:hRule="exact" w:val="1008"/>
          <w:tblHeader/>
        </w:trPr>
        <w:tc>
          <w:tcPr>
            <w:tcW w:w="2335" w:type="dxa"/>
            <w:shd w:val="clear" w:color="auto" w:fill="F2F2F2" w:themeFill="background1" w:themeFillShade="F2"/>
            <w:vAlign w:val="center"/>
          </w:tcPr>
          <w:p w14:paraId="4700DDB9" w14:textId="77777777" w:rsidR="00803CE9" w:rsidRPr="000C5CE7" w:rsidRDefault="00803CE9" w:rsidP="008B74FA">
            <w:r w:rsidRPr="000C5CE7">
              <w:rPr>
                <w:sz w:val="26"/>
                <w:szCs w:val="26"/>
              </w:rPr>
              <w:t>Grade Level</w:t>
            </w:r>
          </w:p>
        </w:tc>
        <w:tc>
          <w:tcPr>
            <w:tcW w:w="2335" w:type="dxa"/>
            <w:shd w:val="clear" w:color="auto" w:fill="F2F2F2" w:themeFill="background1" w:themeFillShade="F2"/>
            <w:vAlign w:val="center"/>
          </w:tcPr>
          <w:p w14:paraId="0746E351" w14:textId="77777777" w:rsidR="00803CE9" w:rsidRPr="000C5CE7" w:rsidRDefault="00803CE9" w:rsidP="002105F2">
            <w:pPr>
              <w:jc w:val="center"/>
            </w:pPr>
            <w:r w:rsidRPr="000C5CE7">
              <w:rPr>
                <w:sz w:val="26"/>
                <w:szCs w:val="26"/>
              </w:rPr>
              <w:t>2021-2022</w:t>
            </w:r>
            <w:r w:rsidRPr="000C5CE7">
              <w:rPr>
                <w:sz w:val="26"/>
                <w:szCs w:val="26"/>
              </w:rPr>
              <w:br/>
              <w:t>Division</w:t>
            </w:r>
            <w:r>
              <w:rPr>
                <w:sz w:val="26"/>
                <w:szCs w:val="26"/>
              </w:rPr>
              <w:t xml:space="preserve"> </w:t>
            </w:r>
            <w:r w:rsidRPr="000C5CE7">
              <w:rPr>
                <w:sz w:val="26"/>
                <w:szCs w:val="26"/>
              </w:rPr>
              <w:t>Performance</w:t>
            </w:r>
          </w:p>
        </w:tc>
        <w:tc>
          <w:tcPr>
            <w:tcW w:w="2335" w:type="dxa"/>
            <w:shd w:val="clear" w:color="auto" w:fill="F2F2F2" w:themeFill="background1" w:themeFillShade="F2"/>
            <w:vAlign w:val="center"/>
          </w:tcPr>
          <w:p w14:paraId="458B5D7D" w14:textId="77777777" w:rsidR="00803CE9" w:rsidRPr="000C5CE7" w:rsidRDefault="00803CE9" w:rsidP="002105F2">
            <w:pPr>
              <w:jc w:val="center"/>
            </w:pPr>
            <w:r w:rsidRPr="000C5CE7">
              <w:rPr>
                <w:sz w:val="26"/>
                <w:szCs w:val="26"/>
              </w:rPr>
              <w:t>2021-2022</w:t>
            </w:r>
            <w:r w:rsidRPr="000C5CE7">
              <w:rPr>
                <w:sz w:val="26"/>
                <w:szCs w:val="26"/>
              </w:rPr>
              <w:br/>
              <w:t>State Target</w:t>
            </w:r>
          </w:p>
        </w:tc>
        <w:tc>
          <w:tcPr>
            <w:tcW w:w="2335" w:type="dxa"/>
            <w:shd w:val="clear" w:color="auto" w:fill="F2F2F2" w:themeFill="background1" w:themeFillShade="F2"/>
            <w:vAlign w:val="center"/>
          </w:tcPr>
          <w:p w14:paraId="0E8E4DB2" w14:textId="77777777" w:rsidR="00803CE9" w:rsidRPr="000C5CE7" w:rsidRDefault="00803CE9" w:rsidP="002105F2">
            <w:pPr>
              <w:tabs>
                <w:tab w:val="left" w:pos="2098"/>
              </w:tabs>
              <w:jc w:val="center"/>
            </w:pPr>
            <w:r w:rsidRPr="000C5CE7">
              <w:rPr>
                <w:sz w:val="26"/>
                <w:szCs w:val="26"/>
              </w:rPr>
              <w:t>State Target</w:t>
            </w:r>
            <w:r w:rsidRPr="000C5CE7">
              <w:rPr>
                <w:sz w:val="26"/>
                <w:szCs w:val="26"/>
              </w:rPr>
              <w:br/>
              <w:t>Met</w:t>
            </w:r>
          </w:p>
        </w:tc>
      </w:tr>
      <w:tr w:rsidR="00803CE9" w:rsidRPr="000C5CE7" w14:paraId="7AA45A6F" w14:textId="77777777" w:rsidTr="00235070">
        <w:trPr>
          <w:trHeight w:hRule="exact" w:val="720"/>
        </w:trPr>
        <w:tc>
          <w:tcPr>
            <w:tcW w:w="2335" w:type="dxa"/>
            <w:vAlign w:val="center"/>
          </w:tcPr>
          <w:p w14:paraId="3E28634A" w14:textId="77777777" w:rsidR="00803CE9" w:rsidRPr="000C5CE7" w:rsidRDefault="00803CE9" w:rsidP="008B74FA">
            <w:r w:rsidRPr="000C5CE7">
              <w:t>Grade 4</w:t>
            </w:r>
          </w:p>
        </w:tc>
        <w:tc>
          <w:tcPr>
            <w:tcW w:w="2335" w:type="dxa"/>
            <w:vAlign w:val="center"/>
          </w:tcPr>
          <w:p w14:paraId="2E75D60A" w14:textId="77777777" w:rsidR="00803CE9" w:rsidRPr="000C5CE7" w:rsidRDefault="00803CE9" w:rsidP="008B74FA">
            <w:pPr>
              <w:jc w:val="center"/>
            </w:pPr>
            <w:r>
              <w:rPr>
                <w:noProof/>
              </w:rPr>
              <w:t>100%</w:t>
            </w:r>
          </w:p>
        </w:tc>
        <w:tc>
          <w:tcPr>
            <w:tcW w:w="2335" w:type="dxa"/>
            <w:vAlign w:val="center"/>
          </w:tcPr>
          <w:p w14:paraId="79A11466" w14:textId="77777777" w:rsidR="00803CE9" w:rsidRPr="000C5CE7" w:rsidRDefault="00803CE9" w:rsidP="0069395F">
            <w:pPr>
              <w:ind w:left="128" w:hanging="128"/>
              <w:jc w:val="center"/>
            </w:pPr>
            <w:r w:rsidRPr="000C5CE7">
              <w:t>≥95.00%</w:t>
            </w:r>
          </w:p>
        </w:tc>
        <w:tc>
          <w:tcPr>
            <w:tcW w:w="2335" w:type="dxa"/>
            <w:vAlign w:val="center"/>
          </w:tcPr>
          <w:p w14:paraId="339873EF" w14:textId="77777777" w:rsidR="00803CE9" w:rsidRPr="000C5CE7" w:rsidRDefault="00803CE9" w:rsidP="00310047">
            <w:pPr>
              <w:ind w:left="81" w:right="150"/>
              <w:jc w:val="center"/>
            </w:pPr>
            <w:r>
              <w:rPr>
                <w:noProof/>
              </w:rPr>
              <w:t>Yes</w:t>
            </w:r>
          </w:p>
        </w:tc>
      </w:tr>
      <w:tr w:rsidR="00803CE9" w:rsidRPr="000C5CE7" w14:paraId="6AC90263" w14:textId="77777777" w:rsidTr="00235070">
        <w:trPr>
          <w:trHeight w:hRule="exact" w:val="720"/>
        </w:trPr>
        <w:tc>
          <w:tcPr>
            <w:tcW w:w="2335" w:type="dxa"/>
            <w:vAlign w:val="center"/>
          </w:tcPr>
          <w:p w14:paraId="0E2E4086" w14:textId="77777777" w:rsidR="00803CE9" w:rsidRPr="000C5CE7" w:rsidRDefault="00803CE9" w:rsidP="008B74FA">
            <w:r w:rsidRPr="000C5CE7">
              <w:t>Grade 8</w:t>
            </w:r>
          </w:p>
        </w:tc>
        <w:tc>
          <w:tcPr>
            <w:tcW w:w="2335" w:type="dxa"/>
            <w:vAlign w:val="center"/>
          </w:tcPr>
          <w:p w14:paraId="1F6E133F" w14:textId="77777777" w:rsidR="00803CE9" w:rsidRPr="000C5CE7" w:rsidRDefault="00803CE9" w:rsidP="008B74FA">
            <w:pPr>
              <w:jc w:val="center"/>
            </w:pPr>
            <w:r>
              <w:rPr>
                <w:noProof/>
              </w:rPr>
              <w:t>100%</w:t>
            </w:r>
          </w:p>
        </w:tc>
        <w:tc>
          <w:tcPr>
            <w:tcW w:w="2335" w:type="dxa"/>
            <w:vAlign w:val="center"/>
          </w:tcPr>
          <w:p w14:paraId="5CE52510" w14:textId="77777777" w:rsidR="00803CE9" w:rsidRPr="000C5CE7" w:rsidRDefault="00803CE9" w:rsidP="0069395F">
            <w:pPr>
              <w:ind w:left="128" w:hanging="128"/>
              <w:jc w:val="center"/>
            </w:pPr>
            <w:r w:rsidRPr="000C5CE7">
              <w:t>≥95.00%</w:t>
            </w:r>
          </w:p>
        </w:tc>
        <w:tc>
          <w:tcPr>
            <w:tcW w:w="2335" w:type="dxa"/>
            <w:vAlign w:val="center"/>
          </w:tcPr>
          <w:p w14:paraId="5DCBB419" w14:textId="77777777" w:rsidR="00803CE9" w:rsidRPr="000C5CE7" w:rsidRDefault="00803CE9" w:rsidP="00310047">
            <w:pPr>
              <w:ind w:left="81" w:right="150"/>
              <w:jc w:val="center"/>
            </w:pPr>
            <w:r>
              <w:rPr>
                <w:noProof/>
              </w:rPr>
              <w:t>Yes</w:t>
            </w:r>
          </w:p>
        </w:tc>
      </w:tr>
      <w:tr w:rsidR="00803CE9" w:rsidRPr="000C5CE7" w14:paraId="5008CFDC" w14:textId="77777777" w:rsidTr="00235070">
        <w:trPr>
          <w:trHeight w:hRule="exact" w:val="720"/>
        </w:trPr>
        <w:tc>
          <w:tcPr>
            <w:tcW w:w="2335" w:type="dxa"/>
            <w:vAlign w:val="center"/>
          </w:tcPr>
          <w:p w14:paraId="3C6D91F7" w14:textId="77777777" w:rsidR="00803CE9" w:rsidRPr="000C5CE7" w:rsidRDefault="00803CE9" w:rsidP="008B74FA">
            <w:r w:rsidRPr="000C5CE7">
              <w:t>High School</w:t>
            </w:r>
          </w:p>
        </w:tc>
        <w:tc>
          <w:tcPr>
            <w:tcW w:w="2335" w:type="dxa"/>
            <w:vAlign w:val="center"/>
          </w:tcPr>
          <w:p w14:paraId="52859043" w14:textId="77777777" w:rsidR="00803CE9" w:rsidRPr="000C5CE7" w:rsidRDefault="00803CE9" w:rsidP="008B74FA">
            <w:pPr>
              <w:jc w:val="center"/>
            </w:pPr>
            <w:r>
              <w:rPr>
                <w:noProof/>
              </w:rPr>
              <w:t>90.00%</w:t>
            </w:r>
          </w:p>
        </w:tc>
        <w:tc>
          <w:tcPr>
            <w:tcW w:w="2335" w:type="dxa"/>
            <w:vAlign w:val="center"/>
          </w:tcPr>
          <w:p w14:paraId="68FC4AE1" w14:textId="77777777" w:rsidR="00803CE9" w:rsidRPr="000C5CE7" w:rsidRDefault="00803CE9" w:rsidP="0069395F">
            <w:pPr>
              <w:ind w:left="128" w:hanging="128"/>
              <w:jc w:val="center"/>
            </w:pPr>
            <w:r w:rsidRPr="000C5CE7">
              <w:t>≥95.00%</w:t>
            </w:r>
          </w:p>
        </w:tc>
        <w:tc>
          <w:tcPr>
            <w:tcW w:w="2335" w:type="dxa"/>
            <w:vAlign w:val="center"/>
          </w:tcPr>
          <w:p w14:paraId="31D19333" w14:textId="77777777" w:rsidR="00803CE9" w:rsidRPr="000C5CE7" w:rsidRDefault="00803CE9" w:rsidP="00310047">
            <w:pPr>
              <w:ind w:left="81" w:right="150"/>
              <w:jc w:val="center"/>
            </w:pPr>
            <w:r>
              <w:rPr>
                <w:noProof/>
              </w:rPr>
              <w:t>No</w:t>
            </w:r>
          </w:p>
        </w:tc>
      </w:tr>
    </w:tbl>
    <w:p w14:paraId="7D1B1DEF" w14:textId="77777777" w:rsidR="00803CE9" w:rsidRPr="000C5CE7" w:rsidRDefault="00803CE9" w:rsidP="006A1411">
      <w:pPr>
        <w:pStyle w:val="Heading3"/>
        <w:rPr>
          <w:rFonts w:eastAsia="Calibri"/>
          <w:shd w:val="clear" w:color="auto" w:fill="FFFFFF"/>
        </w:rPr>
      </w:pPr>
      <w:proofErr w:type="spellStart"/>
      <w:r w:rsidRPr="000C5CE7">
        <w:rPr>
          <w:rFonts w:eastAsia="Calibri"/>
          <w:shd w:val="clear" w:color="auto" w:fill="FFFFFF"/>
        </w:rPr>
        <w:t>3a</w:t>
      </w:r>
      <w:proofErr w:type="spellEnd"/>
      <w:r w:rsidRPr="000C5CE7">
        <w:rPr>
          <w:rFonts w:eastAsia="Calibri"/>
          <w:shd w:val="clear" w:color="auto" w:fill="FFFFFF"/>
        </w:rPr>
        <w:t>. Participation Rate for Children with IEPs for Math</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Indicator 3a. Participation Rate for Children with IEPs for Math, by grade level, includes 2021-2022 division performance and state target, and whether or not state target was met."/>
      </w:tblPr>
      <w:tblGrid>
        <w:gridCol w:w="2335"/>
        <w:gridCol w:w="2335"/>
        <w:gridCol w:w="2335"/>
        <w:gridCol w:w="2335"/>
      </w:tblGrid>
      <w:tr w:rsidR="00803CE9" w:rsidRPr="000C5CE7" w14:paraId="53390280" w14:textId="77777777" w:rsidTr="002B3853">
        <w:trPr>
          <w:trHeight w:hRule="exact" w:val="1008"/>
          <w:tblHeader/>
        </w:trPr>
        <w:tc>
          <w:tcPr>
            <w:tcW w:w="2335" w:type="dxa"/>
            <w:shd w:val="clear" w:color="auto" w:fill="F2F2F2" w:themeFill="background1" w:themeFillShade="F2"/>
            <w:vAlign w:val="center"/>
          </w:tcPr>
          <w:p w14:paraId="14585310" w14:textId="77777777" w:rsidR="00803CE9" w:rsidRPr="000C5CE7" w:rsidRDefault="00803CE9" w:rsidP="00B44B03">
            <w:r w:rsidRPr="000C5CE7">
              <w:rPr>
                <w:sz w:val="26"/>
                <w:szCs w:val="26"/>
              </w:rPr>
              <w:t>Grade Level</w:t>
            </w:r>
          </w:p>
        </w:tc>
        <w:tc>
          <w:tcPr>
            <w:tcW w:w="2335" w:type="dxa"/>
            <w:shd w:val="clear" w:color="auto" w:fill="F2F2F2" w:themeFill="background1" w:themeFillShade="F2"/>
            <w:vAlign w:val="center"/>
          </w:tcPr>
          <w:p w14:paraId="1B773C65" w14:textId="77777777" w:rsidR="00803CE9" w:rsidRPr="000C5CE7" w:rsidRDefault="00803CE9" w:rsidP="002105F2">
            <w:pPr>
              <w:jc w:val="center"/>
            </w:pPr>
            <w:r w:rsidRPr="000C5CE7">
              <w:rPr>
                <w:sz w:val="26"/>
                <w:szCs w:val="26"/>
              </w:rPr>
              <w:t>2021-2022</w:t>
            </w:r>
            <w:r w:rsidRPr="000C5CE7">
              <w:rPr>
                <w:sz w:val="26"/>
                <w:szCs w:val="26"/>
              </w:rPr>
              <w:br/>
              <w:t>Division</w:t>
            </w:r>
            <w:r>
              <w:rPr>
                <w:sz w:val="26"/>
                <w:szCs w:val="26"/>
              </w:rPr>
              <w:t xml:space="preserve"> </w:t>
            </w:r>
            <w:r w:rsidRPr="000C5CE7">
              <w:rPr>
                <w:sz w:val="26"/>
                <w:szCs w:val="26"/>
              </w:rPr>
              <w:t>Performance</w:t>
            </w:r>
          </w:p>
        </w:tc>
        <w:tc>
          <w:tcPr>
            <w:tcW w:w="2335" w:type="dxa"/>
            <w:shd w:val="clear" w:color="auto" w:fill="F2F2F2" w:themeFill="background1" w:themeFillShade="F2"/>
            <w:vAlign w:val="center"/>
          </w:tcPr>
          <w:p w14:paraId="4854AF48" w14:textId="77777777" w:rsidR="00803CE9" w:rsidRPr="000C5CE7" w:rsidRDefault="00803CE9" w:rsidP="002105F2">
            <w:pPr>
              <w:jc w:val="center"/>
            </w:pPr>
            <w:r w:rsidRPr="000C5CE7">
              <w:rPr>
                <w:sz w:val="26"/>
                <w:szCs w:val="26"/>
              </w:rPr>
              <w:t>2021-2022</w:t>
            </w:r>
            <w:r w:rsidRPr="000C5CE7">
              <w:rPr>
                <w:sz w:val="26"/>
                <w:szCs w:val="26"/>
              </w:rPr>
              <w:br/>
              <w:t>State Target</w:t>
            </w:r>
          </w:p>
        </w:tc>
        <w:tc>
          <w:tcPr>
            <w:tcW w:w="2335" w:type="dxa"/>
            <w:shd w:val="clear" w:color="auto" w:fill="F2F2F2" w:themeFill="background1" w:themeFillShade="F2"/>
            <w:vAlign w:val="center"/>
          </w:tcPr>
          <w:p w14:paraId="73D526A8" w14:textId="77777777" w:rsidR="00803CE9" w:rsidRPr="000C5CE7" w:rsidRDefault="00803CE9" w:rsidP="002105F2">
            <w:pPr>
              <w:tabs>
                <w:tab w:val="left" w:pos="2098"/>
              </w:tabs>
              <w:jc w:val="center"/>
            </w:pPr>
            <w:r w:rsidRPr="000C5CE7">
              <w:rPr>
                <w:sz w:val="26"/>
                <w:szCs w:val="26"/>
              </w:rPr>
              <w:t>State Target</w:t>
            </w:r>
            <w:r w:rsidRPr="000C5CE7">
              <w:rPr>
                <w:sz w:val="26"/>
                <w:szCs w:val="26"/>
              </w:rPr>
              <w:br/>
              <w:t>Met</w:t>
            </w:r>
          </w:p>
        </w:tc>
      </w:tr>
      <w:tr w:rsidR="00803CE9" w:rsidRPr="000C5CE7" w14:paraId="2F23F57A" w14:textId="77777777" w:rsidTr="00235070">
        <w:trPr>
          <w:trHeight w:hRule="exact" w:val="720"/>
        </w:trPr>
        <w:tc>
          <w:tcPr>
            <w:tcW w:w="2335" w:type="dxa"/>
            <w:vAlign w:val="center"/>
          </w:tcPr>
          <w:p w14:paraId="4D21D1EC" w14:textId="77777777" w:rsidR="00803CE9" w:rsidRPr="000C5CE7" w:rsidRDefault="00803CE9" w:rsidP="00B44B03">
            <w:r w:rsidRPr="000C5CE7">
              <w:t>Grade 4</w:t>
            </w:r>
          </w:p>
        </w:tc>
        <w:tc>
          <w:tcPr>
            <w:tcW w:w="2335" w:type="dxa"/>
            <w:vAlign w:val="center"/>
          </w:tcPr>
          <w:p w14:paraId="257F3A61" w14:textId="77777777" w:rsidR="00803CE9" w:rsidRPr="000C5CE7" w:rsidRDefault="00803CE9" w:rsidP="00B44B03">
            <w:pPr>
              <w:jc w:val="center"/>
            </w:pPr>
            <w:r>
              <w:rPr>
                <w:noProof/>
              </w:rPr>
              <w:t>100%</w:t>
            </w:r>
          </w:p>
        </w:tc>
        <w:tc>
          <w:tcPr>
            <w:tcW w:w="2335" w:type="dxa"/>
            <w:vAlign w:val="center"/>
          </w:tcPr>
          <w:p w14:paraId="1CEF6771" w14:textId="77777777" w:rsidR="00803CE9" w:rsidRPr="000C5CE7" w:rsidRDefault="00803CE9" w:rsidP="00B44B03">
            <w:pPr>
              <w:jc w:val="center"/>
            </w:pPr>
            <w:r w:rsidRPr="000C5CE7">
              <w:t>≥95.00%</w:t>
            </w:r>
          </w:p>
        </w:tc>
        <w:tc>
          <w:tcPr>
            <w:tcW w:w="2335" w:type="dxa"/>
            <w:vAlign w:val="center"/>
          </w:tcPr>
          <w:p w14:paraId="2760297A" w14:textId="77777777" w:rsidR="00803CE9" w:rsidRPr="000C5CE7" w:rsidRDefault="00803CE9" w:rsidP="00310047">
            <w:pPr>
              <w:ind w:left="81" w:right="150"/>
              <w:jc w:val="center"/>
            </w:pPr>
            <w:r>
              <w:rPr>
                <w:noProof/>
              </w:rPr>
              <w:t>Yes</w:t>
            </w:r>
          </w:p>
        </w:tc>
      </w:tr>
      <w:tr w:rsidR="00803CE9" w:rsidRPr="000C5CE7" w14:paraId="7F91040A" w14:textId="77777777" w:rsidTr="00235070">
        <w:trPr>
          <w:trHeight w:hRule="exact" w:val="720"/>
        </w:trPr>
        <w:tc>
          <w:tcPr>
            <w:tcW w:w="2335" w:type="dxa"/>
            <w:vAlign w:val="center"/>
          </w:tcPr>
          <w:p w14:paraId="118D2017" w14:textId="77777777" w:rsidR="00803CE9" w:rsidRPr="000C5CE7" w:rsidRDefault="00803CE9" w:rsidP="00B44B03">
            <w:r w:rsidRPr="000C5CE7">
              <w:t>Grade 8</w:t>
            </w:r>
          </w:p>
        </w:tc>
        <w:tc>
          <w:tcPr>
            <w:tcW w:w="2335" w:type="dxa"/>
            <w:vAlign w:val="center"/>
          </w:tcPr>
          <w:p w14:paraId="6E14D2DE" w14:textId="77777777" w:rsidR="00803CE9" w:rsidRPr="000C5CE7" w:rsidRDefault="00803CE9" w:rsidP="00B44B03">
            <w:pPr>
              <w:jc w:val="center"/>
            </w:pPr>
            <w:r>
              <w:rPr>
                <w:noProof/>
              </w:rPr>
              <w:t>100%</w:t>
            </w:r>
          </w:p>
        </w:tc>
        <w:tc>
          <w:tcPr>
            <w:tcW w:w="2335" w:type="dxa"/>
            <w:vAlign w:val="center"/>
          </w:tcPr>
          <w:p w14:paraId="2FEA778D" w14:textId="77777777" w:rsidR="00803CE9" w:rsidRPr="000C5CE7" w:rsidRDefault="00803CE9" w:rsidP="00B44B03">
            <w:pPr>
              <w:jc w:val="center"/>
            </w:pPr>
            <w:r w:rsidRPr="000C5CE7">
              <w:t>≥95.00%</w:t>
            </w:r>
          </w:p>
        </w:tc>
        <w:tc>
          <w:tcPr>
            <w:tcW w:w="2335" w:type="dxa"/>
            <w:vAlign w:val="center"/>
          </w:tcPr>
          <w:p w14:paraId="50F91B16" w14:textId="77777777" w:rsidR="00803CE9" w:rsidRPr="000C5CE7" w:rsidRDefault="00803CE9" w:rsidP="00310047">
            <w:pPr>
              <w:ind w:left="81" w:right="150"/>
              <w:jc w:val="center"/>
            </w:pPr>
            <w:r>
              <w:rPr>
                <w:noProof/>
              </w:rPr>
              <w:t>Yes</w:t>
            </w:r>
          </w:p>
        </w:tc>
      </w:tr>
      <w:tr w:rsidR="00803CE9" w:rsidRPr="000C5CE7" w14:paraId="42CAD24C" w14:textId="77777777" w:rsidTr="00235070">
        <w:trPr>
          <w:trHeight w:hRule="exact" w:val="720"/>
        </w:trPr>
        <w:tc>
          <w:tcPr>
            <w:tcW w:w="2335" w:type="dxa"/>
            <w:vAlign w:val="center"/>
          </w:tcPr>
          <w:p w14:paraId="7954E6CB" w14:textId="77777777" w:rsidR="00803CE9" w:rsidRPr="000C5CE7" w:rsidRDefault="00803CE9" w:rsidP="00B44B03">
            <w:r w:rsidRPr="000C5CE7">
              <w:t>High School</w:t>
            </w:r>
          </w:p>
        </w:tc>
        <w:tc>
          <w:tcPr>
            <w:tcW w:w="2335" w:type="dxa"/>
            <w:vAlign w:val="center"/>
          </w:tcPr>
          <w:p w14:paraId="492700FE" w14:textId="77777777" w:rsidR="00803CE9" w:rsidRPr="000C5CE7" w:rsidRDefault="00803CE9" w:rsidP="00B44B03">
            <w:pPr>
              <w:jc w:val="center"/>
            </w:pPr>
            <w:r>
              <w:rPr>
                <w:noProof/>
              </w:rPr>
              <w:t>93.33%</w:t>
            </w:r>
          </w:p>
        </w:tc>
        <w:tc>
          <w:tcPr>
            <w:tcW w:w="2335" w:type="dxa"/>
            <w:vAlign w:val="center"/>
          </w:tcPr>
          <w:p w14:paraId="785DE4DD" w14:textId="77777777" w:rsidR="00803CE9" w:rsidRPr="000C5CE7" w:rsidRDefault="00803CE9" w:rsidP="00B44B03">
            <w:pPr>
              <w:jc w:val="center"/>
            </w:pPr>
            <w:r w:rsidRPr="000C5CE7">
              <w:t>≥95.00%</w:t>
            </w:r>
          </w:p>
        </w:tc>
        <w:tc>
          <w:tcPr>
            <w:tcW w:w="2335" w:type="dxa"/>
            <w:vAlign w:val="center"/>
          </w:tcPr>
          <w:p w14:paraId="4521F543" w14:textId="77777777" w:rsidR="00803CE9" w:rsidRPr="000C5CE7" w:rsidRDefault="00803CE9" w:rsidP="00310047">
            <w:pPr>
              <w:ind w:left="81" w:right="150"/>
              <w:jc w:val="center"/>
            </w:pPr>
            <w:r>
              <w:rPr>
                <w:noProof/>
              </w:rPr>
              <w:t>No</w:t>
            </w:r>
          </w:p>
        </w:tc>
      </w:tr>
    </w:tbl>
    <w:p w14:paraId="79F287F8" w14:textId="77777777" w:rsidR="00803CE9" w:rsidRPr="000C5CE7" w:rsidRDefault="00803CE9" w:rsidP="007C38E1">
      <w:pPr>
        <w:pStyle w:val="Heading3"/>
      </w:pPr>
      <w:proofErr w:type="spellStart"/>
      <w:r w:rsidRPr="000C5CE7">
        <w:t>3b</w:t>
      </w:r>
      <w:proofErr w:type="spellEnd"/>
      <w:r w:rsidRPr="000C5CE7">
        <w:t>. Proficiency Rate for Children with IEPs against Grade-Level Academic Achievement Standards for English/Reading</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Indicator 3b. Proficiency Rate for Children with IEPs against Grade-Level Academic Achievement Standards for English/Reading, by grade level, includes 2021-2022 division performance and state target, and whether or not state target was met."/>
      </w:tblPr>
      <w:tblGrid>
        <w:gridCol w:w="2333"/>
        <w:gridCol w:w="2333"/>
        <w:gridCol w:w="2333"/>
        <w:gridCol w:w="2333"/>
      </w:tblGrid>
      <w:tr w:rsidR="00803CE9" w:rsidRPr="000C5CE7" w14:paraId="1F9DF305" w14:textId="77777777" w:rsidTr="00EB3EC4">
        <w:trPr>
          <w:trHeight w:hRule="exact" w:val="1008"/>
          <w:tblHeader/>
        </w:trPr>
        <w:tc>
          <w:tcPr>
            <w:tcW w:w="2333" w:type="dxa"/>
            <w:shd w:val="clear" w:color="auto" w:fill="F2F2F2" w:themeFill="background1" w:themeFillShade="F2"/>
            <w:vAlign w:val="center"/>
          </w:tcPr>
          <w:p w14:paraId="6857378B" w14:textId="77777777" w:rsidR="00803CE9" w:rsidRPr="000C5CE7" w:rsidRDefault="00803CE9" w:rsidP="00B44B03">
            <w:r w:rsidRPr="000C5CE7">
              <w:rPr>
                <w:sz w:val="26"/>
                <w:szCs w:val="26"/>
              </w:rPr>
              <w:t>Grade Level</w:t>
            </w:r>
          </w:p>
        </w:tc>
        <w:tc>
          <w:tcPr>
            <w:tcW w:w="2333" w:type="dxa"/>
            <w:shd w:val="clear" w:color="auto" w:fill="F2F2F2" w:themeFill="background1" w:themeFillShade="F2"/>
            <w:vAlign w:val="center"/>
          </w:tcPr>
          <w:p w14:paraId="74FAB279" w14:textId="77777777" w:rsidR="00803CE9" w:rsidRPr="000C5CE7" w:rsidRDefault="00803CE9" w:rsidP="002105F2">
            <w:pPr>
              <w:jc w:val="center"/>
            </w:pPr>
            <w:r w:rsidRPr="000C5CE7">
              <w:rPr>
                <w:sz w:val="26"/>
                <w:szCs w:val="26"/>
              </w:rPr>
              <w:t>2021-2022</w:t>
            </w:r>
            <w:r w:rsidRPr="000C5CE7">
              <w:rPr>
                <w:sz w:val="26"/>
                <w:szCs w:val="26"/>
              </w:rPr>
              <w:br/>
              <w:t>Division</w:t>
            </w:r>
            <w:r>
              <w:rPr>
                <w:sz w:val="26"/>
                <w:szCs w:val="26"/>
              </w:rPr>
              <w:t xml:space="preserve"> </w:t>
            </w:r>
            <w:r w:rsidRPr="000C5CE7">
              <w:rPr>
                <w:sz w:val="26"/>
                <w:szCs w:val="26"/>
              </w:rPr>
              <w:t>Performance</w:t>
            </w:r>
          </w:p>
        </w:tc>
        <w:tc>
          <w:tcPr>
            <w:tcW w:w="2333" w:type="dxa"/>
            <w:shd w:val="clear" w:color="auto" w:fill="F2F2F2" w:themeFill="background1" w:themeFillShade="F2"/>
            <w:vAlign w:val="center"/>
          </w:tcPr>
          <w:p w14:paraId="509DCA23" w14:textId="77777777" w:rsidR="00803CE9" w:rsidRPr="000C5CE7" w:rsidRDefault="00803CE9" w:rsidP="002105F2">
            <w:pPr>
              <w:jc w:val="center"/>
            </w:pPr>
            <w:r w:rsidRPr="000C5CE7">
              <w:rPr>
                <w:sz w:val="26"/>
                <w:szCs w:val="26"/>
              </w:rPr>
              <w:t>2021-2022</w:t>
            </w:r>
            <w:r w:rsidRPr="000C5CE7">
              <w:rPr>
                <w:sz w:val="26"/>
                <w:szCs w:val="26"/>
              </w:rPr>
              <w:br/>
              <w:t>State Target</w:t>
            </w:r>
          </w:p>
        </w:tc>
        <w:tc>
          <w:tcPr>
            <w:tcW w:w="2333" w:type="dxa"/>
            <w:shd w:val="clear" w:color="auto" w:fill="F2F2F2" w:themeFill="background1" w:themeFillShade="F2"/>
            <w:vAlign w:val="center"/>
          </w:tcPr>
          <w:p w14:paraId="5060760F" w14:textId="77777777" w:rsidR="00803CE9" w:rsidRPr="000C5CE7" w:rsidRDefault="00803CE9" w:rsidP="002105F2">
            <w:pPr>
              <w:tabs>
                <w:tab w:val="left" w:pos="2098"/>
              </w:tabs>
              <w:jc w:val="center"/>
            </w:pPr>
            <w:r w:rsidRPr="000C5CE7">
              <w:rPr>
                <w:sz w:val="26"/>
                <w:szCs w:val="26"/>
              </w:rPr>
              <w:t>State Target</w:t>
            </w:r>
            <w:r w:rsidRPr="000C5CE7">
              <w:rPr>
                <w:sz w:val="26"/>
                <w:szCs w:val="26"/>
              </w:rPr>
              <w:br/>
              <w:t>Met</w:t>
            </w:r>
          </w:p>
        </w:tc>
      </w:tr>
      <w:tr w:rsidR="00803CE9" w:rsidRPr="000C5CE7" w14:paraId="63BB56FE" w14:textId="77777777" w:rsidTr="00EB3EC4">
        <w:trPr>
          <w:trHeight w:hRule="exact" w:val="720"/>
        </w:trPr>
        <w:tc>
          <w:tcPr>
            <w:tcW w:w="2333" w:type="dxa"/>
            <w:vAlign w:val="center"/>
          </w:tcPr>
          <w:p w14:paraId="0980CAEE" w14:textId="77777777" w:rsidR="00803CE9" w:rsidRPr="000C5CE7" w:rsidRDefault="00803CE9" w:rsidP="000C5CE7">
            <w:r w:rsidRPr="000C5CE7">
              <w:t>Grade 4</w:t>
            </w:r>
          </w:p>
        </w:tc>
        <w:tc>
          <w:tcPr>
            <w:tcW w:w="2333" w:type="dxa"/>
            <w:vAlign w:val="center"/>
          </w:tcPr>
          <w:p w14:paraId="2CF5C436" w14:textId="77777777" w:rsidR="00803CE9" w:rsidRPr="000C5CE7" w:rsidRDefault="00803CE9" w:rsidP="000C5CE7">
            <w:pPr>
              <w:jc w:val="center"/>
            </w:pPr>
            <w:r>
              <w:rPr>
                <w:noProof/>
              </w:rPr>
              <w:t>34.78%</w:t>
            </w:r>
          </w:p>
        </w:tc>
        <w:tc>
          <w:tcPr>
            <w:tcW w:w="2333" w:type="dxa"/>
            <w:vAlign w:val="center"/>
          </w:tcPr>
          <w:p w14:paraId="6B75047C" w14:textId="77777777" w:rsidR="00803CE9" w:rsidRPr="000C5CE7" w:rsidRDefault="00803CE9" w:rsidP="000C5CE7">
            <w:pPr>
              <w:jc w:val="center"/>
            </w:pPr>
            <w:r w:rsidRPr="000C5CE7">
              <w:t>≥38.55%</w:t>
            </w:r>
          </w:p>
        </w:tc>
        <w:tc>
          <w:tcPr>
            <w:tcW w:w="2333" w:type="dxa"/>
            <w:vAlign w:val="center"/>
          </w:tcPr>
          <w:p w14:paraId="033A0415" w14:textId="77777777" w:rsidR="00803CE9" w:rsidRPr="000C5CE7" w:rsidRDefault="00803CE9" w:rsidP="000C5CE7">
            <w:pPr>
              <w:ind w:left="81" w:right="150"/>
              <w:jc w:val="center"/>
            </w:pPr>
            <w:r>
              <w:rPr>
                <w:noProof/>
              </w:rPr>
              <w:t>No</w:t>
            </w:r>
          </w:p>
        </w:tc>
      </w:tr>
      <w:tr w:rsidR="00803CE9" w:rsidRPr="000C5CE7" w14:paraId="4AFAD8E6" w14:textId="77777777" w:rsidTr="00EB3EC4">
        <w:trPr>
          <w:trHeight w:hRule="exact" w:val="720"/>
        </w:trPr>
        <w:tc>
          <w:tcPr>
            <w:tcW w:w="2333" w:type="dxa"/>
            <w:vAlign w:val="center"/>
          </w:tcPr>
          <w:p w14:paraId="2505456A" w14:textId="77777777" w:rsidR="00803CE9" w:rsidRPr="000C5CE7" w:rsidRDefault="00803CE9" w:rsidP="000C5CE7">
            <w:r w:rsidRPr="000C5CE7">
              <w:t>Grade 8</w:t>
            </w:r>
          </w:p>
        </w:tc>
        <w:tc>
          <w:tcPr>
            <w:tcW w:w="2333" w:type="dxa"/>
            <w:vAlign w:val="center"/>
          </w:tcPr>
          <w:p w14:paraId="5644B6A4" w14:textId="77777777" w:rsidR="00803CE9" w:rsidRPr="000C5CE7" w:rsidRDefault="00803CE9" w:rsidP="000C5CE7">
            <w:pPr>
              <w:jc w:val="center"/>
            </w:pPr>
            <w:r>
              <w:rPr>
                <w:noProof/>
              </w:rPr>
              <w:t>14.29%</w:t>
            </w:r>
          </w:p>
        </w:tc>
        <w:tc>
          <w:tcPr>
            <w:tcW w:w="2333" w:type="dxa"/>
            <w:vAlign w:val="center"/>
          </w:tcPr>
          <w:p w14:paraId="251FA831" w14:textId="77777777" w:rsidR="00803CE9" w:rsidRPr="000C5CE7" w:rsidRDefault="00803CE9" w:rsidP="000C5CE7">
            <w:pPr>
              <w:jc w:val="center"/>
            </w:pPr>
            <w:r w:rsidRPr="000C5CE7">
              <w:t>≥31.18%</w:t>
            </w:r>
          </w:p>
        </w:tc>
        <w:tc>
          <w:tcPr>
            <w:tcW w:w="2333" w:type="dxa"/>
            <w:vAlign w:val="center"/>
          </w:tcPr>
          <w:p w14:paraId="4A8427E2" w14:textId="77777777" w:rsidR="00803CE9" w:rsidRPr="000C5CE7" w:rsidRDefault="00803CE9" w:rsidP="000C5CE7">
            <w:pPr>
              <w:ind w:left="81" w:right="150"/>
              <w:jc w:val="center"/>
            </w:pPr>
            <w:r>
              <w:rPr>
                <w:noProof/>
              </w:rPr>
              <w:t>No</w:t>
            </w:r>
          </w:p>
        </w:tc>
      </w:tr>
      <w:tr w:rsidR="00803CE9" w:rsidRPr="000C5CE7" w14:paraId="119004BC" w14:textId="77777777" w:rsidTr="00EB3EC4">
        <w:trPr>
          <w:trHeight w:hRule="exact" w:val="720"/>
        </w:trPr>
        <w:tc>
          <w:tcPr>
            <w:tcW w:w="2333" w:type="dxa"/>
            <w:vAlign w:val="center"/>
          </w:tcPr>
          <w:p w14:paraId="145FDA8E" w14:textId="77777777" w:rsidR="00803CE9" w:rsidRPr="000C5CE7" w:rsidRDefault="00803CE9" w:rsidP="000C5CE7">
            <w:r w:rsidRPr="000C5CE7">
              <w:t>High School</w:t>
            </w:r>
          </w:p>
        </w:tc>
        <w:tc>
          <w:tcPr>
            <w:tcW w:w="2333" w:type="dxa"/>
            <w:vAlign w:val="center"/>
          </w:tcPr>
          <w:p w14:paraId="3C503BC0" w14:textId="77777777" w:rsidR="00803CE9" w:rsidRPr="000C5CE7" w:rsidRDefault="00803CE9" w:rsidP="000C5CE7">
            <w:pPr>
              <w:jc w:val="center"/>
            </w:pPr>
            <w:r>
              <w:rPr>
                <w:noProof/>
              </w:rPr>
              <w:t>23.53%</w:t>
            </w:r>
          </w:p>
        </w:tc>
        <w:tc>
          <w:tcPr>
            <w:tcW w:w="2333" w:type="dxa"/>
            <w:vAlign w:val="center"/>
          </w:tcPr>
          <w:p w14:paraId="6D10F722" w14:textId="77777777" w:rsidR="00803CE9" w:rsidRPr="000C5CE7" w:rsidRDefault="00803CE9" w:rsidP="000C5CE7">
            <w:pPr>
              <w:jc w:val="center"/>
            </w:pPr>
            <w:r w:rsidRPr="000C5CE7">
              <w:t>≥48.45%</w:t>
            </w:r>
          </w:p>
        </w:tc>
        <w:tc>
          <w:tcPr>
            <w:tcW w:w="2333" w:type="dxa"/>
            <w:vAlign w:val="center"/>
          </w:tcPr>
          <w:p w14:paraId="3EE5D102" w14:textId="77777777" w:rsidR="00803CE9" w:rsidRPr="000C5CE7" w:rsidRDefault="00803CE9" w:rsidP="000C5CE7">
            <w:pPr>
              <w:ind w:left="81" w:right="150"/>
              <w:jc w:val="center"/>
            </w:pPr>
            <w:r>
              <w:rPr>
                <w:noProof/>
              </w:rPr>
              <w:t>No</w:t>
            </w:r>
          </w:p>
        </w:tc>
      </w:tr>
    </w:tbl>
    <w:p w14:paraId="5D124CF4" w14:textId="77777777" w:rsidR="00803CE9" w:rsidRPr="000C5CE7" w:rsidRDefault="00803CE9" w:rsidP="007C38E1">
      <w:pPr>
        <w:pStyle w:val="Heading3"/>
      </w:pPr>
      <w:proofErr w:type="spellStart"/>
      <w:r w:rsidRPr="000C5CE7">
        <w:lastRenderedPageBreak/>
        <w:t>3b</w:t>
      </w:r>
      <w:proofErr w:type="spellEnd"/>
      <w:r w:rsidRPr="000C5CE7">
        <w:t>. Proficiency Rate for Children with IEPs against Grade-Level Academic Achievement Standards for Math</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Indicator 3b. Proficiency Rate for Children with IEPs against Grade-Level Academic Achievement Standards for Math, by grade level, includes 2021-2022 division performance and state target, and whether or not state target was met."/>
      </w:tblPr>
      <w:tblGrid>
        <w:gridCol w:w="2333"/>
        <w:gridCol w:w="2333"/>
        <w:gridCol w:w="2333"/>
        <w:gridCol w:w="2333"/>
      </w:tblGrid>
      <w:tr w:rsidR="00803CE9" w:rsidRPr="000C5CE7" w14:paraId="771322D2" w14:textId="77777777" w:rsidTr="00EB3EC4">
        <w:trPr>
          <w:trHeight w:hRule="exact" w:val="1001"/>
          <w:tblHeader/>
        </w:trPr>
        <w:tc>
          <w:tcPr>
            <w:tcW w:w="2333" w:type="dxa"/>
            <w:shd w:val="clear" w:color="auto" w:fill="F2F2F2" w:themeFill="background1" w:themeFillShade="F2"/>
            <w:vAlign w:val="center"/>
          </w:tcPr>
          <w:p w14:paraId="221F105F" w14:textId="77777777" w:rsidR="00803CE9" w:rsidRPr="000C5CE7" w:rsidRDefault="00803CE9" w:rsidP="00B44B03">
            <w:r w:rsidRPr="000C5CE7">
              <w:rPr>
                <w:sz w:val="26"/>
                <w:szCs w:val="26"/>
              </w:rPr>
              <w:t>Grade Level</w:t>
            </w:r>
          </w:p>
        </w:tc>
        <w:tc>
          <w:tcPr>
            <w:tcW w:w="2333" w:type="dxa"/>
            <w:shd w:val="clear" w:color="auto" w:fill="F2F2F2" w:themeFill="background1" w:themeFillShade="F2"/>
            <w:vAlign w:val="center"/>
          </w:tcPr>
          <w:p w14:paraId="1CC3DD49" w14:textId="77777777" w:rsidR="00803CE9" w:rsidRPr="000C5CE7" w:rsidRDefault="00803CE9" w:rsidP="002105F2">
            <w:pPr>
              <w:jc w:val="center"/>
            </w:pPr>
            <w:r w:rsidRPr="000C5CE7">
              <w:rPr>
                <w:sz w:val="26"/>
                <w:szCs w:val="26"/>
              </w:rPr>
              <w:t>2021-2022</w:t>
            </w:r>
            <w:r w:rsidRPr="000C5CE7">
              <w:rPr>
                <w:sz w:val="26"/>
                <w:szCs w:val="26"/>
              </w:rPr>
              <w:br/>
              <w:t>Division</w:t>
            </w:r>
            <w:r>
              <w:rPr>
                <w:sz w:val="26"/>
                <w:szCs w:val="26"/>
              </w:rPr>
              <w:t xml:space="preserve"> </w:t>
            </w:r>
            <w:r w:rsidRPr="000C5CE7">
              <w:rPr>
                <w:sz w:val="26"/>
                <w:szCs w:val="26"/>
              </w:rPr>
              <w:t>Performance</w:t>
            </w:r>
          </w:p>
        </w:tc>
        <w:tc>
          <w:tcPr>
            <w:tcW w:w="2333" w:type="dxa"/>
            <w:shd w:val="clear" w:color="auto" w:fill="F2F2F2" w:themeFill="background1" w:themeFillShade="F2"/>
            <w:vAlign w:val="center"/>
          </w:tcPr>
          <w:p w14:paraId="210D0C05" w14:textId="77777777" w:rsidR="00803CE9" w:rsidRPr="000C5CE7" w:rsidRDefault="00803CE9" w:rsidP="002105F2">
            <w:pPr>
              <w:jc w:val="center"/>
            </w:pPr>
            <w:r w:rsidRPr="000C5CE7">
              <w:rPr>
                <w:sz w:val="26"/>
                <w:szCs w:val="26"/>
              </w:rPr>
              <w:t>2021-2022</w:t>
            </w:r>
            <w:r w:rsidRPr="000C5CE7">
              <w:rPr>
                <w:sz w:val="26"/>
                <w:szCs w:val="26"/>
              </w:rPr>
              <w:br/>
              <w:t>State Target</w:t>
            </w:r>
          </w:p>
        </w:tc>
        <w:tc>
          <w:tcPr>
            <w:tcW w:w="2333" w:type="dxa"/>
            <w:shd w:val="clear" w:color="auto" w:fill="F2F2F2" w:themeFill="background1" w:themeFillShade="F2"/>
            <w:vAlign w:val="center"/>
          </w:tcPr>
          <w:p w14:paraId="0C92CEC5" w14:textId="77777777" w:rsidR="00803CE9" w:rsidRPr="000C5CE7" w:rsidRDefault="00803CE9" w:rsidP="002105F2">
            <w:pPr>
              <w:tabs>
                <w:tab w:val="left" w:pos="2098"/>
              </w:tabs>
              <w:jc w:val="center"/>
            </w:pPr>
            <w:r w:rsidRPr="000C5CE7">
              <w:rPr>
                <w:sz w:val="26"/>
                <w:szCs w:val="26"/>
              </w:rPr>
              <w:t>State Target</w:t>
            </w:r>
            <w:r w:rsidRPr="000C5CE7">
              <w:rPr>
                <w:sz w:val="26"/>
                <w:szCs w:val="26"/>
              </w:rPr>
              <w:br/>
              <w:t>Met</w:t>
            </w:r>
          </w:p>
        </w:tc>
      </w:tr>
      <w:tr w:rsidR="00803CE9" w:rsidRPr="000C5CE7" w14:paraId="4D9495E5" w14:textId="77777777" w:rsidTr="00EB3EC4">
        <w:trPr>
          <w:trHeight w:hRule="exact" w:val="720"/>
        </w:trPr>
        <w:tc>
          <w:tcPr>
            <w:tcW w:w="2333" w:type="dxa"/>
            <w:vAlign w:val="center"/>
          </w:tcPr>
          <w:p w14:paraId="342BC887" w14:textId="77777777" w:rsidR="00803CE9" w:rsidRPr="000C5CE7" w:rsidRDefault="00803CE9" w:rsidP="000C5CE7">
            <w:r w:rsidRPr="000C5CE7">
              <w:t>Grade 4</w:t>
            </w:r>
          </w:p>
        </w:tc>
        <w:tc>
          <w:tcPr>
            <w:tcW w:w="2333" w:type="dxa"/>
            <w:vAlign w:val="center"/>
          </w:tcPr>
          <w:p w14:paraId="0EB8AECC" w14:textId="77777777" w:rsidR="00803CE9" w:rsidRPr="000C5CE7" w:rsidRDefault="00803CE9" w:rsidP="000C5CE7">
            <w:pPr>
              <w:jc w:val="center"/>
            </w:pPr>
            <w:r>
              <w:rPr>
                <w:noProof/>
              </w:rPr>
              <w:t>17.39%</w:t>
            </w:r>
          </w:p>
        </w:tc>
        <w:tc>
          <w:tcPr>
            <w:tcW w:w="2333" w:type="dxa"/>
            <w:vAlign w:val="center"/>
          </w:tcPr>
          <w:p w14:paraId="5E169416" w14:textId="77777777" w:rsidR="00803CE9" w:rsidRPr="000C5CE7" w:rsidRDefault="00803CE9" w:rsidP="000C5CE7">
            <w:pPr>
              <w:jc w:val="center"/>
            </w:pPr>
            <w:r w:rsidRPr="000C5CE7">
              <w:t>≥28.45%</w:t>
            </w:r>
          </w:p>
        </w:tc>
        <w:tc>
          <w:tcPr>
            <w:tcW w:w="2333" w:type="dxa"/>
            <w:vAlign w:val="center"/>
          </w:tcPr>
          <w:p w14:paraId="233BF0E0" w14:textId="77777777" w:rsidR="00803CE9" w:rsidRPr="000C5CE7" w:rsidRDefault="00803CE9" w:rsidP="000C5CE7">
            <w:pPr>
              <w:ind w:left="81" w:right="150"/>
              <w:jc w:val="center"/>
            </w:pPr>
            <w:r>
              <w:rPr>
                <w:noProof/>
              </w:rPr>
              <w:t>No</w:t>
            </w:r>
          </w:p>
        </w:tc>
      </w:tr>
      <w:tr w:rsidR="00803CE9" w:rsidRPr="000C5CE7" w14:paraId="33F17C91" w14:textId="77777777" w:rsidTr="00EB3EC4">
        <w:trPr>
          <w:trHeight w:hRule="exact" w:val="720"/>
        </w:trPr>
        <w:tc>
          <w:tcPr>
            <w:tcW w:w="2333" w:type="dxa"/>
            <w:vAlign w:val="center"/>
          </w:tcPr>
          <w:p w14:paraId="584747D5" w14:textId="77777777" w:rsidR="00803CE9" w:rsidRPr="000C5CE7" w:rsidRDefault="00803CE9" w:rsidP="000C5CE7">
            <w:r w:rsidRPr="000C5CE7">
              <w:t>Grade 8</w:t>
            </w:r>
          </w:p>
        </w:tc>
        <w:tc>
          <w:tcPr>
            <w:tcW w:w="2333" w:type="dxa"/>
            <w:vAlign w:val="center"/>
          </w:tcPr>
          <w:p w14:paraId="419BA7D2" w14:textId="77777777" w:rsidR="00803CE9" w:rsidRPr="000C5CE7" w:rsidRDefault="00803CE9" w:rsidP="000C5CE7">
            <w:pPr>
              <w:jc w:val="center"/>
            </w:pPr>
            <w:r>
              <w:rPr>
                <w:noProof/>
              </w:rPr>
              <w:t>19.05%</w:t>
            </w:r>
          </w:p>
        </w:tc>
        <w:tc>
          <w:tcPr>
            <w:tcW w:w="2333" w:type="dxa"/>
            <w:vAlign w:val="center"/>
          </w:tcPr>
          <w:p w14:paraId="0B81FD48" w14:textId="77777777" w:rsidR="00803CE9" w:rsidRPr="000C5CE7" w:rsidRDefault="00803CE9" w:rsidP="000C5CE7">
            <w:pPr>
              <w:jc w:val="center"/>
            </w:pPr>
            <w:r w:rsidRPr="000C5CE7">
              <w:t>≥22.25%</w:t>
            </w:r>
          </w:p>
        </w:tc>
        <w:tc>
          <w:tcPr>
            <w:tcW w:w="2333" w:type="dxa"/>
            <w:vAlign w:val="center"/>
          </w:tcPr>
          <w:p w14:paraId="14DE6C68" w14:textId="77777777" w:rsidR="00803CE9" w:rsidRPr="000C5CE7" w:rsidRDefault="00803CE9" w:rsidP="000C5CE7">
            <w:pPr>
              <w:ind w:left="81" w:right="150"/>
              <w:jc w:val="center"/>
            </w:pPr>
            <w:r>
              <w:rPr>
                <w:noProof/>
              </w:rPr>
              <w:t>No</w:t>
            </w:r>
          </w:p>
        </w:tc>
      </w:tr>
      <w:tr w:rsidR="00803CE9" w:rsidRPr="000C5CE7" w14:paraId="58567A08" w14:textId="77777777" w:rsidTr="00EB3EC4">
        <w:trPr>
          <w:trHeight w:hRule="exact" w:val="720"/>
        </w:trPr>
        <w:tc>
          <w:tcPr>
            <w:tcW w:w="2333" w:type="dxa"/>
            <w:vAlign w:val="center"/>
          </w:tcPr>
          <w:p w14:paraId="524495A6" w14:textId="77777777" w:rsidR="00803CE9" w:rsidRPr="000C5CE7" w:rsidRDefault="00803CE9" w:rsidP="000C5CE7">
            <w:r w:rsidRPr="000C5CE7">
              <w:t>High School</w:t>
            </w:r>
          </w:p>
        </w:tc>
        <w:tc>
          <w:tcPr>
            <w:tcW w:w="2333" w:type="dxa"/>
            <w:vAlign w:val="center"/>
          </w:tcPr>
          <w:p w14:paraId="2C2DEC61" w14:textId="77777777" w:rsidR="00803CE9" w:rsidRPr="000C5CE7" w:rsidRDefault="00803CE9" w:rsidP="000C5CE7">
            <w:pPr>
              <w:jc w:val="center"/>
            </w:pPr>
            <w:r>
              <w:rPr>
                <w:noProof/>
              </w:rPr>
              <w:t>85.71%</w:t>
            </w:r>
          </w:p>
        </w:tc>
        <w:tc>
          <w:tcPr>
            <w:tcW w:w="2333" w:type="dxa"/>
            <w:vAlign w:val="center"/>
          </w:tcPr>
          <w:p w14:paraId="78D20E5D" w14:textId="77777777" w:rsidR="00803CE9" w:rsidRPr="000C5CE7" w:rsidRDefault="00803CE9" w:rsidP="000C5CE7">
            <w:pPr>
              <w:jc w:val="center"/>
            </w:pPr>
            <w:r w:rsidRPr="000C5CE7">
              <w:t>≥38.10%</w:t>
            </w:r>
          </w:p>
        </w:tc>
        <w:tc>
          <w:tcPr>
            <w:tcW w:w="2333" w:type="dxa"/>
            <w:vAlign w:val="center"/>
          </w:tcPr>
          <w:p w14:paraId="2D7E10C7" w14:textId="77777777" w:rsidR="00803CE9" w:rsidRPr="000C5CE7" w:rsidRDefault="00803CE9" w:rsidP="000C5CE7">
            <w:pPr>
              <w:ind w:left="81" w:right="150"/>
              <w:jc w:val="center"/>
            </w:pPr>
            <w:r>
              <w:rPr>
                <w:noProof/>
              </w:rPr>
              <w:t>Yes</w:t>
            </w:r>
          </w:p>
        </w:tc>
      </w:tr>
    </w:tbl>
    <w:p w14:paraId="089479A6" w14:textId="77777777" w:rsidR="00803CE9" w:rsidRPr="000C5CE7" w:rsidRDefault="00803CE9" w:rsidP="00BB1229">
      <w:pPr>
        <w:pStyle w:val="Heading3"/>
      </w:pPr>
      <w:proofErr w:type="spellStart"/>
      <w:r w:rsidRPr="000C5CE7">
        <w:t>3c</w:t>
      </w:r>
      <w:proofErr w:type="spellEnd"/>
      <w:r w:rsidRPr="000C5CE7">
        <w:t>. Proficiency Rate for Children with IEPs against Alternate Academic Achievement Standards for English/Reading</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Indicator 3c. Proficiency Rate for Children with IEPs against Alternate Academic Achievement Standards for English/Reading, by grade level, includes 2021-2022 division performance and state target, and whether or not state target was met."/>
      </w:tblPr>
      <w:tblGrid>
        <w:gridCol w:w="2333"/>
        <w:gridCol w:w="2333"/>
        <w:gridCol w:w="2333"/>
        <w:gridCol w:w="2333"/>
      </w:tblGrid>
      <w:tr w:rsidR="00803CE9" w:rsidRPr="000C5CE7" w14:paraId="3085C33E" w14:textId="77777777" w:rsidTr="00EB3EC4">
        <w:trPr>
          <w:trHeight w:hRule="exact" w:val="1001"/>
          <w:tblHeader/>
        </w:trPr>
        <w:tc>
          <w:tcPr>
            <w:tcW w:w="2333" w:type="dxa"/>
            <w:shd w:val="clear" w:color="auto" w:fill="F2F2F2" w:themeFill="background1" w:themeFillShade="F2"/>
            <w:vAlign w:val="center"/>
          </w:tcPr>
          <w:p w14:paraId="430B88A1" w14:textId="77777777" w:rsidR="00803CE9" w:rsidRPr="000C5CE7" w:rsidRDefault="00803CE9" w:rsidP="00B44B03">
            <w:r w:rsidRPr="000C5CE7">
              <w:rPr>
                <w:sz w:val="26"/>
                <w:szCs w:val="26"/>
              </w:rPr>
              <w:t>Grade Level</w:t>
            </w:r>
          </w:p>
        </w:tc>
        <w:tc>
          <w:tcPr>
            <w:tcW w:w="2333" w:type="dxa"/>
            <w:shd w:val="clear" w:color="auto" w:fill="F2F2F2" w:themeFill="background1" w:themeFillShade="F2"/>
            <w:vAlign w:val="center"/>
          </w:tcPr>
          <w:p w14:paraId="2C857297" w14:textId="77777777" w:rsidR="00803CE9" w:rsidRPr="000C5CE7" w:rsidRDefault="00803CE9" w:rsidP="002105F2">
            <w:pPr>
              <w:jc w:val="center"/>
            </w:pPr>
            <w:r w:rsidRPr="000C5CE7">
              <w:rPr>
                <w:sz w:val="26"/>
                <w:szCs w:val="26"/>
              </w:rPr>
              <w:t>2021-2022</w:t>
            </w:r>
            <w:r w:rsidRPr="000C5CE7">
              <w:rPr>
                <w:sz w:val="26"/>
                <w:szCs w:val="26"/>
              </w:rPr>
              <w:br/>
              <w:t>Division</w:t>
            </w:r>
            <w:r>
              <w:rPr>
                <w:sz w:val="26"/>
                <w:szCs w:val="26"/>
              </w:rPr>
              <w:t xml:space="preserve"> </w:t>
            </w:r>
            <w:r w:rsidRPr="000C5CE7">
              <w:rPr>
                <w:sz w:val="26"/>
                <w:szCs w:val="26"/>
              </w:rPr>
              <w:t>Performance</w:t>
            </w:r>
          </w:p>
        </w:tc>
        <w:tc>
          <w:tcPr>
            <w:tcW w:w="2333" w:type="dxa"/>
            <w:shd w:val="clear" w:color="auto" w:fill="F2F2F2" w:themeFill="background1" w:themeFillShade="F2"/>
            <w:vAlign w:val="center"/>
          </w:tcPr>
          <w:p w14:paraId="1689C620" w14:textId="77777777" w:rsidR="00803CE9" w:rsidRPr="000C5CE7" w:rsidRDefault="00803CE9" w:rsidP="002105F2">
            <w:pPr>
              <w:jc w:val="center"/>
            </w:pPr>
            <w:r w:rsidRPr="000C5CE7">
              <w:rPr>
                <w:sz w:val="26"/>
                <w:szCs w:val="26"/>
              </w:rPr>
              <w:t>2021-2022</w:t>
            </w:r>
            <w:r w:rsidRPr="000C5CE7">
              <w:rPr>
                <w:sz w:val="26"/>
                <w:szCs w:val="26"/>
              </w:rPr>
              <w:br/>
              <w:t>State Target</w:t>
            </w:r>
          </w:p>
        </w:tc>
        <w:tc>
          <w:tcPr>
            <w:tcW w:w="2333" w:type="dxa"/>
            <w:shd w:val="clear" w:color="auto" w:fill="F2F2F2" w:themeFill="background1" w:themeFillShade="F2"/>
            <w:vAlign w:val="center"/>
          </w:tcPr>
          <w:p w14:paraId="3E82871A" w14:textId="77777777" w:rsidR="00803CE9" w:rsidRPr="000C5CE7" w:rsidRDefault="00803CE9" w:rsidP="002105F2">
            <w:pPr>
              <w:tabs>
                <w:tab w:val="left" w:pos="2098"/>
              </w:tabs>
              <w:jc w:val="center"/>
            </w:pPr>
            <w:r w:rsidRPr="000C5CE7">
              <w:rPr>
                <w:sz w:val="26"/>
                <w:szCs w:val="26"/>
              </w:rPr>
              <w:t>State Target</w:t>
            </w:r>
            <w:r w:rsidRPr="000C5CE7">
              <w:rPr>
                <w:sz w:val="26"/>
                <w:szCs w:val="26"/>
              </w:rPr>
              <w:br/>
              <w:t>Met</w:t>
            </w:r>
          </w:p>
        </w:tc>
      </w:tr>
      <w:tr w:rsidR="00803CE9" w:rsidRPr="000C5CE7" w14:paraId="7AD74561" w14:textId="77777777" w:rsidTr="00EB3EC4">
        <w:trPr>
          <w:trHeight w:hRule="exact" w:val="720"/>
        </w:trPr>
        <w:tc>
          <w:tcPr>
            <w:tcW w:w="2333" w:type="dxa"/>
            <w:vAlign w:val="center"/>
          </w:tcPr>
          <w:p w14:paraId="169FF05A" w14:textId="77777777" w:rsidR="00803CE9" w:rsidRPr="000C5CE7" w:rsidRDefault="00803CE9" w:rsidP="000C5CE7">
            <w:r w:rsidRPr="000C5CE7">
              <w:t>Grade 4</w:t>
            </w:r>
          </w:p>
        </w:tc>
        <w:tc>
          <w:tcPr>
            <w:tcW w:w="2333" w:type="dxa"/>
            <w:vAlign w:val="center"/>
          </w:tcPr>
          <w:p w14:paraId="10D46379" w14:textId="77777777" w:rsidR="00803CE9" w:rsidRPr="000C5CE7" w:rsidRDefault="00803CE9" w:rsidP="000C5CE7">
            <w:pPr>
              <w:jc w:val="center"/>
            </w:pPr>
            <w:r>
              <w:rPr>
                <w:noProof/>
              </w:rPr>
              <w:t>≤10 Students</w:t>
            </w:r>
          </w:p>
        </w:tc>
        <w:tc>
          <w:tcPr>
            <w:tcW w:w="2333" w:type="dxa"/>
            <w:vAlign w:val="center"/>
          </w:tcPr>
          <w:p w14:paraId="3EF8C3F7" w14:textId="77777777" w:rsidR="00803CE9" w:rsidRPr="000C5CE7" w:rsidRDefault="00803CE9" w:rsidP="000C5CE7">
            <w:pPr>
              <w:jc w:val="center"/>
            </w:pPr>
            <w:r w:rsidRPr="000C5CE7">
              <w:t>≥7</w:t>
            </w:r>
            <w:r>
              <w:t>4</w:t>
            </w:r>
            <w:r w:rsidRPr="000C5CE7">
              <w:t>.</w:t>
            </w:r>
            <w:r>
              <w:t>17</w:t>
            </w:r>
            <w:r w:rsidRPr="000C5CE7">
              <w:t>%</w:t>
            </w:r>
          </w:p>
        </w:tc>
        <w:tc>
          <w:tcPr>
            <w:tcW w:w="2333" w:type="dxa"/>
            <w:vAlign w:val="center"/>
          </w:tcPr>
          <w:p w14:paraId="6882BE9C" w14:textId="77777777" w:rsidR="00803CE9" w:rsidRPr="000C5CE7" w:rsidRDefault="00803CE9" w:rsidP="000C5CE7">
            <w:pPr>
              <w:ind w:left="81" w:right="150"/>
              <w:jc w:val="center"/>
            </w:pPr>
            <w:r>
              <w:rPr>
                <w:noProof/>
              </w:rPr>
              <w:t>Too few students to evaluate</w:t>
            </w:r>
          </w:p>
        </w:tc>
      </w:tr>
      <w:tr w:rsidR="00803CE9" w:rsidRPr="000C5CE7" w14:paraId="2B502F68" w14:textId="77777777" w:rsidTr="00EB3EC4">
        <w:trPr>
          <w:trHeight w:hRule="exact" w:val="720"/>
        </w:trPr>
        <w:tc>
          <w:tcPr>
            <w:tcW w:w="2333" w:type="dxa"/>
            <w:vAlign w:val="center"/>
          </w:tcPr>
          <w:p w14:paraId="2F8D8ADB" w14:textId="77777777" w:rsidR="00803CE9" w:rsidRPr="000C5CE7" w:rsidRDefault="00803CE9" w:rsidP="000C5CE7">
            <w:r w:rsidRPr="000C5CE7">
              <w:t>Grade 8</w:t>
            </w:r>
          </w:p>
        </w:tc>
        <w:tc>
          <w:tcPr>
            <w:tcW w:w="2333" w:type="dxa"/>
            <w:vAlign w:val="center"/>
          </w:tcPr>
          <w:p w14:paraId="6414CDB2" w14:textId="77777777" w:rsidR="00803CE9" w:rsidRPr="000C5CE7" w:rsidRDefault="00803CE9" w:rsidP="000C5CE7">
            <w:pPr>
              <w:jc w:val="center"/>
            </w:pPr>
            <w:r>
              <w:rPr>
                <w:noProof/>
              </w:rPr>
              <w:t>≤10 Students</w:t>
            </w:r>
          </w:p>
        </w:tc>
        <w:tc>
          <w:tcPr>
            <w:tcW w:w="2333" w:type="dxa"/>
            <w:vAlign w:val="center"/>
          </w:tcPr>
          <w:p w14:paraId="0D241336" w14:textId="77777777" w:rsidR="00803CE9" w:rsidRPr="000C5CE7" w:rsidRDefault="00803CE9" w:rsidP="000C5CE7">
            <w:pPr>
              <w:jc w:val="center"/>
            </w:pPr>
            <w:r w:rsidRPr="000C5CE7">
              <w:t>≥7</w:t>
            </w:r>
            <w:r>
              <w:t>1</w:t>
            </w:r>
            <w:r w:rsidRPr="000C5CE7">
              <w:t>.</w:t>
            </w:r>
            <w:r>
              <w:t>95</w:t>
            </w:r>
            <w:r w:rsidRPr="000C5CE7">
              <w:t>%</w:t>
            </w:r>
          </w:p>
        </w:tc>
        <w:tc>
          <w:tcPr>
            <w:tcW w:w="2333" w:type="dxa"/>
            <w:vAlign w:val="center"/>
          </w:tcPr>
          <w:p w14:paraId="3C01C786" w14:textId="77777777" w:rsidR="00803CE9" w:rsidRPr="000C5CE7" w:rsidRDefault="00803CE9" w:rsidP="000C5CE7">
            <w:pPr>
              <w:ind w:left="81" w:right="150"/>
              <w:jc w:val="center"/>
            </w:pPr>
            <w:r>
              <w:rPr>
                <w:noProof/>
              </w:rPr>
              <w:t>Too few students to evaluate</w:t>
            </w:r>
          </w:p>
        </w:tc>
      </w:tr>
      <w:tr w:rsidR="00803CE9" w:rsidRPr="000C5CE7" w14:paraId="105A78A3" w14:textId="77777777" w:rsidTr="00EB3EC4">
        <w:trPr>
          <w:trHeight w:hRule="exact" w:val="720"/>
        </w:trPr>
        <w:tc>
          <w:tcPr>
            <w:tcW w:w="2333" w:type="dxa"/>
            <w:vAlign w:val="center"/>
          </w:tcPr>
          <w:p w14:paraId="3E376673" w14:textId="77777777" w:rsidR="00803CE9" w:rsidRPr="000C5CE7" w:rsidRDefault="00803CE9" w:rsidP="000C5CE7">
            <w:r w:rsidRPr="000C5CE7">
              <w:t>High School</w:t>
            </w:r>
          </w:p>
        </w:tc>
        <w:tc>
          <w:tcPr>
            <w:tcW w:w="2333" w:type="dxa"/>
            <w:vAlign w:val="center"/>
          </w:tcPr>
          <w:p w14:paraId="6E62100F" w14:textId="77777777" w:rsidR="00803CE9" w:rsidRPr="000C5CE7" w:rsidRDefault="00803CE9" w:rsidP="000C5CE7">
            <w:pPr>
              <w:jc w:val="center"/>
            </w:pPr>
            <w:r>
              <w:rPr>
                <w:noProof/>
              </w:rPr>
              <w:t>≤10 Students</w:t>
            </w:r>
          </w:p>
        </w:tc>
        <w:tc>
          <w:tcPr>
            <w:tcW w:w="2333" w:type="dxa"/>
            <w:vAlign w:val="center"/>
          </w:tcPr>
          <w:p w14:paraId="430EF7D3" w14:textId="77777777" w:rsidR="00803CE9" w:rsidRPr="000C5CE7" w:rsidRDefault="00803CE9" w:rsidP="000C5CE7">
            <w:pPr>
              <w:jc w:val="center"/>
            </w:pPr>
            <w:r w:rsidRPr="000C5CE7">
              <w:t>≥7</w:t>
            </w:r>
            <w:r>
              <w:t>9.22</w:t>
            </w:r>
            <w:r w:rsidRPr="000C5CE7">
              <w:t>%</w:t>
            </w:r>
          </w:p>
        </w:tc>
        <w:tc>
          <w:tcPr>
            <w:tcW w:w="2333" w:type="dxa"/>
            <w:vAlign w:val="center"/>
          </w:tcPr>
          <w:p w14:paraId="3046348B" w14:textId="77777777" w:rsidR="00803CE9" w:rsidRPr="000C5CE7" w:rsidRDefault="00803CE9" w:rsidP="000C5CE7">
            <w:pPr>
              <w:ind w:left="81" w:right="150"/>
              <w:jc w:val="center"/>
            </w:pPr>
            <w:r>
              <w:rPr>
                <w:noProof/>
              </w:rPr>
              <w:t>Too few students to evaluate</w:t>
            </w:r>
          </w:p>
        </w:tc>
      </w:tr>
    </w:tbl>
    <w:p w14:paraId="79D2CB45" w14:textId="77777777" w:rsidR="00803CE9" w:rsidRPr="000C5CE7" w:rsidRDefault="00803CE9" w:rsidP="00BF5387">
      <w:pPr>
        <w:pStyle w:val="Heading3"/>
      </w:pPr>
      <w:proofErr w:type="spellStart"/>
      <w:r w:rsidRPr="000C5CE7">
        <w:t>3c</w:t>
      </w:r>
      <w:proofErr w:type="spellEnd"/>
      <w:r w:rsidRPr="000C5CE7">
        <w:t>. Proficiency Rate for Children with IEPs against Alternate Academic Achievement Standards for Math</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Indicator 3c. Proficiency Rate for Children with IEPs against Alternate Academic Achievement Standards for Math, by grade level, includes 2021-2022 division performance and state target, and whether or not state target was met."/>
      </w:tblPr>
      <w:tblGrid>
        <w:gridCol w:w="2333"/>
        <w:gridCol w:w="2333"/>
        <w:gridCol w:w="2333"/>
        <w:gridCol w:w="2333"/>
      </w:tblGrid>
      <w:tr w:rsidR="00803CE9" w:rsidRPr="000C5CE7" w14:paraId="080A5E13" w14:textId="77777777" w:rsidTr="00EB3EC4">
        <w:trPr>
          <w:trHeight w:hRule="exact" w:val="1001"/>
          <w:tblHeader/>
        </w:trPr>
        <w:tc>
          <w:tcPr>
            <w:tcW w:w="2333" w:type="dxa"/>
            <w:shd w:val="clear" w:color="auto" w:fill="F2F2F2" w:themeFill="background1" w:themeFillShade="F2"/>
            <w:vAlign w:val="center"/>
          </w:tcPr>
          <w:p w14:paraId="26CD0FE7" w14:textId="77777777" w:rsidR="00803CE9" w:rsidRPr="000C5CE7" w:rsidRDefault="00803CE9" w:rsidP="00B44B03">
            <w:r w:rsidRPr="000C5CE7">
              <w:rPr>
                <w:sz w:val="26"/>
                <w:szCs w:val="26"/>
              </w:rPr>
              <w:t>Grade Level</w:t>
            </w:r>
          </w:p>
        </w:tc>
        <w:tc>
          <w:tcPr>
            <w:tcW w:w="2333" w:type="dxa"/>
            <w:shd w:val="clear" w:color="auto" w:fill="F2F2F2" w:themeFill="background1" w:themeFillShade="F2"/>
            <w:vAlign w:val="center"/>
          </w:tcPr>
          <w:p w14:paraId="23E7D1E2" w14:textId="77777777" w:rsidR="00803CE9" w:rsidRPr="000C5CE7" w:rsidRDefault="00803CE9" w:rsidP="002105F2">
            <w:pPr>
              <w:jc w:val="center"/>
            </w:pPr>
            <w:r w:rsidRPr="000C5CE7">
              <w:rPr>
                <w:sz w:val="26"/>
                <w:szCs w:val="26"/>
              </w:rPr>
              <w:t>2021-2022</w:t>
            </w:r>
            <w:r w:rsidRPr="000C5CE7">
              <w:rPr>
                <w:sz w:val="26"/>
                <w:szCs w:val="26"/>
              </w:rPr>
              <w:br/>
              <w:t>Division</w:t>
            </w:r>
            <w:r>
              <w:rPr>
                <w:sz w:val="26"/>
                <w:szCs w:val="26"/>
              </w:rPr>
              <w:t xml:space="preserve"> </w:t>
            </w:r>
            <w:r w:rsidRPr="000C5CE7">
              <w:rPr>
                <w:sz w:val="26"/>
                <w:szCs w:val="26"/>
              </w:rPr>
              <w:t>Performance</w:t>
            </w:r>
          </w:p>
        </w:tc>
        <w:tc>
          <w:tcPr>
            <w:tcW w:w="2333" w:type="dxa"/>
            <w:shd w:val="clear" w:color="auto" w:fill="F2F2F2" w:themeFill="background1" w:themeFillShade="F2"/>
            <w:vAlign w:val="center"/>
          </w:tcPr>
          <w:p w14:paraId="0F6B9116" w14:textId="77777777" w:rsidR="00803CE9" w:rsidRPr="000C5CE7" w:rsidRDefault="00803CE9" w:rsidP="002105F2">
            <w:pPr>
              <w:jc w:val="center"/>
            </w:pPr>
            <w:r w:rsidRPr="000C5CE7">
              <w:rPr>
                <w:sz w:val="26"/>
                <w:szCs w:val="26"/>
              </w:rPr>
              <w:t>2021-2022</w:t>
            </w:r>
            <w:r w:rsidRPr="000C5CE7">
              <w:rPr>
                <w:sz w:val="26"/>
                <w:szCs w:val="26"/>
              </w:rPr>
              <w:br/>
              <w:t>State Target</w:t>
            </w:r>
          </w:p>
        </w:tc>
        <w:tc>
          <w:tcPr>
            <w:tcW w:w="2333" w:type="dxa"/>
            <w:shd w:val="clear" w:color="auto" w:fill="F2F2F2" w:themeFill="background1" w:themeFillShade="F2"/>
            <w:vAlign w:val="center"/>
          </w:tcPr>
          <w:p w14:paraId="2CA9C57F" w14:textId="77777777" w:rsidR="00803CE9" w:rsidRPr="000C5CE7" w:rsidRDefault="00803CE9" w:rsidP="002105F2">
            <w:pPr>
              <w:tabs>
                <w:tab w:val="left" w:pos="2098"/>
              </w:tabs>
              <w:jc w:val="center"/>
            </w:pPr>
            <w:r w:rsidRPr="000C5CE7">
              <w:rPr>
                <w:sz w:val="26"/>
                <w:szCs w:val="26"/>
              </w:rPr>
              <w:t>State Target</w:t>
            </w:r>
            <w:r w:rsidRPr="000C5CE7">
              <w:rPr>
                <w:sz w:val="26"/>
                <w:szCs w:val="26"/>
              </w:rPr>
              <w:br/>
              <w:t>Met</w:t>
            </w:r>
          </w:p>
        </w:tc>
      </w:tr>
      <w:tr w:rsidR="00803CE9" w:rsidRPr="000C5CE7" w14:paraId="33F1138E" w14:textId="77777777" w:rsidTr="00EB3EC4">
        <w:trPr>
          <w:trHeight w:hRule="exact" w:val="720"/>
        </w:trPr>
        <w:tc>
          <w:tcPr>
            <w:tcW w:w="2333" w:type="dxa"/>
            <w:vAlign w:val="center"/>
          </w:tcPr>
          <w:p w14:paraId="10C7B694" w14:textId="77777777" w:rsidR="00803CE9" w:rsidRPr="000C5CE7" w:rsidRDefault="00803CE9" w:rsidP="000C5CE7">
            <w:r w:rsidRPr="000C5CE7">
              <w:t>Grade 4</w:t>
            </w:r>
          </w:p>
        </w:tc>
        <w:tc>
          <w:tcPr>
            <w:tcW w:w="2333" w:type="dxa"/>
            <w:vAlign w:val="center"/>
          </w:tcPr>
          <w:p w14:paraId="58B3FDAB" w14:textId="77777777" w:rsidR="00803CE9" w:rsidRPr="000C5CE7" w:rsidRDefault="00803CE9" w:rsidP="000C5CE7">
            <w:pPr>
              <w:jc w:val="center"/>
            </w:pPr>
            <w:r>
              <w:rPr>
                <w:noProof/>
              </w:rPr>
              <w:t>≤10 Students</w:t>
            </w:r>
          </w:p>
        </w:tc>
        <w:tc>
          <w:tcPr>
            <w:tcW w:w="2333" w:type="dxa"/>
            <w:vAlign w:val="center"/>
          </w:tcPr>
          <w:p w14:paraId="0C1761EA" w14:textId="77777777" w:rsidR="00803CE9" w:rsidRPr="000C5CE7" w:rsidRDefault="00803CE9" w:rsidP="000C5CE7">
            <w:pPr>
              <w:jc w:val="center"/>
            </w:pPr>
            <w:r w:rsidRPr="000C5CE7">
              <w:t>≥6</w:t>
            </w:r>
            <w:r>
              <w:t>5</w:t>
            </w:r>
            <w:r w:rsidRPr="000C5CE7">
              <w:t>.</w:t>
            </w:r>
            <w:r>
              <w:t>63</w:t>
            </w:r>
            <w:r w:rsidRPr="000C5CE7">
              <w:t>%</w:t>
            </w:r>
          </w:p>
        </w:tc>
        <w:tc>
          <w:tcPr>
            <w:tcW w:w="2333" w:type="dxa"/>
            <w:vAlign w:val="center"/>
          </w:tcPr>
          <w:p w14:paraId="78140AD9" w14:textId="77777777" w:rsidR="00803CE9" w:rsidRPr="000C5CE7" w:rsidRDefault="00803CE9" w:rsidP="000C5CE7">
            <w:pPr>
              <w:ind w:left="81" w:right="150"/>
              <w:jc w:val="center"/>
            </w:pPr>
            <w:r>
              <w:rPr>
                <w:noProof/>
              </w:rPr>
              <w:t>Too few students to evaluate</w:t>
            </w:r>
          </w:p>
        </w:tc>
      </w:tr>
      <w:tr w:rsidR="00803CE9" w:rsidRPr="000C5CE7" w14:paraId="5C2D77FA" w14:textId="77777777" w:rsidTr="00EB3EC4">
        <w:trPr>
          <w:trHeight w:hRule="exact" w:val="720"/>
        </w:trPr>
        <w:tc>
          <w:tcPr>
            <w:tcW w:w="2333" w:type="dxa"/>
            <w:vAlign w:val="center"/>
          </w:tcPr>
          <w:p w14:paraId="4287F7A4" w14:textId="77777777" w:rsidR="00803CE9" w:rsidRPr="000C5CE7" w:rsidRDefault="00803CE9" w:rsidP="000C5CE7">
            <w:r w:rsidRPr="000C5CE7">
              <w:t>Grade 8</w:t>
            </w:r>
          </w:p>
        </w:tc>
        <w:tc>
          <w:tcPr>
            <w:tcW w:w="2333" w:type="dxa"/>
            <w:vAlign w:val="center"/>
          </w:tcPr>
          <w:p w14:paraId="75342C3C" w14:textId="77777777" w:rsidR="00803CE9" w:rsidRPr="000C5CE7" w:rsidRDefault="00803CE9" w:rsidP="000C5CE7">
            <w:pPr>
              <w:jc w:val="center"/>
            </w:pPr>
            <w:r>
              <w:rPr>
                <w:noProof/>
              </w:rPr>
              <w:t>≤10 Students</w:t>
            </w:r>
          </w:p>
        </w:tc>
        <w:tc>
          <w:tcPr>
            <w:tcW w:w="2333" w:type="dxa"/>
            <w:vAlign w:val="center"/>
          </w:tcPr>
          <w:p w14:paraId="6D91FBF2" w14:textId="77777777" w:rsidR="00803CE9" w:rsidRPr="000C5CE7" w:rsidRDefault="00803CE9" w:rsidP="000C5CE7">
            <w:pPr>
              <w:jc w:val="center"/>
            </w:pPr>
            <w:r w:rsidRPr="000C5CE7">
              <w:t>≥6</w:t>
            </w:r>
            <w:r>
              <w:t>6</w:t>
            </w:r>
            <w:r w:rsidRPr="000C5CE7">
              <w:t>.</w:t>
            </w:r>
            <w:r>
              <w:t>72</w:t>
            </w:r>
            <w:r w:rsidRPr="000C5CE7">
              <w:t>%</w:t>
            </w:r>
          </w:p>
        </w:tc>
        <w:tc>
          <w:tcPr>
            <w:tcW w:w="2333" w:type="dxa"/>
            <w:vAlign w:val="center"/>
          </w:tcPr>
          <w:p w14:paraId="147B6063" w14:textId="77777777" w:rsidR="00803CE9" w:rsidRPr="000C5CE7" w:rsidRDefault="00803CE9" w:rsidP="000C5CE7">
            <w:pPr>
              <w:ind w:left="81" w:right="150"/>
              <w:jc w:val="center"/>
            </w:pPr>
            <w:r>
              <w:rPr>
                <w:noProof/>
              </w:rPr>
              <w:t>Too few students to evaluate</w:t>
            </w:r>
          </w:p>
        </w:tc>
      </w:tr>
      <w:tr w:rsidR="00803CE9" w:rsidRPr="000C5CE7" w14:paraId="46224278" w14:textId="77777777" w:rsidTr="00EB3EC4">
        <w:trPr>
          <w:trHeight w:hRule="exact" w:val="720"/>
        </w:trPr>
        <w:tc>
          <w:tcPr>
            <w:tcW w:w="2333" w:type="dxa"/>
            <w:vAlign w:val="center"/>
          </w:tcPr>
          <w:p w14:paraId="57608CA2" w14:textId="77777777" w:rsidR="00803CE9" w:rsidRPr="000C5CE7" w:rsidRDefault="00803CE9" w:rsidP="000C5CE7">
            <w:r w:rsidRPr="000C5CE7">
              <w:t>High School</w:t>
            </w:r>
          </w:p>
        </w:tc>
        <w:tc>
          <w:tcPr>
            <w:tcW w:w="2333" w:type="dxa"/>
            <w:vAlign w:val="center"/>
          </w:tcPr>
          <w:p w14:paraId="2E000263" w14:textId="77777777" w:rsidR="00803CE9" w:rsidRPr="000C5CE7" w:rsidRDefault="00803CE9" w:rsidP="000C5CE7">
            <w:pPr>
              <w:jc w:val="center"/>
            </w:pPr>
            <w:r>
              <w:rPr>
                <w:noProof/>
              </w:rPr>
              <w:t>≤10 Students</w:t>
            </w:r>
          </w:p>
        </w:tc>
        <w:tc>
          <w:tcPr>
            <w:tcW w:w="2333" w:type="dxa"/>
            <w:vAlign w:val="center"/>
          </w:tcPr>
          <w:p w14:paraId="51685A25" w14:textId="77777777" w:rsidR="00803CE9" w:rsidRPr="000C5CE7" w:rsidRDefault="00803CE9" w:rsidP="000C5CE7">
            <w:pPr>
              <w:jc w:val="center"/>
            </w:pPr>
            <w:r w:rsidRPr="000C5CE7">
              <w:t>≥</w:t>
            </w:r>
            <w:r>
              <w:t>72</w:t>
            </w:r>
            <w:r w:rsidRPr="000C5CE7">
              <w:t>.</w:t>
            </w:r>
            <w:r>
              <w:t>89</w:t>
            </w:r>
            <w:r w:rsidRPr="000C5CE7">
              <w:t>%</w:t>
            </w:r>
          </w:p>
        </w:tc>
        <w:tc>
          <w:tcPr>
            <w:tcW w:w="2333" w:type="dxa"/>
            <w:vAlign w:val="center"/>
          </w:tcPr>
          <w:p w14:paraId="2B57108A" w14:textId="77777777" w:rsidR="00803CE9" w:rsidRPr="000C5CE7" w:rsidRDefault="00803CE9" w:rsidP="000C5CE7">
            <w:pPr>
              <w:ind w:left="81" w:right="150"/>
              <w:jc w:val="center"/>
            </w:pPr>
            <w:r>
              <w:rPr>
                <w:noProof/>
              </w:rPr>
              <w:t>Too few students to evaluate</w:t>
            </w:r>
          </w:p>
        </w:tc>
      </w:tr>
    </w:tbl>
    <w:p w14:paraId="2B5CC23F" w14:textId="77777777" w:rsidR="00803CE9" w:rsidRPr="000C5CE7" w:rsidRDefault="00803CE9" w:rsidP="00007AE8">
      <w:pPr>
        <w:pStyle w:val="Heading3"/>
      </w:pPr>
      <w:proofErr w:type="spellStart"/>
      <w:r w:rsidRPr="000C5CE7">
        <w:lastRenderedPageBreak/>
        <w:t>3d</w:t>
      </w:r>
      <w:proofErr w:type="spellEnd"/>
      <w:r w:rsidRPr="000C5CE7">
        <w:t>. Gap in Proficiency Rates for Children with IEPs and All Students against Grade-Level Academic Achievement Standards for English/Reading</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Indicator 3d. Gap in Proficiency Rates for Children with IEPs and All Students against Grade-Level Academic Achievement Standards for English/Reading, by grade level, includes 2021-2022 division performance and state target, and whether or not state target was met."/>
      </w:tblPr>
      <w:tblGrid>
        <w:gridCol w:w="2333"/>
        <w:gridCol w:w="2333"/>
        <w:gridCol w:w="2333"/>
        <w:gridCol w:w="2333"/>
      </w:tblGrid>
      <w:tr w:rsidR="00803CE9" w:rsidRPr="000C5CE7" w14:paraId="10C1833C" w14:textId="77777777" w:rsidTr="00EB3EC4">
        <w:trPr>
          <w:trHeight w:hRule="exact" w:val="1001"/>
          <w:tblHeader/>
        </w:trPr>
        <w:tc>
          <w:tcPr>
            <w:tcW w:w="2333" w:type="dxa"/>
            <w:shd w:val="clear" w:color="auto" w:fill="F2F2F2" w:themeFill="background1" w:themeFillShade="F2"/>
            <w:vAlign w:val="center"/>
          </w:tcPr>
          <w:p w14:paraId="2094BDC2" w14:textId="77777777" w:rsidR="00803CE9" w:rsidRPr="000C5CE7" w:rsidRDefault="00803CE9" w:rsidP="00B44B03">
            <w:r w:rsidRPr="000C5CE7">
              <w:rPr>
                <w:sz w:val="26"/>
                <w:szCs w:val="26"/>
              </w:rPr>
              <w:t>Grade Level</w:t>
            </w:r>
          </w:p>
        </w:tc>
        <w:tc>
          <w:tcPr>
            <w:tcW w:w="2333" w:type="dxa"/>
            <w:shd w:val="clear" w:color="auto" w:fill="F2F2F2" w:themeFill="background1" w:themeFillShade="F2"/>
            <w:vAlign w:val="center"/>
          </w:tcPr>
          <w:p w14:paraId="05409146" w14:textId="77777777" w:rsidR="00803CE9" w:rsidRPr="000C5CE7" w:rsidRDefault="00803CE9" w:rsidP="002105F2">
            <w:pPr>
              <w:jc w:val="center"/>
            </w:pPr>
            <w:r w:rsidRPr="000C5CE7">
              <w:rPr>
                <w:sz w:val="26"/>
                <w:szCs w:val="26"/>
              </w:rPr>
              <w:t>2021-2022</w:t>
            </w:r>
            <w:r w:rsidRPr="000C5CE7">
              <w:rPr>
                <w:sz w:val="26"/>
                <w:szCs w:val="26"/>
              </w:rPr>
              <w:br/>
              <w:t>Division</w:t>
            </w:r>
            <w:r>
              <w:rPr>
                <w:sz w:val="26"/>
                <w:szCs w:val="26"/>
              </w:rPr>
              <w:t xml:space="preserve"> </w:t>
            </w:r>
            <w:r w:rsidRPr="000C5CE7">
              <w:rPr>
                <w:sz w:val="26"/>
                <w:szCs w:val="26"/>
              </w:rPr>
              <w:t>Performance</w:t>
            </w:r>
          </w:p>
        </w:tc>
        <w:tc>
          <w:tcPr>
            <w:tcW w:w="2333" w:type="dxa"/>
            <w:shd w:val="clear" w:color="auto" w:fill="F2F2F2" w:themeFill="background1" w:themeFillShade="F2"/>
            <w:vAlign w:val="center"/>
          </w:tcPr>
          <w:p w14:paraId="1911DD15" w14:textId="77777777" w:rsidR="00803CE9" w:rsidRPr="000C5CE7" w:rsidRDefault="00803CE9" w:rsidP="002105F2">
            <w:pPr>
              <w:jc w:val="center"/>
            </w:pPr>
            <w:r w:rsidRPr="000C5CE7">
              <w:rPr>
                <w:sz w:val="26"/>
                <w:szCs w:val="26"/>
              </w:rPr>
              <w:t>2021-2022</w:t>
            </w:r>
            <w:r w:rsidRPr="000C5CE7">
              <w:rPr>
                <w:sz w:val="26"/>
                <w:szCs w:val="26"/>
              </w:rPr>
              <w:br/>
              <w:t>State Target</w:t>
            </w:r>
          </w:p>
        </w:tc>
        <w:tc>
          <w:tcPr>
            <w:tcW w:w="2333" w:type="dxa"/>
            <w:shd w:val="clear" w:color="auto" w:fill="F2F2F2" w:themeFill="background1" w:themeFillShade="F2"/>
            <w:vAlign w:val="center"/>
          </w:tcPr>
          <w:p w14:paraId="5D5B4060" w14:textId="77777777" w:rsidR="00803CE9" w:rsidRPr="000C5CE7" w:rsidRDefault="00803CE9" w:rsidP="002105F2">
            <w:pPr>
              <w:tabs>
                <w:tab w:val="left" w:pos="2098"/>
              </w:tabs>
              <w:jc w:val="center"/>
            </w:pPr>
            <w:r w:rsidRPr="000C5CE7">
              <w:rPr>
                <w:sz w:val="26"/>
                <w:szCs w:val="26"/>
              </w:rPr>
              <w:t>State Target</w:t>
            </w:r>
            <w:r w:rsidRPr="000C5CE7">
              <w:rPr>
                <w:sz w:val="26"/>
                <w:szCs w:val="26"/>
              </w:rPr>
              <w:br/>
              <w:t>Met</w:t>
            </w:r>
          </w:p>
        </w:tc>
      </w:tr>
      <w:tr w:rsidR="00803CE9" w:rsidRPr="000C5CE7" w14:paraId="4E386B27" w14:textId="77777777" w:rsidTr="00EB3EC4">
        <w:trPr>
          <w:trHeight w:hRule="exact" w:val="720"/>
        </w:trPr>
        <w:tc>
          <w:tcPr>
            <w:tcW w:w="2333" w:type="dxa"/>
            <w:vAlign w:val="center"/>
          </w:tcPr>
          <w:p w14:paraId="6AD45EE6" w14:textId="77777777" w:rsidR="00803CE9" w:rsidRPr="000C5CE7" w:rsidRDefault="00803CE9" w:rsidP="000C5CE7">
            <w:r w:rsidRPr="000C5CE7">
              <w:t>Grade 4</w:t>
            </w:r>
          </w:p>
        </w:tc>
        <w:tc>
          <w:tcPr>
            <w:tcW w:w="2333" w:type="dxa"/>
            <w:vAlign w:val="center"/>
          </w:tcPr>
          <w:p w14:paraId="7049900B" w14:textId="77777777" w:rsidR="00803CE9" w:rsidRPr="000C5CE7" w:rsidRDefault="00803CE9" w:rsidP="000C5CE7">
            <w:pPr>
              <w:jc w:val="center"/>
            </w:pPr>
            <w:r>
              <w:rPr>
                <w:noProof/>
              </w:rPr>
              <w:t>22.23%</w:t>
            </w:r>
          </w:p>
        </w:tc>
        <w:tc>
          <w:tcPr>
            <w:tcW w:w="2333" w:type="dxa"/>
            <w:vAlign w:val="center"/>
          </w:tcPr>
          <w:p w14:paraId="5127E4D0" w14:textId="77777777" w:rsidR="00803CE9" w:rsidRPr="000C5CE7" w:rsidRDefault="00803CE9" w:rsidP="000C5CE7">
            <w:pPr>
              <w:jc w:val="center"/>
            </w:pPr>
            <w:r w:rsidRPr="000C5CE7">
              <w:t>≤29.17%</w:t>
            </w:r>
          </w:p>
        </w:tc>
        <w:tc>
          <w:tcPr>
            <w:tcW w:w="2333" w:type="dxa"/>
            <w:vAlign w:val="center"/>
          </w:tcPr>
          <w:p w14:paraId="0281F248" w14:textId="77777777" w:rsidR="00803CE9" w:rsidRPr="000C5CE7" w:rsidRDefault="00803CE9" w:rsidP="000C5CE7">
            <w:pPr>
              <w:ind w:left="81" w:right="150"/>
              <w:jc w:val="center"/>
            </w:pPr>
            <w:r>
              <w:rPr>
                <w:noProof/>
              </w:rPr>
              <w:t>Yes</w:t>
            </w:r>
          </w:p>
        </w:tc>
      </w:tr>
      <w:tr w:rsidR="00803CE9" w:rsidRPr="000C5CE7" w14:paraId="051554D6" w14:textId="77777777" w:rsidTr="00EB3EC4">
        <w:trPr>
          <w:trHeight w:hRule="exact" w:val="720"/>
        </w:trPr>
        <w:tc>
          <w:tcPr>
            <w:tcW w:w="2333" w:type="dxa"/>
            <w:vAlign w:val="center"/>
          </w:tcPr>
          <w:p w14:paraId="65739D72" w14:textId="77777777" w:rsidR="00803CE9" w:rsidRPr="000C5CE7" w:rsidRDefault="00803CE9" w:rsidP="000C5CE7">
            <w:r w:rsidRPr="000C5CE7">
              <w:t>Grade 8</w:t>
            </w:r>
          </w:p>
        </w:tc>
        <w:tc>
          <w:tcPr>
            <w:tcW w:w="2333" w:type="dxa"/>
            <w:vAlign w:val="center"/>
          </w:tcPr>
          <w:p w14:paraId="1F6C0CF0" w14:textId="77777777" w:rsidR="00803CE9" w:rsidRPr="000C5CE7" w:rsidRDefault="00803CE9" w:rsidP="000C5CE7">
            <w:pPr>
              <w:jc w:val="center"/>
            </w:pPr>
            <w:r>
              <w:rPr>
                <w:noProof/>
              </w:rPr>
              <w:t>54.17%</w:t>
            </w:r>
          </w:p>
        </w:tc>
        <w:tc>
          <w:tcPr>
            <w:tcW w:w="2333" w:type="dxa"/>
            <w:vAlign w:val="center"/>
          </w:tcPr>
          <w:p w14:paraId="0F390398" w14:textId="77777777" w:rsidR="00803CE9" w:rsidRPr="000C5CE7" w:rsidRDefault="00803CE9" w:rsidP="000C5CE7">
            <w:pPr>
              <w:jc w:val="center"/>
            </w:pPr>
            <w:r w:rsidRPr="000C5CE7">
              <w:t>≤38.03%</w:t>
            </w:r>
          </w:p>
        </w:tc>
        <w:tc>
          <w:tcPr>
            <w:tcW w:w="2333" w:type="dxa"/>
            <w:vAlign w:val="center"/>
          </w:tcPr>
          <w:p w14:paraId="194B9EBC" w14:textId="77777777" w:rsidR="00803CE9" w:rsidRPr="000C5CE7" w:rsidRDefault="00803CE9" w:rsidP="000C5CE7">
            <w:pPr>
              <w:ind w:left="81" w:right="150"/>
              <w:jc w:val="center"/>
            </w:pPr>
            <w:r>
              <w:rPr>
                <w:noProof/>
              </w:rPr>
              <w:t>No</w:t>
            </w:r>
          </w:p>
        </w:tc>
      </w:tr>
      <w:tr w:rsidR="00803CE9" w:rsidRPr="000C5CE7" w14:paraId="3C297D81" w14:textId="77777777" w:rsidTr="00EB3EC4">
        <w:trPr>
          <w:trHeight w:hRule="exact" w:val="720"/>
        </w:trPr>
        <w:tc>
          <w:tcPr>
            <w:tcW w:w="2333" w:type="dxa"/>
            <w:vAlign w:val="center"/>
          </w:tcPr>
          <w:p w14:paraId="1E64549C" w14:textId="77777777" w:rsidR="00803CE9" w:rsidRPr="000C5CE7" w:rsidRDefault="00803CE9" w:rsidP="000C5CE7">
            <w:r w:rsidRPr="000C5CE7">
              <w:t>High School</w:t>
            </w:r>
          </w:p>
        </w:tc>
        <w:tc>
          <w:tcPr>
            <w:tcW w:w="2333" w:type="dxa"/>
            <w:vAlign w:val="center"/>
          </w:tcPr>
          <w:p w14:paraId="0A0EA75D" w14:textId="77777777" w:rsidR="00803CE9" w:rsidRPr="000C5CE7" w:rsidRDefault="00803CE9" w:rsidP="000C5CE7">
            <w:pPr>
              <w:jc w:val="center"/>
            </w:pPr>
            <w:r>
              <w:rPr>
                <w:noProof/>
              </w:rPr>
              <w:t>58.17%</w:t>
            </w:r>
          </w:p>
        </w:tc>
        <w:tc>
          <w:tcPr>
            <w:tcW w:w="2333" w:type="dxa"/>
            <w:vAlign w:val="center"/>
          </w:tcPr>
          <w:p w14:paraId="6F374139" w14:textId="77777777" w:rsidR="00803CE9" w:rsidRPr="000C5CE7" w:rsidRDefault="00803CE9" w:rsidP="000C5CE7">
            <w:pPr>
              <w:jc w:val="center"/>
            </w:pPr>
            <w:r w:rsidRPr="000C5CE7">
              <w:t>≤33.03%</w:t>
            </w:r>
          </w:p>
        </w:tc>
        <w:tc>
          <w:tcPr>
            <w:tcW w:w="2333" w:type="dxa"/>
            <w:vAlign w:val="center"/>
          </w:tcPr>
          <w:p w14:paraId="35CE0884" w14:textId="77777777" w:rsidR="00803CE9" w:rsidRPr="000C5CE7" w:rsidRDefault="00803CE9" w:rsidP="000C5CE7">
            <w:pPr>
              <w:ind w:left="81" w:right="150"/>
              <w:jc w:val="center"/>
            </w:pPr>
            <w:r>
              <w:rPr>
                <w:noProof/>
              </w:rPr>
              <w:t>No</w:t>
            </w:r>
          </w:p>
        </w:tc>
      </w:tr>
    </w:tbl>
    <w:p w14:paraId="1EC097A1" w14:textId="77777777" w:rsidR="00803CE9" w:rsidRPr="000C5CE7" w:rsidRDefault="00803CE9" w:rsidP="00007AE8">
      <w:pPr>
        <w:pStyle w:val="Heading3"/>
      </w:pPr>
      <w:proofErr w:type="spellStart"/>
      <w:r w:rsidRPr="000C5CE7">
        <w:t>3d</w:t>
      </w:r>
      <w:proofErr w:type="spellEnd"/>
      <w:r w:rsidRPr="000C5CE7">
        <w:t>. Gap in Proficiency Rates for Children with IEPs and All Students against Grade-Level Academic Achievement Standards for Math</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Indicator 3d. Gap in Proficiency Rates for Children with IEPs and All Students against Grade-Level Academic Achievement Standards for Math, by grade level, includes 2021-2022 division performance and state target, and whether or not state target was met."/>
      </w:tblPr>
      <w:tblGrid>
        <w:gridCol w:w="2333"/>
        <w:gridCol w:w="2333"/>
        <w:gridCol w:w="2333"/>
        <w:gridCol w:w="2333"/>
      </w:tblGrid>
      <w:tr w:rsidR="00803CE9" w:rsidRPr="000C5CE7" w14:paraId="4D05339C" w14:textId="77777777" w:rsidTr="00EB3EC4">
        <w:trPr>
          <w:trHeight w:hRule="exact" w:val="1001"/>
          <w:tblHeader/>
        </w:trPr>
        <w:tc>
          <w:tcPr>
            <w:tcW w:w="2333" w:type="dxa"/>
            <w:shd w:val="clear" w:color="auto" w:fill="F2F2F2" w:themeFill="background1" w:themeFillShade="F2"/>
            <w:vAlign w:val="center"/>
          </w:tcPr>
          <w:p w14:paraId="5D85C631" w14:textId="77777777" w:rsidR="00803CE9" w:rsidRPr="000C5CE7" w:rsidRDefault="00803CE9" w:rsidP="00B44B03">
            <w:r w:rsidRPr="000C5CE7">
              <w:rPr>
                <w:sz w:val="26"/>
                <w:szCs w:val="26"/>
              </w:rPr>
              <w:t>Grade Level</w:t>
            </w:r>
          </w:p>
        </w:tc>
        <w:tc>
          <w:tcPr>
            <w:tcW w:w="2333" w:type="dxa"/>
            <w:shd w:val="clear" w:color="auto" w:fill="F2F2F2" w:themeFill="background1" w:themeFillShade="F2"/>
            <w:vAlign w:val="center"/>
          </w:tcPr>
          <w:p w14:paraId="7011234F" w14:textId="77777777" w:rsidR="00803CE9" w:rsidRPr="000C5CE7" w:rsidRDefault="00803CE9" w:rsidP="002105F2">
            <w:pPr>
              <w:jc w:val="center"/>
            </w:pPr>
            <w:r w:rsidRPr="000C5CE7">
              <w:rPr>
                <w:sz w:val="26"/>
                <w:szCs w:val="26"/>
              </w:rPr>
              <w:t>2021-2022</w:t>
            </w:r>
            <w:r w:rsidRPr="000C5CE7">
              <w:rPr>
                <w:sz w:val="26"/>
                <w:szCs w:val="26"/>
              </w:rPr>
              <w:br/>
              <w:t>Division</w:t>
            </w:r>
            <w:r>
              <w:rPr>
                <w:sz w:val="26"/>
                <w:szCs w:val="26"/>
              </w:rPr>
              <w:t xml:space="preserve"> </w:t>
            </w:r>
            <w:r w:rsidRPr="000C5CE7">
              <w:rPr>
                <w:sz w:val="26"/>
                <w:szCs w:val="26"/>
              </w:rPr>
              <w:t>Performance</w:t>
            </w:r>
          </w:p>
        </w:tc>
        <w:tc>
          <w:tcPr>
            <w:tcW w:w="2333" w:type="dxa"/>
            <w:shd w:val="clear" w:color="auto" w:fill="F2F2F2" w:themeFill="background1" w:themeFillShade="F2"/>
            <w:vAlign w:val="center"/>
          </w:tcPr>
          <w:p w14:paraId="5C8481E9" w14:textId="77777777" w:rsidR="00803CE9" w:rsidRPr="000C5CE7" w:rsidRDefault="00803CE9" w:rsidP="00E969B1">
            <w:pPr>
              <w:jc w:val="center"/>
            </w:pPr>
            <w:r w:rsidRPr="000C5CE7">
              <w:rPr>
                <w:sz w:val="26"/>
                <w:szCs w:val="26"/>
              </w:rPr>
              <w:t>2021-2022</w:t>
            </w:r>
            <w:r w:rsidRPr="000C5CE7">
              <w:rPr>
                <w:sz w:val="26"/>
                <w:szCs w:val="26"/>
              </w:rPr>
              <w:br/>
              <w:t>State Target</w:t>
            </w:r>
          </w:p>
        </w:tc>
        <w:tc>
          <w:tcPr>
            <w:tcW w:w="2333" w:type="dxa"/>
            <w:shd w:val="clear" w:color="auto" w:fill="F2F2F2" w:themeFill="background1" w:themeFillShade="F2"/>
            <w:vAlign w:val="center"/>
          </w:tcPr>
          <w:p w14:paraId="6278BD5B" w14:textId="77777777" w:rsidR="00803CE9" w:rsidRPr="000C5CE7" w:rsidRDefault="00803CE9" w:rsidP="00E969B1">
            <w:pPr>
              <w:tabs>
                <w:tab w:val="left" w:pos="2098"/>
              </w:tabs>
              <w:jc w:val="center"/>
            </w:pPr>
            <w:r w:rsidRPr="000C5CE7">
              <w:rPr>
                <w:sz w:val="26"/>
                <w:szCs w:val="26"/>
              </w:rPr>
              <w:t>State Target</w:t>
            </w:r>
            <w:r w:rsidRPr="000C5CE7">
              <w:rPr>
                <w:sz w:val="26"/>
                <w:szCs w:val="26"/>
              </w:rPr>
              <w:br/>
              <w:t>Met</w:t>
            </w:r>
          </w:p>
        </w:tc>
      </w:tr>
      <w:tr w:rsidR="00803CE9" w:rsidRPr="000C5CE7" w14:paraId="5C62C6D0" w14:textId="77777777" w:rsidTr="00EB3EC4">
        <w:trPr>
          <w:trHeight w:hRule="exact" w:val="720"/>
        </w:trPr>
        <w:tc>
          <w:tcPr>
            <w:tcW w:w="2333" w:type="dxa"/>
            <w:vAlign w:val="center"/>
          </w:tcPr>
          <w:p w14:paraId="5B99C28F" w14:textId="77777777" w:rsidR="00803CE9" w:rsidRPr="000C5CE7" w:rsidRDefault="00803CE9" w:rsidP="000C5CE7">
            <w:r w:rsidRPr="000C5CE7">
              <w:t>Grade 4</w:t>
            </w:r>
          </w:p>
        </w:tc>
        <w:tc>
          <w:tcPr>
            <w:tcW w:w="2333" w:type="dxa"/>
            <w:vAlign w:val="center"/>
          </w:tcPr>
          <w:p w14:paraId="34C9CE74" w14:textId="77777777" w:rsidR="00803CE9" w:rsidRPr="000C5CE7" w:rsidRDefault="00803CE9" w:rsidP="000C5CE7">
            <w:pPr>
              <w:jc w:val="center"/>
            </w:pPr>
            <w:r>
              <w:rPr>
                <w:noProof/>
              </w:rPr>
              <w:t>31.28%</w:t>
            </w:r>
          </w:p>
        </w:tc>
        <w:tc>
          <w:tcPr>
            <w:tcW w:w="2333" w:type="dxa"/>
            <w:vAlign w:val="center"/>
          </w:tcPr>
          <w:p w14:paraId="3D01FE33" w14:textId="77777777" w:rsidR="00803CE9" w:rsidRPr="000C5CE7" w:rsidRDefault="00803CE9" w:rsidP="000C5CE7">
            <w:pPr>
              <w:jc w:val="center"/>
            </w:pPr>
            <w:r w:rsidRPr="000C5CE7">
              <w:t>≤26.84%</w:t>
            </w:r>
          </w:p>
        </w:tc>
        <w:tc>
          <w:tcPr>
            <w:tcW w:w="2333" w:type="dxa"/>
            <w:vAlign w:val="center"/>
          </w:tcPr>
          <w:p w14:paraId="1081BE00" w14:textId="77777777" w:rsidR="00803CE9" w:rsidRPr="000C5CE7" w:rsidRDefault="00803CE9" w:rsidP="000C5CE7">
            <w:pPr>
              <w:ind w:left="68" w:right="150"/>
              <w:jc w:val="center"/>
            </w:pPr>
            <w:r>
              <w:rPr>
                <w:noProof/>
              </w:rPr>
              <w:t>No</w:t>
            </w:r>
          </w:p>
        </w:tc>
      </w:tr>
      <w:tr w:rsidR="00803CE9" w:rsidRPr="000C5CE7" w14:paraId="46FDC84C" w14:textId="77777777" w:rsidTr="00EB3EC4">
        <w:trPr>
          <w:trHeight w:hRule="exact" w:val="720"/>
        </w:trPr>
        <w:tc>
          <w:tcPr>
            <w:tcW w:w="2333" w:type="dxa"/>
            <w:vAlign w:val="center"/>
          </w:tcPr>
          <w:p w14:paraId="5471F7F9" w14:textId="77777777" w:rsidR="00803CE9" w:rsidRPr="000C5CE7" w:rsidRDefault="00803CE9" w:rsidP="000C5CE7">
            <w:r w:rsidRPr="000C5CE7">
              <w:t>Grade 8</w:t>
            </w:r>
          </w:p>
        </w:tc>
        <w:tc>
          <w:tcPr>
            <w:tcW w:w="2333" w:type="dxa"/>
            <w:vAlign w:val="center"/>
          </w:tcPr>
          <w:p w14:paraId="3342E034" w14:textId="77777777" w:rsidR="00803CE9" w:rsidRPr="000C5CE7" w:rsidRDefault="00803CE9" w:rsidP="000C5CE7">
            <w:pPr>
              <w:jc w:val="center"/>
            </w:pPr>
            <w:r>
              <w:rPr>
                <w:noProof/>
              </w:rPr>
              <w:t>54.78%</w:t>
            </w:r>
          </w:p>
        </w:tc>
        <w:tc>
          <w:tcPr>
            <w:tcW w:w="2333" w:type="dxa"/>
            <w:vAlign w:val="center"/>
          </w:tcPr>
          <w:p w14:paraId="279FEF14" w14:textId="77777777" w:rsidR="00803CE9" w:rsidRPr="000C5CE7" w:rsidRDefault="00803CE9" w:rsidP="000C5CE7">
            <w:pPr>
              <w:jc w:val="center"/>
            </w:pPr>
            <w:r w:rsidRPr="000C5CE7">
              <w:t>≤33.71%</w:t>
            </w:r>
          </w:p>
        </w:tc>
        <w:tc>
          <w:tcPr>
            <w:tcW w:w="2333" w:type="dxa"/>
            <w:vAlign w:val="center"/>
          </w:tcPr>
          <w:p w14:paraId="3DA390FB" w14:textId="77777777" w:rsidR="00803CE9" w:rsidRPr="000C5CE7" w:rsidRDefault="00803CE9" w:rsidP="000C5CE7">
            <w:pPr>
              <w:ind w:left="68" w:right="150"/>
              <w:jc w:val="center"/>
            </w:pPr>
            <w:r>
              <w:rPr>
                <w:noProof/>
              </w:rPr>
              <w:t>No</w:t>
            </w:r>
          </w:p>
        </w:tc>
      </w:tr>
      <w:tr w:rsidR="00803CE9" w:rsidRPr="000C5CE7" w14:paraId="0F540EF9" w14:textId="77777777" w:rsidTr="00EB3EC4">
        <w:trPr>
          <w:trHeight w:hRule="exact" w:val="720"/>
        </w:trPr>
        <w:tc>
          <w:tcPr>
            <w:tcW w:w="2333" w:type="dxa"/>
            <w:vAlign w:val="center"/>
          </w:tcPr>
          <w:p w14:paraId="10F9E0A8" w14:textId="77777777" w:rsidR="00803CE9" w:rsidRPr="000C5CE7" w:rsidRDefault="00803CE9" w:rsidP="000C5CE7">
            <w:r w:rsidRPr="000C5CE7">
              <w:t>High School</w:t>
            </w:r>
          </w:p>
        </w:tc>
        <w:tc>
          <w:tcPr>
            <w:tcW w:w="2333" w:type="dxa"/>
            <w:vAlign w:val="center"/>
          </w:tcPr>
          <w:p w14:paraId="5D2C46B9" w14:textId="77777777" w:rsidR="00803CE9" w:rsidRPr="000C5CE7" w:rsidRDefault="00803CE9" w:rsidP="000C5CE7">
            <w:pPr>
              <w:jc w:val="center"/>
            </w:pPr>
            <w:r>
              <w:rPr>
                <w:noProof/>
              </w:rPr>
              <w:t>8.61%</w:t>
            </w:r>
          </w:p>
        </w:tc>
        <w:tc>
          <w:tcPr>
            <w:tcW w:w="2333" w:type="dxa"/>
            <w:vAlign w:val="center"/>
          </w:tcPr>
          <w:p w14:paraId="06A2222B" w14:textId="77777777" w:rsidR="00803CE9" w:rsidRPr="000C5CE7" w:rsidRDefault="00803CE9" w:rsidP="000C5CE7">
            <w:pPr>
              <w:jc w:val="center"/>
            </w:pPr>
            <w:r w:rsidRPr="000C5CE7">
              <w:t>≤21.77%</w:t>
            </w:r>
          </w:p>
        </w:tc>
        <w:tc>
          <w:tcPr>
            <w:tcW w:w="2333" w:type="dxa"/>
            <w:vAlign w:val="center"/>
          </w:tcPr>
          <w:p w14:paraId="150581DF" w14:textId="77777777" w:rsidR="00803CE9" w:rsidRPr="000C5CE7" w:rsidRDefault="00803CE9" w:rsidP="000C5CE7">
            <w:pPr>
              <w:ind w:left="68" w:right="150"/>
              <w:jc w:val="center"/>
            </w:pPr>
            <w:r>
              <w:rPr>
                <w:noProof/>
              </w:rPr>
              <w:t>Yes</w:t>
            </w:r>
          </w:p>
        </w:tc>
      </w:tr>
    </w:tbl>
    <w:p w14:paraId="26CF1A76" w14:textId="77777777" w:rsidR="00803CE9" w:rsidRPr="000C5CE7" w:rsidRDefault="00803CE9" w:rsidP="00310047">
      <w:pPr>
        <w:pStyle w:val="Heading2"/>
      </w:pPr>
      <w:r w:rsidRPr="000C5CE7">
        <w:t xml:space="preserve">Indicator </w:t>
      </w:r>
      <w:r>
        <w:rPr>
          <w:noProof/>
        </w:rPr>
        <w:t>4</w:t>
      </w:r>
      <w:r w:rsidRPr="000C5CE7">
        <w:t>: Suspension/Expulsion</w:t>
      </w:r>
    </w:p>
    <w:tbl>
      <w:tblPr>
        <w:tblStyle w:val="TableGrid"/>
        <w:tblW w:w="9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Indicator 4: Suspension/Expulsion includes indicator descriptions for 4a and 4b, and whether or not there is significant discrepancy in 2021-2022."/>
      </w:tblPr>
      <w:tblGrid>
        <w:gridCol w:w="6650"/>
        <w:gridCol w:w="2700"/>
      </w:tblGrid>
      <w:tr w:rsidR="00803CE9" w:rsidRPr="000C5CE7" w14:paraId="0F8EA6B1" w14:textId="77777777" w:rsidTr="007350FB">
        <w:trPr>
          <w:trHeight w:hRule="exact" w:val="1001"/>
          <w:tblHeader/>
        </w:trPr>
        <w:tc>
          <w:tcPr>
            <w:tcW w:w="6650" w:type="dxa"/>
            <w:shd w:val="clear" w:color="auto" w:fill="F2F2F2" w:themeFill="background1" w:themeFillShade="F2"/>
            <w:vAlign w:val="center"/>
          </w:tcPr>
          <w:p w14:paraId="7236D697" w14:textId="77777777" w:rsidR="00803CE9" w:rsidRPr="000C5CE7" w:rsidRDefault="00803CE9" w:rsidP="007350FB">
            <w:pPr>
              <w:rPr>
                <w:sz w:val="26"/>
                <w:szCs w:val="26"/>
              </w:rPr>
            </w:pPr>
            <w:r w:rsidRPr="000C5CE7">
              <w:rPr>
                <w:sz w:val="26"/>
                <w:szCs w:val="26"/>
              </w:rPr>
              <w:t>Indicator Description</w:t>
            </w:r>
          </w:p>
        </w:tc>
        <w:tc>
          <w:tcPr>
            <w:tcW w:w="2700" w:type="dxa"/>
            <w:shd w:val="clear" w:color="auto" w:fill="F2F2F2" w:themeFill="background1" w:themeFillShade="F2"/>
            <w:vAlign w:val="center"/>
          </w:tcPr>
          <w:p w14:paraId="3CD341C3" w14:textId="77777777" w:rsidR="00803CE9" w:rsidRPr="000C5CE7" w:rsidRDefault="00803CE9" w:rsidP="00E969B1">
            <w:pPr>
              <w:ind w:left="-110" w:right="-108"/>
              <w:jc w:val="center"/>
              <w:rPr>
                <w:sz w:val="26"/>
                <w:szCs w:val="26"/>
              </w:rPr>
            </w:pPr>
            <w:r w:rsidRPr="000C5CE7">
              <w:rPr>
                <w:sz w:val="26"/>
                <w:szCs w:val="26"/>
              </w:rPr>
              <w:t>2021-2022</w:t>
            </w:r>
            <w:r w:rsidRPr="000C5CE7">
              <w:rPr>
                <w:sz w:val="26"/>
                <w:szCs w:val="26"/>
              </w:rPr>
              <w:br/>
              <w:t>Significant Discrepancy</w:t>
            </w:r>
            <w:r>
              <w:rPr>
                <w:sz w:val="26"/>
                <w:szCs w:val="26"/>
              </w:rPr>
              <w:t xml:space="preserve"> </w:t>
            </w:r>
            <w:r w:rsidRPr="000C5CE7">
              <w:rPr>
                <w:sz w:val="26"/>
                <w:szCs w:val="26"/>
              </w:rPr>
              <w:t>Determination</w:t>
            </w:r>
          </w:p>
        </w:tc>
      </w:tr>
      <w:tr w:rsidR="00803CE9" w:rsidRPr="000C5CE7" w14:paraId="05DB01BF" w14:textId="77777777" w:rsidTr="00FF4FC9">
        <w:trPr>
          <w:trHeight w:hRule="exact" w:val="1217"/>
        </w:trPr>
        <w:tc>
          <w:tcPr>
            <w:tcW w:w="6650" w:type="dxa"/>
            <w:vAlign w:val="center"/>
          </w:tcPr>
          <w:p w14:paraId="6E9D8766" w14:textId="77777777" w:rsidR="00803CE9" w:rsidRPr="000C5CE7" w:rsidRDefault="00803CE9" w:rsidP="00B7164F">
            <w:pPr>
              <w:spacing w:line="259" w:lineRule="auto"/>
            </w:pPr>
            <w:proofErr w:type="spellStart"/>
            <w:r w:rsidRPr="000C5CE7">
              <w:rPr>
                <w:b/>
              </w:rPr>
              <w:t>4a</w:t>
            </w:r>
            <w:proofErr w:type="spellEnd"/>
            <w:r w:rsidRPr="000C5CE7">
              <w:rPr>
                <w:b/>
              </w:rPr>
              <w:t>.</w:t>
            </w:r>
            <w:r w:rsidRPr="000C5CE7">
              <w:t xml:space="preserve"> Division identified with significant discrepancy in the rate of suspensions and expulsions of greater than ten days in a school year for children with IEPs.</w:t>
            </w:r>
          </w:p>
        </w:tc>
        <w:tc>
          <w:tcPr>
            <w:tcW w:w="2700" w:type="dxa"/>
            <w:vAlign w:val="center"/>
          </w:tcPr>
          <w:p w14:paraId="2C604F9D" w14:textId="77777777" w:rsidR="00803CE9" w:rsidRPr="000C5CE7" w:rsidRDefault="00803CE9" w:rsidP="00B7164F">
            <w:pPr>
              <w:jc w:val="center"/>
            </w:pPr>
            <w:r>
              <w:rPr>
                <w:noProof/>
              </w:rPr>
              <w:t>No</w:t>
            </w:r>
          </w:p>
        </w:tc>
      </w:tr>
      <w:tr w:rsidR="00803CE9" w:rsidRPr="000C5CE7" w14:paraId="5E77CDE7" w14:textId="77777777" w:rsidTr="00FF4FC9">
        <w:trPr>
          <w:trHeight w:hRule="exact" w:val="1728"/>
        </w:trPr>
        <w:tc>
          <w:tcPr>
            <w:tcW w:w="6650" w:type="dxa"/>
            <w:vAlign w:val="center"/>
          </w:tcPr>
          <w:p w14:paraId="3DDEA958" w14:textId="77777777" w:rsidR="00803CE9" w:rsidRPr="000C5CE7" w:rsidRDefault="00803CE9" w:rsidP="00B7164F">
            <w:pPr>
              <w:spacing w:line="259" w:lineRule="auto"/>
            </w:pPr>
            <w:proofErr w:type="spellStart"/>
            <w:r w:rsidRPr="000C5CE7">
              <w:rPr>
                <w:b/>
              </w:rPr>
              <w:t>4a</w:t>
            </w:r>
            <w:proofErr w:type="spellEnd"/>
            <w:r w:rsidRPr="000C5CE7">
              <w:rPr>
                <w:b/>
              </w:rPr>
              <w:t>.</w:t>
            </w:r>
            <w:r w:rsidRPr="000C5CE7">
              <w:t xml:space="preserve"> The VDOE concluded that the policies, procedures, or practices contributed to the significant discrepancy and do not comply with requirements relating to the development of IEPs, </w:t>
            </w:r>
            <w:r w:rsidRPr="000C5CE7">
              <w:br/>
              <w:t xml:space="preserve">the use of positive behavioral interventions and supports, and procedural safeguards. </w:t>
            </w:r>
            <w:r w:rsidRPr="000C5CE7">
              <w:rPr>
                <w:b/>
              </w:rPr>
              <w:t>Target – 0%</w:t>
            </w:r>
          </w:p>
        </w:tc>
        <w:tc>
          <w:tcPr>
            <w:tcW w:w="2700" w:type="dxa"/>
            <w:vAlign w:val="center"/>
          </w:tcPr>
          <w:p w14:paraId="22136E36" w14:textId="77777777" w:rsidR="00803CE9" w:rsidRPr="000C5CE7" w:rsidRDefault="00803CE9" w:rsidP="00B7164F">
            <w:pPr>
              <w:jc w:val="center"/>
            </w:pPr>
            <w:r>
              <w:rPr>
                <w:noProof/>
              </w:rPr>
              <w:t>Not identified with significant discrepancy for Indicator 4a</w:t>
            </w:r>
          </w:p>
        </w:tc>
      </w:tr>
      <w:tr w:rsidR="00803CE9" w:rsidRPr="000C5CE7" w14:paraId="382053BE" w14:textId="77777777" w:rsidTr="00FF4FC9">
        <w:trPr>
          <w:trHeight w:hRule="exact" w:val="1224"/>
        </w:trPr>
        <w:tc>
          <w:tcPr>
            <w:tcW w:w="6650" w:type="dxa"/>
            <w:vAlign w:val="center"/>
          </w:tcPr>
          <w:p w14:paraId="35231147" w14:textId="77777777" w:rsidR="00803CE9" w:rsidRPr="000C5CE7" w:rsidRDefault="00803CE9" w:rsidP="00B7164F">
            <w:pPr>
              <w:spacing w:line="259" w:lineRule="auto"/>
            </w:pPr>
            <w:proofErr w:type="spellStart"/>
            <w:r w:rsidRPr="000C5CE7">
              <w:rPr>
                <w:b/>
              </w:rPr>
              <w:t>4b</w:t>
            </w:r>
            <w:proofErr w:type="spellEnd"/>
            <w:r w:rsidRPr="000C5CE7">
              <w:rPr>
                <w:b/>
              </w:rPr>
              <w:t xml:space="preserve">. </w:t>
            </w:r>
            <w:r w:rsidRPr="000C5CE7">
              <w:t>Division identified with</w:t>
            </w:r>
            <w:r w:rsidRPr="000C5CE7">
              <w:rPr>
                <w:b/>
              </w:rPr>
              <w:t xml:space="preserve"> </w:t>
            </w:r>
            <w:r w:rsidRPr="000C5CE7">
              <w:t xml:space="preserve">significant discrepancy, by race or ethnicity, in the rate of suspensions and expulsions of greater than </w:t>
            </w:r>
            <w:r w:rsidRPr="000C5CE7">
              <w:br/>
              <w:t>ten days in a school year for children with IEPs.</w:t>
            </w:r>
          </w:p>
        </w:tc>
        <w:tc>
          <w:tcPr>
            <w:tcW w:w="2700" w:type="dxa"/>
            <w:vAlign w:val="center"/>
          </w:tcPr>
          <w:p w14:paraId="1D5A9C06" w14:textId="77777777" w:rsidR="00803CE9" w:rsidRPr="000C5CE7" w:rsidRDefault="00803CE9" w:rsidP="00B7164F">
            <w:pPr>
              <w:jc w:val="center"/>
            </w:pPr>
            <w:r>
              <w:rPr>
                <w:noProof/>
              </w:rPr>
              <w:t>No</w:t>
            </w:r>
          </w:p>
        </w:tc>
      </w:tr>
      <w:tr w:rsidR="00803CE9" w:rsidRPr="000C5CE7" w14:paraId="5ABCBE00" w14:textId="77777777" w:rsidTr="00703BE5">
        <w:trPr>
          <w:trHeight w:hRule="exact" w:val="1802"/>
        </w:trPr>
        <w:tc>
          <w:tcPr>
            <w:tcW w:w="6650" w:type="dxa"/>
            <w:vAlign w:val="center"/>
          </w:tcPr>
          <w:p w14:paraId="4B397764" w14:textId="77777777" w:rsidR="00803CE9" w:rsidRPr="000C5CE7" w:rsidRDefault="00803CE9" w:rsidP="00B7164F">
            <w:pPr>
              <w:spacing w:line="259" w:lineRule="auto"/>
            </w:pPr>
            <w:proofErr w:type="spellStart"/>
            <w:r w:rsidRPr="000C5CE7">
              <w:rPr>
                <w:b/>
              </w:rPr>
              <w:lastRenderedPageBreak/>
              <w:t>4b</w:t>
            </w:r>
            <w:proofErr w:type="spellEnd"/>
            <w:r w:rsidRPr="000C5CE7">
              <w:rPr>
                <w:b/>
              </w:rPr>
              <w:t>.</w:t>
            </w:r>
            <w:r w:rsidRPr="000C5CE7">
              <w:t xml:space="preserve"> The VDOE concluded that the policies, procedures, or practices contributed to the significant discrepancy and do not comply with requirements relating to the development of IEPs, </w:t>
            </w:r>
            <w:r w:rsidRPr="000C5CE7">
              <w:br/>
              <w:t xml:space="preserve">the use of positive behavioral interventions and supports, and procedural safeguards. </w:t>
            </w:r>
            <w:r w:rsidRPr="000C5CE7">
              <w:rPr>
                <w:b/>
              </w:rPr>
              <w:t>Target – 0%</w:t>
            </w:r>
          </w:p>
        </w:tc>
        <w:tc>
          <w:tcPr>
            <w:tcW w:w="2700" w:type="dxa"/>
            <w:vAlign w:val="center"/>
          </w:tcPr>
          <w:p w14:paraId="76A60939" w14:textId="77777777" w:rsidR="00803CE9" w:rsidRPr="000C5CE7" w:rsidRDefault="00803CE9" w:rsidP="00B7164F">
            <w:pPr>
              <w:jc w:val="center"/>
            </w:pPr>
            <w:r>
              <w:rPr>
                <w:noProof/>
              </w:rPr>
              <w:t>Not identified with significant discrepancy for Indicator 4b</w:t>
            </w:r>
          </w:p>
        </w:tc>
      </w:tr>
    </w:tbl>
    <w:p w14:paraId="15D1EE3A" w14:textId="77777777" w:rsidR="00803CE9" w:rsidRPr="000C5CE7" w:rsidRDefault="00803CE9" w:rsidP="00310047">
      <w:pPr>
        <w:pStyle w:val="Heading2"/>
      </w:pPr>
      <w:r w:rsidRPr="000C5CE7">
        <w:t xml:space="preserve">Indicator </w:t>
      </w:r>
      <w:r>
        <w:rPr>
          <w:noProof/>
        </w:rPr>
        <w:t>5</w:t>
      </w:r>
      <w:r w:rsidRPr="000C5CE7">
        <w:t>: Education Environments</w:t>
      </w:r>
      <w:r w:rsidRPr="000C5CE7">
        <w:br/>
        <w:t>(Children Aged 5 (Kindergarten)</w:t>
      </w:r>
      <w:r>
        <w:t>-</w:t>
      </w:r>
      <w:r w:rsidRPr="000C5CE7">
        <w:t>21)</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Indicator 5: Education Environments (Children Age 5 (Kindergarten)–21) includes indicator descriptions for 5a, 5b, and 5c; 2021-2022 division performance and state target; and whether or not state target was met."/>
      </w:tblPr>
      <w:tblGrid>
        <w:gridCol w:w="4296"/>
        <w:gridCol w:w="1681"/>
        <w:gridCol w:w="1681"/>
        <w:gridCol w:w="1682"/>
      </w:tblGrid>
      <w:tr w:rsidR="00803CE9" w:rsidRPr="000C5CE7" w14:paraId="38DE4116" w14:textId="77777777" w:rsidTr="00564242">
        <w:trPr>
          <w:trHeight w:hRule="exact" w:val="1010"/>
          <w:tblHeader/>
        </w:trPr>
        <w:tc>
          <w:tcPr>
            <w:tcW w:w="4296" w:type="dxa"/>
            <w:shd w:val="clear" w:color="auto" w:fill="F2F2F2" w:themeFill="background1" w:themeFillShade="F2"/>
            <w:vAlign w:val="center"/>
          </w:tcPr>
          <w:p w14:paraId="31ACF3F3" w14:textId="77777777" w:rsidR="00803CE9" w:rsidRPr="000C5CE7" w:rsidRDefault="00803CE9" w:rsidP="00846C10">
            <w:r w:rsidRPr="000C5CE7">
              <w:rPr>
                <w:sz w:val="26"/>
                <w:szCs w:val="26"/>
              </w:rPr>
              <w:t>Indicator Description</w:t>
            </w:r>
          </w:p>
        </w:tc>
        <w:tc>
          <w:tcPr>
            <w:tcW w:w="1681" w:type="dxa"/>
            <w:shd w:val="clear" w:color="auto" w:fill="F2F2F2" w:themeFill="background1" w:themeFillShade="F2"/>
            <w:vAlign w:val="center"/>
          </w:tcPr>
          <w:p w14:paraId="531772B0" w14:textId="77777777" w:rsidR="00803CE9" w:rsidRPr="000C5CE7" w:rsidRDefault="00803CE9" w:rsidP="00E969B1">
            <w:pPr>
              <w:jc w:val="center"/>
            </w:pPr>
            <w:r w:rsidRPr="000C5CE7">
              <w:rPr>
                <w:sz w:val="26"/>
                <w:szCs w:val="26"/>
              </w:rPr>
              <w:t>2021-2022</w:t>
            </w:r>
            <w:r>
              <w:rPr>
                <w:sz w:val="26"/>
                <w:szCs w:val="26"/>
              </w:rPr>
              <w:t xml:space="preserve"> </w:t>
            </w:r>
            <w:r w:rsidRPr="000C5CE7">
              <w:rPr>
                <w:sz w:val="26"/>
                <w:szCs w:val="26"/>
              </w:rPr>
              <w:t>Division</w:t>
            </w:r>
            <w:r>
              <w:rPr>
                <w:sz w:val="26"/>
                <w:szCs w:val="26"/>
              </w:rPr>
              <w:t xml:space="preserve"> </w:t>
            </w:r>
            <w:r w:rsidRPr="000C5CE7">
              <w:rPr>
                <w:sz w:val="26"/>
                <w:szCs w:val="26"/>
              </w:rPr>
              <w:t>Performance</w:t>
            </w:r>
          </w:p>
        </w:tc>
        <w:tc>
          <w:tcPr>
            <w:tcW w:w="1681" w:type="dxa"/>
            <w:shd w:val="clear" w:color="auto" w:fill="F2F2F2" w:themeFill="background1" w:themeFillShade="F2"/>
            <w:vAlign w:val="center"/>
          </w:tcPr>
          <w:p w14:paraId="4597B9BB" w14:textId="77777777" w:rsidR="00803CE9" w:rsidRPr="000C5CE7" w:rsidRDefault="00803CE9" w:rsidP="00E969B1">
            <w:pPr>
              <w:jc w:val="center"/>
            </w:pPr>
            <w:r w:rsidRPr="000C5CE7">
              <w:rPr>
                <w:sz w:val="26"/>
                <w:szCs w:val="26"/>
              </w:rPr>
              <w:t>2021-2022</w:t>
            </w:r>
            <w:r>
              <w:rPr>
                <w:sz w:val="26"/>
                <w:szCs w:val="26"/>
              </w:rPr>
              <w:t xml:space="preserve"> </w:t>
            </w:r>
            <w:r w:rsidRPr="000C5CE7">
              <w:rPr>
                <w:sz w:val="26"/>
                <w:szCs w:val="26"/>
              </w:rPr>
              <w:t>State Target</w:t>
            </w:r>
          </w:p>
        </w:tc>
        <w:tc>
          <w:tcPr>
            <w:tcW w:w="1682" w:type="dxa"/>
            <w:shd w:val="clear" w:color="auto" w:fill="F2F2F2" w:themeFill="background1" w:themeFillShade="F2"/>
            <w:vAlign w:val="center"/>
          </w:tcPr>
          <w:p w14:paraId="68BD1512" w14:textId="77777777" w:rsidR="00803CE9" w:rsidRPr="000C5CE7" w:rsidRDefault="00803CE9" w:rsidP="00E969B1">
            <w:pPr>
              <w:tabs>
                <w:tab w:val="left" w:pos="2098"/>
              </w:tabs>
              <w:jc w:val="center"/>
            </w:pPr>
            <w:r w:rsidRPr="000C5CE7">
              <w:rPr>
                <w:sz w:val="26"/>
                <w:szCs w:val="26"/>
              </w:rPr>
              <w:t>State Target</w:t>
            </w:r>
            <w:r>
              <w:rPr>
                <w:sz w:val="26"/>
                <w:szCs w:val="26"/>
              </w:rPr>
              <w:t xml:space="preserve"> </w:t>
            </w:r>
            <w:r w:rsidRPr="000C5CE7">
              <w:rPr>
                <w:sz w:val="26"/>
                <w:szCs w:val="26"/>
              </w:rPr>
              <w:t>Met</w:t>
            </w:r>
          </w:p>
        </w:tc>
      </w:tr>
      <w:tr w:rsidR="00803CE9" w:rsidRPr="000C5CE7" w14:paraId="065BF034" w14:textId="77777777" w:rsidTr="00564242">
        <w:trPr>
          <w:trHeight w:hRule="exact" w:val="864"/>
        </w:trPr>
        <w:tc>
          <w:tcPr>
            <w:tcW w:w="4296" w:type="dxa"/>
            <w:vAlign w:val="center"/>
          </w:tcPr>
          <w:p w14:paraId="4173B1E6" w14:textId="77777777" w:rsidR="00803CE9" w:rsidRPr="000C5CE7" w:rsidRDefault="00803CE9" w:rsidP="000C5CE7">
            <w:pPr>
              <w:spacing w:line="259" w:lineRule="auto"/>
            </w:pPr>
            <w:proofErr w:type="spellStart"/>
            <w:r w:rsidRPr="000C5CE7">
              <w:rPr>
                <w:b/>
              </w:rPr>
              <w:t>5a</w:t>
            </w:r>
            <w:proofErr w:type="spellEnd"/>
            <w:r w:rsidRPr="000C5CE7">
              <w:rPr>
                <w:b/>
              </w:rPr>
              <w:t>.</w:t>
            </w:r>
            <w:r w:rsidRPr="000C5CE7">
              <w:t xml:space="preserve"> Students included in regular classroom 80 percent or more of the day</w:t>
            </w:r>
          </w:p>
        </w:tc>
        <w:tc>
          <w:tcPr>
            <w:tcW w:w="1681" w:type="dxa"/>
            <w:vAlign w:val="center"/>
          </w:tcPr>
          <w:p w14:paraId="0E7C9448" w14:textId="77777777" w:rsidR="00803CE9" w:rsidRPr="000C5CE7" w:rsidRDefault="00803CE9" w:rsidP="000C5CE7">
            <w:pPr>
              <w:jc w:val="center"/>
            </w:pPr>
            <w:r>
              <w:rPr>
                <w:noProof/>
              </w:rPr>
              <w:t>88.10%</w:t>
            </w:r>
          </w:p>
        </w:tc>
        <w:tc>
          <w:tcPr>
            <w:tcW w:w="1681" w:type="dxa"/>
            <w:vAlign w:val="center"/>
          </w:tcPr>
          <w:p w14:paraId="5C514BD2" w14:textId="77777777" w:rsidR="00803CE9" w:rsidRPr="000C5CE7" w:rsidRDefault="00803CE9" w:rsidP="000C5CE7">
            <w:pPr>
              <w:jc w:val="center"/>
            </w:pPr>
            <w:r w:rsidRPr="000C5CE7">
              <w:t>≥72.10%</w:t>
            </w:r>
          </w:p>
        </w:tc>
        <w:tc>
          <w:tcPr>
            <w:tcW w:w="1682" w:type="dxa"/>
            <w:vAlign w:val="center"/>
          </w:tcPr>
          <w:p w14:paraId="35D6A3F0" w14:textId="77777777" w:rsidR="00803CE9" w:rsidRPr="000C5CE7" w:rsidRDefault="00803CE9" w:rsidP="000C5CE7">
            <w:pPr>
              <w:jc w:val="center"/>
            </w:pPr>
            <w:r>
              <w:rPr>
                <w:noProof/>
              </w:rPr>
              <w:t>Yes</w:t>
            </w:r>
          </w:p>
        </w:tc>
      </w:tr>
      <w:tr w:rsidR="00803CE9" w:rsidRPr="000C5CE7" w14:paraId="23352AFB" w14:textId="77777777" w:rsidTr="00564242">
        <w:trPr>
          <w:trHeight w:hRule="exact" w:val="864"/>
        </w:trPr>
        <w:tc>
          <w:tcPr>
            <w:tcW w:w="4296" w:type="dxa"/>
            <w:vAlign w:val="center"/>
          </w:tcPr>
          <w:p w14:paraId="101AAF58" w14:textId="77777777" w:rsidR="00803CE9" w:rsidRPr="000C5CE7" w:rsidRDefault="00803CE9" w:rsidP="000C5CE7">
            <w:pPr>
              <w:spacing w:line="259" w:lineRule="auto"/>
            </w:pPr>
            <w:proofErr w:type="spellStart"/>
            <w:r w:rsidRPr="000C5CE7">
              <w:rPr>
                <w:b/>
              </w:rPr>
              <w:t>5b</w:t>
            </w:r>
            <w:proofErr w:type="spellEnd"/>
            <w:r w:rsidRPr="000C5CE7">
              <w:rPr>
                <w:b/>
              </w:rPr>
              <w:t>.</w:t>
            </w:r>
            <w:r w:rsidRPr="000C5CE7">
              <w:t xml:space="preserve"> Students included in regular classroom less than 40 percent of the day</w:t>
            </w:r>
          </w:p>
        </w:tc>
        <w:tc>
          <w:tcPr>
            <w:tcW w:w="1681" w:type="dxa"/>
            <w:vAlign w:val="center"/>
          </w:tcPr>
          <w:p w14:paraId="6AC57C23" w14:textId="77777777" w:rsidR="00803CE9" w:rsidRPr="000C5CE7" w:rsidRDefault="00803CE9" w:rsidP="000C5CE7">
            <w:pPr>
              <w:jc w:val="center"/>
            </w:pPr>
            <w:r>
              <w:rPr>
                <w:noProof/>
              </w:rPr>
              <w:t>5.58%</w:t>
            </w:r>
          </w:p>
        </w:tc>
        <w:tc>
          <w:tcPr>
            <w:tcW w:w="1681" w:type="dxa"/>
            <w:vAlign w:val="center"/>
          </w:tcPr>
          <w:p w14:paraId="35383B42" w14:textId="77777777" w:rsidR="00803CE9" w:rsidRPr="000C5CE7" w:rsidRDefault="00803CE9" w:rsidP="000C5CE7">
            <w:pPr>
              <w:jc w:val="center"/>
            </w:pPr>
            <w:r w:rsidRPr="000C5CE7">
              <w:t>≤8.15%</w:t>
            </w:r>
          </w:p>
        </w:tc>
        <w:tc>
          <w:tcPr>
            <w:tcW w:w="1682" w:type="dxa"/>
            <w:vAlign w:val="center"/>
          </w:tcPr>
          <w:p w14:paraId="49462639" w14:textId="77777777" w:rsidR="00803CE9" w:rsidRPr="000C5CE7" w:rsidRDefault="00803CE9" w:rsidP="000C5CE7">
            <w:pPr>
              <w:jc w:val="center"/>
            </w:pPr>
            <w:r>
              <w:rPr>
                <w:noProof/>
              </w:rPr>
              <w:t>Yes</w:t>
            </w:r>
          </w:p>
        </w:tc>
      </w:tr>
      <w:tr w:rsidR="00803CE9" w:rsidRPr="000C5CE7" w14:paraId="5D8A2B10" w14:textId="77777777" w:rsidTr="001E412E">
        <w:trPr>
          <w:trHeight w:hRule="exact" w:val="1172"/>
        </w:trPr>
        <w:tc>
          <w:tcPr>
            <w:tcW w:w="4296" w:type="dxa"/>
            <w:vAlign w:val="center"/>
          </w:tcPr>
          <w:p w14:paraId="49BEA398" w14:textId="77777777" w:rsidR="00803CE9" w:rsidRPr="000C5CE7" w:rsidRDefault="00803CE9" w:rsidP="000C5CE7">
            <w:pPr>
              <w:spacing w:line="259" w:lineRule="auto"/>
            </w:pPr>
            <w:proofErr w:type="spellStart"/>
            <w:r w:rsidRPr="000C5CE7">
              <w:rPr>
                <w:b/>
              </w:rPr>
              <w:t>5c</w:t>
            </w:r>
            <w:proofErr w:type="spellEnd"/>
            <w:r w:rsidRPr="000C5CE7">
              <w:rPr>
                <w:b/>
              </w:rPr>
              <w:t>.</w:t>
            </w:r>
            <w:r w:rsidRPr="000C5CE7">
              <w:t xml:space="preserve"> Students served in separate public or private school, residential, home-based, </w:t>
            </w:r>
            <w:r w:rsidRPr="000C5CE7">
              <w:br/>
              <w:t>or hospital facility</w:t>
            </w:r>
          </w:p>
        </w:tc>
        <w:tc>
          <w:tcPr>
            <w:tcW w:w="1681" w:type="dxa"/>
            <w:vAlign w:val="center"/>
          </w:tcPr>
          <w:p w14:paraId="3196D1D7" w14:textId="77777777" w:rsidR="00803CE9" w:rsidRPr="000C5CE7" w:rsidRDefault="00803CE9" w:rsidP="000C5CE7">
            <w:pPr>
              <w:jc w:val="center"/>
            </w:pPr>
            <w:r>
              <w:rPr>
                <w:noProof/>
              </w:rPr>
              <w:t>2.60%</w:t>
            </w:r>
          </w:p>
        </w:tc>
        <w:tc>
          <w:tcPr>
            <w:tcW w:w="1681" w:type="dxa"/>
            <w:vAlign w:val="center"/>
          </w:tcPr>
          <w:p w14:paraId="01FCF3DC" w14:textId="77777777" w:rsidR="00803CE9" w:rsidRPr="000C5CE7" w:rsidRDefault="00803CE9" w:rsidP="000C5CE7">
            <w:pPr>
              <w:jc w:val="center"/>
            </w:pPr>
            <w:r w:rsidRPr="000C5CE7">
              <w:t>≤3.81%</w:t>
            </w:r>
          </w:p>
        </w:tc>
        <w:tc>
          <w:tcPr>
            <w:tcW w:w="1682" w:type="dxa"/>
            <w:vAlign w:val="center"/>
          </w:tcPr>
          <w:p w14:paraId="6023EEB9" w14:textId="77777777" w:rsidR="00803CE9" w:rsidRPr="000C5CE7" w:rsidRDefault="00803CE9" w:rsidP="000C5CE7">
            <w:pPr>
              <w:jc w:val="center"/>
            </w:pPr>
            <w:r>
              <w:rPr>
                <w:noProof/>
              </w:rPr>
              <w:t>Yes</w:t>
            </w:r>
          </w:p>
        </w:tc>
      </w:tr>
    </w:tbl>
    <w:p w14:paraId="18A2FF53" w14:textId="77777777" w:rsidR="00803CE9" w:rsidRPr="000C5CE7" w:rsidRDefault="00803CE9" w:rsidP="00310047">
      <w:pPr>
        <w:pStyle w:val="Heading2"/>
      </w:pPr>
      <w:r w:rsidRPr="000C5CE7">
        <w:t xml:space="preserve">Indicator </w:t>
      </w:r>
      <w:r>
        <w:rPr>
          <w:noProof/>
        </w:rPr>
        <w:t>6</w:t>
      </w:r>
      <w:r w:rsidRPr="000C5CE7">
        <w:t>: Preschool Environments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Indicator 6: Preschool Environments includes indicator descriptions for 6a, 6b, and 6c; 2021-2022 division performance and state target; and whether or not state target was met."/>
      </w:tblPr>
      <w:tblGrid>
        <w:gridCol w:w="4296"/>
        <w:gridCol w:w="1681"/>
        <w:gridCol w:w="1681"/>
        <w:gridCol w:w="1682"/>
      </w:tblGrid>
      <w:tr w:rsidR="00803CE9" w:rsidRPr="000C5CE7" w14:paraId="5252ACD1" w14:textId="77777777" w:rsidTr="00564242">
        <w:trPr>
          <w:trHeight w:hRule="exact" w:val="1010"/>
          <w:tblHeader/>
        </w:trPr>
        <w:tc>
          <w:tcPr>
            <w:tcW w:w="4296" w:type="dxa"/>
            <w:shd w:val="clear" w:color="auto" w:fill="F2F2F2" w:themeFill="background1" w:themeFillShade="F2"/>
            <w:vAlign w:val="center"/>
          </w:tcPr>
          <w:p w14:paraId="4029C5F4" w14:textId="77777777" w:rsidR="00803CE9" w:rsidRPr="000C5CE7" w:rsidRDefault="00803CE9" w:rsidP="00B44B03">
            <w:r w:rsidRPr="000C5CE7">
              <w:rPr>
                <w:sz w:val="26"/>
                <w:szCs w:val="26"/>
              </w:rPr>
              <w:t>Indicator Description</w:t>
            </w:r>
          </w:p>
        </w:tc>
        <w:tc>
          <w:tcPr>
            <w:tcW w:w="1681" w:type="dxa"/>
            <w:shd w:val="clear" w:color="auto" w:fill="F2F2F2" w:themeFill="background1" w:themeFillShade="F2"/>
            <w:vAlign w:val="center"/>
          </w:tcPr>
          <w:p w14:paraId="1D9C0154" w14:textId="77777777" w:rsidR="00803CE9" w:rsidRPr="000C5CE7" w:rsidRDefault="00803CE9" w:rsidP="00E969B1">
            <w:pPr>
              <w:jc w:val="center"/>
            </w:pPr>
            <w:r w:rsidRPr="000C5CE7">
              <w:rPr>
                <w:sz w:val="26"/>
                <w:szCs w:val="26"/>
              </w:rPr>
              <w:t>2021-2022</w:t>
            </w:r>
            <w:r>
              <w:rPr>
                <w:sz w:val="26"/>
                <w:szCs w:val="26"/>
              </w:rPr>
              <w:t xml:space="preserve"> </w:t>
            </w:r>
            <w:r w:rsidRPr="000C5CE7">
              <w:rPr>
                <w:sz w:val="26"/>
                <w:szCs w:val="26"/>
              </w:rPr>
              <w:t>Division</w:t>
            </w:r>
            <w:r>
              <w:rPr>
                <w:sz w:val="26"/>
                <w:szCs w:val="26"/>
              </w:rPr>
              <w:t xml:space="preserve"> </w:t>
            </w:r>
            <w:r w:rsidRPr="000C5CE7">
              <w:rPr>
                <w:sz w:val="26"/>
                <w:szCs w:val="26"/>
              </w:rPr>
              <w:t>Performance</w:t>
            </w:r>
          </w:p>
        </w:tc>
        <w:tc>
          <w:tcPr>
            <w:tcW w:w="1681" w:type="dxa"/>
            <w:shd w:val="clear" w:color="auto" w:fill="F2F2F2" w:themeFill="background1" w:themeFillShade="F2"/>
            <w:vAlign w:val="center"/>
          </w:tcPr>
          <w:p w14:paraId="04EBA546" w14:textId="77777777" w:rsidR="00803CE9" w:rsidRPr="000C5CE7" w:rsidRDefault="00803CE9" w:rsidP="00E969B1">
            <w:pPr>
              <w:jc w:val="center"/>
            </w:pPr>
            <w:r w:rsidRPr="000C5CE7">
              <w:rPr>
                <w:sz w:val="26"/>
                <w:szCs w:val="26"/>
              </w:rPr>
              <w:t>2021-2022</w:t>
            </w:r>
            <w:r>
              <w:rPr>
                <w:sz w:val="26"/>
                <w:szCs w:val="26"/>
              </w:rPr>
              <w:t xml:space="preserve"> </w:t>
            </w:r>
            <w:r w:rsidRPr="000C5CE7">
              <w:rPr>
                <w:sz w:val="26"/>
                <w:szCs w:val="26"/>
              </w:rPr>
              <w:t>State Target</w:t>
            </w:r>
          </w:p>
        </w:tc>
        <w:tc>
          <w:tcPr>
            <w:tcW w:w="1682" w:type="dxa"/>
            <w:shd w:val="clear" w:color="auto" w:fill="F2F2F2" w:themeFill="background1" w:themeFillShade="F2"/>
            <w:vAlign w:val="center"/>
          </w:tcPr>
          <w:p w14:paraId="5F3012EB" w14:textId="77777777" w:rsidR="00803CE9" w:rsidRPr="000C5CE7" w:rsidRDefault="00803CE9" w:rsidP="00E969B1">
            <w:pPr>
              <w:tabs>
                <w:tab w:val="left" w:pos="2098"/>
              </w:tabs>
              <w:jc w:val="center"/>
            </w:pPr>
            <w:r w:rsidRPr="000C5CE7">
              <w:rPr>
                <w:sz w:val="26"/>
                <w:szCs w:val="26"/>
              </w:rPr>
              <w:t>State Target</w:t>
            </w:r>
            <w:r>
              <w:rPr>
                <w:sz w:val="26"/>
                <w:szCs w:val="26"/>
              </w:rPr>
              <w:t xml:space="preserve"> </w:t>
            </w:r>
            <w:r w:rsidRPr="000C5CE7">
              <w:rPr>
                <w:sz w:val="26"/>
                <w:szCs w:val="26"/>
              </w:rPr>
              <w:t>Met</w:t>
            </w:r>
          </w:p>
        </w:tc>
      </w:tr>
      <w:tr w:rsidR="00803CE9" w:rsidRPr="000C5CE7" w14:paraId="6864B928" w14:textId="77777777" w:rsidTr="001E412E">
        <w:trPr>
          <w:trHeight w:hRule="exact" w:val="2378"/>
        </w:trPr>
        <w:tc>
          <w:tcPr>
            <w:tcW w:w="4296" w:type="dxa"/>
            <w:vAlign w:val="center"/>
          </w:tcPr>
          <w:p w14:paraId="48BCB9E6" w14:textId="77777777" w:rsidR="00803CE9" w:rsidRPr="000C5CE7" w:rsidRDefault="00803CE9" w:rsidP="000C5CE7">
            <w:pPr>
              <w:spacing w:line="259" w:lineRule="auto"/>
            </w:pPr>
            <w:proofErr w:type="spellStart"/>
            <w:r w:rsidRPr="000C5CE7">
              <w:rPr>
                <w:b/>
              </w:rPr>
              <w:t>6a</w:t>
            </w:r>
            <w:proofErr w:type="spellEnd"/>
            <w:r w:rsidRPr="000C5CE7">
              <w:rPr>
                <w:b/>
              </w:rPr>
              <w:t>.</w:t>
            </w:r>
            <w:r w:rsidRPr="000C5CE7">
              <w:t xml:space="preserve"> Percent of children with IEPs aged three through five who are enrolled in a preschool program attending a regular early childhood program and receive </w:t>
            </w:r>
            <w:proofErr w:type="gramStart"/>
            <w:r w:rsidRPr="000C5CE7">
              <w:t>the majority of</w:t>
            </w:r>
            <w:proofErr w:type="gramEnd"/>
            <w:r w:rsidRPr="000C5CE7">
              <w:t xml:space="preserve"> special education and related services in the regular early childhood program</w:t>
            </w:r>
          </w:p>
        </w:tc>
        <w:tc>
          <w:tcPr>
            <w:tcW w:w="1681" w:type="dxa"/>
            <w:vAlign w:val="center"/>
          </w:tcPr>
          <w:p w14:paraId="0B347C95" w14:textId="77777777" w:rsidR="00803CE9" w:rsidRPr="000C5CE7" w:rsidRDefault="00803CE9" w:rsidP="000C5CE7">
            <w:pPr>
              <w:jc w:val="center"/>
            </w:pPr>
            <w:r>
              <w:rPr>
                <w:noProof/>
              </w:rPr>
              <w:t>31.82%</w:t>
            </w:r>
          </w:p>
        </w:tc>
        <w:tc>
          <w:tcPr>
            <w:tcW w:w="1681" w:type="dxa"/>
            <w:vAlign w:val="center"/>
          </w:tcPr>
          <w:p w14:paraId="779C134D" w14:textId="77777777" w:rsidR="00803CE9" w:rsidRPr="000C5CE7" w:rsidRDefault="00803CE9" w:rsidP="000C5CE7">
            <w:pPr>
              <w:jc w:val="center"/>
            </w:pPr>
            <w:r w:rsidRPr="000C5CE7">
              <w:t>≥24.90%</w:t>
            </w:r>
          </w:p>
        </w:tc>
        <w:tc>
          <w:tcPr>
            <w:tcW w:w="1682" w:type="dxa"/>
            <w:vAlign w:val="center"/>
          </w:tcPr>
          <w:p w14:paraId="399D7380" w14:textId="77777777" w:rsidR="00803CE9" w:rsidRPr="000C5CE7" w:rsidRDefault="00803CE9" w:rsidP="000C5CE7">
            <w:pPr>
              <w:jc w:val="center"/>
            </w:pPr>
            <w:r>
              <w:rPr>
                <w:noProof/>
              </w:rPr>
              <w:t>Yes</w:t>
            </w:r>
          </w:p>
        </w:tc>
      </w:tr>
      <w:tr w:rsidR="00803CE9" w:rsidRPr="000C5CE7" w14:paraId="471EDA22" w14:textId="77777777" w:rsidTr="001E412E">
        <w:trPr>
          <w:trHeight w:hRule="exact" w:val="1800"/>
        </w:trPr>
        <w:tc>
          <w:tcPr>
            <w:tcW w:w="4296" w:type="dxa"/>
            <w:vAlign w:val="center"/>
          </w:tcPr>
          <w:p w14:paraId="7B20348E" w14:textId="77777777" w:rsidR="00803CE9" w:rsidRPr="000C5CE7" w:rsidRDefault="00803CE9" w:rsidP="000C5CE7">
            <w:pPr>
              <w:spacing w:line="259" w:lineRule="auto"/>
            </w:pPr>
            <w:proofErr w:type="spellStart"/>
            <w:r w:rsidRPr="000C5CE7">
              <w:rPr>
                <w:b/>
              </w:rPr>
              <w:t>6b</w:t>
            </w:r>
            <w:proofErr w:type="spellEnd"/>
            <w:r w:rsidRPr="000C5CE7">
              <w:rPr>
                <w:b/>
              </w:rPr>
              <w:t>.</w:t>
            </w:r>
            <w:r w:rsidRPr="000C5CE7">
              <w:t xml:space="preserve"> Percent of children with IEPs aged three through five who are enrolled in a preschool program attending a separate special education class, separate school, or residential facility</w:t>
            </w:r>
          </w:p>
        </w:tc>
        <w:tc>
          <w:tcPr>
            <w:tcW w:w="1681" w:type="dxa"/>
            <w:vAlign w:val="center"/>
          </w:tcPr>
          <w:p w14:paraId="1D8D238C" w14:textId="77777777" w:rsidR="00803CE9" w:rsidRPr="000C5CE7" w:rsidRDefault="00803CE9" w:rsidP="000C5CE7">
            <w:pPr>
              <w:jc w:val="center"/>
            </w:pPr>
            <w:r>
              <w:rPr>
                <w:noProof/>
              </w:rPr>
              <w:t>40.91%</w:t>
            </w:r>
          </w:p>
        </w:tc>
        <w:tc>
          <w:tcPr>
            <w:tcW w:w="1681" w:type="dxa"/>
            <w:vAlign w:val="center"/>
          </w:tcPr>
          <w:p w14:paraId="4A99845B" w14:textId="77777777" w:rsidR="00803CE9" w:rsidRPr="000C5CE7" w:rsidRDefault="00803CE9" w:rsidP="000C5CE7">
            <w:pPr>
              <w:jc w:val="center"/>
            </w:pPr>
            <w:r w:rsidRPr="000C5CE7">
              <w:t>≤38.60%</w:t>
            </w:r>
          </w:p>
        </w:tc>
        <w:tc>
          <w:tcPr>
            <w:tcW w:w="1682" w:type="dxa"/>
            <w:vAlign w:val="center"/>
          </w:tcPr>
          <w:p w14:paraId="7E77705F" w14:textId="77777777" w:rsidR="00803CE9" w:rsidRPr="000C5CE7" w:rsidRDefault="00803CE9" w:rsidP="000C5CE7">
            <w:pPr>
              <w:jc w:val="center"/>
            </w:pPr>
            <w:r>
              <w:rPr>
                <w:noProof/>
              </w:rPr>
              <w:t>No</w:t>
            </w:r>
          </w:p>
        </w:tc>
      </w:tr>
      <w:tr w:rsidR="00803CE9" w:rsidRPr="000C5CE7" w14:paraId="29C584FF" w14:textId="77777777" w:rsidTr="001E412E">
        <w:trPr>
          <w:trHeight w:hRule="exact" w:val="1802"/>
        </w:trPr>
        <w:tc>
          <w:tcPr>
            <w:tcW w:w="4296" w:type="dxa"/>
            <w:vAlign w:val="center"/>
          </w:tcPr>
          <w:p w14:paraId="05A31A4E" w14:textId="77777777" w:rsidR="00803CE9" w:rsidRPr="000C5CE7" w:rsidRDefault="00803CE9" w:rsidP="000C5CE7">
            <w:pPr>
              <w:spacing w:line="259" w:lineRule="auto"/>
            </w:pPr>
            <w:proofErr w:type="spellStart"/>
            <w:r w:rsidRPr="000C5CE7">
              <w:rPr>
                <w:b/>
              </w:rPr>
              <w:lastRenderedPageBreak/>
              <w:t>6c</w:t>
            </w:r>
            <w:proofErr w:type="spellEnd"/>
            <w:r w:rsidRPr="000C5CE7">
              <w:rPr>
                <w:b/>
              </w:rPr>
              <w:t>.</w:t>
            </w:r>
            <w:r w:rsidRPr="000C5CE7">
              <w:t xml:space="preserve"> Percent of children with IEPs aged three through five who are enrolled in a preschool program receiving special education and related services in the home</w:t>
            </w:r>
          </w:p>
        </w:tc>
        <w:tc>
          <w:tcPr>
            <w:tcW w:w="1681" w:type="dxa"/>
            <w:vAlign w:val="center"/>
          </w:tcPr>
          <w:p w14:paraId="5D34CE8B" w14:textId="77777777" w:rsidR="00803CE9" w:rsidRPr="000C5CE7" w:rsidRDefault="00803CE9" w:rsidP="000C5CE7">
            <w:pPr>
              <w:jc w:val="center"/>
            </w:pPr>
            <w:r>
              <w:rPr>
                <w:noProof/>
              </w:rPr>
              <w:t>0%</w:t>
            </w:r>
          </w:p>
        </w:tc>
        <w:tc>
          <w:tcPr>
            <w:tcW w:w="1681" w:type="dxa"/>
            <w:vAlign w:val="center"/>
          </w:tcPr>
          <w:p w14:paraId="4DE48AC7" w14:textId="77777777" w:rsidR="00803CE9" w:rsidRPr="000C5CE7" w:rsidRDefault="00803CE9" w:rsidP="000C5CE7">
            <w:pPr>
              <w:jc w:val="center"/>
            </w:pPr>
            <w:r w:rsidRPr="000C5CE7">
              <w:t>≤6.00%</w:t>
            </w:r>
          </w:p>
        </w:tc>
        <w:tc>
          <w:tcPr>
            <w:tcW w:w="1682" w:type="dxa"/>
            <w:vAlign w:val="center"/>
          </w:tcPr>
          <w:p w14:paraId="53ACDDCB" w14:textId="77777777" w:rsidR="00803CE9" w:rsidRPr="000C5CE7" w:rsidRDefault="00803CE9" w:rsidP="000C5CE7">
            <w:pPr>
              <w:jc w:val="center"/>
            </w:pPr>
            <w:r>
              <w:rPr>
                <w:noProof/>
              </w:rPr>
              <w:t>Yes</w:t>
            </w:r>
          </w:p>
        </w:tc>
      </w:tr>
    </w:tbl>
    <w:p w14:paraId="198BF2B8" w14:textId="77777777" w:rsidR="00803CE9" w:rsidRPr="000C5CE7" w:rsidRDefault="00803CE9" w:rsidP="00310047">
      <w:pPr>
        <w:pStyle w:val="Heading2"/>
      </w:pPr>
      <w:r w:rsidRPr="000C5CE7">
        <w:t xml:space="preserve">Indicator </w:t>
      </w:r>
      <w:r>
        <w:rPr>
          <w:noProof/>
        </w:rPr>
        <w:t>7</w:t>
      </w:r>
      <w:r w:rsidRPr="000C5CE7">
        <w:t>: Preschool Outcomes</w:t>
      </w:r>
    </w:p>
    <w:p w14:paraId="28EB4CA5" w14:textId="77777777" w:rsidR="00803CE9" w:rsidRPr="000C5CE7" w:rsidRDefault="00803CE9" w:rsidP="00E120E6">
      <w:pPr>
        <w:pStyle w:val="Heading3"/>
      </w:pPr>
      <w:proofErr w:type="spellStart"/>
      <w:r w:rsidRPr="000C5CE7">
        <w:t>7a</w:t>
      </w:r>
      <w:proofErr w:type="spellEnd"/>
      <w:r w:rsidRPr="000C5CE7">
        <w:t>. Positive Social-Emotional Skills (Including Social Relationships)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Description w:val="Indicator 7a. Positive Social-Emotional Skills (Including Social Relationships) includes A1 and A2 outcomes, 2021-2022 division performance and state target, and whether or not state target was met."/>
      </w:tblPr>
      <w:tblGrid>
        <w:gridCol w:w="4291"/>
        <w:gridCol w:w="1700"/>
        <w:gridCol w:w="1700"/>
        <w:gridCol w:w="1700"/>
      </w:tblGrid>
      <w:tr w:rsidR="00803CE9" w:rsidRPr="000C5CE7" w14:paraId="074EB3A2" w14:textId="77777777" w:rsidTr="004528CE">
        <w:trPr>
          <w:trHeight w:hRule="exact" w:val="1010"/>
          <w:tblHeader/>
        </w:trPr>
        <w:tc>
          <w:tcPr>
            <w:tcW w:w="4291" w:type="dxa"/>
            <w:shd w:val="clear" w:color="auto" w:fill="F2F2F2" w:themeFill="background1" w:themeFillShade="F2"/>
            <w:vAlign w:val="center"/>
          </w:tcPr>
          <w:p w14:paraId="65E81A93" w14:textId="77777777" w:rsidR="00803CE9" w:rsidRPr="000C5CE7" w:rsidRDefault="00803CE9" w:rsidP="00B44B03">
            <w:r w:rsidRPr="000C5CE7">
              <w:rPr>
                <w:sz w:val="26"/>
                <w:szCs w:val="26"/>
              </w:rPr>
              <w:t>Outcome</w:t>
            </w:r>
          </w:p>
        </w:tc>
        <w:tc>
          <w:tcPr>
            <w:tcW w:w="1700" w:type="dxa"/>
            <w:shd w:val="clear" w:color="auto" w:fill="F2F2F2" w:themeFill="background1" w:themeFillShade="F2"/>
            <w:vAlign w:val="center"/>
          </w:tcPr>
          <w:p w14:paraId="145061EE" w14:textId="77777777" w:rsidR="00803CE9" w:rsidRPr="000C5CE7" w:rsidRDefault="00803CE9" w:rsidP="00E969B1">
            <w:pPr>
              <w:jc w:val="center"/>
            </w:pPr>
            <w:r w:rsidRPr="000C5CE7">
              <w:rPr>
                <w:sz w:val="26"/>
                <w:szCs w:val="26"/>
              </w:rPr>
              <w:t>2021-2022</w:t>
            </w:r>
            <w:r>
              <w:rPr>
                <w:sz w:val="26"/>
                <w:szCs w:val="26"/>
              </w:rPr>
              <w:t xml:space="preserve"> </w:t>
            </w:r>
            <w:r w:rsidRPr="000C5CE7">
              <w:rPr>
                <w:sz w:val="26"/>
                <w:szCs w:val="26"/>
              </w:rPr>
              <w:t>Division</w:t>
            </w:r>
            <w:r>
              <w:rPr>
                <w:sz w:val="26"/>
                <w:szCs w:val="26"/>
              </w:rPr>
              <w:t xml:space="preserve"> </w:t>
            </w:r>
            <w:r w:rsidRPr="000C5CE7">
              <w:rPr>
                <w:sz w:val="26"/>
                <w:szCs w:val="26"/>
              </w:rPr>
              <w:t>Performance</w:t>
            </w:r>
          </w:p>
        </w:tc>
        <w:tc>
          <w:tcPr>
            <w:tcW w:w="1700" w:type="dxa"/>
            <w:shd w:val="clear" w:color="auto" w:fill="F2F2F2" w:themeFill="background1" w:themeFillShade="F2"/>
            <w:vAlign w:val="center"/>
          </w:tcPr>
          <w:p w14:paraId="6AC9A9D8" w14:textId="77777777" w:rsidR="00803CE9" w:rsidRPr="000C5CE7" w:rsidRDefault="00803CE9" w:rsidP="00E969B1">
            <w:pPr>
              <w:jc w:val="center"/>
            </w:pPr>
            <w:r w:rsidRPr="000C5CE7">
              <w:rPr>
                <w:sz w:val="26"/>
                <w:szCs w:val="26"/>
              </w:rPr>
              <w:t>2021-2022</w:t>
            </w:r>
            <w:r>
              <w:rPr>
                <w:sz w:val="26"/>
                <w:szCs w:val="26"/>
              </w:rPr>
              <w:t xml:space="preserve"> </w:t>
            </w:r>
            <w:r w:rsidRPr="000C5CE7">
              <w:rPr>
                <w:sz w:val="26"/>
                <w:szCs w:val="26"/>
              </w:rPr>
              <w:t>State Target</w:t>
            </w:r>
          </w:p>
        </w:tc>
        <w:tc>
          <w:tcPr>
            <w:tcW w:w="1700" w:type="dxa"/>
            <w:shd w:val="clear" w:color="auto" w:fill="F2F2F2" w:themeFill="background1" w:themeFillShade="F2"/>
            <w:vAlign w:val="center"/>
          </w:tcPr>
          <w:p w14:paraId="5585C11F" w14:textId="77777777" w:rsidR="00803CE9" w:rsidRPr="000C5CE7" w:rsidRDefault="00803CE9" w:rsidP="00E969B1">
            <w:pPr>
              <w:tabs>
                <w:tab w:val="left" w:pos="2098"/>
              </w:tabs>
              <w:jc w:val="center"/>
            </w:pPr>
            <w:r w:rsidRPr="000C5CE7">
              <w:rPr>
                <w:sz w:val="26"/>
                <w:szCs w:val="26"/>
              </w:rPr>
              <w:t>State Target</w:t>
            </w:r>
            <w:r>
              <w:rPr>
                <w:sz w:val="26"/>
                <w:szCs w:val="26"/>
              </w:rPr>
              <w:t xml:space="preserve"> </w:t>
            </w:r>
            <w:r w:rsidRPr="000C5CE7">
              <w:rPr>
                <w:sz w:val="26"/>
                <w:szCs w:val="26"/>
              </w:rPr>
              <w:t>Met</w:t>
            </w:r>
          </w:p>
        </w:tc>
      </w:tr>
      <w:tr w:rsidR="00803CE9" w:rsidRPr="000C5CE7" w14:paraId="4B260B96" w14:textId="77777777" w:rsidTr="004528CE">
        <w:trPr>
          <w:trHeight w:hRule="exact" w:val="1008"/>
        </w:trPr>
        <w:tc>
          <w:tcPr>
            <w:tcW w:w="4291" w:type="dxa"/>
            <w:vAlign w:val="center"/>
          </w:tcPr>
          <w:p w14:paraId="714DFA82" w14:textId="77777777" w:rsidR="00803CE9" w:rsidRPr="000C5CE7" w:rsidRDefault="00803CE9" w:rsidP="000C5CE7">
            <w:pPr>
              <w:spacing w:line="259" w:lineRule="auto"/>
            </w:pPr>
            <w:r w:rsidRPr="000C5CE7">
              <w:rPr>
                <w:b/>
              </w:rPr>
              <w:t>A1.</w:t>
            </w:r>
            <w:r w:rsidRPr="000C5CE7">
              <w:t xml:space="preserve"> Percent entered below age expectations</w:t>
            </w:r>
          </w:p>
        </w:tc>
        <w:tc>
          <w:tcPr>
            <w:tcW w:w="1700" w:type="dxa"/>
            <w:vAlign w:val="center"/>
          </w:tcPr>
          <w:p w14:paraId="579030F4" w14:textId="77777777" w:rsidR="00803CE9" w:rsidRPr="000C5CE7" w:rsidRDefault="00803CE9" w:rsidP="000C5CE7">
            <w:pPr>
              <w:jc w:val="center"/>
            </w:pPr>
            <w:r>
              <w:rPr>
                <w:noProof/>
              </w:rPr>
              <w:t>84.62%</w:t>
            </w:r>
          </w:p>
        </w:tc>
        <w:tc>
          <w:tcPr>
            <w:tcW w:w="1700" w:type="dxa"/>
            <w:vAlign w:val="center"/>
          </w:tcPr>
          <w:p w14:paraId="51B2F7DA" w14:textId="77777777" w:rsidR="00803CE9" w:rsidRPr="000C5CE7" w:rsidRDefault="00803CE9" w:rsidP="000C5CE7">
            <w:pPr>
              <w:jc w:val="center"/>
            </w:pPr>
            <w:r w:rsidRPr="000C5CE7">
              <w:t>≥91.50%</w:t>
            </w:r>
          </w:p>
        </w:tc>
        <w:tc>
          <w:tcPr>
            <w:tcW w:w="1700" w:type="dxa"/>
            <w:vAlign w:val="center"/>
          </w:tcPr>
          <w:p w14:paraId="59DB3FA9" w14:textId="77777777" w:rsidR="00803CE9" w:rsidRPr="000C5CE7" w:rsidRDefault="00803CE9" w:rsidP="000C5CE7">
            <w:pPr>
              <w:jc w:val="center"/>
            </w:pPr>
            <w:r>
              <w:rPr>
                <w:noProof/>
              </w:rPr>
              <w:t>No</w:t>
            </w:r>
          </w:p>
        </w:tc>
      </w:tr>
      <w:tr w:rsidR="00803CE9" w:rsidRPr="000C5CE7" w14:paraId="1F88D86E" w14:textId="77777777" w:rsidTr="004528CE">
        <w:trPr>
          <w:trHeight w:hRule="exact" w:val="1008"/>
        </w:trPr>
        <w:tc>
          <w:tcPr>
            <w:tcW w:w="4291" w:type="dxa"/>
            <w:vAlign w:val="center"/>
          </w:tcPr>
          <w:p w14:paraId="0D97677E" w14:textId="77777777" w:rsidR="00803CE9" w:rsidRPr="000C5CE7" w:rsidRDefault="00803CE9" w:rsidP="000C5CE7">
            <w:pPr>
              <w:spacing w:line="259" w:lineRule="auto"/>
            </w:pPr>
            <w:proofErr w:type="spellStart"/>
            <w:r w:rsidRPr="000C5CE7">
              <w:rPr>
                <w:b/>
              </w:rPr>
              <w:t>A2</w:t>
            </w:r>
            <w:proofErr w:type="spellEnd"/>
            <w:r w:rsidRPr="000C5CE7">
              <w:rPr>
                <w:b/>
              </w:rPr>
              <w:t>.</w:t>
            </w:r>
            <w:r w:rsidRPr="000C5CE7">
              <w:t xml:space="preserve"> Percent functioning within age expectations </w:t>
            </w:r>
          </w:p>
        </w:tc>
        <w:tc>
          <w:tcPr>
            <w:tcW w:w="1700" w:type="dxa"/>
            <w:vAlign w:val="center"/>
          </w:tcPr>
          <w:p w14:paraId="0469F2C4" w14:textId="77777777" w:rsidR="00803CE9" w:rsidRPr="000C5CE7" w:rsidRDefault="00803CE9" w:rsidP="000C5CE7">
            <w:pPr>
              <w:jc w:val="center"/>
            </w:pPr>
            <w:r>
              <w:rPr>
                <w:noProof/>
              </w:rPr>
              <w:t>57.14%</w:t>
            </w:r>
          </w:p>
        </w:tc>
        <w:tc>
          <w:tcPr>
            <w:tcW w:w="1700" w:type="dxa"/>
            <w:vAlign w:val="center"/>
          </w:tcPr>
          <w:p w14:paraId="6F930033" w14:textId="77777777" w:rsidR="00803CE9" w:rsidRPr="000C5CE7" w:rsidRDefault="00803CE9" w:rsidP="000C5CE7">
            <w:pPr>
              <w:jc w:val="center"/>
            </w:pPr>
            <w:r w:rsidRPr="000C5CE7">
              <w:t>≥55.25%</w:t>
            </w:r>
          </w:p>
        </w:tc>
        <w:tc>
          <w:tcPr>
            <w:tcW w:w="1700" w:type="dxa"/>
            <w:vAlign w:val="center"/>
          </w:tcPr>
          <w:p w14:paraId="757B8ACD" w14:textId="77777777" w:rsidR="00803CE9" w:rsidRPr="000C5CE7" w:rsidRDefault="00803CE9" w:rsidP="000C5CE7">
            <w:pPr>
              <w:jc w:val="center"/>
            </w:pPr>
            <w:r>
              <w:rPr>
                <w:noProof/>
              </w:rPr>
              <w:t>Yes</w:t>
            </w:r>
          </w:p>
        </w:tc>
      </w:tr>
    </w:tbl>
    <w:p w14:paraId="5FE3B479" w14:textId="77777777" w:rsidR="00803CE9" w:rsidRPr="000C5CE7" w:rsidRDefault="00803CE9" w:rsidP="009F7652">
      <w:pPr>
        <w:pStyle w:val="Heading3"/>
      </w:pPr>
      <w:proofErr w:type="spellStart"/>
      <w:r w:rsidRPr="000C5CE7">
        <w:t>7b</w:t>
      </w:r>
      <w:proofErr w:type="spellEnd"/>
      <w:r w:rsidRPr="000C5CE7">
        <w:t>. Acquisition and Use of Knowledge and Skills (Including Early Language/Communication and Early Literacy)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Description w:val="Indicator 7b. Acquisition and Use of Knowledge and Skills (Including Early Language/Communication and Early Literacy) includes B1 and B2 outcomes, 2021-2022 division performance and state target, and whether or not state target was met."/>
      </w:tblPr>
      <w:tblGrid>
        <w:gridCol w:w="4291"/>
        <w:gridCol w:w="1685"/>
        <w:gridCol w:w="1685"/>
        <w:gridCol w:w="1685"/>
      </w:tblGrid>
      <w:tr w:rsidR="00803CE9" w:rsidRPr="000C5CE7" w14:paraId="45B5B16A" w14:textId="77777777" w:rsidTr="004528CE">
        <w:trPr>
          <w:trHeight w:hRule="exact" w:val="1010"/>
          <w:tblHeader/>
        </w:trPr>
        <w:tc>
          <w:tcPr>
            <w:tcW w:w="4291" w:type="dxa"/>
            <w:shd w:val="clear" w:color="auto" w:fill="F2F2F2" w:themeFill="background1" w:themeFillShade="F2"/>
            <w:vAlign w:val="center"/>
          </w:tcPr>
          <w:p w14:paraId="3D8F6EDB" w14:textId="77777777" w:rsidR="00803CE9" w:rsidRPr="000C5CE7" w:rsidRDefault="00803CE9" w:rsidP="00B44B03">
            <w:r w:rsidRPr="000C5CE7">
              <w:rPr>
                <w:sz w:val="26"/>
                <w:szCs w:val="26"/>
              </w:rPr>
              <w:t>Outcome</w:t>
            </w:r>
          </w:p>
        </w:tc>
        <w:tc>
          <w:tcPr>
            <w:tcW w:w="1685" w:type="dxa"/>
            <w:shd w:val="clear" w:color="auto" w:fill="F2F2F2" w:themeFill="background1" w:themeFillShade="F2"/>
            <w:vAlign w:val="center"/>
          </w:tcPr>
          <w:p w14:paraId="429CACC9" w14:textId="77777777" w:rsidR="00803CE9" w:rsidRPr="000C5CE7" w:rsidRDefault="00803CE9" w:rsidP="00E969B1">
            <w:pPr>
              <w:jc w:val="center"/>
            </w:pPr>
            <w:r w:rsidRPr="000C5CE7">
              <w:rPr>
                <w:sz w:val="26"/>
                <w:szCs w:val="26"/>
              </w:rPr>
              <w:t>2021-2022</w:t>
            </w:r>
            <w:r>
              <w:rPr>
                <w:sz w:val="26"/>
                <w:szCs w:val="26"/>
              </w:rPr>
              <w:t xml:space="preserve"> </w:t>
            </w:r>
            <w:r w:rsidRPr="000C5CE7">
              <w:rPr>
                <w:sz w:val="26"/>
                <w:szCs w:val="26"/>
              </w:rPr>
              <w:t>Division</w:t>
            </w:r>
            <w:r>
              <w:rPr>
                <w:sz w:val="26"/>
                <w:szCs w:val="26"/>
              </w:rPr>
              <w:t xml:space="preserve"> </w:t>
            </w:r>
            <w:r w:rsidRPr="000C5CE7">
              <w:rPr>
                <w:sz w:val="26"/>
                <w:szCs w:val="26"/>
              </w:rPr>
              <w:t>Performance</w:t>
            </w:r>
          </w:p>
        </w:tc>
        <w:tc>
          <w:tcPr>
            <w:tcW w:w="1685" w:type="dxa"/>
            <w:shd w:val="clear" w:color="auto" w:fill="F2F2F2" w:themeFill="background1" w:themeFillShade="F2"/>
            <w:vAlign w:val="center"/>
          </w:tcPr>
          <w:p w14:paraId="0F9D8413" w14:textId="77777777" w:rsidR="00803CE9" w:rsidRPr="000C5CE7" w:rsidRDefault="00803CE9" w:rsidP="00E969B1">
            <w:pPr>
              <w:jc w:val="center"/>
            </w:pPr>
            <w:r w:rsidRPr="000C5CE7">
              <w:rPr>
                <w:sz w:val="26"/>
                <w:szCs w:val="26"/>
              </w:rPr>
              <w:t>2021-2022</w:t>
            </w:r>
            <w:r>
              <w:rPr>
                <w:sz w:val="26"/>
                <w:szCs w:val="26"/>
              </w:rPr>
              <w:t xml:space="preserve"> </w:t>
            </w:r>
            <w:r w:rsidRPr="000C5CE7">
              <w:rPr>
                <w:sz w:val="26"/>
                <w:szCs w:val="26"/>
              </w:rPr>
              <w:t>State Target</w:t>
            </w:r>
          </w:p>
        </w:tc>
        <w:tc>
          <w:tcPr>
            <w:tcW w:w="1685" w:type="dxa"/>
            <w:shd w:val="clear" w:color="auto" w:fill="F2F2F2" w:themeFill="background1" w:themeFillShade="F2"/>
            <w:vAlign w:val="center"/>
          </w:tcPr>
          <w:p w14:paraId="28E07358" w14:textId="77777777" w:rsidR="00803CE9" w:rsidRPr="000C5CE7" w:rsidRDefault="00803CE9" w:rsidP="00E969B1">
            <w:pPr>
              <w:tabs>
                <w:tab w:val="left" w:pos="2098"/>
              </w:tabs>
              <w:jc w:val="center"/>
            </w:pPr>
            <w:r w:rsidRPr="000C5CE7">
              <w:rPr>
                <w:sz w:val="26"/>
                <w:szCs w:val="26"/>
              </w:rPr>
              <w:t>State Target</w:t>
            </w:r>
            <w:r>
              <w:rPr>
                <w:sz w:val="26"/>
                <w:szCs w:val="26"/>
              </w:rPr>
              <w:t xml:space="preserve"> </w:t>
            </w:r>
            <w:r w:rsidRPr="000C5CE7">
              <w:rPr>
                <w:sz w:val="26"/>
                <w:szCs w:val="26"/>
              </w:rPr>
              <w:t>Met</w:t>
            </w:r>
          </w:p>
        </w:tc>
      </w:tr>
      <w:tr w:rsidR="00803CE9" w:rsidRPr="000C5CE7" w14:paraId="6858C6D7" w14:textId="77777777" w:rsidTr="004528CE">
        <w:trPr>
          <w:trHeight w:hRule="exact" w:val="1008"/>
        </w:trPr>
        <w:tc>
          <w:tcPr>
            <w:tcW w:w="4291" w:type="dxa"/>
            <w:vAlign w:val="center"/>
          </w:tcPr>
          <w:p w14:paraId="6663FD0E" w14:textId="77777777" w:rsidR="00803CE9" w:rsidRPr="000C5CE7" w:rsidRDefault="00803CE9" w:rsidP="000C5CE7">
            <w:pPr>
              <w:spacing w:line="259" w:lineRule="auto"/>
            </w:pPr>
            <w:proofErr w:type="spellStart"/>
            <w:r w:rsidRPr="000C5CE7">
              <w:rPr>
                <w:b/>
              </w:rPr>
              <w:t>B1</w:t>
            </w:r>
            <w:proofErr w:type="spellEnd"/>
            <w:r w:rsidRPr="000C5CE7">
              <w:rPr>
                <w:b/>
              </w:rPr>
              <w:t>.</w:t>
            </w:r>
            <w:r w:rsidRPr="000C5CE7">
              <w:t xml:space="preserve"> Percent entered below age expectations </w:t>
            </w:r>
          </w:p>
        </w:tc>
        <w:tc>
          <w:tcPr>
            <w:tcW w:w="1685" w:type="dxa"/>
            <w:vAlign w:val="center"/>
          </w:tcPr>
          <w:p w14:paraId="24F00237" w14:textId="77777777" w:rsidR="00803CE9" w:rsidRPr="000C5CE7" w:rsidRDefault="00803CE9" w:rsidP="000C5CE7">
            <w:pPr>
              <w:jc w:val="center"/>
            </w:pPr>
            <w:r>
              <w:rPr>
                <w:noProof/>
              </w:rPr>
              <w:t>84.62%</w:t>
            </w:r>
          </w:p>
        </w:tc>
        <w:tc>
          <w:tcPr>
            <w:tcW w:w="1685" w:type="dxa"/>
            <w:vAlign w:val="center"/>
          </w:tcPr>
          <w:p w14:paraId="2691C2B0" w14:textId="77777777" w:rsidR="00803CE9" w:rsidRPr="000C5CE7" w:rsidRDefault="00803CE9" w:rsidP="000C5CE7">
            <w:pPr>
              <w:jc w:val="center"/>
            </w:pPr>
            <w:r w:rsidRPr="000C5CE7">
              <w:t>≥94.50%</w:t>
            </w:r>
          </w:p>
        </w:tc>
        <w:tc>
          <w:tcPr>
            <w:tcW w:w="1685" w:type="dxa"/>
            <w:vAlign w:val="center"/>
          </w:tcPr>
          <w:p w14:paraId="40E69116" w14:textId="77777777" w:rsidR="00803CE9" w:rsidRPr="000C5CE7" w:rsidRDefault="00803CE9" w:rsidP="000C5CE7">
            <w:pPr>
              <w:jc w:val="center"/>
            </w:pPr>
            <w:r>
              <w:rPr>
                <w:noProof/>
              </w:rPr>
              <w:t>No</w:t>
            </w:r>
          </w:p>
        </w:tc>
      </w:tr>
      <w:tr w:rsidR="00803CE9" w:rsidRPr="000C5CE7" w14:paraId="5447BF3D" w14:textId="77777777" w:rsidTr="004528CE">
        <w:trPr>
          <w:trHeight w:hRule="exact" w:val="1008"/>
        </w:trPr>
        <w:tc>
          <w:tcPr>
            <w:tcW w:w="4291" w:type="dxa"/>
            <w:vAlign w:val="center"/>
          </w:tcPr>
          <w:p w14:paraId="30D11BBE" w14:textId="77777777" w:rsidR="00803CE9" w:rsidRPr="000C5CE7" w:rsidRDefault="00803CE9" w:rsidP="000C5CE7">
            <w:pPr>
              <w:spacing w:line="259" w:lineRule="auto"/>
            </w:pPr>
            <w:proofErr w:type="spellStart"/>
            <w:r w:rsidRPr="000C5CE7">
              <w:rPr>
                <w:b/>
              </w:rPr>
              <w:t>B2</w:t>
            </w:r>
            <w:proofErr w:type="spellEnd"/>
            <w:r w:rsidRPr="000C5CE7">
              <w:rPr>
                <w:b/>
              </w:rPr>
              <w:t>.</w:t>
            </w:r>
            <w:r w:rsidRPr="000C5CE7">
              <w:t xml:space="preserve"> Percent functioning within age expectations</w:t>
            </w:r>
          </w:p>
        </w:tc>
        <w:tc>
          <w:tcPr>
            <w:tcW w:w="1685" w:type="dxa"/>
            <w:vAlign w:val="center"/>
          </w:tcPr>
          <w:p w14:paraId="6122289B" w14:textId="77777777" w:rsidR="00803CE9" w:rsidRPr="000C5CE7" w:rsidRDefault="00803CE9" w:rsidP="000C5CE7">
            <w:pPr>
              <w:jc w:val="center"/>
            </w:pPr>
            <w:r>
              <w:rPr>
                <w:noProof/>
              </w:rPr>
              <w:t>28.57%</w:t>
            </w:r>
          </w:p>
        </w:tc>
        <w:tc>
          <w:tcPr>
            <w:tcW w:w="1685" w:type="dxa"/>
            <w:vAlign w:val="center"/>
          </w:tcPr>
          <w:p w14:paraId="767CA151" w14:textId="77777777" w:rsidR="00803CE9" w:rsidRPr="000C5CE7" w:rsidRDefault="00803CE9" w:rsidP="000C5CE7">
            <w:pPr>
              <w:jc w:val="center"/>
            </w:pPr>
            <w:r w:rsidRPr="000C5CE7">
              <w:t>≥38.25%</w:t>
            </w:r>
          </w:p>
        </w:tc>
        <w:tc>
          <w:tcPr>
            <w:tcW w:w="1685" w:type="dxa"/>
            <w:vAlign w:val="center"/>
          </w:tcPr>
          <w:p w14:paraId="2645868E" w14:textId="77777777" w:rsidR="00803CE9" w:rsidRPr="000C5CE7" w:rsidRDefault="00803CE9" w:rsidP="000C5CE7">
            <w:pPr>
              <w:jc w:val="center"/>
            </w:pPr>
            <w:r>
              <w:rPr>
                <w:noProof/>
              </w:rPr>
              <w:t>No</w:t>
            </w:r>
          </w:p>
        </w:tc>
      </w:tr>
    </w:tbl>
    <w:p w14:paraId="5F807634" w14:textId="77777777" w:rsidR="00803CE9" w:rsidRPr="000C5CE7" w:rsidRDefault="00803CE9" w:rsidP="00844BC4">
      <w:pPr>
        <w:pStyle w:val="Heading3"/>
      </w:pPr>
      <w:proofErr w:type="spellStart"/>
      <w:r w:rsidRPr="000C5CE7">
        <w:t>7c</w:t>
      </w:r>
      <w:proofErr w:type="spellEnd"/>
      <w:r w:rsidRPr="000C5CE7">
        <w:t>. Use of Appropriate Behavior to Meet Their Needs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Description w:val="Indicator 7c. Use of Appropriate Behavior to Meet Their Needs includes C1 and C2 outcomes, 2021-2022 division performance and state target, and whether or not state target was met."/>
      </w:tblPr>
      <w:tblGrid>
        <w:gridCol w:w="4291"/>
        <w:gridCol w:w="1685"/>
        <w:gridCol w:w="1685"/>
        <w:gridCol w:w="1685"/>
      </w:tblGrid>
      <w:tr w:rsidR="00803CE9" w:rsidRPr="000C5CE7" w14:paraId="057DB888" w14:textId="77777777" w:rsidTr="004528CE">
        <w:trPr>
          <w:trHeight w:hRule="exact" w:val="1010"/>
          <w:tblHeader/>
        </w:trPr>
        <w:tc>
          <w:tcPr>
            <w:tcW w:w="4291" w:type="dxa"/>
            <w:shd w:val="clear" w:color="auto" w:fill="F2F2F2" w:themeFill="background1" w:themeFillShade="F2"/>
            <w:vAlign w:val="center"/>
          </w:tcPr>
          <w:p w14:paraId="5E438A12" w14:textId="77777777" w:rsidR="00803CE9" w:rsidRPr="000C5CE7" w:rsidRDefault="00803CE9" w:rsidP="00B44B03">
            <w:r w:rsidRPr="000C5CE7">
              <w:rPr>
                <w:sz w:val="26"/>
                <w:szCs w:val="26"/>
              </w:rPr>
              <w:t>Outcome</w:t>
            </w:r>
          </w:p>
        </w:tc>
        <w:tc>
          <w:tcPr>
            <w:tcW w:w="1685" w:type="dxa"/>
            <w:shd w:val="clear" w:color="auto" w:fill="F2F2F2" w:themeFill="background1" w:themeFillShade="F2"/>
            <w:vAlign w:val="center"/>
          </w:tcPr>
          <w:p w14:paraId="6014C4EE" w14:textId="77777777" w:rsidR="00803CE9" w:rsidRPr="000C5CE7" w:rsidRDefault="00803CE9" w:rsidP="00E969B1">
            <w:pPr>
              <w:jc w:val="center"/>
            </w:pPr>
            <w:r w:rsidRPr="000C5CE7">
              <w:rPr>
                <w:sz w:val="26"/>
                <w:szCs w:val="26"/>
              </w:rPr>
              <w:t>2021-2022</w:t>
            </w:r>
            <w:r>
              <w:rPr>
                <w:sz w:val="26"/>
                <w:szCs w:val="26"/>
              </w:rPr>
              <w:t xml:space="preserve"> </w:t>
            </w:r>
            <w:r w:rsidRPr="000C5CE7">
              <w:rPr>
                <w:sz w:val="26"/>
                <w:szCs w:val="26"/>
              </w:rPr>
              <w:t>Division</w:t>
            </w:r>
            <w:r>
              <w:rPr>
                <w:sz w:val="26"/>
                <w:szCs w:val="26"/>
              </w:rPr>
              <w:t xml:space="preserve"> </w:t>
            </w:r>
            <w:r w:rsidRPr="000C5CE7">
              <w:rPr>
                <w:sz w:val="26"/>
                <w:szCs w:val="26"/>
              </w:rPr>
              <w:t>Performance</w:t>
            </w:r>
          </w:p>
        </w:tc>
        <w:tc>
          <w:tcPr>
            <w:tcW w:w="1685" w:type="dxa"/>
            <w:shd w:val="clear" w:color="auto" w:fill="F2F2F2" w:themeFill="background1" w:themeFillShade="F2"/>
            <w:vAlign w:val="center"/>
          </w:tcPr>
          <w:p w14:paraId="17D3C9FC" w14:textId="77777777" w:rsidR="00803CE9" w:rsidRPr="000C5CE7" w:rsidRDefault="00803CE9" w:rsidP="00E969B1">
            <w:pPr>
              <w:jc w:val="center"/>
            </w:pPr>
            <w:r w:rsidRPr="000C5CE7">
              <w:rPr>
                <w:sz w:val="26"/>
                <w:szCs w:val="26"/>
              </w:rPr>
              <w:t>2021-2022</w:t>
            </w:r>
            <w:r>
              <w:rPr>
                <w:sz w:val="26"/>
                <w:szCs w:val="26"/>
              </w:rPr>
              <w:t xml:space="preserve"> </w:t>
            </w:r>
            <w:r w:rsidRPr="000C5CE7">
              <w:rPr>
                <w:sz w:val="26"/>
                <w:szCs w:val="26"/>
              </w:rPr>
              <w:t>State Target</w:t>
            </w:r>
          </w:p>
        </w:tc>
        <w:tc>
          <w:tcPr>
            <w:tcW w:w="1685" w:type="dxa"/>
            <w:shd w:val="clear" w:color="auto" w:fill="F2F2F2" w:themeFill="background1" w:themeFillShade="F2"/>
            <w:vAlign w:val="center"/>
          </w:tcPr>
          <w:p w14:paraId="32F89520" w14:textId="77777777" w:rsidR="00803CE9" w:rsidRPr="000C5CE7" w:rsidRDefault="00803CE9" w:rsidP="00E969B1">
            <w:pPr>
              <w:tabs>
                <w:tab w:val="left" w:pos="2098"/>
              </w:tabs>
              <w:jc w:val="center"/>
            </w:pPr>
            <w:r w:rsidRPr="000C5CE7">
              <w:rPr>
                <w:sz w:val="26"/>
                <w:szCs w:val="26"/>
              </w:rPr>
              <w:t>State Target</w:t>
            </w:r>
            <w:r>
              <w:rPr>
                <w:sz w:val="26"/>
                <w:szCs w:val="26"/>
              </w:rPr>
              <w:t xml:space="preserve"> </w:t>
            </w:r>
            <w:r w:rsidRPr="000C5CE7">
              <w:rPr>
                <w:sz w:val="26"/>
                <w:szCs w:val="26"/>
              </w:rPr>
              <w:t>Met</w:t>
            </w:r>
          </w:p>
        </w:tc>
      </w:tr>
      <w:tr w:rsidR="00803CE9" w:rsidRPr="000C5CE7" w14:paraId="522178A6" w14:textId="77777777" w:rsidTr="004528CE">
        <w:trPr>
          <w:trHeight w:hRule="exact" w:val="1008"/>
        </w:trPr>
        <w:tc>
          <w:tcPr>
            <w:tcW w:w="4291" w:type="dxa"/>
            <w:vAlign w:val="center"/>
          </w:tcPr>
          <w:p w14:paraId="431CECF5" w14:textId="77777777" w:rsidR="00803CE9" w:rsidRPr="000C5CE7" w:rsidRDefault="00803CE9" w:rsidP="000C5CE7">
            <w:pPr>
              <w:spacing w:line="259" w:lineRule="auto"/>
            </w:pPr>
            <w:proofErr w:type="spellStart"/>
            <w:r w:rsidRPr="000C5CE7">
              <w:rPr>
                <w:b/>
              </w:rPr>
              <w:t>C1</w:t>
            </w:r>
            <w:proofErr w:type="spellEnd"/>
            <w:r w:rsidRPr="000C5CE7">
              <w:rPr>
                <w:b/>
              </w:rPr>
              <w:t>.</w:t>
            </w:r>
            <w:r w:rsidRPr="000C5CE7">
              <w:t xml:space="preserve"> Percent entered below age expectations</w:t>
            </w:r>
          </w:p>
        </w:tc>
        <w:tc>
          <w:tcPr>
            <w:tcW w:w="1685" w:type="dxa"/>
            <w:vAlign w:val="center"/>
          </w:tcPr>
          <w:p w14:paraId="47BB4BA5" w14:textId="77777777" w:rsidR="00803CE9" w:rsidRPr="000C5CE7" w:rsidRDefault="00803CE9" w:rsidP="000C5CE7">
            <w:pPr>
              <w:jc w:val="center"/>
            </w:pPr>
            <w:r>
              <w:rPr>
                <w:noProof/>
              </w:rPr>
              <w:t>81.82%</w:t>
            </w:r>
          </w:p>
        </w:tc>
        <w:tc>
          <w:tcPr>
            <w:tcW w:w="1685" w:type="dxa"/>
            <w:vAlign w:val="center"/>
          </w:tcPr>
          <w:p w14:paraId="7751CE35" w14:textId="77777777" w:rsidR="00803CE9" w:rsidRPr="000C5CE7" w:rsidRDefault="00803CE9" w:rsidP="000C5CE7">
            <w:pPr>
              <w:jc w:val="center"/>
            </w:pPr>
            <w:r w:rsidRPr="000C5CE7">
              <w:t>≥91.50%</w:t>
            </w:r>
          </w:p>
        </w:tc>
        <w:tc>
          <w:tcPr>
            <w:tcW w:w="1685" w:type="dxa"/>
            <w:vAlign w:val="center"/>
          </w:tcPr>
          <w:p w14:paraId="1860BC38" w14:textId="77777777" w:rsidR="00803CE9" w:rsidRPr="000C5CE7" w:rsidRDefault="00803CE9" w:rsidP="000C5CE7">
            <w:pPr>
              <w:jc w:val="center"/>
            </w:pPr>
            <w:r>
              <w:rPr>
                <w:noProof/>
              </w:rPr>
              <w:t>No</w:t>
            </w:r>
          </w:p>
        </w:tc>
      </w:tr>
      <w:tr w:rsidR="00803CE9" w:rsidRPr="000C5CE7" w14:paraId="355C3E69" w14:textId="77777777" w:rsidTr="004528CE">
        <w:trPr>
          <w:trHeight w:hRule="exact" w:val="1008"/>
        </w:trPr>
        <w:tc>
          <w:tcPr>
            <w:tcW w:w="4291" w:type="dxa"/>
            <w:vAlign w:val="center"/>
          </w:tcPr>
          <w:p w14:paraId="691E5D02" w14:textId="77777777" w:rsidR="00803CE9" w:rsidRPr="000C5CE7" w:rsidRDefault="00803CE9" w:rsidP="000C5CE7">
            <w:pPr>
              <w:spacing w:line="259" w:lineRule="auto"/>
            </w:pPr>
            <w:proofErr w:type="spellStart"/>
            <w:r w:rsidRPr="000C5CE7">
              <w:rPr>
                <w:b/>
              </w:rPr>
              <w:lastRenderedPageBreak/>
              <w:t>C2</w:t>
            </w:r>
            <w:proofErr w:type="spellEnd"/>
            <w:r w:rsidRPr="000C5CE7">
              <w:rPr>
                <w:b/>
              </w:rPr>
              <w:t>.</w:t>
            </w:r>
            <w:r w:rsidRPr="000C5CE7">
              <w:t xml:space="preserve"> Percent functioning within age expectations</w:t>
            </w:r>
          </w:p>
        </w:tc>
        <w:tc>
          <w:tcPr>
            <w:tcW w:w="1685" w:type="dxa"/>
            <w:vAlign w:val="center"/>
          </w:tcPr>
          <w:p w14:paraId="4CE2F45C" w14:textId="77777777" w:rsidR="00803CE9" w:rsidRPr="000C5CE7" w:rsidRDefault="00803CE9" w:rsidP="000C5CE7">
            <w:pPr>
              <w:jc w:val="center"/>
            </w:pPr>
            <w:r>
              <w:rPr>
                <w:noProof/>
              </w:rPr>
              <w:t>57.14%</w:t>
            </w:r>
          </w:p>
        </w:tc>
        <w:tc>
          <w:tcPr>
            <w:tcW w:w="1685" w:type="dxa"/>
            <w:vAlign w:val="center"/>
          </w:tcPr>
          <w:p w14:paraId="39C55712" w14:textId="77777777" w:rsidR="00803CE9" w:rsidRPr="000C5CE7" w:rsidRDefault="00803CE9" w:rsidP="000C5CE7">
            <w:pPr>
              <w:jc w:val="center"/>
            </w:pPr>
            <w:r w:rsidRPr="000C5CE7">
              <w:t>≥61.25%</w:t>
            </w:r>
          </w:p>
        </w:tc>
        <w:tc>
          <w:tcPr>
            <w:tcW w:w="1685" w:type="dxa"/>
            <w:vAlign w:val="center"/>
          </w:tcPr>
          <w:p w14:paraId="62AA2BB9" w14:textId="77777777" w:rsidR="00803CE9" w:rsidRPr="000C5CE7" w:rsidRDefault="00803CE9" w:rsidP="000C5CE7">
            <w:pPr>
              <w:jc w:val="center"/>
            </w:pPr>
            <w:r>
              <w:rPr>
                <w:noProof/>
              </w:rPr>
              <w:t>No</w:t>
            </w:r>
          </w:p>
        </w:tc>
      </w:tr>
    </w:tbl>
    <w:p w14:paraId="2ED312B2" w14:textId="77777777" w:rsidR="00803CE9" w:rsidRPr="000C5CE7" w:rsidRDefault="00803CE9" w:rsidP="00310047">
      <w:pPr>
        <w:pStyle w:val="Heading2"/>
      </w:pPr>
      <w:r w:rsidRPr="000C5CE7">
        <w:t xml:space="preserve">Indicator </w:t>
      </w:r>
      <w:r>
        <w:rPr>
          <w:noProof/>
        </w:rPr>
        <w:t>8</w:t>
      </w:r>
      <w:r w:rsidRPr="000C5CE7">
        <w:t>: Parent Involvement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Description w:val="Indicator 8: Parent Involvement includes indicator description, 2021-2022 division performance and state target, and whether or not state target was met."/>
      </w:tblPr>
      <w:tblGrid>
        <w:gridCol w:w="4291"/>
        <w:gridCol w:w="1685"/>
        <w:gridCol w:w="1685"/>
        <w:gridCol w:w="1685"/>
      </w:tblGrid>
      <w:tr w:rsidR="00803CE9" w:rsidRPr="000C5CE7" w14:paraId="1D5FEECC" w14:textId="77777777" w:rsidTr="004528CE">
        <w:trPr>
          <w:trHeight w:hRule="exact" w:val="1010"/>
          <w:tblHeader/>
        </w:trPr>
        <w:tc>
          <w:tcPr>
            <w:tcW w:w="4291" w:type="dxa"/>
            <w:shd w:val="clear" w:color="auto" w:fill="F2F2F2" w:themeFill="background1" w:themeFillShade="F2"/>
            <w:vAlign w:val="center"/>
          </w:tcPr>
          <w:p w14:paraId="7280F441" w14:textId="77777777" w:rsidR="00803CE9" w:rsidRPr="000C5CE7" w:rsidRDefault="00803CE9" w:rsidP="00B44B03">
            <w:r w:rsidRPr="000C5CE7">
              <w:rPr>
                <w:sz w:val="26"/>
                <w:szCs w:val="26"/>
              </w:rPr>
              <w:t>Indicator Description</w:t>
            </w:r>
          </w:p>
        </w:tc>
        <w:tc>
          <w:tcPr>
            <w:tcW w:w="1685" w:type="dxa"/>
            <w:shd w:val="clear" w:color="auto" w:fill="F2F2F2" w:themeFill="background1" w:themeFillShade="F2"/>
            <w:vAlign w:val="center"/>
          </w:tcPr>
          <w:p w14:paraId="5827474A" w14:textId="77777777" w:rsidR="00803CE9" w:rsidRPr="000C5CE7" w:rsidRDefault="00803CE9" w:rsidP="00E969B1">
            <w:pPr>
              <w:jc w:val="center"/>
            </w:pPr>
            <w:r w:rsidRPr="000C5CE7">
              <w:rPr>
                <w:sz w:val="26"/>
                <w:szCs w:val="26"/>
              </w:rPr>
              <w:t>2021-2022</w:t>
            </w:r>
            <w:r>
              <w:rPr>
                <w:sz w:val="26"/>
                <w:szCs w:val="26"/>
              </w:rPr>
              <w:t xml:space="preserve"> </w:t>
            </w:r>
            <w:r w:rsidRPr="000C5CE7">
              <w:rPr>
                <w:sz w:val="26"/>
                <w:szCs w:val="26"/>
              </w:rPr>
              <w:t>Division</w:t>
            </w:r>
            <w:r>
              <w:rPr>
                <w:sz w:val="26"/>
                <w:szCs w:val="26"/>
              </w:rPr>
              <w:t xml:space="preserve"> </w:t>
            </w:r>
            <w:r w:rsidRPr="000C5CE7">
              <w:rPr>
                <w:sz w:val="26"/>
                <w:szCs w:val="26"/>
              </w:rPr>
              <w:t>Performance</w:t>
            </w:r>
          </w:p>
        </w:tc>
        <w:tc>
          <w:tcPr>
            <w:tcW w:w="1685" w:type="dxa"/>
            <w:shd w:val="clear" w:color="auto" w:fill="F2F2F2" w:themeFill="background1" w:themeFillShade="F2"/>
            <w:vAlign w:val="center"/>
          </w:tcPr>
          <w:p w14:paraId="75E6CE73" w14:textId="77777777" w:rsidR="00803CE9" w:rsidRPr="000C5CE7" w:rsidRDefault="00803CE9" w:rsidP="00E969B1">
            <w:pPr>
              <w:jc w:val="center"/>
            </w:pPr>
            <w:r w:rsidRPr="000C5CE7">
              <w:rPr>
                <w:sz w:val="26"/>
                <w:szCs w:val="26"/>
              </w:rPr>
              <w:t>2021-2022</w:t>
            </w:r>
            <w:r>
              <w:rPr>
                <w:sz w:val="26"/>
                <w:szCs w:val="26"/>
              </w:rPr>
              <w:t xml:space="preserve"> </w:t>
            </w:r>
            <w:r w:rsidRPr="000C5CE7">
              <w:rPr>
                <w:sz w:val="26"/>
                <w:szCs w:val="26"/>
              </w:rPr>
              <w:t>State Target</w:t>
            </w:r>
          </w:p>
        </w:tc>
        <w:tc>
          <w:tcPr>
            <w:tcW w:w="1685" w:type="dxa"/>
            <w:shd w:val="clear" w:color="auto" w:fill="F2F2F2" w:themeFill="background1" w:themeFillShade="F2"/>
            <w:vAlign w:val="center"/>
          </w:tcPr>
          <w:p w14:paraId="328B198C" w14:textId="77777777" w:rsidR="00803CE9" w:rsidRPr="000C5CE7" w:rsidRDefault="00803CE9" w:rsidP="00E969B1">
            <w:pPr>
              <w:tabs>
                <w:tab w:val="left" w:pos="2098"/>
              </w:tabs>
              <w:jc w:val="center"/>
            </w:pPr>
            <w:r w:rsidRPr="000C5CE7">
              <w:rPr>
                <w:sz w:val="26"/>
                <w:szCs w:val="26"/>
              </w:rPr>
              <w:t>State Target</w:t>
            </w:r>
            <w:r>
              <w:rPr>
                <w:sz w:val="26"/>
                <w:szCs w:val="26"/>
              </w:rPr>
              <w:t xml:space="preserve"> </w:t>
            </w:r>
            <w:r w:rsidRPr="000C5CE7">
              <w:rPr>
                <w:sz w:val="26"/>
                <w:szCs w:val="26"/>
              </w:rPr>
              <w:t>Met</w:t>
            </w:r>
          </w:p>
        </w:tc>
      </w:tr>
      <w:tr w:rsidR="00803CE9" w:rsidRPr="000C5CE7" w14:paraId="049A895D" w14:textId="77777777" w:rsidTr="001E412E">
        <w:trPr>
          <w:trHeight w:hRule="exact" w:val="1982"/>
        </w:trPr>
        <w:tc>
          <w:tcPr>
            <w:tcW w:w="4291" w:type="dxa"/>
            <w:vAlign w:val="center"/>
          </w:tcPr>
          <w:p w14:paraId="0458C0E9" w14:textId="77777777" w:rsidR="00803CE9" w:rsidRPr="000C5CE7" w:rsidRDefault="00803CE9" w:rsidP="000C5CE7">
            <w:pPr>
              <w:spacing w:line="259" w:lineRule="auto"/>
            </w:pPr>
            <w:r w:rsidRPr="000C5CE7">
              <w:rPr>
                <w:rFonts w:cs="Arial"/>
                <w:color w:val="000000" w:themeColor="text1"/>
                <w:szCs w:val="16"/>
              </w:rPr>
              <w:t>Percent of parents with a child receiving special education services who report that schools facilitated parent involvement as a means of improving services and results for children with disabilities</w:t>
            </w:r>
          </w:p>
        </w:tc>
        <w:tc>
          <w:tcPr>
            <w:tcW w:w="1685" w:type="dxa"/>
            <w:vAlign w:val="center"/>
          </w:tcPr>
          <w:p w14:paraId="5BED51FB" w14:textId="77777777" w:rsidR="00803CE9" w:rsidRPr="000C5CE7" w:rsidRDefault="00803CE9" w:rsidP="000C5CE7">
            <w:pPr>
              <w:jc w:val="center"/>
            </w:pPr>
            <w:r>
              <w:rPr>
                <w:noProof/>
              </w:rPr>
              <w:t>83.33%</w:t>
            </w:r>
          </w:p>
        </w:tc>
        <w:tc>
          <w:tcPr>
            <w:tcW w:w="1685" w:type="dxa"/>
            <w:vAlign w:val="center"/>
          </w:tcPr>
          <w:p w14:paraId="3A6EF1E3" w14:textId="77777777" w:rsidR="00803CE9" w:rsidRPr="000C5CE7" w:rsidRDefault="00803CE9" w:rsidP="000C5CE7">
            <w:pPr>
              <w:jc w:val="center"/>
            </w:pPr>
            <w:r w:rsidRPr="000C5CE7">
              <w:t>≥82.00%</w:t>
            </w:r>
          </w:p>
        </w:tc>
        <w:tc>
          <w:tcPr>
            <w:tcW w:w="1685" w:type="dxa"/>
            <w:vAlign w:val="center"/>
          </w:tcPr>
          <w:p w14:paraId="4D4253ED" w14:textId="77777777" w:rsidR="00803CE9" w:rsidRPr="000C5CE7" w:rsidRDefault="00803CE9" w:rsidP="000C5CE7">
            <w:pPr>
              <w:jc w:val="center"/>
            </w:pPr>
            <w:r>
              <w:rPr>
                <w:noProof/>
              </w:rPr>
              <w:t>Yes</w:t>
            </w:r>
          </w:p>
        </w:tc>
      </w:tr>
    </w:tbl>
    <w:p w14:paraId="3794553B" w14:textId="77777777" w:rsidR="00803CE9" w:rsidRPr="000C5CE7" w:rsidRDefault="00803CE9" w:rsidP="00310047">
      <w:pPr>
        <w:pStyle w:val="Heading2"/>
      </w:pPr>
      <w:r w:rsidRPr="000C5CE7">
        <w:t xml:space="preserve">Indicator </w:t>
      </w:r>
      <w:r>
        <w:rPr>
          <w:noProof/>
        </w:rPr>
        <w:t>9</w:t>
      </w:r>
      <w:r w:rsidRPr="000C5CE7">
        <w:t>: Disproportionate Representation in Special Education and Related Services</w:t>
      </w:r>
    </w:p>
    <w:tbl>
      <w:tblPr>
        <w:tblStyle w:val="TableGrid"/>
        <w:tblW w:w="9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Indicator 9: Disproportionate Representation in Special Education and Related Services includes indicator descriptions, and whether or not there is a disproportionate representation in 2021-2022."/>
      </w:tblPr>
      <w:tblGrid>
        <w:gridCol w:w="6650"/>
        <w:gridCol w:w="2700"/>
      </w:tblGrid>
      <w:tr w:rsidR="00803CE9" w:rsidRPr="000C5CE7" w14:paraId="2B090968" w14:textId="77777777" w:rsidTr="00C47D98">
        <w:trPr>
          <w:trHeight w:hRule="exact" w:val="1280"/>
          <w:tblHeader/>
        </w:trPr>
        <w:tc>
          <w:tcPr>
            <w:tcW w:w="6650" w:type="dxa"/>
            <w:shd w:val="clear" w:color="auto" w:fill="F2F2F2" w:themeFill="background1" w:themeFillShade="F2"/>
            <w:vAlign w:val="center"/>
          </w:tcPr>
          <w:p w14:paraId="509684DC" w14:textId="77777777" w:rsidR="00803CE9" w:rsidRPr="000C5CE7" w:rsidRDefault="00803CE9" w:rsidP="00B44B03">
            <w:pPr>
              <w:rPr>
                <w:sz w:val="26"/>
                <w:szCs w:val="26"/>
              </w:rPr>
            </w:pPr>
            <w:r w:rsidRPr="000C5CE7">
              <w:rPr>
                <w:sz w:val="26"/>
                <w:szCs w:val="26"/>
              </w:rPr>
              <w:t>Indicator Description</w:t>
            </w:r>
          </w:p>
        </w:tc>
        <w:tc>
          <w:tcPr>
            <w:tcW w:w="2700" w:type="dxa"/>
            <w:shd w:val="clear" w:color="auto" w:fill="F2F2F2" w:themeFill="background1" w:themeFillShade="F2"/>
            <w:vAlign w:val="center"/>
          </w:tcPr>
          <w:p w14:paraId="3973D040" w14:textId="77777777" w:rsidR="00803CE9" w:rsidRPr="000C5CE7" w:rsidRDefault="00803CE9" w:rsidP="00E969B1">
            <w:pPr>
              <w:ind w:left="-18" w:right="-108"/>
              <w:jc w:val="center"/>
              <w:rPr>
                <w:sz w:val="26"/>
                <w:szCs w:val="26"/>
              </w:rPr>
            </w:pPr>
            <w:r w:rsidRPr="000C5CE7">
              <w:rPr>
                <w:sz w:val="26"/>
                <w:szCs w:val="26"/>
              </w:rPr>
              <w:t>2021-2022</w:t>
            </w:r>
            <w:r>
              <w:rPr>
                <w:sz w:val="26"/>
                <w:szCs w:val="26"/>
              </w:rPr>
              <w:t xml:space="preserve"> </w:t>
            </w:r>
            <w:r w:rsidRPr="000C5CE7">
              <w:rPr>
                <w:sz w:val="26"/>
                <w:szCs w:val="26"/>
              </w:rPr>
              <w:t>Disproportionate Representation Determination</w:t>
            </w:r>
          </w:p>
        </w:tc>
      </w:tr>
      <w:tr w:rsidR="00803CE9" w:rsidRPr="000C5CE7" w14:paraId="1E3FFF8F" w14:textId="77777777" w:rsidTr="001E412E">
        <w:trPr>
          <w:trHeight w:hRule="exact" w:val="1100"/>
        </w:trPr>
        <w:tc>
          <w:tcPr>
            <w:tcW w:w="6650" w:type="dxa"/>
            <w:vAlign w:val="center"/>
          </w:tcPr>
          <w:p w14:paraId="14BAB2AD" w14:textId="77777777" w:rsidR="00803CE9" w:rsidRPr="000C5CE7" w:rsidRDefault="00803CE9" w:rsidP="009E5D0E">
            <w:pPr>
              <w:spacing w:line="259" w:lineRule="auto"/>
            </w:pPr>
            <w:r w:rsidRPr="000C5CE7">
              <w:t>Division identified with disproportionate representation of racial and ethnic groups in special education and related services.</w:t>
            </w:r>
          </w:p>
        </w:tc>
        <w:tc>
          <w:tcPr>
            <w:tcW w:w="2700" w:type="dxa"/>
            <w:vAlign w:val="center"/>
          </w:tcPr>
          <w:p w14:paraId="59654CCB" w14:textId="77777777" w:rsidR="00803CE9" w:rsidRPr="000C5CE7" w:rsidRDefault="00803CE9" w:rsidP="009E5D0E">
            <w:pPr>
              <w:jc w:val="center"/>
            </w:pPr>
            <w:r>
              <w:rPr>
                <w:noProof/>
              </w:rPr>
              <w:t>No</w:t>
            </w:r>
          </w:p>
        </w:tc>
      </w:tr>
      <w:tr w:rsidR="00803CE9" w:rsidRPr="000C5CE7" w14:paraId="738924A2" w14:textId="77777777" w:rsidTr="001E412E">
        <w:trPr>
          <w:trHeight w:hRule="exact" w:val="1973"/>
        </w:trPr>
        <w:tc>
          <w:tcPr>
            <w:tcW w:w="6650" w:type="dxa"/>
            <w:vAlign w:val="center"/>
          </w:tcPr>
          <w:p w14:paraId="183BD570" w14:textId="77777777" w:rsidR="00803CE9" w:rsidRPr="000C5CE7" w:rsidRDefault="00803CE9" w:rsidP="009E5D0E">
            <w:pPr>
              <w:spacing w:line="259" w:lineRule="auto"/>
            </w:pPr>
            <w:r w:rsidRPr="000C5CE7">
              <w:t>The VDOE concluded that, in one or more cases, inappropriate identification contributed to the disproportionate representation; therefore, the division is not in compliance with requirements relating to the evaluation and/or eligibility under IDEA.</w:t>
            </w:r>
            <w:r w:rsidRPr="000C5CE7">
              <w:br/>
            </w:r>
            <w:r w:rsidRPr="000C5CE7">
              <w:rPr>
                <w:b/>
              </w:rPr>
              <w:t>Target – 0%</w:t>
            </w:r>
          </w:p>
        </w:tc>
        <w:tc>
          <w:tcPr>
            <w:tcW w:w="2700" w:type="dxa"/>
            <w:vAlign w:val="center"/>
          </w:tcPr>
          <w:p w14:paraId="4A77DDEA" w14:textId="77777777" w:rsidR="00803CE9" w:rsidRPr="000C5CE7" w:rsidRDefault="00803CE9" w:rsidP="009E5D0E">
            <w:pPr>
              <w:jc w:val="center"/>
            </w:pPr>
            <w:r>
              <w:rPr>
                <w:noProof/>
              </w:rPr>
              <w:t>Not identified with disproportionate representation for Indicator 9</w:t>
            </w:r>
          </w:p>
        </w:tc>
      </w:tr>
    </w:tbl>
    <w:p w14:paraId="6F4F57C1" w14:textId="77777777" w:rsidR="00803CE9" w:rsidRPr="000C5CE7" w:rsidRDefault="00803CE9" w:rsidP="00310047">
      <w:pPr>
        <w:pStyle w:val="Heading2"/>
      </w:pPr>
      <w:r w:rsidRPr="000C5CE7">
        <w:lastRenderedPageBreak/>
        <w:t xml:space="preserve">Indicator </w:t>
      </w:r>
      <w:r>
        <w:rPr>
          <w:noProof/>
        </w:rPr>
        <w:t>10</w:t>
      </w:r>
      <w:r w:rsidRPr="000C5CE7">
        <w:t>: Disproportionate Representation in Specific Disability Categories</w:t>
      </w:r>
    </w:p>
    <w:tbl>
      <w:tblPr>
        <w:tblStyle w:val="TableGrid"/>
        <w:tblW w:w="9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Indicator 10: Disproportionate Representation in Specific Disability Categories includes indicator descriptions, and whether or not there is a disproportionate representation in 2021-2022."/>
      </w:tblPr>
      <w:tblGrid>
        <w:gridCol w:w="6650"/>
        <w:gridCol w:w="2700"/>
      </w:tblGrid>
      <w:tr w:rsidR="00803CE9" w:rsidRPr="000C5CE7" w14:paraId="139273B7" w14:textId="77777777" w:rsidTr="00C47D98">
        <w:trPr>
          <w:trHeight w:hRule="exact" w:val="1343"/>
          <w:tblHeader/>
        </w:trPr>
        <w:tc>
          <w:tcPr>
            <w:tcW w:w="6650" w:type="dxa"/>
            <w:shd w:val="clear" w:color="auto" w:fill="F2F2F2" w:themeFill="background1" w:themeFillShade="F2"/>
            <w:vAlign w:val="center"/>
          </w:tcPr>
          <w:p w14:paraId="51E67F86" w14:textId="77777777" w:rsidR="00803CE9" w:rsidRPr="000C5CE7" w:rsidRDefault="00803CE9" w:rsidP="00B44B03">
            <w:pPr>
              <w:rPr>
                <w:sz w:val="26"/>
                <w:szCs w:val="26"/>
              </w:rPr>
            </w:pPr>
            <w:r w:rsidRPr="000C5CE7">
              <w:rPr>
                <w:sz w:val="26"/>
                <w:szCs w:val="26"/>
              </w:rPr>
              <w:t>Indicator Description</w:t>
            </w:r>
          </w:p>
        </w:tc>
        <w:tc>
          <w:tcPr>
            <w:tcW w:w="2700" w:type="dxa"/>
            <w:shd w:val="clear" w:color="auto" w:fill="F2F2F2" w:themeFill="background1" w:themeFillShade="F2"/>
            <w:vAlign w:val="center"/>
          </w:tcPr>
          <w:p w14:paraId="12B70DA0" w14:textId="77777777" w:rsidR="00803CE9" w:rsidRPr="000C5CE7" w:rsidRDefault="00803CE9" w:rsidP="00E969B1">
            <w:pPr>
              <w:ind w:left="-18" w:right="-108"/>
              <w:jc w:val="center"/>
              <w:rPr>
                <w:sz w:val="26"/>
                <w:szCs w:val="26"/>
              </w:rPr>
            </w:pPr>
            <w:r w:rsidRPr="000C5CE7">
              <w:rPr>
                <w:sz w:val="26"/>
                <w:szCs w:val="26"/>
              </w:rPr>
              <w:t>2021-2022</w:t>
            </w:r>
            <w:r>
              <w:rPr>
                <w:sz w:val="26"/>
                <w:szCs w:val="26"/>
              </w:rPr>
              <w:t xml:space="preserve"> </w:t>
            </w:r>
            <w:r w:rsidRPr="000C5CE7">
              <w:rPr>
                <w:sz w:val="26"/>
                <w:szCs w:val="26"/>
              </w:rPr>
              <w:t>Disproportionate Representation Determination</w:t>
            </w:r>
          </w:p>
        </w:tc>
      </w:tr>
      <w:tr w:rsidR="00803CE9" w:rsidRPr="000C5CE7" w14:paraId="224A6018" w14:textId="77777777" w:rsidTr="001E412E">
        <w:trPr>
          <w:trHeight w:hRule="exact" w:val="1094"/>
        </w:trPr>
        <w:tc>
          <w:tcPr>
            <w:tcW w:w="6650" w:type="dxa"/>
            <w:vAlign w:val="center"/>
          </w:tcPr>
          <w:p w14:paraId="746DFCFB" w14:textId="77777777" w:rsidR="00803CE9" w:rsidRPr="000C5CE7" w:rsidRDefault="00803CE9" w:rsidP="00CE4F88">
            <w:pPr>
              <w:spacing w:line="259" w:lineRule="auto"/>
            </w:pPr>
            <w:r w:rsidRPr="000C5CE7">
              <w:t>Division identified with disproportionate representation of racial and ethnic groups in specific disability categories.</w:t>
            </w:r>
          </w:p>
        </w:tc>
        <w:tc>
          <w:tcPr>
            <w:tcW w:w="2700" w:type="dxa"/>
            <w:vAlign w:val="center"/>
          </w:tcPr>
          <w:p w14:paraId="3A8F30A8" w14:textId="77777777" w:rsidR="00803CE9" w:rsidRPr="000C5CE7" w:rsidRDefault="00803CE9" w:rsidP="00CE4F88">
            <w:pPr>
              <w:jc w:val="center"/>
            </w:pPr>
            <w:r>
              <w:rPr>
                <w:noProof/>
              </w:rPr>
              <w:t>No</w:t>
            </w:r>
          </w:p>
        </w:tc>
      </w:tr>
      <w:tr w:rsidR="00803CE9" w:rsidRPr="000C5CE7" w14:paraId="31AD8851" w14:textId="77777777" w:rsidTr="001E412E">
        <w:trPr>
          <w:trHeight w:hRule="exact" w:val="1973"/>
        </w:trPr>
        <w:tc>
          <w:tcPr>
            <w:tcW w:w="6650" w:type="dxa"/>
            <w:vAlign w:val="center"/>
          </w:tcPr>
          <w:p w14:paraId="1A554200" w14:textId="77777777" w:rsidR="00803CE9" w:rsidRPr="000C5CE7" w:rsidRDefault="00803CE9" w:rsidP="00CE4F88">
            <w:pPr>
              <w:spacing w:line="259" w:lineRule="auto"/>
            </w:pPr>
            <w:r w:rsidRPr="000C5CE7">
              <w:t xml:space="preserve">The VDOE concluded that, in one or more cases, inappropriate identification contributed to the disproportionate representation; therefore, the division is not in compliance with requirements relating to the evaluation and/or eligibility under </w:t>
            </w:r>
            <w:r>
              <w:t>IDEA.</w:t>
            </w:r>
            <w:r w:rsidRPr="000C5CE7">
              <w:br/>
            </w:r>
            <w:r w:rsidRPr="000C5CE7">
              <w:rPr>
                <w:b/>
              </w:rPr>
              <w:t>Target – 0%</w:t>
            </w:r>
          </w:p>
        </w:tc>
        <w:tc>
          <w:tcPr>
            <w:tcW w:w="2700" w:type="dxa"/>
            <w:vAlign w:val="center"/>
          </w:tcPr>
          <w:p w14:paraId="53D1C634" w14:textId="77777777" w:rsidR="00803CE9" w:rsidRPr="000C5CE7" w:rsidRDefault="00803CE9" w:rsidP="00CE4F88">
            <w:pPr>
              <w:jc w:val="center"/>
            </w:pPr>
            <w:r>
              <w:rPr>
                <w:noProof/>
              </w:rPr>
              <w:t>Not identified with disproportionate representation for Indicator 10</w:t>
            </w:r>
          </w:p>
        </w:tc>
      </w:tr>
    </w:tbl>
    <w:p w14:paraId="69535394" w14:textId="77777777" w:rsidR="00803CE9" w:rsidRPr="000C5CE7" w:rsidRDefault="00803CE9" w:rsidP="00310047">
      <w:pPr>
        <w:pStyle w:val="Heading2"/>
      </w:pPr>
      <w:r w:rsidRPr="000C5CE7">
        <w:t xml:space="preserve">Indicator </w:t>
      </w:r>
      <w:r>
        <w:rPr>
          <w:noProof/>
        </w:rPr>
        <w:t>11</w:t>
      </w:r>
      <w:r w:rsidRPr="000C5CE7">
        <w:t>: Timeline for Eligibility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Description w:val="Indicator 11: Timeline for Eligibility includes indicator description, 2021-2022 division performance and state target, and whether or not state target was met."/>
      </w:tblPr>
      <w:tblGrid>
        <w:gridCol w:w="4291"/>
        <w:gridCol w:w="1685"/>
        <w:gridCol w:w="1685"/>
        <w:gridCol w:w="1685"/>
      </w:tblGrid>
      <w:tr w:rsidR="00803CE9" w:rsidRPr="000C5CE7" w14:paraId="77E0F709" w14:textId="77777777" w:rsidTr="004528CE">
        <w:trPr>
          <w:trHeight w:hRule="exact" w:val="1010"/>
          <w:tblHeader/>
        </w:trPr>
        <w:tc>
          <w:tcPr>
            <w:tcW w:w="4291" w:type="dxa"/>
            <w:shd w:val="clear" w:color="auto" w:fill="F2F2F2" w:themeFill="background1" w:themeFillShade="F2"/>
            <w:vAlign w:val="center"/>
          </w:tcPr>
          <w:p w14:paraId="3CBA51E5" w14:textId="77777777" w:rsidR="00803CE9" w:rsidRPr="000C5CE7" w:rsidRDefault="00803CE9" w:rsidP="00B44B03">
            <w:r w:rsidRPr="000C5CE7">
              <w:rPr>
                <w:sz w:val="26"/>
                <w:szCs w:val="26"/>
              </w:rPr>
              <w:t>Indicator Description</w:t>
            </w:r>
          </w:p>
        </w:tc>
        <w:tc>
          <w:tcPr>
            <w:tcW w:w="1685" w:type="dxa"/>
            <w:shd w:val="clear" w:color="auto" w:fill="F2F2F2" w:themeFill="background1" w:themeFillShade="F2"/>
            <w:vAlign w:val="center"/>
          </w:tcPr>
          <w:p w14:paraId="52E4A511" w14:textId="77777777" w:rsidR="00803CE9" w:rsidRPr="000C5CE7" w:rsidRDefault="00803CE9" w:rsidP="00E969B1">
            <w:pPr>
              <w:jc w:val="center"/>
            </w:pPr>
            <w:r w:rsidRPr="000C5CE7">
              <w:rPr>
                <w:sz w:val="26"/>
                <w:szCs w:val="26"/>
              </w:rPr>
              <w:t>2021-2022</w:t>
            </w:r>
            <w:r>
              <w:rPr>
                <w:sz w:val="26"/>
                <w:szCs w:val="26"/>
              </w:rPr>
              <w:t xml:space="preserve"> </w:t>
            </w:r>
            <w:r w:rsidRPr="000C5CE7">
              <w:rPr>
                <w:sz w:val="26"/>
                <w:szCs w:val="26"/>
              </w:rPr>
              <w:t>Division</w:t>
            </w:r>
            <w:r>
              <w:rPr>
                <w:sz w:val="26"/>
                <w:szCs w:val="26"/>
              </w:rPr>
              <w:t xml:space="preserve"> </w:t>
            </w:r>
            <w:r w:rsidRPr="000C5CE7">
              <w:rPr>
                <w:sz w:val="26"/>
                <w:szCs w:val="26"/>
              </w:rPr>
              <w:t>Performance</w:t>
            </w:r>
          </w:p>
        </w:tc>
        <w:tc>
          <w:tcPr>
            <w:tcW w:w="1685" w:type="dxa"/>
            <w:shd w:val="clear" w:color="auto" w:fill="F2F2F2" w:themeFill="background1" w:themeFillShade="F2"/>
            <w:vAlign w:val="center"/>
          </w:tcPr>
          <w:p w14:paraId="289D6614" w14:textId="77777777" w:rsidR="00803CE9" w:rsidRPr="000C5CE7" w:rsidRDefault="00803CE9" w:rsidP="00E969B1">
            <w:pPr>
              <w:jc w:val="center"/>
            </w:pPr>
            <w:r w:rsidRPr="000C5CE7">
              <w:rPr>
                <w:sz w:val="26"/>
                <w:szCs w:val="26"/>
              </w:rPr>
              <w:t>2021-2022</w:t>
            </w:r>
            <w:r>
              <w:rPr>
                <w:sz w:val="26"/>
                <w:szCs w:val="26"/>
              </w:rPr>
              <w:t xml:space="preserve"> </w:t>
            </w:r>
            <w:r w:rsidRPr="000C5CE7">
              <w:rPr>
                <w:sz w:val="26"/>
                <w:szCs w:val="26"/>
              </w:rPr>
              <w:t>State Target</w:t>
            </w:r>
          </w:p>
        </w:tc>
        <w:tc>
          <w:tcPr>
            <w:tcW w:w="1685" w:type="dxa"/>
            <w:shd w:val="clear" w:color="auto" w:fill="F2F2F2" w:themeFill="background1" w:themeFillShade="F2"/>
            <w:vAlign w:val="center"/>
          </w:tcPr>
          <w:p w14:paraId="3961CC22" w14:textId="77777777" w:rsidR="00803CE9" w:rsidRPr="000C5CE7" w:rsidRDefault="00803CE9" w:rsidP="00E969B1">
            <w:pPr>
              <w:tabs>
                <w:tab w:val="left" w:pos="2098"/>
              </w:tabs>
              <w:jc w:val="center"/>
            </w:pPr>
            <w:r w:rsidRPr="000C5CE7">
              <w:rPr>
                <w:sz w:val="26"/>
                <w:szCs w:val="26"/>
              </w:rPr>
              <w:t>State Target</w:t>
            </w:r>
            <w:r>
              <w:rPr>
                <w:sz w:val="26"/>
                <w:szCs w:val="26"/>
              </w:rPr>
              <w:t xml:space="preserve"> </w:t>
            </w:r>
            <w:r w:rsidRPr="000C5CE7">
              <w:rPr>
                <w:sz w:val="26"/>
                <w:szCs w:val="26"/>
              </w:rPr>
              <w:t>Met</w:t>
            </w:r>
          </w:p>
        </w:tc>
      </w:tr>
      <w:tr w:rsidR="00803CE9" w:rsidRPr="000C5CE7" w14:paraId="554DA27B" w14:textId="77777777" w:rsidTr="001E412E">
        <w:trPr>
          <w:trHeight w:hRule="exact" w:val="1640"/>
        </w:trPr>
        <w:tc>
          <w:tcPr>
            <w:tcW w:w="4291" w:type="dxa"/>
            <w:vAlign w:val="center"/>
          </w:tcPr>
          <w:p w14:paraId="0C720770" w14:textId="77777777" w:rsidR="00803CE9" w:rsidRPr="000C5CE7" w:rsidRDefault="00803CE9" w:rsidP="00C47D98">
            <w:pPr>
              <w:spacing w:line="259" w:lineRule="auto"/>
            </w:pPr>
            <w:r w:rsidRPr="000C5CE7">
              <w:rPr>
                <w:bCs/>
                <w:color w:val="000000"/>
              </w:rPr>
              <w:t xml:space="preserve">Children with parental consent for initial evaluation, who were </w:t>
            </w:r>
            <w:proofErr w:type="gramStart"/>
            <w:r w:rsidRPr="000C5CE7">
              <w:rPr>
                <w:bCs/>
                <w:color w:val="000000"/>
              </w:rPr>
              <w:t>evaluated</w:t>
            </w:r>
            <w:proofErr w:type="gramEnd"/>
            <w:r w:rsidRPr="000C5CE7">
              <w:rPr>
                <w:bCs/>
                <w:color w:val="000000"/>
              </w:rPr>
              <w:t xml:space="preserve"> and eligibility determined within 65 business days</w:t>
            </w:r>
          </w:p>
        </w:tc>
        <w:tc>
          <w:tcPr>
            <w:tcW w:w="1685" w:type="dxa"/>
            <w:vAlign w:val="center"/>
          </w:tcPr>
          <w:p w14:paraId="0D940E36" w14:textId="77777777" w:rsidR="00803CE9" w:rsidRPr="000C5CE7" w:rsidRDefault="00803CE9" w:rsidP="00B44B03">
            <w:pPr>
              <w:jc w:val="center"/>
            </w:pPr>
            <w:r>
              <w:rPr>
                <w:noProof/>
              </w:rPr>
              <w:t>100%</w:t>
            </w:r>
          </w:p>
        </w:tc>
        <w:tc>
          <w:tcPr>
            <w:tcW w:w="1685" w:type="dxa"/>
            <w:vAlign w:val="center"/>
          </w:tcPr>
          <w:p w14:paraId="03F1DBC7" w14:textId="77777777" w:rsidR="00803CE9" w:rsidRPr="000C5CE7" w:rsidRDefault="00803CE9" w:rsidP="00B44B03">
            <w:pPr>
              <w:jc w:val="center"/>
            </w:pPr>
            <w:r w:rsidRPr="000C5CE7">
              <w:t>100%</w:t>
            </w:r>
          </w:p>
        </w:tc>
        <w:tc>
          <w:tcPr>
            <w:tcW w:w="1685" w:type="dxa"/>
            <w:vAlign w:val="center"/>
          </w:tcPr>
          <w:p w14:paraId="70891092" w14:textId="77777777" w:rsidR="00803CE9" w:rsidRPr="000C5CE7" w:rsidRDefault="00803CE9" w:rsidP="00B44B03">
            <w:pPr>
              <w:jc w:val="center"/>
            </w:pPr>
            <w:r>
              <w:rPr>
                <w:noProof/>
              </w:rPr>
              <w:t>Yes</w:t>
            </w:r>
          </w:p>
        </w:tc>
      </w:tr>
    </w:tbl>
    <w:p w14:paraId="1E5F22D3" w14:textId="77777777" w:rsidR="00803CE9" w:rsidRPr="000C5CE7" w:rsidRDefault="00803CE9" w:rsidP="00310047">
      <w:pPr>
        <w:pStyle w:val="Heading2"/>
      </w:pPr>
      <w:r w:rsidRPr="000C5CE7">
        <w:t xml:space="preserve">Indicator </w:t>
      </w:r>
      <w:r>
        <w:rPr>
          <w:noProof/>
        </w:rPr>
        <w:t>12</w:t>
      </w:r>
      <w:r w:rsidRPr="000C5CE7">
        <w:t>: Part C to Part B Transition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Description w:val="Indicator 12: Part C to Part B Transition includes indicator description, 2021-2022 division performance and state target, and whether or not state target was met."/>
      </w:tblPr>
      <w:tblGrid>
        <w:gridCol w:w="4291"/>
        <w:gridCol w:w="1685"/>
        <w:gridCol w:w="1685"/>
        <w:gridCol w:w="1685"/>
      </w:tblGrid>
      <w:tr w:rsidR="00803CE9" w:rsidRPr="000C5CE7" w14:paraId="77765EAF" w14:textId="77777777" w:rsidTr="004528CE">
        <w:trPr>
          <w:trHeight w:hRule="exact" w:val="1010"/>
          <w:tblHeader/>
        </w:trPr>
        <w:tc>
          <w:tcPr>
            <w:tcW w:w="4291" w:type="dxa"/>
            <w:shd w:val="clear" w:color="auto" w:fill="F2F2F2" w:themeFill="background1" w:themeFillShade="F2"/>
            <w:vAlign w:val="center"/>
          </w:tcPr>
          <w:p w14:paraId="42C7BFD6" w14:textId="77777777" w:rsidR="00803CE9" w:rsidRPr="000C5CE7" w:rsidRDefault="00803CE9" w:rsidP="00B44B03">
            <w:r w:rsidRPr="000C5CE7">
              <w:rPr>
                <w:sz w:val="26"/>
                <w:szCs w:val="26"/>
              </w:rPr>
              <w:t>Indicator Description</w:t>
            </w:r>
          </w:p>
        </w:tc>
        <w:tc>
          <w:tcPr>
            <w:tcW w:w="1685" w:type="dxa"/>
            <w:shd w:val="clear" w:color="auto" w:fill="F2F2F2" w:themeFill="background1" w:themeFillShade="F2"/>
            <w:vAlign w:val="center"/>
          </w:tcPr>
          <w:p w14:paraId="04173DA7" w14:textId="77777777" w:rsidR="00803CE9" w:rsidRPr="000C5CE7" w:rsidRDefault="00803CE9" w:rsidP="006004E6">
            <w:pPr>
              <w:jc w:val="center"/>
            </w:pPr>
            <w:r w:rsidRPr="000C5CE7">
              <w:rPr>
                <w:sz w:val="26"/>
                <w:szCs w:val="26"/>
              </w:rPr>
              <w:t>2021-2022</w:t>
            </w:r>
            <w:r>
              <w:rPr>
                <w:sz w:val="26"/>
                <w:szCs w:val="26"/>
              </w:rPr>
              <w:t xml:space="preserve"> </w:t>
            </w:r>
            <w:r w:rsidRPr="000C5CE7">
              <w:rPr>
                <w:sz w:val="26"/>
                <w:szCs w:val="26"/>
              </w:rPr>
              <w:t>Division</w:t>
            </w:r>
            <w:r>
              <w:rPr>
                <w:sz w:val="26"/>
                <w:szCs w:val="26"/>
              </w:rPr>
              <w:t xml:space="preserve"> </w:t>
            </w:r>
            <w:r w:rsidRPr="000C5CE7">
              <w:rPr>
                <w:sz w:val="26"/>
                <w:szCs w:val="26"/>
              </w:rPr>
              <w:t>Performance</w:t>
            </w:r>
          </w:p>
        </w:tc>
        <w:tc>
          <w:tcPr>
            <w:tcW w:w="1685" w:type="dxa"/>
            <w:shd w:val="clear" w:color="auto" w:fill="F2F2F2" w:themeFill="background1" w:themeFillShade="F2"/>
            <w:vAlign w:val="center"/>
          </w:tcPr>
          <w:p w14:paraId="0AA4D908" w14:textId="77777777" w:rsidR="00803CE9" w:rsidRPr="000C5CE7" w:rsidRDefault="00803CE9" w:rsidP="00831EA7">
            <w:pPr>
              <w:jc w:val="center"/>
            </w:pPr>
            <w:r w:rsidRPr="000C5CE7">
              <w:rPr>
                <w:sz w:val="26"/>
                <w:szCs w:val="26"/>
              </w:rPr>
              <w:t>2021-2022</w:t>
            </w:r>
            <w:r>
              <w:rPr>
                <w:sz w:val="26"/>
                <w:szCs w:val="26"/>
              </w:rPr>
              <w:t xml:space="preserve"> </w:t>
            </w:r>
            <w:r w:rsidRPr="000C5CE7">
              <w:rPr>
                <w:sz w:val="26"/>
                <w:szCs w:val="26"/>
              </w:rPr>
              <w:t>State Target</w:t>
            </w:r>
          </w:p>
        </w:tc>
        <w:tc>
          <w:tcPr>
            <w:tcW w:w="1685" w:type="dxa"/>
            <w:shd w:val="clear" w:color="auto" w:fill="F2F2F2" w:themeFill="background1" w:themeFillShade="F2"/>
            <w:vAlign w:val="center"/>
          </w:tcPr>
          <w:p w14:paraId="7126C592" w14:textId="77777777" w:rsidR="00803CE9" w:rsidRPr="000C5CE7" w:rsidRDefault="00803CE9" w:rsidP="00831EA7">
            <w:pPr>
              <w:tabs>
                <w:tab w:val="left" w:pos="2098"/>
              </w:tabs>
              <w:jc w:val="center"/>
            </w:pPr>
            <w:r w:rsidRPr="000C5CE7">
              <w:rPr>
                <w:sz w:val="26"/>
                <w:szCs w:val="26"/>
              </w:rPr>
              <w:t>State Target</w:t>
            </w:r>
            <w:r>
              <w:rPr>
                <w:sz w:val="26"/>
                <w:szCs w:val="26"/>
              </w:rPr>
              <w:t xml:space="preserve"> </w:t>
            </w:r>
            <w:r w:rsidRPr="000C5CE7">
              <w:rPr>
                <w:sz w:val="26"/>
                <w:szCs w:val="26"/>
              </w:rPr>
              <w:t>Met</w:t>
            </w:r>
          </w:p>
        </w:tc>
      </w:tr>
      <w:tr w:rsidR="00803CE9" w:rsidRPr="000C5CE7" w14:paraId="165908C4" w14:textId="77777777" w:rsidTr="001E412E">
        <w:trPr>
          <w:trHeight w:hRule="exact" w:val="1352"/>
        </w:trPr>
        <w:tc>
          <w:tcPr>
            <w:tcW w:w="4291" w:type="dxa"/>
            <w:vAlign w:val="center"/>
          </w:tcPr>
          <w:p w14:paraId="131B481A" w14:textId="77777777" w:rsidR="00803CE9" w:rsidRPr="000C5CE7" w:rsidRDefault="00803CE9" w:rsidP="009A7040">
            <w:pPr>
              <w:spacing w:line="259" w:lineRule="auto"/>
            </w:pPr>
            <w:r w:rsidRPr="000C5CE7">
              <w:t>Children determined eligible and IEPs developed and implemented by their third birthdays</w:t>
            </w:r>
          </w:p>
        </w:tc>
        <w:tc>
          <w:tcPr>
            <w:tcW w:w="1685" w:type="dxa"/>
            <w:vAlign w:val="center"/>
          </w:tcPr>
          <w:p w14:paraId="18A9CFE9" w14:textId="77777777" w:rsidR="00803CE9" w:rsidRPr="000C5CE7" w:rsidRDefault="00803CE9" w:rsidP="00B44B03">
            <w:pPr>
              <w:jc w:val="center"/>
            </w:pPr>
            <w:r>
              <w:rPr>
                <w:noProof/>
              </w:rPr>
              <w:t>≤10 Students</w:t>
            </w:r>
          </w:p>
        </w:tc>
        <w:tc>
          <w:tcPr>
            <w:tcW w:w="1685" w:type="dxa"/>
            <w:vAlign w:val="center"/>
          </w:tcPr>
          <w:p w14:paraId="4599D58B" w14:textId="77777777" w:rsidR="00803CE9" w:rsidRPr="000C5CE7" w:rsidRDefault="00803CE9" w:rsidP="00B44B03">
            <w:pPr>
              <w:jc w:val="center"/>
            </w:pPr>
            <w:r w:rsidRPr="000C5CE7">
              <w:t>100%</w:t>
            </w:r>
          </w:p>
        </w:tc>
        <w:tc>
          <w:tcPr>
            <w:tcW w:w="1685" w:type="dxa"/>
            <w:vAlign w:val="center"/>
          </w:tcPr>
          <w:p w14:paraId="39A1FC4E" w14:textId="77777777" w:rsidR="00803CE9" w:rsidRPr="000C5CE7" w:rsidRDefault="00803CE9" w:rsidP="00B44B03">
            <w:pPr>
              <w:jc w:val="center"/>
            </w:pPr>
            <w:r>
              <w:rPr>
                <w:noProof/>
              </w:rPr>
              <w:t>Too few students to evaluate</w:t>
            </w:r>
          </w:p>
        </w:tc>
      </w:tr>
    </w:tbl>
    <w:p w14:paraId="70B2052B" w14:textId="77777777" w:rsidR="00803CE9" w:rsidRPr="000C5CE7" w:rsidRDefault="00803CE9" w:rsidP="00310047">
      <w:pPr>
        <w:pStyle w:val="Heading2"/>
      </w:pPr>
      <w:r w:rsidRPr="000C5CE7">
        <w:lastRenderedPageBreak/>
        <w:t xml:space="preserve">Indicator </w:t>
      </w:r>
      <w:r>
        <w:rPr>
          <w:noProof/>
        </w:rPr>
        <w:t>13</w:t>
      </w:r>
      <w:r w:rsidRPr="000C5CE7">
        <w:t>: Secondary IEP Goals and Transition Services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Description w:val="Indicator 13: Secondary IEP Goals and Transition Services includes indicator description, 2021-2022 division performance and state target, and whether or not state target was met."/>
      </w:tblPr>
      <w:tblGrid>
        <w:gridCol w:w="4291"/>
        <w:gridCol w:w="1685"/>
        <w:gridCol w:w="1685"/>
        <w:gridCol w:w="1685"/>
      </w:tblGrid>
      <w:tr w:rsidR="00803CE9" w:rsidRPr="000C5CE7" w14:paraId="034B512A" w14:textId="77777777" w:rsidTr="004528CE">
        <w:trPr>
          <w:trHeight w:hRule="exact" w:val="1010"/>
          <w:tblHeader/>
        </w:trPr>
        <w:tc>
          <w:tcPr>
            <w:tcW w:w="4291" w:type="dxa"/>
            <w:shd w:val="clear" w:color="auto" w:fill="F2F2F2" w:themeFill="background1" w:themeFillShade="F2"/>
            <w:vAlign w:val="center"/>
          </w:tcPr>
          <w:p w14:paraId="787D24C6" w14:textId="77777777" w:rsidR="00803CE9" w:rsidRPr="000C5CE7" w:rsidRDefault="00803CE9" w:rsidP="00B44B03">
            <w:r w:rsidRPr="000C5CE7">
              <w:rPr>
                <w:sz w:val="26"/>
                <w:szCs w:val="26"/>
              </w:rPr>
              <w:t>Indicator Description</w:t>
            </w:r>
          </w:p>
        </w:tc>
        <w:tc>
          <w:tcPr>
            <w:tcW w:w="1685" w:type="dxa"/>
            <w:shd w:val="clear" w:color="auto" w:fill="F2F2F2" w:themeFill="background1" w:themeFillShade="F2"/>
            <w:vAlign w:val="center"/>
          </w:tcPr>
          <w:p w14:paraId="73F8BE55" w14:textId="77777777" w:rsidR="00803CE9" w:rsidRPr="000C5CE7" w:rsidRDefault="00803CE9" w:rsidP="00831EA7">
            <w:pPr>
              <w:jc w:val="center"/>
            </w:pPr>
            <w:r w:rsidRPr="000C5CE7">
              <w:rPr>
                <w:sz w:val="26"/>
                <w:szCs w:val="26"/>
              </w:rPr>
              <w:t>2021-2022</w:t>
            </w:r>
            <w:r>
              <w:rPr>
                <w:sz w:val="26"/>
                <w:szCs w:val="26"/>
              </w:rPr>
              <w:t xml:space="preserve"> </w:t>
            </w:r>
            <w:r w:rsidRPr="000C5CE7">
              <w:rPr>
                <w:sz w:val="26"/>
                <w:szCs w:val="26"/>
              </w:rPr>
              <w:t>Division</w:t>
            </w:r>
            <w:r>
              <w:rPr>
                <w:sz w:val="26"/>
                <w:szCs w:val="26"/>
              </w:rPr>
              <w:t xml:space="preserve"> </w:t>
            </w:r>
            <w:r w:rsidRPr="000C5CE7">
              <w:rPr>
                <w:sz w:val="26"/>
                <w:szCs w:val="26"/>
              </w:rPr>
              <w:t>Performance</w:t>
            </w:r>
          </w:p>
        </w:tc>
        <w:tc>
          <w:tcPr>
            <w:tcW w:w="1685" w:type="dxa"/>
            <w:shd w:val="clear" w:color="auto" w:fill="F2F2F2" w:themeFill="background1" w:themeFillShade="F2"/>
            <w:vAlign w:val="center"/>
          </w:tcPr>
          <w:p w14:paraId="28AAAD34" w14:textId="77777777" w:rsidR="00803CE9" w:rsidRPr="000C5CE7" w:rsidRDefault="00803CE9" w:rsidP="00831EA7">
            <w:pPr>
              <w:jc w:val="center"/>
            </w:pPr>
            <w:r w:rsidRPr="000C5CE7">
              <w:rPr>
                <w:sz w:val="26"/>
                <w:szCs w:val="26"/>
              </w:rPr>
              <w:t>2021-2022</w:t>
            </w:r>
            <w:r>
              <w:rPr>
                <w:sz w:val="26"/>
                <w:szCs w:val="26"/>
              </w:rPr>
              <w:t xml:space="preserve"> </w:t>
            </w:r>
            <w:r w:rsidRPr="000C5CE7">
              <w:rPr>
                <w:sz w:val="26"/>
                <w:szCs w:val="26"/>
              </w:rPr>
              <w:t>State Target</w:t>
            </w:r>
          </w:p>
        </w:tc>
        <w:tc>
          <w:tcPr>
            <w:tcW w:w="1685" w:type="dxa"/>
            <w:shd w:val="clear" w:color="auto" w:fill="F2F2F2" w:themeFill="background1" w:themeFillShade="F2"/>
            <w:vAlign w:val="center"/>
          </w:tcPr>
          <w:p w14:paraId="36C37424" w14:textId="77777777" w:rsidR="00803CE9" w:rsidRPr="000C5CE7" w:rsidRDefault="00803CE9" w:rsidP="00831EA7">
            <w:pPr>
              <w:tabs>
                <w:tab w:val="left" w:pos="2098"/>
              </w:tabs>
              <w:jc w:val="center"/>
            </w:pPr>
            <w:r w:rsidRPr="000C5CE7">
              <w:rPr>
                <w:sz w:val="26"/>
                <w:szCs w:val="26"/>
              </w:rPr>
              <w:t>State Target</w:t>
            </w:r>
            <w:r>
              <w:rPr>
                <w:sz w:val="26"/>
                <w:szCs w:val="26"/>
              </w:rPr>
              <w:t xml:space="preserve"> </w:t>
            </w:r>
            <w:r w:rsidRPr="000C5CE7">
              <w:rPr>
                <w:sz w:val="26"/>
                <w:szCs w:val="26"/>
              </w:rPr>
              <w:t>Met</w:t>
            </w:r>
          </w:p>
        </w:tc>
      </w:tr>
      <w:tr w:rsidR="00803CE9" w:rsidRPr="000C5CE7" w14:paraId="5390920F" w14:textId="77777777" w:rsidTr="004528CE">
        <w:trPr>
          <w:trHeight w:hRule="exact" w:val="5645"/>
        </w:trPr>
        <w:tc>
          <w:tcPr>
            <w:tcW w:w="4291" w:type="dxa"/>
            <w:vAlign w:val="center"/>
          </w:tcPr>
          <w:p w14:paraId="7B7561B1" w14:textId="77777777" w:rsidR="00803CE9" w:rsidRPr="000C5CE7" w:rsidRDefault="00803CE9" w:rsidP="009A7D1E">
            <w:pPr>
              <w:spacing w:line="259" w:lineRule="auto"/>
            </w:pPr>
            <w:r w:rsidRPr="000C5CE7">
              <w:t xml:space="preserve">Percent of youth aged 16 and above with an IEP that includes appropriate measurable postsecondary goals that are annually updated and based upon an age-appropriate transition assessment, transition services, including courses of study, that will reasonably enable the student to meet those postsecondary goals and annual IEP goals related to the student’s transition </w:t>
            </w:r>
            <w:proofErr w:type="spellStart"/>
            <w:r w:rsidRPr="000C5CE7">
              <w:t>services</w:t>
            </w:r>
            <w:proofErr w:type="spellEnd"/>
            <w:r w:rsidRPr="000C5CE7">
              <w:t xml:space="preserve"> needs. There also must be evidence that the student was invited to the IEP Team meeting where transition services are to be discussed and evidence that, if appropriate, a representative of any participating agency was invited to the IEP Team meeting with the prior consent of the parent or student who has reached the age of majority.</w:t>
            </w:r>
          </w:p>
        </w:tc>
        <w:tc>
          <w:tcPr>
            <w:tcW w:w="1685" w:type="dxa"/>
            <w:vAlign w:val="center"/>
          </w:tcPr>
          <w:p w14:paraId="6131AE4D" w14:textId="77777777" w:rsidR="00803CE9" w:rsidRPr="000C5CE7" w:rsidRDefault="00803CE9" w:rsidP="00B44B03">
            <w:pPr>
              <w:jc w:val="center"/>
            </w:pPr>
            <w:r>
              <w:rPr>
                <w:noProof/>
              </w:rPr>
              <w:t>92.11%</w:t>
            </w:r>
          </w:p>
        </w:tc>
        <w:tc>
          <w:tcPr>
            <w:tcW w:w="1685" w:type="dxa"/>
            <w:vAlign w:val="center"/>
          </w:tcPr>
          <w:p w14:paraId="49F89936" w14:textId="77777777" w:rsidR="00803CE9" w:rsidRPr="000C5CE7" w:rsidRDefault="00803CE9" w:rsidP="00B44B03">
            <w:pPr>
              <w:jc w:val="center"/>
            </w:pPr>
            <w:r w:rsidRPr="000C5CE7">
              <w:t>100%</w:t>
            </w:r>
          </w:p>
        </w:tc>
        <w:tc>
          <w:tcPr>
            <w:tcW w:w="1685" w:type="dxa"/>
            <w:vAlign w:val="center"/>
          </w:tcPr>
          <w:p w14:paraId="611A9344" w14:textId="77777777" w:rsidR="00803CE9" w:rsidRPr="000C5CE7" w:rsidRDefault="00803CE9" w:rsidP="00B44B03">
            <w:pPr>
              <w:jc w:val="center"/>
            </w:pPr>
            <w:r>
              <w:rPr>
                <w:noProof/>
              </w:rPr>
              <w:t>No</w:t>
            </w:r>
          </w:p>
        </w:tc>
      </w:tr>
    </w:tbl>
    <w:p w14:paraId="6C403B0A" w14:textId="77777777" w:rsidR="00803CE9" w:rsidRPr="000C5CE7" w:rsidRDefault="00803CE9" w:rsidP="00310047">
      <w:pPr>
        <w:pStyle w:val="Heading2"/>
      </w:pPr>
      <w:r w:rsidRPr="000C5CE7">
        <w:t>Indicator 14: Postsecondary Outcomes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Description w:val="Indicator 14: Postsecondary Outcomes includes indicator descriptions for 14a, 14b, and 14c for percent of youth who are no longer in secondary school and had IEPs in effect at the time they left school; 2021-2022 division performance and state target; and whether or not state target was met."/>
      </w:tblPr>
      <w:tblGrid>
        <w:gridCol w:w="4291"/>
        <w:gridCol w:w="1685"/>
        <w:gridCol w:w="1685"/>
        <w:gridCol w:w="1685"/>
      </w:tblGrid>
      <w:tr w:rsidR="00803CE9" w:rsidRPr="000C5CE7" w14:paraId="0D269774" w14:textId="77777777" w:rsidTr="004528CE">
        <w:trPr>
          <w:trHeight w:hRule="exact" w:val="1406"/>
          <w:tblHeader/>
        </w:trPr>
        <w:tc>
          <w:tcPr>
            <w:tcW w:w="4291" w:type="dxa"/>
            <w:shd w:val="clear" w:color="auto" w:fill="F2F2F2" w:themeFill="background1" w:themeFillShade="F2"/>
            <w:vAlign w:val="center"/>
          </w:tcPr>
          <w:p w14:paraId="7725D68E" w14:textId="77777777" w:rsidR="00803CE9" w:rsidRPr="000C5CE7" w:rsidRDefault="00803CE9" w:rsidP="00B44B03">
            <w:r w:rsidRPr="000C5CE7">
              <w:rPr>
                <w:sz w:val="26"/>
                <w:szCs w:val="26"/>
              </w:rPr>
              <w:t>Percent of youth who are no longer in secondary school and had IEPs in effect at the time they left school were:</w:t>
            </w:r>
          </w:p>
        </w:tc>
        <w:tc>
          <w:tcPr>
            <w:tcW w:w="1685" w:type="dxa"/>
            <w:shd w:val="clear" w:color="auto" w:fill="F2F2F2" w:themeFill="background1" w:themeFillShade="F2"/>
            <w:vAlign w:val="center"/>
          </w:tcPr>
          <w:p w14:paraId="01A50365" w14:textId="77777777" w:rsidR="00803CE9" w:rsidRPr="000C5CE7" w:rsidRDefault="00803CE9" w:rsidP="00E51A39">
            <w:pPr>
              <w:jc w:val="center"/>
            </w:pPr>
            <w:r w:rsidRPr="000C5CE7">
              <w:rPr>
                <w:sz w:val="26"/>
                <w:szCs w:val="26"/>
              </w:rPr>
              <w:t>2021-2022</w:t>
            </w:r>
            <w:r>
              <w:rPr>
                <w:sz w:val="26"/>
                <w:szCs w:val="26"/>
              </w:rPr>
              <w:t xml:space="preserve"> </w:t>
            </w:r>
            <w:r w:rsidRPr="000C5CE7">
              <w:rPr>
                <w:sz w:val="26"/>
                <w:szCs w:val="26"/>
              </w:rPr>
              <w:t>Division</w:t>
            </w:r>
            <w:r>
              <w:rPr>
                <w:sz w:val="26"/>
                <w:szCs w:val="26"/>
              </w:rPr>
              <w:t xml:space="preserve"> </w:t>
            </w:r>
            <w:r w:rsidRPr="000C5CE7">
              <w:rPr>
                <w:sz w:val="26"/>
                <w:szCs w:val="26"/>
              </w:rPr>
              <w:t>Performance</w:t>
            </w:r>
          </w:p>
        </w:tc>
        <w:tc>
          <w:tcPr>
            <w:tcW w:w="1685" w:type="dxa"/>
            <w:shd w:val="clear" w:color="auto" w:fill="F2F2F2" w:themeFill="background1" w:themeFillShade="F2"/>
            <w:vAlign w:val="center"/>
          </w:tcPr>
          <w:p w14:paraId="327FEC45" w14:textId="77777777" w:rsidR="00803CE9" w:rsidRPr="000C5CE7" w:rsidRDefault="00803CE9" w:rsidP="00E51A39">
            <w:pPr>
              <w:jc w:val="center"/>
            </w:pPr>
            <w:r w:rsidRPr="000C5CE7">
              <w:rPr>
                <w:sz w:val="26"/>
                <w:szCs w:val="26"/>
              </w:rPr>
              <w:t>2021-2022</w:t>
            </w:r>
            <w:r>
              <w:rPr>
                <w:sz w:val="26"/>
                <w:szCs w:val="26"/>
              </w:rPr>
              <w:t xml:space="preserve"> </w:t>
            </w:r>
            <w:r w:rsidRPr="000C5CE7">
              <w:rPr>
                <w:sz w:val="26"/>
                <w:szCs w:val="26"/>
              </w:rPr>
              <w:t>State Target</w:t>
            </w:r>
          </w:p>
        </w:tc>
        <w:tc>
          <w:tcPr>
            <w:tcW w:w="1685" w:type="dxa"/>
            <w:shd w:val="clear" w:color="auto" w:fill="F2F2F2" w:themeFill="background1" w:themeFillShade="F2"/>
            <w:vAlign w:val="center"/>
          </w:tcPr>
          <w:p w14:paraId="7097DDD8" w14:textId="77777777" w:rsidR="00803CE9" w:rsidRPr="000C5CE7" w:rsidRDefault="00803CE9" w:rsidP="00E51A39">
            <w:pPr>
              <w:tabs>
                <w:tab w:val="left" w:pos="2098"/>
              </w:tabs>
              <w:jc w:val="center"/>
            </w:pPr>
            <w:r w:rsidRPr="000C5CE7">
              <w:rPr>
                <w:sz w:val="26"/>
                <w:szCs w:val="26"/>
              </w:rPr>
              <w:t>State Target</w:t>
            </w:r>
            <w:r>
              <w:rPr>
                <w:sz w:val="26"/>
                <w:szCs w:val="26"/>
              </w:rPr>
              <w:t xml:space="preserve"> </w:t>
            </w:r>
            <w:r w:rsidRPr="000C5CE7">
              <w:rPr>
                <w:sz w:val="26"/>
                <w:szCs w:val="26"/>
              </w:rPr>
              <w:t>Met</w:t>
            </w:r>
          </w:p>
        </w:tc>
      </w:tr>
      <w:tr w:rsidR="00803CE9" w:rsidRPr="000C5CE7" w14:paraId="5FA52D0C" w14:textId="77777777" w:rsidTr="00043E0B">
        <w:trPr>
          <w:trHeight w:hRule="exact" w:val="1152"/>
        </w:trPr>
        <w:tc>
          <w:tcPr>
            <w:tcW w:w="4291" w:type="dxa"/>
            <w:vAlign w:val="center"/>
          </w:tcPr>
          <w:p w14:paraId="1C8CEF45" w14:textId="77777777" w:rsidR="00803CE9" w:rsidRPr="000C5CE7" w:rsidRDefault="00803CE9" w:rsidP="000C5CE7">
            <w:pPr>
              <w:spacing w:line="259" w:lineRule="auto"/>
            </w:pPr>
            <w:proofErr w:type="spellStart"/>
            <w:r w:rsidRPr="000C5CE7">
              <w:rPr>
                <w:b/>
              </w:rPr>
              <w:t>14a</w:t>
            </w:r>
            <w:proofErr w:type="spellEnd"/>
            <w:r w:rsidRPr="000C5CE7">
              <w:rPr>
                <w:b/>
              </w:rPr>
              <w:t>.</w:t>
            </w:r>
            <w:r w:rsidRPr="000C5CE7">
              <w:t xml:space="preserve"> Enrolled in higher education within one year of leaving high school</w:t>
            </w:r>
          </w:p>
        </w:tc>
        <w:tc>
          <w:tcPr>
            <w:tcW w:w="1685" w:type="dxa"/>
            <w:vAlign w:val="center"/>
          </w:tcPr>
          <w:p w14:paraId="65C3F165" w14:textId="77777777" w:rsidR="00803CE9" w:rsidRPr="000C5CE7" w:rsidRDefault="00803CE9" w:rsidP="000C5CE7">
            <w:pPr>
              <w:jc w:val="center"/>
            </w:pPr>
            <w:r>
              <w:rPr>
                <w:noProof/>
              </w:rPr>
              <w:t>11.11%</w:t>
            </w:r>
          </w:p>
        </w:tc>
        <w:tc>
          <w:tcPr>
            <w:tcW w:w="1685" w:type="dxa"/>
            <w:vAlign w:val="center"/>
          </w:tcPr>
          <w:p w14:paraId="2910ACE6" w14:textId="77777777" w:rsidR="00803CE9" w:rsidRPr="000C5CE7" w:rsidRDefault="00803CE9" w:rsidP="000C5CE7">
            <w:pPr>
              <w:jc w:val="center"/>
            </w:pPr>
            <w:r w:rsidRPr="000C5CE7">
              <w:t>≥36.00%</w:t>
            </w:r>
          </w:p>
        </w:tc>
        <w:tc>
          <w:tcPr>
            <w:tcW w:w="1685" w:type="dxa"/>
            <w:vAlign w:val="center"/>
          </w:tcPr>
          <w:p w14:paraId="7FC5BB08" w14:textId="77777777" w:rsidR="00803CE9" w:rsidRPr="000C5CE7" w:rsidRDefault="00803CE9" w:rsidP="000C5CE7">
            <w:pPr>
              <w:jc w:val="center"/>
            </w:pPr>
            <w:r>
              <w:rPr>
                <w:noProof/>
              </w:rPr>
              <w:t>No</w:t>
            </w:r>
          </w:p>
        </w:tc>
      </w:tr>
      <w:tr w:rsidR="00803CE9" w:rsidRPr="000C5CE7" w14:paraId="4A4418C9" w14:textId="77777777" w:rsidTr="00043E0B">
        <w:trPr>
          <w:trHeight w:hRule="exact" w:val="1152"/>
        </w:trPr>
        <w:tc>
          <w:tcPr>
            <w:tcW w:w="4291" w:type="dxa"/>
            <w:vAlign w:val="center"/>
          </w:tcPr>
          <w:p w14:paraId="5EBE0B09" w14:textId="77777777" w:rsidR="00803CE9" w:rsidRPr="000C5CE7" w:rsidRDefault="00803CE9" w:rsidP="000C5CE7">
            <w:pPr>
              <w:spacing w:line="259" w:lineRule="auto"/>
            </w:pPr>
            <w:proofErr w:type="spellStart"/>
            <w:r w:rsidRPr="000C5CE7">
              <w:rPr>
                <w:b/>
              </w:rPr>
              <w:t>14b</w:t>
            </w:r>
            <w:proofErr w:type="spellEnd"/>
            <w:r w:rsidRPr="000C5CE7">
              <w:rPr>
                <w:b/>
              </w:rPr>
              <w:t>.</w:t>
            </w:r>
            <w:r w:rsidRPr="000C5CE7">
              <w:t xml:space="preserve"> Enrolled in higher education or competitively employed within one year of leaving high school</w:t>
            </w:r>
          </w:p>
        </w:tc>
        <w:tc>
          <w:tcPr>
            <w:tcW w:w="1685" w:type="dxa"/>
            <w:vAlign w:val="center"/>
          </w:tcPr>
          <w:p w14:paraId="3BBA44C4" w14:textId="77777777" w:rsidR="00803CE9" w:rsidRPr="000C5CE7" w:rsidRDefault="00803CE9" w:rsidP="000C5CE7">
            <w:pPr>
              <w:jc w:val="center"/>
            </w:pPr>
            <w:r>
              <w:rPr>
                <w:noProof/>
              </w:rPr>
              <w:t>44.44%</w:t>
            </w:r>
          </w:p>
        </w:tc>
        <w:tc>
          <w:tcPr>
            <w:tcW w:w="1685" w:type="dxa"/>
            <w:vAlign w:val="center"/>
          </w:tcPr>
          <w:p w14:paraId="73ECEDA4" w14:textId="77777777" w:rsidR="00803CE9" w:rsidRPr="000C5CE7" w:rsidRDefault="00803CE9" w:rsidP="000C5CE7">
            <w:pPr>
              <w:jc w:val="center"/>
            </w:pPr>
            <w:r w:rsidRPr="000C5CE7">
              <w:t>≥66.00%</w:t>
            </w:r>
          </w:p>
        </w:tc>
        <w:tc>
          <w:tcPr>
            <w:tcW w:w="1685" w:type="dxa"/>
            <w:vAlign w:val="center"/>
          </w:tcPr>
          <w:p w14:paraId="63658FA2" w14:textId="77777777" w:rsidR="00803CE9" w:rsidRPr="000C5CE7" w:rsidRDefault="00803CE9" w:rsidP="000C5CE7">
            <w:pPr>
              <w:jc w:val="center"/>
            </w:pPr>
            <w:r>
              <w:rPr>
                <w:noProof/>
              </w:rPr>
              <w:t>No</w:t>
            </w:r>
          </w:p>
        </w:tc>
      </w:tr>
      <w:tr w:rsidR="00803CE9" w14:paraId="2B4FF182" w14:textId="77777777" w:rsidTr="004528CE">
        <w:trPr>
          <w:trHeight w:hRule="exact" w:val="1784"/>
        </w:trPr>
        <w:tc>
          <w:tcPr>
            <w:tcW w:w="4291" w:type="dxa"/>
            <w:vAlign w:val="center"/>
          </w:tcPr>
          <w:p w14:paraId="3177B62E" w14:textId="77777777" w:rsidR="00803CE9" w:rsidRPr="000C5CE7" w:rsidRDefault="00803CE9" w:rsidP="000C5CE7">
            <w:pPr>
              <w:spacing w:line="259" w:lineRule="auto"/>
            </w:pPr>
            <w:proofErr w:type="spellStart"/>
            <w:r w:rsidRPr="000C5CE7">
              <w:rPr>
                <w:b/>
              </w:rPr>
              <w:t>14c</w:t>
            </w:r>
            <w:proofErr w:type="spellEnd"/>
            <w:r w:rsidRPr="000C5CE7">
              <w:rPr>
                <w:b/>
              </w:rPr>
              <w:t xml:space="preserve">. </w:t>
            </w:r>
            <w:r w:rsidRPr="000C5CE7">
              <w:t>Enrolled in higher education or in some other postsecondary education or training program; or competitively employed or in some other employment within one year of leaving high school</w:t>
            </w:r>
          </w:p>
        </w:tc>
        <w:tc>
          <w:tcPr>
            <w:tcW w:w="1685" w:type="dxa"/>
            <w:vAlign w:val="center"/>
          </w:tcPr>
          <w:p w14:paraId="5894D069" w14:textId="77777777" w:rsidR="00803CE9" w:rsidRPr="000C5CE7" w:rsidRDefault="00803CE9" w:rsidP="000C5CE7">
            <w:pPr>
              <w:jc w:val="center"/>
            </w:pPr>
            <w:r>
              <w:rPr>
                <w:noProof/>
              </w:rPr>
              <w:t>44.44%</w:t>
            </w:r>
          </w:p>
        </w:tc>
        <w:tc>
          <w:tcPr>
            <w:tcW w:w="1685" w:type="dxa"/>
            <w:vAlign w:val="center"/>
          </w:tcPr>
          <w:p w14:paraId="600C33D8" w14:textId="77777777" w:rsidR="00803CE9" w:rsidRPr="000C5CE7" w:rsidRDefault="00803CE9" w:rsidP="000C5CE7">
            <w:pPr>
              <w:jc w:val="center"/>
            </w:pPr>
            <w:r w:rsidRPr="000C5CE7">
              <w:t>≥73.00%</w:t>
            </w:r>
          </w:p>
        </w:tc>
        <w:tc>
          <w:tcPr>
            <w:tcW w:w="1685" w:type="dxa"/>
            <w:vAlign w:val="center"/>
          </w:tcPr>
          <w:p w14:paraId="4F2DCE4B" w14:textId="77777777" w:rsidR="00803CE9" w:rsidRDefault="00803CE9" w:rsidP="000C5CE7">
            <w:pPr>
              <w:jc w:val="center"/>
            </w:pPr>
            <w:r>
              <w:rPr>
                <w:noProof/>
              </w:rPr>
              <w:t>No</w:t>
            </w:r>
          </w:p>
        </w:tc>
      </w:tr>
    </w:tbl>
    <w:p w14:paraId="34F0CF09" w14:textId="77777777" w:rsidR="00803CE9" w:rsidRDefault="00803CE9" w:rsidP="00F35CA5">
      <w:pPr>
        <w:rPr>
          <w:sz w:val="2"/>
          <w:szCs w:val="2"/>
        </w:rPr>
        <w:sectPr w:rsidR="00803CE9" w:rsidSect="00803CE9">
          <w:pgSz w:w="12240" w:h="15840"/>
          <w:pgMar w:top="720" w:right="1440" w:bottom="720" w:left="1440" w:header="720" w:footer="720" w:gutter="0"/>
          <w:pgNumType w:start="1"/>
          <w:cols w:space="720"/>
          <w:docGrid w:linePitch="360"/>
        </w:sectPr>
      </w:pPr>
    </w:p>
    <w:p w14:paraId="154358B3" w14:textId="77777777" w:rsidR="00803CE9" w:rsidRPr="00220249" w:rsidRDefault="00803CE9" w:rsidP="00F35CA5">
      <w:pPr>
        <w:rPr>
          <w:sz w:val="2"/>
          <w:szCs w:val="2"/>
        </w:rPr>
      </w:pPr>
    </w:p>
    <w:sectPr w:rsidR="00803CE9" w:rsidRPr="00220249" w:rsidSect="00803CE9">
      <w:type w:val="continuous"/>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F386DBD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12000776"/>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C7CC4F5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2AEE65E8"/>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6E36A8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F16C70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48CE9C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8"/>
    <w:multiLevelType w:val="singleLevel"/>
    <w:tmpl w:val="7B6EC0D6"/>
    <w:lvl w:ilvl="0">
      <w:start w:val="1"/>
      <w:numFmt w:val="decimal"/>
      <w:lvlText w:val="%1."/>
      <w:lvlJc w:val="left"/>
      <w:pPr>
        <w:tabs>
          <w:tab w:val="num" w:pos="360"/>
        </w:tabs>
        <w:ind w:left="360" w:hanging="360"/>
      </w:pPr>
    </w:lvl>
  </w:abstractNum>
  <w:abstractNum w:abstractNumId="8" w15:restartNumberingAfterBreak="1">
    <w:nsid w:val="FFFFFF89"/>
    <w:multiLevelType w:val="singleLevel"/>
    <w:tmpl w:val="C20AB34C"/>
    <w:lvl w:ilvl="0">
      <w:start w:val="1"/>
      <w:numFmt w:val="bullet"/>
      <w:pStyle w:val="ListBullet"/>
      <w:lvlText w:val=""/>
      <w:lvlJc w:val="left"/>
      <w:pPr>
        <w:ind w:left="360" w:hanging="360"/>
      </w:pPr>
      <w:rPr>
        <w:rFonts w:ascii="Symbol" w:hAnsi="Symbol" w:hint="default"/>
        <w:color w:val="003B71"/>
      </w:rPr>
    </w:lvl>
  </w:abstractNum>
  <w:num w:numId="1" w16cid:durableId="1344554928">
    <w:abstractNumId w:val="8"/>
  </w:num>
  <w:num w:numId="2" w16cid:durableId="2134060435">
    <w:abstractNumId w:val="6"/>
  </w:num>
  <w:num w:numId="3" w16cid:durableId="116946561">
    <w:abstractNumId w:val="5"/>
  </w:num>
  <w:num w:numId="4" w16cid:durableId="2018343219">
    <w:abstractNumId w:val="4"/>
  </w:num>
  <w:num w:numId="5" w16cid:durableId="356586951">
    <w:abstractNumId w:val="7"/>
  </w:num>
  <w:num w:numId="6" w16cid:durableId="1449280297">
    <w:abstractNumId w:val="3"/>
  </w:num>
  <w:num w:numId="7" w16cid:durableId="1100952692">
    <w:abstractNumId w:val="2"/>
  </w:num>
  <w:num w:numId="8" w16cid:durableId="1823809249">
    <w:abstractNumId w:val="1"/>
  </w:num>
  <w:num w:numId="9" w16cid:durableId="665472720">
    <w:abstractNumId w:val="0"/>
  </w:num>
  <w:num w:numId="10" w16cid:durableId="272594742">
    <w:abstractNumId w:val="6"/>
  </w:num>
  <w:num w:numId="11" w16cid:durableId="223570333">
    <w:abstractNumId w:val="5"/>
  </w:num>
  <w:num w:numId="12" w16cid:durableId="302194744">
    <w:abstractNumId w:val="4"/>
  </w:num>
  <w:num w:numId="13" w16cid:durableId="1007906284">
    <w:abstractNumId w:val="7"/>
  </w:num>
  <w:num w:numId="14" w16cid:durableId="481586877">
    <w:abstractNumId w:val="3"/>
  </w:num>
  <w:num w:numId="15" w16cid:durableId="24641671">
    <w:abstractNumId w:val="2"/>
  </w:num>
  <w:num w:numId="16" w16cid:durableId="1011950587">
    <w:abstractNumId w:val="1"/>
  </w:num>
  <w:num w:numId="17" w16cid:durableId="5258263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E7"/>
    <w:rsid w:val="00007AE8"/>
    <w:rsid w:val="00021850"/>
    <w:rsid w:val="00043E0B"/>
    <w:rsid w:val="00085D96"/>
    <w:rsid w:val="00092C73"/>
    <w:rsid w:val="000949D4"/>
    <w:rsid w:val="000A5C0C"/>
    <w:rsid w:val="000B1532"/>
    <w:rsid w:val="000C40D0"/>
    <w:rsid w:val="000C5CE7"/>
    <w:rsid w:val="000C7770"/>
    <w:rsid w:val="000E5E41"/>
    <w:rsid w:val="00107979"/>
    <w:rsid w:val="001256DC"/>
    <w:rsid w:val="00150AFE"/>
    <w:rsid w:val="00163E2B"/>
    <w:rsid w:val="001807BE"/>
    <w:rsid w:val="0018545E"/>
    <w:rsid w:val="00197B56"/>
    <w:rsid w:val="001C5E5E"/>
    <w:rsid w:val="001D0AD2"/>
    <w:rsid w:val="001E02F3"/>
    <w:rsid w:val="001E412E"/>
    <w:rsid w:val="002105F2"/>
    <w:rsid w:val="00220249"/>
    <w:rsid w:val="00231C26"/>
    <w:rsid w:val="00235070"/>
    <w:rsid w:val="0025008E"/>
    <w:rsid w:val="00280A2C"/>
    <w:rsid w:val="002B3853"/>
    <w:rsid w:val="002D54F6"/>
    <w:rsid w:val="00310047"/>
    <w:rsid w:val="00324A23"/>
    <w:rsid w:val="00336848"/>
    <w:rsid w:val="00357DAD"/>
    <w:rsid w:val="00407DAF"/>
    <w:rsid w:val="00412791"/>
    <w:rsid w:val="00435A0D"/>
    <w:rsid w:val="004429C9"/>
    <w:rsid w:val="004528CE"/>
    <w:rsid w:val="004B1BC0"/>
    <w:rsid w:val="004B6ABB"/>
    <w:rsid w:val="004C0283"/>
    <w:rsid w:val="004E1086"/>
    <w:rsid w:val="004F51F5"/>
    <w:rsid w:val="004F5EB6"/>
    <w:rsid w:val="00500252"/>
    <w:rsid w:val="00503367"/>
    <w:rsid w:val="005157AB"/>
    <w:rsid w:val="00522126"/>
    <w:rsid w:val="00544776"/>
    <w:rsid w:val="00564242"/>
    <w:rsid w:val="005706A6"/>
    <w:rsid w:val="00590E13"/>
    <w:rsid w:val="00593859"/>
    <w:rsid w:val="00594ABB"/>
    <w:rsid w:val="005B16E1"/>
    <w:rsid w:val="005C0FD6"/>
    <w:rsid w:val="005E5107"/>
    <w:rsid w:val="0060040A"/>
    <w:rsid w:val="006004E6"/>
    <w:rsid w:val="00631224"/>
    <w:rsid w:val="006754D5"/>
    <w:rsid w:val="0069395F"/>
    <w:rsid w:val="006966DC"/>
    <w:rsid w:val="006A1411"/>
    <w:rsid w:val="006A1C6F"/>
    <w:rsid w:val="006B73E7"/>
    <w:rsid w:val="006E6D9B"/>
    <w:rsid w:val="006F1D32"/>
    <w:rsid w:val="00703BE5"/>
    <w:rsid w:val="007141DC"/>
    <w:rsid w:val="0071493C"/>
    <w:rsid w:val="007350FB"/>
    <w:rsid w:val="00746911"/>
    <w:rsid w:val="00760E5F"/>
    <w:rsid w:val="00771AA9"/>
    <w:rsid w:val="0079223B"/>
    <w:rsid w:val="007A1559"/>
    <w:rsid w:val="007A1C92"/>
    <w:rsid w:val="007A210B"/>
    <w:rsid w:val="007C38E1"/>
    <w:rsid w:val="007F2645"/>
    <w:rsid w:val="00803CE9"/>
    <w:rsid w:val="00811882"/>
    <w:rsid w:val="008256FA"/>
    <w:rsid w:val="00831EA7"/>
    <w:rsid w:val="00844BC4"/>
    <w:rsid w:val="008460B5"/>
    <w:rsid w:val="00846C10"/>
    <w:rsid w:val="00852EFD"/>
    <w:rsid w:val="00863552"/>
    <w:rsid w:val="00875007"/>
    <w:rsid w:val="00880028"/>
    <w:rsid w:val="008A1043"/>
    <w:rsid w:val="008B22B5"/>
    <w:rsid w:val="008B74FA"/>
    <w:rsid w:val="008D1F38"/>
    <w:rsid w:val="008D20F4"/>
    <w:rsid w:val="00912460"/>
    <w:rsid w:val="00913BFA"/>
    <w:rsid w:val="009167A8"/>
    <w:rsid w:val="009516C2"/>
    <w:rsid w:val="00955100"/>
    <w:rsid w:val="0097105B"/>
    <w:rsid w:val="0099286C"/>
    <w:rsid w:val="00996E08"/>
    <w:rsid w:val="009A7040"/>
    <w:rsid w:val="009A7D1E"/>
    <w:rsid w:val="009B389F"/>
    <w:rsid w:val="009B4622"/>
    <w:rsid w:val="009B60F5"/>
    <w:rsid w:val="009C175A"/>
    <w:rsid w:val="009D1E60"/>
    <w:rsid w:val="009D3605"/>
    <w:rsid w:val="009D4545"/>
    <w:rsid w:val="009E4C46"/>
    <w:rsid w:val="009E5D0E"/>
    <w:rsid w:val="009F7652"/>
    <w:rsid w:val="00A1256F"/>
    <w:rsid w:val="00A16E9B"/>
    <w:rsid w:val="00A32C5B"/>
    <w:rsid w:val="00A46170"/>
    <w:rsid w:val="00A46A0E"/>
    <w:rsid w:val="00A5417C"/>
    <w:rsid w:val="00A556DD"/>
    <w:rsid w:val="00A81AE4"/>
    <w:rsid w:val="00AA0DF5"/>
    <w:rsid w:val="00AC22E3"/>
    <w:rsid w:val="00AC5C3C"/>
    <w:rsid w:val="00AF3CB4"/>
    <w:rsid w:val="00AF3E67"/>
    <w:rsid w:val="00B0406F"/>
    <w:rsid w:val="00B2367B"/>
    <w:rsid w:val="00B45381"/>
    <w:rsid w:val="00B7164F"/>
    <w:rsid w:val="00B74B6D"/>
    <w:rsid w:val="00B83E54"/>
    <w:rsid w:val="00B9434B"/>
    <w:rsid w:val="00B95A1E"/>
    <w:rsid w:val="00BB1229"/>
    <w:rsid w:val="00BB127B"/>
    <w:rsid w:val="00BC15D7"/>
    <w:rsid w:val="00BD0040"/>
    <w:rsid w:val="00BF479C"/>
    <w:rsid w:val="00BF5387"/>
    <w:rsid w:val="00C01227"/>
    <w:rsid w:val="00C025EE"/>
    <w:rsid w:val="00C02A5C"/>
    <w:rsid w:val="00C07C26"/>
    <w:rsid w:val="00C13F9A"/>
    <w:rsid w:val="00C30110"/>
    <w:rsid w:val="00C443E5"/>
    <w:rsid w:val="00C47D98"/>
    <w:rsid w:val="00C613DA"/>
    <w:rsid w:val="00C979E0"/>
    <w:rsid w:val="00CA49B1"/>
    <w:rsid w:val="00CA6ABD"/>
    <w:rsid w:val="00CE4F88"/>
    <w:rsid w:val="00D03A2B"/>
    <w:rsid w:val="00D114CE"/>
    <w:rsid w:val="00D12782"/>
    <w:rsid w:val="00D22DBC"/>
    <w:rsid w:val="00D374E9"/>
    <w:rsid w:val="00D403F8"/>
    <w:rsid w:val="00D75122"/>
    <w:rsid w:val="00D754A1"/>
    <w:rsid w:val="00D808F4"/>
    <w:rsid w:val="00D87F5E"/>
    <w:rsid w:val="00E120E6"/>
    <w:rsid w:val="00E216DE"/>
    <w:rsid w:val="00E33C73"/>
    <w:rsid w:val="00E37BDF"/>
    <w:rsid w:val="00E44E05"/>
    <w:rsid w:val="00E51A39"/>
    <w:rsid w:val="00E526F0"/>
    <w:rsid w:val="00E61CAD"/>
    <w:rsid w:val="00E954EB"/>
    <w:rsid w:val="00E969B1"/>
    <w:rsid w:val="00EB3EC4"/>
    <w:rsid w:val="00EB44E6"/>
    <w:rsid w:val="00EB635C"/>
    <w:rsid w:val="00F35CA5"/>
    <w:rsid w:val="00F55B50"/>
    <w:rsid w:val="00F67504"/>
    <w:rsid w:val="00F93808"/>
    <w:rsid w:val="00F95FD9"/>
    <w:rsid w:val="00FA193F"/>
    <w:rsid w:val="00FB0EBE"/>
    <w:rsid w:val="00FC32E2"/>
    <w:rsid w:val="00FE29A0"/>
    <w:rsid w:val="00FF436C"/>
    <w:rsid w:val="00FF4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A5A6D"/>
  <w15:chartTrackingRefBased/>
  <w15:docId w15:val="{69F27F4B-3C7B-45D5-8A84-D5E271A9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2E3"/>
    <w:pPr>
      <w:spacing w:after="0" w:line="240" w:lineRule="auto"/>
    </w:pPr>
    <w:rPr>
      <w:rFonts w:ascii="Times New Roman" w:hAnsi="Times New Roman" w:cs="Times New Roman"/>
      <w:sz w:val="24"/>
      <w:szCs w:val="24"/>
    </w:rPr>
  </w:style>
  <w:style w:type="paragraph" w:styleId="Heading1">
    <w:name w:val="heading 1"/>
    <w:basedOn w:val="Heading2"/>
    <w:next w:val="Normal"/>
    <w:link w:val="Heading1Char"/>
    <w:uiPriority w:val="9"/>
    <w:qFormat/>
    <w:rsid w:val="00AC22E3"/>
    <w:pPr>
      <w:spacing w:before="0" w:after="280"/>
      <w:jc w:val="center"/>
      <w:outlineLvl w:val="0"/>
    </w:pPr>
    <w:rPr>
      <w:sz w:val="48"/>
      <w:szCs w:val="48"/>
    </w:rPr>
  </w:style>
  <w:style w:type="paragraph" w:styleId="Heading2">
    <w:name w:val="heading 2"/>
    <w:basedOn w:val="Normal"/>
    <w:next w:val="Normal"/>
    <w:link w:val="Heading2Char"/>
    <w:uiPriority w:val="9"/>
    <w:unhideWhenUsed/>
    <w:qFormat/>
    <w:rsid w:val="00A556DD"/>
    <w:pPr>
      <w:keepNext/>
      <w:keepLines/>
      <w:spacing w:before="280" w:after="120" w:line="259" w:lineRule="auto"/>
      <w:outlineLvl w:val="1"/>
    </w:pPr>
    <w:rPr>
      <w:rFonts w:eastAsiaTheme="majorEastAsia"/>
      <w:b/>
      <w:bCs/>
      <w:smallCaps/>
      <w:color w:val="003C71"/>
      <w:sz w:val="36"/>
      <w:szCs w:val="36"/>
    </w:rPr>
  </w:style>
  <w:style w:type="paragraph" w:styleId="Heading3">
    <w:name w:val="heading 3"/>
    <w:basedOn w:val="Normal"/>
    <w:next w:val="Normal"/>
    <w:link w:val="Heading3Char"/>
    <w:uiPriority w:val="9"/>
    <w:unhideWhenUsed/>
    <w:qFormat/>
    <w:rsid w:val="00A556DD"/>
    <w:pPr>
      <w:keepNext/>
      <w:keepLines/>
      <w:spacing w:before="240" w:after="120" w:line="259" w:lineRule="auto"/>
      <w:outlineLvl w:val="2"/>
    </w:pPr>
    <w:rPr>
      <w:rFonts w:eastAsiaTheme="majorEastAsia"/>
      <w:b/>
      <w:bCs/>
      <w:sz w:val="28"/>
      <w:szCs w:val="28"/>
    </w:rPr>
  </w:style>
  <w:style w:type="paragraph" w:styleId="Heading4">
    <w:name w:val="heading 4"/>
    <w:basedOn w:val="Normal"/>
    <w:next w:val="Normal"/>
    <w:link w:val="Heading4Char"/>
    <w:uiPriority w:val="9"/>
    <w:unhideWhenUsed/>
    <w:qFormat/>
    <w:rsid w:val="00AC22E3"/>
    <w:pPr>
      <w:keepNext/>
      <w:keepLines/>
      <w:spacing w:before="40"/>
      <w:outlineLvl w:val="3"/>
    </w:pPr>
    <w:rPr>
      <w:rFonts w:eastAsiaTheme="majorEastAsia"/>
      <w:i/>
      <w:iCs/>
      <w:color w:val="003B71"/>
    </w:rPr>
  </w:style>
  <w:style w:type="paragraph" w:styleId="Heading5">
    <w:name w:val="heading 5"/>
    <w:basedOn w:val="Normal"/>
    <w:next w:val="Normal"/>
    <w:link w:val="Heading5Char"/>
    <w:uiPriority w:val="9"/>
    <w:semiHidden/>
    <w:unhideWhenUsed/>
    <w:qFormat/>
    <w:rsid w:val="00AC22E3"/>
    <w:pPr>
      <w:keepNext/>
      <w:keepLines/>
      <w:spacing w:before="40"/>
      <w:outlineLvl w:val="4"/>
    </w:pPr>
    <w:rPr>
      <w:rFonts w:eastAsiaTheme="majorEastAsia" w:cstheme="majorBidi"/>
      <w:color w:val="767171" w:themeColor="background2" w:themeShade="80"/>
    </w:rPr>
  </w:style>
  <w:style w:type="paragraph" w:styleId="Heading6">
    <w:name w:val="heading 6"/>
    <w:basedOn w:val="Normal"/>
    <w:next w:val="Normal"/>
    <w:link w:val="Heading6Char"/>
    <w:uiPriority w:val="9"/>
    <w:semiHidden/>
    <w:unhideWhenUsed/>
    <w:qFormat/>
    <w:rsid w:val="00AC22E3"/>
    <w:pPr>
      <w:keepNext/>
      <w:keepLines/>
      <w:spacing w:before="4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AC22E3"/>
    <w:pPr>
      <w:keepNext/>
      <w:keepLines/>
      <w:spacing w:before="4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AC22E3"/>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C22E3"/>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AC22E3"/>
    <w:rPr>
      <w:color w:val="7B7B7B" w:themeColor="accent3" w:themeShade="BF"/>
      <w:u w:val="single"/>
    </w:rPr>
  </w:style>
  <w:style w:type="character" w:customStyle="1" w:styleId="Heading1Char">
    <w:name w:val="Heading 1 Char"/>
    <w:basedOn w:val="DefaultParagraphFont"/>
    <w:link w:val="Heading1"/>
    <w:uiPriority w:val="9"/>
    <w:rsid w:val="00AC22E3"/>
    <w:rPr>
      <w:rFonts w:ascii="Times New Roman" w:eastAsiaTheme="majorEastAsia" w:hAnsi="Times New Roman" w:cs="Times New Roman"/>
      <w:b/>
      <w:bCs/>
      <w:smallCaps/>
      <w:color w:val="003C71"/>
      <w:sz w:val="48"/>
      <w:szCs w:val="48"/>
    </w:rPr>
  </w:style>
  <w:style w:type="character" w:customStyle="1" w:styleId="Heading2Char">
    <w:name w:val="Heading 2 Char"/>
    <w:basedOn w:val="DefaultParagraphFont"/>
    <w:link w:val="Heading2"/>
    <w:uiPriority w:val="9"/>
    <w:rsid w:val="00A556DD"/>
    <w:rPr>
      <w:rFonts w:ascii="Times New Roman" w:eastAsiaTheme="majorEastAsia" w:hAnsi="Times New Roman" w:cs="Times New Roman"/>
      <w:b/>
      <w:bCs/>
      <w:smallCaps/>
      <w:color w:val="003C71"/>
      <w:sz w:val="36"/>
      <w:szCs w:val="36"/>
    </w:rPr>
  </w:style>
  <w:style w:type="character" w:customStyle="1" w:styleId="Heading3Char">
    <w:name w:val="Heading 3 Char"/>
    <w:basedOn w:val="DefaultParagraphFont"/>
    <w:link w:val="Heading3"/>
    <w:uiPriority w:val="9"/>
    <w:rsid w:val="00A556DD"/>
    <w:rPr>
      <w:rFonts w:ascii="Times New Roman" w:eastAsiaTheme="majorEastAsia" w:hAnsi="Times New Roman" w:cs="Times New Roman"/>
      <w:b/>
      <w:bCs/>
      <w:sz w:val="28"/>
      <w:szCs w:val="28"/>
    </w:rPr>
  </w:style>
  <w:style w:type="character" w:customStyle="1" w:styleId="Heading4Char">
    <w:name w:val="Heading 4 Char"/>
    <w:basedOn w:val="DefaultParagraphFont"/>
    <w:link w:val="Heading4"/>
    <w:uiPriority w:val="9"/>
    <w:rsid w:val="00AC22E3"/>
    <w:rPr>
      <w:rFonts w:ascii="Times New Roman" w:eastAsiaTheme="majorEastAsia" w:hAnsi="Times New Roman" w:cs="Times New Roman"/>
      <w:i/>
      <w:iCs/>
      <w:color w:val="003B71"/>
      <w:sz w:val="24"/>
      <w:szCs w:val="24"/>
    </w:rPr>
  </w:style>
  <w:style w:type="character" w:styleId="Hyperlink">
    <w:name w:val="Hyperlink"/>
    <w:basedOn w:val="DefaultParagraphFont"/>
    <w:uiPriority w:val="99"/>
    <w:unhideWhenUsed/>
    <w:rsid w:val="00AC22E3"/>
    <w:rPr>
      <w:rFonts w:ascii="Times New Roman" w:hAnsi="Times New Roman"/>
      <w:b w:val="0"/>
      <w:i w:val="0"/>
      <w:color w:val="003B71"/>
      <w:u w:val="single"/>
    </w:rPr>
  </w:style>
  <w:style w:type="character" w:styleId="SmartLink">
    <w:name w:val="Smart Link"/>
    <w:basedOn w:val="DefaultParagraphFont"/>
    <w:uiPriority w:val="99"/>
    <w:semiHidden/>
    <w:unhideWhenUsed/>
    <w:rsid w:val="006B73E7"/>
    <w:rPr>
      <w:rFonts w:ascii="Times New Roman" w:hAnsi="Times New Roman"/>
      <w:color w:val="0000FF"/>
      <w:sz w:val="24"/>
      <w:u w:val="single"/>
      <w:shd w:val="clear" w:color="auto" w:fill="F3F2F1"/>
    </w:rPr>
  </w:style>
  <w:style w:type="character" w:styleId="UnresolvedMention">
    <w:name w:val="Unresolved Mention"/>
    <w:basedOn w:val="DefaultParagraphFont"/>
    <w:uiPriority w:val="99"/>
    <w:semiHidden/>
    <w:unhideWhenUsed/>
    <w:rsid w:val="00197B56"/>
    <w:rPr>
      <w:color w:val="605E5C"/>
      <w:shd w:val="clear" w:color="auto" w:fill="E1DFDD"/>
    </w:rPr>
  </w:style>
  <w:style w:type="table" w:styleId="TableGrid">
    <w:name w:val="Table Grid"/>
    <w:basedOn w:val="TableNormal"/>
    <w:uiPriority w:val="39"/>
    <w:rsid w:val="00197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50AFE"/>
    <w:pPr>
      <w:spacing w:before="280" w:after="200"/>
    </w:pPr>
    <w:rPr>
      <w:b/>
      <w:iCs/>
      <w:szCs w:val="18"/>
    </w:rPr>
  </w:style>
  <w:style w:type="character" w:styleId="BookTitle">
    <w:name w:val="Book Title"/>
    <w:basedOn w:val="DefaultParagraphFont"/>
    <w:uiPriority w:val="33"/>
    <w:qFormat/>
    <w:rsid w:val="00AC22E3"/>
    <w:rPr>
      <w:rFonts w:ascii="Times New Roman" w:hAnsi="Times New Roman"/>
      <w:b/>
      <w:bCs/>
      <w:i w:val="0"/>
      <w:iCs/>
      <w:caps/>
      <w:smallCaps w:val="0"/>
      <w:spacing w:val="5"/>
    </w:rPr>
  </w:style>
  <w:style w:type="character" w:styleId="Emphasis">
    <w:name w:val="Emphasis"/>
    <w:basedOn w:val="DefaultParagraphFont"/>
    <w:uiPriority w:val="20"/>
    <w:qFormat/>
    <w:rsid w:val="00AC22E3"/>
    <w:rPr>
      <w:rFonts w:ascii="Times New Roman" w:hAnsi="Times New Roman"/>
      <w:b/>
      <w:i/>
      <w:iCs/>
    </w:rPr>
  </w:style>
  <w:style w:type="paragraph" w:styleId="Footer">
    <w:name w:val="footer"/>
    <w:basedOn w:val="Normal"/>
    <w:link w:val="FooterChar"/>
    <w:uiPriority w:val="99"/>
    <w:unhideWhenUsed/>
    <w:rsid w:val="00AC22E3"/>
    <w:pPr>
      <w:tabs>
        <w:tab w:val="center" w:pos="4680"/>
        <w:tab w:val="right" w:pos="9360"/>
      </w:tabs>
    </w:pPr>
  </w:style>
  <w:style w:type="character" w:customStyle="1" w:styleId="FooterChar">
    <w:name w:val="Footer Char"/>
    <w:basedOn w:val="DefaultParagraphFont"/>
    <w:link w:val="Footer"/>
    <w:uiPriority w:val="99"/>
    <w:rsid w:val="00AC22E3"/>
    <w:rPr>
      <w:rFonts w:ascii="Times New Roman" w:hAnsi="Times New Roman" w:cs="Times New Roman"/>
      <w:sz w:val="24"/>
      <w:szCs w:val="24"/>
    </w:rPr>
  </w:style>
  <w:style w:type="paragraph" w:styleId="Header">
    <w:name w:val="header"/>
    <w:basedOn w:val="Normal"/>
    <w:link w:val="HeaderChar"/>
    <w:uiPriority w:val="99"/>
    <w:unhideWhenUsed/>
    <w:rsid w:val="00AC22E3"/>
    <w:pPr>
      <w:tabs>
        <w:tab w:val="center" w:pos="4680"/>
        <w:tab w:val="right" w:pos="9360"/>
      </w:tabs>
    </w:pPr>
  </w:style>
  <w:style w:type="character" w:customStyle="1" w:styleId="HeaderChar">
    <w:name w:val="Header Char"/>
    <w:basedOn w:val="DefaultParagraphFont"/>
    <w:link w:val="Header"/>
    <w:uiPriority w:val="99"/>
    <w:rsid w:val="00AC22E3"/>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AC22E3"/>
    <w:rPr>
      <w:rFonts w:ascii="Times New Roman" w:eastAsiaTheme="majorEastAsia" w:hAnsi="Times New Roman" w:cstheme="majorBidi"/>
      <w:color w:val="767171" w:themeColor="background2" w:themeShade="80"/>
      <w:sz w:val="24"/>
      <w:szCs w:val="24"/>
    </w:rPr>
  </w:style>
  <w:style w:type="character" w:customStyle="1" w:styleId="Heading6Char">
    <w:name w:val="Heading 6 Char"/>
    <w:basedOn w:val="DefaultParagraphFont"/>
    <w:link w:val="Heading6"/>
    <w:uiPriority w:val="9"/>
    <w:semiHidden/>
    <w:rsid w:val="00AC22E3"/>
    <w:rPr>
      <w:rFonts w:ascii="Times New Roman" w:eastAsiaTheme="majorEastAsia" w:hAnsi="Times New Roman"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AC22E3"/>
    <w:rPr>
      <w:rFonts w:ascii="Times New Roman" w:eastAsiaTheme="majorEastAsia" w:hAnsi="Times New Roman"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AC22E3"/>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C22E3"/>
    <w:rPr>
      <w:rFonts w:ascii="Times New Roman" w:eastAsiaTheme="majorEastAsia" w:hAnsi="Times New Roman" w:cstheme="majorBidi"/>
      <w:i/>
      <w:iCs/>
      <w:color w:val="272727" w:themeColor="text1" w:themeTint="D8"/>
      <w:sz w:val="21"/>
      <w:szCs w:val="21"/>
    </w:rPr>
  </w:style>
  <w:style w:type="character" w:styleId="IntenseEmphasis">
    <w:name w:val="Intense Emphasis"/>
    <w:basedOn w:val="DefaultParagraphFont"/>
    <w:uiPriority w:val="21"/>
    <w:qFormat/>
    <w:rsid w:val="00AC22E3"/>
    <w:rPr>
      <w:rFonts w:ascii="Times New Roman" w:hAnsi="Times New Roman"/>
      <w:b/>
      <w:i/>
      <w:iCs/>
      <w:color w:val="003B71"/>
    </w:rPr>
  </w:style>
  <w:style w:type="paragraph" w:styleId="IntenseQuote">
    <w:name w:val="Intense Quote"/>
    <w:basedOn w:val="Normal"/>
    <w:next w:val="Normal"/>
    <w:link w:val="IntenseQuoteChar"/>
    <w:uiPriority w:val="30"/>
    <w:qFormat/>
    <w:rsid w:val="00AC22E3"/>
    <w:pPr>
      <w:pBdr>
        <w:top w:val="single" w:sz="4" w:space="10" w:color="4472C4" w:themeColor="accent1"/>
        <w:bottom w:val="single" w:sz="4" w:space="10" w:color="4472C4" w:themeColor="accent1"/>
      </w:pBdr>
      <w:spacing w:before="360" w:after="360"/>
      <w:ind w:left="864" w:right="864"/>
      <w:jc w:val="center"/>
    </w:pPr>
    <w:rPr>
      <w:i/>
      <w:iCs/>
      <w:color w:val="003B71"/>
    </w:rPr>
  </w:style>
  <w:style w:type="character" w:customStyle="1" w:styleId="IntenseQuoteChar">
    <w:name w:val="Intense Quote Char"/>
    <w:basedOn w:val="DefaultParagraphFont"/>
    <w:link w:val="IntenseQuote"/>
    <w:uiPriority w:val="30"/>
    <w:rsid w:val="00AC22E3"/>
    <w:rPr>
      <w:rFonts w:ascii="Times New Roman" w:hAnsi="Times New Roman" w:cs="Times New Roman"/>
      <w:i/>
      <w:iCs/>
      <w:color w:val="003B71"/>
      <w:sz w:val="24"/>
      <w:szCs w:val="24"/>
    </w:rPr>
  </w:style>
  <w:style w:type="character" w:styleId="IntenseReference">
    <w:name w:val="Intense Reference"/>
    <w:basedOn w:val="DefaultParagraphFont"/>
    <w:uiPriority w:val="32"/>
    <w:qFormat/>
    <w:rsid w:val="00AC22E3"/>
    <w:rPr>
      <w:rFonts w:ascii="Times New Roman" w:hAnsi="Times New Roman"/>
      <w:b/>
      <w:bCs/>
      <w:i w:val="0"/>
      <w:smallCaps/>
      <w:color w:val="003B71"/>
      <w:spacing w:val="5"/>
    </w:rPr>
  </w:style>
  <w:style w:type="paragraph" w:styleId="ListBullet">
    <w:name w:val="List Bullet"/>
    <w:basedOn w:val="Normal"/>
    <w:uiPriority w:val="99"/>
    <w:semiHidden/>
    <w:unhideWhenUsed/>
    <w:rsid w:val="00AC22E3"/>
    <w:pPr>
      <w:numPr>
        <w:numId w:val="1"/>
      </w:numPr>
      <w:contextualSpacing/>
    </w:pPr>
  </w:style>
  <w:style w:type="paragraph" w:styleId="ListBullet2">
    <w:name w:val="List Bullet 2"/>
    <w:basedOn w:val="Normal"/>
    <w:uiPriority w:val="99"/>
    <w:unhideWhenUsed/>
    <w:rsid w:val="00AC22E3"/>
    <w:pPr>
      <w:contextualSpacing/>
    </w:pPr>
  </w:style>
  <w:style w:type="paragraph" w:styleId="NoSpacing">
    <w:name w:val="No Spacing"/>
    <w:basedOn w:val="Normal"/>
    <w:link w:val="NoSpacingChar"/>
    <w:uiPriority w:val="1"/>
    <w:qFormat/>
    <w:rsid w:val="00AC22E3"/>
  </w:style>
  <w:style w:type="character" w:customStyle="1" w:styleId="NoSpacingChar">
    <w:name w:val="No Spacing Char"/>
    <w:basedOn w:val="DefaultParagraphFont"/>
    <w:link w:val="NoSpacing"/>
    <w:uiPriority w:val="1"/>
    <w:rsid w:val="00AC22E3"/>
    <w:rPr>
      <w:rFonts w:ascii="Times New Roman" w:hAnsi="Times New Roman" w:cs="Times New Roman"/>
      <w:sz w:val="24"/>
      <w:szCs w:val="24"/>
    </w:rPr>
  </w:style>
  <w:style w:type="character" w:styleId="PageNumber">
    <w:name w:val="page number"/>
    <w:basedOn w:val="DefaultParagraphFont"/>
    <w:uiPriority w:val="99"/>
    <w:semiHidden/>
    <w:unhideWhenUsed/>
    <w:rsid w:val="00AC22E3"/>
  </w:style>
  <w:style w:type="character" w:customStyle="1" w:styleId="SmartLink1">
    <w:name w:val="SmartLink1"/>
    <w:basedOn w:val="DefaultParagraphFont"/>
    <w:uiPriority w:val="99"/>
    <w:semiHidden/>
    <w:unhideWhenUsed/>
    <w:rsid w:val="00AC22E3"/>
    <w:rPr>
      <w:color w:val="003B71"/>
      <w:u w:val="single"/>
      <w:shd w:val="clear" w:color="auto" w:fill="F3F2F1"/>
    </w:rPr>
  </w:style>
  <w:style w:type="character" w:styleId="Strong">
    <w:name w:val="Strong"/>
    <w:basedOn w:val="DefaultParagraphFont"/>
    <w:uiPriority w:val="22"/>
    <w:qFormat/>
    <w:rsid w:val="00AC22E3"/>
    <w:rPr>
      <w:rFonts w:ascii="Times New Roman" w:hAnsi="Times New Roman"/>
      <w:b/>
      <w:bCs/>
      <w:i w:val="0"/>
    </w:rPr>
  </w:style>
  <w:style w:type="paragraph" w:styleId="Subtitle">
    <w:name w:val="Subtitle"/>
    <w:basedOn w:val="Normal"/>
    <w:next w:val="Normal"/>
    <w:link w:val="SubtitleChar"/>
    <w:uiPriority w:val="11"/>
    <w:qFormat/>
    <w:rsid w:val="00AC22E3"/>
    <w:pPr>
      <w:jc w:val="center"/>
    </w:pPr>
    <w:rPr>
      <w:sz w:val="32"/>
      <w:szCs w:val="32"/>
    </w:rPr>
  </w:style>
  <w:style w:type="character" w:customStyle="1" w:styleId="SubtitleChar">
    <w:name w:val="Subtitle Char"/>
    <w:basedOn w:val="DefaultParagraphFont"/>
    <w:link w:val="Subtitle"/>
    <w:uiPriority w:val="11"/>
    <w:rsid w:val="00AC22E3"/>
    <w:rPr>
      <w:rFonts w:ascii="Times New Roman" w:hAnsi="Times New Roman" w:cs="Times New Roman"/>
      <w:sz w:val="32"/>
      <w:szCs w:val="32"/>
    </w:rPr>
  </w:style>
  <w:style w:type="character" w:styleId="SubtleEmphasis">
    <w:name w:val="Subtle Emphasis"/>
    <w:basedOn w:val="DefaultParagraphFont"/>
    <w:uiPriority w:val="19"/>
    <w:qFormat/>
    <w:rsid w:val="00AC22E3"/>
    <w:rPr>
      <w:rFonts w:ascii="Times New Roman" w:hAnsi="Times New Roman"/>
      <w:b w:val="0"/>
      <w:i/>
      <w:iCs/>
      <w:color w:val="404040" w:themeColor="text1" w:themeTint="BF"/>
    </w:rPr>
  </w:style>
  <w:style w:type="character" w:styleId="SubtleReference">
    <w:name w:val="Subtle Reference"/>
    <w:basedOn w:val="DefaultParagraphFont"/>
    <w:uiPriority w:val="31"/>
    <w:qFormat/>
    <w:rsid w:val="00AC22E3"/>
    <w:rPr>
      <w:rFonts w:ascii="Times New Roman" w:hAnsi="Times New Roman"/>
      <w:b w:val="0"/>
      <w:i w:val="0"/>
      <w:smallCaps/>
      <w:color w:val="5A5A5A" w:themeColor="text1" w:themeTint="A5"/>
    </w:rPr>
  </w:style>
  <w:style w:type="paragraph" w:styleId="Title">
    <w:name w:val="Title"/>
    <w:basedOn w:val="Normal"/>
    <w:next w:val="Normal"/>
    <w:link w:val="TitleChar"/>
    <w:uiPriority w:val="10"/>
    <w:qFormat/>
    <w:rsid w:val="00AC22E3"/>
    <w:pPr>
      <w:ind w:left="-180"/>
      <w:jc w:val="center"/>
      <w:outlineLvl w:val="0"/>
    </w:pPr>
    <w:rPr>
      <w:b/>
      <w:bCs/>
      <w:smallCaps/>
      <w:sz w:val="72"/>
      <w:szCs w:val="72"/>
    </w:rPr>
  </w:style>
  <w:style w:type="character" w:customStyle="1" w:styleId="TitleChar">
    <w:name w:val="Title Char"/>
    <w:basedOn w:val="DefaultParagraphFont"/>
    <w:link w:val="Title"/>
    <w:uiPriority w:val="10"/>
    <w:rsid w:val="00AC22E3"/>
    <w:rPr>
      <w:rFonts w:ascii="Times New Roman" w:hAnsi="Times New Roman" w:cs="Times New Roman"/>
      <w:b/>
      <w:bCs/>
      <w:smallCaps/>
      <w:sz w:val="72"/>
      <w:szCs w:val="72"/>
    </w:rPr>
  </w:style>
  <w:style w:type="paragraph" w:styleId="TOC1">
    <w:name w:val="toc 1"/>
    <w:basedOn w:val="Normal"/>
    <w:next w:val="Normal"/>
    <w:autoRedefine/>
    <w:uiPriority w:val="39"/>
    <w:unhideWhenUsed/>
    <w:rsid w:val="00AC22E3"/>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AC22E3"/>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AC22E3"/>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AC22E3"/>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AC22E3"/>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AC22E3"/>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AC22E3"/>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AC22E3"/>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AC22E3"/>
    <w:pPr>
      <w:ind w:left="1920"/>
    </w:pPr>
    <w:rPr>
      <w:rFonts w:asciiTheme="minorHAnsi" w:hAnsiTheme="minorHAnsi" w:cstheme="minorHAnsi"/>
      <w:sz w:val="20"/>
      <w:szCs w:val="20"/>
    </w:rPr>
  </w:style>
  <w:style w:type="paragraph" w:styleId="TOCHeading">
    <w:name w:val="TOC Heading"/>
    <w:basedOn w:val="Heading1"/>
    <w:next w:val="Normal"/>
    <w:uiPriority w:val="39"/>
    <w:unhideWhenUsed/>
    <w:qFormat/>
    <w:rsid w:val="00AC22E3"/>
    <w:pPr>
      <w:spacing w:before="240"/>
      <w:outlineLvl w:val="9"/>
    </w:pPr>
    <w:rPr>
      <w:rFonts w:cs="Times New Roman (Headings CS)"/>
      <w:bCs w:val="0"/>
      <w:sz w:val="32"/>
      <w:szCs w:val="32"/>
    </w:rPr>
  </w:style>
  <w:style w:type="character" w:customStyle="1" w:styleId="UnresolvedMention1">
    <w:name w:val="Unresolved Mention1"/>
    <w:basedOn w:val="DefaultParagraphFont"/>
    <w:uiPriority w:val="99"/>
    <w:semiHidden/>
    <w:unhideWhenUsed/>
    <w:rsid w:val="00AC2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oe.virginia.gov/?navid=25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BB17E-0674-4F10-9140-B9AF01786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Division Name Federal Fiscal Year 2021 Special Education Performance Report</vt:lpstr>
    </vt:vector>
  </TitlesOfParts>
  <Company>VITA</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Floyd County Public Schools Federal Fiscal Year 2021 Special Education Performance Report</dc:title>
  <dc:subject/>
  <dc:creator>Virginia Department of Education</dc:creator>
  <cp:keywords/>
  <dc:description/>
  <cp:lastModifiedBy>Sarah Peters</cp:lastModifiedBy>
  <cp:revision>3</cp:revision>
  <dcterms:created xsi:type="dcterms:W3CDTF">2023-05-25T14:36:00Z</dcterms:created>
  <dcterms:modified xsi:type="dcterms:W3CDTF">2023-12-12T21:20:00Z</dcterms:modified>
</cp:coreProperties>
</file>