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7BEA" w14:textId="77777777" w:rsidR="00A74F06" w:rsidRPr="00C62EE3" w:rsidRDefault="00A74F06" w:rsidP="00C62EE3">
      <w:pPr>
        <w:pStyle w:val="Heading1"/>
        <w:ind w:left="-720"/>
      </w:pPr>
      <w:r w:rsidRPr="00C62EE3">
        <w:t>Exit/Withdraw Codes</w:t>
      </w:r>
    </w:p>
    <w:p w14:paraId="2475B02D" w14:textId="77777777" w:rsidR="00F549D8" w:rsidRPr="00F549D8" w:rsidRDefault="00F549D8" w:rsidP="00C62EE3">
      <w:pPr>
        <w:tabs>
          <w:tab w:val="left" w:pos="630"/>
        </w:tabs>
        <w:ind w:left="-720"/>
        <w:rPr>
          <w:rFonts w:eastAsia="Times New Roman" w:cs="Arial"/>
          <w:szCs w:val="20"/>
        </w:rPr>
      </w:pPr>
      <w:r w:rsidRPr="00F549D8">
        <w:rPr>
          <w:rFonts w:eastAsia="Times New Roman" w:cs="Arial"/>
          <w:szCs w:val="20"/>
        </w:rPr>
        <w:t xml:space="preserve">Withdraws are, for each school year, those pupils who have severed their connection with classes, grades, and schools. </w:t>
      </w:r>
    </w:p>
    <w:tbl>
      <w:tblPr>
        <w:tblStyle w:val="TableGrid"/>
        <w:tblW w:w="10890" w:type="dxa"/>
        <w:tblInd w:w="-612" w:type="dxa"/>
        <w:tblLook w:val="04A0" w:firstRow="1" w:lastRow="0" w:firstColumn="1" w:lastColumn="0" w:noHBand="0" w:noVBand="1"/>
        <w:tblCaption w:val="Exit/Withdraw Codes"/>
        <w:tblDescription w:val="Exit/Withdraw Codes"/>
      </w:tblPr>
      <w:tblGrid>
        <w:gridCol w:w="1563"/>
        <w:gridCol w:w="9327"/>
      </w:tblGrid>
      <w:tr w:rsidR="00A74F06" w:rsidRPr="00A74F06" w14:paraId="6C17EBD1" w14:textId="77777777" w:rsidTr="00C62EE3">
        <w:trPr>
          <w:trHeight w:val="510"/>
          <w:tblHeader/>
        </w:trPr>
        <w:tc>
          <w:tcPr>
            <w:tcW w:w="1563" w:type="dxa"/>
            <w:shd w:val="clear" w:color="auto" w:fill="BFBFBF" w:themeFill="background1" w:themeFillShade="BF"/>
            <w:hideMark/>
          </w:tcPr>
          <w:p w14:paraId="51F484F7" w14:textId="77777777" w:rsidR="00F549D8" w:rsidRDefault="00A74F06" w:rsidP="00A74F06">
            <w:pPr>
              <w:jc w:val="center"/>
              <w:rPr>
                <w:rFonts w:eastAsia="Times New Roman" w:cs="Times New Roman"/>
                <w:b/>
                <w:bCs/>
                <w:sz w:val="20"/>
                <w:szCs w:val="20"/>
              </w:rPr>
            </w:pPr>
            <w:r w:rsidRPr="00A74F06">
              <w:rPr>
                <w:rFonts w:eastAsia="Times New Roman" w:cs="Times New Roman"/>
                <w:b/>
                <w:bCs/>
                <w:sz w:val="20"/>
                <w:szCs w:val="20"/>
              </w:rPr>
              <w:t>Exit/Withdraw</w:t>
            </w:r>
          </w:p>
          <w:p w14:paraId="2C9DD0AC" w14:textId="77777777" w:rsidR="00A74F06" w:rsidRPr="00A74F06" w:rsidRDefault="00A74F06" w:rsidP="00A74F06">
            <w:pPr>
              <w:jc w:val="center"/>
              <w:rPr>
                <w:rFonts w:eastAsia="Times New Roman" w:cs="Times New Roman"/>
                <w:b/>
                <w:bCs/>
                <w:sz w:val="20"/>
                <w:szCs w:val="20"/>
              </w:rPr>
            </w:pPr>
            <w:r w:rsidRPr="00A74F06">
              <w:rPr>
                <w:rFonts w:eastAsia="Times New Roman" w:cs="Times New Roman"/>
                <w:b/>
                <w:bCs/>
                <w:sz w:val="20"/>
                <w:szCs w:val="20"/>
              </w:rPr>
              <w:t xml:space="preserve">Code </w:t>
            </w:r>
          </w:p>
        </w:tc>
        <w:tc>
          <w:tcPr>
            <w:tcW w:w="9327" w:type="dxa"/>
            <w:shd w:val="clear" w:color="auto" w:fill="BFBFBF" w:themeFill="background1" w:themeFillShade="BF"/>
            <w:hideMark/>
          </w:tcPr>
          <w:p w14:paraId="3D5B2143" w14:textId="77777777" w:rsidR="00A74F06" w:rsidRPr="00A74F06" w:rsidRDefault="00A74F06" w:rsidP="00A74F06">
            <w:pPr>
              <w:jc w:val="center"/>
              <w:rPr>
                <w:rFonts w:eastAsia="Times New Roman" w:cs="Times New Roman"/>
                <w:b/>
                <w:bCs/>
                <w:sz w:val="20"/>
                <w:szCs w:val="20"/>
              </w:rPr>
            </w:pPr>
            <w:r w:rsidRPr="00A74F06">
              <w:rPr>
                <w:rFonts w:eastAsia="Times New Roman" w:cs="Times New Roman"/>
                <w:b/>
                <w:bCs/>
                <w:sz w:val="20"/>
                <w:szCs w:val="20"/>
              </w:rPr>
              <w:t>Exit/Withdraw Definition</w:t>
            </w:r>
          </w:p>
        </w:tc>
      </w:tr>
      <w:tr w:rsidR="00A74F06" w:rsidRPr="00A74F06" w14:paraId="2FCF0E5E" w14:textId="77777777" w:rsidTr="00C62EE3">
        <w:trPr>
          <w:trHeight w:val="1275"/>
        </w:trPr>
        <w:tc>
          <w:tcPr>
            <w:tcW w:w="1563" w:type="dxa"/>
            <w:hideMark/>
          </w:tcPr>
          <w:p w14:paraId="6CBEA104"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W016</w:t>
            </w:r>
          </w:p>
        </w:tc>
        <w:tc>
          <w:tcPr>
            <w:tcW w:w="9327" w:type="dxa"/>
            <w:hideMark/>
          </w:tcPr>
          <w:p w14:paraId="68340C77" w14:textId="77777777" w:rsidR="00A74F06" w:rsidRPr="00A74F06" w:rsidRDefault="00A74F06" w:rsidP="00A74F06">
            <w:pPr>
              <w:rPr>
                <w:rFonts w:eastAsia="Times New Roman" w:cs="Times New Roman"/>
                <w:sz w:val="20"/>
                <w:szCs w:val="20"/>
              </w:rPr>
            </w:pPr>
            <w:r>
              <w:rPr>
                <w:rFonts w:eastAsia="Times New Roman" w:cs="Times New Roman"/>
                <w:sz w:val="20"/>
                <w:szCs w:val="20"/>
              </w:rPr>
              <w:t>W</w:t>
            </w:r>
            <w:r w:rsidRPr="00A74F06">
              <w:rPr>
                <w:rFonts w:eastAsia="Times New Roman" w:cs="Times New Roman"/>
                <w:sz w:val="20"/>
                <w:szCs w:val="20"/>
              </w:rPr>
              <w:t>ithdraw to enter Individualized Student Alternative Education Program (ISAEP) - A student who withdraws from school and enrolls in a GED preparation program as a part of an ISAEP as defined in Code of Virginia &amp;sect; 22.1-254.D and Board of Education guidelines. A student in an ISAEP will maintain this</w:t>
            </w:r>
            <w:r>
              <w:rPr>
                <w:rFonts w:eastAsia="Times New Roman" w:cs="Times New Roman"/>
                <w:sz w:val="20"/>
                <w:szCs w:val="20"/>
              </w:rPr>
              <w:t xml:space="preserve"> </w:t>
            </w:r>
            <w:r w:rsidRPr="00A74F06">
              <w:rPr>
                <w:rFonts w:eastAsia="Times New Roman" w:cs="Times New Roman"/>
                <w:sz w:val="20"/>
                <w:szCs w:val="20"/>
              </w:rPr>
              <w:t>withdraw code until he or she exits the program. A student in an ISAEP shall be counted in the membership and average daily membership (ADM) of the local education agency. </w:t>
            </w:r>
          </w:p>
        </w:tc>
      </w:tr>
      <w:tr w:rsidR="00A74F06" w:rsidRPr="00A74F06" w14:paraId="0ED24BE0" w14:textId="77777777" w:rsidTr="00C62EE3">
        <w:trPr>
          <w:trHeight w:val="510"/>
        </w:trPr>
        <w:tc>
          <w:tcPr>
            <w:tcW w:w="1563" w:type="dxa"/>
            <w:hideMark/>
          </w:tcPr>
          <w:p w14:paraId="3566FD86"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W115</w:t>
            </w:r>
          </w:p>
        </w:tc>
        <w:tc>
          <w:tcPr>
            <w:tcW w:w="9327" w:type="dxa"/>
            <w:hideMark/>
          </w:tcPr>
          <w:p w14:paraId="4B18BB32"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another room in the same school - A student who transfers to another room within the same school.</w:t>
            </w:r>
          </w:p>
        </w:tc>
      </w:tr>
      <w:tr w:rsidR="00A74F06" w:rsidRPr="00A74F06" w14:paraId="4FF4C3CD" w14:textId="77777777" w:rsidTr="00C62EE3">
        <w:trPr>
          <w:trHeight w:val="765"/>
        </w:trPr>
        <w:tc>
          <w:tcPr>
            <w:tcW w:w="1563" w:type="dxa"/>
            <w:hideMark/>
          </w:tcPr>
          <w:p w14:paraId="34B59AA1"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W118</w:t>
            </w:r>
          </w:p>
        </w:tc>
        <w:tc>
          <w:tcPr>
            <w:tcW w:w="9327" w:type="dxa"/>
            <w:hideMark/>
          </w:tcPr>
          <w:p w14:paraId="35F9EC8E"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special education program from regular education program within the school - A student who transfers to a special education program within the same school from a regular education program during the school year.</w:t>
            </w:r>
          </w:p>
        </w:tc>
      </w:tr>
      <w:tr w:rsidR="00A74F06" w:rsidRPr="00A74F06" w14:paraId="67D69175" w14:textId="77777777" w:rsidTr="00C62EE3">
        <w:trPr>
          <w:trHeight w:val="765"/>
        </w:trPr>
        <w:tc>
          <w:tcPr>
            <w:tcW w:w="1563" w:type="dxa"/>
            <w:hideMark/>
          </w:tcPr>
          <w:p w14:paraId="7C085C7F"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W119</w:t>
            </w:r>
          </w:p>
        </w:tc>
        <w:tc>
          <w:tcPr>
            <w:tcW w:w="9327" w:type="dxa"/>
            <w:hideMark/>
          </w:tcPr>
          <w:p w14:paraId="67D169D9"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regular education program from special education program within the same school - A student who transfers during the school year to a regular education program from a special education program within the same school.</w:t>
            </w:r>
          </w:p>
        </w:tc>
      </w:tr>
      <w:tr w:rsidR="00A74F06" w:rsidRPr="00A74F06" w14:paraId="69D9D344" w14:textId="77777777" w:rsidTr="00C62EE3">
        <w:trPr>
          <w:trHeight w:val="510"/>
        </w:trPr>
        <w:tc>
          <w:tcPr>
            <w:tcW w:w="1563" w:type="dxa"/>
            <w:hideMark/>
          </w:tcPr>
          <w:p w14:paraId="2D97175D"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W201</w:t>
            </w:r>
          </w:p>
        </w:tc>
        <w:tc>
          <w:tcPr>
            <w:tcW w:w="9327" w:type="dxa"/>
            <w:hideMark/>
          </w:tcPr>
          <w:p w14:paraId="186806CE"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public school in the same local education agency - A student who transfers to a public school that is located within the administrative boundaries of the same local education agency.</w:t>
            </w:r>
          </w:p>
        </w:tc>
      </w:tr>
      <w:tr w:rsidR="00A74F06" w:rsidRPr="00A74F06" w14:paraId="0A07C077" w14:textId="77777777" w:rsidTr="00C62EE3">
        <w:trPr>
          <w:trHeight w:val="510"/>
        </w:trPr>
        <w:tc>
          <w:tcPr>
            <w:tcW w:w="1563" w:type="dxa"/>
            <w:hideMark/>
          </w:tcPr>
          <w:p w14:paraId="648ACE03"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W212</w:t>
            </w:r>
          </w:p>
        </w:tc>
        <w:tc>
          <w:tcPr>
            <w:tcW w:w="9327" w:type="dxa"/>
            <w:hideMark/>
          </w:tcPr>
          <w:p w14:paraId="3C0E4206"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charter school in the same local education agency - A student who transfers to a charter school, operated in accordance with state regulations, within the same local education agency.</w:t>
            </w:r>
          </w:p>
        </w:tc>
      </w:tr>
      <w:tr w:rsidR="00A74F06" w:rsidRPr="00A74F06" w14:paraId="3B69B723" w14:textId="77777777" w:rsidTr="00C62EE3">
        <w:trPr>
          <w:trHeight w:val="765"/>
        </w:trPr>
        <w:tc>
          <w:tcPr>
            <w:tcW w:w="1563" w:type="dxa"/>
            <w:hideMark/>
          </w:tcPr>
          <w:p w14:paraId="666F585D"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W214</w:t>
            </w:r>
          </w:p>
        </w:tc>
        <w:tc>
          <w:tcPr>
            <w:tcW w:w="9327" w:type="dxa"/>
            <w:hideMark/>
          </w:tcPr>
          <w:p w14:paraId="589DDE65"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Matriculation to another school within the same local education agency - A student who enters another school after successful completion and promotion from the highest instructional level of the current school to the next higher level.</w:t>
            </w:r>
          </w:p>
        </w:tc>
      </w:tr>
      <w:tr w:rsidR="00A74F06" w:rsidRPr="00A74F06" w14:paraId="6749D004" w14:textId="77777777" w:rsidTr="00C62EE3">
        <w:trPr>
          <w:trHeight w:val="510"/>
        </w:trPr>
        <w:tc>
          <w:tcPr>
            <w:tcW w:w="1563" w:type="dxa"/>
            <w:hideMark/>
          </w:tcPr>
          <w:p w14:paraId="61A38983"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W217</w:t>
            </w:r>
          </w:p>
        </w:tc>
        <w:tc>
          <w:tcPr>
            <w:tcW w:w="9327" w:type="dxa"/>
            <w:hideMark/>
          </w:tcPr>
          <w:p w14:paraId="59DF5196"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homebound instruction - A student who transfers to a period of homebound instruction provided by the local education agency.</w:t>
            </w:r>
          </w:p>
        </w:tc>
      </w:tr>
      <w:tr w:rsidR="00A74F06" w:rsidRPr="00A74F06" w14:paraId="5524D200" w14:textId="77777777" w:rsidTr="00C62EE3">
        <w:trPr>
          <w:trHeight w:val="765"/>
        </w:trPr>
        <w:tc>
          <w:tcPr>
            <w:tcW w:w="1563" w:type="dxa"/>
            <w:hideMark/>
          </w:tcPr>
          <w:p w14:paraId="15BE1235"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W218</w:t>
            </w:r>
          </w:p>
        </w:tc>
        <w:tc>
          <w:tcPr>
            <w:tcW w:w="9327" w:type="dxa"/>
            <w:hideMark/>
          </w:tcPr>
          <w:p w14:paraId="37CD2C2F"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special education program from regular education program that is located within the same local education agency - A student who transfers to a special education program that is located within the same local education agency.</w:t>
            </w:r>
          </w:p>
        </w:tc>
      </w:tr>
      <w:tr w:rsidR="00A74F06" w:rsidRPr="00A74F06" w14:paraId="182817D3" w14:textId="77777777" w:rsidTr="00C62EE3">
        <w:trPr>
          <w:trHeight w:val="765"/>
        </w:trPr>
        <w:tc>
          <w:tcPr>
            <w:tcW w:w="1563" w:type="dxa"/>
            <w:hideMark/>
          </w:tcPr>
          <w:p w14:paraId="00993C6B"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W219</w:t>
            </w:r>
          </w:p>
        </w:tc>
        <w:tc>
          <w:tcPr>
            <w:tcW w:w="9327" w:type="dxa"/>
            <w:hideMark/>
          </w:tcPr>
          <w:p w14:paraId="11AF965D"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regular education program from special education program that is located within the same local education agency - A student who transfers during the school year to a regular education program from a special education program within the same local education agency.</w:t>
            </w:r>
          </w:p>
        </w:tc>
      </w:tr>
      <w:tr w:rsidR="00A74F06" w:rsidRPr="00A74F06" w14:paraId="36D43E9E" w14:textId="77777777" w:rsidTr="00C62EE3">
        <w:trPr>
          <w:trHeight w:val="1020"/>
        </w:trPr>
        <w:tc>
          <w:tcPr>
            <w:tcW w:w="1563" w:type="dxa"/>
            <w:hideMark/>
          </w:tcPr>
          <w:p w14:paraId="5526B4CF"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W221</w:t>
            </w:r>
          </w:p>
        </w:tc>
        <w:tc>
          <w:tcPr>
            <w:tcW w:w="9327" w:type="dxa"/>
            <w:hideMark/>
          </w:tcPr>
          <w:p w14:paraId="48F33F67"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from an Individualized Student Alternative Education Program (ISAEP) to a regular education program in a school within the same local education agency - A student who discontinues involvement in an ISAEP and transfers to a regular education program in a school within the same local education agency.</w:t>
            </w:r>
          </w:p>
        </w:tc>
      </w:tr>
      <w:tr w:rsidR="00A74F06" w:rsidRPr="00A74F06" w14:paraId="65546A91" w14:textId="77777777" w:rsidTr="00C62EE3">
        <w:trPr>
          <w:trHeight w:val="510"/>
        </w:trPr>
        <w:tc>
          <w:tcPr>
            <w:tcW w:w="1563" w:type="dxa"/>
            <w:hideMark/>
          </w:tcPr>
          <w:p w14:paraId="0772F1F8"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W222</w:t>
            </w:r>
          </w:p>
        </w:tc>
        <w:tc>
          <w:tcPr>
            <w:tcW w:w="9327" w:type="dxa"/>
            <w:hideMark/>
          </w:tcPr>
          <w:p w14:paraId="5FB95DE8"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home-based instruction - A student who transfers to a period of home-based instruction provided by the local education agency.</w:t>
            </w:r>
          </w:p>
        </w:tc>
      </w:tr>
      <w:tr w:rsidR="00143F3C" w:rsidRPr="00A74F06" w14:paraId="4D379628" w14:textId="77777777" w:rsidTr="00C62EE3">
        <w:trPr>
          <w:trHeight w:val="510"/>
        </w:trPr>
        <w:tc>
          <w:tcPr>
            <w:tcW w:w="1563" w:type="dxa"/>
          </w:tcPr>
          <w:p w14:paraId="0C9F0B2A" w14:textId="3031E5E4" w:rsidR="00143F3C" w:rsidRPr="00A74F06" w:rsidRDefault="00143F3C" w:rsidP="00A74F06">
            <w:pPr>
              <w:jc w:val="center"/>
              <w:rPr>
                <w:rFonts w:eastAsia="Times New Roman" w:cs="Times New Roman"/>
                <w:sz w:val="20"/>
                <w:szCs w:val="20"/>
              </w:rPr>
            </w:pPr>
            <w:r>
              <w:rPr>
                <w:rFonts w:eastAsia="Times New Roman" w:cs="Times New Roman"/>
                <w:sz w:val="20"/>
                <w:szCs w:val="20"/>
              </w:rPr>
              <w:t>W223</w:t>
            </w:r>
          </w:p>
        </w:tc>
        <w:tc>
          <w:tcPr>
            <w:tcW w:w="9327" w:type="dxa"/>
          </w:tcPr>
          <w:p w14:paraId="4C7C0779" w14:textId="7B5ED1D4" w:rsidR="00143F3C" w:rsidRPr="00A74F06" w:rsidRDefault="00143F3C" w:rsidP="00A74F06">
            <w:pPr>
              <w:rPr>
                <w:rFonts w:eastAsia="Times New Roman" w:cs="Times New Roman"/>
                <w:sz w:val="20"/>
                <w:szCs w:val="20"/>
              </w:rPr>
            </w:pPr>
            <w:r>
              <w:rPr>
                <w:sz w:val="20"/>
              </w:rPr>
              <w:t>Transfer to Home-education instruction- a student who transfers to a period of Home-ed instruction provided by the local education agency.</w:t>
            </w:r>
          </w:p>
        </w:tc>
      </w:tr>
      <w:tr w:rsidR="00A74F06" w:rsidRPr="00A74F06" w14:paraId="4BA6E09B" w14:textId="77777777" w:rsidTr="00C62EE3">
        <w:trPr>
          <w:trHeight w:val="1020"/>
        </w:trPr>
        <w:tc>
          <w:tcPr>
            <w:tcW w:w="1563" w:type="dxa"/>
            <w:hideMark/>
          </w:tcPr>
          <w:p w14:paraId="72891BFB"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W304</w:t>
            </w:r>
          </w:p>
        </w:tc>
        <w:tc>
          <w:tcPr>
            <w:tcW w:w="9327" w:type="dxa"/>
            <w:hideMark/>
          </w:tcPr>
          <w:p w14:paraId="11036E30"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non-religiously-affiliated school in the same local education agency - A student who transfers to a private school (operated by a non-governmental, non-religious group or organization) that is located within the administrative boundaries of the same local education agency, including hospital teaching programs.</w:t>
            </w:r>
          </w:p>
        </w:tc>
      </w:tr>
      <w:tr w:rsidR="00A74F06" w:rsidRPr="00A74F06" w14:paraId="0CFC2196" w14:textId="77777777" w:rsidTr="00C62EE3">
        <w:trPr>
          <w:trHeight w:val="1020"/>
        </w:trPr>
        <w:tc>
          <w:tcPr>
            <w:tcW w:w="1563" w:type="dxa"/>
            <w:hideMark/>
          </w:tcPr>
          <w:p w14:paraId="5C038AD9"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W305</w:t>
            </w:r>
          </w:p>
        </w:tc>
        <w:tc>
          <w:tcPr>
            <w:tcW w:w="9327" w:type="dxa"/>
            <w:hideMark/>
          </w:tcPr>
          <w:p w14:paraId="0EF2A04B"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non-religiously-affiliated school in a different local education agency in the same state - A student who transfers to a private school (operated by a non-governmental, non-religious group or organization) that is not located within the administrative boundaries of the same local education agency but is in the same state, including hospital teaching programs.</w:t>
            </w:r>
          </w:p>
        </w:tc>
      </w:tr>
      <w:tr w:rsidR="00A74F06" w:rsidRPr="00A74F06" w14:paraId="5EB794D6" w14:textId="77777777" w:rsidTr="00C62EE3">
        <w:trPr>
          <w:trHeight w:val="765"/>
        </w:trPr>
        <w:tc>
          <w:tcPr>
            <w:tcW w:w="1563" w:type="dxa"/>
            <w:hideMark/>
          </w:tcPr>
          <w:p w14:paraId="3FA11DC8"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lastRenderedPageBreak/>
              <w:t>W306</w:t>
            </w:r>
          </w:p>
        </w:tc>
        <w:tc>
          <w:tcPr>
            <w:tcW w:w="9327" w:type="dxa"/>
            <w:hideMark/>
          </w:tcPr>
          <w:p w14:paraId="23005487"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non-religiously-affiliated school in a different state - A student who transfers to a private school (operated by a non-governmental, non-religious group or organization) that is located in another state, including hospital teaching programs.</w:t>
            </w:r>
          </w:p>
        </w:tc>
      </w:tr>
      <w:tr w:rsidR="00A74F06" w:rsidRPr="00A74F06" w14:paraId="0760DD12" w14:textId="77777777" w:rsidTr="00C62EE3">
        <w:trPr>
          <w:trHeight w:val="1020"/>
        </w:trPr>
        <w:tc>
          <w:tcPr>
            <w:tcW w:w="1563" w:type="dxa"/>
            <w:hideMark/>
          </w:tcPr>
          <w:p w14:paraId="43D5AEC2" w14:textId="77777777" w:rsidR="00A74F06" w:rsidRPr="00A74F06" w:rsidRDefault="00F549D8" w:rsidP="00A74F06">
            <w:pPr>
              <w:jc w:val="center"/>
              <w:rPr>
                <w:rFonts w:eastAsia="Times New Roman" w:cs="Times New Roman"/>
                <w:sz w:val="20"/>
                <w:szCs w:val="20"/>
              </w:rPr>
            </w:pPr>
            <w:r>
              <w:br w:type="page"/>
            </w:r>
            <w:r>
              <w:br w:type="page"/>
            </w:r>
            <w:r w:rsidR="00A74F06" w:rsidRPr="00A74F06">
              <w:rPr>
                <w:rFonts w:eastAsia="Times New Roman" w:cs="Times New Roman"/>
                <w:sz w:val="20"/>
                <w:szCs w:val="20"/>
              </w:rPr>
              <w:t>W307</w:t>
            </w:r>
          </w:p>
        </w:tc>
        <w:tc>
          <w:tcPr>
            <w:tcW w:w="9327" w:type="dxa"/>
            <w:hideMark/>
          </w:tcPr>
          <w:p w14:paraId="779E1A38"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religiously-affiliated school in the same local education agency - A student who transfers to a private school (affiliated with and operated by a non-governmental, religious group or organization) that is located within the administrative boundaries of the same local education agency, including hospital teaching programs.</w:t>
            </w:r>
          </w:p>
        </w:tc>
      </w:tr>
      <w:tr w:rsidR="00A74F06" w:rsidRPr="00A74F06" w14:paraId="038EE1C3" w14:textId="77777777" w:rsidTr="00C62EE3">
        <w:trPr>
          <w:trHeight w:val="1020"/>
        </w:trPr>
        <w:tc>
          <w:tcPr>
            <w:tcW w:w="1563" w:type="dxa"/>
            <w:hideMark/>
          </w:tcPr>
          <w:p w14:paraId="2A0D9F6E"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W308</w:t>
            </w:r>
          </w:p>
        </w:tc>
        <w:tc>
          <w:tcPr>
            <w:tcW w:w="9327" w:type="dxa"/>
            <w:hideMark/>
          </w:tcPr>
          <w:p w14:paraId="67AA1906"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religiously-affiliated school in a different local education agency in the same state - A student who transfers to a private school (affiliated with and operated by a non-governmental, religious group or organization) that is not located within the administrative boundaries of the same local education agency but is in the same state, including hospital teaching programs.</w:t>
            </w:r>
          </w:p>
        </w:tc>
      </w:tr>
      <w:tr w:rsidR="00A74F06" w:rsidRPr="00A74F06" w14:paraId="7E2F8F2A" w14:textId="77777777" w:rsidTr="00C62EE3">
        <w:trPr>
          <w:trHeight w:val="765"/>
        </w:trPr>
        <w:tc>
          <w:tcPr>
            <w:tcW w:w="1563" w:type="dxa"/>
            <w:hideMark/>
          </w:tcPr>
          <w:p w14:paraId="1B779C81"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W309</w:t>
            </w:r>
          </w:p>
        </w:tc>
        <w:tc>
          <w:tcPr>
            <w:tcW w:w="9327" w:type="dxa"/>
            <w:hideMark/>
          </w:tcPr>
          <w:p w14:paraId="56BBD036"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private, religiously-affiliated school in a different state - A student who transfers to a private school (affiliated with and operated by a non-governmental, religious group or organization) that is located in another state, including hospital teaching programs.</w:t>
            </w:r>
          </w:p>
        </w:tc>
      </w:tr>
      <w:tr w:rsidR="00A74F06" w:rsidRPr="00A74F06" w14:paraId="753D5FDC" w14:textId="77777777" w:rsidTr="00C62EE3">
        <w:trPr>
          <w:trHeight w:val="1275"/>
        </w:trPr>
        <w:tc>
          <w:tcPr>
            <w:tcW w:w="1563" w:type="dxa"/>
            <w:hideMark/>
          </w:tcPr>
          <w:p w14:paraId="01943F83"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W310</w:t>
            </w:r>
          </w:p>
        </w:tc>
        <w:tc>
          <w:tcPr>
            <w:tcW w:w="9327" w:type="dxa"/>
            <w:hideMark/>
          </w:tcPr>
          <w:p w14:paraId="2F5544CE"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school outside of the country - A student who transfers to a school outside the country that is not a United States overseas dependents school (includes private and public school systems). Students who leave the United States are not considered dropouts. Pursuant to 34 C.F.R. §200.19(b)(1)(ii)(B), a school must have written confirmation that a student has emigrated to another country, but need not obtain official written documentation.</w:t>
            </w:r>
          </w:p>
        </w:tc>
      </w:tr>
      <w:tr w:rsidR="00A80C61" w:rsidRPr="00A74F06" w14:paraId="3721BE54" w14:textId="77777777" w:rsidTr="00C62EE3">
        <w:trPr>
          <w:trHeight w:val="829"/>
        </w:trPr>
        <w:tc>
          <w:tcPr>
            <w:tcW w:w="1563" w:type="dxa"/>
          </w:tcPr>
          <w:p w14:paraId="4E937C23" w14:textId="77777777" w:rsidR="00A80C61" w:rsidRPr="00157C5A" w:rsidRDefault="00A80C61" w:rsidP="00A74F06">
            <w:pPr>
              <w:jc w:val="center"/>
              <w:rPr>
                <w:rFonts w:eastAsia="Times New Roman" w:cs="Times New Roman"/>
                <w:sz w:val="20"/>
                <w:szCs w:val="20"/>
              </w:rPr>
            </w:pPr>
            <w:r w:rsidRPr="00157C5A">
              <w:rPr>
                <w:rFonts w:eastAsia="Times New Roman" w:cs="Times New Roman"/>
                <w:sz w:val="20"/>
                <w:szCs w:val="20"/>
              </w:rPr>
              <w:t>W311</w:t>
            </w:r>
          </w:p>
        </w:tc>
        <w:tc>
          <w:tcPr>
            <w:tcW w:w="9327" w:type="dxa"/>
          </w:tcPr>
          <w:p w14:paraId="0B0E1AAB" w14:textId="77777777" w:rsidR="00A80C61" w:rsidRPr="00157C5A" w:rsidRDefault="00C62EE3" w:rsidP="00A74F06">
            <w:pPr>
              <w:rPr>
                <w:rFonts w:eastAsia="Times New Roman" w:cs="Times New Roman"/>
                <w:sz w:val="20"/>
                <w:szCs w:val="20"/>
              </w:rPr>
            </w:pPr>
            <w:r w:rsidRPr="00C62EE3">
              <w:rPr>
                <w:rFonts w:eastAsia="Times New Roman" w:cs="Times New Roman"/>
                <w:sz w:val="20"/>
                <w:szCs w:val="20"/>
              </w:rPr>
              <w:t>Leaves school under the authority of a US government agency – A student who leaves a Virginia Public School under the authority of a United States federal government agency. This code does not include students incarcerated in federal prison. It also does not pertain to students of military families who transfer into Department of Defense schools or who relocate due to a parent’s military duty.</w:t>
            </w:r>
          </w:p>
        </w:tc>
      </w:tr>
      <w:tr w:rsidR="00A74F06" w:rsidRPr="00A74F06" w14:paraId="15663BEC" w14:textId="77777777" w:rsidTr="00C62EE3">
        <w:trPr>
          <w:trHeight w:val="1020"/>
        </w:trPr>
        <w:tc>
          <w:tcPr>
            <w:tcW w:w="1563" w:type="dxa"/>
            <w:hideMark/>
          </w:tcPr>
          <w:p w14:paraId="248F7CCD"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W312</w:t>
            </w:r>
          </w:p>
        </w:tc>
        <w:tc>
          <w:tcPr>
            <w:tcW w:w="9327" w:type="dxa"/>
            <w:hideMark/>
          </w:tcPr>
          <w:p w14:paraId="2FB3879C"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charter school that is not located within the administrative boundaries of the same local education agency but is in the same state- A student who transfers to a charter school, operated in accordance with state regulations, that is not located within the administrative boundaries of the same local education agency but is in the same state.</w:t>
            </w:r>
          </w:p>
        </w:tc>
      </w:tr>
      <w:tr w:rsidR="00A74F06" w:rsidRPr="00A74F06" w14:paraId="704BD534" w14:textId="77777777" w:rsidTr="00C62EE3">
        <w:trPr>
          <w:trHeight w:val="510"/>
        </w:trPr>
        <w:tc>
          <w:tcPr>
            <w:tcW w:w="1563" w:type="dxa"/>
            <w:hideMark/>
          </w:tcPr>
          <w:p w14:paraId="0E1594D2"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W313</w:t>
            </w:r>
          </w:p>
        </w:tc>
        <w:tc>
          <w:tcPr>
            <w:tcW w:w="9327" w:type="dxa"/>
            <w:hideMark/>
          </w:tcPr>
          <w:p w14:paraId="6CFAE5B9"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home schooling - A student who transfers to a period of instruction in a home environment for reasons other than health.</w:t>
            </w:r>
          </w:p>
        </w:tc>
      </w:tr>
      <w:tr w:rsidR="00A74F06" w:rsidRPr="00A74F06" w14:paraId="51FC0E23" w14:textId="77777777" w:rsidTr="00C62EE3">
        <w:trPr>
          <w:trHeight w:val="765"/>
        </w:trPr>
        <w:tc>
          <w:tcPr>
            <w:tcW w:w="1563" w:type="dxa"/>
            <w:hideMark/>
          </w:tcPr>
          <w:p w14:paraId="283F146B"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W314</w:t>
            </w:r>
          </w:p>
        </w:tc>
        <w:tc>
          <w:tcPr>
            <w:tcW w:w="9327" w:type="dxa"/>
            <w:hideMark/>
          </w:tcPr>
          <w:p w14:paraId="16FF0F56" w14:textId="77777777" w:rsidR="00A74F06" w:rsidRPr="00A74F06" w:rsidRDefault="00A74F06" w:rsidP="00654833">
            <w:pPr>
              <w:rPr>
                <w:rFonts w:eastAsia="Times New Roman" w:cs="Times New Roman"/>
                <w:sz w:val="20"/>
                <w:szCs w:val="20"/>
              </w:rPr>
            </w:pPr>
            <w:r w:rsidRPr="00A74F06">
              <w:rPr>
                <w:rFonts w:eastAsia="Times New Roman" w:cs="Times New Roman"/>
                <w:sz w:val="20"/>
                <w:szCs w:val="20"/>
              </w:rPr>
              <w:t>Transfer to Job Corps/</w:t>
            </w:r>
            <w:r w:rsidR="00654833">
              <w:rPr>
                <w:rFonts w:eastAsia="Times New Roman" w:cs="Times New Roman"/>
                <w:sz w:val="20"/>
                <w:szCs w:val="20"/>
              </w:rPr>
              <w:t>Virginia Commonwealth Challenge Youth Academy</w:t>
            </w:r>
            <w:r w:rsidRPr="00A74F06">
              <w:rPr>
                <w:rFonts w:eastAsia="Times New Roman" w:cs="Times New Roman"/>
                <w:sz w:val="20"/>
                <w:szCs w:val="20"/>
              </w:rPr>
              <w:t xml:space="preserve"> - A student who withdraws to enter these public educational and vocational training programs and is not concurrently enrolled in a school in the local education agency.</w:t>
            </w:r>
          </w:p>
        </w:tc>
      </w:tr>
      <w:tr w:rsidR="00A74F06" w:rsidRPr="00A74F06" w14:paraId="3CEFA828" w14:textId="77777777" w:rsidTr="00C62EE3">
        <w:trPr>
          <w:trHeight w:val="1530"/>
        </w:trPr>
        <w:tc>
          <w:tcPr>
            <w:tcW w:w="1563" w:type="dxa"/>
            <w:hideMark/>
          </w:tcPr>
          <w:p w14:paraId="4DB741E3"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W321</w:t>
            </w:r>
          </w:p>
        </w:tc>
        <w:tc>
          <w:tcPr>
            <w:tcW w:w="9327" w:type="dxa"/>
            <w:hideMark/>
          </w:tcPr>
          <w:p w14:paraId="0A676DE5"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Transfer to a full-time, baccalaureate or associate's degree seeking program at an accredited postsecondary institution - A student, who is fully prepared for postsecondary education, transfers to an accredited postsecondary institution of higher education to enter into a full time program leading to a baccalaureate or associate's degree.  This code can only be used for the student who has left Virginia public schools without a credential and is enrolled full-time at an accredited postsecondary institution in a program of study that leads to a baccalaureate or an associate's degree.</w:t>
            </w:r>
          </w:p>
        </w:tc>
      </w:tr>
      <w:tr w:rsidR="00A74F06" w:rsidRPr="00A74F06" w14:paraId="7FB5C453" w14:textId="77777777" w:rsidTr="00C62EE3">
        <w:trPr>
          <w:trHeight w:val="465"/>
        </w:trPr>
        <w:tc>
          <w:tcPr>
            <w:tcW w:w="1563" w:type="dxa"/>
            <w:hideMark/>
          </w:tcPr>
          <w:p w14:paraId="5112E8B0"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W400</w:t>
            </w:r>
          </w:p>
        </w:tc>
        <w:tc>
          <w:tcPr>
            <w:tcW w:w="9327" w:type="dxa"/>
            <w:noWrap/>
            <w:hideMark/>
          </w:tcPr>
          <w:p w14:paraId="5D757FD4"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Summer withdrawal from the educational component of a state-operated program.</w:t>
            </w:r>
          </w:p>
        </w:tc>
      </w:tr>
      <w:tr w:rsidR="00A74F06" w:rsidRPr="00A74F06" w14:paraId="4C875384" w14:textId="77777777" w:rsidTr="00C62EE3">
        <w:trPr>
          <w:trHeight w:val="1050"/>
        </w:trPr>
        <w:tc>
          <w:tcPr>
            <w:tcW w:w="1563" w:type="dxa"/>
            <w:hideMark/>
          </w:tcPr>
          <w:p w14:paraId="7B399BF6" w14:textId="77777777" w:rsidR="00A74F06" w:rsidRPr="00A74F06" w:rsidRDefault="00A74F06" w:rsidP="00A74F06">
            <w:pPr>
              <w:jc w:val="center"/>
              <w:rPr>
                <w:rFonts w:eastAsia="Times New Roman" w:cs="Times New Roman"/>
                <w:color w:val="000000"/>
                <w:sz w:val="20"/>
                <w:szCs w:val="20"/>
              </w:rPr>
            </w:pPr>
            <w:r w:rsidRPr="00A74F06">
              <w:rPr>
                <w:rFonts w:eastAsia="Times New Roman" w:cs="Times New Roman"/>
                <w:color w:val="000000"/>
                <w:sz w:val="20"/>
                <w:szCs w:val="20"/>
              </w:rPr>
              <w:t>W402</w:t>
            </w:r>
          </w:p>
        </w:tc>
        <w:tc>
          <w:tcPr>
            <w:tcW w:w="9327" w:type="dxa"/>
            <w:hideMark/>
          </w:tcPr>
          <w:p w14:paraId="6C21174A" w14:textId="77777777" w:rsidR="00A74F06" w:rsidRPr="00A74F06" w:rsidRDefault="00A74F06" w:rsidP="007A1219">
            <w:pPr>
              <w:rPr>
                <w:rFonts w:eastAsia="Times New Roman" w:cs="Times New Roman"/>
                <w:color w:val="000000"/>
                <w:sz w:val="20"/>
                <w:szCs w:val="20"/>
              </w:rPr>
            </w:pPr>
            <w:r w:rsidRPr="00A74F06">
              <w:rPr>
                <w:rFonts w:eastAsia="Times New Roman" w:cs="Times New Roman"/>
                <w:color w:val="000000"/>
                <w:sz w:val="20"/>
                <w:szCs w:val="20"/>
              </w:rPr>
              <w:t xml:space="preserve">Transfer to a public school in a different local education agency in the same state - A student who transfers to a public school that is not located within the administrative boundaries of the same local education agency but is in the same state.  </w:t>
            </w:r>
            <w:r w:rsidRPr="00A74F06">
              <w:rPr>
                <w:rFonts w:eastAsia="Times New Roman" w:cs="Times New Roman"/>
                <w:b/>
                <w:bCs/>
                <w:i/>
                <w:iCs/>
                <w:color w:val="000000"/>
                <w:sz w:val="20"/>
                <w:szCs w:val="20"/>
              </w:rPr>
              <w:t>This</w:t>
            </w:r>
            <w:r w:rsidR="007A1219">
              <w:rPr>
                <w:rFonts w:eastAsia="Times New Roman" w:cs="Times New Roman"/>
                <w:bCs/>
                <w:i/>
                <w:iCs/>
                <w:color w:val="FF0000"/>
                <w:sz w:val="20"/>
                <w:szCs w:val="20"/>
              </w:rPr>
              <w:t xml:space="preserve"> </w:t>
            </w:r>
            <w:r w:rsidR="007A1219">
              <w:rPr>
                <w:rFonts w:eastAsia="Times New Roman" w:cs="Times New Roman"/>
                <w:b/>
                <w:bCs/>
                <w:i/>
                <w:iCs/>
                <w:color w:val="FF0000"/>
                <w:sz w:val="20"/>
                <w:szCs w:val="20"/>
              </w:rPr>
              <w:t>DOES NOT</w:t>
            </w:r>
            <w:r w:rsidRPr="00A74F06">
              <w:rPr>
                <w:rFonts w:eastAsia="Times New Roman" w:cs="Times New Roman"/>
                <w:b/>
                <w:bCs/>
                <w:i/>
                <w:iCs/>
                <w:color w:val="000000"/>
                <w:sz w:val="20"/>
                <w:szCs w:val="20"/>
              </w:rPr>
              <w:t xml:space="preserve"> include correctional institutions operated by the Department of Juvenile Justice (formerly Department of Correctional Education schools).</w:t>
            </w:r>
          </w:p>
        </w:tc>
      </w:tr>
      <w:tr w:rsidR="00A74F06" w:rsidRPr="00A74F06" w14:paraId="62BC3D57" w14:textId="77777777" w:rsidTr="00C62EE3">
        <w:trPr>
          <w:trHeight w:val="765"/>
        </w:trPr>
        <w:tc>
          <w:tcPr>
            <w:tcW w:w="1563" w:type="dxa"/>
            <w:hideMark/>
          </w:tcPr>
          <w:p w14:paraId="7E9BBC80" w14:textId="77777777" w:rsidR="00A74F06" w:rsidRPr="00A74F06" w:rsidRDefault="00A74F06" w:rsidP="00A74F06">
            <w:pPr>
              <w:jc w:val="center"/>
              <w:rPr>
                <w:rFonts w:eastAsia="Times New Roman" w:cs="Times New Roman"/>
                <w:color w:val="000000"/>
                <w:sz w:val="20"/>
                <w:szCs w:val="20"/>
              </w:rPr>
            </w:pPr>
            <w:r w:rsidRPr="00A74F06">
              <w:rPr>
                <w:rFonts w:eastAsia="Times New Roman" w:cs="Times New Roman"/>
                <w:color w:val="000000"/>
                <w:sz w:val="20"/>
                <w:szCs w:val="20"/>
              </w:rPr>
              <w:t>W411</w:t>
            </w:r>
          </w:p>
        </w:tc>
        <w:tc>
          <w:tcPr>
            <w:tcW w:w="9327" w:type="dxa"/>
            <w:hideMark/>
          </w:tcPr>
          <w:p w14:paraId="379B7AA1" w14:textId="77777777" w:rsidR="00A74F06" w:rsidRPr="00A74F06" w:rsidRDefault="00A74F06" w:rsidP="007A1219">
            <w:pPr>
              <w:rPr>
                <w:rFonts w:eastAsia="Times New Roman" w:cs="Times New Roman"/>
                <w:color w:val="000000"/>
                <w:sz w:val="20"/>
                <w:szCs w:val="20"/>
              </w:rPr>
            </w:pPr>
            <w:r w:rsidRPr="00A74F06">
              <w:rPr>
                <w:rFonts w:eastAsia="Times New Roman" w:cs="Times New Roman"/>
                <w:color w:val="000000"/>
                <w:sz w:val="20"/>
                <w:szCs w:val="20"/>
              </w:rPr>
              <w:t>Transfer to a state-operated</w:t>
            </w:r>
            <w:r w:rsidR="007A1219">
              <w:rPr>
                <w:rFonts w:eastAsia="Times New Roman" w:cs="Times New Roman"/>
                <w:color w:val="FF0000"/>
                <w:sz w:val="20"/>
                <w:szCs w:val="20"/>
              </w:rPr>
              <w:t xml:space="preserve"> juvenile detention center</w:t>
            </w:r>
            <w:r w:rsidRPr="00A74F06">
              <w:rPr>
                <w:rFonts w:eastAsia="Times New Roman" w:cs="Times New Roman"/>
                <w:color w:val="000000"/>
                <w:sz w:val="20"/>
                <w:szCs w:val="20"/>
              </w:rPr>
              <w:t xml:space="preserve"> institution - A student who transfers to a state-operated institution that has an educational program. This</w:t>
            </w:r>
            <w:r w:rsidR="007A1219">
              <w:rPr>
                <w:rFonts w:eastAsia="Times New Roman" w:cs="Times New Roman"/>
                <w:color w:val="FF0000"/>
                <w:sz w:val="20"/>
                <w:szCs w:val="20"/>
              </w:rPr>
              <w:t xml:space="preserve"> ONLY</w:t>
            </w:r>
            <w:r w:rsidRPr="00A74F06">
              <w:rPr>
                <w:rFonts w:eastAsia="Times New Roman" w:cs="Times New Roman"/>
                <w:color w:val="000000"/>
                <w:sz w:val="20"/>
                <w:szCs w:val="20"/>
              </w:rPr>
              <w:t xml:space="preserve"> includes </w:t>
            </w:r>
            <w:r w:rsidR="007A1219">
              <w:rPr>
                <w:rFonts w:eastAsia="Times New Roman" w:cs="Times New Roman"/>
                <w:color w:val="000000"/>
                <w:sz w:val="20"/>
                <w:szCs w:val="20"/>
              </w:rPr>
              <w:t xml:space="preserve">juvenile service agencies </w:t>
            </w:r>
            <w:r w:rsidRPr="00A74F06">
              <w:rPr>
                <w:rFonts w:eastAsia="Times New Roman" w:cs="Times New Roman"/>
                <w:color w:val="000000"/>
                <w:sz w:val="20"/>
                <w:szCs w:val="20"/>
              </w:rPr>
              <w:t>and detention facilities.</w:t>
            </w:r>
          </w:p>
        </w:tc>
      </w:tr>
      <w:tr w:rsidR="00970E4D" w:rsidRPr="00A74F06" w14:paraId="2519B0B0" w14:textId="77777777" w:rsidTr="00C62EE3">
        <w:trPr>
          <w:trHeight w:val="765"/>
        </w:trPr>
        <w:tc>
          <w:tcPr>
            <w:tcW w:w="1563" w:type="dxa"/>
          </w:tcPr>
          <w:p w14:paraId="6A8A1E0D" w14:textId="77777777" w:rsidR="00970E4D" w:rsidRPr="00A74F06" w:rsidRDefault="00970E4D" w:rsidP="00A74F06">
            <w:pPr>
              <w:jc w:val="center"/>
              <w:rPr>
                <w:rFonts w:eastAsia="Times New Roman" w:cs="Times New Roman"/>
                <w:color w:val="000000"/>
                <w:sz w:val="20"/>
                <w:szCs w:val="20"/>
              </w:rPr>
            </w:pPr>
            <w:r>
              <w:rPr>
                <w:rFonts w:eastAsia="Times New Roman" w:cs="Times New Roman"/>
                <w:color w:val="000000"/>
                <w:sz w:val="20"/>
                <w:szCs w:val="20"/>
              </w:rPr>
              <w:t>W412</w:t>
            </w:r>
          </w:p>
        </w:tc>
        <w:tc>
          <w:tcPr>
            <w:tcW w:w="9327" w:type="dxa"/>
          </w:tcPr>
          <w:p w14:paraId="4FAFC4B2" w14:textId="77777777" w:rsidR="00970E4D" w:rsidRPr="00A74F06" w:rsidRDefault="00970E4D" w:rsidP="00A74F06">
            <w:pPr>
              <w:rPr>
                <w:rFonts w:eastAsia="Times New Roman" w:cs="Times New Roman"/>
                <w:color w:val="000000"/>
                <w:sz w:val="20"/>
                <w:szCs w:val="20"/>
              </w:rPr>
            </w:pPr>
            <w:r w:rsidRPr="00970E4D">
              <w:rPr>
                <w:rFonts w:eastAsia="Times New Roman" w:cs="Times New Roman"/>
                <w:color w:val="000000"/>
                <w:sz w:val="20"/>
                <w:szCs w:val="20"/>
              </w:rPr>
              <w:t xml:space="preserve">Transfer from a State Operated (SOP’s) educational program to the same or different SOP with an educational program and are referred as Community Placement Program, </w:t>
            </w:r>
            <w:r w:rsidR="00D02070" w:rsidRPr="00317D38">
              <w:rPr>
                <w:rFonts w:eastAsia="Times New Roman" w:cs="Times New Roman"/>
                <w:sz w:val="20"/>
                <w:szCs w:val="20"/>
              </w:rPr>
              <w:t xml:space="preserve">Central </w:t>
            </w:r>
            <w:r w:rsidR="00D02070">
              <w:rPr>
                <w:rFonts w:eastAsia="Times New Roman" w:cs="Times New Roman"/>
                <w:sz w:val="20"/>
                <w:szCs w:val="20"/>
              </w:rPr>
              <w:t>Admission and Placement</w:t>
            </w:r>
            <w:r w:rsidRPr="00970E4D">
              <w:rPr>
                <w:rFonts w:eastAsia="Times New Roman" w:cs="Times New Roman"/>
                <w:color w:val="000000"/>
                <w:sz w:val="20"/>
                <w:szCs w:val="20"/>
              </w:rPr>
              <w:t xml:space="preserve"> (CAP) and Re-Entry. </w:t>
            </w:r>
            <w:r w:rsidRPr="00970E4D">
              <w:rPr>
                <w:rFonts w:eastAsia="Times New Roman" w:cs="Times New Roman"/>
                <w:b/>
                <w:i/>
                <w:color w:val="FF0000"/>
                <w:sz w:val="20"/>
                <w:szCs w:val="20"/>
              </w:rPr>
              <w:t>For State Operated Programs use only</w:t>
            </w:r>
          </w:p>
        </w:tc>
      </w:tr>
      <w:tr w:rsidR="007A1219" w:rsidRPr="00A74F06" w14:paraId="3DA89D8F" w14:textId="77777777" w:rsidTr="00C62EE3">
        <w:trPr>
          <w:trHeight w:val="585"/>
        </w:trPr>
        <w:tc>
          <w:tcPr>
            <w:tcW w:w="1563" w:type="dxa"/>
          </w:tcPr>
          <w:p w14:paraId="659C297A" w14:textId="77777777" w:rsidR="007A1219" w:rsidRPr="00A74F06" w:rsidRDefault="007A1219" w:rsidP="00A74F06">
            <w:pPr>
              <w:jc w:val="center"/>
              <w:rPr>
                <w:rFonts w:eastAsia="Times New Roman" w:cs="Times New Roman"/>
                <w:sz w:val="20"/>
                <w:szCs w:val="20"/>
              </w:rPr>
            </w:pPr>
            <w:r w:rsidRPr="007A1219">
              <w:rPr>
                <w:rFonts w:eastAsia="Times New Roman" w:cs="Times New Roman"/>
                <w:color w:val="FF0000"/>
                <w:sz w:val="20"/>
                <w:szCs w:val="20"/>
              </w:rPr>
              <w:lastRenderedPageBreak/>
              <w:t>W415</w:t>
            </w:r>
          </w:p>
        </w:tc>
        <w:tc>
          <w:tcPr>
            <w:tcW w:w="9327" w:type="dxa"/>
          </w:tcPr>
          <w:p w14:paraId="32F0097C" w14:textId="77777777" w:rsidR="007A1219" w:rsidRPr="007A1219" w:rsidRDefault="007A1219" w:rsidP="007A1219">
            <w:pPr>
              <w:rPr>
                <w:rFonts w:eastAsia="Times New Roman" w:cs="Times New Roman"/>
                <w:sz w:val="20"/>
                <w:szCs w:val="20"/>
              </w:rPr>
            </w:pPr>
            <w:r>
              <w:rPr>
                <w:rFonts w:ascii="Calibri" w:hAnsi="Calibri" w:cs="Calibri"/>
                <w:color w:val="FF0000"/>
                <w:sz w:val="20"/>
                <w:szCs w:val="20"/>
              </w:rPr>
              <w:t xml:space="preserve">Transfer to a state-operated hospital institution - A student who transfers to a state-operated institution that has an educational program. This ONLY includes </w:t>
            </w:r>
            <w:r w:rsidR="00206361">
              <w:rPr>
                <w:rFonts w:ascii="Calibri" w:hAnsi="Calibri" w:cs="Calibri"/>
                <w:color w:val="FF0000"/>
                <w:sz w:val="20"/>
                <w:szCs w:val="20"/>
              </w:rPr>
              <w:t xml:space="preserve">hospital education programs, </w:t>
            </w:r>
            <w:r>
              <w:rPr>
                <w:rFonts w:ascii="Calibri" w:hAnsi="Calibri" w:cs="Calibri"/>
                <w:color w:val="FF0000"/>
                <w:sz w:val="20"/>
                <w:szCs w:val="20"/>
              </w:rPr>
              <w:t>mental health institutions and care shelters.</w:t>
            </w:r>
          </w:p>
        </w:tc>
      </w:tr>
      <w:tr w:rsidR="007A1219" w:rsidRPr="00A74F06" w14:paraId="6845BA9B" w14:textId="77777777" w:rsidTr="00C62EE3">
        <w:trPr>
          <w:trHeight w:val="585"/>
        </w:trPr>
        <w:tc>
          <w:tcPr>
            <w:tcW w:w="1563" w:type="dxa"/>
          </w:tcPr>
          <w:p w14:paraId="08B143AE" w14:textId="77777777" w:rsidR="007A1219" w:rsidRPr="007A1219" w:rsidRDefault="007A1219" w:rsidP="00A74F06">
            <w:pPr>
              <w:jc w:val="center"/>
              <w:rPr>
                <w:rFonts w:eastAsia="Times New Roman" w:cs="Times New Roman"/>
                <w:color w:val="FF0000"/>
                <w:sz w:val="20"/>
                <w:szCs w:val="20"/>
              </w:rPr>
            </w:pPr>
            <w:r>
              <w:rPr>
                <w:rFonts w:eastAsia="Times New Roman" w:cs="Times New Roman"/>
                <w:color w:val="FF0000"/>
                <w:sz w:val="20"/>
                <w:szCs w:val="20"/>
              </w:rPr>
              <w:t>W423</w:t>
            </w:r>
          </w:p>
        </w:tc>
        <w:tc>
          <w:tcPr>
            <w:tcW w:w="9327" w:type="dxa"/>
          </w:tcPr>
          <w:p w14:paraId="137E1DB1" w14:textId="77777777" w:rsidR="007A1219" w:rsidRDefault="007A1219" w:rsidP="00412430">
            <w:pPr>
              <w:rPr>
                <w:rFonts w:ascii="Calibri" w:hAnsi="Calibri" w:cs="Calibri"/>
                <w:color w:val="FF0000"/>
                <w:sz w:val="20"/>
                <w:szCs w:val="20"/>
              </w:rPr>
            </w:pPr>
            <w:r>
              <w:rPr>
                <w:rFonts w:ascii="Calibri" w:hAnsi="Calibri" w:cs="Calibri"/>
                <w:color w:val="FF0000"/>
                <w:sz w:val="20"/>
                <w:szCs w:val="20"/>
              </w:rPr>
              <w:t xml:space="preserve">Transfer </w:t>
            </w:r>
            <w:r w:rsidR="00412430">
              <w:rPr>
                <w:rFonts w:ascii="Calibri" w:hAnsi="Calibri" w:cs="Calibri"/>
                <w:color w:val="FF0000"/>
                <w:sz w:val="20"/>
                <w:szCs w:val="20"/>
              </w:rPr>
              <w:t>in</w:t>
            </w:r>
            <w:r>
              <w:rPr>
                <w:rFonts w:ascii="Calibri" w:hAnsi="Calibri" w:cs="Calibri"/>
                <w:color w:val="FF0000"/>
                <w:sz w:val="20"/>
                <w:szCs w:val="20"/>
              </w:rPr>
              <w:t>to an institution operated by the Department of Juvenile Justice</w:t>
            </w:r>
          </w:p>
        </w:tc>
      </w:tr>
      <w:tr w:rsidR="00A74F06" w:rsidRPr="00A74F06" w14:paraId="563C5B62" w14:textId="77777777" w:rsidTr="00C62EE3">
        <w:trPr>
          <w:trHeight w:val="585"/>
        </w:trPr>
        <w:tc>
          <w:tcPr>
            <w:tcW w:w="1563" w:type="dxa"/>
            <w:hideMark/>
          </w:tcPr>
          <w:p w14:paraId="5614CC0F"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W503</w:t>
            </w:r>
          </w:p>
        </w:tc>
        <w:tc>
          <w:tcPr>
            <w:tcW w:w="9327" w:type="dxa"/>
            <w:hideMark/>
          </w:tcPr>
          <w:p w14:paraId="76E55009"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 xml:space="preserve">Transfer to a public school in a different state - A student who transfers to a public school that is located in another state, to a United States overseas dependents school, </w:t>
            </w:r>
            <w:r w:rsidRPr="00A74F06">
              <w:rPr>
                <w:rFonts w:eastAsia="Times New Roman" w:cs="Times New Roman"/>
                <w:b/>
                <w:bCs/>
                <w:sz w:val="20"/>
                <w:szCs w:val="20"/>
              </w:rPr>
              <w:t>or to a Department of Defense (DOD) school</w:t>
            </w:r>
            <w:r w:rsidRPr="00A74F06">
              <w:rPr>
                <w:rFonts w:eastAsia="Times New Roman" w:cs="Times New Roman"/>
                <w:sz w:val="20"/>
                <w:szCs w:val="20"/>
              </w:rPr>
              <w:t>.</w:t>
            </w:r>
          </w:p>
        </w:tc>
      </w:tr>
      <w:tr w:rsidR="00A74F06" w:rsidRPr="00A74F06" w14:paraId="54B856BC" w14:textId="77777777" w:rsidTr="00C62EE3">
        <w:trPr>
          <w:trHeight w:val="510"/>
        </w:trPr>
        <w:tc>
          <w:tcPr>
            <w:tcW w:w="1563" w:type="dxa"/>
            <w:hideMark/>
          </w:tcPr>
          <w:p w14:paraId="648AB104"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W650</w:t>
            </w:r>
          </w:p>
        </w:tc>
        <w:tc>
          <w:tcPr>
            <w:tcW w:w="9327" w:type="dxa"/>
            <w:hideMark/>
          </w:tcPr>
          <w:p w14:paraId="37B5CE4E"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Death - A student whose membership is terminated because he or she died during or between regular school sessions.</w:t>
            </w:r>
          </w:p>
        </w:tc>
      </w:tr>
      <w:tr w:rsidR="00A74F06" w:rsidRPr="00A74F06" w14:paraId="4A71CAEE" w14:textId="77777777" w:rsidTr="00C62EE3">
        <w:trPr>
          <w:trHeight w:val="765"/>
        </w:trPr>
        <w:tc>
          <w:tcPr>
            <w:tcW w:w="1563" w:type="dxa"/>
            <w:hideMark/>
          </w:tcPr>
          <w:p w14:paraId="3EE44051" w14:textId="77777777" w:rsidR="00A74F06" w:rsidRPr="00A74F06" w:rsidRDefault="00A74F06" w:rsidP="00A74F06">
            <w:pPr>
              <w:jc w:val="center"/>
              <w:rPr>
                <w:rFonts w:eastAsia="Times New Roman" w:cs="Times New Roman"/>
                <w:sz w:val="20"/>
                <w:szCs w:val="20"/>
              </w:rPr>
            </w:pPr>
            <w:r w:rsidRPr="00A74F06">
              <w:rPr>
                <w:rFonts w:eastAsia="Times New Roman" w:cs="Times New Roman"/>
                <w:sz w:val="20"/>
                <w:szCs w:val="20"/>
              </w:rPr>
              <w:t>W730</w:t>
            </w:r>
          </w:p>
        </w:tc>
        <w:tc>
          <w:tcPr>
            <w:tcW w:w="9327" w:type="dxa"/>
            <w:hideMark/>
          </w:tcPr>
          <w:p w14:paraId="55842AFB" w14:textId="77777777" w:rsidR="00A74F06" w:rsidRPr="00A74F06" w:rsidRDefault="00A74F06" w:rsidP="00A74F06">
            <w:pPr>
              <w:rPr>
                <w:rFonts w:eastAsia="Times New Roman" w:cs="Times New Roman"/>
                <w:sz w:val="20"/>
                <w:szCs w:val="20"/>
              </w:rPr>
            </w:pPr>
            <w:r w:rsidRPr="00A74F06">
              <w:rPr>
                <w:rFonts w:eastAsia="Times New Roman" w:cs="Times New Roman"/>
                <w:sz w:val="20"/>
                <w:szCs w:val="20"/>
              </w:rPr>
              <w:t>Graduated with diploma - A student who has received a standard, advanced studies, International Baccalaureate or other type of diploma upon completion of state and local requirements for both coursework and assessment.</w:t>
            </w:r>
          </w:p>
        </w:tc>
      </w:tr>
      <w:tr w:rsidR="00157C5A" w:rsidRPr="00A74F06" w14:paraId="7F23692D" w14:textId="77777777" w:rsidTr="00C62EE3">
        <w:trPr>
          <w:trHeight w:val="765"/>
        </w:trPr>
        <w:tc>
          <w:tcPr>
            <w:tcW w:w="1563" w:type="dxa"/>
          </w:tcPr>
          <w:p w14:paraId="0A82EDF2" w14:textId="77777777" w:rsidR="00157C5A" w:rsidRPr="00A74F06" w:rsidRDefault="00157C5A" w:rsidP="004144CE">
            <w:pPr>
              <w:jc w:val="center"/>
              <w:rPr>
                <w:rFonts w:eastAsia="Times New Roman" w:cs="Times New Roman"/>
                <w:sz w:val="20"/>
                <w:szCs w:val="20"/>
              </w:rPr>
            </w:pPr>
            <w:r w:rsidRPr="00A74F06">
              <w:rPr>
                <w:rFonts w:eastAsia="Times New Roman" w:cs="Times New Roman"/>
                <w:sz w:val="20"/>
                <w:szCs w:val="20"/>
              </w:rPr>
              <w:t>W731</w:t>
            </w:r>
          </w:p>
        </w:tc>
        <w:tc>
          <w:tcPr>
            <w:tcW w:w="9327" w:type="dxa"/>
          </w:tcPr>
          <w:p w14:paraId="5BEF1C74" w14:textId="77777777" w:rsidR="00157C5A" w:rsidRPr="00A74F06" w:rsidRDefault="00157C5A" w:rsidP="004144CE">
            <w:pPr>
              <w:rPr>
                <w:rFonts w:eastAsia="Times New Roman" w:cs="Times New Roman"/>
                <w:sz w:val="20"/>
                <w:szCs w:val="20"/>
              </w:rPr>
            </w:pPr>
            <w:r w:rsidRPr="00A74F06">
              <w:rPr>
                <w:rFonts w:eastAsia="Times New Roman" w:cs="Times New Roman"/>
                <w:sz w:val="20"/>
                <w:szCs w:val="20"/>
              </w:rPr>
              <w:t>Completed school with other credentials - A student who has received a GED, certificate of completion, or other credential in lieu of a high school diploma.</w:t>
            </w:r>
          </w:p>
        </w:tc>
      </w:tr>
      <w:tr w:rsidR="00157C5A" w:rsidRPr="00A74F06" w14:paraId="768C794C" w14:textId="77777777" w:rsidTr="00C62EE3">
        <w:trPr>
          <w:trHeight w:val="765"/>
        </w:trPr>
        <w:tc>
          <w:tcPr>
            <w:tcW w:w="1563" w:type="dxa"/>
            <w:hideMark/>
          </w:tcPr>
          <w:p w14:paraId="0C86D7CA" w14:textId="77777777" w:rsidR="00157C5A" w:rsidRPr="00970E4D" w:rsidRDefault="00157C5A" w:rsidP="00A74F06">
            <w:pPr>
              <w:jc w:val="center"/>
              <w:rPr>
                <w:rFonts w:eastAsia="Times New Roman" w:cs="Times New Roman"/>
                <w:bCs/>
                <w:sz w:val="20"/>
                <w:szCs w:val="20"/>
              </w:rPr>
            </w:pPr>
          </w:p>
          <w:p w14:paraId="2C111E5A" w14:textId="77777777" w:rsidR="00157C5A" w:rsidRPr="00970E4D" w:rsidRDefault="00157C5A" w:rsidP="00A74F06">
            <w:pPr>
              <w:jc w:val="center"/>
              <w:rPr>
                <w:rFonts w:eastAsia="Times New Roman" w:cs="Times New Roman"/>
                <w:bCs/>
                <w:sz w:val="20"/>
                <w:szCs w:val="20"/>
              </w:rPr>
            </w:pPr>
            <w:r w:rsidRPr="00970E4D">
              <w:rPr>
                <w:rFonts w:eastAsia="Times New Roman" w:cs="Times New Roman"/>
                <w:bCs/>
                <w:sz w:val="20"/>
                <w:szCs w:val="20"/>
              </w:rPr>
              <w:t>W732</w:t>
            </w:r>
          </w:p>
        </w:tc>
        <w:tc>
          <w:tcPr>
            <w:tcW w:w="9327" w:type="dxa"/>
            <w:hideMark/>
          </w:tcPr>
          <w:p w14:paraId="27C61E7D" w14:textId="77777777" w:rsidR="00157C5A" w:rsidRPr="00970E4D" w:rsidRDefault="00157C5A" w:rsidP="00A74F06">
            <w:pPr>
              <w:rPr>
                <w:rFonts w:eastAsia="Times New Roman" w:cs="Times New Roman"/>
                <w:bCs/>
                <w:sz w:val="20"/>
                <w:szCs w:val="20"/>
              </w:rPr>
            </w:pPr>
            <w:r w:rsidRPr="00970E4D">
              <w:rPr>
                <w:rFonts w:eastAsia="Times New Roman" w:cs="Times New Roman"/>
                <w:bCs/>
                <w:sz w:val="20"/>
                <w:szCs w:val="20"/>
              </w:rPr>
              <w:t>Leaves school after earning a non-terminal diploma or certificate of completion in a previous school year – A student with an IEP who returns for eligible services after completing high sch</w:t>
            </w:r>
            <w:r w:rsidR="00970E4D">
              <w:rPr>
                <w:rFonts w:eastAsia="Times New Roman" w:cs="Times New Roman"/>
                <w:bCs/>
                <w:sz w:val="20"/>
                <w:szCs w:val="20"/>
              </w:rPr>
              <w:t>ool in a previous school year.</w:t>
            </w:r>
          </w:p>
        </w:tc>
      </w:tr>
      <w:tr w:rsidR="00157C5A" w:rsidRPr="00A74F06" w14:paraId="27357E94" w14:textId="77777777" w:rsidTr="00C62EE3">
        <w:trPr>
          <w:trHeight w:val="765"/>
        </w:trPr>
        <w:tc>
          <w:tcPr>
            <w:tcW w:w="1563" w:type="dxa"/>
            <w:hideMark/>
          </w:tcPr>
          <w:p w14:paraId="06165B4A" w14:textId="77777777" w:rsidR="00157C5A" w:rsidRPr="00A74F06" w:rsidRDefault="00157C5A" w:rsidP="00A74F06">
            <w:pPr>
              <w:jc w:val="center"/>
              <w:rPr>
                <w:rFonts w:eastAsia="Times New Roman" w:cs="Times New Roman"/>
                <w:sz w:val="20"/>
                <w:szCs w:val="20"/>
              </w:rPr>
            </w:pPr>
            <w:r w:rsidRPr="00F549D8">
              <w:rPr>
                <w:sz w:val="20"/>
                <w:szCs w:val="20"/>
              </w:rPr>
              <w:br w:type="page"/>
            </w:r>
            <w:r w:rsidRPr="00A74F06">
              <w:rPr>
                <w:rFonts w:eastAsia="Times New Roman" w:cs="Times New Roman"/>
                <w:sz w:val="20"/>
                <w:szCs w:val="20"/>
              </w:rPr>
              <w:t>W870</w:t>
            </w:r>
          </w:p>
        </w:tc>
        <w:tc>
          <w:tcPr>
            <w:tcW w:w="9327" w:type="dxa"/>
            <w:hideMark/>
          </w:tcPr>
          <w:p w14:paraId="22B8D0F8" w14:textId="77777777" w:rsidR="00157C5A" w:rsidRPr="00A74F06" w:rsidRDefault="00C62EE3" w:rsidP="00970E4D">
            <w:pPr>
              <w:rPr>
                <w:rFonts w:eastAsia="Times New Roman" w:cs="Times New Roman"/>
                <w:sz w:val="20"/>
                <w:szCs w:val="20"/>
              </w:rPr>
            </w:pPr>
            <w:r w:rsidRPr="00C62EE3">
              <w:rPr>
                <w:rFonts w:eastAsia="Times New Roman" w:cs="Times New Roman"/>
                <w:sz w:val="20"/>
                <w:szCs w:val="20"/>
              </w:rPr>
              <w:t>Discontinued schooling - A student who stops attending school because of incarceration, who is sentenced to serve time in a local, regional, or adult jail (regardless of the state or country of imprisonment) or federal prison. Do not use this code for youth adjudicated in state operated programs.</w:t>
            </w:r>
          </w:p>
        </w:tc>
      </w:tr>
      <w:tr w:rsidR="00157C5A" w:rsidRPr="00A74F06" w14:paraId="6BD38D7A" w14:textId="77777777" w:rsidTr="00C62EE3">
        <w:trPr>
          <w:trHeight w:val="510"/>
        </w:trPr>
        <w:tc>
          <w:tcPr>
            <w:tcW w:w="1563" w:type="dxa"/>
            <w:hideMark/>
          </w:tcPr>
          <w:p w14:paraId="4A45CE5B" w14:textId="77777777" w:rsidR="00157C5A" w:rsidRPr="00A74F06" w:rsidRDefault="00157C5A" w:rsidP="00A74F06">
            <w:pPr>
              <w:jc w:val="center"/>
              <w:rPr>
                <w:rFonts w:eastAsia="Times New Roman" w:cs="Times New Roman"/>
                <w:sz w:val="20"/>
                <w:szCs w:val="20"/>
              </w:rPr>
            </w:pPr>
            <w:r w:rsidRPr="00A74F06">
              <w:rPr>
                <w:rFonts w:eastAsia="Times New Roman" w:cs="Times New Roman"/>
                <w:sz w:val="20"/>
                <w:szCs w:val="20"/>
              </w:rPr>
              <w:t>W880</w:t>
            </w:r>
          </w:p>
        </w:tc>
        <w:tc>
          <w:tcPr>
            <w:tcW w:w="9327" w:type="dxa"/>
            <w:hideMark/>
          </w:tcPr>
          <w:p w14:paraId="730A43AF" w14:textId="77777777" w:rsidR="00157C5A" w:rsidRPr="00A74F06" w:rsidRDefault="00157C5A" w:rsidP="00A74F06">
            <w:pPr>
              <w:rPr>
                <w:rFonts w:eastAsia="Times New Roman" w:cs="Times New Roman"/>
                <w:sz w:val="20"/>
                <w:szCs w:val="20"/>
              </w:rPr>
            </w:pPr>
            <w:r w:rsidRPr="00A74F06">
              <w:rPr>
                <w:rFonts w:eastAsia="Times New Roman" w:cs="Times New Roman"/>
                <w:sz w:val="20"/>
                <w:szCs w:val="20"/>
              </w:rPr>
              <w:t>Discontinued schooling - A student who stops attending school.  For students in K-12, this is considered to constitute "dropping out."</w:t>
            </w:r>
          </w:p>
        </w:tc>
      </w:tr>
      <w:tr w:rsidR="00157C5A" w:rsidRPr="00A74F06" w14:paraId="3F9B0854" w14:textId="77777777" w:rsidTr="00C62EE3">
        <w:trPr>
          <w:trHeight w:val="765"/>
        </w:trPr>
        <w:tc>
          <w:tcPr>
            <w:tcW w:w="1563" w:type="dxa"/>
            <w:hideMark/>
          </w:tcPr>
          <w:p w14:paraId="2DE779BB" w14:textId="77777777" w:rsidR="00157C5A" w:rsidRPr="00A74F06" w:rsidRDefault="00157C5A" w:rsidP="00A74F06">
            <w:pPr>
              <w:jc w:val="center"/>
              <w:rPr>
                <w:rFonts w:eastAsia="Times New Roman" w:cs="Times New Roman"/>
                <w:sz w:val="20"/>
                <w:szCs w:val="20"/>
              </w:rPr>
            </w:pPr>
            <w:r w:rsidRPr="00A74F06">
              <w:rPr>
                <w:rFonts w:eastAsia="Times New Roman" w:cs="Times New Roman"/>
                <w:sz w:val="20"/>
                <w:szCs w:val="20"/>
              </w:rPr>
              <w:t>W960</w:t>
            </w:r>
          </w:p>
        </w:tc>
        <w:tc>
          <w:tcPr>
            <w:tcW w:w="9327" w:type="dxa"/>
            <w:hideMark/>
          </w:tcPr>
          <w:p w14:paraId="2435D0E1" w14:textId="77777777" w:rsidR="00157C5A" w:rsidRPr="00A74F06" w:rsidRDefault="00157C5A" w:rsidP="00A74F06">
            <w:pPr>
              <w:rPr>
                <w:rFonts w:eastAsia="Times New Roman" w:cs="Times New Roman"/>
                <w:sz w:val="20"/>
                <w:szCs w:val="20"/>
              </w:rPr>
            </w:pPr>
            <w:r w:rsidRPr="00A74F06">
              <w:rPr>
                <w:rFonts w:eastAsia="Times New Roman" w:cs="Times New Roman"/>
                <w:sz w:val="20"/>
                <w:szCs w:val="20"/>
              </w:rPr>
              <w:t>Withdrawn after being absent fifteen (15) consecutive days for extended illness - A student who left school for an indefinite period of time because of a physical, extended illness and is expected to return to school.</w:t>
            </w:r>
          </w:p>
        </w:tc>
      </w:tr>
      <w:tr w:rsidR="00157C5A" w:rsidRPr="00A74F06" w14:paraId="0BF6EF29" w14:textId="77777777" w:rsidTr="00C62EE3">
        <w:trPr>
          <w:trHeight w:val="510"/>
        </w:trPr>
        <w:tc>
          <w:tcPr>
            <w:tcW w:w="1563" w:type="dxa"/>
            <w:hideMark/>
          </w:tcPr>
          <w:p w14:paraId="399B4805" w14:textId="77777777" w:rsidR="00157C5A" w:rsidRPr="00A74F06" w:rsidRDefault="00157C5A" w:rsidP="00A74F06">
            <w:pPr>
              <w:jc w:val="center"/>
              <w:rPr>
                <w:rFonts w:eastAsia="Times New Roman" w:cs="Times New Roman"/>
                <w:sz w:val="20"/>
                <w:szCs w:val="20"/>
              </w:rPr>
            </w:pPr>
            <w:r w:rsidRPr="00A74F06">
              <w:rPr>
                <w:rFonts w:eastAsia="Times New Roman" w:cs="Times New Roman"/>
                <w:sz w:val="20"/>
                <w:szCs w:val="20"/>
              </w:rPr>
              <w:t>W961</w:t>
            </w:r>
          </w:p>
        </w:tc>
        <w:tc>
          <w:tcPr>
            <w:tcW w:w="9327" w:type="dxa"/>
            <w:hideMark/>
          </w:tcPr>
          <w:p w14:paraId="1526C8ED" w14:textId="77777777" w:rsidR="00157C5A" w:rsidRPr="00A74F06" w:rsidRDefault="00157C5A" w:rsidP="00A74F06">
            <w:pPr>
              <w:rPr>
                <w:rFonts w:eastAsia="Times New Roman" w:cs="Times New Roman"/>
                <w:sz w:val="20"/>
                <w:szCs w:val="20"/>
              </w:rPr>
            </w:pPr>
            <w:r w:rsidRPr="00A74F06">
              <w:rPr>
                <w:rFonts w:eastAsia="Times New Roman" w:cs="Times New Roman"/>
                <w:sz w:val="20"/>
                <w:szCs w:val="20"/>
              </w:rPr>
              <w:t>Suspension exceeding 15 days - A student who left school involuntarily due to a school-approved suspension that exceeded 15 days and is expected to return to school.</w:t>
            </w:r>
          </w:p>
        </w:tc>
      </w:tr>
      <w:tr w:rsidR="00157C5A" w:rsidRPr="00A74F06" w14:paraId="48D49BA5" w14:textId="77777777" w:rsidTr="00C62EE3">
        <w:trPr>
          <w:trHeight w:val="765"/>
        </w:trPr>
        <w:tc>
          <w:tcPr>
            <w:tcW w:w="1563" w:type="dxa"/>
            <w:hideMark/>
          </w:tcPr>
          <w:p w14:paraId="1B41C12D" w14:textId="77777777" w:rsidR="00157C5A" w:rsidRPr="00A74F06" w:rsidRDefault="00157C5A" w:rsidP="00A74F06">
            <w:pPr>
              <w:jc w:val="center"/>
              <w:rPr>
                <w:rFonts w:eastAsia="Times New Roman" w:cs="Times New Roman"/>
                <w:sz w:val="20"/>
                <w:szCs w:val="20"/>
              </w:rPr>
            </w:pPr>
            <w:r w:rsidRPr="00A74F06">
              <w:rPr>
                <w:rFonts w:eastAsia="Times New Roman" w:cs="Times New Roman"/>
                <w:sz w:val="20"/>
                <w:szCs w:val="20"/>
              </w:rPr>
              <w:t>W970</w:t>
            </w:r>
          </w:p>
        </w:tc>
        <w:tc>
          <w:tcPr>
            <w:tcW w:w="9327" w:type="dxa"/>
            <w:hideMark/>
          </w:tcPr>
          <w:p w14:paraId="449CA78D" w14:textId="77777777" w:rsidR="00157C5A" w:rsidRPr="00A74F06" w:rsidRDefault="00157C5A" w:rsidP="00A74F06">
            <w:pPr>
              <w:rPr>
                <w:rFonts w:eastAsia="Times New Roman" w:cs="Times New Roman"/>
                <w:sz w:val="20"/>
                <w:szCs w:val="20"/>
              </w:rPr>
            </w:pPr>
            <w:r w:rsidRPr="00A74F06">
              <w:rPr>
                <w:rFonts w:eastAsia="Times New Roman" w:cs="Times New Roman"/>
                <w:sz w:val="20"/>
                <w:szCs w:val="20"/>
              </w:rPr>
              <w:t>Withdrawn after being absent fifteen (15) consecutive days - A student who has been absent for fifteen (15) consecutive days who is expected to re-enter school. At the end of the school year, a student who has not returned to school should be recoded to the appropriate exit/withdraw type.</w:t>
            </w:r>
          </w:p>
        </w:tc>
      </w:tr>
    </w:tbl>
    <w:p w14:paraId="1F63F777" w14:textId="77777777" w:rsidR="006D0A0D" w:rsidRPr="00C62EE3" w:rsidRDefault="00C62EE3" w:rsidP="00C62EE3">
      <w:pPr>
        <w:tabs>
          <w:tab w:val="left" w:pos="630"/>
        </w:tabs>
        <w:ind w:left="-720"/>
      </w:pPr>
      <w:r w:rsidRPr="00C62EE3">
        <w:rPr>
          <w:rFonts w:cstheme="minorHAnsi"/>
          <w:sz w:val="20"/>
          <w:szCs w:val="28"/>
        </w:rPr>
        <w:t>End of Record</w:t>
      </w:r>
    </w:p>
    <w:sectPr w:rsidR="006D0A0D" w:rsidRPr="00C62EE3" w:rsidSect="00157C5A">
      <w:footerReference w:type="default" r:id="rId6"/>
      <w:pgSz w:w="12240" w:h="15840"/>
      <w:pgMar w:top="90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EA57" w14:textId="77777777" w:rsidR="00F549D8" w:rsidRDefault="00F549D8" w:rsidP="00F549D8">
      <w:pPr>
        <w:spacing w:after="0" w:line="240" w:lineRule="auto"/>
      </w:pPr>
      <w:r>
        <w:separator/>
      </w:r>
    </w:p>
  </w:endnote>
  <w:endnote w:type="continuationSeparator" w:id="0">
    <w:p w14:paraId="1903EE97" w14:textId="77777777" w:rsidR="00F549D8" w:rsidRDefault="00F549D8" w:rsidP="00F5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438B" w14:textId="3A15CA1F" w:rsidR="00157C5A" w:rsidRPr="006B1137" w:rsidRDefault="00F549D8" w:rsidP="00F549D8">
    <w:pPr>
      <w:pStyle w:val="Footer"/>
      <w:rPr>
        <w:sz w:val="18"/>
        <w:szCs w:val="18"/>
      </w:rPr>
    </w:pPr>
    <w:r w:rsidRPr="006B1137">
      <w:rPr>
        <w:sz w:val="18"/>
        <w:szCs w:val="18"/>
      </w:rPr>
      <w:t xml:space="preserve">Updated </w:t>
    </w:r>
    <w:r w:rsidR="007A1219">
      <w:rPr>
        <w:sz w:val="18"/>
        <w:szCs w:val="18"/>
      </w:rPr>
      <w:t>March 202</w:t>
    </w:r>
    <w:r w:rsidR="00143F3C">
      <w:rPr>
        <w:sz w:val="18"/>
        <w:szCs w:val="18"/>
      </w:rPr>
      <w:t>3</w:t>
    </w:r>
  </w:p>
  <w:p w14:paraId="6EFB1C8F" w14:textId="77777777" w:rsidR="00F549D8" w:rsidRDefault="00F54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940A2" w14:textId="77777777" w:rsidR="00F549D8" w:rsidRDefault="00F549D8" w:rsidP="00F549D8">
      <w:pPr>
        <w:spacing w:after="0" w:line="240" w:lineRule="auto"/>
      </w:pPr>
      <w:r>
        <w:separator/>
      </w:r>
    </w:p>
  </w:footnote>
  <w:footnote w:type="continuationSeparator" w:id="0">
    <w:p w14:paraId="556B6178" w14:textId="77777777" w:rsidR="00F549D8" w:rsidRDefault="00F549D8" w:rsidP="00F54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F06"/>
    <w:rsid w:val="00143F3C"/>
    <w:rsid w:val="00157C5A"/>
    <w:rsid w:val="00206361"/>
    <w:rsid w:val="0020752F"/>
    <w:rsid w:val="00345170"/>
    <w:rsid w:val="00412430"/>
    <w:rsid w:val="00463C93"/>
    <w:rsid w:val="00654833"/>
    <w:rsid w:val="006D0A0D"/>
    <w:rsid w:val="007A1219"/>
    <w:rsid w:val="00970E4D"/>
    <w:rsid w:val="00A74F06"/>
    <w:rsid w:val="00A80C61"/>
    <w:rsid w:val="00C62EE3"/>
    <w:rsid w:val="00D02070"/>
    <w:rsid w:val="00F5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E1073"/>
  <w15:docId w15:val="{B5CF3A17-9F40-4CE1-BD2E-AC4FDCBE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F06"/>
  </w:style>
  <w:style w:type="paragraph" w:styleId="Heading1">
    <w:name w:val="heading 1"/>
    <w:basedOn w:val="Normal"/>
    <w:next w:val="Normal"/>
    <w:link w:val="Heading1Char"/>
    <w:uiPriority w:val="9"/>
    <w:qFormat/>
    <w:rsid w:val="00C62EE3"/>
    <w:pPr>
      <w:tabs>
        <w:tab w:val="left" w:pos="630"/>
      </w:tabs>
      <w:outlineLvl w:val="0"/>
    </w:pPr>
    <w:rPr>
      <w:rFonts w:asciiTheme="majorHAnsi" w:hAnsiTheme="majorHAns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4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9D8"/>
  </w:style>
  <w:style w:type="paragraph" w:styleId="Footer">
    <w:name w:val="footer"/>
    <w:basedOn w:val="Normal"/>
    <w:link w:val="FooterChar"/>
    <w:uiPriority w:val="99"/>
    <w:unhideWhenUsed/>
    <w:rsid w:val="00F54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9D8"/>
  </w:style>
  <w:style w:type="paragraph" w:styleId="BalloonText">
    <w:name w:val="Balloon Text"/>
    <w:basedOn w:val="Normal"/>
    <w:link w:val="BalloonTextChar"/>
    <w:uiPriority w:val="99"/>
    <w:semiHidden/>
    <w:unhideWhenUsed/>
    <w:rsid w:val="00F5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9D8"/>
    <w:rPr>
      <w:rFonts w:ascii="Tahoma" w:hAnsi="Tahoma" w:cs="Tahoma"/>
      <w:sz w:val="16"/>
      <w:szCs w:val="16"/>
    </w:rPr>
  </w:style>
  <w:style w:type="character" w:customStyle="1" w:styleId="Heading1Char">
    <w:name w:val="Heading 1 Char"/>
    <w:basedOn w:val="DefaultParagraphFont"/>
    <w:link w:val="Heading1"/>
    <w:uiPriority w:val="9"/>
    <w:rsid w:val="00C62EE3"/>
    <w:rPr>
      <w:rFonts w:asciiTheme="majorHAnsi" w:hAnsiTheme="majorHAnsi"/>
      <w:b/>
      <w:color w:val="365F91" w:themeColor="accent1" w:themeShade="BF"/>
      <w:sz w:val="28"/>
      <w:szCs w:val="28"/>
    </w:rPr>
  </w:style>
  <w:style w:type="table" w:styleId="TableGrid">
    <w:name w:val="Table Grid"/>
    <w:basedOn w:val="TableNormal"/>
    <w:uiPriority w:val="59"/>
    <w:rsid w:val="00C6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Exit/Withdraw Codes</vt:lpstr>
    </vt:vector>
  </TitlesOfParts>
  <Company>Virginia IT Infrastructure Partnership</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Exit/Withdraw Codes</dc:title>
  <dc:creator>Lisa M. Comfort</dc:creator>
  <cp:lastModifiedBy>Kanard, Brittney (DOE)</cp:lastModifiedBy>
  <cp:revision>2</cp:revision>
  <dcterms:created xsi:type="dcterms:W3CDTF">2023-05-17T14:33:00Z</dcterms:created>
  <dcterms:modified xsi:type="dcterms:W3CDTF">2023-05-17T14:33:00Z</dcterms:modified>
</cp:coreProperties>
</file>