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-187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</w:tblBorders>
        <w:tblLook w:val="04A0" w:firstRow="1" w:lastRow="0" w:firstColumn="1" w:lastColumn="0" w:noHBand="0" w:noVBand="1"/>
        <w:tblCaption w:val="Advisory Board on Teacher Education and Licensure"/>
        <w:tblDescription w:val="Title Page"/>
      </w:tblPr>
      <w:tblGrid>
        <w:gridCol w:w="7823"/>
        <w:gridCol w:w="1447"/>
      </w:tblGrid>
      <w:tr w:rsidR="0079748C" w:rsidRPr="0079748C" w:rsidTr="00E451BF">
        <w:trPr>
          <w:trHeight w:val="1170"/>
          <w:tblHeader/>
        </w:trPr>
        <w:tc>
          <w:tcPr>
            <w:tcW w:w="7823" w:type="dxa"/>
            <w:tcMar>
              <w:left w:w="115" w:type="dxa"/>
              <w:right w:w="115" w:type="dxa"/>
            </w:tcMar>
            <w:vAlign w:val="center"/>
          </w:tcPr>
          <w:p w:rsidR="0079748C" w:rsidRPr="0079748C" w:rsidRDefault="0079748C" w:rsidP="0079748C">
            <w:pPr>
              <w:spacing w:after="300" w:line="240" w:lineRule="auto"/>
              <w:ind w:right="-1370"/>
              <w:contextualSpacing/>
              <w:jc w:val="center"/>
              <w:rPr>
                <w:rFonts w:ascii="Times New Roman" w:eastAsiaTheme="majorEastAsia" w:hAnsi="Times New Roman" w:cs="Times New Roman"/>
                <w:b/>
                <w:spacing w:val="5"/>
                <w:kern w:val="28"/>
                <w:sz w:val="36"/>
                <w:szCs w:val="36"/>
              </w:rPr>
            </w:pPr>
            <w:r w:rsidRPr="0079748C">
              <w:rPr>
                <w:rFonts w:ascii="Times New Roman" w:eastAsiaTheme="majorEastAsia" w:hAnsi="Times New Roman" w:cs="Times New Roman"/>
                <w:b/>
                <w:spacing w:val="5"/>
                <w:kern w:val="28"/>
                <w:sz w:val="36"/>
                <w:szCs w:val="36"/>
              </w:rPr>
              <w:t xml:space="preserve">Advisory Board on Teacher Education </w:t>
            </w:r>
          </w:p>
          <w:p w:rsidR="0079748C" w:rsidRPr="0079748C" w:rsidRDefault="0079748C" w:rsidP="0079748C">
            <w:pPr>
              <w:spacing w:after="300" w:line="240" w:lineRule="auto"/>
              <w:ind w:right="-1370"/>
              <w:contextualSpacing/>
              <w:jc w:val="center"/>
              <w:rPr>
                <w:rFonts w:eastAsiaTheme="majorEastAsia" w:cs="Times New Roman"/>
                <w:color w:val="323E4F" w:themeColor="text2" w:themeShade="BF"/>
                <w:spacing w:val="5"/>
                <w:kern w:val="28"/>
                <w:sz w:val="52"/>
                <w:szCs w:val="52"/>
              </w:rPr>
            </w:pPr>
            <w:r w:rsidRPr="0079748C">
              <w:rPr>
                <w:rFonts w:ascii="Times New Roman" w:eastAsiaTheme="majorEastAsia" w:hAnsi="Times New Roman" w:cs="Times New Roman"/>
                <w:b/>
                <w:spacing w:val="5"/>
                <w:kern w:val="28"/>
                <w:sz w:val="36"/>
                <w:szCs w:val="36"/>
              </w:rPr>
              <w:t>and Licensure</w:t>
            </w:r>
          </w:p>
        </w:tc>
        <w:tc>
          <w:tcPr>
            <w:tcW w:w="1447" w:type="dxa"/>
            <w:tcMar>
              <w:left w:w="115" w:type="dxa"/>
              <w:right w:w="115" w:type="dxa"/>
            </w:tcMar>
            <w:vAlign w:val="center"/>
          </w:tcPr>
          <w:p w:rsidR="0079748C" w:rsidRPr="0079748C" w:rsidRDefault="0079748C" w:rsidP="0079748C">
            <w:pPr>
              <w:spacing w:after="300" w:line="36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:rsidR="0079748C" w:rsidRPr="0079748C" w:rsidRDefault="0079748C" w:rsidP="0079748C">
            <w:pPr>
              <w:spacing w:after="300" w:line="360" w:lineRule="auto"/>
              <w:contextualSpacing/>
              <w:rPr>
                <w:rFonts w:eastAsiaTheme="majorEastAsia" w:cs="Times New Roman"/>
                <w:b/>
                <w:spacing w:val="5"/>
                <w:kern w:val="28"/>
                <w:sz w:val="36"/>
                <w:szCs w:val="36"/>
              </w:rPr>
            </w:pPr>
            <w:r w:rsidRPr="0079748C">
              <w:rPr>
                <w:rFonts w:ascii="Times New Roman" w:hAnsi="Times New Roman"/>
                <w:b/>
                <w:noProof/>
                <w:sz w:val="44"/>
                <w:szCs w:val="44"/>
              </w:rPr>
              <w:drawing>
                <wp:inline distT="0" distB="0" distL="0" distR="0" wp14:anchorId="3B2375F2" wp14:editId="5A708953">
                  <wp:extent cx="633541" cy="642220"/>
                  <wp:effectExtent l="0" t="0" r="0" b="5715"/>
                  <wp:docPr id="1" name="Picture 1" descr="Seal of the Commonwealth of Virginia" title="Seal of the Commonwealth of Virgini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kVA Sea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541" cy="64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7E7" w:rsidRDefault="000347E7" w:rsidP="000347E7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B3E" w:rsidRDefault="00CE4B3E" w:rsidP="000347E7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47E7" w:rsidRPr="00596BA7" w:rsidRDefault="000347E7" w:rsidP="000347E7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Calibri" w:hAnsi="Times New Roman" w:cs="Times New Roman"/>
          <w:b/>
          <w:sz w:val="24"/>
          <w:szCs w:val="24"/>
        </w:rPr>
      </w:pPr>
      <w:r w:rsidRPr="00596BA7">
        <w:rPr>
          <w:rFonts w:ascii="Times New Roman" w:eastAsia="Calibri" w:hAnsi="Times New Roman" w:cs="Times New Roman"/>
          <w:b/>
          <w:sz w:val="24"/>
          <w:szCs w:val="24"/>
        </w:rPr>
        <w:t xml:space="preserve">AGENDA ITEM:  </w:t>
      </w:r>
      <w:r w:rsidRPr="00596BA7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Start"/>
      <w:r w:rsidR="00651BAD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</w:p>
    <w:p w:rsidR="000347E7" w:rsidRPr="00596BA7" w:rsidRDefault="000347E7" w:rsidP="000347E7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47E7" w:rsidRPr="00596BA7" w:rsidRDefault="001B75CD" w:rsidP="000347E7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DATE: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November 16</w:t>
      </w:r>
      <w:r w:rsidR="005A1254">
        <w:rPr>
          <w:rFonts w:ascii="Times New Roman" w:eastAsia="Calibri" w:hAnsi="Times New Roman" w:cs="Times New Roman"/>
          <w:b/>
          <w:sz w:val="24"/>
          <w:szCs w:val="24"/>
        </w:rPr>
        <w:t>, 2020</w:t>
      </w:r>
    </w:p>
    <w:p w:rsidR="000347E7" w:rsidRPr="00596BA7" w:rsidRDefault="000347E7" w:rsidP="000347E7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47E7" w:rsidRDefault="000347E7" w:rsidP="00CE4B3E">
      <w:pPr>
        <w:spacing w:after="0" w:line="240" w:lineRule="auto"/>
        <w:ind w:left="2160" w:hanging="2160"/>
        <w:rPr>
          <w:rFonts w:ascii="Times New Roman" w:eastAsia="SymbolMT" w:hAnsi="Times New Roman" w:cs="Times New Roman"/>
          <w:b/>
          <w:i/>
          <w:sz w:val="24"/>
          <w:szCs w:val="24"/>
        </w:rPr>
      </w:pPr>
      <w:r w:rsidRPr="00596BA7">
        <w:rPr>
          <w:rFonts w:ascii="Times New Roman" w:eastAsia="Calibri" w:hAnsi="Times New Roman" w:cs="Times New Roman"/>
          <w:b/>
          <w:sz w:val="24"/>
          <w:szCs w:val="24"/>
        </w:rPr>
        <w:t>TOPIC:</w:t>
      </w:r>
      <w:r w:rsidRPr="00596BA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96BA7" w:rsidRPr="00596BA7">
        <w:rPr>
          <w:rFonts w:ascii="Times New Roman" w:eastAsia="SymbolMT" w:hAnsi="Times New Roman" w:cs="Times New Roman"/>
          <w:b/>
          <w:sz w:val="24"/>
          <w:szCs w:val="24"/>
        </w:rPr>
        <w:t xml:space="preserve">Recommendations for Licensure Renewal Requirements in the </w:t>
      </w:r>
      <w:r w:rsidR="00596BA7" w:rsidRPr="00596BA7">
        <w:rPr>
          <w:rFonts w:ascii="Times New Roman" w:eastAsia="SymbolMT" w:hAnsi="Times New Roman" w:cs="Times New Roman"/>
          <w:b/>
          <w:i/>
          <w:sz w:val="24"/>
          <w:szCs w:val="24"/>
        </w:rPr>
        <w:t>Licensure Regulations for School Personnel</w:t>
      </w:r>
    </w:p>
    <w:p w:rsidR="00CE4B3E" w:rsidRDefault="00CE4B3E" w:rsidP="00CE4B3E">
      <w:pPr>
        <w:spacing w:after="0" w:line="240" w:lineRule="auto"/>
        <w:ind w:left="2160" w:hanging="2160"/>
        <w:rPr>
          <w:rFonts w:ascii="Times New Roman" w:eastAsia="SymbolMT" w:hAnsi="Times New Roman" w:cs="Times New Roman"/>
          <w:b/>
          <w:sz w:val="24"/>
          <w:szCs w:val="24"/>
        </w:rPr>
      </w:pPr>
    </w:p>
    <w:p w:rsidR="00CE4B3E" w:rsidRPr="00596BA7" w:rsidRDefault="00CE4B3E" w:rsidP="00CE4B3E">
      <w:pPr>
        <w:spacing w:after="0" w:line="240" w:lineRule="auto"/>
        <w:ind w:left="2160" w:hanging="2160"/>
        <w:rPr>
          <w:rFonts w:ascii="Times New Roman" w:eastAsia="SymbolMT" w:hAnsi="Times New Roman" w:cs="Times New Roman"/>
          <w:b/>
          <w:sz w:val="24"/>
          <w:szCs w:val="24"/>
        </w:rPr>
      </w:pPr>
    </w:p>
    <w:p w:rsidR="00651BAD" w:rsidRDefault="000347E7" w:rsidP="000347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E4B3E">
        <w:rPr>
          <w:rStyle w:val="Heading1Char"/>
        </w:rPr>
        <w:t>BACKGROUND INFORMATION</w:t>
      </w:r>
      <w:r w:rsidRPr="00596BA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651BAD" w:rsidRDefault="00651BAD" w:rsidP="000347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0D99" w:rsidRDefault="00651BAD" w:rsidP="00890D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75CD">
        <w:rPr>
          <w:rFonts w:ascii="Times New Roman" w:eastAsia="Calibri" w:hAnsi="Times New Roman" w:cs="Times New Roman"/>
          <w:sz w:val="24"/>
          <w:szCs w:val="24"/>
        </w:rPr>
        <w:t>Currently, individuals must renew licenses by meeting requirements of the individualized renewal system</w:t>
      </w:r>
      <w:r w:rsidR="001B75CD" w:rsidRPr="001B75CD">
        <w:rPr>
          <w:rFonts w:ascii="Times New Roman" w:eastAsia="Calibri" w:hAnsi="Times New Roman" w:cs="Times New Roman"/>
          <w:sz w:val="24"/>
          <w:szCs w:val="24"/>
        </w:rPr>
        <w:t xml:space="preserve"> set forth in the </w:t>
      </w:r>
      <w:r w:rsidR="001B75CD" w:rsidRPr="001B75CD">
        <w:rPr>
          <w:rFonts w:ascii="Times New Roman" w:eastAsia="Calibri" w:hAnsi="Times New Roman" w:cs="Times New Roman"/>
          <w:i/>
          <w:sz w:val="24"/>
          <w:szCs w:val="24"/>
        </w:rPr>
        <w:t>Licensure Regulations for School Personnel</w:t>
      </w:r>
      <w:r w:rsidR="001B75CD" w:rsidRPr="001B75CD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="001B75CD" w:rsidRPr="001B75CD">
        <w:rPr>
          <w:rFonts w:ascii="Times New Roman" w:eastAsia="Calibri" w:hAnsi="Times New Roman" w:cs="Times New Roman"/>
          <w:i/>
          <w:sz w:val="24"/>
          <w:szCs w:val="24"/>
        </w:rPr>
        <w:t>The Virginia Renewal Manual</w:t>
      </w:r>
      <w:r w:rsidR="001B75C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5001C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001CA">
        <w:rPr>
          <w:rFonts w:ascii="Times New Roman" w:eastAsia="Calibri" w:hAnsi="Times New Roman" w:cs="Times New Roman"/>
          <w:sz w:val="24"/>
          <w:szCs w:val="24"/>
        </w:rPr>
        <w:t>General Assembly action</w:t>
      </w:r>
      <w:r w:rsidR="001B75CD">
        <w:rPr>
          <w:rFonts w:ascii="Times New Roman" w:eastAsia="Calibri" w:hAnsi="Times New Roman" w:cs="Times New Roman"/>
          <w:sz w:val="24"/>
          <w:szCs w:val="24"/>
        </w:rPr>
        <w:t xml:space="preserve"> in 2018 change</w:t>
      </w:r>
      <w:r w:rsidR="005001CA">
        <w:rPr>
          <w:rFonts w:ascii="Times New Roman" w:eastAsia="Calibri" w:hAnsi="Times New Roman" w:cs="Times New Roman"/>
          <w:sz w:val="24"/>
          <w:szCs w:val="24"/>
        </w:rPr>
        <w:t>d</w:t>
      </w:r>
      <w:r w:rsidR="001B75CD">
        <w:rPr>
          <w:rFonts w:ascii="Times New Roman" w:eastAsia="Calibri" w:hAnsi="Times New Roman" w:cs="Times New Roman"/>
          <w:sz w:val="24"/>
          <w:szCs w:val="24"/>
        </w:rPr>
        <w:t xml:space="preserve"> the validity period of renewable licenses from five years to ten years.</w:t>
      </w:r>
    </w:p>
    <w:p w:rsidR="00CE4B3E" w:rsidRPr="00CE4B3E" w:rsidRDefault="00890D99" w:rsidP="00890D99">
      <w:pPr>
        <w:autoSpaceDE w:val="0"/>
        <w:autoSpaceDN w:val="0"/>
        <w:adjustRightInd w:val="0"/>
        <w:spacing w:after="0" w:line="240" w:lineRule="auto"/>
      </w:pPr>
      <w:r w:rsidRPr="00CE4B3E">
        <w:t xml:space="preserve"> </w:t>
      </w:r>
    </w:p>
    <w:p w:rsidR="00890D99" w:rsidRDefault="000347E7" w:rsidP="00CE4B3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347E7">
        <w:rPr>
          <w:rFonts w:ascii="Times New Roman" w:eastAsia="Calibri" w:hAnsi="Times New Roman" w:cs="Times New Roman"/>
          <w:bCs/>
          <w:sz w:val="24"/>
          <w:szCs w:val="24"/>
        </w:rPr>
        <w:t>The following chart shows the number of professional development points required to renew five-year and ten-year licenses.</w:t>
      </w:r>
    </w:p>
    <w:p w:rsidR="000347E7" w:rsidRPr="000347E7" w:rsidRDefault="000347E7" w:rsidP="00CE4B3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347E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  <w:tblCaption w:val="Chart -- Validity Period of Licenses and Number of Professional Development Points to Renew"/>
        <w:tblDescription w:val="The table shows that for a five-year license, one must earn 180 points to renew.  For a ten-year license, one must earn 270 points to renew."/>
      </w:tblPr>
      <w:tblGrid>
        <w:gridCol w:w="3036"/>
        <w:gridCol w:w="4116"/>
      </w:tblGrid>
      <w:tr w:rsidR="000347E7" w:rsidRPr="000347E7" w:rsidTr="00345A91">
        <w:trPr>
          <w:tblHeader/>
          <w:jc w:val="center"/>
        </w:trPr>
        <w:tc>
          <w:tcPr>
            <w:tcW w:w="3036" w:type="dxa"/>
            <w:vAlign w:val="center"/>
          </w:tcPr>
          <w:p w:rsidR="000347E7" w:rsidRPr="000347E7" w:rsidRDefault="000347E7" w:rsidP="000347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47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Validity Period of License</w:t>
            </w:r>
          </w:p>
        </w:tc>
        <w:tc>
          <w:tcPr>
            <w:tcW w:w="4116" w:type="dxa"/>
            <w:vAlign w:val="center"/>
          </w:tcPr>
          <w:p w:rsidR="000347E7" w:rsidRPr="000347E7" w:rsidRDefault="000347E7" w:rsidP="000347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47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Number of Professional Development Points to Renew</w:t>
            </w:r>
          </w:p>
        </w:tc>
      </w:tr>
      <w:tr w:rsidR="000347E7" w:rsidRPr="000347E7" w:rsidTr="00345A91">
        <w:trPr>
          <w:jc w:val="center"/>
        </w:trPr>
        <w:tc>
          <w:tcPr>
            <w:tcW w:w="3036" w:type="dxa"/>
            <w:shd w:val="clear" w:color="auto" w:fill="20039B"/>
          </w:tcPr>
          <w:p w:rsidR="000347E7" w:rsidRPr="000347E7" w:rsidRDefault="000347E7" w:rsidP="000347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47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Five-Year License</w:t>
            </w:r>
          </w:p>
        </w:tc>
        <w:tc>
          <w:tcPr>
            <w:tcW w:w="4116" w:type="dxa"/>
            <w:shd w:val="clear" w:color="auto" w:fill="20039B"/>
          </w:tcPr>
          <w:p w:rsidR="000347E7" w:rsidRPr="000347E7" w:rsidRDefault="000347E7" w:rsidP="000347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47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</w:tr>
      <w:tr w:rsidR="000347E7" w:rsidRPr="000347E7" w:rsidTr="00345A91">
        <w:trPr>
          <w:jc w:val="center"/>
        </w:trPr>
        <w:tc>
          <w:tcPr>
            <w:tcW w:w="3036" w:type="dxa"/>
            <w:shd w:val="clear" w:color="auto" w:fill="C00000"/>
          </w:tcPr>
          <w:p w:rsidR="000347E7" w:rsidRPr="000347E7" w:rsidRDefault="000347E7" w:rsidP="000347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47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Ten-Year License</w:t>
            </w:r>
          </w:p>
        </w:tc>
        <w:tc>
          <w:tcPr>
            <w:tcW w:w="4116" w:type="dxa"/>
            <w:shd w:val="clear" w:color="auto" w:fill="C00000"/>
          </w:tcPr>
          <w:p w:rsidR="000347E7" w:rsidRPr="000347E7" w:rsidRDefault="000347E7" w:rsidP="000347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47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270</w:t>
            </w:r>
          </w:p>
        </w:tc>
      </w:tr>
    </w:tbl>
    <w:p w:rsidR="000347E7" w:rsidRPr="000347E7" w:rsidRDefault="000347E7" w:rsidP="000347E7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347E7" w:rsidRPr="000347E7" w:rsidRDefault="000347E7" w:rsidP="000347E7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347E7">
        <w:rPr>
          <w:rFonts w:ascii="Times New Roman" w:eastAsia="Calibri" w:hAnsi="Times New Roman" w:cs="Times New Roman"/>
          <w:bCs/>
          <w:sz w:val="24"/>
          <w:szCs w:val="24"/>
        </w:rPr>
        <w:t>The Board of Education approved the following maximum points for each of the eight options to earn points to renew a ten-year license.</w:t>
      </w:r>
      <w:r w:rsidR="001D2587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0347E7" w:rsidRPr="000347E7" w:rsidRDefault="000347E7" w:rsidP="000347E7">
      <w:pPr>
        <w:numPr>
          <w:ilvl w:val="0"/>
          <w:numId w:val="7"/>
        </w:numPr>
        <w:spacing w:after="200"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0347E7">
        <w:rPr>
          <w:rFonts w:ascii="Times New Roman" w:eastAsia="Arial" w:hAnsi="Times New Roman" w:cs="Times New Roman"/>
          <w:sz w:val="24"/>
          <w:szCs w:val="24"/>
        </w:rPr>
        <w:t>College Credit</w:t>
      </w:r>
      <w:r w:rsidR="00890D99">
        <w:rPr>
          <w:rFonts w:ascii="Times New Roman" w:eastAsia="Arial" w:hAnsi="Times New Roman" w:cs="Times New Roman"/>
          <w:sz w:val="24"/>
          <w:szCs w:val="24"/>
        </w:rPr>
        <w:tab/>
      </w:r>
      <w:r w:rsidR="00890D99">
        <w:rPr>
          <w:rFonts w:ascii="Times New Roman" w:eastAsia="Arial" w:hAnsi="Times New Roman" w:cs="Times New Roman"/>
          <w:sz w:val="24"/>
          <w:szCs w:val="24"/>
        </w:rPr>
        <w:tab/>
      </w:r>
      <w:r w:rsidR="00890D99">
        <w:rPr>
          <w:rFonts w:ascii="Times New Roman" w:eastAsia="Arial" w:hAnsi="Times New Roman" w:cs="Times New Roman"/>
          <w:sz w:val="24"/>
          <w:szCs w:val="24"/>
        </w:rPr>
        <w:tab/>
      </w:r>
      <w:r w:rsidR="00890D99">
        <w:rPr>
          <w:rFonts w:ascii="Times New Roman" w:eastAsia="Arial" w:hAnsi="Times New Roman" w:cs="Times New Roman"/>
          <w:sz w:val="24"/>
          <w:szCs w:val="24"/>
        </w:rPr>
        <w:tab/>
      </w:r>
      <w:r w:rsidR="00890D99">
        <w:rPr>
          <w:rFonts w:ascii="Times New Roman" w:eastAsia="Arial" w:hAnsi="Times New Roman" w:cs="Times New Roman"/>
          <w:sz w:val="24"/>
          <w:szCs w:val="24"/>
        </w:rPr>
        <w:tab/>
      </w:r>
      <w:r w:rsidRPr="000347E7">
        <w:rPr>
          <w:rFonts w:ascii="Times New Roman" w:eastAsia="Arial" w:hAnsi="Times New Roman" w:cs="Times New Roman"/>
          <w:sz w:val="24"/>
          <w:szCs w:val="24"/>
        </w:rPr>
        <w:t>270 points</w:t>
      </w:r>
    </w:p>
    <w:p w:rsidR="000347E7" w:rsidRPr="000347E7" w:rsidRDefault="000347E7" w:rsidP="000347E7">
      <w:pPr>
        <w:numPr>
          <w:ilvl w:val="0"/>
          <w:numId w:val="7"/>
        </w:numPr>
        <w:spacing w:after="200"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0347E7">
        <w:rPr>
          <w:rFonts w:ascii="Times New Roman" w:eastAsia="Arial" w:hAnsi="Times New Roman" w:cs="Times New Roman"/>
          <w:sz w:val="24"/>
          <w:szCs w:val="24"/>
        </w:rPr>
        <w:t>Professional Conference</w:t>
      </w:r>
      <w:r w:rsidR="00890D99">
        <w:rPr>
          <w:rFonts w:ascii="Times New Roman" w:eastAsia="Arial" w:hAnsi="Times New Roman" w:cs="Times New Roman"/>
          <w:sz w:val="24"/>
          <w:szCs w:val="24"/>
        </w:rPr>
        <w:tab/>
      </w:r>
      <w:r w:rsidR="00890D99">
        <w:rPr>
          <w:rFonts w:ascii="Times New Roman" w:eastAsia="Arial" w:hAnsi="Times New Roman" w:cs="Times New Roman"/>
          <w:sz w:val="24"/>
          <w:szCs w:val="24"/>
        </w:rPr>
        <w:tab/>
      </w:r>
      <w:r w:rsidR="00890D99">
        <w:rPr>
          <w:rFonts w:ascii="Times New Roman" w:eastAsia="Arial" w:hAnsi="Times New Roman" w:cs="Times New Roman"/>
          <w:sz w:val="24"/>
          <w:szCs w:val="24"/>
        </w:rPr>
        <w:tab/>
        <w:t xml:space="preserve">  </w:t>
      </w:r>
      <w:r w:rsidRPr="000347E7">
        <w:rPr>
          <w:rFonts w:ascii="Times New Roman" w:eastAsia="Arial" w:hAnsi="Times New Roman" w:cs="Times New Roman"/>
          <w:sz w:val="24"/>
          <w:szCs w:val="24"/>
        </w:rPr>
        <w:t>60 points</w:t>
      </w:r>
    </w:p>
    <w:p w:rsidR="000347E7" w:rsidRPr="000347E7" w:rsidRDefault="00890D99" w:rsidP="000347E7">
      <w:pPr>
        <w:numPr>
          <w:ilvl w:val="0"/>
          <w:numId w:val="7"/>
        </w:numPr>
        <w:spacing w:after="200"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Curriculum Development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 w:rsidR="000347E7" w:rsidRPr="000347E7">
        <w:rPr>
          <w:rFonts w:ascii="Times New Roman" w:eastAsia="Arial" w:hAnsi="Times New Roman" w:cs="Times New Roman"/>
          <w:sz w:val="24"/>
          <w:szCs w:val="24"/>
        </w:rPr>
        <w:t>135 points</w:t>
      </w:r>
    </w:p>
    <w:p w:rsidR="000347E7" w:rsidRPr="000347E7" w:rsidRDefault="000347E7" w:rsidP="000347E7">
      <w:pPr>
        <w:numPr>
          <w:ilvl w:val="0"/>
          <w:numId w:val="7"/>
        </w:numPr>
        <w:spacing w:after="200"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0347E7">
        <w:rPr>
          <w:rFonts w:ascii="Times New Roman" w:eastAsia="Arial" w:hAnsi="Times New Roman" w:cs="Times New Roman"/>
          <w:sz w:val="24"/>
          <w:szCs w:val="24"/>
        </w:rPr>
        <w:t>Publication of Article</w:t>
      </w:r>
      <w:r w:rsidRPr="000347E7">
        <w:rPr>
          <w:rFonts w:ascii="Times New Roman" w:eastAsia="Arial" w:hAnsi="Times New Roman" w:cs="Times New Roman"/>
          <w:sz w:val="24"/>
          <w:szCs w:val="24"/>
        </w:rPr>
        <w:tab/>
      </w:r>
      <w:r w:rsidRPr="000347E7">
        <w:rPr>
          <w:rFonts w:ascii="Times New Roman" w:eastAsia="Arial" w:hAnsi="Times New Roman" w:cs="Times New Roman"/>
          <w:sz w:val="24"/>
          <w:szCs w:val="24"/>
        </w:rPr>
        <w:tab/>
      </w:r>
      <w:r w:rsidRPr="000347E7">
        <w:rPr>
          <w:rFonts w:ascii="Times New Roman" w:eastAsia="Arial" w:hAnsi="Times New Roman" w:cs="Times New Roman"/>
          <w:sz w:val="24"/>
          <w:szCs w:val="24"/>
        </w:rPr>
        <w:tab/>
      </w:r>
      <w:r w:rsidRPr="000347E7">
        <w:rPr>
          <w:rFonts w:ascii="Times New Roman" w:eastAsia="Arial" w:hAnsi="Times New Roman" w:cs="Times New Roman"/>
          <w:sz w:val="24"/>
          <w:szCs w:val="24"/>
        </w:rPr>
        <w:tab/>
        <w:t>135 points</w:t>
      </w:r>
    </w:p>
    <w:p w:rsidR="000347E7" w:rsidRPr="000347E7" w:rsidRDefault="000347E7" w:rsidP="000347E7">
      <w:pPr>
        <w:numPr>
          <w:ilvl w:val="0"/>
          <w:numId w:val="7"/>
        </w:numPr>
        <w:spacing w:after="200"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0347E7">
        <w:rPr>
          <w:rFonts w:ascii="Times New Roman" w:eastAsia="Arial" w:hAnsi="Times New Roman" w:cs="Times New Roman"/>
          <w:sz w:val="24"/>
          <w:szCs w:val="24"/>
        </w:rPr>
        <w:t>Publication of Book</w:t>
      </w:r>
      <w:r w:rsidRPr="000347E7">
        <w:rPr>
          <w:rFonts w:ascii="Times New Roman" w:eastAsia="Arial" w:hAnsi="Times New Roman" w:cs="Times New Roman"/>
          <w:sz w:val="24"/>
          <w:szCs w:val="24"/>
        </w:rPr>
        <w:tab/>
      </w:r>
      <w:r w:rsidRPr="000347E7">
        <w:rPr>
          <w:rFonts w:ascii="Times New Roman" w:eastAsia="Arial" w:hAnsi="Times New Roman" w:cs="Times New Roman"/>
          <w:sz w:val="24"/>
          <w:szCs w:val="24"/>
        </w:rPr>
        <w:tab/>
      </w:r>
      <w:r w:rsidRPr="000347E7">
        <w:rPr>
          <w:rFonts w:ascii="Times New Roman" w:eastAsia="Arial" w:hAnsi="Times New Roman" w:cs="Times New Roman"/>
          <w:sz w:val="24"/>
          <w:szCs w:val="24"/>
        </w:rPr>
        <w:tab/>
      </w:r>
      <w:r w:rsidRPr="000347E7">
        <w:rPr>
          <w:rFonts w:ascii="Times New Roman" w:eastAsia="Arial" w:hAnsi="Times New Roman" w:cs="Times New Roman"/>
          <w:sz w:val="24"/>
          <w:szCs w:val="24"/>
        </w:rPr>
        <w:tab/>
        <w:t>135 points</w:t>
      </w:r>
    </w:p>
    <w:p w:rsidR="000347E7" w:rsidRPr="000347E7" w:rsidRDefault="000347E7" w:rsidP="000347E7">
      <w:pPr>
        <w:numPr>
          <w:ilvl w:val="0"/>
          <w:numId w:val="7"/>
        </w:numPr>
        <w:spacing w:after="200"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0347E7">
        <w:rPr>
          <w:rFonts w:ascii="Times New Roman" w:eastAsia="Arial" w:hAnsi="Times New Roman" w:cs="Times New Roman"/>
          <w:sz w:val="24"/>
          <w:szCs w:val="24"/>
        </w:rPr>
        <w:t>Mentor/Supervision</w:t>
      </w:r>
      <w:r w:rsidRPr="000347E7">
        <w:rPr>
          <w:rFonts w:ascii="Times New Roman" w:eastAsia="Arial" w:hAnsi="Times New Roman" w:cs="Times New Roman"/>
          <w:sz w:val="24"/>
          <w:szCs w:val="24"/>
        </w:rPr>
        <w:tab/>
      </w:r>
      <w:r w:rsidRPr="000347E7">
        <w:rPr>
          <w:rFonts w:ascii="Times New Roman" w:eastAsia="Arial" w:hAnsi="Times New Roman" w:cs="Times New Roman"/>
          <w:sz w:val="24"/>
          <w:szCs w:val="24"/>
        </w:rPr>
        <w:tab/>
      </w:r>
      <w:r w:rsidRPr="000347E7">
        <w:rPr>
          <w:rFonts w:ascii="Times New Roman" w:eastAsia="Arial" w:hAnsi="Times New Roman" w:cs="Times New Roman"/>
          <w:sz w:val="24"/>
          <w:szCs w:val="24"/>
        </w:rPr>
        <w:tab/>
      </w:r>
      <w:r w:rsidRPr="000347E7">
        <w:rPr>
          <w:rFonts w:ascii="Times New Roman" w:eastAsia="Arial" w:hAnsi="Times New Roman" w:cs="Times New Roman"/>
          <w:sz w:val="24"/>
          <w:szCs w:val="24"/>
        </w:rPr>
        <w:tab/>
        <w:t>135 points</w:t>
      </w:r>
    </w:p>
    <w:p w:rsidR="000347E7" w:rsidRPr="000347E7" w:rsidRDefault="000347E7" w:rsidP="000347E7">
      <w:pPr>
        <w:numPr>
          <w:ilvl w:val="0"/>
          <w:numId w:val="7"/>
        </w:numPr>
        <w:tabs>
          <w:tab w:val="left" w:pos="3960"/>
        </w:tabs>
        <w:spacing w:after="200"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0347E7">
        <w:rPr>
          <w:rFonts w:ascii="Times New Roman" w:eastAsia="Arial" w:hAnsi="Times New Roman" w:cs="Times New Roman"/>
          <w:sz w:val="24"/>
          <w:szCs w:val="24"/>
        </w:rPr>
        <w:t>Educational Project</w:t>
      </w:r>
      <w:r w:rsidRPr="000347E7">
        <w:rPr>
          <w:rFonts w:ascii="Times New Roman" w:eastAsia="Arial" w:hAnsi="Times New Roman" w:cs="Times New Roman"/>
          <w:sz w:val="24"/>
          <w:szCs w:val="24"/>
        </w:rPr>
        <w:tab/>
      </w:r>
      <w:r w:rsidRPr="000347E7">
        <w:rPr>
          <w:rFonts w:ascii="Times New Roman" w:eastAsia="Arial" w:hAnsi="Times New Roman" w:cs="Times New Roman"/>
          <w:sz w:val="24"/>
          <w:szCs w:val="24"/>
        </w:rPr>
        <w:tab/>
      </w:r>
      <w:r w:rsidRPr="000347E7">
        <w:rPr>
          <w:rFonts w:ascii="Times New Roman" w:eastAsia="Arial" w:hAnsi="Times New Roman" w:cs="Times New Roman"/>
          <w:sz w:val="24"/>
          <w:szCs w:val="24"/>
        </w:rPr>
        <w:tab/>
      </w:r>
      <w:r w:rsidRPr="000347E7">
        <w:rPr>
          <w:rFonts w:ascii="Times New Roman" w:eastAsia="Arial" w:hAnsi="Times New Roman" w:cs="Times New Roman"/>
          <w:sz w:val="24"/>
          <w:szCs w:val="24"/>
        </w:rPr>
        <w:tab/>
        <w:t>135 points</w:t>
      </w:r>
    </w:p>
    <w:p w:rsidR="000347E7" w:rsidRPr="000347E7" w:rsidRDefault="000347E7" w:rsidP="000347E7">
      <w:pPr>
        <w:numPr>
          <w:ilvl w:val="0"/>
          <w:numId w:val="7"/>
        </w:numPr>
        <w:spacing w:after="200"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0347E7">
        <w:rPr>
          <w:rFonts w:ascii="Times New Roman" w:eastAsia="Arial" w:hAnsi="Times New Roman" w:cs="Times New Roman"/>
          <w:sz w:val="24"/>
          <w:szCs w:val="24"/>
        </w:rPr>
        <w:t>Professional Development Activities</w:t>
      </w:r>
      <w:r w:rsidRPr="000347E7">
        <w:rPr>
          <w:rFonts w:ascii="Times New Roman" w:eastAsia="Arial" w:hAnsi="Times New Roman" w:cs="Times New Roman"/>
          <w:sz w:val="24"/>
          <w:szCs w:val="24"/>
        </w:rPr>
        <w:tab/>
      </w:r>
      <w:r w:rsidRPr="000347E7">
        <w:rPr>
          <w:rFonts w:ascii="Times New Roman" w:eastAsia="Arial" w:hAnsi="Times New Roman" w:cs="Times New Roman"/>
          <w:sz w:val="24"/>
          <w:szCs w:val="24"/>
        </w:rPr>
        <w:tab/>
        <w:t>270 points</w:t>
      </w:r>
    </w:p>
    <w:p w:rsidR="000347E7" w:rsidRPr="000347E7" w:rsidRDefault="000347E7" w:rsidP="000347E7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B75CD" w:rsidRDefault="001B75CD" w:rsidP="001B75CD">
      <w:pPr>
        <w:pStyle w:val="Heading1"/>
        <w:rPr>
          <w:b w:val="0"/>
          <w:u w:val="none"/>
        </w:rPr>
      </w:pPr>
      <w:r>
        <w:rPr>
          <w:b w:val="0"/>
          <w:u w:val="none"/>
        </w:rPr>
        <w:lastRenderedPageBreak/>
        <w:t>The Advisory Boa</w:t>
      </w:r>
      <w:r w:rsidR="005001CA">
        <w:rPr>
          <w:b w:val="0"/>
          <w:u w:val="none"/>
        </w:rPr>
        <w:t>r</w:t>
      </w:r>
      <w:r>
        <w:rPr>
          <w:b w:val="0"/>
          <w:u w:val="none"/>
        </w:rPr>
        <w:t>d</w:t>
      </w:r>
      <w:r w:rsidR="00651BAD">
        <w:rPr>
          <w:b w:val="0"/>
          <w:u w:val="none"/>
        </w:rPr>
        <w:t xml:space="preserve"> members have be</w:t>
      </w:r>
      <w:r w:rsidR="001D2587">
        <w:rPr>
          <w:b w:val="0"/>
          <w:u w:val="none"/>
        </w:rPr>
        <w:t xml:space="preserve">en engaged in discussions to make recommendations </w:t>
      </w:r>
      <w:r>
        <w:rPr>
          <w:b w:val="0"/>
          <w:u w:val="none"/>
        </w:rPr>
        <w:t xml:space="preserve">to revise the </w:t>
      </w:r>
      <w:r w:rsidR="00651BAD">
        <w:rPr>
          <w:b w:val="0"/>
          <w:u w:val="none"/>
        </w:rPr>
        <w:t xml:space="preserve">Board of Education renewal requirements.  Currently, individuals may renew their licenses by </w:t>
      </w:r>
      <w:r>
        <w:rPr>
          <w:b w:val="0"/>
          <w:u w:val="none"/>
        </w:rPr>
        <w:t xml:space="preserve">earning points, and they may </w:t>
      </w:r>
      <w:r w:rsidR="00651BAD">
        <w:rPr>
          <w:b w:val="0"/>
          <w:u w:val="none"/>
        </w:rPr>
        <w:t>earn professional development points</w:t>
      </w:r>
      <w:r w:rsidR="00AB67A1">
        <w:rPr>
          <w:b w:val="0"/>
          <w:u w:val="none"/>
        </w:rPr>
        <w:t xml:space="preserve"> through</w:t>
      </w:r>
      <w:r w:rsidR="00651BAD">
        <w:rPr>
          <w:b w:val="0"/>
          <w:u w:val="none"/>
        </w:rPr>
        <w:t xml:space="preserve"> any of eight options.  </w:t>
      </w:r>
      <w:r w:rsidR="001D2587">
        <w:rPr>
          <w:b w:val="0"/>
          <w:u w:val="none"/>
        </w:rPr>
        <w:t xml:space="preserve">Additionally, license holders are required to complete </w:t>
      </w:r>
      <w:r w:rsidR="00AB67A1">
        <w:rPr>
          <w:b w:val="0"/>
          <w:u w:val="none"/>
        </w:rPr>
        <w:t xml:space="preserve">the following </w:t>
      </w:r>
      <w:r w:rsidR="001D2587">
        <w:rPr>
          <w:b w:val="0"/>
          <w:u w:val="none"/>
        </w:rPr>
        <w:t>mandatory statutory requirements for renewal</w:t>
      </w:r>
      <w:r w:rsidR="001D2587">
        <w:rPr>
          <w:b w:val="0"/>
          <w:u w:val="none"/>
        </w:rPr>
        <w:br/>
      </w:r>
    </w:p>
    <w:p w:rsidR="001D2587" w:rsidRPr="000347E7" w:rsidRDefault="001D2587" w:rsidP="001746E8">
      <w:pPr>
        <w:numPr>
          <w:ilvl w:val="0"/>
          <w:numId w:val="10"/>
        </w:numPr>
        <w:shd w:val="clear" w:color="auto" w:fill="FFFFFF"/>
        <w:tabs>
          <w:tab w:val="num" w:pos="8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0347E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"/>
        </w:rPr>
        <w:t>Child Abuse and Neglect Recognition and Intervention Training (5 points)</w:t>
      </w:r>
    </w:p>
    <w:p w:rsidR="001D2587" w:rsidRPr="000347E7" w:rsidRDefault="001D2587" w:rsidP="001746E8">
      <w:pPr>
        <w:numPr>
          <w:ilvl w:val="0"/>
          <w:numId w:val="10"/>
        </w:numPr>
        <w:shd w:val="clear" w:color="auto" w:fill="FFFFFF"/>
        <w:tabs>
          <w:tab w:val="num" w:pos="8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0347E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"/>
        </w:rPr>
        <w:t>Emergency First Aid, CPR (including hands-on tra</w:t>
      </w:r>
      <w:r w:rsidR="001746E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"/>
        </w:rPr>
        <w:t xml:space="preserve">ining) and AED Certification or </w:t>
      </w:r>
      <w:r w:rsidRPr="000347E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"/>
        </w:rPr>
        <w:t>Training</w:t>
      </w:r>
      <w:r w:rsidRPr="000347E7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 (5 points)</w:t>
      </w:r>
    </w:p>
    <w:p w:rsidR="001D2587" w:rsidRPr="000347E7" w:rsidRDefault="001D2587" w:rsidP="001746E8">
      <w:pPr>
        <w:numPr>
          <w:ilvl w:val="0"/>
          <w:numId w:val="10"/>
        </w:numPr>
        <w:shd w:val="clear" w:color="auto" w:fill="FFFFFF"/>
        <w:tabs>
          <w:tab w:val="num" w:pos="8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0347E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"/>
        </w:rPr>
        <w:t>Dyslexia Awareness Training  (5 points)</w:t>
      </w:r>
    </w:p>
    <w:p w:rsidR="001D2587" w:rsidRPr="000347E7" w:rsidRDefault="001D2587" w:rsidP="001746E8">
      <w:pPr>
        <w:numPr>
          <w:ilvl w:val="0"/>
          <w:numId w:val="10"/>
        </w:numPr>
        <w:shd w:val="clear" w:color="auto" w:fill="FFFFFF"/>
        <w:tabs>
          <w:tab w:val="num" w:pos="8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0347E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"/>
        </w:rPr>
        <w:t>SCHOOL COUNSELORS ONLY</w:t>
      </w:r>
      <w:r w:rsidRPr="000347E7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 xml:space="preserve">:  </w:t>
      </w:r>
      <w:r w:rsidRPr="00AB67A1">
        <w:rPr>
          <w:rFonts w:ascii="Times New Roman" w:eastAsia="Calibri" w:hAnsi="Times New Roman" w:cs="Times New Roman"/>
          <w:bCs/>
          <w:sz w:val="24"/>
          <w:szCs w:val="24"/>
          <w:lang w:val="en"/>
        </w:rPr>
        <w:t>School Counselor Training in</w:t>
      </w:r>
      <w:r w:rsidRPr="000347E7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 xml:space="preserve"> t</w:t>
      </w:r>
      <w:r w:rsidRPr="000347E7">
        <w:rPr>
          <w:rFonts w:ascii="Times New Roman" w:eastAsia="Calibri" w:hAnsi="Times New Roman" w:cs="Times New Roman"/>
          <w:sz w:val="24"/>
          <w:szCs w:val="24"/>
          <w:lang w:val="en"/>
        </w:rPr>
        <w:t>he recognition of mental health disorder and behavioral distress, including depression, trauma, violence, youth suicide, and substance abuse. (5 points)</w:t>
      </w:r>
    </w:p>
    <w:p w:rsidR="001D2587" w:rsidRPr="000347E7" w:rsidRDefault="001D2587" w:rsidP="001746E8">
      <w:pPr>
        <w:numPr>
          <w:ilvl w:val="0"/>
          <w:numId w:val="10"/>
        </w:numPr>
        <w:shd w:val="clear" w:color="auto" w:fill="FFFFFF"/>
        <w:tabs>
          <w:tab w:val="left" w:pos="8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0347E7">
        <w:rPr>
          <w:rFonts w:ascii="Times New Roman" w:eastAsia="Calibri" w:hAnsi="Times New Roman" w:cs="Times New Roman"/>
          <w:b/>
          <w:sz w:val="24"/>
          <w:szCs w:val="24"/>
          <w:u w:val="single"/>
          <w:lang w:val="en"/>
        </w:rPr>
        <w:t>LICENSEES ENDORSED TO TEACH MIDDLE SCHOOL CIVICS OR ECONOMICS OR HIGH SCHOOL GOVERNMENT OR HISTORY ONLY</w:t>
      </w:r>
      <w:r w:rsidRPr="000347E7">
        <w:rPr>
          <w:rFonts w:ascii="Times New Roman" w:eastAsia="Calibri" w:hAnsi="Times New Roman" w:cs="Times New Roman"/>
          <w:sz w:val="24"/>
          <w:szCs w:val="24"/>
          <w:lang w:val="en"/>
        </w:rPr>
        <w:t xml:space="preserve">:  </w:t>
      </w:r>
      <w:r w:rsidRPr="000347E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"/>
        </w:rPr>
        <w:t>Virginia History or State and Local Government Module</w:t>
      </w:r>
      <w:r w:rsidR="00AB67A1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Pr="000347E7">
        <w:rPr>
          <w:rFonts w:ascii="Times New Roman" w:eastAsia="Calibri" w:hAnsi="Times New Roman" w:cs="Times New Roman"/>
          <w:sz w:val="24"/>
          <w:szCs w:val="24"/>
          <w:lang w:val="en"/>
        </w:rPr>
        <w:t>(5 points)</w:t>
      </w:r>
    </w:p>
    <w:p w:rsidR="001D2587" w:rsidRDefault="001D2587" w:rsidP="001D2587"/>
    <w:p w:rsidR="00AF33B3" w:rsidRDefault="00AF33B3" w:rsidP="00AF3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draft document </w:t>
      </w:r>
      <w:proofErr w:type="gramStart"/>
      <w:r>
        <w:rPr>
          <w:rFonts w:ascii="Times New Roman" w:hAnsi="Times New Roman" w:cs="Times New Roman"/>
          <w:sz w:val="24"/>
          <w:szCs w:val="24"/>
        </w:rPr>
        <w:t>was provided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begin discussion about recommendations to revise the renewal requirements</w:t>
      </w:r>
      <w:r w:rsidRPr="004E056B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The draft document proposed the following possible topics and professional development points for renewal:</w:t>
      </w:r>
    </w:p>
    <w:p w:rsidR="00AF33B3" w:rsidRPr="001746E8" w:rsidRDefault="00AF33B3" w:rsidP="001746E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6E8">
        <w:rPr>
          <w:rFonts w:ascii="Times New Roman" w:hAnsi="Times New Roman" w:cs="Times New Roman"/>
          <w:sz w:val="24"/>
          <w:szCs w:val="24"/>
        </w:rPr>
        <w:t>Diversity, Equity, and Cultural Competence (a minimum of 15 points)</w:t>
      </w:r>
    </w:p>
    <w:p w:rsidR="00AF33B3" w:rsidRPr="001746E8" w:rsidRDefault="00AF33B3" w:rsidP="00BD6E1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6E8">
        <w:rPr>
          <w:rFonts w:ascii="Times New Roman" w:eastAsia="+mn-ea" w:hAnsi="Times New Roman" w:cs="Times New Roman"/>
          <w:bCs/>
          <w:sz w:val="24"/>
          <w:szCs w:val="24"/>
        </w:rPr>
        <w:t xml:space="preserve">School Division Professional Development and Learning </w:t>
      </w:r>
      <w:r w:rsidRPr="001746E8">
        <w:rPr>
          <w:rFonts w:ascii="Times New Roman" w:eastAsia="+mn-ea" w:hAnsi="Times New Roman" w:cs="Times New Roman"/>
          <w:sz w:val="24"/>
          <w:szCs w:val="24"/>
        </w:rPr>
        <w:t>(a minimum of 15 points if employed by a Virginia school division)</w:t>
      </w:r>
    </w:p>
    <w:p w:rsidR="00AF33B3" w:rsidRPr="001746E8" w:rsidRDefault="00AB67A1" w:rsidP="00150C9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bCs/>
          <w:sz w:val="24"/>
          <w:szCs w:val="24"/>
        </w:rPr>
        <w:t>Social Emotional Learning/</w:t>
      </w:r>
      <w:r w:rsidR="00AF33B3" w:rsidRPr="001746E8">
        <w:rPr>
          <w:rFonts w:ascii="Times New Roman" w:eastAsia="+mn-ea" w:hAnsi="Times New Roman" w:cs="Times New Roman"/>
          <w:bCs/>
          <w:sz w:val="24"/>
          <w:szCs w:val="24"/>
        </w:rPr>
        <w:t>Trauma Informed Teaching Strategies/Classroom Management</w:t>
      </w:r>
      <w:r w:rsidR="001746E8" w:rsidRPr="001746E8">
        <w:rPr>
          <w:rFonts w:ascii="Times New Roman" w:eastAsia="+mn-ea" w:hAnsi="Times New Roman" w:cs="Times New Roman"/>
          <w:bCs/>
          <w:sz w:val="24"/>
          <w:szCs w:val="24"/>
        </w:rPr>
        <w:t xml:space="preserve"> </w:t>
      </w:r>
      <w:r w:rsidR="00AF33B3" w:rsidRPr="001746E8">
        <w:rPr>
          <w:rFonts w:ascii="Times New Roman" w:eastAsia="+mn-ea" w:hAnsi="Times New Roman" w:cs="Times New Roman"/>
          <w:sz w:val="24"/>
          <w:szCs w:val="24"/>
        </w:rPr>
        <w:t>(a minimum of 15 points)</w:t>
      </w:r>
    </w:p>
    <w:p w:rsidR="00AF33B3" w:rsidRPr="001746E8" w:rsidRDefault="00AF33B3" w:rsidP="001746E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6E8">
        <w:rPr>
          <w:rFonts w:ascii="Times New Roman" w:eastAsia="+mn-ea" w:hAnsi="Times New Roman" w:cs="Times New Roman"/>
          <w:bCs/>
          <w:sz w:val="24"/>
          <w:szCs w:val="24"/>
        </w:rPr>
        <w:t>Data Analysis and Instructional Planning</w:t>
      </w:r>
    </w:p>
    <w:p w:rsidR="00AF33B3" w:rsidRPr="001746E8" w:rsidRDefault="00AF33B3" w:rsidP="001746E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+mn-ea" w:hAnsi="Times New Roman" w:cs="Times New Roman"/>
          <w:sz w:val="24"/>
          <w:szCs w:val="24"/>
        </w:rPr>
      </w:pPr>
      <w:r w:rsidRPr="001746E8">
        <w:rPr>
          <w:rFonts w:ascii="Times New Roman" w:eastAsia="+mn-ea" w:hAnsi="Times New Roman" w:cs="Times New Roman"/>
          <w:bCs/>
          <w:sz w:val="24"/>
          <w:szCs w:val="24"/>
        </w:rPr>
        <w:t xml:space="preserve">Content Knowledge </w:t>
      </w:r>
      <w:r w:rsidRPr="001746E8">
        <w:rPr>
          <w:rFonts w:ascii="Times New Roman" w:eastAsia="+mn-ea" w:hAnsi="Times New Roman" w:cs="Times New Roman"/>
          <w:sz w:val="24"/>
          <w:szCs w:val="24"/>
        </w:rPr>
        <w:t>(to add an endorsement or expand knowledge or expertise in teaching assignment)</w:t>
      </w:r>
    </w:p>
    <w:p w:rsidR="00AF33B3" w:rsidRPr="001746E8" w:rsidRDefault="00AF33B3" w:rsidP="001746E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6E8">
        <w:rPr>
          <w:rFonts w:ascii="Times New Roman" w:eastAsia="+mn-ea" w:hAnsi="Times New Roman" w:cs="Times New Roman"/>
          <w:bCs/>
          <w:sz w:val="24"/>
          <w:szCs w:val="24"/>
        </w:rPr>
        <w:t>Technology Integration and Computer Science</w:t>
      </w:r>
    </w:p>
    <w:p w:rsidR="00AF33B3" w:rsidRPr="001746E8" w:rsidRDefault="00AF33B3" w:rsidP="001746E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6E8">
        <w:rPr>
          <w:rFonts w:ascii="Times New Roman" w:eastAsia="+mn-ea" w:hAnsi="Times New Roman" w:cs="Times New Roman"/>
          <w:bCs/>
          <w:sz w:val="24"/>
          <w:szCs w:val="24"/>
        </w:rPr>
        <w:t>Instructional and Assessment Practices</w:t>
      </w:r>
    </w:p>
    <w:p w:rsidR="001746E8" w:rsidRPr="001746E8" w:rsidRDefault="001746E8" w:rsidP="001746E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6E8">
        <w:rPr>
          <w:rFonts w:ascii="Times New Roman" w:eastAsia="+mn-ea" w:hAnsi="Times New Roman" w:cs="Times New Roman"/>
          <w:bCs/>
          <w:sz w:val="24"/>
          <w:szCs w:val="24"/>
        </w:rPr>
        <w:t>Mandatory Statutory Requirements for Renewal</w:t>
      </w:r>
    </w:p>
    <w:p w:rsidR="001746E8" w:rsidRDefault="001746E8" w:rsidP="00AF33B3">
      <w:pPr>
        <w:rPr>
          <w:rFonts w:ascii="Times New Roman" w:hAnsi="Times New Roman" w:cs="Times New Roman"/>
          <w:sz w:val="24"/>
          <w:szCs w:val="24"/>
        </w:rPr>
      </w:pPr>
    </w:p>
    <w:p w:rsidR="00AF33B3" w:rsidRDefault="00AF33B3" w:rsidP="00AF33B3">
      <w:pPr>
        <w:rPr>
          <w:rFonts w:ascii="Times New Roman" w:hAnsi="Times New Roman" w:cs="Times New Roman"/>
          <w:sz w:val="24"/>
          <w:szCs w:val="24"/>
        </w:rPr>
      </w:pPr>
      <w:r w:rsidRPr="004E056B">
        <w:rPr>
          <w:rFonts w:ascii="Times New Roman" w:hAnsi="Times New Roman" w:cs="Times New Roman"/>
          <w:sz w:val="24"/>
          <w:szCs w:val="24"/>
        </w:rPr>
        <w:t>The major discussion points for future consideration were as follows:</w:t>
      </w:r>
    </w:p>
    <w:p w:rsidR="00AF33B3" w:rsidRDefault="00AF33B3" w:rsidP="00AF33B3">
      <w:pPr>
        <w:pStyle w:val="ListParagraph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E056B">
        <w:rPr>
          <w:rFonts w:ascii="Times New Roman" w:hAnsi="Times New Roman" w:cs="Times New Roman"/>
          <w:sz w:val="24"/>
          <w:szCs w:val="24"/>
        </w:rPr>
        <w:t>Change the titles of the areas to earn renewal points, such as a consider changing the title of Diversity, Equity, and Cultural Competence to</w:t>
      </w:r>
      <w:r>
        <w:rPr>
          <w:rFonts w:ascii="Times New Roman" w:hAnsi="Times New Roman" w:cs="Times New Roman"/>
          <w:sz w:val="24"/>
          <w:szCs w:val="24"/>
        </w:rPr>
        <w:t xml:space="preserve"> the suggested title of</w:t>
      </w:r>
      <w:r w:rsidRPr="004E056B">
        <w:rPr>
          <w:rFonts w:ascii="Times New Roman" w:hAnsi="Times New Roman" w:cs="Times New Roman"/>
          <w:sz w:val="24"/>
          <w:szCs w:val="24"/>
        </w:rPr>
        <w:t xml:space="preserve"> Diversity, Eq</w:t>
      </w:r>
      <w:r w:rsidR="00AB67A1">
        <w:rPr>
          <w:rFonts w:ascii="Times New Roman" w:hAnsi="Times New Roman" w:cs="Times New Roman"/>
          <w:sz w:val="24"/>
          <w:szCs w:val="24"/>
        </w:rPr>
        <w:t>uity, Cultural</w:t>
      </w:r>
      <w:r w:rsidRPr="004E056B">
        <w:rPr>
          <w:rFonts w:ascii="Times New Roman" w:hAnsi="Times New Roman" w:cs="Times New Roman"/>
          <w:sz w:val="24"/>
          <w:szCs w:val="24"/>
        </w:rPr>
        <w:t xml:space="preserve"> Responsiveness and </w:t>
      </w:r>
      <w:r>
        <w:rPr>
          <w:rFonts w:ascii="Times New Roman" w:hAnsi="Times New Roman" w:cs="Times New Roman"/>
          <w:sz w:val="24"/>
          <w:szCs w:val="24"/>
        </w:rPr>
        <w:t>Competence/Anti-racist Practice;</w:t>
      </w:r>
      <w:r w:rsidRPr="004E05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33B3" w:rsidRDefault="00AF33B3" w:rsidP="00AF33B3">
      <w:pPr>
        <w:pStyle w:val="ListParagraph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definitions of areas required for renewal;</w:t>
      </w:r>
    </w:p>
    <w:p w:rsidR="00AF33B3" w:rsidRDefault="00AF33B3" w:rsidP="00AF33B3">
      <w:pPr>
        <w:pStyle w:val="ListParagraph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regrouping</w:t>
      </w:r>
      <w:r w:rsidR="00AB67A1">
        <w:rPr>
          <w:rFonts w:ascii="Times New Roman" w:hAnsi="Times New Roman" w:cs="Times New Roman"/>
          <w:sz w:val="24"/>
          <w:szCs w:val="24"/>
        </w:rPr>
        <w:t xml:space="preserve"> and/or combining</w:t>
      </w:r>
      <w:r>
        <w:rPr>
          <w:rFonts w:ascii="Times New Roman" w:hAnsi="Times New Roman" w:cs="Times New Roman"/>
          <w:sz w:val="24"/>
          <w:szCs w:val="24"/>
        </w:rPr>
        <w:t xml:space="preserve"> the topics; </w:t>
      </w:r>
    </w:p>
    <w:p w:rsidR="00AF33B3" w:rsidRDefault="00AF33B3" w:rsidP="00AF33B3">
      <w:pPr>
        <w:pStyle w:val="ListParagraph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further how to address individuals who may be enrolled in a master’s program or taking coursework required for another endorsement (Do they then need to complete additional work to meet </w:t>
      </w:r>
      <w:r w:rsidR="00AB67A1">
        <w:rPr>
          <w:rFonts w:ascii="Times New Roman" w:hAnsi="Times New Roman" w:cs="Times New Roman"/>
          <w:sz w:val="24"/>
          <w:szCs w:val="24"/>
        </w:rPr>
        <w:t xml:space="preserve">renewal </w:t>
      </w:r>
      <w:r>
        <w:rPr>
          <w:rFonts w:ascii="Times New Roman" w:hAnsi="Times New Roman" w:cs="Times New Roman"/>
          <w:sz w:val="24"/>
          <w:szCs w:val="24"/>
        </w:rPr>
        <w:t>requirements in each of the topic areas?);</w:t>
      </w:r>
    </w:p>
    <w:p w:rsidR="00AF33B3" w:rsidRDefault="00AF33B3" w:rsidP="00AF33B3">
      <w:pPr>
        <w:pStyle w:val="ListParagraph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a timeline for individuals wh</w:t>
      </w:r>
      <w:r w:rsidR="00AB67A1">
        <w:rPr>
          <w:rFonts w:ascii="Times New Roman" w:hAnsi="Times New Roman" w:cs="Times New Roman"/>
          <w:sz w:val="24"/>
          <w:szCs w:val="24"/>
        </w:rPr>
        <w:t xml:space="preserve">o may have completed </w:t>
      </w:r>
      <w:r>
        <w:rPr>
          <w:rFonts w:ascii="Times New Roman" w:hAnsi="Times New Roman" w:cs="Times New Roman"/>
          <w:sz w:val="24"/>
          <w:szCs w:val="24"/>
        </w:rPr>
        <w:t>renewal requirements;</w:t>
      </w:r>
    </w:p>
    <w:p w:rsidR="00AF33B3" w:rsidRDefault="00AF33B3" w:rsidP="00AF33B3">
      <w:pPr>
        <w:pStyle w:val="ListParagraph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Align renewal and professional development with the Performance Standards and Evaluation Criteria for teachers; and</w:t>
      </w:r>
    </w:p>
    <w:p w:rsidR="00AF33B3" w:rsidRDefault="00AF33B3" w:rsidP="00AF33B3">
      <w:pPr>
        <w:pStyle w:val="ListParagraph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Align renewal </w:t>
      </w:r>
      <w:r w:rsidR="00AB67A1">
        <w:rPr>
          <w:rFonts w:ascii="Times New Roman" w:hAnsi="Times New Roman" w:cs="Times New Roman"/>
          <w:sz w:val="24"/>
          <w:szCs w:val="24"/>
        </w:rPr>
        <w:t xml:space="preserve">requirements </w:t>
      </w:r>
      <w:r>
        <w:rPr>
          <w:rFonts w:ascii="Times New Roman" w:hAnsi="Times New Roman" w:cs="Times New Roman"/>
          <w:sz w:val="24"/>
          <w:szCs w:val="24"/>
        </w:rPr>
        <w:t>with Board of Education objectives.</w:t>
      </w:r>
    </w:p>
    <w:p w:rsidR="00890D99" w:rsidRDefault="00890D99" w:rsidP="000347E7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347E7" w:rsidRPr="000347E7" w:rsidRDefault="000347E7" w:rsidP="000347E7">
      <w:pPr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0347E7">
        <w:rPr>
          <w:rFonts w:ascii="Times New Roman" w:eastAsia="Calibri" w:hAnsi="Times New Roman" w:cs="Times New Roman"/>
          <w:b/>
          <w:sz w:val="24"/>
          <w:szCs w:val="24"/>
          <w:u w:val="single"/>
        </w:rPr>
        <w:t>ACTION</w:t>
      </w:r>
      <w:r w:rsidRPr="000347E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0347E7" w:rsidRPr="000347E7" w:rsidRDefault="000347E7" w:rsidP="000347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0347E7">
        <w:rPr>
          <w:rFonts w:ascii="Times New Roman" w:eastAsia="Times New Roman" w:hAnsi="Times New Roman" w:cs="Times New Roman"/>
          <w:sz w:val="24"/>
          <w:szCs w:val="24"/>
        </w:rPr>
        <w:t xml:space="preserve">The Advisory Board on Teacher Education and Licensure is </w:t>
      </w:r>
      <w:r w:rsidR="001746E8">
        <w:rPr>
          <w:rFonts w:ascii="Times New Roman" w:eastAsia="Times New Roman" w:hAnsi="Times New Roman" w:cs="Times New Roman"/>
          <w:sz w:val="24"/>
          <w:szCs w:val="24"/>
        </w:rPr>
        <w:t>to continue to discuss</w:t>
      </w:r>
      <w:r w:rsidR="00F920B8">
        <w:rPr>
          <w:rFonts w:ascii="Times New Roman" w:eastAsia="Times New Roman" w:hAnsi="Times New Roman" w:cs="Times New Roman"/>
          <w:sz w:val="24"/>
          <w:szCs w:val="24"/>
        </w:rPr>
        <w:t xml:space="preserve"> recommendations</w:t>
      </w:r>
      <w:r w:rsidR="00596BA7">
        <w:rPr>
          <w:rFonts w:ascii="Times New Roman" w:eastAsia="Times New Roman" w:hAnsi="Times New Roman" w:cs="Times New Roman"/>
          <w:sz w:val="24"/>
          <w:szCs w:val="24"/>
        </w:rPr>
        <w:t xml:space="preserve"> on requirements for licensure renewal</w:t>
      </w:r>
      <w:r w:rsidR="00F920B8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AB67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B67A1">
        <w:rPr>
          <w:rFonts w:ascii="Times New Roman" w:eastAsia="Times New Roman" w:hAnsi="Times New Roman" w:cs="Times New Roman"/>
          <w:sz w:val="24"/>
          <w:szCs w:val="24"/>
        </w:rPr>
        <w:t>be presented</w:t>
      </w:r>
      <w:proofErr w:type="gramEnd"/>
      <w:r w:rsidR="00AB67A1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F920B8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596BA7">
        <w:rPr>
          <w:rFonts w:ascii="Times New Roman" w:eastAsia="Times New Roman" w:hAnsi="Times New Roman" w:cs="Times New Roman"/>
          <w:sz w:val="24"/>
          <w:szCs w:val="24"/>
        </w:rPr>
        <w:t>Board of Education.</w:t>
      </w:r>
    </w:p>
    <w:p w:rsidR="00165608" w:rsidRDefault="00165608"/>
    <w:sectPr w:rsidR="00165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27BA"/>
    <w:multiLevelType w:val="multilevel"/>
    <w:tmpl w:val="7B561CE8"/>
    <w:lvl w:ilvl="0">
      <w:start w:val="1"/>
      <w:numFmt w:val="bullet"/>
      <w:lvlText w:val=""/>
      <w:lvlJc w:val="left"/>
      <w:pPr>
        <w:tabs>
          <w:tab w:val="num" w:pos="-1653"/>
        </w:tabs>
        <w:ind w:left="-1653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-933"/>
        </w:tabs>
        <w:ind w:left="-933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213"/>
        </w:tabs>
        <w:ind w:left="-21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7"/>
        </w:tabs>
        <w:ind w:left="50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7"/>
        </w:tabs>
        <w:ind w:left="122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947"/>
        </w:tabs>
        <w:ind w:left="194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387"/>
        </w:tabs>
        <w:ind w:left="338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107"/>
        </w:tabs>
        <w:ind w:left="410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45316"/>
    <w:multiLevelType w:val="hybridMultilevel"/>
    <w:tmpl w:val="55A4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97305"/>
    <w:multiLevelType w:val="hybridMultilevel"/>
    <w:tmpl w:val="59F0A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C1D99"/>
    <w:multiLevelType w:val="hybridMultilevel"/>
    <w:tmpl w:val="3A704E84"/>
    <w:lvl w:ilvl="0" w:tplc="6B5AEAC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DFB2DCB"/>
    <w:multiLevelType w:val="hybridMultilevel"/>
    <w:tmpl w:val="EAFC49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FF00D4F"/>
    <w:multiLevelType w:val="multilevel"/>
    <w:tmpl w:val="6AF2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2876D6"/>
    <w:multiLevelType w:val="hybridMultilevel"/>
    <w:tmpl w:val="8AC07404"/>
    <w:lvl w:ilvl="0" w:tplc="0409000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-1440" w:hanging="360"/>
      </w:pPr>
    </w:lvl>
    <w:lvl w:ilvl="2" w:tplc="0409001B">
      <w:start w:val="1"/>
      <w:numFmt w:val="lowerRoman"/>
      <w:lvlText w:val="%3."/>
      <w:lvlJc w:val="right"/>
      <w:pPr>
        <w:ind w:left="-720" w:hanging="180"/>
      </w:pPr>
    </w:lvl>
    <w:lvl w:ilvl="3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7" w15:restartNumberingAfterBreak="0">
    <w:nsid w:val="480F2A72"/>
    <w:multiLevelType w:val="hybridMultilevel"/>
    <w:tmpl w:val="4D400158"/>
    <w:lvl w:ilvl="0" w:tplc="28CEC69E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BD12C55"/>
    <w:multiLevelType w:val="hybridMultilevel"/>
    <w:tmpl w:val="5652EFAC"/>
    <w:lvl w:ilvl="0" w:tplc="0409000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9" w15:restartNumberingAfterBreak="0">
    <w:nsid w:val="7E1D63B5"/>
    <w:multiLevelType w:val="hybridMultilevel"/>
    <w:tmpl w:val="732CBE9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E7"/>
    <w:rsid w:val="000347E7"/>
    <w:rsid w:val="00165608"/>
    <w:rsid w:val="001746E8"/>
    <w:rsid w:val="001B75CD"/>
    <w:rsid w:val="001D2587"/>
    <w:rsid w:val="004D032F"/>
    <w:rsid w:val="005001CA"/>
    <w:rsid w:val="00596BA7"/>
    <w:rsid w:val="005A1254"/>
    <w:rsid w:val="00651BAD"/>
    <w:rsid w:val="0079748C"/>
    <w:rsid w:val="007C514A"/>
    <w:rsid w:val="00890D99"/>
    <w:rsid w:val="00AB67A1"/>
    <w:rsid w:val="00AF33B3"/>
    <w:rsid w:val="00CE4B3E"/>
    <w:rsid w:val="00D93D81"/>
    <w:rsid w:val="00E80597"/>
    <w:rsid w:val="00F9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B0DD3"/>
  <w15:chartTrackingRefBased/>
  <w15:docId w15:val="{6723A27A-7EBC-46D5-9059-DA476FAE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B3E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eastAsia="Calibri" w:hAnsi="Times New Roman" w:cs="Times New Roman"/>
      <w:b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B3E"/>
    <w:pPr>
      <w:tabs>
        <w:tab w:val="center" w:pos="4680"/>
        <w:tab w:val="right" w:pos="9360"/>
      </w:tabs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B3E"/>
    <w:rPr>
      <w:rFonts w:ascii="Times New Roman" w:eastAsia="Calibri" w:hAnsi="Times New Roman" w:cs="Times New Roman"/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E4B3E"/>
    <w:rPr>
      <w:rFonts w:ascii="Times New Roman" w:eastAsia="Calibri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AF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VITA Program</cp:lastModifiedBy>
  <cp:revision>4</cp:revision>
  <dcterms:created xsi:type="dcterms:W3CDTF">2020-11-09T01:30:00Z</dcterms:created>
  <dcterms:modified xsi:type="dcterms:W3CDTF">2020-11-09T18:28:00Z</dcterms:modified>
</cp:coreProperties>
</file>