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448AA19D" w:rsidR="00AD0966" w:rsidRDefault="3F1DC870">
      <w:pPr>
        <w:pStyle w:val="Heading1"/>
        <w:ind w:left="2160" w:hanging="2160"/>
        <w:rPr>
          <w:rFonts w:ascii="Times New Roman" w:eastAsia="Times New Roman" w:hAnsi="Times New Roman" w:cs="Times New Roman"/>
        </w:rPr>
      </w:pPr>
      <w:bookmarkStart w:id="0" w:name="_v6h2tvc63wcj"/>
      <w:bookmarkEnd w:id="0"/>
      <w:r w:rsidRPr="1B24D93F">
        <w:rPr>
          <w:rFonts w:ascii="Times New Roman" w:eastAsia="Times New Roman" w:hAnsi="Times New Roman" w:cs="Times New Roman"/>
        </w:rPr>
        <w:t xml:space="preserve">Agenda Item: </w:t>
      </w:r>
      <w:r w:rsidR="001E412D">
        <w:tab/>
      </w:r>
      <w:r w:rsidR="133B82EF" w:rsidRPr="1B24D93F">
        <w:rPr>
          <w:rFonts w:ascii="Times New Roman" w:eastAsia="Times New Roman" w:hAnsi="Times New Roman" w:cs="Times New Roman"/>
        </w:rPr>
        <w:t>A</w:t>
      </w:r>
    </w:p>
    <w:p w14:paraId="672A6659" w14:textId="77777777" w:rsidR="00AD0966" w:rsidRDefault="00AD0966" w:rsidP="47ED2FD8">
      <w:pPr>
        <w:ind w:left="2160" w:hanging="2160"/>
        <w:rPr>
          <w:b/>
          <w:bCs/>
        </w:rPr>
      </w:pPr>
    </w:p>
    <w:p w14:paraId="4C8BFC02" w14:textId="4D938B1E" w:rsidR="00AD0966" w:rsidRDefault="001E412D" w:rsidP="47ED2FD8">
      <w:pPr>
        <w:pStyle w:val="Heading2"/>
        <w:ind w:left="2160" w:hanging="2160"/>
      </w:pPr>
      <w:bookmarkStart w:id="1" w:name="_tehyq7yeo3rn"/>
      <w:bookmarkEnd w:id="1"/>
      <w:r w:rsidRPr="47ED2FD8">
        <w:t>Date:</w:t>
      </w:r>
      <w:r w:rsidR="0052550F">
        <w:t xml:space="preserve">  </w:t>
      </w:r>
      <w:r w:rsidR="00BA0FC5">
        <w:tab/>
      </w:r>
      <w:r w:rsidR="0052550F">
        <w:t>May 11, 2023</w:t>
      </w:r>
      <w:r>
        <w:tab/>
      </w:r>
    </w:p>
    <w:p w14:paraId="0A37501D" w14:textId="77777777" w:rsidR="00AD0966" w:rsidRDefault="00AD0966" w:rsidP="47ED2FD8">
      <w:pPr>
        <w:ind w:left="2160" w:hanging="2160"/>
        <w:rPr>
          <w:b/>
          <w:bCs/>
        </w:rPr>
      </w:pPr>
    </w:p>
    <w:p w14:paraId="5DAB6C7B" w14:textId="25F063F5" w:rsidR="00AD0966" w:rsidRDefault="001E412D" w:rsidP="47ED2FD8">
      <w:pPr>
        <w:pStyle w:val="Heading2"/>
        <w:ind w:left="2160" w:hanging="2160"/>
      </w:pPr>
      <w:bookmarkStart w:id="2" w:name="_d0ckn4izyzin"/>
      <w:bookmarkEnd w:id="2"/>
      <w:r>
        <w:t>Title:</w:t>
      </w:r>
      <w:r w:rsidR="0052550F">
        <w:t xml:space="preserve">  </w:t>
      </w:r>
      <w:r w:rsidR="00AD0966">
        <w:tab/>
      </w:r>
      <w:bookmarkStart w:id="3" w:name="_ckp6aa8djvis"/>
      <w:bookmarkEnd w:id="3"/>
      <w:r w:rsidR="0CF493B0">
        <w:t>First and Final Review of Emergency Regulations to Amend the Licensure Regulations for School Personnel (8VAC20-23) to Extend the Expiration for Renewable Licenses</w:t>
      </w:r>
    </w:p>
    <w:p w14:paraId="0F75C108" w14:textId="25F063F5" w:rsidR="0102ACC4" w:rsidRDefault="0102ACC4" w:rsidP="0102ACC4"/>
    <w:p w14:paraId="37E2EE6D" w14:textId="0D7C10AA" w:rsidR="00AD0966" w:rsidRDefault="001E412D" w:rsidP="47ED2FD8">
      <w:pPr>
        <w:pStyle w:val="Heading2"/>
        <w:ind w:left="2160" w:hanging="2160"/>
      </w:pPr>
      <w:bookmarkStart w:id="4" w:name="_k7s1zrg76o8l"/>
      <w:bookmarkEnd w:id="4"/>
      <w:r w:rsidRPr="47ED2FD8">
        <w:t xml:space="preserve">Presenter: </w:t>
      </w:r>
      <w:r w:rsidR="00BA0FC5">
        <w:tab/>
      </w:r>
      <w:r w:rsidR="005A0AD4">
        <w:t>Dr. Lisa Coons, Superintendent of Public Instruction</w:t>
      </w:r>
    </w:p>
    <w:p w14:paraId="02EB378F" w14:textId="77777777" w:rsidR="00AD0966" w:rsidRDefault="00AD0966" w:rsidP="47ED2FD8">
      <w:pPr>
        <w:pStyle w:val="Heading2"/>
        <w:ind w:left="2160" w:hanging="2160"/>
      </w:pPr>
      <w:bookmarkStart w:id="5" w:name="_6qxna5iyurd3"/>
      <w:bookmarkEnd w:id="5"/>
    </w:p>
    <w:p w14:paraId="1CC5911D" w14:textId="200E9FB0" w:rsidR="00AD0966" w:rsidRDefault="001E412D" w:rsidP="47ED2FD8">
      <w:pPr>
        <w:pStyle w:val="Heading2"/>
        <w:ind w:left="2160" w:hanging="2160"/>
      </w:pPr>
      <w:bookmarkStart w:id="6" w:name="_fsl9fl59q6tz"/>
      <w:bookmarkEnd w:id="6"/>
      <w:r w:rsidRPr="47ED2FD8">
        <w:t xml:space="preserve">Email: </w:t>
      </w:r>
      <w:r w:rsidR="00BA0FC5">
        <w:tab/>
      </w:r>
      <w:hyperlink r:id="rId11" w:history="1">
        <w:r w:rsidR="00BA0FC5" w:rsidRPr="00A75496">
          <w:rPr>
            <w:rStyle w:val="Hyperlink"/>
          </w:rPr>
          <w:t>Lisa.Coons@doe.virginia.gov</w:t>
        </w:r>
      </w:hyperlink>
      <w:r w:rsidR="00BA0FC5">
        <w:t xml:space="preserve"> </w:t>
      </w:r>
      <w:r>
        <w:tab/>
      </w:r>
      <w:r w:rsidRPr="47ED2FD8">
        <w:t xml:space="preserve">Phone: </w:t>
      </w:r>
      <w:r w:rsidR="00916942">
        <w:t>804-371-4917</w:t>
      </w:r>
    </w:p>
    <w:p w14:paraId="6A05A809" w14:textId="77777777" w:rsidR="00AD0966" w:rsidRDefault="00AD0966" w:rsidP="47ED2FD8"/>
    <w:p w14:paraId="226A1730" w14:textId="0F957F84" w:rsidR="00C659CF" w:rsidRDefault="001E412D" w:rsidP="00BA0FC5">
      <w:pPr>
        <w:pStyle w:val="Heading2"/>
        <w:spacing w:after="120"/>
      </w:pPr>
      <w:bookmarkStart w:id="7" w:name="_augujpan37ee"/>
      <w:bookmarkEnd w:id="7"/>
      <w:r w:rsidRPr="0A7E37F7">
        <w:t xml:space="preserve">Purpose of Presentation </w:t>
      </w:r>
    </w:p>
    <w:p w14:paraId="0CEB4486" w14:textId="671E123F" w:rsidR="00AD0966" w:rsidRDefault="00BA0FC5" w:rsidP="00C659CF">
      <w:r>
        <w:t>Action required by state or federal law or regulation.</w:t>
      </w:r>
    </w:p>
    <w:p w14:paraId="5A39BBE3" w14:textId="77777777" w:rsidR="00AD0966" w:rsidRDefault="00AD0966" w:rsidP="47ED2FD8"/>
    <w:p w14:paraId="51FFD37E" w14:textId="1EE09935" w:rsidR="00AD0966" w:rsidRDefault="001E412D" w:rsidP="47ED2FD8">
      <w:pPr>
        <w:pStyle w:val="Heading2"/>
        <w:spacing w:line="240" w:lineRule="auto"/>
      </w:pPr>
      <w:bookmarkStart w:id="8" w:name="_1ix2z9h4zl5e"/>
      <w:bookmarkEnd w:id="8"/>
      <w:r w:rsidRPr="0A7E37F7">
        <w:t>Executive Summary</w:t>
      </w:r>
    </w:p>
    <w:p w14:paraId="03D3455C" w14:textId="124F670A" w:rsidR="00BA0FC5" w:rsidRDefault="00C659CF" w:rsidP="00C659CF">
      <w:pPr>
        <w:spacing w:before="240"/>
        <w:contextualSpacing/>
        <w:jc w:val="both"/>
        <w:rPr>
          <w:rFonts w:eastAsia="Arial"/>
        </w:rPr>
      </w:pPr>
      <w:r w:rsidRPr="00FB1C65">
        <w:rPr>
          <w:rFonts w:eastAsia="Arial"/>
        </w:rPr>
        <w:t>The V</w:t>
      </w:r>
      <w:r w:rsidR="00BA0FC5">
        <w:rPr>
          <w:rFonts w:eastAsia="Arial"/>
        </w:rPr>
        <w:t>irginia Department of Education</w:t>
      </w:r>
      <w:r w:rsidRPr="00FB1C65">
        <w:rPr>
          <w:rFonts w:eastAsia="Arial"/>
        </w:rPr>
        <w:t xml:space="preserve">’s </w:t>
      </w:r>
      <w:r w:rsidR="00B023D2">
        <w:rPr>
          <w:rFonts w:eastAsia="Arial"/>
        </w:rPr>
        <w:t>Office</w:t>
      </w:r>
      <w:r w:rsidR="00B023D2" w:rsidRPr="00FB1C65">
        <w:rPr>
          <w:rFonts w:eastAsia="Arial"/>
        </w:rPr>
        <w:t xml:space="preserve"> </w:t>
      </w:r>
      <w:r w:rsidRPr="00FB1C65">
        <w:rPr>
          <w:rFonts w:eastAsia="Arial"/>
        </w:rPr>
        <w:t>of Teacher Education and Licensure (TEAL) is experiencing significant delays in the issuance of teacher licenses</w:t>
      </w:r>
      <w:r w:rsidR="00BA0FC5">
        <w:rPr>
          <w:rFonts w:eastAsia="Arial"/>
        </w:rPr>
        <w:t>,</w:t>
      </w:r>
      <w:r w:rsidRPr="00FB1C65">
        <w:rPr>
          <w:rFonts w:eastAsia="Arial"/>
        </w:rPr>
        <w:t xml:space="preserve"> and those delays are impacting the ability of teachers to obtain and maintain employment in school divisions. The backlog volume is at a record high. </w:t>
      </w:r>
    </w:p>
    <w:p w14:paraId="59DA2D46" w14:textId="77777777" w:rsidR="00BA0FC5" w:rsidRDefault="00BA0FC5" w:rsidP="00C659CF">
      <w:pPr>
        <w:spacing w:before="240"/>
        <w:contextualSpacing/>
        <w:jc w:val="both"/>
        <w:rPr>
          <w:rFonts w:eastAsia="Arial"/>
        </w:rPr>
      </w:pPr>
    </w:p>
    <w:p w14:paraId="1F6071F1" w14:textId="2B38E7E9" w:rsidR="00BA0FC5" w:rsidRDefault="00BA0FC5" w:rsidP="00C659CF">
      <w:pPr>
        <w:spacing w:before="240"/>
        <w:contextualSpacing/>
        <w:jc w:val="both"/>
        <w:rPr>
          <w:rFonts w:eastAsia="Arial"/>
        </w:rPr>
      </w:pPr>
      <w:r>
        <w:rPr>
          <w:rFonts w:eastAsia="Arial"/>
        </w:rPr>
        <w:t xml:space="preserve">The Board </w:t>
      </w:r>
      <w:r w:rsidR="00144BA4">
        <w:rPr>
          <w:rFonts w:eastAsia="Arial"/>
        </w:rPr>
        <w:t xml:space="preserve">of Education (Board) </w:t>
      </w:r>
      <w:r>
        <w:rPr>
          <w:rFonts w:eastAsia="Arial"/>
        </w:rPr>
        <w:t>must grant immediate relief</w:t>
      </w:r>
      <w:r w:rsidR="00C659CF" w:rsidRPr="00FB1C65">
        <w:rPr>
          <w:rFonts w:eastAsia="Arial"/>
        </w:rPr>
        <w:t xml:space="preserve"> to ensure that renewable licenses that expire in June 2023 are extended so that the licensing delays do not impact the delivery of instruction for the </w:t>
      </w:r>
      <w:r>
        <w:rPr>
          <w:rFonts w:eastAsia="Arial"/>
        </w:rPr>
        <w:t>2023–2024</w:t>
      </w:r>
      <w:r w:rsidR="00C659CF" w:rsidRPr="00FB1C65">
        <w:rPr>
          <w:rFonts w:eastAsia="Arial"/>
        </w:rPr>
        <w:t xml:space="preserve"> school year.</w:t>
      </w:r>
    </w:p>
    <w:p w14:paraId="51B6CED6" w14:textId="77777777" w:rsidR="00BA0FC5" w:rsidRPr="00BA0FC5" w:rsidRDefault="00BA0FC5" w:rsidP="00C659CF">
      <w:pPr>
        <w:spacing w:before="240"/>
        <w:contextualSpacing/>
        <w:jc w:val="both"/>
        <w:rPr>
          <w:rFonts w:eastAsia="Arial"/>
        </w:rPr>
      </w:pPr>
    </w:p>
    <w:p w14:paraId="0F6479CA" w14:textId="75CEDA69" w:rsidR="00BA0FC5" w:rsidRDefault="00BA0FC5" w:rsidP="00BA0FC5">
      <w:pPr>
        <w:spacing w:before="240"/>
        <w:contextualSpacing/>
        <w:jc w:val="both"/>
        <w:rPr>
          <w:rFonts w:eastAsia="Arial"/>
        </w:rPr>
      </w:pPr>
      <w:r>
        <w:rPr>
          <w:rFonts w:eastAsia="Arial"/>
        </w:rPr>
        <w:t xml:space="preserve">This action furthers Priority 2 of the Board’s </w:t>
      </w:r>
      <w:r>
        <w:rPr>
          <w:rFonts w:eastAsia="Arial"/>
          <w:i/>
          <w:iCs/>
        </w:rPr>
        <w:t>Comprehensive Plan</w:t>
      </w:r>
      <w:r>
        <w:rPr>
          <w:rFonts w:eastAsia="Arial"/>
        </w:rPr>
        <w:t>: advance policies that increase the number of candidates entering the teaching profession and encourage and support the recruitment, development, and retention of well-prepared and skilled teachers and school leaders.</w:t>
      </w:r>
    </w:p>
    <w:p w14:paraId="41C8F396" w14:textId="77777777" w:rsidR="00AD0966" w:rsidRDefault="00AD0966" w:rsidP="00C659CF">
      <w:bookmarkStart w:id="9" w:name="_824hejcgkig"/>
      <w:bookmarkEnd w:id="9"/>
    </w:p>
    <w:p w14:paraId="41BD4332" w14:textId="603E2B37" w:rsidR="00AD0966" w:rsidRDefault="001E412D" w:rsidP="47ED2FD8">
      <w:pPr>
        <w:pStyle w:val="Heading2"/>
        <w:spacing w:line="240" w:lineRule="auto"/>
      </w:pPr>
      <w:bookmarkStart w:id="10" w:name="_e237r4fk2eq0"/>
      <w:bookmarkEnd w:id="10"/>
      <w:r w:rsidRPr="0A7E37F7">
        <w:t>Action Requested</w:t>
      </w:r>
    </w:p>
    <w:p w14:paraId="3EEFDF91" w14:textId="77777777" w:rsidR="00FB1C65" w:rsidRDefault="00FB1C65" w:rsidP="000079D7">
      <w:pPr>
        <w:spacing w:line="240" w:lineRule="auto"/>
      </w:pPr>
    </w:p>
    <w:p w14:paraId="325EEEE3" w14:textId="5B9F88AB" w:rsidR="00AD0966" w:rsidRDefault="00BA0FC5" w:rsidP="000079D7">
      <w:pPr>
        <w:spacing w:line="240" w:lineRule="auto"/>
      </w:pPr>
      <w:r>
        <w:t>Final review: Action requested at this meeting</w:t>
      </w:r>
      <w:r w:rsidR="00842B3E">
        <w:t>.</w:t>
      </w:r>
    </w:p>
    <w:p w14:paraId="72A3D3EC" w14:textId="77777777" w:rsidR="00AD0966" w:rsidRDefault="00AD0966" w:rsidP="47ED2FD8">
      <w:pPr>
        <w:spacing w:line="240" w:lineRule="auto"/>
      </w:pPr>
    </w:p>
    <w:p w14:paraId="0B4557F9" w14:textId="77777777" w:rsidR="00AD0966" w:rsidRDefault="001E412D" w:rsidP="47ED2FD8">
      <w:pPr>
        <w:pStyle w:val="Heading2"/>
        <w:spacing w:line="240" w:lineRule="auto"/>
      </w:pPr>
      <w:bookmarkStart w:id="11" w:name="_1vp15r958csl"/>
      <w:bookmarkEnd w:id="11"/>
      <w:r w:rsidRPr="47ED2FD8">
        <w:t xml:space="preserve">Superintendent’s Recommendation </w:t>
      </w:r>
    </w:p>
    <w:p w14:paraId="7CD7E6A8" w14:textId="77777777" w:rsidR="00FB1C65" w:rsidRDefault="00FB1C65" w:rsidP="47ED2FD8">
      <w:pPr>
        <w:spacing w:line="240" w:lineRule="auto"/>
      </w:pPr>
    </w:p>
    <w:p w14:paraId="0D0B940D" w14:textId="2D9798A8" w:rsidR="00AD0966" w:rsidRDefault="2D9A22F3" w:rsidP="79A43F17">
      <w:r>
        <w:t>The Superintendent of Public Instruction recommends that the Board of Educati</w:t>
      </w:r>
      <w:r w:rsidR="08DA2310">
        <w:t>on</w:t>
      </w:r>
      <w:r w:rsidR="50BB15D6">
        <w:t xml:space="preserve"> waive first review and</w:t>
      </w:r>
      <w:r w:rsidR="08DA2310">
        <w:t xml:space="preserve"> approve </w:t>
      </w:r>
      <w:r w:rsidR="50BB15D6">
        <w:t xml:space="preserve">the </w:t>
      </w:r>
      <w:r w:rsidR="08DA2310">
        <w:t>emergency regulation</w:t>
      </w:r>
      <w:r w:rsidR="78F2E2A1">
        <w:t xml:space="preserve"> and delegate to the Superintendent of Public Instruction </w:t>
      </w:r>
      <w:r w:rsidR="4CA33740">
        <w:t>the</w:t>
      </w:r>
      <w:r w:rsidR="78F2E2A1">
        <w:t xml:space="preserve"> authority to </w:t>
      </w:r>
      <w:r w:rsidR="4CA33740">
        <w:t xml:space="preserve">carry out </w:t>
      </w:r>
      <w:r w:rsidR="73EF51B5">
        <w:t>the requirements of the Administrative Process Act necessary to finalize the emergency regulation</w:t>
      </w:r>
      <w:r w:rsidR="08DA2310">
        <w:t>.</w:t>
      </w:r>
    </w:p>
    <w:p w14:paraId="6704601E" w14:textId="77777777" w:rsidR="00C659CF" w:rsidRDefault="00C659CF" w:rsidP="47ED2FD8">
      <w:pPr>
        <w:pStyle w:val="Heading2"/>
        <w:spacing w:line="240" w:lineRule="auto"/>
      </w:pPr>
      <w:bookmarkStart w:id="12" w:name="_c8sc8xwenrnu"/>
      <w:bookmarkEnd w:id="12"/>
    </w:p>
    <w:p w14:paraId="0355A790" w14:textId="5B084322" w:rsidR="00AD0966" w:rsidRDefault="001E412D" w:rsidP="47ED2FD8">
      <w:pPr>
        <w:pStyle w:val="Heading2"/>
        <w:spacing w:line="240" w:lineRule="auto"/>
      </w:pPr>
      <w:r w:rsidRPr="0A7E37F7">
        <w:t>Rationale for Action</w:t>
      </w:r>
    </w:p>
    <w:p w14:paraId="283DADB8" w14:textId="77777777" w:rsidR="009315C0" w:rsidRPr="00FB1C65" w:rsidRDefault="009315C0" w:rsidP="0029261A">
      <w:pPr>
        <w:jc w:val="both"/>
        <w:rPr>
          <w:rFonts w:eastAsia="Arial"/>
        </w:rPr>
      </w:pPr>
    </w:p>
    <w:p w14:paraId="1E7E5983" w14:textId="579DD9F4" w:rsidR="0029261A" w:rsidRPr="00FB1C65" w:rsidRDefault="0029261A" w:rsidP="0029261A">
      <w:pPr>
        <w:jc w:val="both"/>
        <w:rPr>
          <w:rFonts w:eastAsia="Arial"/>
        </w:rPr>
      </w:pPr>
      <w:r w:rsidRPr="101E139E">
        <w:rPr>
          <w:rFonts w:eastAsia="Arial"/>
        </w:rPr>
        <w:t xml:space="preserve">At the start of the </w:t>
      </w:r>
      <w:bookmarkStart w:id="13" w:name="_Hlk134629952"/>
      <w:r w:rsidR="00BA0FC5" w:rsidRPr="101E139E">
        <w:rPr>
          <w:rFonts w:eastAsia="Arial"/>
        </w:rPr>
        <w:t>2022–2023</w:t>
      </w:r>
      <w:bookmarkEnd w:id="13"/>
      <w:r w:rsidRPr="101E139E">
        <w:rPr>
          <w:rFonts w:eastAsia="Arial"/>
        </w:rPr>
        <w:t xml:space="preserve"> school year, the teacher vacancy rate in the Commonwealth of Virginia was 3.85%, which equates to approximately 3,602 teachers. The vacancy rate</w:t>
      </w:r>
      <w:r w:rsidR="11B03E37" w:rsidRPr="101E139E">
        <w:rPr>
          <w:rFonts w:eastAsia="Arial"/>
        </w:rPr>
        <w:t xml:space="preserve"> had already increased by 26.14% </w:t>
      </w:r>
      <w:r w:rsidRPr="101E139E">
        <w:rPr>
          <w:rFonts w:eastAsia="Arial"/>
        </w:rPr>
        <w:t xml:space="preserve">from October 2021 to October 2022. Enrollment in teacher preparation programs has declined 35% in the last five years and actual completers declined 21.8%.  Additionally, the number of provisionally licensed teachers has increased 84.7% in the last 10 years.  </w:t>
      </w:r>
    </w:p>
    <w:p w14:paraId="06970B1F" w14:textId="77777777" w:rsidR="00431FB6" w:rsidRPr="00FB1C65" w:rsidRDefault="00431FB6" w:rsidP="0029261A">
      <w:pPr>
        <w:jc w:val="both"/>
        <w:rPr>
          <w:rFonts w:eastAsia="Arial"/>
        </w:rPr>
      </w:pPr>
    </w:p>
    <w:p w14:paraId="703CB54E" w14:textId="3FAC6C28" w:rsidR="0029261A" w:rsidRPr="00FB1C65" w:rsidRDefault="0029261A" w:rsidP="0029261A">
      <w:pPr>
        <w:jc w:val="both"/>
        <w:rPr>
          <w:rFonts w:eastAsia="Arial"/>
        </w:rPr>
      </w:pPr>
      <w:r w:rsidRPr="00FB1C65">
        <w:rPr>
          <w:rFonts w:eastAsia="Arial"/>
        </w:rPr>
        <w:t xml:space="preserve">There are currently over 20,000 active licenses expiring on June 30, 2023. Of those active licenses, 15,500 are renewable licenses. </w:t>
      </w:r>
      <w:r w:rsidR="00144BA4">
        <w:rPr>
          <w:rFonts w:eastAsia="Arial"/>
        </w:rPr>
        <w:t>TE</w:t>
      </w:r>
      <w:r w:rsidR="00144BA4">
        <w:rPr>
          <w:rFonts w:eastAsia="Arial"/>
          <w:caps/>
        </w:rPr>
        <w:t>AL</w:t>
      </w:r>
      <w:r w:rsidRPr="00FB1C65">
        <w:rPr>
          <w:rFonts w:eastAsia="Arial"/>
        </w:rPr>
        <w:t xml:space="preserve"> currently has 2,000 pending requests for evaluations for an initial license. With the systemic processing challenges within </w:t>
      </w:r>
      <w:r w:rsidR="00B023D2">
        <w:rPr>
          <w:rFonts w:eastAsia="Arial"/>
        </w:rPr>
        <w:t>TEAL</w:t>
      </w:r>
      <w:r w:rsidRPr="00FB1C65">
        <w:rPr>
          <w:rFonts w:eastAsia="Arial"/>
        </w:rPr>
        <w:t>, VDOE is not currently equipped to process these requests in a timely manner</w:t>
      </w:r>
      <w:r w:rsidR="00B023D2">
        <w:rPr>
          <w:rFonts w:eastAsia="Arial"/>
        </w:rPr>
        <w:t>, which will impact thousands of teachers, students, and families across the Commonwealth</w:t>
      </w:r>
      <w:r w:rsidRPr="00FB1C65">
        <w:rPr>
          <w:rFonts w:eastAsia="Arial"/>
        </w:rPr>
        <w:t xml:space="preserve">. </w:t>
      </w:r>
    </w:p>
    <w:p w14:paraId="5B436F2F" w14:textId="77777777" w:rsidR="00FD4463" w:rsidRPr="00FB1C65" w:rsidRDefault="00FD4463" w:rsidP="0029261A">
      <w:pPr>
        <w:jc w:val="both"/>
        <w:rPr>
          <w:rFonts w:eastAsia="Arial"/>
        </w:rPr>
      </w:pPr>
    </w:p>
    <w:p w14:paraId="640457F3" w14:textId="0C80224C" w:rsidR="0029261A" w:rsidRPr="00FB1C65" w:rsidRDefault="0029261A" w:rsidP="0029261A">
      <w:pPr>
        <w:jc w:val="both"/>
        <w:rPr>
          <w:rFonts w:eastAsia="Arial"/>
        </w:rPr>
      </w:pPr>
      <w:r w:rsidRPr="00FB1C65">
        <w:rPr>
          <w:rFonts w:eastAsia="Arial"/>
        </w:rPr>
        <w:t xml:space="preserve">The most effective and efficient short-term solution that ensures teachers </w:t>
      </w:r>
      <w:r w:rsidR="00FD4463" w:rsidRPr="00FB1C65">
        <w:rPr>
          <w:rFonts w:eastAsia="Arial"/>
        </w:rPr>
        <w:t xml:space="preserve">with renewable licenses </w:t>
      </w:r>
      <w:r w:rsidRPr="00FB1C65">
        <w:rPr>
          <w:rFonts w:eastAsia="Arial"/>
        </w:rPr>
        <w:t xml:space="preserve">will not be </w:t>
      </w:r>
      <w:r w:rsidR="002E1ACF">
        <w:rPr>
          <w:rFonts w:eastAsia="Arial"/>
        </w:rPr>
        <w:t xml:space="preserve">negatively </w:t>
      </w:r>
      <w:r w:rsidRPr="00FB1C65">
        <w:rPr>
          <w:rFonts w:eastAsia="Arial"/>
        </w:rPr>
        <w:t xml:space="preserve">impacted by the agency’s licensing challenges is to </w:t>
      </w:r>
      <w:r w:rsidR="00FD4463" w:rsidRPr="00FB1C65">
        <w:rPr>
          <w:rFonts w:eastAsia="Arial"/>
        </w:rPr>
        <w:t>extend</w:t>
      </w:r>
      <w:r w:rsidR="00144BA4">
        <w:rPr>
          <w:rFonts w:eastAsia="Arial"/>
        </w:rPr>
        <w:t xml:space="preserve"> by one year</w:t>
      </w:r>
      <w:r w:rsidR="00FD4463" w:rsidRPr="00FB1C65">
        <w:rPr>
          <w:rFonts w:eastAsia="Arial"/>
        </w:rPr>
        <w:t xml:space="preserve"> every current renewable license</w:t>
      </w:r>
      <w:r w:rsidR="00980882" w:rsidRPr="00FB1C65">
        <w:rPr>
          <w:rFonts w:eastAsia="Arial"/>
        </w:rPr>
        <w:t xml:space="preserve"> set to expire on June 30, </w:t>
      </w:r>
      <w:r w:rsidR="00B023D2">
        <w:rPr>
          <w:rFonts w:eastAsia="Arial"/>
        </w:rPr>
        <w:t>2023</w:t>
      </w:r>
      <w:r w:rsidR="00980882" w:rsidRPr="00FB1C65">
        <w:rPr>
          <w:rFonts w:eastAsia="Arial"/>
        </w:rPr>
        <w:t xml:space="preserve">. If approved, this </w:t>
      </w:r>
      <w:r w:rsidR="004B18B2" w:rsidRPr="00FB1C65">
        <w:rPr>
          <w:rFonts w:eastAsia="Arial"/>
        </w:rPr>
        <w:t xml:space="preserve">action will </w:t>
      </w:r>
      <w:r w:rsidRPr="00FB1C65">
        <w:rPr>
          <w:rFonts w:eastAsia="Arial"/>
        </w:rPr>
        <w:t xml:space="preserve">allow VDOE staff to automatically extend </w:t>
      </w:r>
      <w:r w:rsidR="00B023D2">
        <w:rPr>
          <w:rFonts w:eastAsia="Arial"/>
        </w:rPr>
        <w:t xml:space="preserve">15,500 </w:t>
      </w:r>
      <w:r w:rsidRPr="00FB1C65">
        <w:rPr>
          <w:rFonts w:eastAsia="Arial"/>
        </w:rPr>
        <w:t xml:space="preserve">current </w:t>
      </w:r>
      <w:r w:rsidR="004B18B2" w:rsidRPr="00FB1C65">
        <w:rPr>
          <w:rFonts w:eastAsia="Arial"/>
        </w:rPr>
        <w:t xml:space="preserve">renewable </w:t>
      </w:r>
      <w:r w:rsidRPr="00FB1C65">
        <w:rPr>
          <w:rFonts w:eastAsia="Arial"/>
        </w:rPr>
        <w:t xml:space="preserve">licenses. </w:t>
      </w:r>
    </w:p>
    <w:p w14:paraId="6FA6B1AE" w14:textId="77777777" w:rsidR="0064391D" w:rsidRPr="00FB1C65" w:rsidRDefault="0064391D" w:rsidP="0029261A">
      <w:pPr>
        <w:jc w:val="both"/>
        <w:rPr>
          <w:rFonts w:eastAsia="Arial"/>
        </w:rPr>
      </w:pPr>
    </w:p>
    <w:p w14:paraId="5CC41EEB" w14:textId="340A975E" w:rsidR="009D5F05" w:rsidRDefault="00842B3E" w:rsidP="0029261A">
      <w:pPr>
        <w:jc w:val="both"/>
        <w:rPr>
          <w:rFonts w:eastAsia="Arial"/>
        </w:rPr>
      </w:pPr>
      <w:r>
        <w:rPr>
          <w:rFonts w:eastAsia="Arial"/>
        </w:rPr>
        <w:t>This</w:t>
      </w:r>
      <w:r w:rsidRPr="00FB1C65">
        <w:rPr>
          <w:rFonts w:eastAsia="Arial"/>
        </w:rPr>
        <w:t xml:space="preserve"> </w:t>
      </w:r>
      <w:r w:rsidR="0029261A" w:rsidRPr="00FB1C65">
        <w:rPr>
          <w:rFonts w:eastAsia="Arial"/>
        </w:rPr>
        <w:t xml:space="preserve">emergency </w:t>
      </w:r>
      <w:r w:rsidR="00C463D2" w:rsidRPr="00FB1C65">
        <w:rPr>
          <w:rFonts w:eastAsia="Arial"/>
        </w:rPr>
        <w:t>regulation, as presented,</w:t>
      </w:r>
      <w:r w:rsidR="0029261A" w:rsidRPr="00FB1C65">
        <w:rPr>
          <w:rFonts w:eastAsia="Arial"/>
        </w:rPr>
        <w:t xml:space="preserve"> is appropriate given the impact the delays, and backlog will have on students, families, educators, teacher applicants, and school divisions.</w:t>
      </w:r>
      <w:r w:rsidR="00C463D2" w:rsidRPr="00FB1C65">
        <w:rPr>
          <w:rFonts w:eastAsia="Arial"/>
        </w:rPr>
        <w:t xml:space="preserve"> </w:t>
      </w:r>
      <w:r w:rsidR="0029261A" w:rsidRPr="00FB1C65">
        <w:rPr>
          <w:rFonts w:eastAsia="Arial"/>
        </w:rPr>
        <w:t>As this short-term solution is implemented to provide immediate relief, the Superintendent of Public Instruction has already begun examining</w:t>
      </w:r>
      <w:r>
        <w:rPr>
          <w:rFonts w:eastAsia="Arial"/>
        </w:rPr>
        <w:t xml:space="preserve"> short-term and</w:t>
      </w:r>
      <w:r w:rsidR="0029261A" w:rsidRPr="00FB1C65">
        <w:rPr>
          <w:rFonts w:eastAsia="Arial"/>
        </w:rPr>
        <w:t xml:space="preserve"> long-term solutions to address the existing backlog and correct processes that led to this backlog. </w:t>
      </w:r>
    </w:p>
    <w:p w14:paraId="2506ACAE" w14:textId="77777777" w:rsidR="009D5F05" w:rsidRDefault="009D5F05" w:rsidP="0029261A">
      <w:pPr>
        <w:jc w:val="both"/>
        <w:rPr>
          <w:rFonts w:eastAsia="Arial"/>
        </w:rPr>
      </w:pPr>
    </w:p>
    <w:p w14:paraId="722DC27F" w14:textId="096646C0" w:rsidR="0029261A" w:rsidRPr="00FB1C65" w:rsidRDefault="00842B3E" w:rsidP="0029261A">
      <w:pPr>
        <w:jc w:val="both"/>
        <w:rPr>
          <w:rFonts w:eastAsia="Arial"/>
        </w:rPr>
      </w:pPr>
      <w:r>
        <w:rPr>
          <w:rFonts w:eastAsia="Arial"/>
        </w:rPr>
        <w:t>Short-term and long</w:t>
      </w:r>
      <w:r w:rsidR="0029261A" w:rsidRPr="00FB1C65">
        <w:rPr>
          <w:rFonts w:eastAsia="Arial"/>
        </w:rPr>
        <w:t xml:space="preserve">-term solutions include </w:t>
      </w:r>
      <w:r w:rsidR="00B023D2">
        <w:rPr>
          <w:rFonts w:eastAsia="Arial"/>
        </w:rPr>
        <w:t>(</w:t>
      </w:r>
      <w:r w:rsidR="0029261A" w:rsidRPr="00FB1C65">
        <w:rPr>
          <w:rFonts w:eastAsia="Arial"/>
        </w:rPr>
        <w:t xml:space="preserve">1) </w:t>
      </w:r>
      <w:r w:rsidR="00B023D2">
        <w:rPr>
          <w:rFonts w:eastAsia="Arial"/>
        </w:rPr>
        <w:t>hiring</w:t>
      </w:r>
      <w:r w:rsidR="00B023D2" w:rsidRPr="00FB1C65">
        <w:rPr>
          <w:rFonts w:eastAsia="Arial"/>
        </w:rPr>
        <w:t xml:space="preserve"> </w:t>
      </w:r>
      <w:r w:rsidR="0029261A" w:rsidRPr="00FB1C65">
        <w:rPr>
          <w:rFonts w:eastAsia="Arial"/>
        </w:rPr>
        <w:t xml:space="preserve">additional full-time and part-time employees to add to the licensure team; </w:t>
      </w:r>
      <w:r>
        <w:rPr>
          <w:rFonts w:eastAsia="Arial"/>
        </w:rPr>
        <w:t>(</w:t>
      </w:r>
      <w:r w:rsidR="0029261A" w:rsidRPr="00FB1C65">
        <w:rPr>
          <w:rFonts w:eastAsia="Arial"/>
        </w:rPr>
        <w:t xml:space="preserve">2) </w:t>
      </w:r>
      <w:r>
        <w:rPr>
          <w:rFonts w:eastAsia="Arial"/>
        </w:rPr>
        <w:t>implementing</w:t>
      </w:r>
      <w:r w:rsidRPr="00FB1C65">
        <w:rPr>
          <w:rFonts w:eastAsia="Arial"/>
        </w:rPr>
        <w:t xml:space="preserve"> </w:t>
      </w:r>
      <w:r w:rsidR="0029261A" w:rsidRPr="00FB1C65">
        <w:rPr>
          <w:rFonts w:eastAsia="Arial"/>
        </w:rPr>
        <w:t xml:space="preserve">a new organizational structure within the office to maximize efficiency and better position staff to meet the needs of educators and school divisions; </w:t>
      </w:r>
      <w:r>
        <w:rPr>
          <w:rFonts w:eastAsia="Arial"/>
        </w:rPr>
        <w:t>(</w:t>
      </w:r>
      <w:r w:rsidR="0029261A" w:rsidRPr="00FB1C65">
        <w:rPr>
          <w:rFonts w:eastAsia="Arial"/>
        </w:rPr>
        <w:t xml:space="preserve">3) </w:t>
      </w:r>
      <w:r>
        <w:rPr>
          <w:rFonts w:eastAsia="Arial"/>
        </w:rPr>
        <w:t>conducting</w:t>
      </w:r>
      <w:r w:rsidRPr="00FB1C65">
        <w:rPr>
          <w:rFonts w:eastAsia="Arial"/>
        </w:rPr>
        <w:t xml:space="preserve"> </w:t>
      </w:r>
      <w:r w:rsidR="0029261A" w:rsidRPr="00FB1C65">
        <w:rPr>
          <w:rFonts w:eastAsia="Arial"/>
        </w:rPr>
        <w:t xml:space="preserve">a desk-top audit of the licensure division’s procedures that govern the processing of provisional licenses; </w:t>
      </w:r>
      <w:r>
        <w:rPr>
          <w:rFonts w:eastAsia="Arial"/>
        </w:rPr>
        <w:t>(</w:t>
      </w:r>
      <w:r w:rsidR="00D22896" w:rsidRPr="00FB1C65">
        <w:rPr>
          <w:rFonts w:eastAsia="Arial"/>
        </w:rPr>
        <w:t>4</w:t>
      </w:r>
      <w:r w:rsidR="0029261A" w:rsidRPr="00FB1C65">
        <w:rPr>
          <w:rFonts w:eastAsia="Arial"/>
        </w:rPr>
        <w:t xml:space="preserve">) </w:t>
      </w:r>
      <w:r>
        <w:rPr>
          <w:rFonts w:eastAsia="Arial"/>
        </w:rPr>
        <w:t>forming</w:t>
      </w:r>
      <w:r w:rsidRPr="00FB1C65">
        <w:rPr>
          <w:rFonts w:eastAsia="Arial"/>
        </w:rPr>
        <w:t xml:space="preserve"> </w:t>
      </w:r>
      <w:r w:rsidR="0029261A" w:rsidRPr="00FB1C65">
        <w:rPr>
          <w:rFonts w:eastAsia="Arial"/>
        </w:rPr>
        <w:t xml:space="preserve">a task force to advise  </w:t>
      </w:r>
      <w:r>
        <w:rPr>
          <w:rFonts w:eastAsia="Arial"/>
        </w:rPr>
        <w:t xml:space="preserve">how </w:t>
      </w:r>
      <w:r w:rsidR="0029261A" w:rsidRPr="00FB1C65">
        <w:rPr>
          <w:rFonts w:eastAsia="Arial"/>
        </w:rPr>
        <w:t xml:space="preserve">VDOE can be more responsive to school divisions and teacher applicants; </w:t>
      </w:r>
      <w:r>
        <w:rPr>
          <w:rFonts w:eastAsia="Arial"/>
        </w:rPr>
        <w:t>(</w:t>
      </w:r>
      <w:r w:rsidR="00D22896" w:rsidRPr="00FB1C65">
        <w:rPr>
          <w:rFonts w:eastAsia="Arial"/>
        </w:rPr>
        <w:t>5</w:t>
      </w:r>
      <w:r w:rsidR="0029261A" w:rsidRPr="00FB1C65">
        <w:rPr>
          <w:rFonts w:eastAsia="Arial"/>
        </w:rPr>
        <w:t xml:space="preserve">) </w:t>
      </w:r>
      <w:r>
        <w:rPr>
          <w:rFonts w:eastAsia="Arial"/>
        </w:rPr>
        <w:t>coordinating</w:t>
      </w:r>
      <w:r w:rsidRPr="00FB1C65">
        <w:rPr>
          <w:rFonts w:eastAsia="Arial"/>
        </w:rPr>
        <w:t xml:space="preserve"> </w:t>
      </w:r>
      <w:r w:rsidR="0029261A" w:rsidRPr="00FB1C65">
        <w:rPr>
          <w:rFonts w:eastAsia="Arial"/>
        </w:rPr>
        <w:t xml:space="preserve">with </w:t>
      </w:r>
      <w:r w:rsidR="00D22896" w:rsidRPr="00FB1C65">
        <w:rPr>
          <w:rFonts w:eastAsia="Arial"/>
        </w:rPr>
        <w:t>other state agencies</w:t>
      </w:r>
      <w:r w:rsidR="0029261A" w:rsidRPr="00FB1C65">
        <w:rPr>
          <w:rFonts w:eastAsia="Arial"/>
        </w:rPr>
        <w:t xml:space="preserve"> to identify process challenges;</w:t>
      </w:r>
      <w:r>
        <w:rPr>
          <w:rFonts w:eastAsia="Arial"/>
        </w:rPr>
        <w:t xml:space="preserve"> and</w:t>
      </w:r>
      <w:r w:rsidR="0029261A" w:rsidRPr="00FB1C65">
        <w:rPr>
          <w:rFonts w:eastAsia="Arial"/>
        </w:rPr>
        <w:t xml:space="preserve"> </w:t>
      </w:r>
      <w:r>
        <w:rPr>
          <w:rFonts w:eastAsia="Arial"/>
        </w:rPr>
        <w:t>(</w:t>
      </w:r>
      <w:r w:rsidR="00D22896" w:rsidRPr="00FB1C65">
        <w:rPr>
          <w:rFonts w:eastAsia="Arial"/>
        </w:rPr>
        <w:t>6</w:t>
      </w:r>
      <w:r w:rsidR="0029261A" w:rsidRPr="00FB1C65">
        <w:rPr>
          <w:rFonts w:eastAsia="Arial"/>
        </w:rPr>
        <w:t xml:space="preserve">) </w:t>
      </w:r>
      <w:r>
        <w:rPr>
          <w:rFonts w:eastAsia="Arial"/>
        </w:rPr>
        <w:t>expediting</w:t>
      </w:r>
      <w:r w:rsidRPr="00FB1C65">
        <w:rPr>
          <w:rFonts w:eastAsia="Arial"/>
        </w:rPr>
        <w:t xml:space="preserve"> </w:t>
      </w:r>
      <w:r w:rsidR="0029261A" w:rsidRPr="00FB1C65">
        <w:rPr>
          <w:rFonts w:eastAsia="Arial"/>
        </w:rPr>
        <w:t xml:space="preserve">the current contract with the new online licensing vendor to ensure it goes live by </w:t>
      </w:r>
      <w:r w:rsidR="00451A2C" w:rsidRPr="00FB1C65">
        <w:rPr>
          <w:rFonts w:eastAsia="Arial"/>
        </w:rPr>
        <w:t>the end of summer 2023.</w:t>
      </w:r>
    </w:p>
    <w:p w14:paraId="0C6554CB" w14:textId="77777777" w:rsidR="00451A2C" w:rsidRPr="00FB1C65" w:rsidRDefault="00451A2C" w:rsidP="0029261A">
      <w:pPr>
        <w:jc w:val="both"/>
        <w:rPr>
          <w:rFonts w:eastAsia="Arial"/>
        </w:rPr>
      </w:pPr>
    </w:p>
    <w:p w14:paraId="61FA6206" w14:textId="290E540D" w:rsidR="0029261A" w:rsidRPr="00FB1C65" w:rsidRDefault="0029261A" w:rsidP="00771985">
      <w:pPr>
        <w:jc w:val="both"/>
        <w:rPr>
          <w:rFonts w:eastAsia="Arial"/>
        </w:rPr>
      </w:pPr>
      <w:r w:rsidRPr="00FB1C65">
        <w:rPr>
          <w:rFonts w:eastAsia="Arial"/>
        </w:rPr>
        <w:t xml:space="preserve">The Superintendent will submit a more detailed plan that clearly </w:t>
      </w:r>
      <w:r w:rsidR="00842B3E">
        <w:rPr>
          <w:rFonts w:eastAsia="Arial"/>
        </w:rPr>
        <w:t>articulates</w:t>
      </w:r>
      <w:r w:rsidR="00842B3E" w:rsidRPr="00FB1C65">
        <w:rPr>
          <w:rFonts w:eastAsia="Arial"/>
        </w:rPr>
        <w:t xml:space="preserve"> </w:t>
      </w:r>
      <w:r w:rsidRPr="00FB1C65">
        <w:rPr>
          <w:rFonts w:eastAsia="Arial"/>
        </w:rPr>
        <w:t xml:space="preserve">the long-term </w:t>
      </w:r>
      <w:r w:rsidR="00842B3E">
        <w:rPr>
          <w:rFonts w:eastAsia="Arial"/>
        </w:rPr>
        <w:t>strategy</w:t>
      </w:r>
      <w:r w:rsidR="00842B3E" w:rsidRPr="00FB1C65">
        <w:rPr>
          <w:rFonts w:eastAsia="Arial"/>
        </w:rPr>
        <w:t xml:space="preserve"> </w:t>
      </w:r>
      <w:r w:rsidRPr="00FB1C65">
        <w:rPr>
          <w:rFonts w:eastAsia="Arial"/>
        </w:rPr>
        <w:t xml:space="preserve">to overhaul </w:t>
      </w:r>
      <w:r w:rsidR="00842B3E">
        <w:rPr>
          <w:rFonts w:eastAsia="Arial"/>
        </w:rPr>
        <w:t>TEAL</w:t>
      </w:r>
      <w:r w:rsidR="00451A2C" w:rsidRPr="00FB1C65">
        <w:rPr>
          <w:rFonts w:eastAsia="Arial"/>
        </w:rPr>
        <w:t xml:space="preserve"> in </w:t>
      </w:r>
      <w:r w:rsidR="00771985" w:rsidRPr="00FB1C65">
        <w:rPr>
          <w:rFonts w:eastAsia="Arial"/>
        </w:rPr>
        <w:t>the future</w:t>
      </w:r>
      <w:r w:rsidRPr="00FB1C65">
        <w:rPr>
          <w:rFonts w:eastAsia="Arial"/>
        </w:rPr>
        <w:t>.</w:t>
      </w:r>
    </w:p>
    <w:p w14:paraId="0E27B00A" w14:textId="77777777" w:rsidR="00AD0966" w:rsidRDefault="00AD0966" w:rsidP="47ED2FD8">
      <w:pPr>
        <w:ind w:left="720"/>
      </w:pPr>
    </w:p>
    <w:p w14:paraId="384202B8" w14:textId="02EA3191" w:rsidR="00AD0966" w:rsidRDefault="001E412D" w:rsidP="47ED2FD8">
      <w:pPr>
        <w:pStyle w:val="Heading2"/>
      </w:pPr>
      <w:bookmarkStart w:id="14" w:name="_w5qk3aw7qqio"/>
      <w:bookmarkEnd w:id="14"/>
      <w:r w:rsidRPr="0A7E37F7">
        <w:t>Previous Review or Action</w:t>
      </w:r>
    </w:p>
    <w:p w14:paraId="3F609302" w14:textId="77777777" w:rsidR="00AD0966" w:rsidRDefault="001E412D" w:rsidP="00FB1C65">
      <w:r w:rsidRPr="47ED2FD8">
        <w:t xml:space="preserve">No previous review or action. </w:t>
      </w:r>
    </w:p>
    <w:p w14:paraId="44EAFD9C" w14:textId="5CF7F845" w:rsidR="00AD0966" w:rsidRDefault="00AD0966" w:rsidP="0A7E37F7">
      <w:pPr>
        <w:spacing w:line="240" w:lineRule="auto"/>
      </w:pPr>
    </w:p>
    <w:p w14:paraId="4B006F04" w14:textId="0757295D" w:rsidR="00AD0966" w:rsidRDefault="001E412D" w:rsidP="47ED2FD8">
      <w:pPr>
        <w:pStyle w:val="Heading2"/>
      </w:pPr>
      <w:bookmarkStart w:id="15" w:name="_4l4a85n09u6"/>
      <w:bookmarkEnd w:id="15"/>
      <w:r w:rsidRPr="0A7E37F7">
        <w:t>Background Information and Statutory Authority</w:t>
      </w:r>
    </w:p>
    <w:p w14:paraId="4B94D5A5" w14:textId="6591F8B8" w:rsidR="00AD0966" w:rsidRDefault="00144BA4" w:rsidP="00144BA4">
      <w:r>
        <w:t xml:space="preserve">The Board’s general regulatory authority is granted in </w:t>
      </w:r>
      <w:r w:rsidRPr="00144BA4">
        <w:t xml:space="preserve">§ </w:t>
      </w:r>
      <w:hyperlink r:id="rId12" w:history="1">
        <w:r w:rsidRPr="00144BA4">
          <w:rPr>
            <w:rStyle w:val="Hyperlink"/>
          </w:rPr>
          <w:t>22.1-16</w:t>
        </w:r>
      </w:hyperlink>
      <w:r>
        <w:t xml:space="preserve"> of the Code of Virginia, which states</w:t>
      </w:r>
      <w:r w:rsidR="00EE6DC5">
        <w:t>,</w:t>
      </w:r>
      <w:r>
        <w:t xml:space="preserve"> in part</w:t>
      </w:r>
      <w:r w:rsidR="00EE6DC5">
        <w:t>,</w:t>
      </w:r>
      <w:r>
        <w:t xml:space="preserve"> that the Board “may . . . promulgate such regulations as may be necessary to carry out its powers and duties and the provisions of [Title </w:t>
      </w:r>
      <w:hyperlink r:id="rId13" w:history="1">
        <w:r w:rsidRPr="00144BA4">
          <w:rPr>
            <w:rStyle w:val="Hyperlink"/>
          </w:rPr>
          <w:t>22.1</w:t>
        </w:r>
      </w:hyperlink>
      <w:r>
        <w:t>].”</w:t>
      </w:r>
    </w:p>
    <w:p w14:paraId="2B980ADF" w14:textId="02E5C9EF" w:rsidR="00EE6DC5" w:rsidRDefault="00EE6DC5" w:rsidP="00EE6DC5"/>
    <w:p w14:paraId="44807CC9" w14:textId="6D584A65" w:rsidR="00EE6DC5" w:rsidRDefault="00EE6DC5" w:rsidP="00EE6DC5">
      <w:r>
        <w:t xml:space="preserve">The Board’s authority to promulgate regulations regarding teacher licensure is granted in </w:t>
      </w:r>
      <w:r w:rsidRPr="00144BA4">
        <w:t>§</w:t>
      </w:r>
      <w:r>
        <w:t xml:space="preserve"> </w:t>
      </w:r>
      <w:hyperlink r:id="rId14" w:anchor="v1/" w:history="1">
        <w:r w:rsidRPr="00EE6DC5">
          <w:rPr>
            <w:rStyle w:val="Hyperlink"/>
          </w:rPr>
          <w:t>22.1-298.1</w:t>
        </w:r>
      </w:hyperlink>
      <w:r>
        <w:t>(B) of the Code of Virginia, which states, in part, that the Board “shall prescribe, by regulation, the requirements for the licensure of teachers and other school personnel required to hold a license.”</w:t>
      </w:r>
    </w:p>
    <w:p w14:paraId="71A5D075" w14:textId="013B1C88" w:rsidR="00EE6DC5" w:rsidRDefault="00EE6DC5" w:rsidP="00EE6DC5"/>
    <w:p w14:paraId="53C242FB" w14:textId="0959C70F" w:rsidR="00EE6DC5" w:rsidRDefault="00EE6DC5" w:rsidP="00EE6DC5">
      <w:r>
        <w:t xml:space="preserve">Section </w:t>
      </w:r>
      <w:hyperlink r:id="rId15" w:history="1">
        <w:r w:rsidRPr="00EE6DC5">
          <w:rPr>
            <w:rStyle w:val="Hyperlink"/>
          </w:rPr>
          <w:t>2.2-4011</w:t>
        </w:r>
      </w:hyperlink>
      <w:r>
        <w:t>(A) of the Code of Virginia states that “[r]egulations that an agency finds are necessitated by an emergency situation may be adopted by an agency upon consultation with the Attorney General, which approval shall be granted only after the agency has submitted a request stating in writing the nature of the emergency, and the necessity for such action shall be at the sole discretion of the Governor.”</w:t>
      </w:r>
    </w:p>
    <w:p w14:paraId="05BFFB1F" w14:textId="77777777" w:rsidR="00144BA4" w:rsidRDefault="00144BA4" w:rsidP="00144BA4"/>
    <w:p w14:paraId="31360199" w14:textId="18FCCF4E" w:rsidR="1D82F214" w:rsidRDefault="1D82F214" w:rsidP="0185CEA7">
      <w:pPr>
        <w:pStyle w:val="Heading2"/>
      </w:pPr>
      <w:r w:rsidRPr="0185CEA7">
        <w:t>Stakeholder Engagement</w:t>
      </w:r>
    </w:p>
    <w:p w14:paraId="14F05E0E" w14:textId="118481D6" w:rsidR="42D3DB0E" w:rsidRDefault="00E85A3C" w:rsidP="00FB1C65">
      <w:r>
        <w:t xml:space="preserve">Internal VDOE staff have been working in collaboration with </w:t>
      </w:r>
      <w:r w:rsidR="0096374F">
        <w:t xml:space="preserve">local </w:t>
      </w:r>
      <w:r w:rsidR="00842B3E">
        <w:t xml:space="preserve">superintendents </w:t>
      </w:r>
      <w:r w:rsidR="0096374F">
        <w:t>and other state agencies to identify solutions</w:t>
      </w:r>
      <w:r w:rsidR="00144BA4">
        <w:t xml:space="preserve"> to problems related to teacher vacancy and licensure</w:t>
      </w:r>
      <w:r w:rsidR="0096374F">
        <w:t>.</w:t>
      </w:r>
    </w:p>
    <w:p w14:paraId="6B4056DC" w14:textId="7C4040A4" w:rsidR="4B697491" w:rsidRDefault="4B697491" w:rsidP="4B697491">
      <w:pPr>
        <w:rPr>
          <w:highlight w:val="yellow"/>
          <w:u w:val="single"/>
        </w:rPr>
      </w:pPr>
    </w:p>
    <w:p w14:paraId="544C1BB4" w14:textId="439052D9" w:rsidR="0CC08700" w:rsidRDefault="0CC08700" w:rsidP="0185CEA7">
      <w:pPr>
        <w:pStyle w:val="Heading2"/>
      </w:pPr>
      <w:r w:rsidRPr="0185CEA7">
        <w:t>Implementation</w:t>
      </w:r>
      <w:r w:rsidR="68A86476" w:rsidRPr="0185CEA7">
        <w:t xml:space="preserve"> and Communication</w:t>
      </w:r>
    </w:p>
    <w:p w14:paraId="35923FF2" w14:textId="63A4BA18" w:rsidR="00842B3E" w:rsidRDefault="00842B3E" w:rsidP="00FB1C65">
      <w:r>
        <w:t>After approval by the Board, the emergency regulations will be finalized in accordance with the Virginia Administrative Process Act.</w:t>
      </w:r>
      <w:r w:rsidR="0096374F">
        <w:t xml:space="preserve"> </w:t>
      </w:r>
    </w:p>
    <w:p w14:paraId="34B1698D" w14:textId="77777777" w:rsidR="00842B3E" w:rsidRDefault="00842B3E" w:rsidP="00FB1C65"/>
    <w:p w14:paraId="789DCCD9" w14:textId="0CB6E6F8" w:rsidR="0CC08700" w:rsidRDefault="0096374F" w:rsidP="00FB1C65">
      <w:r>
        <w:t xml:space="preserve">VDOE staff will communicate </w:t>
      </w:r>
      <w:r w:rsidR="00AD2324">
        <w:t>with local school superintendent</w:t>
      </w:r>
      <w:r w:rsidR="7B97D52B">
        <w:t>s</w:t>
      </w:r>
      <w:r w:rsidR="00AD2324">
        <w:t xml:space="preserve"> and teachers </w:t>
      </w:r>
      <w:r>
        <w:t>through multiple channels</w:t>
      </w:r>
      <w:r w:rsidR="00424C4D">
        <w:t xml:space="preserve"> </w:t>
      </w:r>
      <w:r w:rsidR="00AD2324">
        <w:t xml:space="preserve">including </w:t>
      </w:r>
      <w:r w:rsidR="0024709A">
        <w:t>Superintendent memos</w:t>
      </w:r>
      <w:r w:rsidR="00256C6E">
        <w:t xml:space="preserve">, social media, and traditional media. </w:t>
      </w:r>
      <w:r w:rsidR="00144BA4">
        <w:t>VDOE will also establish a</w:t>
      </w:r>
      <w:r w:rsidR="00256C6E">
        <w:t xml:space="preserve"> dedicated teacher licensure support line</w:t>
      </w:r>
      <w:r w:rsidR="00913C0A">
        <w:t>.</w:t>
      </w:r>
    </w:p>
    <w:p w14:paraId="3DEEC669" w14:textId="5C1FB19E" w:rsidR="00AD0966" w:rsidRDefault="00AD0966" w:rsidP="0185CEA7"/>
    <w:p w14:paraId="498AA006" w14:textId="77777777" w:rsidR="00AD0966" w:rsidRDefault="001E412D" w:rsidP="47ED2FD8">
      <w:pPr>
        <w:pStyle w:val="Heading2"/>
      </w:pPr>
      <w:bookmarkStart w:id="16" w:name="_b3843xqorbi9"/>
      <w:bookmarkEnd w:id="16"/>
      <w:r w:rsidRPr="47ED2FD8">
        <w:t xml:space="preserve">Impact on Fiscal and Human Resources: </w:t>
      </w:r>
    </w:p>
    <w:p w14:paraId="45FB0818" w14:textId="449EFBD6" w:rsidR="00AD0966" w:rsidRDefault="00EE6DC5" w:rsidP="47ED2FD8">
      <w:bookmarkStart w:id="17" w:name="_dge9fgx5ke9n"/>
      <w:bookmarkEnd w:id="17"/>
      <w:r>
        <w:t>Any fiscal impact associated with this action will be absorbed within existing agency resources</w:t>
      </w:r>
      <w:r w:rsidR="00FB1C65">
        <w:t>.</w:t>
      </w:r>
    </w:p>
    <w:sectPr w:rsidR="00AD096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52CB" w14:textId="77777777" w:rsidR="001911F2" w:rsidRDefault="001911F2">
      <w:pPr>
        <w:spacing w:line="240" w:lineRule="auto"/>
      </w:pPr>
      <w:r>
        <w:separator/>
      </w:r>
    </w:p>
  </w:endnote>
  <w:endnote w:type="continuationSeparator" w:id="0">
    <w:p w14:paraId="7D918E6C" w14:textId="77777777" w:rsidR="001911F2" w:rsidRDefault="001911F2">
      <w:pPr>
        <w:spacing w:line="240" w:lineRule="auto"/>
      </w:pPr>
      <w:r>
        <w:continuationSeparator/>
      </w:r>
    </w:p>
  </w:endnote>
  <w:endnote w:type="continuationNotice" w:id="1">
    <w:p w14:paraId="4F8E81B8" w14:textId="77777777" w:rsidR="00665961" w:rsidRDefault="006659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606B" w14:textId="77777777" w:rsidR="0052550F" w:rsidRDefault="005255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1FB7" w14:textId="77777777" w:rsidR="001911F2" w:rsidRDefault="001911F2">
      <w:pPr>
        <w:spacing w:line="240" w:lineRule="auto"/>
      </w:pPr>
      <w:r>
        <w:separator/>
      </w:r>
    </w:p>
  </w:footnote>
  <w:footnote w:type="continuationSeparator" w:id="0">
    <w:p w14:paraId="7A0A23C3" w14:textId="77777777" w:rsidR="001911F2" w:rsidRDefault="001911F2">
      <w:pPr>
        <w:spacing w:line="240" w:lineRule="auto"/>
      </w:pPr>
      <w:r>
        <w:continuationSeparator/>
      </w:r>
    </w:p>
  </w:footnote>
  <w:footnote w:type="continuationNotice" w:id="1">
    <w:p w14:paraId="37A7D84C" w14:textId="77777777" w:rsidR="00665961" w:rsidRDefault="0066596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FA71" w14:textId="77777777" w:rsidR="0052550F" w:rsidRDefault="005255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AD0966" w:rsidRDefault="00AD09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8" w:name="_1y4a0gsejnud" w:colFirst="0" w:colLast="0"/>
    <w:bookmarkEnd w:id="18"/>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D67E411E"/>
    <w:lvl w:ilvl="0" w:tplc="956CE4F4">
      <w:start w:val="1"/>
      <w:numFmt w:val="bullet"/>
      <w:lvlText w:val=""/>
      <w:lvlJc w:val="left"/>
      <w:pPr>
        <w:ind w:left="720" w:hanging="360"/>
      </w:pPr>
      <w:rPr>
        <w:rFonts w:ascii="Symbol" w:hAnsi="Symbol" w:hint="default"/>
      </w:rPr>
    </w:lvl>
    <w:lvl w:ilvl="1" w:tplc="F28EECA4">
      <w:start w:val="1"/>
      <w:numFmt w:val="bullet"/>
      <w:lvlText w:val="o"/>
      <w:lvlJc w:val="left"/>
      <w:pPr>
        <w:ind w:left="1440" w:hanging="360"/>
      </w:pPr>
      <w:rPr>
        <w:rFonts w:ascii="Courier New" w:hAnsi="Courier New" w:hint="default"/>
      </w:rPr>
    </w:lvl>
    <w:lvl w:ilvl="2" w:tplc="E092038A">
      <w:start w:val="1"/>
      <w:numFmt w:val="bullet"/>
      <w:lvlText w:val=""/>
      <w:lvlJc w:val="left"/>
      <w:pPr>
        <w:ind w:left="2160" w:hanging="360"/>
      </w:pPr>
      <w:rPr>
        <w:rFonts w:ascii="Wingdings" w:hAnsi="Wingdings" w:hint="default"/>
      </w:rPr>
    </w:lvl>
    <w:lvl w:ilvl="3" w:tplc="460ED598">
      <w:start w:val="1"/>
      <w:numFmt w:val="bullet"/>
      <w:lvlText w:val=""/>
      <w:lvlJc w:val="left"/>
      <w:pPr>
        <w:ind w:left="2880" w:hanging="360"/>
      </w:pPr>
      <w:rPr>
        <w:rFonts w:ascii="Symbol" w:hAnsi="Symbol" w:hint="default"/>
      </w:rPr>
    </w:lvl>
    <w:lvl w:ilvl="4" w:tplc="A7B4473C">
      <w:start w:val="1"/>
      <w:numFmt w:val="bullet"/>
      <w:lvlText w:val="o"/>
      <w:lvlJc w:val="left"/>
      <w:pPr>
        <w:ind w:left="3600" w:hanging="360"/>
      </w:pPr>
      <w:rPr>
        <w:rFonts w:ascii="Courier New" w:hAnsi="Courier New" w:hint="default"/>
      </w:rPr>
    </w:lvl>
    <w:lvl w:ilvl="5" w:tplc="4D02B396">
      <w:start w:val="1"/>
      <w:numFmt w:val="bullet"/>
      <w:lvlText w:val=""/>
      <w:lvlJc w:val="left"/>
      <w:pPr>
        <w:ind w:left="4320" w:hanging="360"/>
      </w:pPr>
      <w:rPr>
        <w:rFonts w:ascii="Wingdings" w:hAnsi="Wingdings" w:hint="default"/>
      </w:rPr>
    </w:lvl>
    <w:lvl w:ilvl="6" w:tplc="29503504">
      <w:start w:val="1"/>
      <w:numFmt w:val="bullet"/>
      <w:lvlText w:val=""/>
      <w:lvlJc w:val="left"/>
      <w:pPr>
        <w:ind w:left="5040" w:hanging="360"/>
      </w:pPr>
      <w:rPr>
        <w:rFonts w:ascii="Symbol" w:hAnsi="Symbol" w:hint="default"/>
      </w:rPr>
    </w:lvl>
    <w:lvl w:ilvl="7" w:tplc="4A2A9A4C">
      <w:start w:val="1"/>
      <w:numFmt w:val="bullet"/>
      <w:lvlText w:val="o"/>
      <w:lvlJc w:val="left"/>
      <w:pPr>
        <w:ind w:left="5760" w:hanging="360"/>
      </w:pPr>
      <w:rPr>
        <w:rFonts w:ascii="Courier New" w:hAnsi="Courier New" w:hint="default"/>
      </w:rPr>
    </w:lvl>
    <w:lvl w:ilvl="8" w:tplc="D9620104">
      <w:start w:val="1"/>
      <w:numFmt w:val="bullet"/>
      <w:lvlText w:val=""/>
      <w:lvlJc w:val="left"/>
      <w:pPr>
        <w:ind w:left="6480" w:hanging="360"/>
      </w:pPr>
      <w:rPr>
        <w:rFonts w:ascii="Wingdings" w:hAnsi="Wingdings" w:hint="default"/>
      </w:rPr>
    </w:lvl>
  </w:abstractNum>
  <w:abstractNum w:abstractNumId="1" w15:restartNumberingAfterBreak="0">
    <w:nsid w:val="3709D571"/>
    <w:multiLevelType w:val="hybridMultilevel"/>
    <w:tmpl w:val="1F98703E"/>
    <w:lvl w:ilvl="0" w:tplc="7652CB9E">
      <w:start w:val="1"/>
      <w:numFmt w:val="bullet"/>
      <w:lvlText w:val=""/>
      <w:lvlJc w:val="left"/>
      <w:pPr>
        <w:ind w:left="720" w:hanging="360"/>
      </w:pPr>
      <w:rPr>
        <w:rFonts w:ascii="Symbol" w:hAnsi="Symbol" w:hint="default"/>
      </w:rPr>
    </w:lvl>
    <w:lvl w:ilvl="1" w:tplc="F71A481E">
      <w:start w:val="1"/>
      <w:numFmt w:val="bullet"/>
      <w:lvlText w:val="○"/>
      <w:lvlJc w:val="left"/>
      <w:pPr>
        <w:ind w:left="1440" w:hanging="360"/>
      </w:pPr>
      <w:rPr>
        <w:rFonts w:ascii="Symbol" w:hAnsi="Symbol" w:hint="default"/>
      </w:rPr>
    </w:lvl>
    <w:lvl w:ilvl="2" w:tplc="16E6DCE8">
      <w:start w:val="1"/>
      <w:numFmt w:val="bullet"/>
      <w:lvlText w:val=""/>
      <w:lvlJc w:val="left"/>
      <w:pPr>
        <w:ind w:left="2160" w:hanging="360"/>
      </w:pPr>
      <w:rPr>
        <w:rFonts w:ascii="Wingdings" w:hAnsi="Wingdings" w:hint="default"/>
      </w:rPr>
    </w:lvl>
    <w:lvl w:ilvl="3" w:tplc="3EE2C61E">
      <w:start w:val="1"/>
      <w:numFmt w:val="bullet"/>
      <w:lvlText w:val=""/>
      <w:lvlJc w:val="left"/>
      <w:pPr>
        <w:ind w:left="2880" w:hanging="360"/>
      </w:pPr>
      <w:rPr>
        <w:rFonts w:ascii="Symbol" w:hAnsi="Symbol" w:hint="default"/>
      </w:rPr>
    </w:lvl>
    <w:lvl w:ilvl="4" w:tplc="06C0672A">
      <w:start w:val="1"/>
      <w:numFmt w:val="bullet"/>
      <w:lvlText w:val="o"/>
      <w:lvlJc w:val="left"/>
      <w:pPr>
        <w:ind w:left="3600" w:hanging="360"/>
      </w:pPr>
      <w:rPr>
        <w:rFonts w:ascii="Courier New" w:hAnsi="Courier New" w:hint="default"/>
      </w:rPr>
    </w:lvl>
    <w:lvl w:ilvl="5" w:tplc="1A6AD4AC">
      <w:start w:val="1"/>
      <w:numFmt w:val="bullet"/>
      <w:lvlText w:val=""/>
      <w:lvlJc w:val="left"/>
      <w:pPr>
        <w:ind w:left="4320" w:hanging="360"/>
      </w:pPr>
      <w:rPr>
        <w:rFonts w:ascii="Wingdings" w:hAnsi="Wingdings" w:hint="default"/>
      </w:rPr>
    </w:lvl>
    <w:lvl w:ilvl="6" w:tplc="8CECAAEC">
      <w:start w:val="1"/>
      <w:numFmt w:val="bullet"/>
      <w:lvlText w:val=""/>
      <w:lvlJc w:val="left"/>
      <w:pPr>
        <w:ind w:left="5040" w:hanging="360"/>
      </w:pPr>
      <w:rPr>
        <w:rFonts w:ascii="Symbol" w:hAnsi="Symbol" w:hint="default"/>
      </w:rPr>
    </w:lvl>
    <w:lvl w:ilvl="7" w:tplc="D0F03B2E">
      <w:start w:val="1"/>
      <w:numFmt w:val="bullet"/>
      <w:lvlText w:val="o"/>
      <w:lvlJc w:val="left"/>
      <w:pPr>
        <w:ind w:left="5760" w:hanging="360"/>
      </w:pPr>
      <w:rPr>
        <w:rFonts w:ascii="Courier New" w:hAnsi="Courier New" w:hint="default"/>
      </w:rPr>
    </w:lvl>
    <w:lvl w:ilvl="8" w:tplc="A850AD52">
      <w:start w:val="1"/>
      <w:numFmt w:val="bullet"/>
      <w:lvlText w:val=""/>
      <w:lvlJc w:val="left"/>
      <w:pPr>
        <w:ind w:left="6480" w:hanging="360"/>
      </w:pPr>
      <w:rPr>
        <w:rFonts w:ascii="Wingdings" w:hAnsi="Wingdings" w:hint="default"/>
      </w:r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126857">
    <w:abstractNumId w:val="1"/>
  </w:num>
  <w:num w:numId="2" w16cid:durableId="546335406">
    <w:abstractNumId w:val="0"/>
  </w:num>
  <w:num w:numId="3" w16cid:durableId="442072232">
    <w:abstractNumId w:val="7"/>
  </w:num>
  <w:num w:numId="4" w16cid:durableId="1644239733">
    <w:abstractNumId w:val="4"/>
  </w:num>
  <w:num w:numId="5" w16cid:durableId="951016379">
    <w:abstractNumId w:val="6"/>
  </w:num>
  <w:num w:numId="6" w16cid:durableId="1759256049">
    <w:abstractNumId w:val="2"/>
  </w:num>
  <w:num w:numId="7" w16cid:durableId="2058315625">
    <w:abstractNumId w:val="5"/>
  </w:num>
  <w:num w:numId="8" w16cid:durableId="1666011241">
    <w:abstractNumId w:val="3"/>
  </w:num>
  <w:num w:numId="9" w16cid:durableId="18510192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79D7"/>
    <w:rsid w:val="000862B3"/>
    <w:rsid w:val="00144BA4"/>
    <w:rsid w:val="001911F2"/>
    <w:rsid w:val="001E412D"/>
    <w:rsid w:val="0024709A"/>
    <w:rsid w:val="00256C6E"/>
    <w:rsid w:val="00271A5B"/>
    <w:rsid w:val="0029261A"/>
    <w:rsid w:val="002E1ACF"/>
    <w:rsid w:val="003515CC"/>
    <w:rsid w:val="00424C4D"/>
    <w:rsid w:val="00431FB6"/>
    <w:rsid w:val="00451A2C"/>
    <w:rsid w:val="004643CC"/>
    <w:rsid w:val="004B18B2"/>
    <w:rsid w:val="004F2FBA"/>
    <w:rsid w:val="0052550F"/>
    <w:rsid w:val="005A0AD4"/>
    <w:rsid w:val="005E7DB5"/>
    <w:rsid w:val="0064391D"/>
    <w:rsid w:val="00665961"/>
    <w:rsid w:val="006BB957"/>
    <w:rsid w:val="00715BBD"/>
    <w:rsid w:val="007270F2"/>
    <w:rsid w:val="00771985"/>
    <w:rsid w:val="00842B3E"/>
    <w:rsid w:val="00913C0A"/>
    <w:rsid w:val="00916942"/>
    <w:rsid w:val="00922518"/>
    <w:rsid w:val="009315C0"/>
    <w:rsid w:val="009509E0"/>
    <w:rsid w:val="0096374F"/>
    <w:rsid w:val="00980882"/>
    <w:rsid w:val="009D5F05"/>
    <w:rsid w:val="00A92484"/>
    <w:rsid w:val="00AD0966"/>
    <w:rsid w:val="00AD2324"/>
    <w:rsid w:val="00B023D2"/>
    <w:rsid w:val="00B34347"/>
    <w:rsid w:val="00BA0FC5"/>
    <w:rsid w:val="00C463D2"/>
    <w:rsid w:val="00C659CF"/>
    <w:rsid w:val="00D22896"/>
    <w:rsid w:val="00DC15DF"/>
    <w:rsid w:val="00DC30C2"/>
    <w:rsid w:val="00E7574B"/>
    <w:rsid w:val="00E85A3C"/>
    <w:rsid w:val="00EE6DC5"/>
    <w:rsid w:val="00F12C18"/>
    <w:rsid w:val="00F24A65"/>
    <w:rsid w:val="00F35DF0"/>
    <w:rsid w:val="00FA9E68"/>
    <w:rsid w:val="00FB1C65"/>
    <w:rsid w:val="00FD4463"/>
    <w:rsid w:val="0102ACC4"/>
    <w:rsid w:val="0185CEA7"/>
    <w:rsid w:val="029FF34C"/>
    <w:rsid w:val="03D182E4"/>
    <w:rsid w:val="04323F2A"/>
    <w:rsid w:val="049AE6C0"/>
    <w:rsid w:val="08DA2310"/>
    <w:rsid w:val="09048339"/>
    <w:rsid w:val="090D9DD3"/>
    <w:rsid w:val="0A7E37F7"/>
    <w:rsid w:val="0C50A33E"/>
    <w:rsid w:val="0CC08700"/>
    <w:rsid w:val="0CD06ED4"/>
    <w:rsid w:val="0CF493B0"/>
    <w:rsid w:val="0E14F5EB"/>
    <w:rsid w:val="0E6C3F35"/>
    <w:rsid w:val="10080F96"/>
    <w:rsid w:val="101E139E"/>
    <w:rsid w:val="11B03E37"/>
    <w:rsid w:val="133B82EF"/>
    <w:rsid w:val="142BA89D"/>
    <w:rsid w:val="15BD3D42"/>
    <w:rsid w:val="165E28BD"/>
    <w:rsid w:val="1669076B"/>
    <w:rsid w:val="1ABF91FE"/>
    <w:rsid w:val="1B24D93F"/>
    <w:rsid w:val="1BDA96E8"/>
    <w:rsid w:val="1D82F214"/>
    <w:rsid w:val="208C096D"/>
    <w:rsid w:val="21597324"/>
    <w:rsid w:val="22F63FA4"/>
    <w:rsid w:val="24B5E7ED"/>
    <w:rsid w:val="255E9AD8"/>
    <w:rsid w:val="257684DB"/>
    <w:rsid w:val="25F109CE"/>
    <w:rsid w:val="2D9A22F3"/>
    <w:rsid w:val="2E605803"/>
    <w:rsid w:val="380564A9"/>
    <w:rsid w:val="3B1E66BA"/>
    <w:rsid w:val="3F1DC870"/>
    <w:rsid w:val="3F8A1405"/>
    <w:rsid w:val="3F99734F"/>
    <w:rsid w:val="3FA7AC69"/>
    <w:rsid w:val="405D7437"/>
    <w:rsid w:val="42BCB13C"/>
    <w:rsid w:val="42D3DB0E"/>
    <w:rsid w:val="43105042"/>
    <w:rsid w:val="450BFB60"/>
    <w:rsid w:val="4648ED23"/>
    <w:rsid w:val="466B4DFF"/>
    <w:rsid w:val="47ED2FD8"/>
    <w:rsid w:val="4B697491"/>
    <w:rsid w:val="4CA33740"/>
    <w:rsid w:val="4CB82EA7"/>
    <w:rsid w:val="4E07E6B4"/>
    <w:rsid w:val="50BB15D6"/>
    <w:rsid w:val="529D63E8"/>
    <w:rsid w:val="532A41AD"/>
    <w:rsid w:val="54FF39F6"/>
    <w:rsid w:val="5545DD46"/>
    <w:rsid w:val="56EAC70B"/>
    <w:rsid w:val="5E711439"/>
    <w:rsid w:val="600DE0B9"/>
    <w:rsid w:val="601D1A33"/>
    <w:rsid w:val="619088BD"/>
    <w:rsid w:val="6203BA6E"/>
    <w:rsid w:val="6344855C"/>
    <w:rsid w:val="6462A5C9"/>
    <w:rsid w:val="66EE2E00"/>
    <w:rsid w:val="68900854"/>
    <w:rsid w:val="68A86476"/>
    <w:rsid w:val="6DC60238"/>
    <w:rsid w:val="7188D339"/>
    <w:rsid w:val="72804AFE"/>
    <w:rsid w:val="73EF51B5"/>
    <w:rsid w:val="74E63ACF"/>
    <w:rsid w:val="75B7EBC0"/>
    <w:rsid w:val="75D2103C"/>
    <w:rsid w:val="7753BC21"/>
    <w:rsid w:val="7762135E"/>
    <w:rsid w:val="782222CB"/>
    <w:rsid w:val="78F2E2A1"/>
    <w:rsid w:val="79A43F17"/>
    <w:rsid w:val="79B9ABF2"/>
    <w:rsid w:val="7B40E726"/>
    <w:rsid w:val="7B97D52B"/>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15:docId w15:val="{29871F27-5552-4051-B90A-694DF854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2550F"/>
    <w:pPr>
      <w:tabs>
        <w:tab w:val="center" w:pos="4680"/>
        <w:tab w:val="right" w:pos="9360"/>
      </w:tabs>
      <w:spacing w:line="240" w:lineRule="auto"/>
    </w:pPr>
  </w:style>
  <w:style w:type="character" w:customStyle="1" w:styleId="HeaderChar">
    <w:name w:val="Header Char"/>
    <w:basedOn w:val="DefaultParagraphFont"/>
    <w:link w:val="Header"/>
    <w:uiPriority w:val="99"/>
    <w:rsid w:val="0052550F"/>
  </w:style>
  <w:style w:type="paragraph" w:styleId="Footer">
    <w:name w:val="footer"/>
    <w:basedOn w:val="Normal"/>
    <w:link w:val="FooterChar"/>
    <w:uiPriority w:val="99"/>
    <w:unhideWhenUsed/>
    <w:rsid w:val="0052550F"/>
    <w:pPr>
      <w:tabs>
        <w:tab w:val="center" w:pos="4680"/>
        <w:tab w:val="right" w:pos="9360"/>
      </w:tabs>
      <w:spacing w:line="240" w:lineRule="auto"/>
    </w:pPr>
  </w:style>
  <w:style w:type="character" w:customStyle="1" w:styleId="FooterChar">
    <w:name w:val="Footer Char"/>
    <w:basedOn w:val="DefaultParagraphFont"/>
    <w:link w:val="Footer"/>
    <w:uiPriority w:val="99"/>
    <w:rsid w:val="0052550F"/>
  </w:style>
  <w:style w:type="character" w:styleId="Hyperlink">
    <w:name w:val="Hyperlink"/>
    <w:basedOn w:val="DefaultParagraphFont"/>
    <w:uiPriority w:val="99"/>
    <w:unhideWhenUsed/>
    <w:rsid w:val="0029261A"/>
    <w:rPr>
      <w:color w:val="0000FF" w:themeColor="hyperlink"/>
      <w:u w:val="single"/>
    </w:rPr>
  </w:style>
  <w:style w:type="character" w:styleId="UnresolvedMention">
    <w:name w:val="Unresolved Mention"/>
    <w:basedOn w:val="DefaultParagraphFont"/>
    <w:uiPriority w:val="99"/>
    <w:semiHidden/>
    <w:unhideWhenUsed/>
    <w:rsid w:val="00BA0FC5"/>
    <w:rPr>
      <w:color w:val="605E5C"/>
      <w:shd w:val="clear" w:color="auto" w:fill="E1DFDD"/>
    </w:rPr>
  </w:style>
  <w:style w:type="paragraph" w:styleId="Revision">
    <w:name w:val="Revision"/>
    <w:hidden/>
    <w:uiPriority w:val="99"/>
    <w:semiHidden/>
    <w:rsid w:val="00BA0FC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430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aw.lis.virginia.gov/vacode/title22.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aw.lis.virginia.gov/vacode/title22.1/chapter2/section22.1-1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Coons@doe.virginia.gov" TargetMode="External"/><Relationship Id="rId5" Type="http://schemas.openxmlformats.org/officeDocument/2006/relationships/numbering" Target="numbering.xml"/><Relationship Id="rId15" Type="http://schemas.openxmlformats.org/officeDocument/2006/relationships/hyperlink" Target="https://law.lis.virginia.gov/vacode/title2.2/chapter40/section2.2-401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lis.virginia.gov/vacode/title22.1/chapter15/section22.1-298.1/"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SharedWithUsers>
    <Approval xmlns="4e0288d3-37a8-40e6-825f-eff74d783ff5" xsi:nil="true"/>
    <Notes xmlns="4e0288d3-37a8-40e6-825f-eff74d783f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6" ma:contentTypeDescription="Create a new document." ma:contentTypeScope="" ma:versionID="cd303418e9998dcec2d0241ee6018cf3">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48612f09a13f7d3b4059cd67a20179ea"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xsd:enumeration value="Revisions needed"/>
          <xsd:enumeration value="Return"/>
          <xsd:enumeration value="Not yet reviewed"/>
        </xsd:restriction>
      </xsd:simpleType>
    </xsd:element>
    <xsd:element name="Notes" ma:index="13"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2.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E47FDC4B-BD44-4925-843F-BA87B166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5542</Characters>
  <Application>Microsoft Office Word</Application>
  <DocSecurity>4</DocSecurity>
  <Lines>46</Lines>
  <Paragraphs>13</Paragraphs>
  <ScaleCrop>false</ScaleCrop>
  <Company>Virginia Information Technologies Agency</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Emily (DOE)</dc:creator>
  <cp:keywords/>
  <cp:lastModifiedBy>Chapman, Jim (DOE)</cp:lastModifiedBy>
  <cp:revision>6</cp:revision>
  <dcterms:created xsi:type="dcterms:W3CDTF">2023-05-10T21:30:00Z</dcterms:created>
  <dcterms:modified xsi:type="dcterms:W3CDTF">2023-05-10T21:42:00Z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