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0DE" w:rsidP="144B8916" w:rsidRDefault="006A10DE" w14:paraId="03CB15A5" w14:textId="2D761D8A">
      <w:pPr>
        <w:shd w:val="clear" w:color="auto" w:fill="FFFFFF" w:themeFill="background1"/>
        <w:spacing w:after="0" w:line="240" w:lineRule="auto"/>
        <w:jc w:val="center"/>
        <w:rPr>
          <w:rFonts w:ascii="Arial" w:hAnsi="Arial" w:eastAsia="Arial" w:cs="Arial"/>
          <w:b w:val="1"/>
          <w:bCs w:val="1"/>
          <w:color w:val="222222"/>
          <w:sz w:val="36"/>
          <w:szCs w:val="36"/>
        </w:rPr>
      </w:pPr>
      <w:r w:rsidRPr="0A3CCF4F" w:rsidR="6F750D51">
        <w:rPr>
          <w:rFonts w:ascii="Arial" w:hAnsi="Arial" w:eastAsia="Arial" w:cs="Arial"/>
          <w:b w:val="1"/>
          <w:bCs w:val="1"/>
          <w:color w:val="222222"/>
          <w:sz w:val="36"/>
          <w:szCs w:val="36"/>
        </w:rPr>
        <w:t>3</w:t>
      </w:r>
      <w:r w:rsidRPr="0A3CCF4F" w:rsidR="6F1D150E">
        <w:rPr>
          <w:rFonts w:ascii="Arial" w:hAnsi="Arial" w:eastAsia="Arial" w:cs="Arial"/>
          <w:b w:val="1"/>
          <w:bCs w:val="1"/>
          <w:color w:val="222222"/>
          <w:sz w:val="36"/>
          <w:szCs w:val="36"/>
        </w:rPr>
        <w:t>-</w:t>
      </w:r>
      <w:r w:rsidRPr="0A3CCF4F" w:rsidR="3B67268E">
        <w:rPr>
          <w:rFonts w:ascii="Arial" w:hAnsi="Arial" w:eastAsia="Arial" w:cs="Arial"/>
          <w:b w:val="1"/>
          <w:bCs w:val="1"/>
          <w:color w:val="222222"/>
          <w:sz w:val="36"/>
          <w:szCs w:val="36"/>
        </w:rPr>
        <w:t>2</w:t>
      </w:r>
      <w:r w:rsidRPr="0A3CCF4F" w:rsidR="6F1D150E">
        <w:rPr>
          <w:rFonts w:ascii="Arial" w:hAnsi="Arial" w:eastAsia="Arial" w:cs="Arial"/>
          <w:b w:val="1"/>
          <w:bCs w:val="1"/>
          <w:color w:val="222222"/>
          <w:sz w:val="36"/>
          <w:szCs w:val="36"/>
        </w:rPr>
        <w:t xml:space="preserve"> Quick Glance of </w:t>
      </w:r>
      <w:r w:rsidRPr="0A3CCF4F" w:rsidR="6A91B96E">
        <w:rPr>
          <w:rFonts w:ascii="Arial" w:hAnsi="Arial" w:eastAsia="Arial" w:cs="Arial"/>
          <w:b w:val="1"/>
          <w:bCs w:val="1"/>
          <w:color w:val="222222"/>
          <w:sz w:val="36"/>
          <w:szCs w:val="36"/>
        </w:rPr>
        <w:t>Routes to Licensure</w:t>
      </w:r>
    </w:p>
    <w:p w:rsidR="144B8916" w:rsidP="144B8916" w:rsidRDefault="144B8916" w14:paraId="4129F76D" w14:textId="7F6F2DEC">
      <w:pPr>
        <w:pStyle w:val="Normal"/>
        <w:shd w:val="clear" w:color="auto" w:fill="FFFFFF" w:themeFill="background1"/>
        <w:spacing w:after="0" w:line="240" w:lineRule="auto"/>
        <w:rPr>
          <w:rFonts w:ascii="Arial" w:hAnsi="Arial" w:eastAsia="Arial" w:cs="Arial"/>
          <w:color w:val="222222"/>
          <w:sz w:val="24"/>
          <w:szCs w:val="24"/>
        </w:rPr>
      </w:pPr>
    </w:p>
    <w:tbl>
      <w:tblPr>
        <w:tblW w:w="144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770"/>
        <w:gridCol w:w="3135"/>
        <w:gridCol w:w="3225"/>
        <w:gridCol w:w="3225"/>
        <w:gridCol w:w="3126"/>
      </w:tblGrid>
      <w:tr w:rsidR="006A10DE" w:rsidTr="00B56D3F" w14:paraId="22B661CA" w14:textId="77777777">
        <w:trPr>
          <w:tblHeader/>
        </w:trPr>
        <w:tc>
          <w:tcPr>
            <w:tcW w:w="1770" w:type="dxa"/>
            <w:shd w:val="clear" w:color="auto" w:fill="244061" w:themeFill="accent1" w:themeFillShade="80"/>
          </w:tcPr>
          <w:p w:rsidR="006A10DE" w:rsidP="0B3DA59B" w:rsidRDefault="006A10DE" w14:paraId="210A184F" w14:textId="77777777">
            <w:pPr>
              <w:jc w:val="center"/>
              <w:rPr>
                <w:sz w:val="24"/>
                <w:szCs w:val="24"/>
              </w:rPr>
            </w:pPr>
          </w:p>
        </w:tc>
        <w:tc>
          <w:tcPr>
            <w:tcW w:w="3135" w:type="dxa"/>
            <w:shd w:val="clear" w:color="auto" w:fill="244061" w:themeFill="accent1" w:themeFillShade="80"/>
          </w:tcPr>
          <w:p w:rsidR="0B3DA59B" w:rsidP="0B3DA59B" w:rsidRDefault="0B3DA59B" w14:paraId="5A298A89" w14:textId="06FE9190">
            <w:pPr>
              <w:jc w:val="center"/>
              <w:rPr>
                <w:b/>
                <w:bCs/>
                <w:sz w:val="24"/>
                <w:szCs w:val="24"/>
              </w:rPr>
            </w:pPr>
            <w:r w:rsidRPr="0B3DA59B">
              <w:rPr>
                <w:b/>
                <w:bCs/>
                <w:sz w:val="24"/>
                <w:szCs w:val="24"/>
              </w:rPr>
              <w:t xml:space="preserve">Traditional </w:t>
            </w:r>
          </w:p>
          <w:p w:rsidR="0B3DA59B" w:rsidP="0B3DA59B" w:rsidRDefault="0B3DA59B" w14:paraId="072C0E01" w14:textId="1B66769D">
            <w:pPr>
              <w:jc w:val="center"/>
              <w:rPr>
                <w:b/>
                <w:bCs/>
                <w:sz w:val="24"/>
                <w:szCs w:val="24"/>
              </w:rPr>
            </w:pPr>
            <w:r w:rsidRPr="0B3DA59B">
              <w:rPr>
                <w:b/>
                <w:bCs/>
                <w:sz w:val="24"/>
                <w:szCs w:val="24"/>
              </w:rPr>
              <w:t>(degree)</w:t>
            </w:r>
          </w:p>
        </w:tc>
        <w:tc>
          <w:tcPr>
            <w:tcW w:w="3225" w:type="dxa"/>
            <w:shd w:val="clear" w:color="auto" w:fill="244061" w:themeFill="accent1" w:themeFillShade="80"/>
          </w:tcPr>
          <w:p w:rsidR="006A10DE" w:rsidP="0B3DA59B" w:rsidRDefault="00FB177E" w14:paraId="1B535F79" w14:textId="77777777">
            <w:pPr>
              <w:jc w:val="center"/>
              <w:rPr>
                <w:b/>
                <w:bCs/>
                <w:sz w:val="24"/>
                <w:szCs w:val="24"/>
              </w:rPr>
            </w:pPr>
            <w:r w:rsidRPr="0B3DA59B">
              <w:rPr>
                <w:b/>
                <w:bCs/>
                <w:sz w:val="24"/>
                <w:szCs w:val="24"/>
              </w:rPr>
              <w:t>VDOE Alternate Career Switcher</w:t>
            </w:r>
          </w:p>
        </w:tc>
        <w:tc>
          <w:tcPr>
            <w:tcW w:w="3225" w:type="dxa"/>
            <w:shd w:val="clear" w:color="auto" w:fill="244061" w:themeFill="accent1" w:themeFillShade="80"/>
          </w:tcPr>
          <w:p w:rsidR="006A10DE" w:rsidP="0B3DA59B" w:rsidRDefault="00FB177E" w14:paraId="638250E3" w14:textId="7B397B1F">
            <w:pPr>
              <w:jc w:val="center"/>
              <w:rPr>
                <w:b/>
                <w:bCs/>
                <w:sz w:val="24"/>
                <w:szCs w:val="24"/>
              </w:rPr>
            </w:pPr>
            <w:r w:rsidRPr="0B3DA59B">
              <w:rPr>
                <w:b/>
                <w:bCs/>
                <w:sz w:val="24"/>
                <w:szCs w:val="24"/>
              </w:rPr>
              <w:t xml:space="preserve">Division requested </w:t>
            </w:r>
          </w:p>
          <w:p w:rsidR="006A10DE" w:rsidP="0B3DA59B" w:rsidRDefault="00FB177E" w14:paraId="138EED2E" w14:textId="3BECA290">
            <w:pPr>
              <w:jc w:val="center"/>
              <w:rPr>
                <w:b/>
                <w:bCs/>
                <w:sz w:val="24"/>
                <w:szCs w:val="24"/>
              </w:rPr>
            </w:pPr>
            <w:r w:rsidRPr="0B3DA59B">
              <w:rPr>
                <w:b/>
                <w:bCs/>
                <w:sz w:val="24"/>
                <w:szCs w:val="24"/>
              </w:rPr>
              <w:t xml:space="preserve">Alternate Route </w:t>
            </w:r>
          </w:p>
          <w:p w:rsidR="006A10DE" w:rsidP="0B3DA59B" w:rsidRDefault="00FB177E" w14:paraId="68827773" w14:textId="60423E2E">
            <w:pPr>
              <w:jc w:val="center"/>
              <w:rPr>
                <w:b/>
                <w:bCs/>
                <w:sz w:val="24"/>
                <w:szCs w:val="24"/>
              </w:rPr>
            </w:pPr>
            <w:r w:rsidRPr="0B3DA59B">
              <w:rPr>
                <w:b/>
                <w:bCs/>
                <w:sz w:val="24"/>
                <w:szCs w:val="24"/>
              </w:rPr>
              <w:t>(prof studies)</w:t>
            </w:r>
          </w:p>
        </w:tc>
        <w:tc>
          <w:tcPr>
            <w:tcW w:w="3126" w:type="dxa"/>
            <w:shd w:val="clear" w:color="auto" w:fill="244061" w:themeFill="accent1" w:themeFillShade="80"/>
          </w:tcPr>
          <w:p w:rsidR="006A10DE" w:rsidP="0B3DA59B" w:rsidRDefault="00825EAC" w14:paraId="3371DCD8" w14:textId="21A9A3AD">
            <w:pPr>
              <w:jc w:val="center"/>
              <w:rPr>
                <w:b/>
                <w:bCs/>
                <w:color w:val="FFFFFF" w:themeColor="background1"/>
              </w:rPr>
            </w:pPr>
            <w:r w:rsidRPr="0B3DA59B">
              <w:rPr>
                <w:b/>
                <w:bCs/>
                <w:color w:val="FFFFFF" w:themeColor="background1"/>
              </w:rPr>
              <w:t xml:space="preserve">HB2486: </w:t>
            </w:r>
            <w:r w:rsidRPr="0B3DA59B" w:rsidR="4E095C9C">
              <w:rPr>
                <w:b/>
                <w:bCs/>
                <w:color w:val="FFFFFF" w:themeColor="background1"/>
              </w:rPr>
              <w:t>D</w:t>
            </w:r>
            <w:r w:rsidRPr="0B3DA59B">
              <w:rPr>
                <w:b/>
                <w:bCs/>
                <w:color w:val="FFFFFF" w:themeColor="background1"/>
              </w:rPr>
              <w:t xml:space="preserve">ivision </w:t>
            </w:r>
            <w:r w:rsidRPr="0B3DA59B" w:rsidR="1A8066E9">
              <w:rPr>
                <w:b/>
                <w:bCs/>
                <w:color w:val="FFFFFF" w:themeColor="background1"/>
              </w:rPr>
              <w:t>P</w:t>
            </w:r>
            <w:r w:rsidRPr="0B3DA59B">
              <w:rPr>
                <w:b/>
                <w:bCs/>
                <w:color w:val="FFFFFF" w:themeColor="background1"/>
              </w:rPr>
              <w:t xml:space="preserve">artnership </w:t>
            </w:r>
            <w:r w:rsidRPr="0B3DA59B" w:rsidR="39D11A2A">
              <w:rPr>
                <w:b/>
                <w:bCs/>
                <w:color w:val="FFFFFF" w:themeColor="background1"/>
              </w:rPr>
              <w:t>with Third-Party Organization</w:t>
            </w:r>
          </w:p>
          <w:p w:rsidR="006A10DE" w:rsidP="0B3DA59B" w:rsidRDefault="00825EAC" w14:paraId="702D7674" w14:textId="37D14768">
            <w:pPr>
              <w:jc w:val="center"/>
              <w:rPr>
                <w:b/>
                <w:bCs/>
                <w:color w:val="FFFFFF" w:themeColor="background1"/>
                <w:sz w:val="24"/>
                <w:szCs w:val="24"/>
              </w:rPr>
            </w:pPr>
            <w:r w:rsidRPr="0B3DA59B">
              <w:rPr>
                <w:b/>
                <w:bCs/>
                <w:color w:val="FFFFFF" w:themeColor="background1"/>
              </w:rPr>
              <w:t xml:space="preserve"> (prof studies and content)</w:t>
            </w:r>
          </w:p>
        </w:tc>
      </w:tr>
      <w:tr w:rsidR="006A10DE" w:rsidTr="0B3DA59B" w14:paraId="69D3D7D9" w14:textId="77777777">
        <w:tc>
          <w:tcPr>
            <w:tcW w:w="1770" w:type="dxa"/>
          </w:tcPr>
          <w:p w:rsidR="006A10DE" w:rsidRDefault="00FB177E" w14:paraId="49D254F4" w14:textId="77777777">
            <w:pPr>
              <w:rPr>
                <w:b/>
              </w:rPr>
            </w:pPr>
            <w:r>
              <w:rPr>
                <w:b/>
              </w:rPr>
              <w:t>Application Accepted</w:t>
            </w:r>
          </w:p>
        </w:tc>
        <w:tc>
          <w:tcPr>
            <w:tcW w:w="3135" w:type="dxa"/>
            <w:vAlign w:val="center"/>
          </w:tcPr>
          <w:p w:rsidR="0B3DA59B" w:rsidP="0B3DA59B" w:rsidRDefault="0B3DA59B" w14:paraId="5C0BFD2B" w14:textId="77777777">
            <w:r>
              <w:t>One Time Annually- March (only Undergrad or Master)</w:t>
            </w:r>
          </w:p>
        </w:tc>
        <w:tc>
          <w:tcPr>
            <w:tcW w:w="3225" w:type="dxa"/>
            <w:vAlign w:val="center"/>
          </w:tcPr>
          <w:p w:rsidR="006A10DE" w:rsidP="0B3DA59B" w:rsidRDefault="00FB177E" w14:paraId="2511F4ED" w14:textId="77777777">
            <w:r>
              <w:t>Rolling</w:t>
            </w:r>
          </w:p>
        </w:tc>
        <w:tc>
          <w:tcPr>
            <w:tcW w:w="3225" w:type="dxa"/>
            <w:vAlign w:val="center"/>
          </w:tcPr>
          <w:p w:rsidR="006A10DE" w:rsidP="0B3DA59B" w:rsidRDefault="00FB177E" w14:paraId="3CEDEB3C" w14:textId="77777777">
            <w:r>
              <w:t>Rolling</w:t>
            </w:r>
          </w:p>
        </w:tc>
        <w:tc>
          <w:tcPr>
            <w:tcW w:w="3126" w:type="dxa"/>
            <w:vAlign w:val="center"/>
          </w:tcPr>
          <w:p w:rsidR="006A10DE" w:rsidP="0B3DA59B" w:rsidRDefault="00FB177E" w14:paraId="0E662D0C" w14:textId="77777777">
            <w:r>
              <w:t>Rolling</w:t>
            </w:r>
          </w:p>
        </w:tc>
      </w:tr>
      <w:tr w:rsidR="006A10DE" w:rsidTr="0B3DA59B" w14:paraId="30332F23" w14:textId="77777777">
        <w:tc>
          <w:tcPr>
            <w:tcW w:w="1770" w:type="dxa"/>
          </w:tcPr>
          <w:p w:rsidR="006A10DE" w:rsidRDefault="00FB177E" w14:paraId="7F0C8AD4" w14:textId="77777777">
            <w:pPr>
              <w:rPr>
                <w:b/>
              </w:rPr>
            </w:pPr>
            <w:r>
              <w:rPr>
                <w:b/>
              </w:rPr>
              <w:t>Application Components</w:t>
            </w:r>
          </w:p>
        </w:tc>
        <w:tc>
          <w:tcPr>
            <w:tcW w:w="3135" w:type="dxa"/>
          </w:tcPr>
          <w:p w:rsidR="0B3DA59B" w:rsidP="0B3DA59B" w:rsidRDefault="0B3DA59B" w14:paraId="692B4FD1" w14:textId="38A9299E">
            <w:pPr>
              <w:numPr>
                <w:ilvl w:val="0"/>
                <w:numId w:val="5"/>
              </w:numPr>
              <w:ind w:left="360"/>
            </w:pPr>
            <w:r>
              <w:t>Rational/Justification</w:t>
            </w:r>
          </w:p>
          <w:p w:rsidR="0B3DA59B" w:rsidP="0B3DA59B" w:rsidRDefault="0B3DA59B" w14:paraId="7FF7A677" w14:textId="1EB63018">
            <w:pPr>
              <w:numPr>
                <w:ilvl w:val="0"/>
                <w:numId w:val="5"/>
              </w:numPr>
              <w:ind w:left="360"/>
            </w:pPr>
            <w:r>
              <w:t>Recruitment/Admission Criteria</w:t>
            </w:r>
          </w:p>
          <w:p w:rsidR="0B3DA59B" w:rsidP="0B3DA59B" w:rsidRDefault="0B3DA59B" w14:paraId="767D4730" w14:textId="77777777">
            <w:pPr>
              <w:numPr>
                <w:ilvl w:val="0"/>
                <w:numId w:val="5"/>
              </w:numPr>
              <w:ind w:left="360"/>
            </w:pPr>
            <w:r>
              <w:t>Design/Degree Requirements</w:t>
            </w:r>
          </w:p>
          <w:p w:rsidR="0B3DA59B" w:rsidP="0B3DA59B" w:rsidRDefault="0B3DA59B" w14:paraId="72E3DFFC" w14:textId="77777777">
            <w:pPr>
              <w:numPr>
                <w:ilvl w:val="0"/>
                <w:numId w:val="5"/>
              </w:numPr>
              <w:ind w:left="360"/>
            </w:pPr>
            <w:r>
              <w:t>Collaboration Partnership</w:t>
            </w:r>
          </w:p>
          <w:p w:rsidR="0B3DA59B" w:rsidP="0B3DA59B" w:rsidRDefault="0B3DA59B" w14:paraId="02889489" w14:textId="77777777">
            <w:pPr>
              <w:numPr>
                <w:ilvl w:val="0"/>
                <w:numId w:val="5"/>
              </w:numPr>
              <w:ind w:left="360"/>
            </w:pPr>
            <w:r>
              <w:t>Program Evaluation</w:t>
            </w:r>
          </w:p>
          <w:p w:rsidR="0B3DA59B" w:rsidP="0B3DA59B" w:rsidRDefault="0B3DA59B" w14:paraId="4AC9961D" w14:textId="47738B22">
            <w:pPr>
              <w:numPr>
                <w:ilvl w:val="0"/>
                <w:numId w:val="5"/>
              </w:numPr>
              <w:ind w:left="360"/>
            </w:pPr>
            <w:r>
              <w:t>All Syllabi, handb</w:t>
            </w:r>
            <w:r w:rsidR="09821329">
              <w:t>oo</w:t>
            </w:r>
            <w:r>
              <w:t>ks</w:t>
            </w:r>
          </w:p>
          <w:p w:rsidR="0B3DA59B" w:rsidP="0B3DA59B" w:rsidRDefault="0B3DA59B" w14:paraId="33AEF17E" w14:textId="77777777">
            <w:pPr>
              <w:numPr>
                <w:ilvl w:val="0"/>
                <w:numId w:val="5"/>
              </w:numPr>
              <w:ind w:left="360"/>
            </w:pPr>
            <w:r>
              <w:t>Matrix alignment with VDOE Endorsement Competences (Content &amp; Professional Studies)</w:t>
            </w:r>
          </w:p>
        </w:tc>
        <w:tc>
          <w:tcPr>
            <w:tcW w:w="3225" w:type="dxa"/>
          </w:tcPr>
          <w:p w:rsidR="006A10DE" w:rsidRDefault="00FB177E" w14:paraId="1F36DB02" w14:textId="77777777">
            <w:pPr>
              <w:numPr>
                <w:ilvl w:val="0"/>
                <w:numId w:val="9"/>
              </w:numPr>
              <w:ind w:left="360"/>
            </w:pPr>
            <w:r>
              <w:t>process for recruitment and selection of individuals for the program</w:t>
            </w:r>
          </w:p>
          <w:p w:rsidR="006A10DE" w:rsidRDefault="00FB177E" w14:paraId="167C9619" w14:textId="77777777">
            <w:pPr>
              <w:numPr>
                <w:ilvl w:val="0"/>
                <w:numId w:val="9"/>
              </w:numPr>
              <w:ind w:left="360"/>
            </w:pPr>
            <w:r>
              <w:t>program design and capacity, which includes the application process for individuals</w:t>
            </w:r>
          </w:p>
          <w:p w:rsidR="006A10DE" w:rsidRDefault="00FB177E" w14:paraId="449703AA" w14:textId="77777777">
            <w:pPr>
              <w:numPr>
                <w:ilvl w:val="0"/>
                <w:numId w:val="9"/>
              </w:numPr>
              <w:ind w:left="360"/>
            </w:pPr>
            <w:r>
              <w:t>administration and management of the program</w:t>
            </w:r>
          </w:p>
          <w:p w:rsidR="006A10DE" w:rsidRDefault="00FB177E" w14:paraId="70746EA4" w14:textId="77777777">
            <w:pPr>
              <w:numPr>
                <w:ilvl w:val="0"/>
                <w:numId w:val="9"/>
              </w:numPr>
              <w:ind w:left="360"/>
            </w:pPr>
            <w:r>
              <w:t>purpose and description of program design</w:t>
            </w:r>
          </w:p>
          <w:p w:rsidR="006A10DE" w:rsidRDefault="00FB177E" w14:paraId="3DC57A45" w14:textId="77777777">
            <w:pPr>
              <w:numPr>
                <w:ilvl w:val="0"/>
                <w:numId w:val="9"/>
              </w:numPr>
              <w:ind w:left="360"/>
            </w:pPr>
            <w:r>
              <w:t>collaboration and partnership details</w:t>
            </w:r>
          </w:p>
          <w:p w:rsidR="006A10DE" w:rsidRDefault="00FB177E" w14:paraId="5BF08A19" w14:textId="77777777">
            <w:pPr>
              <w:numPr>
                <w:ilvl w:val="0"/>
                <w:numId w:val="9"/>
              </w:numPr>
              <w:ind w:left="360"/>
            </w:pPr>
            <w:r>
              <w:t>information on faculty and instructors</w:t>
            </w:r>
          </w:p>
          <w:p w:rsidR="006A10DE" w:rsidRDefault="00FB177E" w14:paraId="35EEC38A" w14:textId="77777777">
            <w:pPr>
              <w:numPr>
                <w:ilvl w:val="0"/>
                <w:numId w:val="9"/>
              </w:numPr>
              <w:ind w:left="360"/>
            </w:pPr>
            <w:r>
              <w:t>maintenance of data and annual reporting to VDOE</w:t>
            </w:r>
          </w:p>
          <w:p w:rsidR="006A10DE" w:rsidRDefault="00FB177E" w14:paraId="23D05289" w14:textId="77777777">
            <w:pPr>
              <w:numPr>
                <w:ilvl w:val="0"/>
                <w:numId w:val="9"/>
              </w:numPr>
              <w:ind w:left="360"/>
            </w:pPr>
            <w:r>
              <w:t>and their program evaluation</w:t>
            </w:r>
          </w:p>
          <w:p w:rsidR="006A10DE" w:rsidRDefault="00FB177E" w14:paraId="09FB1D9A" w14:textId="77777777">
            <w:pPr>
              <w:numPr>
                <w:ilvl w:val="0"/>
                <w:numId w:val="9"/>
              </w:numPr>
              <w:ind w:left="360"/>
            </w:pPr>
            <w:r>
              <w:t>Matrix for professional studies</w:t>
            </w:r>
          </w:p>
        </w:tc>
        <w:tc>
          <w:tcPr>
            <w:tcW w:w="3225" w:type="dxa"/>
          </w:tcPr>
          <w:p w:rsidR="006A10DE" w:rsidRDefault="00FB177E" w14:paraId="01AB4988" w14:textId="77777777">
            <w:pPr>
              <w:numPr>
                <w:ilvl w:val="0"/>
                <w:numId w:val="9"/>
              </w:numPr>
              <w:ind w:left="360"/>
            </w:pPr>
            <w:r>
              <w:t xml:space="preserve">process for recruitment and selection </w:t>
            </w:r>
            <w:bookmarkStart w:name="_GoBack" w:id="2"/>
            <w:bookmarkEnd w:id="2"/>
            <w:r>
              <w:t>of individuals for the program</w:t>
            </w:r>
          </w:p>
          <w:p w:rsidR="006A10DE" w:rsidRDefault="00FB177E" w14:paraId="23309CCE" w14:textId="77777777">
            <w:pPr>
              <w:numPr>
                <w:ilvl w:val="0"/>
                <w:numId w:val="9"/>
              </w:numPr>
              <w:ind w:left="360"/>
            </w:pPr>
            <w:r>
              <w:t>program design and capacity, which includes the application process for individuals</w:t>
            </w:r>
          </w:p>
          <w:p w:rsidR="006A10DE" w:rsidRDefault="00FB177E" w14:paraId="1AFC5FBC" w14:textId="77777777">
            <w:pPr>
              <w:numPr>
                <w:ilvl w:val="0"/>
                <w:numId w:val="9"/>
              </w:numPr>
              <w:ind w:left="360"/>
            </w:pPr>
            <w:r>
              <w:t>administration and management of the program</w:t>
            </w:r>
          </w:p>
          <w:p w:rsidR="006A10DE" w:rsidRDefault="00FB177E" w14:paraId="5EF1720E" w14:textId="77777777">
            <w:pPr>
              <w:numPr>
                <w:ilvl w:val="0"/>
                <w:numId w:val="9"/>
              </w:numPr>
              <w:ind w:left="360"/>
            </w:pPr>
            <w:r>
              <w:t>purpose and description of program design</w:t>
            </w:r>
          </w:p>
          <w:p w:rsidR="006A10DE" w:rsidRDefault="00FB177E" w14:paraId="6FB17D37" w14:textId="77777777">
            <w:pPr>
              <w:numPr>
                <w:ilvl w:val="0"/>
                <w:numId w:val="9"/>
              </w:numPr>
              <w:ind w:left="360"/>
            </w:pPr>
            <w:r>
              <w:t>collaboration and partnership details</w:t>
            </w:r>
          </w:p>
          <w:p w:rsidR="006A10DE" w:rsidRDefault="00FB177E" w14:paraId="071DAA09" w14:textId="77777777">
            <w:pPr>
              <w:numPr>
                <w:ilvl w:val="0"/>
                <w:numId w:val="9"/>
              </w:numPr>
              <w:ind w:left="360"/>
            </w:pPr>
            <w:r>
              <w:t>information on faculty and instructors</w:t>
            </w:r>
          </w:p>
          <w:p w:rsidR="006A10DE" w:rsidRDefault="00FB177E" w14:paraId="1810C2E9" w14:textId="77777777">
            <w:pPr>
              <w:numPr>
                <w:ilvl w:val="0"/>
                <w:numId w:val="9"/>
              </w:numPr>
              <w:ind w:left="360"/>
            </w:pPr>
            <w:r>
              <w:t>maintenance of data and annual reporting to VDOE</w:t>
            </w:r>
          </w:p>
          <w:p w:rsidR="006A10DE" w:rsidRDefault="00FB177E" w14:paraId="56121B7E" w14:textId="77777777">
            <w:pPr>
              <w:numPr>
                <w:ilvl w:val="0"/>
                <w:numId w:val="9"/>
              </w:numPr>
              <w:ind w:left="360"/>
            </w:pPr>
            <w:r>
              <w:t>and their program evaluation</w:t>
            </w:r>
          </w:p>
          <w:p w:rsidR="006A10DE" w:rsidRDefault="00FB177E" w14:paraId="0FB5891E" w14:textId="77777777">
            <w:pPr>
              <w:numPr>
                <w:ilvl w:val="0"/>
                <w:numId w:val="9"/>
              </w:numPr>
              <w:ind w:left="360"/>
            </w:pPr>
            <w:r>
              <w:t>Matrix for professional studies</w:t>
            </w:r>
          </w:p>
        </w:tc>
        <w:tc>
          <w:tcPr>
            <w:tcW w:w="3126" w:type="dxa"/>
          </w:tcPr>
          <w:p w:rsidR="006A10DE" w:rsidRDefault="00FB177E" w14:paraId="4259FD4B" w14:textId="77777777">
            <w:pPr>
              <w:numPr>
                <w:ilvl w:val="0"/>
                <w:numId w:val="3"/>
              </w:numPr>
              <w:ind w:left="270" w:hanging="270"/>
            </w:pPr>
            <w:r>
              <w:t xml:space="preserve">recruitment and selection of individuals for the program </w:t>
            </w:r>
          </w:p>
          <w:p w:rsidR="006A10DE" w:rsidRDefault="00FB177E" w14:paraId="11570555" w14:textId="77777777">
            <w:pPr>
              <w:numPr>
                <w:ilvl w:val="0"/>
                <w:numId w:val="3"/>
              </w:numPr>
              <w:ind w:left="270" w:hanging="270"/>
            </w:pPr>
            <w:r>
              <w:t>program design and capacity</w:t>
            </w:r>
          </w:p>
          <w:p w:rsidR="006A10DE" w:rsidRDefault="00FB177E" w14:paraId="5274549C" w14:textId="77777777">
            <w:pPr>
              <w:numPr>
                <w:ilvl w:val="0"/>
                <w:numId w:val="3"/>
              </w:numPr>
              <w:ind w:left="270" w:hanging="270"/>
            </w:pPr>
            <w:r>
              <w:t xml:space="preserve"> administration and management of the program</w:t>
            </w:r>
          </w:p>
          <w:p w:rsidR="006A10DE" w:rsidRDefault="00FB177E" w14:paraId="53DED07E" w14:textId="77777777">
            <w:pPr>
              <w:numPr>
                <w:ilvl w:val="0"/>
                <w:numId w:val="3"/>
              </w:numPr>
              <w:ind w:left="270" w:hanging="270"/>
            </w:pPr>
            <w:r>
              <w:t>purpose and description of program design</w:t>
            </w:r>
          </w:p>
          <w:p w:rsidR="006A10DE" w:rsidRDefault="00FB177E" w14:paraId="25F15A3A" w14:textId="77777777">
            <w:pPr>
              <w:numPr>
                <w:ilvl w:val="0"/>
                <w:numId w:val="3"/>
              </w:numPr>
              <w:ind w:left="270" w:hanging="270"/>
            </w:pPr>
            <w:r>
              <w:t>delivery model and sustainability of the program</w:t>
            </w:r>
          </w:p>
          <w:p w:rsidR="006A10DE" w:rsidRDefault="00FB177E" w14:paraId="371F1E7D" w14:textId="77777777">
            <w:pPr>
              <w:numPr>
                <w:ilvl w:val="0"/>
                <w:numId w:val="3"/>
              </w:numPr>
              <w:ind w:left="270" w:hanging="270"/>
            </w:pPr>
            <w:r>
              <w:t>information on faculty and instructors</w:t>
            </w:r>
          </w:p>
          <w:p w:rsidR="006A10DE" w:rsidRDefault="00FB177E" w14:paraId="3FE17CD3" w14:textId="77777777">
            <w:pPr>
              <w:numPr>
                <w:ilvl w:val="0"/>
                <w:numId w:val="3"/>
              </w:numPr>
              <w:ind w:left="270" w:hanging="270"/>
            </w:pPr>
            <w:r>
              <w:t xml:space="preserve"> how the program is aligned and addresses Approved Program Regulations</w:t>
            </w:r>
          </w:p>
          <w:p w:rsidR="006A10DE" w:rsidRDefault="00FB177E" w14:paraId="487E7535" w14:textId="77777777">
            <w:pPr>
              <w:numPr>
                <w:ilvl w:val="0"/>
                <w:numId w:val="3"/>
              </w:numPr>
              <w:ind w:left="270" w:hanging="270"/>
            </w:pPr>
            <w:r>
              <w:t>description of field and clinical experiences,</w:t>
            </w:r>
          </w:p>
          <w:p w:rsidR="006A10DE" w:rsidRDefault="00FB177E" w14:paraId="366341D4" w14:textId="77777777">
            <w:pPr>
              <w:numPr>
                <w:ilvl w:val="0"/>
                <w:numId w:val="3"/>
              </w:numPr>
              <w:ind w:left="270" w:hanging="270"/>
            </w:pPr>
            <w:r>
              <w:t>program evaluation</w:t>
            </w:r>
          </w:p>
          <w:p w:rsidR="006A10DE" w:rsidRDefault="00FB177E" w14:paraId="18E1381C" w14:textId="77777777">
            <w:pPr>
              <w:numPr>
                <w:ilvl w:val="0"/>
                <w:numId w:val="3"/>
              </w:numPr>
              <w:ind w:left="270" w:hanging="270"/>
            </w:pPr>
            <w:r>
              <w:t>Matrix for professional studies and content requirements</w:t>
            </w:r>
          </w:p>
        </w:tc>
      </w:tr>
      <w:tr w:rsidR="006A10DE" w:rsidTr="0B3DA59B" w14:paraId="6B8CC599" w14:textId="77777777">
        <w:tc>
          <w:tcPr>
            <w:tcW w:w="1770" w:type="dxa"/>
          </w:tcPr>
          <w:p w:rsidR="006A10DE" w:rsidRDefault="00FB177E" w14:paraId="36A410BB" w14:textId="77777777">
            <w:pPr>
              <w:rPr>
                <w:b/>
              </w:rPr>
            </w:pPr>
            <w:r>
              <w:rPr>
                <w:b/>
              </w:rPr>
              <w:t>Reviewers – Who &amp; Typical Time for Review</w:t>
            </w:r>
          </w:p>
        </w:tc>
        <w:tc>
          <w:tcPr>
            <w:tcW w:w="3135" w:type="dxa"/>
          </w:tcPr>
          <w:p w:rsidR="0B3DA59B" w:rsidRDefault="0B3DA59B" w14:paraId="463962BC" w14:textId="2512BF2B">
            <w:r>
              <w:t>Teacher Ed Staff 1st (PRAS)</w:t>
            </w:r>
          </w:p>
          <w:p w:rsidR="0B3DA59B" w:rsidP="0B3DA59B" w:rsidRDefault="0B3DA59B" w14:paraId="704DE0BB" w14:textId="772AFC79">
            <w:pPr>
              <w:rPr>
                <w:vertAlign w:val="superscript"/>
              </w:rPr>
            </w:pPr>
            <w:r>
              <w:t>VDOE Staff Specialist 2</w:t>
            </w:r>
            <w:r w:rsidRPr="0B3DA59B">
              <w:rPr>
                <w:vertAlign w:val="superscript"/>
              </w:rPr>
              <w:t>nd</w:t>
            </w:r>
            <w:r>
              <w:br/>
            </w:r>
            <w:r w:rsidRPr="0B3DA59B">
              <w:rPr>
                <w:i/>
                <w:iCs/>
              </w:rPr>
              <w:t>6-8 months</w:t>
            </w:r>
          </w:p>
        </w:tc>
        <w:tc>
          <w:tcPr>
            <w:tcW w:w="3225" w:type="dxa"/>
          </w:tcPr>
          <w:p w:rsidR="006A10DE" w:rsidRDefault="00FB177E" w14:paraId="4F22A68E" w14:textId="77777777">
            <w:r>
              <w:t>4-6 months depending on facilitator capacity (facilitators include: Career Switcher Coordinator, Director, panel of 5-7 volunteers)</w:t>
            </w:r>
          </w:p>
        </w:tc>
        <w:tc>
          <w:tcPr>
            <w:tcW w:w="3225" w:type="dxa"/>
          </w:tcPr>
          <w:p w:rsidR="006A10DE" w:rsidRDefault="00FB177E" w14:paraId="7F5C8081" w14:textId="77777777">
            <w:r>
              <w:t>2-4 months depending on facilitator capacity (facilitators include: Career Switcher Coordinator, Director, panel of 5-7 volunteers)</w:t>
            </w:r>
          </w:p>
        </w:tc>
        <w:tc>
          <w:tcPr>
            <w:tcW w:w="3126" w:type="dxa"/>
          </w:tcPr>
          <w:p w:rsidR="006A10DE" w:rsidRDefault="00FB177E" w14:paraId="1ABADCC9" w14:textId="77777777">
            <w:pPr>
              <w:rPr>
                <w:vertAlign w:val="superscript"/>
              </w:rPr>
            </w:pPr>
            <w:r>
              <w:t>6-8 months depending on facilitator capacity (facilitators include: Career Switcher Coordinator, Director, panel of 5-7 volunteers)</w:t>
            </w:r>
          </w:p>
        </w:tc>
      </w:tr>
      <w:tr w:rsidR="006A10DE" w:rsidTr="0B3DA59B" w14:paraId="7578F0E8" w14:textId="77777777">
        <w:tc>
          <w:tcPr>
            <w:tcW w:w="1770" w:type="dxa"/>
          </w:tcPr>
          <w:p w:rsidR="006A10DE" w:rsidRDefault="00FB177E" w14:paraId="12856011" w14:textId="77777777">
            <w:pPr>
              <w:rPr>
                <w:b/>
              </w:rPr>
            </w:pPr>
            <w:r>
              <w:rPr>
                <w:b/>
              </w:rPr>
              <w:t>Approval Process</w:t>
            </w:r>
          </w:p>
        </w:tc>
        <w:tc>
          <w:tcPr>
            <w:tcW w:w="3135" w:type="dxa"/>
          </w:tcPr>
          <w:p w:rsidR="0B3DA59B" w:rsidP="0B3DA59B" w:rsidRDefault="0B3DA59B" w14:paraId="753F7F19" w14:textId="77777777">
            <w:pPr>
              <w:numPr>
                <w:ilvl w:val="0"/>
                <w:numId w:val="10"/>
              </w:numPr>
              <w:ind w:left="360"/>
            </w:pPr>
            <w:r>
              <w:t>ABTEL review and recommendation</w:t>
            </w:r>
          </w:p>
          <w:p w:rsidR="0B3DA59B" w:rsidP="0B3DA59B" w:rsidRDefault="0B3DA59B" w14:paraId="249F9361" w14:textId="77777777">
            <w:pPr>
              <w:numPr>
                <w:ilvl w:val="0"/>
                <w:numId w:val="10"/>
              </w:numPr>
              <w:ind w:left="360"/>
            </w:pPr>
            <w:r>
              <w:t>BOE 1</w:t>
            </w:r>
            <w:r w:rsidRPr="0B3DA59B">
              <w:rPr>
                <w:vertAlign w:val="superscript"/>
              </w:rPr>
              <w:t>st</w:t>
            </w:r>
            <w:r>
              <w:t xml:space="preserve"> and 2</w:t>
            </w:r>
            <w:r w:rsidRPr="0B3DA59B">
              <w:rPr>
                <w:vertAlign w:val="superscript"/>
              </w:rPr>
              <w:t>nd</w:t>
            </w:r>
            <w:r>
              <w:t xml:space="preserve"> Review</w:t>
            </w:r>
          </w:p>
          <w:p w:rsidR="0B3DA59B" w:rsidP="0B3DA59B" w:rsidRDefault="0B3DA59B" w14:paraId="6EE6437D" w14:textId="77777777">
            <w:pPr>
              <w:numPr>
                <w:ilvl w:val="0"/>
                <w:numId w:val="10"/>
              </w:numPr>
              <w:ind w:left="360"/>
            </w:pPr>
            <w:r>
              <w:t>Supt Public Instruction Recommendation</w:t>
            </w:r>
          </w:p>
          <w:p w:rsidR="0B3DA59B" w:rsidP="0B3DA59B" w:rsidRDefault="0B3DA59B" w14:paraId="338A065E" w14:textId="77777777">
            <w:pPr>
              <w:rPr>
                <w:i/>
                <w:iCs/>
              </w:rPr>
            </w:pPr>
            <w:r w:rsidRPr="0B3DA59B">
              <w:rPr>
                <w:i/>
                <w:iCs/>
              </w:rPr>
              <w:t>6 months-9 month for final approval*</w:t>
            </w:r>
          </w:p>
          <w:p w:rsidR="0B3DA59B" w:rsidRDefault="0B3DA59B" w14:paraId="38CB2170" w14:textId="77777777"/>
        </w:tc>
        <w:tc>
          <w:tcPr>
            <w:tcW w:w="3225" w:type="dxa"/>
          </w:tcPr>
          <w:p w:rsidR="006A10DE" w:rsidRDefault="00FB177E" w14:paraId="21C32BCB" w14:textId="77777777">
            <w:pPr>
              <w:numPr>
                <w:ilvl w:val="0"/>
                <w:numId w:val="7"/>
              </w:numPr>
              <w:ind w:left="360"/>
            </w:pPr>
            <w:r>
              <w:t>Office of Licensure recommendation based on panel recommendation</w:t>
            </w:r>
          </w:p>
          <w:p w:rsidR="006A10DE" w:rsidRDefault="00FB177E" w14:paraId="5773C663" w14:textId="77777777">
            <w:pPr>
              <w:numPr>
                <w:ilvl w:val="0"/>
                <w:numId w:val="7"/>
              </w:numPr>
              <w:ind w:left="360"/>
            </w:pPr>
            <w:r>
              <w:t>Supt of Public Instruction approval</w:t>
            </w:r>
          </w:p>
        </w:tc>
        <w:tc>
          <w:tcPr>
            <w:tcW w:w="3225" w:type="dxa"/>
          </w:tcPr>
          <w:p w:rsidR="006A10DE" w:rsidRDefault="00FB177E" w14:paraId="0F8EB449" w14:textId="77777777">
            <w:pPr>
              <w:numPr>
                <w:ilvl w:val="0"/>
                <w:numId w:val="8"/>
              </w:numPr>
              <w:ind w:left="450"/>
            </w:pPr>
            <w:r>
              <w:t>Office of Licensure recommendation based on panel recommendation</w:t>
            </w:r>
          </w:p>
          <w:p w:rsidR="006A10DE" w:rsidRDefault="00FB177E" w14:paraId="70A712B5" w14:textId="77777777">
            <w:pPr>
              <w:numPr>
                <w:ilvl w:val="0"/>
                <w:numId w:val="8"/>
              </w:numPr>
              <w:ind w:left="450"/>
            </w:pPr>
            <w:r>
              <w:t>Supt of Public Instruction approval</w:t>
            </w:r>
          </w:p>
        </w:tc>
        <w:tc>
          <w:tcPr>
            <w:tcW w:w="3126" w:type="dxa"/>
          </w:tcPr>
          <w:p w:rsidR="006A10DE" w:rsidRDefault="00FB177E" w14:paraId="5485A0D0" w14:textId="77777777">
            <w:pPr>
              <w:numPr>
                <w:ilvl w:val="0"/>
                <w:numId w:val="2"/>
              </w:numPr>
              <w:ind w:left="360"/>
            </w:pPr>
            <w:r>
              <w:t>Office of Licensure recommendation based on panel recommendation</w:t>
            </w:r>
          </w:p>
          <w:p w:rsidR="006A10DE" w:rsidRDefault="00FB177E" w14:paraId="25773D88" w14:textId="77777777">
            <w:pPr>
              <w:numPr>
                <w:ilvl w:val="0"/>
                <w:numId w:val="2"/>
              </w:numPr>
              <w:ind w:left="360"/>
            </w:pPr>
            <w:r>
              <w:t>BOE 1st and 2nd Review</w:t>
            </w:r>
            <w:r>
              <w:rPr>
                <w:i/>
              </w:rPr>
              <w:t xml:space="preserve"> </w:t>
            </w:r>
          </w:p>
        </w:tc>
      </w:tr>
      <w:tr w:rsidR="006A10DE" w:rsidTr="0B3DA59B" w14:paraId="15975211" w14:textId="77777777">
        <w:tc>
          <w:tcPr>
            <w:tcW w:w="1770" w:type="dxa"/>
          </w:tcPr>
          <w:p w:rsidR="006A10DE" w:rsidRDefault="00FB177E" w14:paraId="3BBEF2FC" w14:textId="77777777">
            <w:pPr>
              <w:rPr>
                <w:b/>
              </w:rPr>
            </w:pPr>
            <w:r>
              <w:rPr>
                <w:b/>
              </w:rPr>
              <w:t>Approval Time Period ( how long does the approval last)</w:t>
            </w:r>
          </w:p>
        </w:tc>
        <w:tc>
          <w:tcPr>
            <w:tcW w:w="3135" w:type="dxa"/>
          </w:tcPr>
          <w:p w:rsidR="0B3DA59B" w:rsidP="0B3DA59B" w:rsidRDefault="0B3DA59B" w14:paraId="769E10AE" w14:textId="77777777">
            <w:pPr>
              <w:numPr>
                <w:ilvl w:val="0"/>
                <w:numId w:val="6"/>
              </w:numPr>
              <w:ind w:left="360"/>
            </w:pPr>
            <w:r>
              <w:t>Biennial</w:t>
            </w:r>
          </w:p>
          <w:p w:rsidR="0B3DA59B" w:rsidP="0B3DA59B" w:rsidRDefault="0B3DA59B" w14:paraId="20DD994B" w14:textId="77777777">
            <w:pPr>
              <w:numPr>
                <w:ilvl w:val="0"/>
                <w:numId w:val="6"/>
              </w:numPr>
              <w:ind w:left="360"/>
            </w:pPr>
            <w:r>
              <w:t>7 Year Accreditation (CAEP/VDOE) Cycle</w:t>
            </w:r>
          </w:p>
        </w:tc>
        <w:tc>
          <w:tcPr>
            <w:tcW w:w="3225" w:type="dxa"/>
          </w:tcPr>
          <w:p w:rsidR="006A10DE" w:rsidRDefault="00FB177E" w14:paraId="277C8D62" w14:textId="77777777">
            <w:r>
              <w:t>5 years recertification; annual report to DOE</w:t>
            </w:r>
          </w:p>
        </w:tc>
        <w:tc>
          <w:tcPr>
            <w:tcW w:w="3225" w:type="dxa"/>
          </w:tcPr>
          <w:p w:rsidR="006A10DE" w:rsidRDefault="00FB177E" w14:paraId="7048A84A" w14:textId="77777777">
            <w:r>
              <w:t>Initially for a three-year period and renewed every seven years</w:t>
            </w:r>
          </w:p>
        </w:tc>
        <w:tc>
          <w:tcPr>
            <w:tcW w:w="3126" w:type="dxa"/>
          </w:tcPr>
          <w:p w:rsidR="006A10DE" w:rsidRDefault="00FB177E" w14:paraId="2E6D07DC" w14:textId="77777777">
            <w:r>
              <w:t>Initially for a three-year period and renewed every seven years</w:t>
            </w:r>
          </w:p>
        </w:tc>
      </w:tr>
      <w:tr w:rsidR="006A10DE" w:rsidTr="0B3DA59B" w14:paraId="786A2607" w14:textId="77777777">
        <w:tc>
          <w:tcPr>
            <w:tcW w:w="1770" w:type="dxa"/>
          </w:tcPr>
          <w:p w:rsidR="006A10DE" w:rsidRDefault="00FB177E" w14:paraId="69340D8C" w14:textId="77777777">
            <w:pPr>
              <w:rPr>
                <w:b/>
              </w:rPr>
            </w:pPr>
            <w:r>
              <w:rPr>
                <w:b/>
              </w:rPr>
              <w:t>Accountability- what/when</w:t>
            </w:r>
          </w:p>
        </w:tc>
        <w:tc>
          <w:tcPr>
            <w:tcW w:w="3135" w:type="dxa"/>
          </w:tcPr>
          <w:p w:rsidR="0B3DA59B" w:rsidP="0B3DA59B" w:rsidRDefault="0B3DA59B" w14:paraId="5F7F4C87" w14:textId="77777777">
            <w:pPr>
              <w:numPr>
                <w:ilvl w:val="0"/>
                <w:numId w:val="4"/>
              </w:numPr>
              <w:ind w:left="360"/>
            </w:pPr>
            <w:r>
              <w:t>Annual CAEP Report</w:t>
            </w:r>
          </w:p>
          <w:p w:rsidR="0B3DA59B" w:rsidP="0B3DA59B" w:rsidRDefault="0B3DA59B" w14:paraId="75F494EB" w14:textId="77777777">
            <w:pPr>
              <w:numPr>
                <w:ilvl w:val="0"/>
                <w:numId w:val="4"/>
              </w:numPr>
              <w:ind w:left="360"/>
            </w:pPr>
            <w:r>
              <w:t>VDOE Biennial Report</w:t>
            </w:r>
          </w:p>
          <w:p w:rsidR="0B3DA59B" w:rsidP="0B3DA59B" w:rsidRDefault="0B3DA59B" w14:paraId="16B13BA3" w14:textId="77777777">
            <w:pPr>
              <w:numPr>
                <w:ilvl w:val="0"/>
                <w:numId w:val="4"/>
              </w:numPr>
              <w:ind w:left="360"/>
            </w:pPr>
            <w:r>
              <w:t>VDOE Annual Profile Report</w:t>
            </w:r>
          </w:p>
          <w:p w:rsidR="0B3DA59B" w:rsidP="0B3DA59B" w:rsidRDefault="0B3DA59B" w14:paraId="10D556AD" w14:textId="77777777">
            <w:pPr>
              <w:numPr>
                <w:ilvl w:val="0"/>
                <w:numId w:val="4"/>
              </w:numPr>
              <w:ind w:left="360"/>
            </w:pPr>
            <w:r>
              <w:t>Annual Title II Reporting</w:t>
            </w:r>
            <w:r>
              <w:br/>
            </w:r>
          </w:p>
        </w:tc>
        <w:tc>
          <w:tcPr>
            <w:tcW w:w="3225" w:type="dxa"/>
          </w:tcPr>
          <w:p w:rsidR="006A10DE" w:rsidRDefault="00FB177E" w14:paraId="0CF8969E" w14:textId="77777777">
            <w:r>
              <w:t>CS Annual Title II Reporting</w:t>
            </w:r>
          </w:p>
        </w:tc>
        <w:tc>
          <w:tcPr>
            <w:tcW w:w="3225" w:type="dxa"/>
          </w:tcPr>
          <w:p w:rsidR="006A10DE" w:rsidRDefault="00FB177E" w14:paraId="37B6EE4F" w14:textId="77777777">
            <w:r>
              <w:t>Annual Review in June</w:t>
            </w:r>
          </w:p>
        </w:tc>
        <w:tc>
          <w:tcPr>
            <w:tcW w:w="3126" w:type="dxa"/>
          </w:tcPr>
          <w:p w:rsidR="006A10DE" w:rsidRDefault="00FB177E" w14:paraId="7FE12E67" w14:textId="77777777">
            <w:bookmarkStart w:name="_gjdgxs" w:colFirst="0" w:colLast="0" w:id="3"/>
            <w:bookmarkEnd w:id="3"/>
            <w:r>
              <w:t>Annual Review in June</w:t>
            </w:r>
          </w:p>
        </w:tc>
      </w:tr>
      <w:tr w:rsidR="006A10DE" w:rsidTr="0B3DA59B" w14:paraId="70B366F7" w14:textId="77777777">
        <w:tc>
          <w:tcPr>
            <w:tcW w:w="1770" w:type="dxa"/>
          </w:tcPr>
          <w:p w:rsidR="006A10DE" w:rsidRDefault="00FB177E" w14:paraId="1B41E384" w14:textId="77777777">
            <w:pPr>
              <w:rPr>
                <w:b/>
              </w:rPr>
            </w:pPr>
            <w:r>
              <w:rPr>
                <w:b/>
              </w:rPr>
              <w:t>Low Performing- Below Benchmarks Consequences</w:t>
            </w:r>
          </w:p>
        </w:tc>
        <w:tc>
          <w:tcPr>
            <w:tcW w:w="3135" w:type="dxa"/>
          </w:tcPr>
          <w:p w:rsidR="0B3DA59B" w:rsidP="0B3DA59B" w:rsidRDefault="0B3DA59B" w14:paraId="3B820B49" w14:textId="77777777">
            <w:pPr>
              <w:numPr>
                <w:ilvl w:val="0"/>
                <w:numId w:val="1"/>
              </w:numPr>
              <w:ind w:left="360"/>
            </w:pPr>
            <w:r>
              <w:t>Regulation procedures for appeal not meeting Biennial Benchmarks</w:t>
            </w:r>
          </w:p>
          <w:p w:rsidR="0B3DA59B" w:rsidP="0B3DA59B" w:rsidRDefault="0B3DA59B" w14:paraId="00A21EA7" w14:textId="77777777">
            <w:pPr>
              <w:numPr>
                <w:ilvl w:val="0"/>
                <w:numId w:val="1"/>
              </w:numPr>
              <w:ind w:left="360"/>
            </w:pPr>
            <w:r>
              <w:t>Federal designation for low performing and risk of low performing (Must stop new admission to program/Impact Federal Aid)</w:t>
            </w:r>
          </w:p>
        </w:tc>
        <w:tc>
          <w:tcPr>
            <w:tcW w:w="3225" w:type="dxa"/>
          </w:tcPr>
          <w:p w:rsidR="006A10DE" w:rsidRDefault="006A10DE" w14:paraId="49C1F3ED" w14:textId="77777777"/>
        </w:tc>
        <w:tc>
          <w:tcPr>
            <w:tcW w:w="3225" w:type="dxa"/>
          </w:tcPr>
          <w:p w:rsidR="006A10DE" w:rsidRDefault="00FB177E" w14:paraId="30B7B50C" w14:textId="77777777">
            <w:r>
              <w:t>First cohort will finish in December</w:t>
            </w:r>
          </w:p>
        </w:tc>
        <w:tc>
          <w:tcPr>
            <w:tcW w:w="3126" w:type="dxa"/>
          </w:tcPr>
          <w:p w:rsidR="006A10DE" w:rsidRDefault="006A10DE" w14:paraId="12A9610F" w14:textId="77777777"/>
        </w:tc>
      </w:tr>
      <w:tr w:rsidR="006A10DE" w:rsidTr="0B3DA59B" w14:paraId="1AC938D6" w14:textId="77777777">
        <w:tc>
          <w:tcPr>
            <w:tcW w:w="1770" w:type="dxa"/>
          </w:tcPr>
          <w:p w:rsidR="006A10DE" w:rsidRDefault="00FB177E" w14:paraId="2D821814" w14:textId="77777777">
            <w:pPr>
              <w:rPr>
                <w:b/>
              </w:rPr>
            </w:pPr>
            <w:r>
              <w:rPr>
                <w:b/>
              </w:rPr>
              <w:t>Discontinuation Procedures</w:t>
            </w:r>
          </w:p>
        </w:tc>
        <w:tc>
          <w:tcPr>
            <w:tcW w:w="3135" w:type="dxa"/>
          </w:tcPr>
          <w:p w:rsidR="0B3DA59B" w:rsidRDefault="0B3DA59B" w14:paraId="36FCBE5F" w14:textId="77777777">
            <w:r>
              <w:t>Email to Dir of Teacher Education (hardcopy files until 2020)</w:t>
            </w:r>
          </w:p>
        </w:tc>
        <w:tc>
          <w:tcPr>
            <w:tcW w:w="3225" w:type="dxa"/>
          </w:tcPr>
          <w:p w:rsidR="006A10DE" w:rsidRDefault="006A10DE" w14:paraId="72E284F7" w14:textId="77777777"/>
        </w:tc>
        <w:tc>
          <w:tcPr>
            <w:tcW w:w="3225" w:type="dxa"/>
          </w:tcPr>
          <w:p w:rsidR="006A10DE" w:rsidRDefault="00FB177E" w14:paraId="7713DF6E" w14:textId="77777777">
            <w:r>
              <w:t>Division immediately notifies the DOE if program is discontinued, including information on the individuals who are in the process of completing the program and the plan and timeline on how the teachers will complete the alternate education preparation program</w:t>
            </w:r>
          </w:p>
        </w:tc>
        <w:tc>
          <w:tcPr>
            <w:tcW w:w="3126" w:type="dxa"/>
          </w:tcPr>
          <w:p w:rsidR="006A10DE" w:rsidRDefault="00FB177E" w14:paraId="506F67C9" w14:textId="77777777">
            <w:r>
              <w:t>Local school board immediately notifies the DOE if program is discontinued, including information on the individuals who are in the process of completing the program and the plan and timeline on how the teachers will complete the alternate education preparation program</w:t>
            </w:r>
          </w:p>
        </w:tc>
      </w:tr>
      <w:tr w:rsidR="006A10DE" w:rsidTr="0B3DA59B" w14:paraId="5C16DBAD" w14:textId="77777777">
        <w:tc>
          <w:tcPr>
            <w:tcW w:w="1770" w:type="dxa"/>
          </w:tcPr>
          <w:p w:rsidR="006A10DE" w:rsidRDefault="00FB177E" w14:paraId="3496320D" w14:textId="77777777">
            <w:pPr>
              <w:rPr>
                <w:b/>
              </w:rPr>
            </w:pPr>
            <w:r>
              <w:rPr>
                <w:b/>
              </w:rPr>
              <w:t>Public Listing</w:t>
            </w:r>
          </w:p>
        </w:tc>
        <w:tc>
          <w:tcPr>
            <w:tcW w:w="3135" w:type="dxa"/>
          </w:tcPr>
          <w:p w:rsidR="0B3DA59B" w:rsidRDefault="002B72D3" w14:paraId="5B0FDAFA" w14:textId="77777777">
            <w:hyperlink r:id="rId13">
              <w:r w:rsidRPr="0B3DA59B" w:rsidR="0B3DA59B">
                <w:rPr>
                  <w:color w:val="0563C1"/>
                  <w:u w:val="single"/>
                </w:rPr>
                <w:t>VDOE EPP Endorsement</w:t>
              </w:r>
              <w:r w:rsidR="0B3DA59B">
                <w:br/>
              </w:r>
            </w:hyperlink>
            <w:r w:rsidR="0B3DA59B">
              <w:t xml:space="preserve">Title II ( Federal Web Site) </w:t>
            </w:r>
          </w:p>
          <w:p w:rsidR="0B3DA59B" w:rsidRDefault="0B3DA59B" w14:paraId="019C0689" w14:textId="77777777">
            <w:r>
              <w:t>CAEP Web Page</w:t>
            </w:r>
          </w:p>
        </w:tc>
        <w:tc>
          <w:tcPr>
            <w:tcW w:w="3225" w:type="dxa"/>
          </w:tcPr>
          <w:p w:rsidR="006A10DE" w:rsidRDefault="002B72D3" w14:paraId="010ADB11" w14:textId="77777777">
            <w:hyperlink r:id="rId14">
              <w:r w:rsidR="00FB177E">
                <w:rPr>
                  <w:color w:val="1155CC"/>
                  <w:u w:val="single"/>
                </w:rPr>
                <w:t>Career Switcher Program Information</w:t>
              </w:r>
            </w:hyperlink>
          </w:p>
        </w:tc>
        <w:tc>
          <w:tcPr>
            <w:tcW w:w="3225" w:type="dxa"/>
          </w:tcPr>
          <w:p w:rsidR="006A10DE" w:rsidRDefault="006A10DE" w14:paraId="1882D373" w14:textId="77777777"/>
        </w:tc>
        <w:tc>
          <w:tcPr>
            <w:tcW w:w="3126" w:type="dxa"/>
          </w:tcPr>
          <w:p w:rsidR="006A10DE" w:rsidRDefault="006A10DE" w14:paraId="6DF6A610" w14:textId="77777777"/>
        </w:tc>
      </w:tr>
    </w:tbl>
    <w:p w:rsidR="006A10DE" w:rsidRDefault="006A10DE" w14:paraId="73F65995" w14:textId="77777777"/>
    <w:sectPr w:rsidR="006A10DE">
      <w:pgSz w:w="15840" w:h="12240" w:orient="landscape"/>
      <w:pgMar w:top="720" w:right="720" w:bottom="720" w:left="720" w:header="720" w:footer="720" w:gutter="0"/>
      <w:pgNumType w:start="1"/>
      <w:cols w:space="720"/>
      <w:headerReference w:type="default" r:id="Rf2c5509dec3e4b10"/>
      <w:footerReference w:type="default" r:id="Rd0206cc5eddd421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312610F4" w:rsidTr="312610F4" w14:paraId="60262F91">
      <w:tc>
        <w:tcPr>
          <w:tcW w:w="4800" w:type="dxa"/>
          <w:tcMar/>
        </w:tcPr>
        <w:p w:rsidR="312610F4" w:rsidP="312610F4" w:rsidRDefault="312610F4" w14:paraId="4A8CF5C7" w14:textId="3F255D2B">
          <w:pPr>
            <w:pStyle w:val="Header"/>
            <w:bidi w:val="0"/>
            <w:ind w:left="-115"/>
            <w:jc w:val="left"/>
          </w:pPr>
        </w:p>
      </w:tc>
      <w:tc>
        <w:tcPr>
          <w:tcW w:w="4800" w:type="dxa"/>
          <w:tcMar/>
        </w:tcPr>
        <w:p w:rsidR="312610F4" w:rsidP="312610F4" w:rsidRDefault="312610F4" w14:paraId="3213FDBE" w14:textId="43052646">
          <w:pPr>
            <w:pStyle w:val="Header"/>
            <w:bidi w:val="0"/>
            <w:jc w:val="center"/>
          </w:pPr>
        </w:p>
      </w:tc>
      <w:tc>
        <w:tcPr>
          <w:tcW w:w="4800" w:type="dxa"/>
          <w:tcMar/>
        </w:tcPr>
        <w:p w:rsidR="312610F4" w:rsidP="312610F4" w:rsidRDefault="312610F4" w14:paraId="0F0772C1" w14:textId="78C51EB7">
          <w:pPr>
            <w:pStyle w:val="Header"/>
            <w:bidi w:val="0"/>
            <w:ind w:right="-115"/>
            <w:jc w:val="right"/>
          </w:pPr>
        </w:p>
      </w:tc>
    </w:tr>
  </w:tbl>
  <w:p w:rsidR="312610F4" w:rsidP="312610F4" w:rsidRDefault="312610F4" w14:paraId="428EB019" w14:textId="4167BF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312610F4" w:rsidTr="312610F4" w14:paraId="0DF7DF6A">
      <w:tc>
        <w:tcPr>
          <w:tcW w:w="4800" w:type="dxa"/>
          <w:tcMar/>
        </w:tcPr>
        <w:p w:rsidR="312610F4" w:rsidP="312610F4" w:rsidRDefault="312610F4" w14:paraId="7F74313E" w14:textId="5F17685B">
          <w:pPr>
            <w:pStyle w:val="Header"/>
            <w:bidi w:val="0"/>
            <w:ind w:left="-115"/>
            <w:jc w:val="left"/>
          </w:pPr>
        </w:p>
      </w:tc>
      <w:tc>
        <w:tcPr>
          <w:tcW w:w="4800" w:type="dxa"/>
          <w:tcMar/>
        </w:tcPr>
        <w:p w:rsidR="312610F4" w:rsidP="312610F4" w:rsidRDefault="312610F4" w14:paraId="4E13709E" w14:textId="16C4D70E">
          <w:pPr>
            <w:pStyle w:val="Header"/>
            <w:bidi w:val="0"/>
            <w:jc w:val="center"/>
          </w:pPr>
        </w:p>
      </w:tc>
      <w:tc>
        <w:tcPr>
          <w:tcW w:w="4800" w:type="dxa"/>
          <w:tcMar/>
        </w:tcPr>
        <w:p w:rsidR="312610F4" w:rsidP="312610F4" w:rsidRDefault="312610F4" w14:paraId="642C70EC" w14:textId="63091F08">
          <w:pPr>
            <w:pStyle w:val="Header"/>
            <w:bidi w:val="0"/>
            <w:ind w:right="-115"/>
            <w:jc w:val="right"/>
          </w:pPr>
        </w:p>
      </w:tc>
    </w:tr>
  </w:tbl>
  <w:p w:rsidR="312610F4" w:rsidP="312610F4" w:rsidRDefault="312610F4" w14:paraId="5D7C4FEE" w14:textId="61B99DE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1E9"/>
    <w:multiLevelType w:val="multilevel"/>
    <w:tmpl w:val="F9B07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4781E"/>
    <w:multiLevelType w:val="multilevel"/>
    <w:tmpl w:val="CF326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641B41"/>
    <w:multiLevelType w:val="multilevel"/>
    <w:tmpl w:val="982EA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2221C5"/>
    <w:multiLevelType w:val="multilevel"/>
    <w:tmpl w:val="7A70B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5312CF"/>
    <w:multiLevelType w:val="multilevel"/>
    <w:tmpl w:val="6DD85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804A84"/>
    <w:multiLevelType w:val="multilevel"/>
    <w:tmpl w:val="D46C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FE02E0"/>
    <w:multiLevelType w:val="multilevel"/>
    <w:tmpl w:val="166A3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B17BEE"/>
    <w:multiLevelType w:val="multilevel"/>
    <w:tmpl w:val="6B260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016D74"/>
    <w:multiLevelType w:val="multilevel"/>
    <w:tmpl w:val="92CE6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0F3330"/>
    <w:multiLevelType w:val="multilevel"/>
    <w:tmpl w:val="F2E4A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7044995">
    <w:abstractNumId w:val="7"/>
  </w:num>
  <w:num w:numId="2" w16cid:durableId="1886329832">
    <w:abstractNumId w:val="1"/>
  </w:num>
  <w:num w:numId="3" w16cid:durableId="1136601139">
    <w:abstractNumId w:val="4"/>
  </w:num>
  <w:num w:numId="4" w16cid:durableId="1961761855">
    <w:abstractNumId w:val="0"/>
  </w:num>
  <w:num w:numId="5" w16cid:durableId="1436975051">
    <w:abstractNumId w:val="6"/>
  </w:num>
  <w:num w:numId="6" w16cid:durableId="1407876547">
    <w:abstractNumId w:val="9"/>
  </w:num>
  <w:num w:numId="7" w16cid:durableId="6948588">
    <w:abstractNumId w:val="8"/>
  </w:num>
  <w:num w:numId="8" w16cid:durableId="979916480">
    <w:abstractNumId w:val="2"/>
  </w:num>
  <w:num w:numId="9" w16cid:durableId="975061715">
    <w:abstractNumId w:val="5"/>
  </w:num>
  <w:num w:numId="10" w16cid:durableId="123643354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DE"/>
    <w:rsid w:val="002B72D3"/>
    <w:rsid w:val="00302411"/>
    <w:rsid w:val="00381A59"/>
    <w:rsid w:val="006374AD"/>
    <w:rsid w:val="00677E6B"/>
    <w:rsid w:val="006A10DE"/>
    <w:rsid w:val="00825EAC"/>
    <w:rsid w:val="00B56D3F"/>
    <w:rsid w:val="00F22A47"/>
    <w:rsid w:val="00FB177E"/>
    <w:rsid w:val="0594F592"/>
    <w:rsid w:val="09821329"/>
    <w:rsid w:val="0A3CCF4F"/>
    <w:rsid w:val="0A9DB789"/>
    <w:rsid w:val="0AB22426"/>
    <w:rsid w:val="0B3DA59B"/>
    <w:rsid w:val="10F3D0B0"/>
    <w:rsid w:val="144B8916"/>
    <w:rsid w:val="1A8066E9"/>
    <w:rsid w:val="312610F4"/>
    <w:rsid w:val="39D11A2A"/>
    <w:rsid w:val="3B23CB98"/>
    <w:rsid w:val="3B67268E"/>
    <w:rsid w:val="3E312874"/>
    <w:rsid w:val="4218C42A"/>
    <w:rsid w:val="4E095C9C"/>
    <w:rsid w:val="528C6002"/>
    <w:rsid w:val="598D30AB"/>
    <w:rsid w:val="5F109CC2"/>
    <w:rsid w:val="64A24E58"/>
    <w:rsid w:val="658C6681"/>
    <w:rsid w:val="673C5DC3"/>
    <w:rsid w:val="67F4B5EB"/>
    <w:rsid w:val="6A91B96E"/>
    <w:rsid w:val="6F1D150E"/>
    <w:rsid w:val="6F750D51"/>
    <w:rsid w:val="701A837F"/>
    <w:rsid w:val="77F28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4688"/>
  <w15:docId w15:val="{C8F3DF0F-B9D3-42AB-BBD2-66446EDE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22A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2A47"/>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e.virginia.gov/teaching/educator_preparation/college_programs/approved-teacher-ed-ada.docx"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hyperlink" Target="https://doe.virginia.gov/teaching/educator_preparation/career_switcher/index.shtml" TargetMode="External" Id="rId14" /><Relationship Type="http://schemas.openxmlformats.org/officeDocument/2006/relationships/header" Target="header.xml" Id="Rf2c5509dec3e4b10" /><Relationship Type="http://schemas.openxmlformats.org/officeDocument/2006/relationships/footer" Target="footer.xml" Id="Rd0206cc5eddd4210" /></Relationships>
</file>

<file path=word/documenttasks/documenttasks1.xml><?xml version="1.0" encoding="utf-8"?>
<t:Tasks xmlns:t="http://schemas.microsoft.com/office/tasks/2019/documenttasks" xmlns:oel="http://schemas.microsoft.com/office/2019/extlst">
  <t:Task id="{D5288F1E-E5E8-4697-86D2-376C89F5AA4E}">
    <t:Anchor>
      <t:Comment id="1432323669"/>
    </t:Anchor>
    <t:History>
      <t:Event id="{AD4E370D-F38B-4FB8-8B57-947D2B9D842A}" time="2023-01-20T03:56:56.363Z">
        <t:Attribution userId="S::jim.chapman@doe.virginia.gov::23bfb676-8f60-428c-b7a6-abe7962ed77c" userProvider="AD" userName="Chapman, Jim (DOE)"/>
        <t:Anchor>
          <t:Comment id="1432323669"/>
        </t:Anchor>
        <t:Create/>
      </t:Event>
      <t:Event id="{3B98C9A4-467C-4BA3-BFEA-9EBA30FEC6F8}" time="2023-01-20T03:56:56.363Z">
        <t:Attribution userId="S::jim.chapman@doe.virginia.gov::23bfb676-8f60-428c-b7a6-abe7962ed77c" userProvider="AD" userName="Chapman, Jim (DOE)"/>
        <t:Anchor>
          <t:Comment id="1432323669"/>
        </t:Anchor>
        <t:Assign userId="S::Kimberly.Richey@doe.virginia.gov::5219f379-a94b-437f-ae54-f11c5fd68d03" userProvider="AD" userName="Richey, Kimberly (DOE)"/>
      </t:Event>
      <t:Event id="{8282FFED-2C88-4418-B1C4-604347FC0273}" time="2023-01-20T03:56:56.363Z">
        <t:Attribution userId="S::jim.chapman@doe.virginia.gov::23bfb676-8f60-428c-b7a6-abe7962ed77c" userProvider="AD" userName="Chapman, Jim (DOE)"/>
        <t:Anchor>
          <t:Comment id="1432323669"/>
        </t:Anchor>
        <t:SetTitle title="@Richey, Kimberly (DO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E7CAA-AD7F-4C65-AA79-1FC9D82D5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005b6-5a38-4419-91fa-ebdf32acfed3"/>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A28AB-E458-44EA-9B71-3D7EEC7A4C99}">
  <ds:schemaRefs>
    <ds:schemaRef ds:uri="http://schemas.openxmlformats.org/officeDocument/2006/bibliography"/>
  </ds:schemaRefs>
</ds:datastoreItem>
</file>

<file path=customXml/itemProps3.xml><?xml version="1.0" encoding="utf-8"?>
<ds:datastoreItem xmlns:ds="http://schemas.openxmlformats.org/officeDocument/2006/customXml" ds:itemID="{6756FEF3-DFC8-4C87-B477-4DE7E9BD08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500F5-1C88-4CF7-821A-D98AA230B9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 Johnson</dc:creator>
  <keywords/>
  <lastModifiedBy>Chapman, Jim (DOE)</lastModifiedBy>
  <revision>12</revision>
  <lastPrinted>2022-11-07T18:42:00.0000000Z</lastPrinted>
  <dcterms:created xsi:type="dcterms:W3CDTF">2022-11-07T15:25:00.0000000Z</dcterms:created>
  <dcterms:modified xsi:type="dcterms:W3CDTF">2023-01-26T19:34:48.8623199Z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