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812A69" w:rsidRPr="0004466B" w:rsidRDefault="007503E8" w:rsidP="00812A69">
      <w:pPr>
        <w:rPr>
          <w:rFonts w:cs="Times New Roman"/>
          <w:b/>
          <w:bCs/>
          <w:szCs w:val="24"/>
        </w:rPr>
      </w:pPr>
      <w:r w:rsidRPr="0004466B">
        <w:rPr>
          <w:rFonts w:cs="Times New Roman"/>
          <w:b/>
        </w:rPr>
        <w:br/>
      </w:r>
      <w:r w:rsidR="00A972CE" w:rsidRPr="0004466B">
        <w:rPr>
          <w:rFonts w:cs="Times New Roman"/>
          <w:b/>
          <w:szCs w:val="24"/>
        </w:rPr>
        <w:t>Agenda Item:</w:t>
      </w:r>
      <w:r w:rsidR="00812A69" w:rsidRPr="0004466B">
        <w:rPr>
          <w:rFonts w:cs="Times New Roman"/>
          <w:b/>
          <w:szCs w:val="24"/>
        </w:rPr>
        <w:t xml:space="preserve"> </w:t>
      </w:r>
      <w:r w:rsidR="0004466B">
        <w:rPr>
          <w:rFonts w:cs="Times New Roman"/>
          <w:b/>
          <w:szCs w:val="24"/>
        </w:rPr>
        <w:tab/>
      </w:r>
      <w:r w:rsidR="004B35DC">
        <w:rPr>
          <w:rFonts w:cs="Times New Roman"/>
          <w:b/>
          <w:szCs w:val="24"/>
        </w:rPr>
        <w:t>A</w:t>
      </w:r>
    </w:p>
    <w:p w:rsidR="00A972CE" w:rsidRPr="00F80D5C" w:rsidRDefault="00A972CE" w:rsidP="00812A69">
      <w:pPr>
        <w:pStyle w:val="Heading2"/>
        <w:spacing w:before="0" w:after="0"/>
      </w:pPr>
      <w:r w:rsidRPr="00F80D5C">
        <w:t>Date:</w:t>
      </w:r>
      <w:r w:rsidR="00426677" w:rsidRPr="00F80D5C">
        <w:tab/>
      </w:r>
      <w:r w:rsidR="00426677" w:rsidRPr="00F80D5C">
        <w:tab/>
      </w:r>
      <w:r w:rsidR="0004466B">
        <w:tab/>
      </w:r>
      <w:r w:rsidR="00360496">
        <w:t>November 15</w:t>
      </w:r>
      <w:r w:rsidR="007B27A0">
        <w:t>, 2018</w:t>
      </w:r>
    </w:p>
    <w:p w:rsidR="0020239B" w:rsidRPr="00F80D5C" w:rsidRDefault="0020239B" w:rsidP="007503E8">
      <w:pPr>
        <w:spacing w:after="0"/>
        <w:rPr>
          <w:rFonts w:cs="Times New Roman"/>
          <w:b/>
          <w:szCs w:val="24"/>
        </w:rPr>
      </w:pPr>
    </w:p>
    <w:p w:rsidR="002114F1" w:rsidRDefault="00A972CE" w:rsidP="007503E8">
      <w:pPr>
        <w:pStyle w:val="Heading3"/>
        <w:spacing w:before="0"/>
        <w:rPr>
          <w:rFonts w:cs="Times New Roman"/>
          <w:bCs w:val="0"/>
          <w:szCs w:val="24"/>
        </w:rPr>
      </w:pPr>
      <w:r w:rsidRPr="00F80D5C">
        <w:rPr>
          <w:rFonts w:cs="Times New Roman"/>
          <w:color w:val="auto"/>
          <w:szCs w:val="24"/>
        </w:rPr>
        <w:t>Title:</w:t>
      </w:r>
      <w:r w:rsidR="00426677" w:rsidRPr="00F80D5C">
        <w:rPr>
          <w:rFonts w:cs="Times New Roman"/>
          <w:color w:val="auto"/>
          <w:szCs w:val="24"/>
        </w:rPr>
        <w:tab/>
      </w:r>
      <w:r w:rsidR="00426677" w:rsidRPr="00F80D5C">
        <w:rPr>
          <w:rFonts w:cs="Times New Roman"/>
          <w:color w:val="auto"/>
          <w:szCs w:val="24"/>
        </w:rPr>
        <w:tab/>
      </w:r>
      <w:r w:rsidR="0004466B">
        <w:rPr>
          <w:rFonts w:cs="Times New Roman"/>
          <w:color w:val="auto"/>
          <w:szCs w:val="24"/>
        </w:rPr>
        <w:tab/>
      </w:r>
      <w:r w:rsidR="00360496">
        <w:rPr>
          <w:rFonts w:cs="Times New Roman"/>
          <w:bCs w:val="0"/>
          <w:szCs w:val="24"/>
        </w:rPr>
        <w:t>Final</w:t>
      </w:r>
      <w:r w:rsidR="00812A69" w:rsidRPr="00F80D5C">
        <w:rPr>
          <w:rFonts w:cs="Times New Roman"/>
          <w:bCs w:val="0"/>
          <w:szCs w:val="24"/>
        </w:rPr>
        <w:t xml:space="preserve"> Review of </w:t>
      </w:r>
      <w:r w:rsidR="00B46568">
        <w:rPr>
          <w:rFonts w:cs="Times New Roman"/>
          <w:bCs w:val="0"/>
          <w:szCs w:val="24"/>
        </w:rPr>
        <w:t>Recommendation of the Advisory Board on Teacher</w:t>
      </w:r>
    </w:p>
    <w:p w:rsidR="00A972CE" w:rsidRPr="00F80D5C" w:rsidRDefault="0004466B" w:rsidP="002114F1">
      <w:pPr>
        <w:pStyle w:val="Heading3"/>
        <w:spacing w:before="0"/>
        <w:ind w:left="1440"/>
        <w:rPr>
          <w:rFonts w:cs="Times New Roman"/>
          <w:color w:val="auto"/>
          <w:szCs w:val="24"/>
        </w:rPr>
      </w:pPr>
      <w:r>
        <w:rPr>
          <w:rFonts w:cs="Times New Roman"/>
          <w:bCs w:val="0"/>
          <w:szCs w:val="24"/>
        </w:rPr>
        <w:tab/>
      </w:r>
      <w:r w:rsidR="00B46568">
        <w:rPr>
          <w:rFonts w:cs="Times New Roman"/>
          <w:bCs w:val="0"/>
          <w:szCs w:val="24"/>
        </w:rPr>
        <w:t xml:space="preserve">Education and </w:t>
      </w:r>
      <w:r w:rsidR="00B7183C">
        <w:rPr>
          <w:rFonts w:cs="Times New Roman"/>
          <w:bCs w:val="0"/>
          <w:szCs w:val="24"/>
        </w:rPr>
        <w:t xml:space="preserve">Licensure to Revise </w:t>
      </w:r>
      <w:r w:rsidR="00812A69" w:rsidRPr="00F80D5C">
        <w:rPr>
          <w:rFonts w:cs="Times New Roman"/>
          <w:bCs w:val="0"/>
          <w:szCs w:val="24"/>
        </w:rPr>
        <w:t>the Fee Schedule for Licensure</w:t>
      </w:r>
    </w:p>
    <w:p w:rsidR="0020239B" w:rsidRPr="00F80D5C" w:rsidRDefault="0020239B" w:rsidP="007503E8">
      <w:pPr>
        <w:spacing w:after="0"/>
        <w:rPr>
          <w:rFonts w:cs="Times New Roman"/>
          <w:b/>
          <w:szCs w:val="24"/>
        </w:rPr>
      </w:pPr>
    </w:p>
    <w:p w:rsidR="00722EBE" w:rsidRDefault="00A972CE" w:rsidP="00812A69">
      <w:pPr>
        <w:pStyle w:val="Heading4"/>
        <w:tabs>
          <w:tab w:val="left" w:pos="1260"/>
        </w:tabs>
        <w:spacing w:before="0"/>
        <w:rPr>
          <w:rFonts w:cs="Times New Roman"/>
          <w:szCs w:val="24"/>
        </w:rPr>
      </w:pPr>
      <w:r w:rsidRPr="00F80D5C">
        <w:rPr>
          <w:rFonts w:cs="Times New Roman"/>
          <w:szCs w:val="24"/>
        </w:rPr>
        <w:t>Presenter:</w:t>
      </w:r>
      <w:r w:rsidR="00426677" w:rsidRPr="00F80D5C">
        <w:rPr>
          <w:rFonts w:cs="Times New Roman"/>
          <w:szCs w:val="24"/>
        </w:rPr>
        <w:tab/>
      </w:r>
      <w:r w:rsidR="00426677" w:rsidRPr="00F80D5C">
        <w:rPr>
          <w:rFonts w:cs="Times New Roman"/>
          <w:szCs w:val="24"/>
        </w:rPr>
        <w:tab/>
      </w:r>
      <w:r w:rsidR="0004466B">
        <w:rPr>
          <w:rFonts w:cs="Times New Roman"/>
          <w:szCs w:val="24"/>
        </w:rPr>
        <w:tab/>
      </w:r>
      <w:r w:rsidR="00812A69" w:rsidRPr="00F80D5C">
        <w:rPr>
          <w:rFonts w:cs="Times New Roman"/>
          <w:szCs w:val="24"/>
        </w:rPr>
        <w:t xml:space="preserve">Mrs. Patty S. Pitts, Assistant Superintendent for Teacher Education </w:t>
      </w:r>
      <w:r w:rsidR="0004466B">
        <w:rPr>
          <w:rFonts w:cs="Times New Roman"/>
          <w:szCs w:val="24"/>
        </w:rPr>
        <w:tab/>
      </w:r>
    </w:p>
    <w:p w:rsidR="007503E8" w:rsidRPr="00F80D5C" w:rsidRDefault="00812A69" w:rsidP="00722EBE">
      <w:pPr>
        <w:pStyle w:val="Heading4"/>
        <w:tabs>
          <w:tab w:val="left" w:pos="1260"/>
        </w:tabs>
        <w:spacing w:before="0"/>
        <w:ind w:left="2160"/>
        <w:rPr>
          <w:rFonts w:cs="Times New Roman"/>
          <w:szCs w:val="24"/>
        </w:rPr>
      </w:pPr>
      <w:proofErr w:type="gramStart"/>
      <w:r w:rsidRPr="00F80D5C">
        <w:rPr>
          <w:rFonts w:cs="Times New Roman"/>
          <w:szCs w:val="24"/>
        </w:rPr>
        <w:t>and</w:t>
      </w:r>
      <w:proofErr w:type="gramEnd"/>
      <w:r w:rsidR="0004466B">
        <w:rPr>
          <w:rFonts w:cs="Times New Roman"/>
          <w:szCs w:val="24"/>
        </w:rPr>
        <w:t xml:space="preserve"> </w:t>
      </w:r>
      <w:r w:rsidRPr="00F80D5C">
        <w:rPr>
          <w:rFonts w:cs="Times New Roman"/>
          <w:szCs w:val="24"/>
        </w:rPr>
        <w:t>Licensure</w:t>
      </w:r>
    </w:p>
    <w:p w:rsidR="00A972CE" w:rsidRPr="00F80D5C" w:rsidRDefault="007503E8" w:rsidP="007503E8">
      <w:pPr>
        <w:pStyle w:val="Heading4"/>
        <w:spacing w:before="0"/>
        <w:rPr>
          <w:rFonts w:cs="Times New Roman"/>
          <w:szCs w:val="24"/>
        </w:rPr>
      </w:pPr>
      <w:r w:rsidRPr="00F80D5C">
        <w:rPr>
          <w:rFonts w:cs="Times New Roman"/>
          <w:i/>
          <w:szCs w:val="24"/>
        </w:rPr>
        <w:br/>
      </w:r>
      <w:r w:rsidR="00A972CE" w:rsidRPr="00F80D5C">
        <w:rPr>
          <w:rFonts w:cs="Times New Roman"/>
          <w:szCs w:val="24"/>
        </w:rPr>
        <w:t>Email:</w:t>
      </w:r>
      <w:r w:rsidR="00722EBE">
        <w:rPr>
          <w:rFonts w:cs="Times New Roman"/>
          <w:szCs w:val="24"/>
        </w:rPr>
        <w:tab/>
      </w:r>
      <w:r w:rsidR="00722EBE">
        <w:rPr>
          <w:rFonts w:cs="Times New Roman"/>
          <w:szCs w:val="24"/>
        </w:rPr>
        <w:tab/>
      </w:r>
      <w:r w:rsidR="00722EBE">
        <w:rPr>
          <w:rFonts w:cs="Times New Roman"/>
          <w:szCs w:val="24"/>
        </w:rPr>
        <w:tab/>
      </w:r>
      <w:r w:rsidR="00812A69" w:rsidRPr="00F80D5C">
        <w:rPr>
          <w:rFonts w:cs="Times New Roman"/>
          <w:szCs w:val="24"/>
        </w:rPr>
        <w:t>Patty.Pitts@doe.virginia.gov</w:t>
      </w:r>
      <w:r w:rsidR="0094605A" w:rsidRPr="00F80D5C">
        <w:rPr>
          <w:rFonts w:cs="Times New Roman"/>
          <w:i/>
          <w:szCs w:val="24"/>
        </w:rPr>
        <w:tab/>
      </w:r>
      <w:r w:rsidR="00F77BDE" w:rsidRPr="00F80D5C">
        <w:rPr>
          <w:rFonts w:cs="Times New Roman"/>
          <w:szCs w:val="24"/>
        </w:rPr>
        <w:tab/>
      </w:r>
      <w:r w:rsidR="00892D0F" w:rsidRPr="00F80D5C">
        <w:rPr>
          <w:rFonts w:cs="Times New Roman"/>
          <w:szCs w:val="24"/>
        </w:rPr>
        <w:t xml:space="preserve">Phone: </w:t>
      </w:r>
      <w:r w:rsidR="00812A69" w:rsidRPr="00F80D5C">
        <w:rPr>
          <w:rFonts w:cs="Times New Roman"/>
          <w:szCs w:val="24"/>
        </w:rPr>
        <w:t xml:space="preserve"> (804) 371-2522</w:t>
      </w:r>
    </w:p>
    <w:p w:rsidR="00A972CE" w:rsidRPr="00F80D5C" w:rsidRDefault="00A972CE" w:rsidP="0094605A">
      <w:pPr>
        <w:spacing w:after="0"/>
        <w:rPr>
          <w:rFonts w:cs="Times New Roman"/>
        </w:rPr>
      </w:pPr>
    </w:p>
    <w:p w:rsidR="00A972CE" w:rsidRPr="00F80D5C" w:rsidRDefault="00A972CE" w:rsidP="007503E8">
      <w:pPr>
        <w:pStyle w:val="Heading2"/>
        <w:spacing w:before="0" w:after="0"/>
      </w:pPr>
      <w:r w:rsidRPr="00F80D5C">
        <w:t xml:space="preserve">Purpose of Presentation: </w:t>
      </w:r>
    </w:p>
    <w:p w:rsidR="00A972CE" w:rsidRPr="00F80D5C" w:rsidRDefault="0092462A" w:rsidP="007503E8">
      <w:pPr>
        <w:rPr>
          <w:rFonts w:cs="Times New Roman"/>
        </w:rPr>
      </w:pPr>
      <w:sdt>
        <w:sdtPr>
          <w:rPr>
            <w:rFonts w:cs="Times New Roman"/>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812A69" w:rsidRPr="00F80D5C">
            <w:rPr>
              <w:rFonts w:cs="Times New Roman"/>
            </w:rPr>
            <w:t>Action required by Board of Education regulation.</w:t>
          </w:r>
        </w:sdtContent>
      </w:sdt>
    </w:p>
    <w:p w:rsidR="00426677" w:rsidRPr="00F80D5C" w:rsidRDefault="00A972CE" w:rsidP="0094605A">
      <w:pPr>
        <w:pStyle w:val="Heading2"/>
        <w:spacing w:before="0" w:after="0"/>
      </w:pPr>
      <w:r w:rsidRPr="00F80D5C">
        <w:t xml:space="preserve">Executive Summary: </w:t>
      </w:r>
    </w:p>
    <w:p w:rsidR="002114F1" w:rsidRDefault="002D415D" w:rsidP="002114F1">
      <w:pPr>
        <w:spacing w:after="192" w:line="348" w:lineRule="atLeast"/>
        <w:rPr>
          <w:rFonts w:cs="Times New Roman"/>
        </w:rPr>
      </w:pPr>
      <w:r w:rsidRPr="00F80D5C">
        <w:rPr>
          <w:rFonts w:cs="Times New Roman"/>
        </w:rPr>
        <w:t>The operation of the Division of Teacher Education and Licensure, Department of Education, is supported b</w:t>
      </w:r>
      <w:r w:rsidR="0071502F" w:rsidRPr="00F80D5C">
        <w:rPr>
          <w:rFonts w:cs="Times New Roman"/>
        </w:rPr>
        <w:t>y fees for licenses</w:t>
      </w:r>
      <w:r w:rsidRPr="00F80D5C">
        <w:rPr>
          <w:rFonts w:cs="Times New Roman"/>
        </w:rPr>
        <w:t>.  The fees are used for salaries and benefits of staff members and non-personnel operating expe</w:t>
      </w:r>
      <w:r w:rsidR="002114F1">
        <w:rPr>
          <w:rFonts w:cs="Times New Roman"/>
        </w:rPr>
        <w:t xml:space="preserve">nses.  The current fee schedule shown below </w:t>
      </w:r>
      <w:r w:rsidRPr="00F80D5C">
        <w:rPr>
          <w:rFonts w:cs="Times New Roman"/>
        </w:rPr>
        <w:t>was approved by the Board of Education in September 1, 1996, and the fees have not increased since that date</w:t>
      </w:r>
      <w:r w:rsidR="00157C40">
        <w:rPr>
          <w:rFonts w:cs="Times New Roman"/>
        </w:rPr>
        <w:t xml:space="preserve"> other than the returned check fee that was increased by </w:t>
      </w:r>
      <w:r w:rsidR="00220F0C">
        <w:rPr>
          <w:rFonts w:cs="Times New Roman"/>
        </w:rPr>
        <w:t>the Commonwealth</w:t>
      </w:r>
      <w:r w:rsidR="00157C40">
        <w:rPr>
          <w:rFonts w:cs="Times New Roman"/>
        </w:rPr>
        <w:t>.</w:t>
      </w:r>
      <w:r w:rsidRPr="00F80D5C">
        <w:rPr>
          <w:rFonts w:cs="Times New Roman"/>
        </w:rPr>
        <w:t xml:space="preserve"> </w:t>
      </w:r>
    </w:p>
    <w:p w:rsidR="002114F1" w:rsidRPr="002114F1" w:rsidRDefault="002114F1" w:rsidP="002114F1">
      <w:pPr>
        <w:spacing w:after="192" w:line="348" w:lineRule="atLeast"/>
        <w:jc w:val="center"/>
        <w:rPr>
          <w:rFonts w:cs="Times New Roman"/>
          <w:b/>
        </w:rPr>
      </w:pPr>
      <w:r w:rsidRPr="002114F1">
        <w:rPr>
          <w:rFonts w:cs="Times New Roman"/>
          <w:b/>
        </w:rPr>
        <w:t>LICENSURE FEE SCHEDULE</w:t>
      </w:r>
    </w:p>
    <w:p w:rsidR="002114F1" w:rsidRPr="002114F1" w:rsidRDefault="002114F1" w:rsidP="002114F1">
      <w:pPr>
        <w:pStyle w:val="Default"/>
        <w:ind w:left="720"/>
      </w:pPr>
      <w:r w:rsidRPr="002114F1">
        <w:rPr>
          <w:bCs/>
        </w:rPr>
        <w:t xml:space="preserve">INITIAL LICENSE </w:t>
      </w:r>
    </w:p>
    <w:p w:rsidR="002114F1" w:rsidRPr="002114F1" w:rsidRDefault="002114F1" w:rsidP="002114F1">
      <w:pPr>
        <w:pStyle w:val="Default"/>
        <w:ind w:left="720"/>
      </w:pPr>
      <w:r w:rsidRPr="002114F1">
        <w:rPr>
          <w:bCs/>
        </w:rPr>
        <w:t>In-state: $50</w:t>
      </w:r>
    </w:p>
    <w:p w:rsidR="00B7183C" w:rsidRDefault="002114F1" w:rsidP="00B7183C">
      <w:pPr>
        <w:pStyle w:val="Default"/>
        <w:ind w:left="720"/>
        <w:rPr>
          <w:bCs/>
        </w:rPr>
      </w:pPr>
      <w:r w:rsidRPr="002114F1">
        <w:rPr>
          <w:bCs/>
        </w:rPr>
        <w:t>Out-of-state: $75</w:t>
      </w:r>
    </w:p>
    <w:p w:rsidR="00B7183C" w:rsidRDefault="00B7183C" w:rsidP="00B7183C">
      <w:pPr>
        <w:pStyle w:val="Default"/>
        <w:ind w:left="720"/>
        <w:rPr>
          <w:bCs/>
        </w:rPr>
      </w:pPr>
    </w:p>
    <w:p w:rsidR="002114F1" w:rsidRPr="002114F1" w:rsidRDefault="002114F1" w:rsidP="00B7183C">
      <w:pPr>
        <w:pStyle w:val="Default"/>
        <w:ind w:left="720"/>
      </w:pPr>
      <w:r w:rsidRPr="002114F1">
        <w:rPr>
          <w:bCs/>
        </w:rPr>
        <w:t xml:space="preserve">SUPERINTENDENT LICENSE </w:t>
      </w:r>
    </w:p>
    <w:p w:rsidR="002114F1" w:rsidRPr="002114F1" w:rsidRDefault="002114F1" w:rsidP="002114F1">
      <w:pPr>
        <w:pStyle w:val="Default"/>
        <w:ind w:left="720"/>
      </w:pPr>
      <w:r w:rsidRPr="002114F1">
        <w:rPr>
          <w:bCs/>
        </w:rPr>
        <w:t xml:space="preserve">In-state: $100 </w:t>
      </w:r>
    </w:p>
    <w:p w:rsidR="002114F1" w:rsidRPr="002114F1" w:rsidRDefault="002114F1" w:rsidP="002114F1">
      <w:pPr>
        <w:pStyle w:val="Default"/>
        <w:ind w:left="720"/>
        <w:rPr>
          <w:bCs/>
        </w:rPr>
      </w:pPr>
      <w:r w:rsidRPr="002114F1">
        <w:rPr>
          <w:bCs/>
        </w:rPr>
        <w:t xml:space="preserve">Out-of-state: $150 </w:t>
      </w:r>
    </w:p>
    <w:p w:rsidR="002114F1" w:rsidRPr="002114F1" w:rsidRDefault="002114F1" w:rsidP="002114F1">
      <w:pPr>
        <w:pStyle w:val="Default"/>
        <w:ind w:left="720"/>
      </w:pPr>
    </w:p>
    <w:p w:rsidR="002114F1" w:rsidRPr="002114F1" w:rsidRDefault="002114F1" w:rsidP="002114F1">
      <w:pPr>
        <w:pStyle w:val="Default"/>
        <w:ind w:left="720"/>
        <w:rPr>
          <w:bCs/>
        </w:rPr>
      </w:pPr>
      <w:r w:rsidRPr="002114F1">
        <w:rPr>
          <w:bCs/>
        </w:rPr>
        <w:t xml:space="preserve">LICENSE RENEWAL*:   $25 </w:t>
      </w:r>
    </w:p>
    <w:p w:rsidR="002114F1" w:rsidRPr="002114F1" w:rsidRDefault="002114F1" w:rsidP="002114F1">
      <w:pPr>
        <w:pStyle w:val="Default"/>
        <w:ind w:left="720"/>
      </w:pPr>
    </w:p>
    <w:p w:rsidR="003737E7" w:rsidRDefault="002114F1" w:rsidP="002114F1">
      <w:pPr>
        <w:pStyle w:val="Default"/>
        <w:ind w:left="720"/>
        <w:rPr>
          <w:bCs/>
        </w:rPr>
      </w:pPr>
      <w:r w:rsidRPr="002114F1">
        <w:rPr>
          <w:bCs/>
        </w:rPr>
        <w:t>ADD/EVALUATE FOR AN ADDITIONAL ENDORSEMENT*:   $25</w:t>
      </w:r>
    </w:p>
    <w:p w:rsidR="003737E7" w:rsidRDefault="003737E7" w:rsidP="003737E7">
      <w:pPr>
        <w:rPr>
          <w:rFonts w:cs="Times New Roman"/>
          <w:color w:val="000000"/>
          <w:szCs w:val="24"/>
        </w:rPr>
      </w:pPr>
      <w:r>
        <w:br w:type="page"/>
      </w:r>
      <w:bookmarkStart w:id="0" w:name="_GoBack"/>
      <w:bookmarkEnd w:id="0"/>
    </w:p>
    <w:p w:rsidR="002114F1" w:rsidRPr="002114F1" w:rsidRDefault="002114F1" w:rsidP="002114F1">
      <w:pPr>
        <w:pStyle w:val="Default"/>
        <w:ind w:left="720"/>
      </w:pPr>
      <w:r w:rsidRPr="002114F1">
        <w:rPr>
          <w:bCs/>
        </w:rPr>
        <w:lastRenderedPageBreak/>
        <w:t xml:space="preserve">OTHER ACTIONS ON LICENSES*:   $25 </w:t>
      </w:r>
    </w:p>
    <w:p w:rsidR="002114F1" w:rsidRPr="002114F1" w:rsidRDefault="002114F1" w:rsidP="002114F1">
      <w:pPr>
        <w:pStyle w:val="Default"/>
        <w:ind w:left="720"/>
        <w:rPr>
          <w:bCs/>
        </w:rPr>
      </w:pPr>
      <w:r w:rsidRPr="002114F1">
        <w:rPr>
          <w:bCs/>
        </w:rPr>
        <w:t xml:space="preserve">Add a degree or duplicate/copy a license. Please note that there is no fee for a name change on a license. However, if a name change is the only request, a $25 fee for duplicating the license will be assessed. </w:t>
      </w:r>
    </w:p>
    <w:p w:rsidR="002114F1" w:rsidRPr="002114F1" w:rsidRDefault="002114F1" w:rsidP="002114F1">
      <w:pPr>
        <w:pStyle w:val="Default"/>
        <w:ind w:left="720"/>
      </w:pPr>
    </w:p>
    <w:p w:rsidR="002114F1" w:rsidRPr="002114F1" w:rsidRDefault="002114F1" w:rsidP="002114F1">
      <w:pPr>
        <w:ind w:left="720"/>
        <w:rPr>
          <w:rFonts w:cs="Times New Roman"/>
          <w:bCs/>
          <w:i/>
          <w:szCs w:val="24"/>
        </w:rPr>
      </w:pPr>
      <w:r w:rsidRPr="002114F1">
        <w:rPr>
          <w:rFonts w:cs="Times New Roman"/>
          <w:bCs/>
          <w:i/>
          <w:szCs w:val="24"/>
        </w:rPr>
        <w:t>*A CAP OF $50 WILL BE ASSESSED FOR A REQUEST FOR MULTIPLE ACTIONS ON A LICENSE.</w:t>
      </w:r>
    </w:p>
    <w:p w:rsidR="0071502F" w:rsidRPr="00F80D5C" w:rsidRDefault="0071502F" w:rsidP="00BC4B31">
      <w:pPr>
        <w:spacing w:after="192" w:line="348" w:lineRule="atLeast"/>
        <w:rPr>
          <w:rFonts w:cs="Times New Roman"/>
        </w:rPr>
      </w:pPr>
      <w:r w:rsidRPr="00F80D5C">
        <w:rPr>
          <w:rFonts w:cs="Times New Roman"/>
        </w:rPr>
        <w:t>The 2018 Virginia General Assembly passed House Bill 1125 and Senate Bill 349 that extend the length of renewable licenses from a five-year validity period</w:t>
      </w:r>
      <w:r w:rsidR="00157C40">
        <w:rPr>
          <w:rFonts w:cs="Times New Roman"/>
        </w:rPr>
        <w:t xml:space="preserve"> to ten years.  This change has</w:t>
      </w:r>
      <w:r w:rsidRPr="00F80D5C">
        <w:rPr>
          <w:rFonts w:cs="Times New Roman"/>
        </w:rPr>
        <w:t xml:space="preserve"> impact</w:t>
      </w:r>
      <w:r w:rsidR="00157C40">
        <w:rPr>
          <w:rFonts w:cs="Times New Roman"/>
        </w:rPr>
        <w:t>ed</w:t>
      </w:r>
      <w:r w:rsidRPr="00F80D5C">
        <w:rPr>
          <w:rFonts w:cs="Times New Roman"/>
        </w:rPr>
        <w:t xml:space="preserve"> the fees received in the Division of Teacher Education and L</w:t>
      </w:r>
      <w:r w:rsidR="002114F1">
        <w:rPr>
          <w:rFonts w:cs="Times New Roman"/>
        </w:rPr>
        <w:t>icensure.  To address this loss of revenue and the need for funding to support the office operations</w:t>
      </w:r>
      <w:r w:rsidRPr="00F80D5C">
        <w:rPr>
          <w:rFonts w:cs="Times New Roman"/>
        </w:rPr>
        <w:t>,</w:t>
      </w:r>
      <w:r w:rsidR="001858E9">
        <w:rPr>
          <w:rFonts w:cs="Times New Roman"/>
        </w:rPr>
        <w:t xml:space="preserve"> an increase in fees is necessary</w:t>
      </w:r>
      <w:r w:rsidRPr="00F80D5C">
        <w:rPr>
          <w:rFonts w:cs="Times New Roman"/>
        </w:rPr>
        <w:t>.</w:t>
      </w:r>
    </w:p>
    <w:p w:rsidR="00D82FD4" w:rsidRDefault="0071502F" w:rsidP="0094605A">
      <w:pPr>
        <w:pStyle w:val="Heading2"/>
        <w:spacing w:before="0" w:after="0"/>
        <w:rPr>
          <w:b w:val="0"/>
        </w:rPr>
      </w:pPr>
      <w:r w:rsidRPr="00F80D5C">
        <w:rPr>
          <w:b w:val="0"/>
        </w:rPr>
        <w:t xml:space="preserve">At its </w:t>
      </w:r>
      <w:r w:rsidR="00BC4B31" w:rsidRPr="00F80D5C">
        <w:rPr>
          <w:b w:val="0"/>
        </w:rPr>
        <w:t>April 23, 2018, meeting, the Advisory Board on Teacher E</w:t>
      </w:r>
      <w:r w:rsidR="002114F1">
        <w:rPr>
          <w:b w:val="0"/>
        </w:rPr>
        <w:t xml:space="preserve">ducation and Licensure reviewed </w:t>
      </w:r>
      <w:r w:rsidR="00BC4B31" w:rsidRPr="00F80D5C">
        <w:rPr>
          <w:b w:val="0"/>
        </w:rPr>
        <w:t xml:space="preserve">the legislation passed by the General Assembly and discussed recommendations required to comport with statutes once signed by the Governor.  </w:t>
      </w:r>
      <w:r w:rsidR="002114F1">
        <w:rPr>
          <w:b w:val="0"/>
        </w:rPr>
        <w:t xml:space="preserve">The </w:t>
      </w:r>
      <w:r w:rsidR="00BC4B31" w:rsidRPr="00F80D5C">
        <w:rPr>
          <w:b w:val="0"/>
        </w:rPr>
        <w:t xml:space="preserve">Advisory Board </w:t>
      </w:r>
      <w:r w:rsidR="002114F1">
        <w:rPr>
          <w:b w:val="0"/>
        </w:rPr>
        <w:t>discussed</w:t>
      </w:r>
      <w:r w:rsidR="0004466B">
        <w:rPr>
          <w:b w:val="0"/>
        </w:rPr>
        <w:t xml:space="preserve"> the impact the issuance of ten</w:t>
      </w:r>
      <w:r w:rsidR="00BC4B31" w:rsidRPr="00F80D5C">
        <w:rPr>
          <w:b w:val="0"/>
        </w:rPr>
        <w:t>-year licenses would</w:t>
      </w:r>
      <w:r w:rsidR="002114F1">
        <w:rPr>
          <w:b w:val="0"/>
        </w:rPr>
        <w:t xml:space="preserve"> have on the collection of fees.  On </w:t>
      </w:r>
    </w:p>
    <w:p w:rsidR="00722EBE" w:rsidRDefault="002114F1" w:rsidP="00722EBE">
      <w:pPr>
        <w:pStyle w:val="Heading2"/>
        <w:spacing w:before="0" w:after="0"/>
        <w:rPr>
          <w:b w:val="0"/>
        </w:rPr>
      </w:pPr>
      <w:r>
        <w:rPr>
          <w:b w:val="0"/>
        </w:rPr>
        <w:t>September 17, 2018, the Advisory Board on Teacher Education and Licensure re</w:t>
      </w:r>
      <w:r w:rsidR="00D82FD4">
        <w:rPr>
          <w:b w:val="0"/>
        </w:rPr>
        <w:t>viewed</w:t>
      </w:r>
      <w:r w:rsidR="00157C40">
        <w:rPr>
          <w:b w:val="0"/>
        </w:rPr>
        <w:t xml:space="preserve"> and discussed</w:t>
      </w:r>
      <w:r w:rsidR="00D82FD4">
        <w:rPr>
          <w:b w:val="0"/>
        </w:rPr>
        <w:t xml:space="preserve"> the current fee schedule</w:t>
      </w:r>
      <w:r w:rsidR="00B7183C">
        <w:rPr>
          <w:b w:val="0"/>
        </w:rPr>
        <w:t>.  T</w:t>
      </w:r>
      <w:r w:rsidR="00D82FD4">
        <w:rPr>
          <w:b w:val="0"/>
        </w:rPr>
        <w:t>he Advisory Board on Teacher Education and Licensure unanimously voted to recommend to the Board of Education</w:t>
      </w:r>
      <w:r w:rsidR="00220F0C" w:rsidRPr="00220F0C">
        <w:rPr>
          <w:b w:val="0"/>
        </w:rPr>
        <w:t xml:space="preserve"> </w:t>
      </w:r>
      <w:r w:rsidR="00220F0C">
        <w:rPr>
          <w:b w:val="0"/>
        </w:rPr>
        <w:t>the following fee schedule</w:t>
      </w:r>
      <w:r w:rsidR="00D82FD4">
        <w:rPr>
          <w:b w:val="0"/>
        </w:rPr>
        <w:t xml:space="preserve">, </w:t>
      </w:r>
      <w:r w:rsidR="00D82FD4" w:rsidRPr="00157C40">
        <w:rPr>
          <w:b w:val="0"/>
          <w:u w:val="single"/>
        </w:rPr>
        <w:t>effective January 1, 2019</w:t>
      </w:r>
      <w:r w:rsidR="00D82FD4">
        <w:rPr>
          <w:b w:val="0"/>
        </w:rPr>
        <w:t>.  This reco</w:t>
      </w:r>
      <w:r w:rsidR="0004466B">
        <w:rPr>
          <w:b w:val="0"/>
        </w:rPr>
        <w:t>mmended fee schedule will increase</w:t>
      </w:r>
      <w:r w:rsidR="00D82FD4">
        <w:rPr>
          <w:b w:val="0"/>
        </w:rPr>
        <w:t xml:space="preserve"> the fees for initial licensure, renewal, and added endorsements; however, the fee for other actions on licenses (duplicates, degree change) will not increase.  The cap on the fees is proposed to be eliminated.</w:t>
      </w:r>
      <w:r w:rsidR="0004466B">
        <w:rPr>
          <w:b w:val="0"/>
        </w:rPr>
        <w:t xml:space="preserve">  ABTEL further recommended that the fee schedule be reviewed at a minimum of every five years.</w:t>
      </w:r>
    </w:p>
    <w:p w:rsidR="00D82FD4" w:rsidRDefault="00722EBE" w:rsidP="00722EBE">
      <w:pPr>
        <w:pStyle w:val="Heading2"/>
        <w:spacing w:before="0" w:after="0"/>
        <w:rPr>
          <w:bCs w:val="0"/>
        </w:rPr>
      </w:pPr>
      <w:r>
        <w:rPr>
          <w:bCs w:val="0"/>
        </w:rPr>
        <w:t xml:space="preserve"> </w:t>
      </w:r>
    </w:p>
    <w:p w:rsidR="00D82FD4" w:rsidRPr="002114F1" w:rsidRDefault="00D82FD4" w:rsidP="00D82FD4">
      <w:pPr>
        <w:pStyle w:val="Default"/>
        <w:ind w:left="720"/>
      </w:pPr>
      <w:r w:rsidRPr="002114F1">
        <w:rPr>
          <w:bCs/>
        </w:rPr>
        <w:t xml:space="preserve">INITIAL LICENSE </w:t>
      </w:r>
    </w:p>
    <w:p w:rsidR="00D82FD4" w:rsidRPr="002114F1" w:rsidRDefault="00D82FD4" w:rsidP="00D82FD4">
      <w:pPr>
        <w:pStyle w:val="Default"/>
        <w:ind w:left="720"/>
      </w:pPr>
      <w:r w:rsidRPr="002114F1">
        <w:rPr>
          <w:bCs/>
        </w:rPr>
        <w:t>In-state:</w:t>
      </w:r>
      <w:r>
        <w:rPr>
          <w:bCs/>
        </w:rPr>
        <w:t xml:space="preserve"> $10</w:t>
      </w:r>
      <w:r w:rsidRPr="002114F1">
        <w:rPr>
          <w:bCs/>
        </w:rPr>
        <w:t>0</w:t>
      </w:r>
    </w:p>
    <w:p w:rsidR="00D82FD4" w:rsidRPr="002114F1" w:rsidRDefault="00D82FD4" w:rsidP="00D82FD4">
      <w:pPr>
        <w:pStyle w:val="Default"/>
        <w:ind w:left="720"/>
        <w:rPr>
          <w:bCs/>
        </w:rPr>
      </w:pPr>
      <w:r w:rsidRPr="002114F1">
        <w:rPr>
          <w:bCs/>
        </w:rPr>
        <w:t>Out-of-state:</w:t>
      </w:r>
      <w:r>
        <w:rPr>
          <w:bCs/>
        </w:rPr>
        <w:t xml:space="preserve"> $150</w:t>
      </w:r>
      <w:r w:rsidRPr="002114F1">
        <w:rPr>
          <w:bCs/>
        </w:rPr>
        <w:t xml:space="preserve"> </w:t>
      </w:r>
    </w:p>
    <w:p w:rsidR="00D82FD4" w:rsidRPr="002114F1" w:rsidRDefault="00D82FD4" w:rsidP="00D82FD4">
      <w:pPr>
        <w:pStyle w:val="Default"/>
        <w:ind w:left="720"/>
      </w:pPr>
    </w:p>
    <w:p w:rsidR="00D82FD4" w:rsidRPr="002114F1" w:rsidRDefault="00D82FD4" w:rsidP="00D82FD4">
      <w:pPr>
        <w:pStyle w:val="Default"/>
        <w:ind w:left="720"/>
      </w:pPr>
      <w:r w:rsidRPr="002114F1">
        <w:rPr>
          <w:bCs/>
        </w:rPr>
        <w:t xml:space="preserve">SUPERINTENDENT LICENSE </w:t>
      </w:r>
    </w:p>
    <w:p w:rsidR="00D82FD4" w:rsidRPr="002114F1" w:rsidRDefault="00D82FD4" w:rsidP="00D82FD4">
      <w:pPr>
        <w:pStyle w:val="Default"/>
        <w:ind w:left="720"/>
      </w:pPr>
      <w:r w:rsidRPr="002114F1">
        <w:rPr>
          <w:bCs/>
        </w:rPr>
        <w:t>In-state:</w:t>
      </w:r>
      <w:r>
        <w:rPr>
          <w:bCs/>
        </w:rPr>
        <w:t xml:space="preserve"> $2</w:t>
      </w:r>
      <w:r w:rsidRPr="002114F1">
        <w:rPr>
          <w:bCs/>
        </w:rPr>
        <w:t xml:space="preserve">00 </w:t>
      </w:r>
    </w:p>
    <w:p w:rsidR="00D82FD4" w:rsidRPr="002114F1" w:rsidRDefault="00D82FD4" w:rsidP="00D82FD4">
      <w:pPr>
        <w:pStyle w:val="Default"/>
        <w:ind w:left="720"/>
        <w:rPr>
          <w:bCs/>
        </w:rPr>
      </w:pPr>
      <w:r w:rsidRPr="002114F1">
        <w:rPr>
          <w:bCs/>
        </w:rPr>
        <w:t>Out-of-state:</w:t>
      </w:r>
      <w:r>
        <w:rPr>
          <w:bCs/>
        </w:rPr>
        <w:t xml:space="preserve"> $30</w:t>
      </w:r>
      <w:r w:rsidRPr="002114F1">
        <w:rPr>
          <w:bCs/>
        </w:rPr>
        <w:t xml:space="preserve">0 </w:t>
      </w:r>
    </w:p>
    <w:p w:rsidR="00D82FD4" w:rsidRPr="002114F1" w:rsidRDefault="00D82FD4" w:rsidP="00D82FD4">
      <w:pPr>
        <w:pStyle w:val="Default"/>
        <w:ind w:left="720"/>
      </w:pPr>
    </w:p>
    <w:p w:rsidR="00D82FD4" w:rsidRPr="002114F1" w:rsidRDefault="00D82FD4" w:rsidP="00D82FD4">
      <w:pPr>
        <w:pStyle w:val="Default"/>
        <w:ind w:left="720"/>
        <w:rPr>
          <w:bCs/>
        </w:rPr>
      </w:pPr>
      <w:r>
        <w:rPr>
          <w:bCs/>
        </w:rPr>
        <w:t>LICENSE RENEWAL</w:t>
      </w:r>
      <w:r w:rsidRPr="002114F1">
        <w:rPr>
          <w:bCs/>
        </w:rPr>
        <w:t xml:space="preserve">:  </w:t>
      </w:r>
      <w:r>
        <w:rPr>
          <w:bCs/>
        </w:rPr>
        <w:t xml:space="preserve"> $50</w:t>
      </w:r>
      <w:r w:rsidRPr="002114F1">
        <w:rPr>
          <w:bCs/>
        </w:rPr>
        <w:t xml:space="preserve"> </w:t>
      </w:r>
    </w:p>
    <w:p w:rsidR="00D82FD4" w:rsidRPr="002114F1" w:rsidRDefault="00D82FD4" w:rsidP="00D82FD4">
      <w:pPr>
        <w:pStyle w:val="Default"/>
        <w:ind w:left="720"/>
      </w:pPr>
    </w:p>
    <w:p w:rsidR="00D82FD4" w:rsidRPr="002114F1" w:rsidRDefault="00D82FD4" w:rsidP="00D82FD4">
      <w:pPr>
        <w:pStyle w:val="Default"/>
        <w:ind w:left="720"/>
      </w:pPr>
      <w:r w:rsidRPr="002114F1">
        <w:rPr>
          <w:bCs/>
        </w:rPr>
        <w:t>ADD/EVALUAT</w:t>
      </w:r>
      <w:r>
        <w:rPr>
          <w:bCs/>
        </w:rPr>
        <w:t>E FOR AN ADDITIONAL ENDORSEMENT</w:t>
      </w:r>
      <w:r w:rsidRPr="002114F1">
        <w:rPr>
          <w:bCs/>
        </w:rPr>
        <w:t xml:space="preserve">:  </w:t>
      </w:r>
      <w:r>
        <w:rPr>
          <w:bCs/>
        </w:rPr>
        <w:t xml:space="preserve"> $50</w:t>
      </w:r>
      <w:r w:rsidRPr="002114F1">
        <w:rPr>
          <w:bCs/>
        </w:rPr>
        <w:t xml:space="preserve"> </w:t>
      </w:r>
    </w:p>
    <w:p w:rsidR="00D82FD4" w:rsidRPr="002114F1" w:rsidRDefault="00D82FD4" w:rsidP="00D82FD4">
      <w:pPr>
        <w:pStyle w:val="Default"/>
        <w:ind w:left="720"/>
      </w:pPr>
    </w:p>
    <w:p w:rsidR="00D82FD4" w:rsidRPr="002114F1" w:rsidRDefault="00D82FD4" w:rsidP="00D82FD4">
      <w:pPr>
        <w:pStyle w:val="Default"/>
        <w:ind w:left="720"/>
      </w:pPr>
      <w:r>
        <w:rPr>
          <w:bCs/>
        </w:rPr>
        <w:t>OTHER ACTIONS ON LICENSES</w:t>
      </w:r>
      <w:r w:rsidRPr="002114F1">
        <w:rPr>
          <w:bCs/>
        </w:rPr>
        <w:t xml:space="preserve">:   $25 </w:t>
      </w:r>
    </w:p>
    <w:p w:rsidR="003737E7" w:rsidRDefault="00D82FD4" w:rsidP="003737E7">
      <w:pPr>
        <w:pStyle w:val="Default"/>
        <w:ind w:left="720"/>
        <w:rPr>
          <w:bCs/>
        </w:rPr>
      </w:pPr>
      <w:r w:rsidRPr="002114F1">
        <w:rPr>
          <w:bCs/>
        </w:rPr>
        <w:t>Add a degree or duplicate/copy a license. Please note that there is no fee for a name change on a license. However, if a name change is the only request, a $25 fee for duplicating the license will be assessed.</w:t>
      </w:r>
    </w:p>
    <w:p w:rsidR="00A972CE" w:rsidRPr="00C348CA" w:rsidRDefault="003737E7" w:rsidP="00360496">
      <w:pPr>
        <w:spacing w:after="0"/>
        <w:rPr>
          <w:b/>
        </w:rPr>
      </w:pPr>
      <w:r>
        <w:br w:type="page"/>
      </w:r>
      <w:r w:rsidR="00A972CE" w:rsidRPr="00C348CA">
        <w:rPr>
          <w:b/>
        </w:rPr>
        <w:lastRenderedPageBreak/>
        <w:t xml:space="preserve">Action Requested:  </w:t>
      </w:r>
    </w:p>
    <w:p w:rsidR="001858E9" w:rsidRDefault="0092462A" w:rsidP="00360496">
      <w:pPr>
        <w:spacing w:after="0" w:line="240" w:lineRule="auto"/>
        <w:rPr>
          <w:rFonts w:cs="Times New Roman"/>
        </w:rPr>
      </w:pPr>
      <w:sdt>
        <w:sdtPr>
          <w:rPr>
            <w:rFonts w:cs="Times New Roman"/>
          </w:r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2D3663">
            <w:rPr>
              <w:rFonts w:cs="Times New Roman"/>
            </w:rPr>
            <w:t>Final review: Action requested at this meeting.</w:t>
          </w:r>
        </w:sdtContent>
      </w:sdt>
    </w:p>
    <w:p w:rsidR="00157C40" w:rsidRDefault="00157C40" w:rsidP="0094605A">
      <w:pPr>
        <w:pStyle w:val="Heading2"/>
        <w:spacing w:before="0" w:after="0"/>
      </w:pPr>
    </w:p>
    <w:p w:rsidR="00272E7E" w:rsidRPr="00F80D5C" w:rsidRDefault="00A972CE" w:rsidP="0094605A">
      <w:pPr>
        <w:pStyle w:val="Heading2"/>
        <w:spacing w:before="0" w:after="0"/>
      </w:pPr>
      <w:r w:rsidRPr="00F80D5C">
        <w:t xml:space="preserve">Superintendent’s Recommendation: </w:t>
      </w:r>
    </w:p>
    <w:p w:rsidR="00F80D5C" w:rsidRDefault="00272E7E" w:rsidP="00D82FD4">
      <w:pPr>
        <w:pStyle w:val="Heading3"/>
        <w:spacing w:before="0"/>
        <w:rPr>
          <w:rFonts w:cs="Times New Roman"/>
          <w:b w:val="0"/>
          <w:bCs w:val="0"/>
          <w:szCs w:val="24"/>
        </w:rPr>
      </w:pPr>
      <w:r w:rsidRPr="00F80D5C">
        <w:rPr>
          <w:rFonts w:cs="Times New Roman"/>
          <w:b w:val="0"/>
        </w:rPr>
        <w:t>The Superintendent of Public Instruction recommends that the Board of Education</w:t>
      </w:r>
      <w:r w:rsidR="00360496">
        <w:rPr>
          <w:rFonts w:cs="Times New Roman"/>
          <w:b w:val="0"/>
        </w:rPr>
        <w:t xml:space="preserve"> approve the Advisory Board on Teacher Education and Licensure’s </w:t>
      </w:r>
      <w:r w:rsidR="00F80D5C">
        <w:rPr>
          <w:rFonts w:cs="Times New Roman"/>
          <w:b w:val="0"/>
        </w:rPr>
        <w:t>proposed</w:t>
      </w:r>
      <w:r w:rsidR="00F80D5C" w:rsidRPr="00F80D5C">
        <w:rPr>
          <w:rFonts w:cs="Times New Roman"/>
          <w:b w:val="0"/>
        </w:rPr>
        <w:t xml:space="preserve"> </w:t>
      </w:r>
      <w:r w:rsidR="00D82FD4">
        <w:rPr>
          <w:rFonts w:cs="Times New Roman"/>
          <w:b w:val="0"/>
          <w:bCs w:val="0"/>
          <w:szCs w:val="24"/>
        </w:rPr>
        <w:t>f</w:t>
      </w:r>
      <w:r w:rsidR="00F80D5C" w:rsidRPr="00F80D5C">
        <w:rPr>
          <w:rFonts w:cs="Times New Roman"/>
          <w:b w:val="0"/>
          <w:bCs w:val="0"/>
          <w:szCs w:val="24"/>
        </w:rPr>
        <w:t xml:space="preserve">ee </w:t>
      </w:r>
      <w:r w:rsidR="00D82FD4">
        <w:rPr>
          <w:rFonts w:cs="Times New Roman"/>
          <w:b w:val="0"/>
          <w:bCs w:val="0"/>
          <w:szCs w:val="24"/>
        </w:rPr>
        <w:t>schedule for l</w:t>
      </w:r>
      <w:r w:rsidR="00F80D5C" w:rsidRPr="00F80D5C">
        <w:rPr>
          <w:rFonts w:cs="Times New Roman"/>
          <w:b w:val="0"/>
          <w:bCs w:val="0"/>
          <w:szCs w:val="24"/>
        </w:rPr>
        <w:t>icensure</w:t>
      </w:r>
      <w:r w:rsidR="00360496">
        <w:rPr>
          <w:rFonts w:cs="Times New Roman"/>
          <w:b w:val="0"/>
          <w:bCs w:val="0"/>
          <w:szCs w:val="24"/>
        </w:rPr>
        <w:t xml:space="preserve"> to become effective January 1, 2019</w:t>
      </w:r>
      <w:r w:rsidR="00F80D5C">
        <w:rPr>
          <w:rFonts w:cs="Times New Roman"/>
          <w:b w:val="0"/>
          <w:bCs w:val="0"/>
          <w:szCs w:val="24"/>
        </w:rPr>
        <w:t>.</w:t>
      </w:r>
    </w:p>
    <w:p w:rsidR="002D3663" w:rsidRDefault="002D3663" w:rsidP="002D3663">
      <w:pPr>
        <w:pStyle w:val="Heading2"/>
        <w:spacing w:before="0" w:after="0"/>
      </w:pPr>
    </w:p>
    <w:p w:rsidR="002D3663" w:rsidRDefault="002D3663" w:rsidP="002D3663">
      <w:pPr>
        <w:pStyle w:val="Heading2"/>
        <w:spacing w:before="0" w:after="0"/>
      </w:pPr>
      <w:r>
        <w:t xml:space="preserve">Rational for Action: </w:t>
      </w:r>
    </w:p>
    <w:p w:rsidR="002D3663" w:rsidRDefault="002D3663" w:rsidP="002D3663">
      <w:pPr>
        <w:spacing w:after="192" w:line="348" w:lineRule="atLeast"/>
        <w:rPr>
          <w:rFonts w:cs="Times New Roman"/>
        </w:rPr>
      </w:pPr>
      <w:r w:rsidRPr="00F80D5C">
        <w:rPr>
          <w:rFonts w:cs="Times New Roman"/>
        </w:rPr>
        <w:t>The operation of the Division of Teacher Education and Licensure, Department of Education, is supported by fees for licenses.  The fees are used for salaries and benefits of staff members and non-personnel operating expe</w:t>
      </w:r>
      <w:r>
        <w:rPr>
          <w:rFonts w:cs="Times New Roman"/>
        </w:rPr>
        <w:t xml:space="preserve">nses.  The current fee schedule, last revised in 1996, will be impacted by changing the validity period of renewable licenses from five to ten years. </w:t>
      </w:r>
    </w:p>
    <w:p w:rsidR="007426AA" w:rsidRDefault="007426AA" w:rsidP="007503E8">
      <w:pPr>
        <w:pStyle w:val="Heading2"/>
        <w:spacing w:before="0" w:after="0"/>
      </w:pPr>
    </w:p>
    <w:p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503E8" w:rsidRDefault="00360496" w:rsidP="00360496">
          <w:pPr>
            <w:spacing w:after="0" w:line="240" w:lineRule="auto"/>
          </w:pPr>
          <w:r>
            <w:t>Previous review and action. Specify date and action taken below:</w:t>
          </w:r>
        </w:p>
      </w:sdtContent>
    </w:sdt>
    <w:p w:rsidR="00360496" w:rsidRPr="00360496" w:rsidRDefault="00360496" w:rsidP="00360496">
      <w:pPr>
        <w:spacing w:after="0" w:line="240" w:lineRule="auto"/>
        <w:rPr>
          <w:rStyle w:val="Heading2Char"/>
          <w:b w:val="0"/>
        </w:rPr>
      </w:pPr>
      <w:r w:rsidRPr="00360496">
        <w:rPr>
          <w:rStyle w:val="Heading2Char"/>
          <w:b w:val="0"/>
        </w:rPr>
        <w:t>October 18, 2018</w:t>
      </w:r>
    </w:p>
    <w:p w:rsidR="00360496" w:rsidRDefault="00360496" w:rsidP="007503E8">
      <w:pPr>
        <w:spacing w:after="0"/>
        <w:rPr>
          <w:rStyle w:val="Heading2Char"/>
        </w:rPr>
      </w:pPr>
    </w:p>
    <w:p w:rsidR="00F80D5C" w:rsidRDefault="000E009D" w:rsidP="007503E8">
      <w:pPr>
        <w:spacing w:after="0"/>
      </w:pPr>
      <w:r w:rsidRPr="007503E8">
        <w:rPr>
          <w:rStyle w:val="Heading2Char"/>
        </w:rPr>
        <w:t>Background Information and Statutory Authority:</w:t>
      </w:r>
      <w:r w:rsidRPr="007503E8">
        <w:t xml:space="preserve"> </w:t>
      </w:r>
    </w:p>
    <w:p w:rsidR="00F80D5C" w:rsidRPr="00F80D5C" w:rsidRDefault="00F80D5C" w:rsidP="00F80D5C">
      <w:pPr>
        <w:pStyle w:val="Heading2"/>
        <w:spacing w:before="0" w:after="0"/>
      </w:pPr>
      <w:r w:rsidRPr="00F80D5C">
        <w:rPr>
          <w:b w:val="0"/>
          <w:i/>
        </w:rPr>
        <w:t>Licensure Regulations for School Personnel</w:t>
      </w:r>
      <w:r w:rsidR="00F37989">
        <w:rPr>
          <w:b w:val="0"/>
          <w:i/>
        </w:rPr>
        <w:t xml:space="preserve">, effective August 23, 2018, </w:t>
      </w:r>
      <w:r w:rsidRPr="00F80D5C">
        <w:rPr>
          <w:b w:val="0"/>
        </w:rPr>
        <w:t>state, in part, the following:</w:t>
      </w:r>
      <w:r w:rsidRPr="00F80D5C">
        <w:t xml:space="preserve"> </w:t>
      </w:r>
    </w:p>
    <w:p w:rsidR="00F37989" w:rsidRPr="00F37989" w:rsidRDefault="00F37989" w:rsidP="00F37989">
      <w:pPr>
        <w:spacing w:before="100" w:beforeAutospacing="1" w:after="100" w:afterAutospacing="1" w:line="288" w:lineRule="atLeast"/>
        <w:ind w:left="720"/>
        <w:outlineLvl w:val="1"/>
        <w:rPr>
          <w:rFonts w:eastAsia="Times New Roman" w:cs="Times New Roman"/>
          <w:szCs w:val="24"/>
        </w:rPr>
      </w:pPr>
      <w:proofErr w:type="gramStart"/>
      <w:r w:rsidRPr="00F37989">
        <w:rPr>
          <w:rFonts w:eastAsia="Times New Roman" w:cs="Times New Roman"/>
          <w:szCs w:val="24"/>
        </w:rPr>
        <w:t>8VAC20-23-40. Conditions for Licensure.</w:t>
      </w:r>
      <w:proofErr w:type="gramEnd"/>
    </w:p>
    <w:p w:rsidR="00F37989" w:rsidRPr="00F37989" w:rsidRDefault="00F37989" w:rsidP="00F37989">
      <w:pPr>
        <w:spacing w:after="192" w:line="348" w:lineRule="atLeast"/>
        <w:ind w:left="720"/>
        <w:rPr>
          <w:rFonts w:eastAsia="Times New Roman" w:cs="Times New Roman"/>
          <w:szCs w:val="24"/>
        </w:rPr>
      </w:pPr>
      <w:r w:rsidRPr="00F37989">
        <w:rPr>
          <w:rFonts w:eastAsia="Times New Roman" w:cs="Times New Roman"/>
          <w:szCs w:val="24"/>
        </w:rPr>
        <w:t>A. Applicants for licensure shall:</w:t>
      </w:r>
    </w:p>
    <w:p w:rsidR="00F37989" w:rsidRPr="00F37989" w:rsidRDefault="00F37989" w:rsidP="00F37989">
      <w:pPr>
        <w:spacing w:after="192" w:line="348" w:lineRule="atLeast"/>
        <w:ind w:left="960"/>
        <w:rPr>
          <w:rFonts w:eastAsia="Times New Roman" w:cs="Times New Roman"/>
          <w:szCs w:val="24"/>
        </w:rPr>
      </w:pPr>
      <w:r w:rsidRPr="00F37989">
        <w:rPr>
          <w:rFonts w:eastAsia="Times New Roman" w:cs="Times New Roman"/>
          <w:szCs w:val="24"/>
        </w:rPr>
        <w:t xml:space="preserve">1. </w:t>
      </w:r>
      <w:proofErr w:type="gramStart"/>
      <w:r w:rsidRPr="00F37989">
        <w:rPr>
          <w:rFonts w:eastAsia="Times New Roman" w:cs="Times New Roman"/>
          <w:szCs w:val="24"/>
        </w:rPr>
        <w:t>Be</w:t>
      </w:r>
      <w:proofErr w:type="gramEnd"/>
      <w:r w:rsidRPr="00F37989">
        <w:rPr>
          <w:rFonts w:eastAsia="Times New Roman" w:cs="Times New Roman"/>
          <w:szCs w:val="24"/>
        </w:rPr>
        <w:t xml:space="preserve"> at least 18 years of age;</w:t>
      </w:r>
    </w:p>
    <w:p w:rsidR="00F37989" w:rsidRPr="00F37989" w:rsidRDefault="00F37989" w:rsidP="00F37989">
      <w:pPr>
        <w:spacing w:after="192" w:line="348" w:lineRule="atLeast"/>
        <w:ind w:left="960"/>
        <w:rPr>
          <w:rFonts w:eastAsia="Times New Roman" w:cs="Times New Roman"/>
          <w:szCs w:val="24"/>
        </w:rPr>
      </w:pPr>
      <w:r w:rsidRPr="00F37989">
        <w:rPr>
          <w:rFonts w:eastAsia="Times New Roman" w:cs="Times New Roman"/>
          <w:szCs w:val="24"/>
        </w:rPr>
        <w:t xml:space="preserve">2. Pay the appropriate </w:t>
      </w:r>
      <w:r w:rsidRPr="00F37989">
        <w:rPr>
          <w:rFonts w:eastAsia="Times New Roman" w:cs="Times New Roman"/>
          <w:szCs w:val="24"/>
          <w:shd w:val="clear" w:color="auto" w:fill="FFFFFF" w:themeFill="background1"/>
        </w:rPr>
        <w:t>fees</w:t>
      </w:r>
      <w:r w:rsidRPr="00F37989">
        <w:rPr>
          <w:rFonts w:eastAsia="Times New Roman" w:cs="Times New Roman"/>
          <w:szCs w:val="24"/>
        </w:rPr>
        <w:t xml:space="preserve"> as determined by the Virginia Board of Education and complete the application process</w:t>
      </w:r>
      <w:proofErr w:type="gramStart"/>
      <w:r w:rsidRPr="00F37989">
        <w:rPr>
          <w:rFonts w:eastAsia="Times New Roman" w:cs="Times New Roman"/>
          <w:szCs w:val="24"/>
        </w:rPr>
        <w:t>;</w:t>
      </w:r>
      <w:r w:rsidR="00360496">
        <w:rPr>
          <w:rFonts w:eastAsia="Times New Roman" w:cs="Times New Roman"/>
          <w:szCs w:val="24"/>
        </w:rPr>
        <w:t>…</w:t>
      </w:r>
      <w:proofErr w:type="gramEnd"/>
    </w:p>
    <w:p w:rsidR="00F37989" w:rsidRDefault="00F37989" w:rsidP="00BA6961">
      <w:pPr>
        <w:tabs>
          <w:tab w:val="left" w:pos="3870"/>
        </w:tabs>
        <w:spacing w:after="0"/>
        <w:ind w:right="-90"/>
        <w:rPr>
          <w:rFonts w:cs="Times New Roman"/>
          <w:i/>
          <w:szCs w:val="24"/>
        </w:rPr>
      </w:pPr>
    </w:p>
    <w:p w:rsidR="00F80D5C" w:rsidRPr="00F80D5C" w:rsidRDefault="00F80D5C" w:rsidP="00BA6961">
      <w:pPr>
        <w:tabs>
          <w:tab w:val="left" w:pos="3870"/>
        </w:tabs>
        <w:spacing w:after="0"/>
        <w:ind w:right="-90"/>
        <w:rPr>
          <w:rFonts w:cs="Times New Roman"/>
          <w:szCs w:val="24"/>
        </w:rPr>
      </w:pPr>
      <w:r w:rsidRPr="00F80D5C">
        <w:rPr>
          <w:rFonts w:cs="Times New Roman"/>
          <w:i/>
          <w:szCs w:val="24"/>
        </w:rPr>
        <w:t xml:space="preserve">Code of Virginia, </w:t>
      </w:r>
      <w:r w:rsidRPr="00F80D5C">
        <w:rPr>
          <w:rFonts w:cs="Times New Roman"/>
          <w:szCs w:val="24"/>
        </w:rPr>
        <w:t xml:space="preserve">Section </w:t>
      </w:r>
      <w:hyperlink r:id="rId10" w:history="1">
        <w:r w:rsidRPr="00F80D5C">
          <w:rPr>
            <w:rFonts w:cs="Times New Roman"/>
            <w:color w:val="0000FF" w:themeColor="hyperlink"/>
            <w:szCs w:val="24"/>
            <w:u w:val="single"/>
          </w:rPr>
          <w:t xml:space="preserve">22.1-305.2. </w:t>
        </w:r>
        <w:proofErr w:type="gramStart"/>
        <w:r w:rsidRPr="00F80D5C">
          <w:rPr>
            <w:rFonts w:cs="Times New Roman"/>
            <w:color w:val="0000FF" w:themeColor="hyperlink"/>
            <w:szCs w:val="24"/>
            <w:u w:val="single"/>
          </w:rPr>
          <w:t>Advisory Board on Teacher Education and Licensure</w:t>
        </w:r>
      </w:hyperlink>
      <w:r w:rsidRPr="00F80D5C">
        <w:rPr>
          <w:rFonts w:cs="Times New Roman"/>
          <w:szCs w:val="24"/>
        </w:rPr>
        <w:t>.</w:t>
      </w:r>
      <w:proofErr w:type="gramEnd"/>
    </w:p>
    <w:p w:rsidR="00B46568" w:rsidRPr="00B46568" w:rsidRDefault="00B46568" w:rsidP="00B46568">
      <w:pPr>
        <w:spacing w:before="100" w:beforeAutospacing="1" w:after="100" w:afterAutospacing="1" w:line="288" w:lineRule="atLeast"/>
        <w:ind w:left="720"/>
        <w:outlineLvl w:val="1"/>
        <w:rPr>
          <w:rFonts w:eastAsia="Times New Roman" w:cs="Times New Roman"/>
          <w:szCs w:val="24"/>
        </w:rPr>
      </w:pPr>
      <w:r w:rsidRPr="00B46568">
        <w:rPr>
          <w:rFonts w:eastAsia="Times New Roman" w:cs="Times New Roman"/>
          <w:szCs w:val="24"/>
        </w:rPr>
        <w:t xml:space="preserve">§ 22.1-305.2. </w:t>
      </w:r>
      <w:proofErr w:type="gramStart"/>
      <w:r w:rsidRPr="00B46568">
        <w:rPr>
          <w:rFonts w:eastAsia="Times New Roman" w:cs="Times New Roman"/>
          <w:szCs w:val="24"/>
        </w:rPr>
        <w:t>Advisory Board on Teacher Education and Licensure.</w:t>
      </w:r>
      <w:proofErr w:type="gramEnd"/>
    </w:p>
    <w:p w:rsidR="00B46568" w:rsidRPr="00B46568" w:rsidRDefault="00B46568" w:rsidP="00B46568">
      <w:pPr>
        <w:spacing w:after="192" w:line="348" w:lineRule="atLeast"/>
        <w:ind w:left="720"/>
        <w:rPr>
          <w:rFonts w:eastAsia="Times New Roman" w:cs="Times New Roman"/>
          <w:szCs w:val="24"/>
        </w:rPr>
      </w:pPr>
      <w:r w:rsidRPr="00B46568">
        <w:rPr>
          <w:rFonts w:eastAsia="Times New Roman" w:cs="Times New Roman"/>
          <w:szCs w:val="24"/>
        </w:rPr>
        <w:t xml:space="preserve">There is hereby established the Advisory Board on Teacher Education and Licensure, which shall consist of three legislative members to be appointed as follows: Two members of the House of Delegates to be appointed by the Speaker of the House of Delegates, one member of the Senate to be appointed by the Senate Committee on Rules, and 21 </w:t>
      </w:r>
      <w:proofErr w:type="spellStart"/>
      <w:r w:rsidRPr="00B46568">
        <w:rPr>
          <w:rFonts w:eastAsia="Times New Roman" w:cs="Times New Roman"/>
          <w:szCs w:val="24"/>
        </w:rPr>
        <w:t>nonlegislative</w:t>
      </w:r>
      <w:proofErr w:type="spellEnd"/>
      <w:r w:rsidRPr="00B46568">
        <w:rPr>
          <w:rFonts w:eastAsia="Times New Roman" w:cs="Times New Roman"/>
          <w:szCs w:val="24"/>
        </w:rPr>
        <w:t xml:space="preserve"> citizen members to be appointed by the Board of Education. Ten </w:t>
      </w:r>
      <w:proofErr w:type="spellStart"/>
      <w:r w:rsidRPr="00B46568">
        <w:rPr>
          <w:rFonts w:eastAsia="Times New Roman" w:cs="Times New Roman"/>
          <w:szCs w:val="24"/>
        </w:rPr>
        <w:lastRenderedPageBreak/>
        <w:t>nonlegislative</w:t>
      </w:r>
      <w:proofErr w:type="spellEnd"/>
      <w:r w:rsidRPr="00B46568">
        <w:rPr>
          <w:rFonts w:eastAsia="Times New Roman" w:cs="Times New Roman"/>
          <w:szCs w:val="24"/>
        </w:rPr>
        <w:t xml:space="preserve"> citizen members of the Advisory Board shall be classroom teachers, with at least the following representation: three elementary school teachers, three middle school teachers, and three high school teachers. Three </w:t>
      </w:r>
      <w:proofErr w:type="spellStart"/>
      <w:r w:rsidRPr="00B46568">
        <w:rPr>
          <w:rFonts w:eastAsia="Times New Roman" w:cs="Times New Roman"/>
          <w:szCs w:val="24"/>
        </w:rPr>
        <w:t>nonlegislative</w:t>
      </w:r>
      <w:proofErr w:type="spellEnd"/>
      <w:r w:rsidRPr="00B46568">
        <w:rPr>
          <w:rFonts w:eastAsia="Times New Roman" w:cs="Times New Roman"/>
          <w:szCs w:val="24"/>
        </w:rPr>
        <w:t xml:space="preserve"> citizen members of the Advisory Board shall be school administrators, one of whom shall be a school principal, one of whom shall be a division superintendent, and one of whom shall be a school personnel administrator. Four </w:t>
      </w:r>
      <w:proofErr w:type="spellStart"/>
      <w:r w:rsidRPr="00B46568">
        <w:rPr>
          <w:rFonts w:eastAsia="Times New Roman" w:cs="Times New Roman"/>
          <w:szCs w:val="24"/>
        </w:rPr>
        <w:t>nonlegislative</w:t>
      </w:r>
      <w:proofErr w:type="spellEnd"/>
      <w:r w:rsidRPr="00B46568">
        <w:rPr>
          <w:rFonts w:eastAsia="Times New Roman" w:cs="Times New Roman"/>
          <w:szCs w:val="24"/>
        </w:rPr>
        <w:t xml:space="preserve"> citizen members of the Advisory Board shall be faculty members in teacher preparation programs in public or private institutions of higher education, who may represent the arts and sciences. One </w:t>
      </w:r>
      <w:proofErr w:type="spellStart"/>
      <w:r w:rsidRPr="00B46568">
        <w:rPr>
          <w:rFonts w:eastAsia="Times New Roman" w:cs="Times New Roman"/>
          <w:szCs w:val="24"/>
        </w:rPr>
        <w:t>nonlegislative</w:t>
      </w:r>
      <w:proofErr w:type="spellEnd"/>
      <w:r w:rsidRPr="00B46568">
        <w:rPr>
          <w:rFonts w:eastAsia="Times New Roman" w:cs="Times New Roman"/>
          <w:szCs w:val="24"/>
        </w:rPr>
        <w:t xml:space="preserve"> citizen member of the Advisory Board shall be a member of a school board. One </w:t>
      </w:r>
      <w:proofErr w:type="spellStart"/>
      <w:r w:rsidRPr="00B46568">
        <w:rPr>
          <w:rFonts w:eastAsia="Times New Roman" w:cs="Times New Roman"/>
          <w:szCs w:val="24"/>
        </w:rPr>
        <w:t>nonlegislative</w:t>
      </w:r>
      <w:proofErr w:type="spellEnd"/>
      <w:r w:rsidRPr="00B46568">
        <w:rPr>
          <w:rFonts w:eastAsia="Times New Roman" w:cs="Times New Roman"/>
          <w:szCs w:val="24"/>
        </w:rPr>
        <w:t xml:space="preserve"> citizen member of the Advisory Board shall be a member of a parent-teacher association. One </w:t>
      </w:r>
      <w:proofErr w:type="spellStart"/>
      <w:r w:rsidRPr="00B46568">
        <w:rPr>
          <w:rFonts w:eastAsia="Times New Roman" w:cs="Times New Roman"/>
          <w:szCs w:val="24"/>
        </w:rPr>
        <w:t>nonlegislative</w:t>
      </w:r>
      <w:proofErr w:type="spellEnd"/>
      <w:r w:rsidRPr="00B46568">
        <w:rPr>
          <w:rFonts w:eastAsia="Times New Roman" w:cs="Times New Roman"/>
          <w:szCs w:val="24"/>
        </w:rPr>
        <w:t xml:space="preserve"> citizen member of the Advisory Board shall be a representative of the business community, and one </w:t>
      </w:r>
      <w:proofErr w:type="spellStart"/>
      <w:r w:rsidRPr="00B46568">
        <w:rPr>
          <w:rFonts w:eastAsia="Times New Roman" w:cs="Times New Roman"/>
          <w:szCs w:val="24"/>
        </w:rPr>
        <w:t>nonlegislative</w:t>
      </w:r>
      <w:proofErr w:type="spellEnd"/>
      <w:r w:rsidRPr="00B46568">
        <w:rPr>
          <w:rFonts w:eastAsia="Times New Roman" w:cs="Times New Roman"/>
          <w:szCs w:val="24"/>
        </w:rPr>
        <w:t xml:space="preserve"> citizen member shall be a citizen at large. The Superintendent of Public Instruction or his designee and the Director of the State Council of Higher Education or his designee and the Chancellor of the Virginia Community College System or his designee shall serve as nonvoting ex officio members of the Advisory Board.</w:t>
      </w:r>
    </w:p>
    <w:p w:rsidR="00B46568" w:rsidRPr="00B46568" w:rsidRDefault="00B46568" w:rsidP="00B46568">
      <w:pPr>
        <w:spacing w:after="192" w:line="348" w:lineRule="atLeast"/>
        <w:ind w:left="720"/>
        <w:rPr>
          <w:rFonts w:eastAsia="Times New Roman" w:cs="Times New Roman"/>
          <w:szCs w:val="24"/>
        </w:rPr>
      </w:pPr>
      <w:r w:rsidRPr="00B46568">
        <w:rPr>
          <w:rFonts w:eastAsia="Times New Roman" w:cs="Times New Roman"/>
          <w:szCs w:val="24"/>
        </w:rPr>
        <w:t xml:space="preserve">The Superintendent of Public Instruction shall designate a staff liaison to coordinate the activities of the Advisory Board. The Advisory Board shall meet five times per year or upon the request of its chairman or the Board of Education. The Advisory Board shall annually elect a chairman from its membership. </w:t>
      </w:r>
      <w:proofErr w:type="spellStart"/>
      <w:r w:rsidRPr="00B46568">
        <w:rPr>
          <w:rFonts w:eastAsia="Times New Roman" w:cs="Times New Roman"/>
          <w:szCs w:val="24"/>
        </w:rPr>
        <w:t>Nonlegislative</w:t>
      </w:r>
      <w:proofErr w:type="spellEnd"/>
      <w:r w:rsidRPr="00B46568">
        <w:rPr>
          <w:rFonts w:eastAsia="Times New Roman" w:cs="Times New Roman"/>
          <w:szCs w:val="24"/>
        </w:rPr>
        <w:t xml:space="preserve"> citizen members are not entitled to compensation for their services. Legislative members of the Advisory Board shall be compensated as provided in § </w:t>
      </w:r>
      <w:hyperlink r:id="rId11" w:history="1">
        <w:r w:rsidRPr="00B46568">
          <w:rPr>
            <w:rFonts w:eastAsia="Times New Roman" w:cs="Times New Roman"/>
            <w:szCs w:val="24"/>
            <w:u w:val="single"/>
          </w:rPr>
          <w:t>30-19.12</w:t>
        </w:r>
      </w:hyperlink>
      <w:r w:rsidRPr="00B46568">
        <w:rPr>
          <w:rFonts w:eastAsia="Times New Roman" w:cs="Times New Roman"/>
          <w:szCs w:val="24"/>
        </w:rPr>
        <w:t xml:space="preserve">. All members shall be reimbursed for all reasonable and necessary expenses incurred in the performance of their duties as members of the Advisory Board as provided in §§ </w:t>
      </w:r>
      <w:hyperlink r:id="rId12" w:history="1">
        <w:r w:rsidRPr="00B46568">
          <w:rPr>
            <w:rFonts w:eastAsia="Times New Roman" w:cs="Times New Roman"/>
            <w:szCs w:val="24"/>
            <w:u w:val="single"/>
          </w:rPr>
          <w:t>2.2-2813</w:t>
        </w:r>
      </w:hyperlink>
      <w:r w:rsidRPr="00B46568">
        <w:rPr>
          <w:rFonts w:eastAsia="Times New Roman" w:cs="Times New Roman"/>
          <w:szCs w:val="24"/>
        </w:rPr>
        <w:t xml:space="preserve"> and </w:t>
      </w:r>
      <w:hyperlink r:id="rId13" w:history="1">
        <w:r w:rsidRPr="00B46568">
          <w:rPr>
            <w:rFonts w:eastAsia="Times New Roman" w:cs="Times New Roman"/>
            <w:szCs w:val="24"/>
            <w:u w:val="single"/>
          </w:rPr>
          <w:t>2.2-2825</w:t>
        </w:r>
      </w:hyperlink>
      <w:r w:rsidRPr="00B46568">
        <w:rPr>
          <w:rFonts w:eastAsia="Times New Roman" w:cs="Times New Roman"/>
          <w:szCs w:val="24"/>
        </w:rPr>
        <w:t>. The funding for the costs of compensation and expenses of the members shall be provided by the Department of Education.</w:t>
      </w:r>
    </w:p>
    <w:p w:rsidR="00B46568" w:rsidRPr="00B46568" w:rsidRDefault="00B46568" w:rsidP="00B46568">
      <w:pPr>
        <w:spacing w:after="192" w:line="348" w:lineRule="atLeast"/>
        <w:ind w:left="720"/>
        <w:rPr>
          <w:rFonts w:eastAsia="Times New Roman" w:cs="Times New Roman"/>
          <w:szCs w:val="24"/>
        </w:rPr>
      </w:pPr>
      <w:r w:rsidRPr="00B46568">
        <w:rPr>
          <w:rFonts w:eastAsia="Times New Roman" w:cs="Times New Roman"/>
          <w:szCs w:val="24"/>
        </w:rPr>
        <w:t xml:space="preserve">The </w:t>
      </w:r>
      <w:proofErr w:type="spellStart"/>
      <w:r w:rsidRPr="00B46568">
        <w:rPr>
          <w:rFonts w:eastAsia="Times New Roman" w:cs="Times New Roman"/>
          <w:szCs w:val="24"/>
        </w:rPr>
        <w:t>nonlegislative</w:t>
      </w:r>
      <w:proofErr w:type="spellEnd"/>
      <w:r w:rsidRPr="00B46568">
        <w:rPr>
          <w:rFonts w:eastAsia="Times New Roman" w:cs="Times New Roman"/>
          <w:szCs w:val="24"/>
        </w:rPr>
        <w:t xml:space="preserve"> citizen members of the Advisory Board shall be appointed for three-year terms. Legislative members shall serve terms coincident with their terms of office. No person may be appointed to serve for more than two consecutive terms. Members shall hold office after expiration of their terms until their successors are duly appointed. Appointments to fill vacancies of members, other than by expiration of a term, shall be for the unexpired terms. Such vacancies shall be filled in the same manner as the original appointments.</w:t>
      </w:r>
    </w:p>
    <w:p w:rsidR="00B46568" w:rsidRPr="00B46568" w:rsidRDefault="00B46568" w:rsidP="00B46568">
      <w:pPr>
        <w:spacing w:after="192" w:line="348" w:lineRule="atLeast"/>
        <w:ind w:left="720"/>
        <w:rPr>
          <w:rFonts w:eastAsia="Times New Roman" w:cs="Times New Roman"/>
          <w:szCs w:val="24"/>
        </w:rPr>
      </w:pPr>
      <w:r w:rsidRPr="00B46568">
        <w:rPr>
          <w:rFonts w:eastAsia="Times New Roman" w:cs="Times New Roman"/>
          <w:szCs w:val="24"/>
        </w:rPr>
        <w:t xml:space="preserve">The Advisory Board on Teacher Education and Licensure shall advise the Board of Education and submit recommendations on policies applicable to the qualifications, </w:t>
      </w:r>
      <w:r w:rsidRPr="00B46568">
        <w:rPr>
          <w:rFonts w:eastAsia="Times New Roman" w:cs="Times New Roman"/>
          <w:szCs w:val="24"/>
        </w:rPr>
        <w:lastRenderedPageBreak/>
        <w:t xml:space="preserve">examination, licensure, and regulation of school personnel including revocation, suspension, denial, cancellation, reinstatement, and renewals of licensure, </w:t>
      </w:r>
      <w:r w:rsidRPr="00B46568">
        <w:rPr>
          <w:rFonts w:eastAsia="Times New Roman" w:cs="Times New Roman"/>
          <w:b/>
          <w:szCs w:val="24"/>
          <w:shd w:val="clear" w:color="auto" w:fill="FFFFFF" w:themeFill="background1"/>
        </w:rPr>
        <w:t>fees</w:t>
      </w:r>
      <w:r w:rsidRPr="00B46568">
        <w:rPr>
          <w:rFonts w:eastAsia="Times New Roman" w:cs="Times New Roman"/>
          <w:b/>
          <w:szCs w:val="24"/>
        </w:rPr>
        <w:t xml:space="preserve"> for processing applications</w:t>
      </w:r>
      <w:r w:rsidRPr="00B46568">
        <w:rPr>
          <w:rFonts w:eastAsia="Times New Roman" w:cs="Times New Roman"/>
          <w:szCs w:val="24"/>
        </w:rPr>
        <w:t>,</w:t>
      </w:r>
      <w:r w:rsidR="00F37989">
        <w:rPr>
          <w:rFonts w:eastAsia="Times New Roman" w:cs="Times New Roman"/>
          <w:szCs w:val="24"/>
        </w:rPr>
        <w:t xml:space="preserve"> </w:t>
      </w:r>
      <w:r w:rsidR="00F37989" w:rsidRPr="00F37989">
        <w:rPr>
          <w:rFonts w:eastAsia="Times New Roman" w:cs="Times New Roman"/>
          <w:b/>
          <w:i/>
          <w:szCs w:val="24"/>
        </w:rPr>
        <w:t>[emphasis added]</w:t>
      </w:r>
      <w:r w:rsidRPr="00B46568">
        <w:rPr>
          <w:rFonts w:eastAsia="Times New Roman" w:cs="Times New Roman"/>
          <w:szCs w:val="24"/>
        </w:rPr>
        <w:t xml:space="preserve"> standards for the approval of preparation programs, reciprocal approval of preparation programs, and other related matters as the Board of Education may request or the Advisory Board may deem necessary. The final authority for licensure of school personnel shall remain with the Board of Education.</w:t>
      </w:r>
    </w:p>
    <w:p w:rsidR="002114F1" w:rsidRDefault="002114F1" w:rsidP="007503E8">
      <w:pPr>
        <w:spacing w:after="0"/>
        <w:rPr>
          <w:rFonts w:cs="Times New Roman"/>
          <w:szCs w:val="24"/>
        </w:rPr>
      </w:pPr>
      <w:r w:rsidRPr="002114F1">
        <w:rPr>
          <w:rFonts w:cs="Times New Roman"/>
          <w:szCs w:val="24"/>
        </w:rPr>
        <w:t>House Bill 1125 (</w:t>
      </w:r>
      <w:r w:rsidRPr="002114F1">
        <w:rPr>
          <w:rFonts w:cs="Times New Roman"/>
          <w:color w:val="333333"/>
          <w:szCs w:val="24"/>
        </w:rPr>
        <w:t xml:space="preserve">identical to </w:t>
      </w:r>
      <w:hyperlink r:id="rId14" w:history="1">
        <w:r w:rsidRPr="002114F1">
          <w:rPr>
            <w:rStyle w:val="Hyperlink"/>
            <w:rFonts w:cs="Times New Roman"/>
            <w:szCs w:val="24"/>
          </w:rPr>
          <w:t>SB 349</w:t>
        </w:r>
      </w:hyperlink>
      <w:r w:rsidRPr="002114F1">
        <w:rPr>
          <w:rFonts w:cs="Times New Roman"/>
          <w:szCs w:val="24"/>
        </w:rPr>
        <w:t>) of the Virginia General Assembly requires, in part, the following</w:t>
      </w:r>
      <w:r>
        <w:rPr>
          <w:rFonts w:cs="Times New Roman"/>
          <w:szCs w:val="24"/>
        </w:rPr>
        <w:t>.</w:t>
      </w:r>
    </w:p>
    <w:p w:rsidR="002114F1" w:rsidRPr="002114F1" w:rsidRDefault="002114F1" w:rsidP="007503E8">
      <w:pPr>
        <w:spacing w:after="0"/>
      </w:pPr>
      <w:r w:rsidRPr="002114F1">
        <w:t xml:space="preserve"> </w:t>
      </w:r>
    </w:p>
    <w:p w:rsidR="002114F1" w:rsidRPr="002114F1" w:rsidRDefault="003769B2" w:rsidP="002114F1">
      <w:pPr>
        <w:spacing w:after="0"/>
        <w:ind w:left="720"/>
        <w:rPr>
          <w:rFonts w:cs="Times New Roman"/>
          <w:i/>
          <w:szCs w:val="24"/>
        </w:rPr>
      </w:pPr>
      <w:r>
        <w:rPr>
          <w:rFonts w:cs="Times New Roman"/>
          <w:i/>
          <w:szCs w:val="24"/>
        </w:rPr>
        <w:t>…</w:t>
      </w:r>
      <w:r w:rsidR="002114F1" w:rsidRPr="002114F1">
        <w:rPr>
          <w:rFonts w:cs="Times New Roman"/>
          <w:i/>
          <w:szCs w:val="24"/>
        </w:rPr>
        <w:t>2. That the Board of Education shall amend its regulations for the establishment of requirements for teacher licensure renewal set forth in 8VAC</w:t>
      </w:r>
      <w:hyperlink r:id="rId15" w:history="1">
        <w:r w:rsidR="002114F1" w:rsidRPr="002114F1">
          <w:rPr>
            <w:rStyle w:val="Hyperlink"/>
            <w:rFonts w:cs="Times New Roman"/>
            <w:i/>
            <w:color w:val="auto"/>
            <w:szCs w:val="24"/>
          </w:rPr>
          <w:t>20-22-110</w:t>
        </w:r>
      </w:hyperlink>
      <w:r w:rsidR="002114F1" w:rsidRPr="002114F1">
        <w:rPr>
          <w:rFonts w:cs="Times New Roman"/>
          <w:i/>
          <w:szCs w:val="24"/>
        </w:rPr>
        <w:t xml:space="preserve"> to require teachers to complete no more than 360 professional development points within the 10-year license renewal period established by this act</w:t>
      </w:r>
      <w:r>
        <w:rPr>
          <w:rFonts w:cs="Times New Roman"/>
          <w:i/>
          <w:color w:val="333333"/>
          <w:szCs w:val="24"/>
        </w:rPr>
        <w:t>….</w:t>
      </w:r>
    </w:p>
    <w:p w:rsidR="002114F1" w:rsidRDefault="002114F1" w:rsidP="007503E8">
      <w:pPr>
        <w:spacing w:after="0"/>
      </w:pPr>
    </w:p>
    <w:p w:rsidR="009B109E" w:rsidRDefault="00123E2E" w:rsidP="007426AA">
      <w:pPr>
        <w:spacing w:after="0"/>
      </w:pPr>
      <w:r w:rsidRPr="007503E8">
        <w:rPr>
          <w:rStyle w:val="Heading2Char"/>
        </w:rPr>
        <w:t>Timetable for Further Review/Action:</w:t>
      </w:r>
      <w:r w:rsidR="007426AA">
        <w:rPr>
          <w:rStyle w:val="Heading2Char"/>
        </w:rPr>
        <w:t xml:space="preserve">  </w:t>
      </w:r>
      <w:r w:rsidR="007426AA" w:rsidRPr="007426AA">
        <w:rPr>
          <w:rStyle w:val="Heading2Char"/>
          <w:b w:val="0"/>
        </w:rPr>
        <w:t>Upon Board of Education approval, a Superintendent’s Memorandum will be disseminated, and the fee schedule will be posted on the Department of Education’s website.</w:t>
      </w:r>
      <w:r w:rsidR="00D9096B" w:rsidRPr="007503E8">
        <w:br/>
      </w:r>
      <w:r w:rsidR="007503E8">
        <w:br/>
      </w:r>
      <w:r w:rsidR="000E009D" w:rsidRPr="007426AA">
        <w:rPr>
          <w:b/>
        </w:rPr>
        <w:t>Impact on Fiscal and Human Resources:</w:t>
      </w:r>
      <w:r w:rsidR="000E009D" w:rsidRPr="007503E8">
        <w:t xml:space="preserve"> </w:t>
      </w:r>
      <w:r w:rsidR="006D47A6">
        <w:t xml:space="preserve"> </w:t>
      </w:r>
      <w:r w:rsidR="00BA6961">
        <w:t>The change in the licensure fee schedule will generate fees</w:t>
      </w:r>
      <w:r w:rsidR="00D82FD4">
        <w:t xml:space="preserve"> for the operation of Teacher Education and Licensure.</w:t>
      </w:r>
    </w:p>
    <w:p w:rsidR="0020239B" w:rsidRPr="0020239B" w:rsidRDefault="0020239B" w:rsidP="007503E8"/>
    <w:sectPr w:rsidR="0020239B" w:rsidRPr="0020239B" w:rsidSect="000E009D">
      <w:footerReference w:type="default" r:id="rId16"/>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629" w:rsidRDefault="00146629" w:rsidP="000E009D">
      <w:pPr>
        <w:spacing w:after="0" w:line="240" w:lineRule="auto"/>
      </w:pPr>
      <w:r>
        <w:separator/>
      </w:r>
    </w:p>
  </w:endnote>
  <w:endnote w:type="continuationSeparator" w:id="0">
    <w:p w:rsidR="00146629" w:rsidRDefault="00146629"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92462A">
          <w:rPr>
            <w:rFonts w:cs="Times New Roman"/>
            <w:noProof/>
          </w:rPr>
          <w:t>E</w:t>
        </w:r>
        <w:r w:rsidRPr="000E009D">
          <w:rPr>
            <w:rFonts w:cs="Times New Roman"/>
            <w:noProof/>
          </w:rPr>
          <w:fldChar w:fldCharType="end"/>
        </w:r>
      </w:p>
    </w:sdtContent>
  </w:sdt>
  <w:p w:rsidR="000E009D" w:rsidRDefault="000E0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629" w:rsidRDefault="00146629" w:rsidP="000E009D">
      <w:pPr>
        <w:spacing w:after="0" w:line="240" w:lineRule="auto"/>
      </w:pPr>
      <w:r>
        <w:separator/>
      </w:r>
    </w:p>
  </w:footnote>
  <w:footnote w:type="continuationSeparator" w:id="0">
    <w:p w:rsidR="00146629" w:rsidRDefault="00146629" w:rsidP="000E00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4026A"/>
    <w:rsid w:val="0004466B"/>
    <w:rsid w:val="000D590D"/>
    <w:rsid w:val="000E009D"/>
    <w:rsid w:val="00123E2E"/>
    <w:rsid w:val="00146629"/>
    <w:rsid w:val="00157C40"/>
    <w:rsid w:val="001858E9"/>
    <w:rsid w:val="0020239B"/>
    <w:rsid w:val="002114F1"/>
    <w:rsid w:val="00220F0C"/>
    <w:rsid w:val="00272E7E"/>
    <w:rsid w:val="002D3663"/>
    <w:rsid w:val="002D415D"/>
    <w:rsid w:val="003056E1"/>
    <w:rsid w:val="00360496"/>
    <w:rsid w:val="003730EB"/>
    <w:rsid w:val="003737E7"/>
    <w:rsid w:val="003769B2"/>
    <w:rsid w:val="003E15B5"/>
    <w:rsid w:val="00426677"/>
    <w:rsid w:val="004B35DC"/>
    <w:rsid w:val="00530462"/>
    <w:rsid w:val="005357C5"/>
    <w:rsid w:val="00537153"/>
    <w:rsid w:val="005C021D"/>
    <w:rsid w:val="005F2262"/>
    <w:rsid w:val="0065013E"/>
    <w:rsid w:val="00680D3D"/>
    <w:rsid w:val="006D47A6"/>
    <w:rsid w:val="0071502F"/>
    <w:rsid w:val="00722EBE"/>
    <w:rsid w:val="00726968"/>
    <w:rsid w:val="007426AA"/>
    <w:rsid w:val="007503E8"/>
    <w:rsid w:val="007B27A0"/>
    <w:rsid w:val="00805AF1"/>
    <w:rsid w:val="00812A69"/>
    <w:rsid w:val="00892D0F"/>
    <w:rsid w:val="009177F4"/>
    <w:rsid w:val="0092462A"/>
    <w:rsid w:val="0094605A"/>
    <w:rsid w:val="009B109E"/>
    <w:rsid w:val="009B7A05"/>
    <w:rsid w:val="00A47F8C"/>
    <w:rsid w:val="00A83E23"/>
    <w:rsid w:val="00A972CE"/>
    <w:rsid w:val="00AC0C95"/>
    <w:rsid w:val="00B46568"/>
    <w:rsid w:val="00B7183C"/>
    <w:rsid w:val="00BA6961"/>
    <w:rsid w:val="00BA7FAF"/>
    <w:rsid w:val="00BC4B31"/>
    <w:rsid w:val="00C348CA"/>
    <w:rsid w:val="00C42ECA"/>
    <w:rsid w:val="00CE4D77"/>
    <w:rsid w:val="00D82FD4"/>
    <w:rsid w:val="00D9096B"/>
    <w:rsid w:val="00D90C32"/>
    <w:rsid w:val="00E65C20"/>
    <w:rsid w:val="00EC7CF9"/>
    <w:rsid w:val="00F37989"/>
    <w:rsid w:val="00F665A9"/>
    <w:rsid w:val="00F77BDE"/>
    <w:rsid w:val="00F80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paragraph" w:customStyle="1" w:styleId="Default">
    <w:name w:val="Default"/>
    <w:rsid w:val="00272E7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2114F1"/>
    <w:rPr>
      <w:b/>
      <w:bCs/>
      <w:strike w:val="0"/>
      <w:dstrike w:val="0"/>
      <w:color w:val="35518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paragraph" w:customStyle="1" w:styleId="Default">
    <w:name w:val="Default"/>
    <w:rsid w:val="00272E7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2114F1"/>
    <w:rPr>
      <w:b/>
      <w:bCs/>
      <w:strike w:val="0"/>
      <w:dstrike w:val="0"/>
      <w:color w:val="35518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7442">
      <w:bodyDiv w:val="1"/>
      <w:marLeft w:val="0"/>
      <w:marRight w:val="0"/>
      <w:marTop w:val="0"/>
      <w:marBottom w:val="0"/>
      <w:divBdr>
        <w:top w:val="none" w:sz="0" w:space="0" w:color="auto"/>
        <w:left w:val="none" w:sz="0" w:space="0" w:color="auto"/>
        <w:bottom w:val="none" w:sz="0" w:space="0" w:color="auto"/>
        <w:right w:val="none" w:sz="0" w:space="0" w:color="auto"/>
      </w:divBdr>
    </w:div>
    <w:div w:id="241061210">
      <w:bodyDiv w:val="1"/>
      <w:marLeft w:val="0"/>
      <w:marRight w:val="0"/>
      <w:marTop w:val="0"/>
      <w:marBottom w:val="0"/>
      <w:divBdr>
        <w:top w:val="none" w:sz="0" w:space="0" w:color="auto"/>
        <w:left w:val="none" w:sz="0" w:space="0" w:color="auto"/>
        <w:bottom w:val="none" w:sz="0" w:space="0" w:color="auto"/>
        <w:right w:val="none" w:sz="0" w:space="0" w:color="auto"/>
      </w:divBdr>
    </w:div>
    <w:div w:id="530070980">
      <w:bodyDiv w:val="1"/>
      <w:marLeft w:val="0"/>
      <w:marRight w:val="0"/>
      <w:marTop w:val="0"/>
      <w:marBottom w:val="0"/>
      <w:divBdr>
        <w:top w:val="none" w:sz="0" w:space="0" w:color="auto"/>
        <w:left w:val="none" w:sz="0" w:space="0" w:color="auto"/>
        <w:bottom w:val="none" w:sz="0" w:space="0" w:color="auto"/>
        <w:right w:val="none" w:sz="0" w:space="0" w:color="auto"/>
      </w:divBdr>
      <w:divsChild>
        <w:div w:id="315183217">
          <w:marLeft w:val="0"/>
          <w:marRight w:val="0"/>
          <w:marTop w:val="0"/>
          <w:marBottom w:val="0"/>
          <w:divBdr>
            <w:top w:val="none" w:sz="0" w:space="0" w:color="auto"/>
            <w:left w:val="none" w:sz="0" w:space="0" w:color="auto"/>
            <w:bottom w:val="none" w:sz="0" w:space="0" w:color="auto"/>
            <w:right w:val="none" w:sz="0" w:space="0" w:color="auto"/>
          </w:divBdr>
          <w:divsChild>
            <w:div w:id="1492722547">
              <w:marLeft w:val="0"/>
              <w:marRight w:val="0"/>
              <w:marTop w:val="0"/>
              <w:marBottom w:val="120"/>
              <w:divBdr>
                <w:top w:val="none" w:sz="0" w:space="0" w:color="auto"/>
                <w:left w:val="none" w:sz="0" w:space="0" w:color="auto"/>
                <w:bottom w:val="none" w:sz="0" w:space="0" w:color="auto"/>
                <w:right w:val="none" w:sz="0" w:space="0" w:color="auto"/>
              </w:divBdr>
              <w:divsChild>
                <w:div w:id="227499023">
                  <w:marLeft w:val="0"/>
                  <w:marRight w:val="0"/>
                  <w:marTop w:val="0"/>
                  <w:marBottom w:val="0"/>
                  <w:divBdr>
                    <w:top w:val="none" w:sz="0" w:space="0" w:color="auto"/>
                    <w:left w:val="none" w:sz="0" w:space="0" w:color="auto"/>
                    <w:bottom w:val="none" w:sz="0" w:space="0" w:color="auto"/>
                    <w:right w:val="none" w:sz="0" w:space="0" w:color="auto"/>
                  </w:divBdr>
                  <w:divsChild>
                    <w:div w:id="11344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69489">
      <w:bodyDiv w:val="1"/>
      <w:marLeft w:val="0"/>
      <w:marRight w:val="0"/>
      <w:marTop w:val="0"/>
      <w:marBottom w:val="0"/>
      <w:divBdr>
        <w:top w:val="none" w:sz="0" w:space="0" w:color="auto"/>
        <w:left w:val="none" w:sz="0" w:space="0" w:color="auto"/>
        <w:bottom w:val="none" w:sz="0" w:space="0" w:color="auto"/>
        <w:right w:val="none" w:sz="0" w:space="0" w:color="auto"/>
      </w:divBdr>
      <w:divsChild>
        <w:div w:id="312176839">
          <w:marLeft w:val="0"/>
          <w:marRight w:val="0"/>
          <w:marTop w:val="0"/>
          <w:marBottom w:val="0"/>
          <w:divBdr>
            <w:top w:val="none" w:sz="0" w:space="0" w:color="auto"/>
            <w:left w:val="none" w:sz="0" w:space="0" w:color="auto"/>
            <w:bottom w:val="none" w:sz="0" w:space="0" w:color="auto"/>
            <w:right w:val="none" w:sz="0" w:space="0" w:color="auto"/>
          </w:divBdr>
          <w:divsChild>
            <w:div w:id="1619870532">
              <w:marLeft w:val="0"/>
              <w:marRight w:val="0"/>
              <w:marTop w:val="0"/>
              <w:marBottom w:val="120"/>
              <w:divBdr>
                <w:top w:val="none" w:sz="0" w:space="0" w:color="auto"/>
                <w:left w:val="none" w:sz="0" w:space="0" w:color="auto"/>
                <w:bottom w:val="none" w:sz="0" w:space="0" w:color="auto"/>
                <w:right w:val="none" w:sz="0" w:space="0" w:color="auto"/>
              </w:divBdr>
              <w:divsChild>
                <w:div w:id="1257179169">
                  <w:marLeft w:val="0"/>
                  <w:marRight w:val="0"/>
                  <w:marTop w:val="0"/>
                  <w:marBottom w:val="0"/>
                  <w:divBdr>
                    <w:top w:val="none" w:sz="0" w:space="0" w:color="auto"/>
                    <w:left w:val="none" w:sz="0" w:space="0" w:color="auto"/>
                    <w:bottom w:val="none" w:sz="0" w:space="0" w:color="auto"/>
                    <w:right w:val="none" w:sz="0" w:space="0" w:color="auto"/>
                  </w:divBdr>
                  <w:divsChild>
                    <w:div w:id="10796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899909">
      <w:bodyDiv w:val="1"/>
      <w:marLeft w:val="0"/>
      <w:marRight w:val="0"/>
      <w:marTop w:val="0"/>
      <w:marBottom w:val="0"/>
      <w:divBdr>
        <w:top w:val="none" w:sz="0" w:space="0" w:color="auto"/>
        <w:left w:val="none" w:sz="0" w:space="0" w:color="auto"/>
        <w:bottom w:val="none" w:sz="0" w:space="0" w:color="auto"/>
        <w:right w:val="none" w:sz="0" w:space="0" w:color="auto"/>
      </w:divBdr>
      <w:divsChild>
        <w:div w:id="2071532203">
          <w:marLeft w:val="0"/>
          <w:marRight w:val="0"/>
          <w:marTop w:val="0"/>
          <w:marBottom w:val="0"/>
          <w:divBdr>
            <w:top w:val="none" w:sz="0" w:space="0" w:color="auto"/>
            <w:left w:val="none" w:sz="0" w:space="0" w:color="auto"/>
            <w:bottom w:val="none" w:sz="0" w:space="0" w:color="auto"/>
            <w:right w:val="none" w:sz="0" w:space="0" w:color="auto"/>
          </w:divBdr>
          <w:divsChild>
            <w:div w:id="1401060354">
              <w:marLeft w:val="0"/>
              <w:marRight w:val="0"/>
              <w:marTop w:val="0"/>
              <w:marBottom w:val="120"/>
              <w:divBdr>
                <w:top w:val="none" w:sz="0" w:space="0" w:color="auto"/>
                <w:left w:val="none" w:sz="0" w:space="0" w:color="auto"/>
                <w:bottom w:val="none" w:sz="0" w:space="0" w:color="auto"/>
                <w:right w:val="none" w:sz="0" w:space="0" w:color="auto"/>
              </w:divBdr>
              <w:divsChild>
                <w:div w:id="7612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aw.lis.virginia.gov/vacode/2.2-2825/"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aw.lis.virginia.gov/vacode/2.2-28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w.lis.virginia.gov/vacode/30-19.12/" TargetMode="External"/><Relationship Id="rId5" Type="http://schemas.openxmlformats.org/officeDocument/2006/relationships/settings" Target="settings.xml"/><Relationship Id="rId15" Type="http://schemas.openxmlformats.org/officeDocument/2006/relationships/hyperlink" Target="http://law.lis.virginia.gov/vacode/20-22-110" TargetMode="External"/><Relationship Id="rId10" Type="http://schemas.openxmlformats.org/officeDocument/2006/relationships/hyperlink" Target="https://law.lis.virginia.gov/vacode/title22.1/chapter15/section22.1-305.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lis.virginia.gov/cgi-bin/legp604.exe?181+sum+SB349"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666129"/>
    <w:rsid w:val="00A3445B"/>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DCBFA-581B-4E78-9CB2-E044467BB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1430</Words>
  <Characters>8153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Emily V. Webb (DOE) </cp:lastModifiedBy>
  <cp:revision>2</cp:revision>
  <cp:lastPrinted>2018-09-30T20:25:00Z</cp:lastPrinted>
  <dcterms:created xsi:type="dcterms:W3CDTF">2018-11-01T20:15:00Z</dcterms:created>
  <dcterms:modified xsi:type="dcterms:W3CDTF">2018-11-01T20:15:00Z</dcterms:modified>
</cp:coreProperties>
</file>