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B1F4C" w:rsidRPr="00E024D9" w:rsidRDefault="00F20A01" w:rsidP="00D15D38">
      <w:pPr>
        <w:pStyle w:val="Heading1"/>
        <w:spacing w:before="0"/>
        <w:rPr>
          <w:rFonts w:ascii="Times New Roman" w:hAnsi="Times New Roman" w:cs="Times New Roman"/>
          <w:color w:val="auto"/>
          <w:sz w:val="24"/>
          <w:szCs w:val="24"/>
        </w:rPr>
      </w:pPr>
      <w:r>
        <w:rPr>
          <w:rFonts w:ascii="Times New Roman" w:hAnsi="Times New Roman" w:cs="Times New Roman"/>
          <w:color w:val="auto"/>
          <w:sz w:val="24"/>
          <w:szCs w:val="24"/>
        </w:rPr>
        <w:br/>
      </w:r>
      <w:r w:rsidR="00A972CE" w:rsidRPr="00E024D9">
        <w:rPr>
          <w:rFonts w:ascii="Times New Roman" w:hAnsi="Times New Roman" w:cs="Times New Roman"/>
          <w:color w:val="auto"/>
          <w:sz w:val="24"/>
          <w:szCs w:val="24"/>
        </w:rPr>
        <w:t xml:space="preserve">Agenda Item: </w:t>
      </w:r>
      <w:r w:rsidR="005E70AA" w:rsidRPr="00E024D9">
        <w:rPr>
          <w:rFonts w:ascii="Times New Roman" w:hAnsi="Times New Roman" w:cs="Times New Roman"/>
          <w:color w:val="auto"/>
          <w:sz w:val="24"/>
          <w:szCs w:val="24"/>
        </w:rPr>
        <w:tab/>
      </w:r>
      <w:r>
        <w:rPr>
          <w:rFonts w:ascii="Times New Roman" w:hAnsi="Times New Roman" w:cs="Times New Roman"/>
          <w:color w:val="auto"/>
          <w:sz w:val="24"/>
          <w:szCs w:val="24"/>
        </w:rPr>
        <w:t>H</w:t>
      </w:r>
      <w:bookmarkStart w:id="0" w:name="_GoBack"/>
      <w:bookmarkEnd w:id="0"/>
    </w:p>
    <w:p w:rsidR="00A972CE" w:rsidRPr="00E024D9" w:rsidRDefault="00A972CE" w:rsidP="00D15D38">
      <w:pPr>
        <w:pStyle w:val="Heading2"/>
        <w:rPr>
          <w:rFonts w:cs="Times New Roman"/>
          <w:szCs w:val="24"/>
        </w:rPr>
      </w:pPr>
      <w:r w:rsidRPr="00E024D9">
        <w:rPr>
          <w:rFonts w:cs="Times New Roman"/>
          <w:szCs w:val="24"/>
        </w:rPr>
        <w:t>Date:</w:t>
      </w:r>
      <w:r w:rsidR="008B7818" w:rsidRPr="00E024D9">
        <w:rPr>
          <w:rFonts w:cs="Times New Roman"/>
          <w:szCs w:val="24"/>
        </w:rPr>
        <w:tab/>
      </w:r>
      <w:r w:rsidR="00D0770D" w:rsidRPr="00E024D9">
        <w:rPr>
          <w:rFonts w:cs="Times New Roman"/>
          <w:szCs w:val="24"/>
        </w:rPr>
        <w:tab/>
      </w:r>
      <w:r w:rsidR="008B7818" w:rsidRPr="00E024D9">
        <w:rPr>
          <w:rFonts w:cs="Times New Roman"/>
          <w:szCs w:val="24"/>
        </w:rPr>
        <w:tab/>
      </w:r>
      <w:r w:rsidR="005E70AA" w:rsidRPr="00E024D9">
        <w:rPr>
          <w:rFonts w:cs="Times New Roman"/>
          <w:szCs w:val="24"/>
        </w:rPr>
        <w:t>June 28</w:t>
      </w:r>
      <w:r w:rsidR="005D3044" w:rsidRPr="00E024D9">
        <w:rPr>
          <w:rFonts w:cs="Times New Roman"/>
          <w:szCs w:val="24"/>
        </w:rPr>
        <w:t>, 2018</w:t>
      </w:r>
    </w:p>
    <w:p w:rsidR="00A972CE" w:rsidRPr="00E024D9" w:rsidRDefault="00A972CE" w:rsidP="00D15D38">
      <w:pPr>
        <w:pStyle w:val="Heading3"/>
        <w:ind w:left="2160" w:hanging="2160"/>
        <w:rPr>
          <w:rFonts w:cs="Times New Roman"/>
          <w:szCs w:val="24"/>
        </w:rPr>
      </w:pPr>
      <w:r w:rsidRPr="00E024D9">
        <w:rPr>
          <w:rFonts w:cs="Times New Roman"/>
          <w:szCs w:val="24"/>
        </w:rPr>
        <w:t xml:space="preserve">Title: </w:t>
      </w:r>
      <w:r w:rsidR="00D0770D" w:rsidRPr="00E024D9">
        <w:rPr>
          <w:rFonts w:cs="Times New Roman"/>
          <w:szCs w:val="24"/>
        </w:rPr>
        <w:tab/>
      </w:r>
      <w:r w:rsidR="005E70AA" w:rsidRPr="00E024D9">
        <w:rPr>
          <w:rFonts w:cs="Times New Roman"/>
          <w:szCs w:val="24"/>
        </w:rPr>
        <w:t xml:space="preserve">First Review of Recommendation of the Advisory Board on Teacher Education and Licensure (ABTEL) for a Passing Score for the </w:t>
      </w:r>
      <w:r w:rsidR="004C4B9D" w:rsidRPr="004C4B9D">
        <w:rPr>
          <w:rFonts w:cs="Times New Roman"/>
          <w:szCs w:val="24"/>
        </w:rPr>
        <w:t>Praxis School Leader Licensure Assessment (6990)</w:t>
      </w:r>
      <w:r w:rsidR="004C4B9D">
        <w:rPr>
          <w:rFonts w:cs="Times New Roman"/>
          <w:szCs w:val="24"/>
        </w:rPr>
        <w:t xml:space="preserve"> for the Administration and Supervision </w:t>
      </w:r>
      <w:r w:rsidR="00653598">
        <w:rPr>
          <w:rFonts w:cs="Times New Roman"/>
          <w:szCs w:val="24"/>
        </w:rPr>
        <w:t>P</w:t>
      </w:r>
      <w:r w:rsidR="004C4B9D">
        <w:rPr>
          <w:rFonts w:cs="Times New Roman"/>
          <w:szCs w:val="24"/>
        </w:rPr>
        <w:t>reK-12 Endorsement</w:t>
      </w:r>
    </w:p>
    <w:p w:rsidR="00A972CE" w:rsidRPr="00E024D9" w:rsidRDefault="00A972CE" w:rsidP="00D15D38">
      <w:pPr>
        <w:pStyle w:val="Heading4"/>
        <w:ind w:left="2160" w:hanging="2160"/>
        <w:rPr>
          <w:rFonts w:ascii="Times New Roman" w:hAnsi="Times New Roman" w:cs="Times New Roman"/>
          <w:i w:val="0"/>
          <w:color w:val="auto"/>
          <w:sz w:val="24"/>
          <w:szCs w:val="24"/>
        </w:rPr>
      </w:pPr>
      <w:r w:rsidRPr="00E024D9">
        <w:rPr>
          <w:rFonts w:ascii="Times New Roman" w:hAnsi="Times New Roman" w:cs="Times New Roman"/>
          <w:i w:val="0"/>
          <w:color w:val="auto"/>
          <w:sz w:val="24"/>
          <w:szCs w:val="24"/>
        </w:rPr>
        <w:t xml:space="preserve">Presenter: </w:t>
      </w:r>
      <w:r w:rsidR="00D0770D" w:rsidRPr="00E024D9">
        <w:rPr>
          <w:rFonts w:ascii="Times New Roman" w:hAnsi="Times New Roman" w:cs="Times New Roman"/>
          <w:i w:val="0"/>
          <w:color w:val="auto"/>
          <w:sz w:val="24"/>
          <w:szCs w:val="24"/>
        </w:rPr>
        <w:tab/>
      </w:r>
      <w:r w:rsidR="005E70AA" w:rsidRPr="00E024D9">
        <w:rPr>
          <w:rFonts w:ascii="Times New Roman" w:hAnsi="Times New Roman" w:cs="Times New Roman"/>
          <w:i w:val="0"/>
          <w:color w:val="auto"/>
          <w:sz w:val="24"/>
          <w:szCs w:val="24"/>
        </w:rPr>
        <w:t>Mrs. Patty S. Pitts, Assistant Superintendent for Teacher Education and Licensure</w:t>
      </w:r>
    </w:p>
    <w:p w:rsidR="00A972CE" w:rsidRDefault="00A972CE" w:rsidP="00EC77BC">
      <w:pPr>
        <w:pStyle w:val="Heading5"/>
        <w:rPr>
          <w:rFonts w:ascii="Times New Roman" w:hAnsi="Times New Roman" w:cs="Times New Roman"/>
          <w:b/>
          <w:color w:val="auto"/>
          <w:sz w:val="24"/>
          <w:szCs w:val="24"/>
        </w:rPr>
      </w:pPr>
      <w:r w:rsidRPr="00E024D9">
        <w:rPr>
          <w:rFonts w:ascii="Times New Roman" w:hAnsi="Times New Roman" w:cs="Times New Roman"/>
          <w:b/>
          <w:color w:val="auto"/>
          <w:sz w:val="24"/>
          <w:szCs w:val="24"/>
        </w:rPr>
        <w:t>Email:</w:t>
      </w:r>
      <w:r w:rsidR="00D0770D" w:rsidRPr="00E024D9">
        <w:rPr>
          <w:rFonts w:ascii="Times New Roman" w:hAnsi="Times New Roman" w:cs="Times New Roman"/>
          <w:b/>
          <w:color w:val="auto"/>
          <w:sz w:val="24"/>
          <w:szCs w:val="24"/>
        </w:rPr>
        <w:tab/>
      </w:r>
      <w:r w:rsidR="008B7818" w:rsidRPr="00E024D9">
        <w:rPr>
          <w:rFonts w:ascii="Times New Roman" w:hAnsi="Times New Roman" w:cs="Times New Roman"/>
          <w:b/>
          <w:color w:val="auto"/>
          <w:sz w:val="24"/>
          <w:szCs w:val="24"/>
        </w:rPr>
        <w:tab/>
      </w:r>
      <w:r w:rsidR="00EA4972" w:rsidRPr="00E024D9">
        <w:rPr>
          <w:rFonts w:ascii="Times New Roman" w:hAnsi="Times New Roman" w:cs="Times New Roman"/>
          <w:b/>
          <w:color w:val="auto"/>
          <w:sz w:val="24"/>
          <w:szCs w:val="24"/>
        </w:rPr>
        <w:tab/>
      </w:r>
      <w:hyperlink r:id="rId10" w:history="1">
        <w:r w:rsidR="005E70AA" w:rsidRPr="00E024D9">
          <w:rPr>
            <w:rStyle w:val="Hyperlink"/>
            <w:rFonts w:ascii="Times New Roman" w:hAnsi="Times New Roman" w:cs="Times New Roman"/>
            <w:sz w:val="24"/>
            <w:szCs w:val="24"/>
          </w:rPr>
          <w:t>Patty.Pitts@doe.virginia.gov</w:t>
        </w:r>
      </w:hyperlink>
      <w:r w:rsidR="005E70AA" w:rsidRPr="00E024D9">
        <w:rPr>
          <w:rFonts w:ascii="Times New Roman" w:hAnsi="Times New Roman" w:cs="Times New Roman"/>
          <w:sz w:val="24"/>
          <w:szCs w:val="24"/>
        </w:rPr>
        <w:t xml:space="preserve"> </w:t>
      </w:r>
      <w:r w:rsidR="00680D3D" w:rsidRPr="00E024D9">
        <w:rPr>
          <w:rFonts w:ascii="Times New Roman" w:hAnsi="Times New Roman" w:cs="Times New Roman"/>
          <w:b/>
          <w:color w:val="auto"/>
          <w:sz w:val="24"/>
          <w:szCs w:val="24"/>
        </w:rPr>
        <w:tab/>
      </w:r>
      <w:r w:rsidR="00680D3D" w:rsidRPr="00E024D9">
        <w:rPr>
          <w:rFonts w:ascii="Times New Roman" w:hAnsi="Times New Roman" w:cs="Times New Roman"/>
          <w:b/>
          <w:color w:val="auto"/>
          <w:sz w:val="24"/>
          <w:szCs w:val="24"/>
        </w:rPr>
        <w:tab/>
      </w:r>
      <w:r w:rsidR="00892D0F" w:rsidRPr="00E024D9">
        <w:rPr>
          <w:rFonts w:ascii="Times New Roman" w:hAnsi="Times New Roman" w:cs="Times New Roman"/>
          <w:b/>
          <w:color w:val="auto"/>
          <w:sz w:val="24"/>
          <w:szCs w:val="24"/>
        </w:rPr>
        <w:t xml:space="preserve">Phone: </w:t>
      </w:r>
      <w:r w:rsidR="005E70AA" w:rsidRPr="00E024D9">
        <w:rPr>
          <w:rFonts w:ascii="Times New Roman" w:hAnsi="Times New Roman" w:cs="Times New Roman"/>
          <w:b/>
          <w:color w:val="auto"/>
          <w:sz w:val="24"/>
          <w:szCs w:val="24"/>
        </w:rPr>
        <w:t>(804) 371-2522</w:t>
      </w:r>
    </w:p>
    <w:p w:rsidR="00F20A01" w:rsidRPr="00F20A01" w:rsidRDefault="00F20A01" w:rsidP="00F20A01">
      <w:pPr>
        <w:spacing w:after="0"/>
      </w:pPr>
    </w:p>
    <w:p w:rsidR="00A972CE" w:rsidRPr="00E024D9" w:rsidRDefault="00A972CE" w:rsidP="00EC77BC">
      <w:pPr>
        <w:pStyle w:val="Heading2"/>
        <w:spacing w:before="0"/>
        <w:rPr>
          <w:rFonts w:cs="Times New Roman"/>
          <w:szCs w:val="24"/>
        </w:rPr>
      </w:pPr>
      <w:r w:rsidRPr="00E024D9">
        <w:rPr>
          <w:rFonts w:cs="Times New Roman"/>
          <w:szCs w:val="24"/>
        </w:rPr>
        <w:t xml:space="preserve">Purpose of Presentation: </w:t>
      </w:r>
    </w:p>
    <w:p w:rsidR="00A972CE" w:rsidRPr="00E024D9" w:rsidRDefault="00F20A01" w:rsidP="00EC77BC">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7853FB" w:rsidRPr="00E024D9">
            <w:rPr>
              <w:rStyle w:val="Style5"/>
              <w:rFonts w:ascii="Times New Roman" w:hAnsi="Times New Roman" w:cs="Times New Roman"/>
              <w:sz w:val="24"/>
              <w:szCs w:val="24"/>
            </w:rPr>
            <w:t>Action required by state or federal law or regulation.</w:t>
          </w:r>
        </w:sdtContent>
      </w:sdt>
    </w:p>
    <w:p w:rsidR="00A972CE" w:rsidRDefault="00A972CE" w:rsidP="00EC77BC">
      <w:pPr>
        <w:pStyle w:val="Heading2"/>
        <w:rPr>
          <w:rFonts w:cs="Times New Roman"/>
          <w:szCs w:val="24"/>
        </w:rPr>
      </w:pPr>
      <w:r w:rsidRPr="00E024D9">
        <w:rPr>
          <w:rFonts w:cs="Times New Roman"/>
          <w:szCs w:val="24"/>
        </w:rPr>
        <w:t xml:space="preserve">Executive Summary: </w:t>
      </w:r>
    </w:p>
    <w:p w:rsidR="00DC2AB6" w:rsidRDefault="00653598" w:rsidP="0077429C">
      <w:pPr>
        <w:rPr>
          <w:rFonts w:ascii="Times New Roman" w:hAnsi="Times New Roman" w:cs="Times New Roman"/>
          <w:sz w:val="24"/>
          <w:szCs w:val="24"/>
        </w:rPr>
      </w:pPr>
      <w:r>
        <w:rPr>
          <w:rFonts w:ascii="Times New Roman" w:hAnsi="Times New Roman" w:cs="Times New Roman"/>
          <w:sz w:val="24"/>
          <w:szCs w:val="24"/>
        </w:rPr>
        <w:t>Section</w:t>
      </w:r>
      <w:r w:rsidR="0077429C" w:rsidRPr="0013594E">
        <w:rPr>
          <w:rFonts w:ascii="Times New Roman" w:hAnsi="Times New Roman" w:cs="Times New Roman"/>
          <w:sz w:val="24"/>
          <w:szCs w:val="24"/>
        </w:rPr>
        <w:t xml:space="preserve"> </w:t>
      </w:r>
      <w:hyperlink r:id="rId11" w:history="1">
        <w:r w:rsidR="0077429C" w:rsidRPr="0013594E">
          <w:rPr>
            <w:rStyle w:val="Hyperlink"/>
            <w:rFonts w:ascii="Times New Roman" w:eastAsia="Calibri" w:hAnsi="Times New Roman" w:cs="Times New Roman"/>
            <w:sz w:val="24"/>
            <w:szCs w:val="24"/>
          </w:rPr>
          <w:t>22.1-298.1</w:t>
        </w:r>
      </w:hyperlink>
      <w:r>
        <w:rPr>
          <w:rStyle w:val="Hyperlink"/>
          <w:rFonts w:ascii="Times New Roman" w:eastAsia="Calibri" w:hAnsi="Times New Roman" w:cs="Times New Roman"/>
          <w:sz w:val="24"/>
          <w:szCs w:val="24"/>
          <w:u w:val="none"/>
        </w:rPr>
        <w:t xml:space="preserve"> </w:t>
      </w:r>
      <w:r>
        <w:rPr>
          <w:rStyle w:val="Hyperlink"/>
          <w:rFonts w:ascii="Times New Roman" w:eastAsia="Calibri" w:hAnsi="Times New Roman" w:cs="Times New Roman"/>
          <w:color w:val="auto"/>
          <w:sz w:val="24"/>
          <w:szCs w:val="24"/>
          <w:u w:val="none"/>
        </w:rPr>
        <w:t xml:space="preserve">of the </w:t>
      </w:r>
      <w:r w:rsidRPr="00653598">
        <w:rPr>
          <w:rStyle w:val="Hyperlink"/>
          <w:rFonts w:ascii="Times New Roman" w:eastAsia="Calibri" w:hAnsi="Times New Roman" w:cs="Times New Roman"/>
          <w:i/>
          <w:color w:val="auto"/>
          <w:sz w:val="24"/>
          <w:szCs w:val="24"/>
          <w:u w:val="none"/>
        </w:rPr>
        <w:t>Code of Virginia</w:t>
      </w:r>
      <w:r>
        <w:rPr>
          <w:rStyle w:val="Hyperlink"/>
          <w:rFonts w:ascii="Times New Roman" w:eastAsia="Calibri" w:hAnsi="Times New Roman" w:cs="Times New Roman"/>
          <w:color w:val="auto"/>
          <w:sz w:val="24"/>
          <w:szCs w:val="24"/>
          <w:u w:val="none"/>
        </w:rPr>
        <w:t xml:space="preserve"> states, in part, “The Board’s regulations shall require that initial licensure for principals and assistant principals </w:t>
      </w:r>
      <w:proofErr w:type="gramStart"/>
      <w:r>
        <w:rPr>
          <w:rStyle w:val="Hyperlink"/>
          <w:rFonts w:ascii="Times New Roman" w:eastAsia="Calibri" w:hAnsi="Times New Roman" w:cs="Times New Roman"/>
          <w:color w:val="auto"/>
          <w:sz w:val="24"/>
          <w:szCs w:val="24"/>
          <w:u w:val="none"/>
        </w:rPr>
        <w:t>be</w:t>
      </w:r>
      <w:proofErr w:type="gramEnd"/>
      <w:r>
        <w:rPr>
          <w:rStyle w:val="Hyperlink"/>
          <w:rFonts w:ascii="Times New Roman" w:eastAsia="Calibri" w:hAnsi="Times New Roman" w:cs="Times New Roman"/>
          <w:color w:val="auto"/>
          <w:sz w:val="24"/>
          <w:szCs w:val="24"/>
          <w:u w:val="none"/>
        </w:rPr>
        <w:t xml:space="preserve"> contingent upon passage of an assessment as prescribed by the Board of Education.” </w:t>
      </w:r>
      <w:r>
        <w:rPr>
          <w:rFonts w:ascii="Times New Roman" w:hAnsi="Times New Roman" w:cs="Times New Roman"/>
          <w:sz w:val="24"/>
          <w:szCs w:val="24"/>
        </w:rPr>
        <w:t xml:space="preserve"> The </w:t>
      </w:r>
      <w:r w:rsidRPr="00653598">
        <w:rPr>
          <w:rFonts w:ascii="Times New Roman" w:hAnsi="Times New Roman" w:cs="Times New Roman"/>
          <w:i/>
          <w:sz w:val="24"/>
          <w:szCs w:val="24"/>
        </w:rPr>
        <w:t>Licensure Regulations for School</w:t>
      </w:r>
      <w:r>
        <w:rPr>
          <w:rFonts w:ascii="Times New Roman" w:hAnsi="Times New Roman" w:cs="Times New Roman"/>
          <w:sz w:val="24"/>
          <w:szCs w:val="24"/>
        </w:rPr>
        <w:t xml:space="preserve"> reflect this requirement.  </w:t>
      </w:r>
      <w:r w:rsidR="00DC2AB6" w:rsidRPr="00DC2AB6">
        <w:rPr>
          <w:rFonts w:ascii="Times New Roman" w:hAnsi="Times New Roman" w:cs="Times New Roman"/>
          <w:sz w:val="24"/>
          <w:szCs w:val="24"/>
        </w:rPr>
        <w:t xml:space="preserve">Since July 1, 2005, the Board of Education’s prescribed assessment </w:t>
      </w:r>
      <w:r w:rsidR="0077429C">
        <w:rPr>
          <w:rFonts w:ascii="Times New Roman" w:hAnsi="Times New Roman" w:cs="Times New Roman"/>
          <w:sz w:val="24"/>
          <w:szCs w:val="24"/>
        </w:rPr>
        <w:t>for</w:t>
      </w:r>
      <w:r w:rsidR="0077429C" w:rsidRPr="0077429C">
        <w:t xml:space="preserve"> </w:t>
      </w:r>
      <w:r w:rsidR="0077429C" w:rsidRPr="0077429C">
        <w:rPr>
          <w:rFonts w:ascii="Times New Roman" w:hAnsi="Times New Roman" w:cs="Times New Roman"/>
          <w:sz w:val="24"/>
          <w:szCs w:val="24"/>
        </w:rPr>
        <w:t>individuals seeking an Administrat</w:t>
      </w:r>
      <w:r w:rsidR="0077429C">
        <w:rPr>
          <w:rFonts w:ascii="Times New Roman" w:hAnsi="Times New Roman" w:cs="Times New Roman"/>
          <w:sz w:val="24"/>
          <w:szCs w:val="24"/>
        </w:rPr>
        <w:t xml:space="preserve">ion and Supervision </w:t>
      </w:r>
      <w:r>
        <w:rPr>
          <w:rFonts w:ascii="Times New Roman" w:hAnsi="Times New Roman" w:cs="Times New Roman"/>
          <w:sz w:val="24"/>
          <w:szCs w:val="24"/>
        </w:rPr>
        <w:t xml:space="preserve">PreK-12 </w:t>
      </w:r>
      <w:r w:rsidR="0077429C">
        <w:rPr>
          <w:rFonts w:ascii="Times New Roman" w:hAnsi="Times New Roman" w:cs="Times New Roman"/>
          <w:sz w:val="24"/>
          <w:szCs w:val="24"/>
        </w:rPr>
        <w:t xml:space="preserve">endorsement </w:t>
      </w:r>
      <w:r w:rsidR="00DC2AB6" w:rsidRPr="00DC2AB6">
        <w:rPr>
          <w:rFonts w:ascii="Times New Roman" w:hAnsi="Times New Roman" w:cs="Times New Roman"/>
          <w:sz w:val="24"/>
          <w:szCs w:val="24"/>
        </w:rPr>
        <w:t xml:space="preserve">has been the </w:t>
      </w:r>
      <w:r w:rsidR="00A90629">
        <w:rPr>
          <w:rFonts w:ascii="Times New Roman" w:hAnsi="Times New Roman" w:cs="Times New Roman"/>
          <w:sz w:val="24"/>
          <w:szCs w:val="24"/>
        </w:rPr>
        <w:t>Praxis</w:t>
      </w:r>
      <w:r w:rsidR="00A90629">
        <w:rPr>
          <w:rFonts w:ascii="Open Sans" w:hAnsi="Open Sans"/>
          <w:color w:val="151515"/>
          <w:sz w:val="29"/>
          <w:szCs w:val="29"/>
          <w:vertAlign w:val="superscript"/>
          <w:lang w:val="en"/>
        </w:rPr>
        <w:t>®</w:t>
      </w:r>
      <w:r w:rsidR="00A90629">
        <w:rPr>
          <w:rFonts w:ascii="Open Sans" w:hAnsi="Open Sans"/>
          <w:color w:val="151515"/>
          <w:lang w:val="en"/>
        </w:rPr>
        <w:t xml:space="preserve"> </w:t>
      </w:r>
      <w:r w:rsidR="00DC2AB6" w:rsidRPr="00DC2AB6">
        <w:rPr>
          <w:rFonts w:ascii="Times New Roman" w:hAnsi="Times New Roman" w:cs="Times New Roman"/>
          <w:sz w:val="24"/>
          <w:szCs w:val="24"/>
        </w:rPr>
        <w:t>School Le</w:t>
      </w:r>
      <w:r w:rsidR="006E1CC2">
        <w:rPr>
          <w:rFonts w:ascii="Times New Roman" w:hAnsi="Times New Roman" w:cs="Times New Roman"/>
          <w:sz w:val="24"/>
          <w:szCs w:val="24"/>
        </w:rPr>
        <w:t xml:space="preserve">aders Licensure </w:t>
      </w:r>
      <w:r w:rsidR="006E1CC2" w:rsidRPr="006E1CC2">
        <w:rPr>
          <w:rFonts w:ascii="Times New Roman" w:hAnsi="Times New Roman" w:cs="Times New Roman"/>
          <w:sz w:val="24"/>
          <w:szCs w:val="24"/>
        </w:rPr>
        <w:t>Assessment (</w:t>
      </w:r>
      <w:r w:rsidR="006E1CC2" w:rsidRPr="006E1CC2">
        <w:rPr>
          <w:rFonts w:ascii="Times New Roman" w:hAnsi="Times New Roman" w:cs="Times New Roman"/>
          <w:bCs/>
          <w:sz w:val="24"/>
          <w:szCs w:val="24"/>
        </w:rPr>
        <w:t>6011</w:t>
      </w:r>
      <w:r w:rsidR="00DC2AB6" w:rsidRPr="006E1CC2">
        <w:rPr>
          <w:rFonts w:ascii="Times New Roman" w:hAnsi="Times New Roman" w:cs="Times New Roman"/>
          <w:sz w:val="24"/>
          <w:szCs w:val="24"/>
        </w:rPr>
        <w:t>)</w:t>
      </w:r>
      <w:r w:rsidR="006E1CC2">
        <w:rPr>
          <w:rFonts w:ascii="Times New Roman" w:hAnsi="Times New Roman" w:cs="Times New Roman"/>
          <w:sz w:val="24"/>
          <w:szCs w:val="24"/>
        </w:rPr>
        <w:t xml:space="preserve"> administered by the Educational Testing Service (ETS)</w:t>
      </w:r>
      <w:r w:rsidR="00DC2AB6" w:rsidRPr="006E1CC2">
        <w:rPr>
          <w:rFonts w:ascii="Times New Roman" w:hAnsi="Times New Roman" w:cs="Times New Roman"/>
          <w:sz w:val="24"/>
          <w:szCs w:val="24"/>
        </w:rPr>
        <w:t>.</w:t>
      </w:r>
    </w:p>
    <w:p w:rsidR="007C5F4E" w:rsidRPr="00DC2AB6" w:rsidRDefault="007C5F4E" w:rsidP="00DC2AB6">
      <w:pPr>
        <w:rPr>
          <w:rFonts w:ascii="Times New Roman" w:eastAsia="Calibri" w:hAnsi="Times New Roman"/>
          <w:bCs/>
          <w:sz w:val="24"/>
          <w:szCs w:val="24"/>
        </w:rPr>
      </w:pPr>
      <w:r w:rsidRPr="00DC2AB6">
        <w:rPr>
          <w:rFonts w:ascii="Times New Roman" w:eastAsia="Calibri" w:hAnsi="Times New Roman"/>
          <w:bCs/>
          <w:sz w:val="24"/>
          <w:szCs w:val="24"/>
        </w:rPr>
        <w:t>As part of the</w:t>
      </w:r>
      <w:r w:rsidR="006E1CC2">
        <w:rPr>
          <w:rFonts w:ascii="Times New Roman" w:eastAsia="Calibri" w:hAnsi="Times New Roman"/>
          <w:bCs/>
          <w:sz w:val="24"/>
          <w:szCs w:val="24"/>
        </w:rPr>
        <w:t xml:space="preserve"> test regeneration process, ETS</w:t>
      </w:r>
      <w:r w:rsidRPr="00DC2AB6">
        <w:rPr>
          <w:rFonts w:ascii="Times New Roman" w:eastAsia="Calibri" w:hAnsi="Times New Roman"/>
          <w:bCs/>
          <w:sz w:val="24"/>
          <w:szCs w:val="24"/>
        </w:rPr>
        <w:t xml:space="preserve"> has completed a major revision of the </w:t>
      </w:r>
      <w:r w:rsidR="006E1CC2">
        <w:rPr>
          <w:rFonts w:ascii="Times New Roman" w:eastAsia="Calibri" w:hAnsi="Times New Roman"/>
          <w:bCs/>
          <w:sz w:val="24"/>
          <w:szCs w:val="24"/>
        </w:rPr>
        <w:t>School Leaders Licensure Assessment (SLLA).  The assessment</w:t>
      </w:r>
      <w:r w:rsidRPr="00DC2AB6">
        <w:rPr>
          <w:rFonts w:ascii="Times New Roman" w:eastAsia="Calibri" w:hAnsi="Times New Roman"/>
          <w:bCs/>
          <w:sz w:val="24"/>
          <w:szCs w:val="24"/>
        </w:rPr>
        <w:t xml:space="preserve"> has been regenerated to reflect the 2015 Professional Standards for Educational Leaders (PSEL), developed by the National Policy Board for Educational Administration (NPBEA).  These standards were previously known as the Interstate School Leaders Licensure Consortium (ISLLC) Standards.  The changes to the assessment were significant and required completion of a standard-setting study.  </w:t>
      </w:r>
      <w:proofErr w:type="gramStart"/>
      <w:r w:rsidRPr="00DC2AB6">
        <w:rPr>
          <w:rFonts w:ascii="Times New Roman" w:eastAsia="Calibri" w:hAnsi="Times New Roman"/>
          <w:bCs/>
          <w:sz w:val="24"/>
          <w:szCs w:val="24"/>
        </w:rPr>
        <w:t>A pa</w:t>
      </w:r>
      <w:r w:rsidR="006E1CC2">
        <w:rPr>
          <w:rFonts w:ascii="Times New Roman" w:eastAsia="Calibri" w:hAnsi="Times New Roman"/>
          <w:bCs/>
          <w:sz w:val="24"/>
          <w:szCs w:val="24"/>
        </w:rPr>
        <w:t xml:space="preserve">ssing score for the revised </w:t>
      </w:r>
      <w:r w:rsidR="00A90629">
        <w:rPr>
          <w:rFonts w:ascii="Times New Roman" w:hAnsi="Times New Roman" w:cs="Times New Roman"/>
          <w:sz w:val="24"/>
          <w:szCs w:val="24"/>
        </w:rPr>
        <w:t>Praxis</w:t>
      </w:r>
      <w:r w:rsidR="00A90629">
        <w:rPr>
          <w:rFonts w:ascii="Open Sans" w:hAnsi="Open Sans"/>
          <w:color w:val="151515"/>
          <w:sz w:val="29"/>
          <w:szCs w:val="29"/>
          <w:vertAlign w:val="superscript"/>
          <w:lang w:val="en"/>
        </w:rPr>
        <w:t>®</w:t>
      </w:r>
      <w:r w:rsidR="00A90629">
        <w:rPr>
          <w:rFonts w:ascii="Open Sans" w:hAnsi="Open Sans"/>
          <w:color w:val="151515"/>
          <w:lang w:val="en"/>
        </w:rPr>
        <w:t xml:space="preserve"> </w:t>
      </w:r>
      <w:r w:rsidR="006E1CC2">
        <w:rPr>
          <w:rFonts w:ascii="Times New Roman" w:eastAsia="Calibri" w:hAnsi="Times New Roman"/>
          <w:bCs/>
          <w:sz w:val="24"/>
          <w:szCs w:val="24"/>
        </w:rPr>
        <w:t>School Leader Licensure Assessment (6990)</w:t>
      </w:r>
      <w:r w:rsidR="006E1CC2">
        <w:rPr>
          <w:rStyle w:val="FootnoteReference"/>
          <w:rFonts w:ascii="Times New Roman" w:eastAsia="Calibri" w:hAnsi="Times New Roman"/>
          <w:bCs/>
          <w:sz w:val="24"/>
          <w:szCs w:val="24"/>
        </w:rPr>
        <w:footnoteReference w:id="1"/>
      </w:r>
      <w:r w:rsidRPr="00DC2AB6">
        <w:rPr>
          <w:rFonts w:ascii="Times New Roman" w:eastAsia="Calibri" w:hAnsi="Times New Roman"/>
          <w:bCs/>
          <w:sz w:val="24"/>
          <w:szCs w:val="24"/>
        </w:rPr>
        <w:t xml:space="preserve"> needs to be established by the Board of Education.</w:t>
      </w:r>
      <w:proofErr w:type="gramEnd"/>
      <w:r w:rsidR="00F866D0">
        <w:rPr>
          <w:rFonts w:ascii="Times New Roman" w:eastAsia="Calibri" w:hAnsi="Times New Roman"/>
          <w:bCs/>
          <w:sz w:val="24"/>
          <w:szCs w:val="24"/>
        </w:rPr>
        <w:t xml:space="preserve">  This assessment will be available </w:t>
      </w:r>
      <w:r w:rsidR="00F866D0" w:rsidRPr="00ED5F39">
        <w:rPr>
          <w:rFonts w:ascii="Times New Roman" w:hAnsi="Times New Roman" w:cs="Times New Roman"/>
          <w:sz w:val="24"/>
          <w:szCs w:val="24"/>
        </w:rPr>
        <w:t>September 1, 2018</w:t>
      </w:r>
      <w:r w:rsidR="00F866D0">
        <w:rPr>
          <w:rFonts w:ascii="Times New Roman" w:hAnsi="Times New Roman" w:cs="Times New Roman"/>
          <w:sz w:val="24"/>
          <w:szCs w:val="24"/>
        </w:rPr>
        <w:t>.</w:t>
      </w:r>
    </w:p>
    <w:p w:rsidR="004C4B9D" w:rsidRPr="0068453E" w:rsidRDefault="004C4B9D" w:rsidP="004C4B9D">
      <w:pPr>
        <w:rPr>
          <w:rFonts w:ascii="Times New Roman" w:eastAsia="Calibri" w:hAnsi="Times New Roman"/>
          <w:bCs/>
          <w:sz w:val="24"/>
          <w:szCs w:val="24"/>
        </w:rPr>
      </w:pPr>
      <w:r w:rsidRPr="0068453E">
        <w:rPr>
          <w:rFonts w:ascii="Times New Roman" w:eastAsia="Calibri" w:hAnsi="Times New Roman"/>
          <w:bCs/>
          <w:sz w:val="24"/>
          <w:szCs w:val="24"/>
        </w:rPr>
        <w:lastRenderedPageBreak/>
        <w:t xml:space="preserve">A multistate standard-setting study </w:t>
      </w:r>
      <w:r w:rsidRPr="001B49B9">
        <w:rPr>
          <w:rFonts w:ascii="Times New Roman" w:eastAsia="Calibri" w:hAnsi="Times New Roman"/>
          <w:bCs/>
          <w:sz w:val="24"/>
          <w:szCs w:val="24"/>
        </w:rPr>
        <w:t xml:space="preserve">for the </w:t>
      </w:r>
      <w:r w:rsidRPr="00B369C2">
        <w:rPr>
          <w:rFonts w:ascii="Times New Roman" w:eastAsia="Calibri" w:hAnsi="Times New Roman"/>
          <w:bCs/>
          <w:sz w:val="24"/>
          <w:szCs w:val="24"/>
        </w:rPr>
        <w:t>School Leader Licensure Assessment</w:t>
      </w:r>
      <w:r w:rsidR="006E1CC2">
        <w:rPr>
          <w:rFonts w:ascii="Times New Roman" w:eastAsia="Calibri" w:hAnsi="Times New Roman"/>
          <w:bCs/>
          <w:sz w:val="24"/>
          <w:szCs w:val="24"/>
        </w:rPr>
        <w:t xml:space="preserve"> (6990)</w:t>
      </w:r>
      <w:r w:rsidRPr="00B369C2">
        <w:rPr>
          <w:rFonts w:ascii="Times New Roman" w:eastAsia="Calibri" w:hAnsi="Times New Roman"/>
          <w:bCs/>
          <w:sz w:val="24"/>
          <w:szCs w:val="24"/>
        </w:rPr>
        <w:t xml:space="preserve"> </w:t>
      </w:r>
      <w:r w:rsidRPr="0068453E">
        <w:rPr>
          <w:rFonts w:ascii="Times New Roman" w:eastAsia="Calibri" w:hAnsi="Times New Roman"/>
          <w:bCs/>
          <w:sz w:val="24"/>
          <w:szCs w:val="24"/>
        </w:rPr>
        <w:t xml:space="preserve">was conducted by ETS in </w:t>
      </w:r>
      <w:r>
        <w:rPr>
          <w:rFonts w:ascii="Times New Roman" w:eastAsia="Calibri" w:hAnsi="Times New Roman"/>
          <w:bCs/>
          <w:sz w:val="24"/>
          <w:szCs w:val="24"/>
        </w:rPr>
        <w:t>January 2018</w:t>
      </w:r>
      <w:r w:rsidRPr="0068453E">
        <w:rPr>
          <w:rFonts w:ascii="Times New Roman" w:eastAsia="Calibri" w:hAnsi="Times New Roman"/>
          <w:bCs/>
          <w:sz w:val="24"/>
          <w:szCs w:val="24"/>
        </w:rPr>
        <w:t xml:space="preserve">.  Participants from </w:t>
      </w:r>
      <w:r>
        <w:rPr>
          <w:rFonts w:ascii="Times New Roman" w:eastAsia="Calibri" w:hAnsi="Times New Roman"/>
          <w:bCs/>
          <w:sz w:val="24"/>
          <w:szCs w:val="24"/>
        </w:rPr>
        <w:t>20</w:t>
      </w:r>
      <w:r w:rsidRPr="0068453E">
        <w:rPr>
          <w:rFonts w:ascii="Times New Roman" w:eastAsia="Calibri" w:hAnsi="Times New Roman"/>
          <w:bCs/>
          <w:sz w:val="24"/>
          <w:szCs w:val="24"/>
        </w:rPr>
        <w:t xml:space="preserve"> states </w:t>
      </w:r>
      <w:r>
        <w:rPr>
          <w:rFonts w:ascii="Times New Roman" w:eastAsia="Calibri" w:hAnsi="Times New Roman"/>
          <w:bCs/>
          <w:sz w:val="24"/>
          <w:szCs w:val="24"/>
        </w:rPr>
        <w:t xml:space="preserve">and the District of Columbia </w:t>
      </w:r>
      <w:r w:rsidRPr="0068453E">
        <w:rPr>
          <w:rFonts w:ascii="Times New Roman" w:eastAsia="Calibri" w:hAnsi="Times New Roman"/>
          <w:bCs/>
          <w:sz w:val="24"/>
          <w:szCs w:val="24"/>
        </w:rPr>
        <w:t xml:space="preserve">served on the multistate study panel.  Virginia was represented by </w:t>
      </w:r>
      <w:r>
        <w:rPr>
          <w:rFonts w:ascii="Times New Roman" w:eastAsia="Calibri" w:hAnsi="Times New Roman"/>
          <w:bCs/>
          <w:sz w:val="24"/>
          <w:szCs w:val="24"/>
        </w:rPr>
        <w:t>two</w:t>
      </w:r>
      <w:r w:rsidRPr="0068453E">
        <w:rPr>
          <w:rFonts w:ascii="Times New Roman" w:eastAsia="Calibri" w:hAnsi="Times New Roman"/>
          <w:bCs/>
          <w:sz w:val="24"/>
          <w:szCs w:val="24"/>
        </w:rPr>
        <w:t xml:space="preserve"> </w:t>
      </w:r>
      <w:r>
        <w:rPr>
          <w:rFonts w:ascii="Times New Roman" w:eastAsia="Calibri" w:hAnsi="Times New Roman"/>
          <w:bCs/>
          <w:sz w:val="24"/>
          <w:szCs w:val="24"/>
        </w:rPr>
        <w:t>principals</w:t>
      </w:r>
      <w:r w:rsidRPr="0068453E">
        <w:rPr>
          <w:rFonts w:ascii="Times New Roman" w:eastAsia="Calibri" w:hAnsi="Times New Roman"/>
          <w:bCs/>
          <w:sz w:val="24"/>
          <w:szCs w:val="24"/>
        </w:rPr>
        <w:t xml:space="preserve"> nominated by Virginia school division</w:t>
      </w:r>
      <w:r>
        <w:rPr>
          <w:rFonts w:ascii="Times New Roman" w:eastAsia="Calibri" w:hAnsi="Times New Roman"/>
          <w:bCs/>
          <w:sz w:val="24"/>
          <w:szCs w:val="24"/>
        </w:rPr>
        <w:t>s</w:t>
      </w:r>
      <w:r w:rsidRPr="002350CF">
        <w:t xml:space="preserve"> </w:t>
      </w:r>
      <w:r w:rsidRPr="002350CF">
        <w:rPr>
          <w:rFonts w:ascii="Times New Roman" w:eastAsia="Calibri" w:hAnsi="Times New Roman"/>
          <w:bCs/>
          <w:sz w:val="24"/>
          <w:szCs w:val="24"/>
        </w:rPr>
        <w:t xml:space="preserve">and one </w:t>
      </w:r>
      <w:r>
        <w:rPr>
          <w:rFonts w:ascii="Times New Roman" w:eastAsia="Calibri" w:hAnsi="Times New Roman"/>
          <w:bCs/>
          <w:sz w:val="24"/>
          <w:szCs w:val="24"/>
        </w:rPr>
        <w:t>administration and supervision</w:t>
      </w:r>
      <w:r w:rsidRPr="002350CF">
        <w:rPr>
          <w:rFonts w:ascii="Times New Roman" w:eastAsia="Calibri" w:hAnsi="Times New Roman"/>
          <w:bCs/>
          <w:sz w:val="24"/>
          <w:szCs w:val="24"/>
        </w:rPr>
        <w:t xml:space="preserve"> </w:t>
      </w:r>
      <w:r>
        <w:rPr>
          <w:rFonts w:ascii="Times New Roman" w:eastAsia="Calibri" w:hAnsi="Times New Roman"/>
          <w:bCs/>
          <w:sz w:val="24"/>
          <w:szCs w:val="24"/>
        </w:rPr>
        <w:t>faculty member nominated by a Virginia institution of higher e</w:t>
      </w:r>
      <w:r w:rsidRPr="002350CF">
        <w:rPr>
          <w:rFonts w:ascii="Times New Roman" w:eastAsia="Calibri" w:hAnsi="Times New Roman"/>
          <w:bCs/>
          <w:sz w:val="24"/>
          <w:szCs w:val="24"/>
        </w:rPr>
        <w:t>ducation</w:t>
      </w:r>
      <w:r w:rsidRPr="0068453E">
        <w:rPr>
          <w:rFonts w:ascii="Times New Roman" w:eastAsia="Calibri" w:hAnsi="Times New Roman"/>
          <w:bCs/>
          <w:sz w:val="24"/>
          <w:szCs w:val="24"/>
        </w:rPr>
        <w:t xml:space="preserve">.  A detailed summary of the study, </w:t>
      </w:r>
      <w:r w:rsidRPr="0068453E">
        <w:rPr>
          <w:rFonts w:ascii="Times New Roman" w:eastAsia="Calibri" w:hAnsi="Times New Roman"/>
          <w:bCs/>
          <w:i/>
          <w:sz w:val="24"/>
          <w:szCs w:val="24"/>
        </w:rPr>
        <w:t xml:space="preserve">Multistate Standard-Setting Technical Report – </w:t>
      </w:r>
      <w:r w:rsidRPr="002350CF">
        <w:rPr>
          <w:rFonts w:ascii="Times New Roman" w:eastAsia="Calibri" w:hAnsi="Times New Roman"/>
          <w:bCs/>
          <w:i/>
          <w:sz w:val="24"/>
          <w:szCs w:val="24"/>
        </w:rPr>
        <w:t>SLLA (6990)</w:t>
      </w:r>
      <w:r w:rsidRPr="00CA38C5">
        <w:rPr>
          <w:rFonts w:ascii="Times New Roman" w:eastAsia="Calibri" w:hAnsi="Times New Roman"/>
          <w:bCs/>
          <w:i/>
          <w:sz w:val="24"/>
          <w:szCs w:val="24"/>
        </w:rPr>
        <w:t xml:space="preserve"> </w:t>
      </w:r>
      <w:r w:rsidRPr="0068453E">
        <w:rPr>
          <w:rFonts w:ascii="Times New Roman" w:eastAsia="Calibri" w:hAnsi="Times New Roman"/>
          <w:bCs/>
          <w:sz w:val="24"/>
          <w:szCs w:val="24"/>
        </w:rPr>
        <w:t xml:space="preserve">is attached (Attachment 1) and includes participants, methodology, and recommendations.  The purposes of the study were to: </w:t>
      </w:r>
      <w:r w:rsidR="006E1CC2">
        <w:rPr>
          <w:rFonts w:ascii="Times New Roman" w:eastAsia="Calibri" w:hAnsi="Times New Roman"/>
          <w:bCs/>
          <w:sz w:val="24"/>
          <w:szCs w:val="24"/>
        </w:rPr>
        <w:t xml:space="preserve"> </w:t>
      </w:r>
      <w:r w:rsidRPr="0068453E">
        <w:rPr>
          <w:rFonts w:ascii="Times New Roman" w:eastAsia="Calibri" w:hAnsi="Times New Roman"/>
          <w:bCs/>
          <w:sz w:val="24"/>
          <w:szCs w:val="24"/>
        </w:rPr>
        <w:t>(a) recommend the minimum passing score for the</w:t>
      </w:r>
      <w:r w:rsidRPr="0068453E">
        <w:rPr>
          <w:rFonts w:ascii="Times New Roman" w:eastAsia="Calibri" w:hAnsi="Times New Roman"/>
          <w:sz w:val="24"/>
          <w:szCs w:val="24"/>
        </w:rPr>
        <w:t xml:space="preserve"> </w:t>
      </w:r>
      <w:r w:rsidRPr="002350CF">
        <w:rPr>
          <w:rFonts w:ascii="Times New Roman" w:eastAsia="Calibri" w:hAnsi="Times New Roman"/>
          <w:bCs/>
          <w:sz w:val="24"/>
          <w:szCs w:val="24"/>
        </w:rPr>
        <w:t xml:space="preserve">SLLA (6990) </w:t>
      </w:r>
      <w:r w:rsidRPr="0068453E">
        <w:rPr>
          <w:rFonts w:ascii="Times New Roman" w:eastAsia="Calibri" w:hAnsi="Times New Roman"/>
          <w:bCs/>
          <w:sz w:val="24"/>
          <w:szCs w:val="24"/>
        </w:rPr>
        <w:t xml:space="preserve">and (b) </w:t>
      </w:r>
      <w:r>
        <w:rPr>
          <w:rFonts w:ascii="Times New Roman" w:eastAsia="Calibri" w:hAnsi="Times New Roman"/>
          <w:bCs/>
          <w:sz w:val="24"/>
          <w:szCs w:val="24"/>
        </w:rPr>
        <w:t>provide a</w:t>
      </w:r>
      <w:r w:rsidRPr="002350CF">
        <w:rPr>
          <w:rFonts w:ascii="Times New Roman" w:eastAsia="Calibri" w:hAnsi="Times New Roman"/>
          <w:bCs/>
          <w:sz w:val="24"/>
          <w:szCs w:val="24"/>
        </w:rPr>
        <w:t xml:space="preserve"> test </w:t>
      </w:r>
      <w:r>
        <w:rPr>
          <w:rFonts w:ascii="Times New Roman" w:eastAsia="Calibri" w:hAnsi="Times New Roman"/>
          <w:bCs/>
          <w:sz w:val="24"/>
          <w:szCs w:val="24"/>
        </w:rPr>
        <w:t xml:space="preserve">that </w:t>
      </w:r>
      <w:r w:rsidRPr="002350CF">
        <w:rPr>
          <w:rFonts w:ascii="Times New Roman" w:eastAsia="Calibri" w:hAnsi="Times New Roman"/>
          <w:bCs/>
          <w:sz w:val="24"/>
          <w:szCs w:val="24"/>
        </w:rPr>
        <w:t>measures the</w:t>
      </w:r>
      <w:r>
        <w:rPr>
          <w:rFonts w:ascii="Times New Roman" w:eastAsia="Calibri" w:hAnsi="Times New Roman"/>
          <w:bCs/>
          <w:sz w:val="24"/>
          <w:szCs w:val="24"/>
        </w:rPr>
        <w:t xml:space="preserve"> </w:t>
      </w:r>
      <w:r w:rsidRPr="002350CF">
        <w:rPr>
          <w:rFonts w:ascii="Times New Roman" w:eastAsia="Calibri" w:hAnsi="Times New Roman"/>
          <w:bCs/>
          <w:sz w:val="24"/>
          <w:szCs w:val="24"/>
        </w:rPr>
        <w:t>extent to which entry-level school leaders demonstrate the standards-relevant knowledge and skills</w:t>
      </w:r>
      <w:r>
        <w:rPr>
          <w:rFonts w:ascii="Times New Roman" w:eastAsia="Calibri" w:hAnsi="Times New Roman"/>
          <w:bCs/>
          <w:sz w:val="24"/>
          <w:szCs w:val="24"/>
        </w:rPr>
        <w:t xml:space="preserve"> </w:t>
      </w:r>
      <w:r w:rsidRPr="002350CF">
        <w:rPr>
          <w:rFonts w:ascii="Times New Roman" w:eastAsia="Calibri" w:hAnsi="Times New Roman"/>
          <w:bCs/>
          <w:sz w:val="24"/>
          <w:szCs w:val="24"/>
        </w:rPr>
        <w:t xml:space="preserve">necessary for competent professional practice. </w:t>
      </w:r>
    </w:p>
    <w:p w:rsidR="004C4B9D" w:rsidRDefault="004C4B9D" w:rsidP="008253EC">
      <w:pPr>
        <w:spacing w:after="0"/>
        <w:rPr>
          <w:rFonts w:ascii="Times New Roman" w:eastAsia="Calibri" w:hAnsi="Times New Roman"/>
          <w:bCs/>
          <w:sz w:val="24"/>
          <w:szCs w:val="24"/>
        </w:rPr>
      </w:pPr>
      <w:r w:rsidRPr="0068453E">
        <w:rPr>
          <w:rFonts w:ascii="Times New Roman" w:eastAsia="Calibri" w:hAnsi="Times New Roman"/>
          <w:bCs/>
          <w:sz w:val="24"/>
          <w:szCs w:val="24"/>
        </w:rPr>
        <w:t xml:space="preserve">The Praxis </w:t>
      </w:r>
      <w:r w:rsidRPr="0068453E">
        <w:rPr>
          <w:rFonts w:ascii="Times New Roman" w:eastAsia="Calibri" w:hAnsi="Times New Roman"/>
          <w:bCs/>
          <w:i/>
          <w:sz w:val="24"/>
          <w:szCs w:val="24"/>
        </w:rPr>
        <w:t xml:space="preserve">Test at a Glance </w:t>
      </w:r>
      <w:r w:rsidRPr="0068453E">
        <w:rPr>
          <w:rFonts w:ascii="Times New Roman" w:eastAsia="Calibri" w:hAnsi="Times New Roman"/>
          <w:bCs/>
          <w:sz w:val="24"/>
          <w:szCs w:val="24"/>
        </w:rPr>
        <w:t xml:space="preserve">document (Attachment 2) describes the purpose and structure of the assessment.  The Praxis </w:t>
      </w:r>
      <w:r w:rsidRPr="00AC5532">
        <w:rPr>
          <w:rFonts w:ascii="Times New Roman" w:eastAsia="Calibri" w:hAnsi="Times New Roman"/>
          <w:bCs/>
          <w:sz w:val="24"/>
          <w:szCs w:val="24"/>
        </w:rPr>
        <w:t xml:space="preserve">SLLA (6990) </w:t>
      </w:r>
      <w:r>
        <w:rPr>
          <w:rFonts w:ascii="Times New Roman" w:eastAsia="Calibri" w:hAnsi="Times New Roman"/>
          <w:bCs/>
          <w:sz w:val="24"/>
          <w:szCs w:val="24"/>
        </w:rPr>
        <w:t xml:space="preserve">is a four-hour assessment and </w:t>
      </w:r>
      <w:r w:rsidRPr="0068453E">
        <w:rPr>
          <w:rFonts w:ascii="Times New Roman" w:eastAsia="Calibri" w:hAnsi="Times New Roman"/>
          <w:bCs/>
          <w:sz w:val="24"/>
          <w:szCs w:val="24"/>
        </w:rPr>
        <w:t xml:space="preserve">contains </w:t>
      </w:r>
      <w:r>
        <w:rPr>
          <w:rFonts w:ascii="Times New Roman" w:eastAsia="Calibri" w:hAnsi="Times New Roman"/>
          <w:bCs/>
          <w:sz w:val="24"/>
          <w:szCs w:val="24"/>
        </w:rPr>
        <w:t>120</w:t>
      </w:r>
      <w:r w:rsidR="00C779D3">
        <w:rPr>
          <w:rFonts w:ascii="Times New Roman" w:eastAsia="Calibri" w:hAnsi="Times New Roman"/>
          <w:bCs/>
          <w:sz w:val="24"/>
          <w:szCs w:val="24"/>
        </w:rPr>
        <w:t xml:space="preserve"> </w:t>
      </w:r>
      <w:r w:rsidR="00C17761">
        <w:rPr>
          <w:rFonts w:ascii="Times New Roman" w:eastAsia="Calibri" w:hAnsi="Times New Roman"/>
          <w:bCs/>
          <w:sz w:val="24"/>
          <w:szCs w:val="24"/>
        </w:rPr>
        <w:t>selected </w:t>
      </w:r>
      <w:r>
        <w:rPr>
          <w:rFonts w:ascii="Times New Roman" w:eastAsia="Calibri" w:hAnsi="Times New Roman"/>
          <w:bCs/>
          <w:sz w:val="24"/>
          <w:szCs w:val="24"/>
        </w:rPr>
        <w:t xml:space="preserve">response </w:t>
      </w:r>
      <w:r w:rsidRPr="0068453E">
        <w:rPr>
          <w:rFonts w:ascii="Times New Roman" w:eastAsia="Calibri" w:hAnsi="Times New Roman"/>
          <w:bCs/>
          <w:sz w:val="24"/>
          <w:szCs w:val="24"/>
        </w:rPr>
        <w:t xml:space="preserve">items </w:t>
      </w:r>
      <w:r>
        <w:rPr>
          <w:rFonts w:ascii="Times New Roman" w:eastAsia="Calibri" w:hAnsi="Times New Roman"/>
          <w:bCs/>
          <w:sz w:val="24"/>
          <w:szCs w:val="24"/>
        </w:rPr>
        <w:t xml:space="preserve">and four constructive-response items </w:t>
      </w:r>
      <w:r w:rsidRPr="00AC5532">
        <w:rPr>
          <w:rFonts w:ascii="Times New Roman" w:eastAsia="Calibri" w:hAnsi="Times New Roman"/>
          <w:bCs/>
          <w:sz w:val="24"/>
          <w:szCs w:val="24"/>
        </w:rPr>
        <w:t xml:space="preserve">covering seven content areas: </w:t>
      </w:r>
    </w:p>
    <w:p w:rsidR="008253EC" w:rsidRDefault="008253EC" w:rsidP="008253EC">
      <w:pPr>
        <w:spacing w:after="0"/>
        <w:rPr>
          <w:rFonts w:ascii="Times New Roman" w:eastAsia="Calibri" w:hAnsi="Times New Roman"/>
          <w:bCs/>
          <w:sz w:val="24"/>
          <w:szCs w:val="24"/>
        </w:rPr>
      </w:pPr>
    </w:p>
    <w:p w:rsidR="004C4B9D" w:rsidRDefault="004C4B9D" w:rsidP="004C4B9D">
      <w:pPr>
        <w:numPr>
          <w:ilvl w:val="0"/>
          <w:numId w:val="4"/>
        </w:numPr>
        <w:spacing w:after="0" w:line="240" w:lineRule="auto"/>
        <w:rPr>
          <w:rFonts w:ascii="Times New Roman" w:eastAsia="Calibri" w:hAnsi="Times New Roman"/>
          <w:bCs/>
          <w:sz w:val="24"/>
          <w:szCs w:val="24"/>
        </w:rPr>
      </w:pPr>
      <w:r w:rsidRPr="00AC5532">
        <w:rPr>
          <w:rFonts w:ascii="Times New Roman" w:eastAsia="Calibri" w:hAnsi="Times New Roman"/>
          <w:bCs/>
          <w:sz w:val="24"/>
          <w:szCs w:val="24"/>
        </w:rPr>
        <w:t>Strategic Leadership (approximate</w:t>
      </w:r>
      <w:r>
        <w:rPr>
          <w:rFonts w:ascii="Times New Roman" w:eastAsia="Calibri" w:hAnsi="Times New Roman"/>
          <w:bCs/>
          <w:sz w:val="24"/>
          <w:szCs w:val="24"/>
        </w:rPr>
        <w:t xml:space="preserve">ly 20 selected-response items); </w:t>
      </w:r>
    </w:p>
    <w:p w:rsidR="004C4B9D" w:rsidRDefault="004C4B9D" w:rsidP="004C4B9D">
      <w:pPr>
        <w:numPr>
          <w:ilvl w:val="0"/>
          <w:numId w:val="4"/>
        </w:numPr>
        <w:spacing w:after="0" w:line="240" w:lineRule="auto"/>
        <w:rPr>
          <w:rFonts w:ascii="Times New Roman" w:eastAsia="Calibri" w:hAnsi="Times New Roman"/>
          <w:bCs/>
          <w:sz w:val="24"/>
          <w:szCs w:val="24"/>
        </w:rPr>
      </w:pPr>
      <w:r w:rsidRPr="00AC5532">
        <w:rPr>
          <w:rFonts w:ascii="Times New Roman" w:eastAsia="Calibri" w:hAnsi="Times New Roman"/>
          <w:bCs/>
          <w:sz w:val="24"/>
          <w:szCs w:val="24"/>
        </w:rPr>
        <w:t>Instructional Leadership (approximat</w:t>
      </w:r>
      <w:r>
        <w:rPr>
          <w:rFonts w:ascii="Times New Roman" w:eastAsia="Calibri" w:hAnsi="Times New Roman"/>
          <w:bCs/>
          <w:sz w:val="24"/>
          <w:szCs w:val="24"/>
        </w:rPr>
        <w:t>ely 27 selected-response items);</w:t>
      </w:r>
      <w:r w:rsidRPr="00AC5532">
        <w:rPr>
          <w:rFonts w:ascii="Times New Roman" w:eastAsia="Calibri" w:hAnsi="Times New Roman"/>
          <w:bCs/>
          <w:sz w:val="24"/>
          <w:szCs w:val="24"/>
        </w:rPr>
        <w:t xml:space="preserve"> </w:t>
      </w:r>
    </w:p>
    <w:p w:rsidR="004C4B9D" w:rsidRDefault="004C4B9D" w:rsidP="004C4B9D">
      <w:pPr>
        <w:numPr>
          <w:ilvl w:val="0"/>
          <w:numId w:val="4"/>
        </w:numPr>
        <w:spacing w:after="0" w:line="240" w:lineRule="auto"/>
        <w:rPr>
          <w:rFonts w:ascii="Times New Roman" w:eastAsia="Calibri" w:hAnsi="Times New Roman"/>
          <w:bCs/>
          <w:sz w:val="24"/>
          <w:szCs w:val="24"/>
        </w:rPr>
      </w:pPr>
      <w:r w:rsidRPr="00AC5532">
        <w:rPr>
          <w:rFonts w:ascii="Times New Roman" w:eastAsia="Calibri" w:hAnsi="Times New Roman"/>
          <w:bCs/>
          <w:sz w:val="24"/>
          <w:szCs w:val="24"/>
        </w:rPr>
        <w:t>Climate and Cultural Leadership</w:t>
      </w:r>
      <w:r>
        <w:rPr>
          <w:rFonts w:ascii="Times New Roman" w:eastAsia="Calibri" w:hAnsi="Times New Roman"/>
          <w:bCs/>
          <w:sz w:val="24"/>
          <w:szCs w:val="24"/>
        </w:rPr>
        <w:t xml:space="preserve"> </w:t>
      </w:r>
      <w:r w:rsidRPr="00AC5532">
        <w:rPr>
          <w:rFonts w:ascii="Times New Roman" w:eastAsia="Calibri" w:hAnsi="Times New Roman"/>
          <w:bCs/>
          <w:sz w:val="24"/>
          <w:szCs w:val="24"/>
        </w:rPr>
        <w:t>(approximat</w:t>
      </w:r>
      <w:r>
        <w:rPr>
          <w:rFonts w:ascii="Times New Roman" w:eastAsia="Calibri" w:hAnsi="Times New Roman"/>
          <w:bCs/>
          <w:sz w:val="24"/>
          <w:szCs w:val="24"/>
        </w:rPr>
        <w:t>ely 22 selected-response items);</w:t>
      </w:r>
      <w:r w:rsidRPr="00AC5532">
        <w:rPr>
          <w:rFonts w:ascii="Times New Roman" w:eastAsia="Calibri" w:hAnsi="Times New Roman"/>
          <w:bCs/>
          <w:sz w:val="24"/>
          <w:szCs w:val="24"/>
        </w:rPr>
        <w:t xml:space="preserve"> </w:t>
      </w:r>
    </w:p>
    <w:p w:rsidR="004C4B9D" w:rsidRDefault="004C4B9D" w:rsidP="004C4B9D">
      <w:pPr>
        <w:numPr>
          <w:ilvl w:val="0"/>
          <w:numId w:val="4"/>
        </w:numPr>
        <w:spacing w:after="0" w:line="240" w:lineRule="auto"/>
        <w:rPr>
          <w:rFonts w:ascii="Times New Roman" w:eastAsia="Calibri" w:hAnsi="Times New Roman"/>
          <w:bCs/>
          <w:sz w:val="24"/>
          <w:szCs w:val="24"/>
        </w:rPr>
      </w:pPr>
      <w:r w:rsidRPr="00AC5532">
        <w:rPr>
          <w:rFonts w:ascii="Times New Roman" w:eastAsia="Calibri" w:hAnsi="Times New Roman"/>
          <w:bCs/>
          <w:sz w:val="24"/>
          <w:szCs w:val="24"/>
        </w:rPr>
        <w:t>Ethical Leadership (approximately 19 selected-response</w:t>
      </w:r>
      <w:r>
        <w:rPr>
          <w:rFonts w:ascii="Times New Roman" w:eastAsia="Calibri" w:hAnsi="Times New Roman"/>
          <w:bCs/>
          <w:sz w:val="24"/>
          <w:szCs w:val="24"/>
        </w:rPr>
        <w:t xml:space="preserve"> items);</w:t>
      </w:r>
      <w:r w:rsidRPr="00AC5532">
        <w:rPr>
          <w:rFonts w:ascii="Times New Roman" w:eastAsia="Calibri" w:hAnsi="Times New Roman"/>
          <w:bCs/>
          <w:sz w:val="24"/>
          <w:szCs w:val="24"/>
        </w:rPr>
        <w:t xml:space="preserve"> </w:t>
      </w:r>
    </w:p>
    <w:p w:rsidR="004C4B9D" w:rsidRDefault="004C4B9D" w:rsidP="004C4B9D">
      <w:pPr>
        <w:numPr>
          <w:ilvl w:val="0"/>
          <w:numId w:val="4"/>
        </w:numPr>
        <w:spacing w:after="0" w:line="240" w:lineRule="auto"/>
        <w:rPr>
          <w:rFonts w:ascii="Times New Roman" w:eastAsia="Calibri" w:hAnsi="Times New Roman"/>
          <w:bCs/>
          <w:sz w:val="24"/>
          <w:szCs w:val="24"/>
        </w:rPr>
      </w:pPr>
      <w:r w:rsidRPr="00AC5532">
        <w:rPr>
          <w:rFonts w:ascii="Times New Roman" w:eastAsia="Calibri" w:hAnsi="Times New Roman"/>
          <w:bCs/>
          <w:sz w:val="24"/>
          <w:szCs w:val="24"/>
        </w:rPr>
        <w:t>Organizational Leadership (approximat</w:t>
      </w:r>
      <w:r>
        <w:rPr>
          <w:rFonts w:ascii="Times New Roman" w:eastAsia="Calibri" w:hAnsi="Times New Roman"/>
          <w:bCs/>
          <w:sz w:val="24"/>
          <w:szCs w:val="24"/>
        </w:rPr>
        <w:t>ely 16 selected-response items);</w:t>
      </w:r>
      <w:r w:rsidRPr="00AC5532">
        <w:rPr>
          <w:rFonts w:ascii="Times New Roman" w:eastAsia="Calibri" w:hAnsi="Times New Roman"/>
          <w:bCs/>
          <w:sz w:val="24"/>
          <w:szCs w:val="24"/>
        </w:rPr>
        <w:t xml:space="preserve"> </w:t>
      </w:r>
    </w:p>
    <w:p w:rsidR="004C4B9D" w:rsidRDefault="004C4B9D" w:rsidP="004C4B9D">
      <w:pPr>
        <w:numPr>
          <w:ilvl w:val="0"/>
          <w:numId w:val="4"/>
        </w:numPr>
        <w:spacing w:after="0" w:line="240" w:lineRule="auto"/>
        <w:rPr>
          <w:rFonts w:ascii="Times New Roman" w:eastAsia="Calibri" w:hAnsi="Times New Roman"/>
          <w:bCs/>
          <w:sz w:val="24"/>
          <w:szCs w:val="24"/>
        </w:rPr>
      </w:pPr>
      <w:r w:rsidRPr="00AC5532">
        <w:rPr>
          <w:rFonts w:ascii="Times New Roman" w:eastAsia="Calibri" w:hAnsi="Times New Roman"/>
          <w:bCs/>
          <w:sz w:val="24"/>
          <w:szCs w:val="24"/>
        </w:rPr>
        <w:t>Community Engagement</w:t>
      </w:r>
      <w:r>
        <w:rPr>
          <w:rFonts w:ascii="Times New Roman" w:eastAsia="Calibri" w:hAnsi="Times New Roman"/>
          <w:bCs/>
          <w:sz w:val="24"/>
          <w:szCs w:val="24"/>
        </w:rPr>
        <w:t xml:space="preserve"> </w:t>
      </w:r>
      <w:r w:rsidRPr="00AC5532">
        <w:rPr>
          <w:rFonts w:ascii="Times New Roman" w:eastAsia="Calibri" w:hAnsi="Times New Roman"/>
          <w:bCs/>
          <w:sz w:val="24"/>
          <w:szCs w:val="24"/>
        </w:rPr>
        <w:t>Leadership (approximately 16 selected-response items)</w:t>
      </w:r>
      <w:r>
        <w:rPr>
          <w:rFonts w:ascii="Times New Roman" w:eastAsia="Calibri" w:hAnsi="Times New Roman"/>
          <w:bCs/>
          <w:sz w:val="24"/>
          <w:szCs w:val="24"/>
        </w:rPr>
        <w:t xml:space="preserve">; </w:t>
      </w:r>
      <w:r w:rsidRPr="00AC5532">
        <w:rPr>
          <w:rFonts w:ascii="Times New Roman" w:eastAsia="Calibri" w:hAnsi="Times New Roman"/>
          <w:bCs/>
          <w:sz w:val="24"/>
          <w:szCs w:val="24"/>
        </w:rPr>
        <w:t xml:space="preserve">and </w:t>
      </w:r>
    </w:p>
    <w:p w:rsidR="004C4B9D" w:rsidRDefault="004C4B9D" w:rsidP="004C4B9D">
      <w:pPr>
        <w:numPr>
          <w:ilvl w:val="0"/>
          <w:numId w:val="4"/>
        </w:numPr>
        <w:spacing w:after="0" w:line="240" w:lineRule="auto"/>
        <w:rPr>
          <w:rFonts w:ascii="Times New Roman" w:eastAsia="Calibri" w:hAnsi="Times New Roman"/>
          <w:bCs/>
          <w:sz w:val="24"/>
          <w:szCs w:val="24"/>
        </w:rPr>
      </w:pPr>
      <w:r w:rsidRPr="00AC5532">
        <w:rPr>
          <w:rFonts w:ascii="Times New Roman" w:eastAsia="Calibri" w:hAnsi="Times New Roman"/>
          <w:bCs/>
          <w:sz w:val="24"/>
          <w:szCs w:val="24"/>
        </w:rPr>
        <w:t>Analysis (4 constructed-response items).</w:t>
      </w:r>
      <w:r w:rsidRPr="0068453E">
        <w:rPr>
          <w:rFonts w:ascii="Times New Roman" w:eastAsia="Calibri" w:hAnsi="Times New Roman"/>
          <w:bCs/>
          <w:sz w:val="24"/>
          <w:szCs w:val="24"/>
        </w:rPr>
        <w:t xml:space="preserve"> </w:t>
      </w:r>
    </w:p>
    <w:p w:rsidR="004C4B9D" w:rsidRDefault="004C4B9D" w:rsidP="004C4B9D">
      <w:pPr>
        <w:spacing w:after="0"/>
        <w:rPr>
          <w:rFonts w:ascii="Times New Roman" w:eastAsia="Calibri" w:hAnsi="Times New Roman"/>
          <w:bCs/>
          <w:sz w:val="24"/>
          <w:szCs w:val="24"/>
        </w:rPr>
      </w:pPr>
    </w:p>
    <w:p w:rsidR="00A90629" w:rsidRDefault="004C4B9D" w:rsidP="004C4B9D">
      <w:pPr>
        <w:spacing w:after="0"/>
        <w:rPr>
          <w:rFonts w:ascii="Times New Roman" w:eastAsia="Calibri" w:hAnsi="Times New Roman"/>
          <w:bCs/>
          <w:sz w:val="24"/>
          <w:szCs w:val="24"/>
        </w:rPr>
      </w:pPr>
      <w:proofErr w:type="gramStart"/>
      <w:r w:rsidRPr="0068453E">
        <w:rPr>
          <w:rFonts w:ascii="Times New Roman" w:eastAsia="Calibri" w:hAnsi="Times New Roman"/>
          <w:bCs/>
          <w:sz w:val="24"/>
          <w:szCs w:val="24"/>
        </w:rPr>
        <w:t xml:space="preserve">The reporting scale for the </w:t>
      </w:r>
      <w:r w:rsidRPr="00B735D3">
        <w:rPr>
          <w:rFonts w:ascii="Times New Roman" w:eastAsia="Calibri" w:hAnsi="Times New Roman"/>
          <w:bCs/>
          <w:sz w:val="24"/>
          <w:szCs w:val="24"/>
        </w:rPr>
        <w:t xml:space="preserve">SLLA (6990) </w:t>
      </w:r>
      <w:r w:rsidRPr="0068453E">
        <w:rPr>
          <w:rFonts w:ascii="Times New Roman" w:eastAsia="Calibri" w:hAnsi="Times New Roman"/>
          <w:bCs/>
          <w:sz w:val="24"/>
          <w:szCs w:val="24"/>
        </w:rPr>
        <w:t>ranges from 100 to 200 scal</w:t>
      </w:r>
      <w:r>
        <w:rPr>
          <w:rFonts w:ascii="Times New Roman" w:eastAsia="Calibri" w:hAnsi="Times New Roman"/>
          <w:bCs/>
          <w:sz w:val="24"/>
          <w:szCs w:val="24"/>
        </w:rPr>
        <w:t>e</w:t>
      </w:r>
      <w:r w:rsidRPr="0068453E">
        <w:rPr>
          <w:rFonts w:ascii="Times New Roman" w:eastAsia="Calibri" w:hAnsi="Times New Roman"/>
          <w:bCs/>
          <w:sz w:val="24"/>
          <w:szCs w:val="24"/>
        </w:rPr>
        <w:t>-score points.</w:t>
      </w:r>
      <w:proofErr w:type="gramEnd"/>
      <w:r>
        <w:rPr>
          <w:rFonts w:ascii="Times New Roman" w:eastAsia="Calibri" w:hAnsi="Times New Roman"/>
          <w:bCs/>
          <w:sz w:val="24"/>
          <w:szCs w:val="24"/>
        </w:rPr>
        <w:t xml:space="preserve">  </w:t>
      </w:r>
    </w:p>
    <w:p w:rsidR="004C4B9D" w:rsidRDefault="004C4B9D" w:rsidP="004C4B9D">
      <w:pPr>
        <w:spacing w:after="0"/>
        <w:rPr>
          <w:rFonts w:ascii="Times New Roman" w:eastAsia="Calibri" w:hAnsi="Times New Roman"/>
          <w:bCs/>
          <w:sz w:val="24"/>
          <w:szCs w:val="24"/>
        </w:rPr>
      </w:pPr>
      <w:r w:rsidRPr="0068453E">
        <w:rPr>
          <w:rFonts w:ascii="Times New Roman" w:eastAsia="Calibri" w:hAnsi="Times New Roman"/>
          <w:bCs/>
          <w:sz w:val="24"/>
          <w:szCs w:val="24"/>
        </w:rPr>
        <w:t xml:space="preserve">Attachment 2: </w:t>
      </w:r>
      <w:r w:rsidRPr="0068453E">
        <w:rPr>
          <w:rFonts w:ascii="Times New Roman" w:eastAsia="Calibri" w:hAnsi="Times New Roman"/>
          <w:bCs/>
          <w:i/>
          <w:sz w:val="24"/>
          <w:szCs w:val="24"/>
        </w:rPr>
        <w:t xml:space="preserve">Test at a Glance </w:t>
      </w:r>
      <w:r w:rsidRPr="0068453E">
        <w:rPr>
          <w:rFonts w:ascii="Times New Roman" w:eastAsia="Calibri" w:hAnsi="Times New Roman"/>
          <w:bCs/>
          <w:sz w:val="24"/>
          <w:szCs w:val="24"/>
        </w:rPr>
        <w:t>provides representative descriptions of topics covered in each category.</w:t>
      </w:r>
    </w:p>
    <w:p w:rsidR="004C4B9D" w:rsidRDefault="004C4B9D" w:rsidP="00FD16B7">
      <w:pPr>
        <w:pStyle w:val="Heading3"/>
        <w:jc w:val="center"/>
        <w:rPr>
          <w:rFonts w:eastAsia="Calibri"/>
        </w:rPr>
      </w:pPr>
      <w:r w:rsidRPr="0068453E">
        <w:rPr>
          <w:rFonts w:eastAsia="Calibri"/>
        </w:rPr>
        <w:t>Multistate Standard-Setting Study</w:t>
      </w:r>
    </w:p>
    <w:p w:rsidR="00566D52" w:rsidRPr="0068453E" w:rsidRDefault="00566D52" w:rsidP="00682A92">
      <w:pPr>
        <w:spacing w:after="0"/>
        <w:jc w:val="center"/>
        <w:rPr>
          <w:rFonts w:ascii="Times New Roman" w:eastAsia="Calibri" w:hAnsi="Times New Roman"/>
          <w:b/>
          <w:bCs/>
          <w:sz w:val="24"/>
          <w:szCs w:val="24"/>
          <w:u w:val="single"/>
        </w:rPr>
      </w:pPr>
    </w:p>
    <w:p w:rsidR="004C4B9D" w:rsidRPr="00B735D3" w:rsidRDefault="004C4B9D" w:rsidP="004C4B9D">
      <w:pPr>
        <w:rPr>
          <w:rFonts w:ascii="Times New Roman" w:eastAsia="Calibri" w:hAnsi="Times New Roman"/>
          <w:bCs/>
          <w:sz w:val="24"/>
          <w:szCs w:val="24"/>
        </w:rPr>
      </w:pPr>
      <w:r w:rsidRPr="0068453E">
        <w:rPr>
          <w:rFonts w:ascii="Times New Roman" w:eastAsia="Calibri" w:hAnsi="Times New Roman"/>
          <w:bCs/>
          <w:sz w:val="24"/>
          <w:szCs w:val="24"/>
        </w:rPr>
        <w:t>The multistate standard-setting study</w:t>
      </w:r>
      <w:r>
        <w:rPr>
          <w:rFonts w:ascii="Times New Roman" w:eastAsia="Calibri" w:hAnsi="Times New Roman"/>
          <w:bCs/>
          <w:sz w:val="24"/>
          <w:szCs w:val="24"/>
        </w:rPr>
        <w:t xml:space="preserve"> for the SLLA (6990)</w:t>
      </w:r>
      <w:r w:rsidRPr="0068453E">
        <w:rPr>
          <w:rFonts w:ascii="Times New Roman" w:eastAsia="Calibri" w:hAnsi="Times New Roman"/>
          <w:bCs/>
          <w:sz w:val="24"/>
          <w:szCs w:val="24"/>
        </w:rPr>
        <w:t xml:space="preserve"> is detailed in Attachment 1.  The multistate panel </w:t>
      </w:r>
      <w:r>
        <w:rPr>
          <w:rFonts w:ascii="Times New Roman" w:eastAsia="Calibri" w:hAnsi="Times New Roman"/>
          <w:bCs/>
          <w:sz w:val="24"/>
          <w:szCs w:val="24"/>
        </w:rPr>
        <w:t>the recommended passing score</w:t>
      </w:r>
      <w:r w:rsidRPr="00B735D3">
        <w:rPr>
          <w:rFonts w:ascii="Times New Roman" w:eastAsia="Calibri" w:hAnsi="Times New Roman"/>
          <w:bCs/>
          <w:sz w:val="24"/>
          <w:szCs w:val="24"/>
        </w:rPr>
        <w:t xml:space="preserve"> is 77 out of </w:t>
      </w:r>
      <w:r>
        <w:rPr>
          <w:rFonts w:ascii="Times New Roman" w:eastAsia="Calibri" w:hAnsi="Times New Roman"/>
          <w:bCs/>
          <w:sz w:val="24"/>
          <w:szCs w:val="24"/>
        </w:rPr>
        <w:t>a possible 133 raw-score points</w:t>
      </w:r>
      <w:r w:rsidRPr="0068453E">
        <w:rPr>
          <w:rFonts w:ascii="Times New Roman" w:eastAsia="Calibri" w:hAnsi="Times New Roman"/>
          <w:bCs/>
          <w:sz w:val="24"/>
          <w:szCs w:val="24"/>
        </w:rPr>
        <w:t xml:space="preserve">. </w:t>
      </w:r>
      <w:r>
        <w:rPr>
          <w:rFonts w:ascii="Times New Roman" w:eastAsia="Calibri" w:hAnsi="Times New Roman"/>
          <w:bCs/>
          <w:sz w:val="24"/>
          <w:szCs w:val="24"/>
        </w:rPr>
        <w:t xml:space="preserve"> </w:t>
      </w:r>
      <w:r w:rsidRPr="00B735D3">
        <w:rPr>
          <w:rFonts w:ascii="Times New Roman" w:eastAsia="Calibri" w:hAnsi="Times New Roman"/>
          <w:bCs/>
          <w:sz w:val="24"/>
          <w:szCs w:val="24"/>
        </w:rPr>
        <w:t>The scale score associated with a raw score of</w:t>
      </w:r>
      <w:r>
        <w:rPr>
          <w:rFonts w:ascii="Times New Roman" w:eastAsia="Calibri" w:hAnsi="Times New Roman"/>
          <w:bCs/>
          <w:sz w:val="24"/>
          <w:szCs w:val="24"/>
        </w:rPr>
        <w:t xml:space="preserve"> </w:t>
      </w:r>
      <w:r w:rsidRPr="00B735D3">
        <w:rPr>
          <w:rFonts w:ascii="Times New Roman" w:eastAsia="Calibri" w:hAnsi="Times New Roman"/>
          <w:bCs/>
          <w:sz w:val="24"/>
          <w:szCs w:val="24"/>
        </w:rPr>
        <w:t>77 is 151 on a 100–200 scale.</w:t>
      </w:r>
    </w:p>
    <w:p w:rsidR="004C4B9D" w:rsidRPr="0068453E" w:rsidRDefault="004C4B9D" w:rsidP="004C4B9D">
      <w:pPr>
        <w:rPr>
          <w:rFonts w:ascii="Times New Roman" w:eastAsia="Calibri" w:hAnsi="Times New Roman"/>
          <w:bCs/>
          <w:sz w:val="24"/>
          <w:szCs w:val="24"/>
        </w:rPr>
      </w:pPr>
      <w:r w:rsidRPr="0068453E">
        <w:rPr>
          <w:rFonts w:ascii="Times New Roman" w:eastAsia="Calibri" w:hAnsi="Times New Roman"/>
          <w:bCs/>
          <w:sz w:val="24"/>
          <w:szCs w:val="24"/>
        </w:rPr>
        <w:t>The multistate standard-setting study provides the estimated Conditional Standard Error of Measurement (CSEM).  The CSEM is a statistical phenomenon and is unrelated to the accuracy of scoring.  All test results are subject to the standard error of measurement.  If a test taker were to take the same test repeatedly, with no change in the test takers level of knowledge and preparation, it is possible that some of the resulting scores would be slightly higher or slightly lower than the scores that precisely reflect the test taker’s actual level of knowledge or ability.  The difference between a test taker’s actual score and their highest or lowest hypothetical score is known as the standard error of measurement.</w:t>
      </w:r>
    </w:p>
    <w:p w:rsidR="004C4B9D" w:rsidRPr="0068453E" w:rsidRDefault="004C4B9D" w:rsidP="004C4B9D">
      <w:pPr>
        <w:rPr>
          <w:rFonts w:ascii="Times New Roman" w:eastAsia="Calibri" w:hAnsi="Times New Roman"/>
          <w:bCs/>
          <w:sz w:val="24"/>
          <w:szCs w:val="24"/>
        </w:rPr>
      </w:pPr>
      <w:r w:rsidRPr="0068453E">
        <w:rPr>
          <w:rFonts w:ascii="Times New Roman" w:eastAsia="Calibri" w:hAnsi="Times New Roman"/>
          <w:bCs/>
          <w:sz w:val="24"/>
          <w:szCs w:val="24"/>
        </w:rPr>
        <w:lastRenderedPageBreak/>
        <w:t xml:space="preserve">The CSEM for the recommended passing scores for multistate standard-setting study are shown below.  Note that consistent with the recommended passing score, the passing scores at the different CSEM have been rounded to the next highest number, and the rounded values are converted to scaled scores.  </w:t>
      </w:r>
    </w:p>
    <w:p w:rsidR="005D6EDE" w:rsidRPr="00566D52" w:rsidRDefault="005D6EDE" w:rsidP="00566D52">
      <w:pPr>
        <w:pStyle w:val="Heading3"/>
        <w:spacing w:before="0" w:line="240" w:lineRule="auto"/>
        <w:jc w:val="center"/>
        <w:rPr>
          <w:rFonts w:eastAsia="Calibri"/>
          <w:u w:val="single"/>
        </w:rPr>
      </w:pPr>
      <w:r w:rsidRPr="00566D52">
        <w:rPr>
          <w:rFonts w:eastAsia="Calibri"/>
          <w:u w:val="single"/>
        </w:rPr>
        <w:t>Conditional Standard Error of Measurement Summaries</w:t>
      </w:r>
    </w:p>
    <w:p w:rsidR="004C4B9D" w:rsidRPr="00566D52" w:rsidRDefault="004C4B9D" w:rsidP="00566D52">
      <w:pPr>
        <w:pStyle w:val="Heading3"/>
        <w:spacing w:before="0" w:line="240" w:lineRule="auto"/>
        <w:jc w:val="center"/>
        <w:rPr>
          <w:rFonts w:eastAsia="Calibri"/>
          <w:i/>
          <w:u w:val="single"/>
        </w:rPr>
      </w:pPr>
      <w:r w:rsidRPr="00566D52">
        <w:rPr>
          <w:rFonts w:eastAsia="Calibri"/>
          <w:u w:val="single"/>
        </w:rPr>
        <w:t>SLLA (6990)</w:t>
      </w:r>
    </w:p>
    <w:p w:rsidR="00DC2AB6" w:rsidRDefault="00DC2AB6" w:rsidP="00EC77BC">
      <w:pPr>
        <w:pStyle w:val="BodyText"/>
        <w:spacing w:line="360" w:lineRule="auto"/>
        <w:jc w:val="left"/>
        <w:rPr>
          <w:b w:val="0"/>
          <w:bCs/>
          <w:i w:val="0"/>
          <w:iCs/>
          <w:sz w:val="24"/>
          <w:szCs w:val="24"/>
        </w:rPr>
      </w:pPr>
    </w:p>
    <w:p w:rsidR="005D6EDE" w:rsidRDefault="005D6EDE" w:rsidP="00EC77BC">
      <w:pPr>
        <w:pStyle w:val="BodyText"/>
        <w:spacing w:line="360" w:lineRule="auto"/>
        <w:jc w:val="left"/>
        <w:rPr>
          <w:b w:val="0"/>
          <w:bCs/>
          <w:iCs/>
          <w:sz w:val="24"/>
          <w:szCs w:val="24"/>
        </w:rPr>
      </w:pPr>
      <w:r w:rsidRPr="0068453E">
        <w:rPr>
          <w:b w:val="0"/>
          <w:bCs/>
          <w:iCs/>
          <w:sz w:val="24"/>
          <w:szCs w:val="24"/>
        </w:rPr>
        <w:t>Passing Scores Within 1 and 2 CSEM of the Recommended Passing Score – Multistate Panel</w:t>
      </w:r>
    </w:p>
    <w:tbl>
      <w:tblPr>
        <w:tblStyle w:val="TableGrid"/>
        <w:tblW w:w="0" w:type="auto"/>
        <w:tblInd w:w="918" w:type="dxa"/>
        <w:tblLook w:val="04A0" w:firstRow="1" w:lastRow="0" w:firstColumn="1" w:lastColumn="0" w:noHBand="0" w:noVBand="1"/>
        <w:tblCaption w:val="Title_Passing_Scores_Within_1_and_2_CSEM"/>
      </w:tblPr>
      <w:tblGrid>
        <w:gridCol w:w="2430"/>
        <w:gridCol w:w="2430"/>
        <w:gridCol w:w="2430"/>
      </w:tblGrid>
      <w:tr w:rsidR="007926DB" w:rsidTr="00F866D0">
        <w:trPr>
          <w:cantSplit/>
          <w:tblHeader/>
        </w:trPr>
        <w:tc>
          <w:tcPr>
            <w:tcW w:w="2430" w:type="dxa"/>
          </w:tcPr>
          <w:p w:rsidR="007926DB" w:rsidRPr="007926DB" w:rsidRDefault="007926DB" w:rsidP="007926DB">
            <w:pPr>
              <w:pStyle w:val="BodyText"/>
              <w:jc w:val="left"/>
              <w:rPr>
                <w:bCs/>
                <w:i w:val="0"/>
                <w:iCs/>
                <w:sz w:val="24"/>
                <w:szCs w:val="24"/>
              </w:rPr>
            </w:pPr>
          </w:p>
        </w:tc>
        <w:tc>
          <w:tcPr>
            <w:tcW w:w="2430" w:type="dxa"/>
            <w:vAlign w:val="center"/>
          </w:tcPr>
          <w:p w:rsidR="007926DB" w:rsidRPr="00FD16B7" w:rsidRDefault="007926DB" w:rsidP="00566D52">
            <w:pPr>
              <w:pStyle w:val="Heading3"/>
              <w:jc w:val="center"/>
              <w:outlineLvl w:val="2"/>
              <w:rPr>
                <w:szCs w:val="24"/>
              </w:rPr>
            </w:pPr>
            <w:r w:rsidRPr="00FD16B7">
              <w:rPr>
                <w:szCs w:val="24"/>
              </w:rPr>
              <w:t>Raw Score</w:t>
            </w:r>
          </w:p>
        </w:tc>
        <w:tc>
          <w:tcPr>
            <w:tcW w:w="2430" w:type="dxa"/>
            <w:vAlign w:val="center"/>
          </w:tcPr>
          <w:p w:rsidR="007926DB" w:rsidRPr="00FD16B7" w:rsidRDefault="00F866D0" w:rsidP="00566D52">
            <w:pPr>
              <w:pStyle w:val="Heading3"/>
              <w:jc w:val="center"/>
              <w:outlineLvl w:val="2"/>
              <w:rPr>
                <w:szCs w:val="24"/>
              </w:rPr>
            </w:pPr>
            <w:r w:rsidRPr="00FD16B7">
              <w:rPr>
                <w:szCs w:val="24"/>
              </w:rPr>
              <w:t>Scale S</w:t>
            </w:r>
            <w:r w:rsidR="007926DB" w:rsidRPr="00FD16B7">
              <w:rPr>
                <w:szCs w:val="24"/>
              </w:rPr>
              <w:t xml:space="preserve">core </w:t>
            </w:r>
            <w:r w:rsidRPr="00FD16B7">
              <w:rPr>
                <w:szCs w:val="24"/>
              </w:rPr>
              <w:t>E</w:t>
            </w:r>
            <w:r w:rsidR="007926DB" w:rsidRPr="00FD16B7">
              <w:rPr>
                <w:szCs w:val="24"/>
              </w:rPr>
              <w:t>quivalent</w:t>
            </w:r>
          </w:p>
          <w:p w:rsidR="00566D52" w:rsidRPr="00FD16B7" w:rsidRDefault="00566D52" w:rsidP="00566D52">
            <w:pPr>
              <w:rPr>
                <w:sz w:val="24"/>
                <w:szCs w:val="24"/>
              </w:rPr>
            </w:pPr>
          </w:p>
        </w:tc>
      </w:tr>
      <w:tr w:rsidR="007926DB" w:rsidTr="00F866D0">
        <w:trPr>
          <w:cantSplit/>
        </w:trPr>
        <w:tc>
          <w:tcPr>
            <w:tcW w:w="2430" w:type="dxa"/>
            <w:vAlign w:val="center"/>
          </w:tcPr>
          <w:p w:rsidR="007926DB" w:rsidRPr="007926DB" w:rsidRDefault="007926DB" w:rsidP="00F866D0">
            <w:pPr>
              <w:pStyle w:val="BodyText"/>
              <w:rPr>
                <w:b w:val="0"/>
                <w:bCs/>
                <w:iCs/>
                <w:sz w:val="24"/>
                <w:szCs w:val="24"/>
              </w:rPr>
            </w:pPr>
            <w:r w:rsidRPr="007926DB">
              <w:rPr>
                <w:b w:val="0"/>
                <w:bCs/>
                <w:iCs/>
                <w:sz w:val="24"/>
                <w:szCs w:val="24"/>
              </w:rPr>
              <w:t>Recommended passing score (CSEM)</w:t>
            </w:r>
          </w:p>
        </w:tc>
        <w:tc>
          <w:tcPr>
            <w:tcW w:w="2430" w:type="dxa"/>
            <w:vAlign w:val="center"/>
          </w:tcPr>
          <w:p w:rsidR="007926DB" w:rsidRPr="007926DB" w:rsidRDefault="009E63A1" w:rsidP="00F866D0">
            <w:pPr>
              <w:pStyle w:val="BodyText"/>
              <w:rPr>
                <w:b w:val="0"/>
                <w:bCs/>
                <w:iCs/>
                <w:sz w:val="24"/>
                <w:szCs w:val="24"/>
              </w:rPr>
            </w:pPr>
            <w:r>
              <w:rPr>
                <w:b w:val="0"/>
                <w:bCs/>
                <w:iCs/>
                <w:sz w:val="24"/>
                <w:szCs w:val="24"/>
              </w:rPr>
              <w:t>77 (5.54</w:t>
            </w:r>
            <w:r w:rsidR="007926DB" w:rsidRPr="007926DB">
              <w:rPr>
                <w:b w:val="0"/>
                <w:bCs/>
                <w:iCs/>
                <w:sz w:val="24"/>
                <w:szCs w:val="24"/>
              </w:rPr>
              <w:t>)</w:t>
            </w:r>
          </w:p>
        </w:tc>
        <w:tc>
          <w:tcPr>
            <w:tcW w:w="2430" w:type="dxa"/>
            <w:vAlign w:val="center"/>
          </w:tcPr>
          <w:p w:rsidR="007926DB" w:rsidRPr="007926DB" w:rsidRDefault="009E63A1" w:rsidP="00F866D0">
            <w:pPr>
              <w:pStyle w:val="BodyText"/>
              <w:rPr>
                <w:b w:val="0"/>
                <w:bCs/>
                <w:iCs/>
                <w:sz w:val="24"/>
                <w:szCs w:val="24"/>
              </w:rPr>
            </w:pPr>
            <w:r>
              <w:rPr>
                <w:b w:val="0"/>
                <w:bCs/>
                <w:iCs/>
                <w:sz w:val="24"/>
                <w:szCs w:val="24"/>
              </w:rPr>
              <w:t>151</w:t>
            </w:r>
          </w:p>
        </w:tc>
      </w:tr>
      <w:tr w:rsidR="007926DB" w:rsidTr="00F866D0">
        <w:trPr>
          <w:cantSplit/>
        </w:trPr>
        <w:tc>
          <w:tcPr>
            <w:tcW w:w="2430" w:type="dxa"/>
            <w:vAlign w:val="center"/>
          </w:tcPr>
          <w:p w:rsidR="007926DB" w:rsidRPr="00A27840" w:rsidRDefault="007926DB" w:rsidP="00F866D0">
            <w:pPr>
              <w:pStyle w:val="BodyText"/>
              <w:rPr>
                <w:b w:val="0"/>
                <w:bCs/>
                <w:i w:val="0"/>
                <w:iCs/>
                <w:sz w:val="24"/>
                <w:szCs w:val="24"/>
              </w:rPr>
            </w:pPr>
            <w:r w:rsidRPr="00A27840">
              <w:rPr>
                <w:b w:val="0"/>
                <w:bCs/>
                <w:i w:val="0"/>
                <w:iCs/>
                <w:sz w:val="24"/>
                <w:szCs w:val="24"/>
              </w:rPr>
              <w:t>- 2 CSEM</w:t>
            </w:r>
          </w:p>
        </w:tc>
        <w:tc>
          <w:tcPr>
            <w:tcW w:w="2430" w:type="dxa"/>
            <w:vAlign w:val="center"/>
          </w:tcPr>
          <w:p w:rsidR="007926DB" w:rsidRPr="00A27840" w:rsidRDefault="004C4B9D" w:rsidP="00F866D0">
            <w:pPr>
              <w:pStyle w:val="BodyText"/>
              <w:rPr>
                <w:b w:val="0"/>
                <w:bCs/>
                <w:i w:val="0"/>
                <w:iCs/>
                <w:sz w:val="24"/>
                <w:szCs w:val="24"/>
              </w:rPr>
            </w:pPr>
            <w:r>
              <w:rPr>
                <w:b w:val="0"/>
                <w:bCs/>
                <w:i w:val="0"/>
                <w:iCs/>
                <w:sz w:val="24"/>
                <w:szCs w:val="24"/>
              </w:rPr>
              <w:t>66</w:t>
            </w:r>
          </w:p>
        </w:tc>
        <w:tc>
          <w:tcPr>
            <w:tcW w:w="2430" w:type="dxa"/>
            <w:vAlign w:val="center"/>
          </w:tcPr>
          <w:p w:rsidR="007926DB" w:rsidRPr="00A27840" w:rsidRDefault="007926DB" w:rsidP="00F866D0">
            <w:pPr>
              <w:pStyle w:val="BodyText"/>
              <w:rPr>
                <w:b w:val="0"/>
                <w:bCs/>
                <w:i w:val="0"/>
                <w:iCs/>
                <w:sz w:val="24"/>
                <w:szCs w:val="24"/>
              </w:rPr>
            </w:pPr>
            <w:r w:rsidRPr="00A27840">
              <w:rPr>
                <w:b w:val="0"/>
                <w:bCs/>
                <w:i w:val="0"/>
                <w:iCs/>
                <w:sz w:val="24"/>
                <w:szCs w:val="24"/>
              </w:rPr>
              <w:t>1</w:t>
            </w:r>
            <w:r w:rsidR="009E63A1">
              <w:rPr>
                <w:b w:val="0"/>
                <w:bCs/>
                <w:i w:val="0"/>
                <w:iCs/>
                <w:sz w:val="24"/>
                <w:szCs w:val="24"/>
              </w:rPr>
              <w:t>40</w:t>
            </w:r>
          </w:p>
        </w:tc>
      </w:tr>
      <w:tr w:rsidR="007926DB" w:rsidTr="00F866D0">
        <w:trPr>
          <w:cantSplit/>
        </w:trPr>
        <w:tc>
          <w:tcPr>
            <w:tcW w:w="2430" w:type="dxa"/>
            <w:vAlign w:val="center"/>
          </w:tcPr>
          <w:p w:rsidR="007926DB" w:rsidRPr="00A27840" w:rsidRDefault="007926DB" w:rsidP="00F866D0">
            <w:pPr>
              <w:pStyle w:val="BodyText"/>
              <w:rPr>
                <w:b w:val="0"/>
                <w:bCs/>
                <w:i w:val="0"/>
                <w:iCs/>
                <w:sz w:val="24"/>
                <w:szCs w:val="24"/>
              </w:rPr>
            </w:pPr>
            <w:r w:rsidRPr="00A27840">
              <w:rPr>
                <w:b w:val="0"/>
                <w:bCs/>
                <w:i w:val="0"/>
                <w:iCs/>
                <w:sz w:val="24"/>
                <w:szCs w:val="24"/>
              </w:rPr>
              <w:t>- 1 CSEM</w:t>
            </w:r>
          </w:p>
        </w:tc>
        <w:tc>
          <w:tcPr>
            <w:tcW w:w="2430" w:type="dxa"/>
            <w:vAlign w:val="center"/>
          </w:tcPr>
          <w:p w:rsidR="007926DB" w:rsidRPr="00A27840" w:rsidRDefault="004C4B9D" w:rsidP="00F866D0">
            <w:pPr>
              <w:pStyle w:val="BodyText"/>
              <w:rPr>
                <w:b w:val="0"/>
                <w:bCs/>
                <w:i w:val="0"/>
                <w:iCs/>
                <w:sz w:val="24"/>
                <w:szCs w:val="24"/>
              </w:rPr>
            </w:pPr>
            <w:r>
              <w:rPr>
                <w:b w:val="0"/>
                <w:bCs/>
                <w:i w:val="0"/>
                <w:iCs/>
                <w:sz w:val="24"/>
                <w:szCs w:val="24"/>
              </w:rPr>
              <w:t>72</w:t>
            </w:r>
          </w:p>
        </w:tc>
        <w:tc>
          <w:tcPr>
            <w:tcW w:w="2430" w:type="dxa"/>
            <w:vAlign w:val="center"/>
          </w:tcPr>
          <w:p w:rsidR="007926DB" w:rsidRPr="00A27840" w:rsidRDefault="009E63A1" w:rsidP="00F866D0">
            <w:pPr>
              <w:pStyle w:val="BodyText"/>
              <w:rPr>
                <w:b w:val="0"/>
                <w:bCs/>
                <w:i w:val="0"/>
                <w:iCs/>
                <w:sz w:val="24"/>
                <w:szCs w:val="24"/>
              </w:rPr>
            </w:pPr>
            <w:r>
              <w:rPr>
                <w:b w:val="0"/>
                <w:bCs/>
                <w:i w:val="0"/>
                <w:iCs/>
                <w:sz w:val="24"/>
                <w:szCs w:val="24"/>
              </w:rPr>
              <w:t>146</w:t>
            </w:r>
          </w:p>
        </w:tc>
      </w:tr>
      <w:tr w:rsidR="007926DB" w:rsidTr="00F866D0">
        <w:trPr>
          <w:cantSplit/>
        </w:trPr>
        <w:tc>
          <w:tcPr>
            <w:tcW w:w="2430" w:type="dxa"/>
            <w:vAlign w:val="center"/>
          </w:tcPr>
          <w:p w:rsidR="007926DB" w:rsidRPr="00A27840" w:rsidRDefault="007926DB" w:rsidP="00F866D0">
            <w:pPr>
              <w:pStyle w:val="BodyText"/>
              <w:rPr>
                <w:b w:val="0"/>
                <w:bCs/>
                <w:i w:val="0"/>
                <w:iCs/>
                <w:sz w:val="24"/>
                <w:szCs w:val="24"/>
              </w:rPr>
            </w:pPr>
            <w:r w:rsidRPr="00A27840">
              <w:rPr>
                <w:b w:val="0"/>
                <w:bCs/>
                <w:i w:val="0"/>
                <w:iCs/>
                <w:sz w:val="24"/>
                <w:szCs w:val="24"/>
              </w:rPr>
              <w:t>+1 CSEM</w:t>
            </w:r>
          </w:p>
        </w:tc>
        <w:tc>
          <w:tcPr>
            <w:tcW w:w="2430" w:type="dxa"/>
            <w:vAlign w:val="center"/>
          </w:tcPr>
          <w:p w:rsidR="007926DB" w:rsidRPr="00A27840" w:rsidRDefault="004C4B9D" w:rsidP="00F866D0">
            <w:pPr>
              <w:pStyle w:val="BodyText"/>
              <w:rPr>
                <w:b w:val="0"/>
                <w:bCs/>
                <w:i w:val="0"/>
                <w:iCs/>
                <w:sz w:val="24"/>
                <w:szCs w:val="24"/>
              </w:rPr>
            </w:pPr>
            <w:r>
              <w:rPr>
                <w:b w:val="0"/>
                <w:bCs/>
                <w:i w:val="0"/>
                <w:iCs/>
                <w:sz w:val="24"/>
                <w:szCs w:val="24"/>
              </w:rPr>
              <w:t>83</w:t>
            </w:r>
          </w:p>
        </w:tc>
        <w:tc>
          <w:tcPr>
            <w:tcW w:w="2430" w:type="dxa"/>
            <w:vAlign w:val="center"/>
          </w:tcPr>
          <w:p w:rsidR="007926DB" w:rsidRPr="00A27840" w:rsidRDefault="009E63A1" w:rsidP="00F866D0">
            <w:pPr>
              <w:pStyle w:val="BodyText"/>
              <w:rPr>
                <w:b w:val="0"/>
                <w:bCs/>
                <w:i w:val="0"/>
                <w:iCs/>
                <w:sz w:val="24"/>
                <w:szCs w:val="24"/>
              </w:rPr>
            </w:pPr>
            <w:r>
              <w:rPr>
                <w:b w:val="0"/>
                <w:bCs/>
                <w:i w:val="0"/>
                <w:iCs/>
                <w:sz w:val="24"/>
                <w:szCs w:val="24"/>
              </w:rPr>
              <w:t>157</w:t>
            </w:r>
          </w:p>
        </w:tc>
      </w:tr>
      <w:tr w:rsidR="007926DB" w:rsidTr="00F866D0">
        <w:trPr>
          <w:cantSplit/>
        </w:trPr>
        <w:tc>
          <w:tcPr>
            <w:tcW w:w="2430" w:type="dxa"/>
            <w:vAlign w:val="center"/>
          </w:tcPr>
          <w:p w:rsidR="007926DB" w:rsidRPr="00A27840" w:rsidRDefault="007926DB" w:rsidP="00F866D0">
            <w:pPr>
              <w:pStyle w:val="BodyText"/>
              <w:rPr>
                <w:b w:val="0"/>
                <w:bCs/>
                <w:i w:val="0"/>
                <w:iCs/>
                <w:sz w:val="24"/>
                <w:szCs w:val="24"/>
              </w:rPr>
            </w:pPr>
            <w:r w:rsidRPr="00A27840">
              <w:rPr>
                <w:b w:val="0"/>
                <w:bCs/>
                <w:i w:val="0"/>
                <w:iCs/>
                <w:sz w:val="24"/>
                <w:szCs w:val="24"/>
              </w:rPr>
              <w:t>+2 CSEM</w:t>
            </w:r>
          </w:p>
        </w:tc>
        <w:tc>
          <w:tcPr>
            <w:tcW w:w="2430" w:type="dxa"/>
            <w:vAlign w:val="center"/>
          </w:tcPr>
          <w:p w:rsidR="007926DB" w:rsidRPr="00A27840" w:rsidRDefault="009E63A1" w:rsidP="00F866D0">
            <w:pPr>
              <w:pStyle w:val="BodyText"/>
              <w:rPr>
                <w:b w:val="0"/>
                <w:bCs/>
                <w:i w:val="0"/>
                <w:iCs/>
                <w:sz w:val="24"/>
                <w:szCs w:val="24"/>
              </w:rPr>
            </w:pPr>
            <w:r>
              <w:rPr>
                <w:b w:val="0"/>
                <w:bCs/>
                <w:i w:val="0"/>
                <w:iCs/>
                <w:sz w:val="24"/>
                <w:szCs w:val="24"/>
              </w:rPr>
              <w:t>89</w:t>
            </w:r>
          </w:p>
        </w:tc>
        <w:tc>
          <w:tcPr>
            <w:tcW w:w="2430" w:type="dxa"/>
            <w:vAlign w:val="center"/>
          </w:tcPr>
          <w:p w:rsidR="007926DB" w:rsidRPr="00A27840" w:rsidRDefault="009E63A1" w:rsidP="00F866D0">
            <w:pPr>
              <w:pStyle w:val="BodyText"/>
              <w:rPr>
                <w:b w:val="0"/>
                <w:bCs/>
                <w:i w:val="0"/>
                <w:iCs/>
                <w:sz w:val="24"/>
                <w:szCs w:val="24"/>
              </w:rPr>
            </w:pPr>
            <w:r>
              <w:rPr>
                <w:b w:val="0"/>
                <w:bCs/>
                <w:i w:val="0"/>
                <w:iCs/>
                <w:sz w:val="24"/>
                <w:szCs w:val="24"/>
              </w:rPr>
              <w:t>163</w:t>
            </w:r>
          </w:p>
        </w:tc>
      </w:tr>
    </w:tbl>
    <w:p w:rsidR="00ED6527" w:rsidRPr="00ED5F39" w:rsidRDefault="00F20A01" w:rsidP="006F6868">
      <w:pPr>
        <w:tabs>
          <w:tab w:val="left" w:pos="5625"/>
        </w:tabs>
        <w:rPr>
          <w:rFonts w:ascii="Times New Roman" w:hAnsi="Times New Roman" w:cs="Times New Roman"/>
          <w:sz w:val="24"/>
          <w:szCs w:val="24"/>
        </w:rPr>
      </w:pPr>
      <w:r>
        <w:rPr>
          <w:rFonts w:ascii="Times New Roman" w:hAnsi="Times New Roman" w:cs="Times New Roman"/>
          <w:sz w:val="24"/>
          <w:szCs w:val="24"/>
        </w:rPr>
        <w:br/>
      </w:r>
      <w:r w:rsidR="00F866D0">
        <w:rPr>
          <w:rFonts w:ascii="Times New Roman" w:hAnsi="Times New Roman" w:cs="Times New Roman"/>
          <w:sz w:val="24"/>
          <w:szCs w:val="24"/>
        </w:rPr>
        <w:t>At its</w:t>
      </w:r>
      <w:r w:rsidR="00ED6527" w:rsidRPr="00ED5F39">
        <w:rPr>
          <w:rFonts w:ascii="Times New Roman" w:hAnsi="Times New Roman" w:cs="Times New Roman"/>
          <w:sz w:val="24"/>
          <w:szCs w:val="24"/>
        </w:rPr>
        <w:t xml:space="preserve"> April 23, 2018, meeting</w:t>
      </w:r>
      <w:r w:rsidR="00F866D0">
        <w:rPr>
          <w:rFonts w:ascii="Times New Roman" w:hAnsi="Times New Roman" w:cs="Times New Roman"/>
          <w:sz w:val="24"/>
          <w:szCs w:val="24"/>
        </w:rPr>
        <w:t>,</w:t>
      </w:r>
      <w:r w:rsidR="00ED6527" w:rsidRPr="00ED5F39">
        <w:rPr>
          <w:rFonts w:ascii="Times New Roman" w:hAnsi="Times New Roman" w:cs="Times New Roman"/>
          <w:sz w:val="24"/>
          <w:szCs w:val="24"/>
        </w:rPr>
        <w:t xml:space="preserve"> the Advisory Board on Teacher Educ</w:t>
      </w:r>
      <w:r w:rsidR="00ED5F39">
        <w:rPr>
          <w:rFonts w:ascii="Times New Roman" w:hAnsi="Times New Roman" w:cs="Times New Roman"/>
          <w:sz w:val="24"/>
          <w:szCs w:val="24"/>
        </w:rPr>
        <w:t xml:space="preserve">ation and Licensure recommended </w:t>
      </w:r>
      <w:r w:rsidR="00ED6527" w:rsidRPr="00ED5F39">
        <w:rPr>
          <w:rFonts w:ascii="Times New Roman" w:hAnsi="Times New Roman" w:cs="Times New Roman"/>
          <w:sz w:val="24"/>
          <w:szCs w:val="24"/>
        </w:rPr>
        <w:t xml:space="preserve">that the </w:t>
      </w:r>
      <w:r w:rsidR="00ED5F39" w:rsidRPr="00ED5F39">
        <w:rPr>
          <w:rFonts w:ascii="Times New Roman" w:hAnsi="Times New Roman" w:cs="Times New Roman"/>
          <w:sz w:val="24"/>
          <w:szCs w:val="24"/>
        </w:rPr>
        <w:t>Board of Education approve the use of the School Leader Licensure</w:t>
      </w:r>
      <w:r w:rsidR="00DC2AB6">
        <w:rPr>
          <w:rFonts w:ascii="Times New Roman" w:hAnsi="Times New Roman" w:cs="Times New Roman"/>
          <w:sz w:val="24"/>
          <w:szCs w:val="24"/>
        </w:rPr>
        <w:t xml:space="preserve"> </w:t>
      </w:r>
      <w:r w:rsidR="00DC2AB6" w:rsidRPr="00ED5F39">
        <w:rPr>
          <w:rFonts w:ascii="Times New Roman" w:hAnsi="Times New Roman" w:cs="Times New Roman"/>
          <w:sz w:val="24"/>
          <w:szCs w:val="24"/>
        </w:rPr>
        <w:t>Assessment</w:t>
      </w:r>
      <w:r w:rsidR="00ED5F39" w:rsidRPr="00ED5F39">
        <w:rPr>
          <w:rFonts w:ascii="Times New Roman" w:hAnsi="Times New Roman" w:cs="Times New Roman"/>
          <w:sz w:val="24"/>
          <w:szCs w:val="24"/>
        </w:rPr>
        <w:t xml:space="preserve"> (6990) as the required assessment for individuals seeking an endorsement in </w:t>
      </w:r>
      <w:r w:rsidR="00F866D0">
        <w:rPr>
          <w:rFonts w:ascii="Times New Roman" w:hAnsi="Times New Roman" w:cs="Times New Roman"/>
          <w:sz w:val="24"/>
          <w:szCs w:val="24"/>
        </w:rPr>
        <w:t>Administration and Supervision P</w:t>
      </w:r>
      <w:r w:rsidR="00ED5F39" w:rsidRPr="00ED5F39">
        <w:rPr>
          <w:rFonts w:ascii="Times New Roman" w:hAnsi="Times New Roman" w:cs="Times New Roman"/>
          <w:sz w:val="24"/>
          <w:szCs w:val="24"/>
        </w:rPr>
        <w:t>reK-12 and set a passing score of 146 for the test</w:t>
      </w:r>
      <w:r w:rsidR="00F866D0">
        <w:rPr>
          <w:rFonts w:ascii="Times New Roman" w:hAnsi="Times New Roman" w:cs="Times New Roman"/>
          <w:sz w:val="24"/>
          <w:szCs w:val="24"/>
        </w:rPr>
        <w:t xml:space="preserve">.  The passing score of 146 is </w:t>
      </w:r>
      <w:r w:rsidR="00ED5F39" w:rsidRPr="00ED5F39">
        <w:rPr>
          <w:rFonts w:ascii="Times New Roman" w:hAnsi="Times New Roman" w:cs="Times New Roman"/>
          <w:sz w:val="24"/>
          <w:szCs w:val="24"/>
        </w:rPr>
        <w:t>1 CSEM belo</w:t>
      </w:r>
      <w:r w:rsidR="00F866D0">
        <w:rPr>
          <w:rFonts w:ascii="Times New Roman" w:hAnsi="Times New Roman" w:cs="Times New Roman"/>
          <w:sz w:val="24"/>
          <w:szCs w:val="24"/>
        </w:rPr>
        <w:t xml:space="preserve">w the recommended passing score.  The rationale for the recommendation is that the SLLA (6990) is a new assessment, and no performance data are available at this time.  </w:t>
      </w:r>
      <w:r w:rsidR="00ED5F39" w:rsidRPr="00ED5F39">
        <w:rPr>
          <w:rFonts w:ascii="Times New Roman" w:hAnsi="Times New Roman" w:cs="Times New Roman"/>
          <w:sz w:val="24"/>
          <w:szCs w:val="24"/>
        </w:rPr>
        <w:t xml:space="preserve">The Advisory </w:t>
      </w:r>
      <w:r w:rsidR="00ED6527" w:rsidRPr="00ED5F39">
        <w:rPr>
          <w:rFonts w:ascii="Times New Roman" w:hAnsi="Times New Roman" w:cs="Times New Roman"/>
          <w:sz w:val="24"/>
          <w:szCs w:val="24"/>
        </w:rPr>
        <w:t xml:space="preserve">Board </w:t>
      </w:r>
      <w:r w:rsidR="00F866D0">
        <w:rPr>
          <w:rFonts w:ascii="Times New Roman" w:hAnsi="Times New Roman" w:cs="Times New Roman"/>
          <w:sz w:val="24"/>
          <w:szCs w:val="24"/>
        </w:rPr>
        <w:t xml:space="preserve">also </w:t>
      </w:r>
      <w:r w:rsidR="00ED6527" w:rsidRPr="00ED5F39">
        <w:rPr>
          <w:rFonts w:ascii="Times New Roman" w:hAnsi="Times New Roman" w:cs="Times New Roman"/>
          <w:sz w:val="24"/>
          <w:szCs w:val="24"/>
        </w:rPr>
        <w:t xml:space="preserve">recommended </w:t>
      </w:r>
      <w:r w:rsidR="00ED5F39" w:rsidRPr="00ED5F39">
        <w:rPr>
          <w:rFonts w:ascii="Times New Roman" w:hAnsi="Times New Roman" w:cs="Times New Roman"/>
          <w:sz w:val="24"/>
          <w:szCs w:val="24"/>
        </w:rPr>
        <w:t xml:space="preserve">that the Board of Education allow the acceptance of passing scores for </w:t>
      </w:r>
      <w:r w:rsidR="00F866D0">
        <w:rPr>
          <w:rFonts w:ascii="Times New Roman" w:hAnsi="Times New Roman" w:cs="Times New Roman"/>
          <w:sz w:val="24"/>
          <w:szCs w:val="24"/>
        </w:rPr>
        <w:t>either the current SLLA (6011)</w:t>
      </w:r>
      <w:r w:rsidR="00ED5F39" w:rsidRPr="00ED5F39">
        <w:rPr>
          <w:rFonts w:ascii="Times New Roman" w:hAnsi="Times New Roman" w:cs="Times New Roman"/>
          <w:sz w:val="24"/>
          <w:szCs w:val="24"/>
        </w:rPr>
        <w:t xml:space="preserve"> </w:t>
      </w:r>
      <w:r w:rsidR="00F866D0">
        <w:rPr>
          <w:rFonts w:ascii="Times New Roman" w:hAnsi="Times New Roman" w:cs="Times New Roman"/>
          <w:sz w:val="24"/>
          <w:szCs w:val="24"/>
        </w:rPr>
        <w:t xml:space="preserve">or the revised SLLA </w:t>
      </w:r>
      <w:r w:rsidR="00ED5F39" w:rsidRPr="00ED5F39">
        <w:rPr>
          <w:rFonts w:ascii="Times New Roman" w:hAnsi="Times New Roman" w:cs="Times New Roman"/>
          <w:sz w:val="24"/>
          <w:szCs w:val="24"/>
        </w:rPr>
        <w:t xml:space="preserve">(6990) for the period of September 1, 2018 to January 1, 2020; and effective January 1, 2020, </w:t>
      </w:r>
      <w:r w:rsidR="005C2863">
        <w:rPr>
          <w:rFonts w:ascii="Times New Roman" w:hAnsi="Times New Roman" w:cs="Times New Roman"/>
          <w:sz w:val="24"/>
          <w:szCs w:val="24"/>
        </w:rPr>
        <w:t>require a</w:t>
      </w:r>
      <w:r w:rsidR="00870B14">
        <w:rPr>
          <w:rFonts w:ascii="Times New Roman" w:hAnsi="Times New Roman" w:cs="Times New Roman"/>
          <w:sz w:val="24"/>
          <w:szCs w:val="24"/>
        </w:rPr>
        <w:t xml:space="preserve"> passing score</w:t>
      </w:r>
      <w:r w:rsidR="00ED5F39" w:rsidRPr="00ED5F39">
        <w:rPr>
          <w:rFonts w:ascii="Times New Roman" w:hAnsi="Times New Roman" w:cs="Times New Roman"/>
          <w:sz w:val="24"/>
          <w:szCs w:val="24"/>
        </w:rPr>
        <w:t xml:space="preserve"> for the Praxis School Leader Licensure Assessment (6990) </w:t>
      </w:r>
      <w:r w:rsidR="005C2863" w:rsidRPr="005C2863">
        <w:rPr>
          <w:rFonts w:ascii="Times New Roman" w:hAnsi="Times New Roman" w:cs="Times New Roman"/>
          <w:b/>
          <w:sz w:val="24"/>
          <w:szCs w:val="24"/>
          <w:u w:val="single"/>
        </w:rPr>
        <w:t>or</w:t>
      </w:r>
      <w:r w:rsidR="005C2863">
        <w:rPr>
          <w:rFonts w:ascii="Times New Roman" w:hAnsi="Times New Roman" w:cs="Times New Roman"/>
          <w:sz w:val="24"/>
          <w:szCs w:val="24"/>
        </w:rPr>
        <w:t xml:space="preserve"> a passing score on the SLLA (6011) if taken prior to </w:t>
      </w:r>
      <w:r w:rsidR="00870B14">
        <w:rPr>
          <w:rFonts w:ascii="Times New Roman" w:hAnsi="Times New Roman" w:cs="Times New Roman"/>
          <w:sz w:val="24"/>
          <w:szCs w:val="24"/>
        </w:rPr>
        <w:t>January 1, 2020</w:t>
      </w:r>
      <w:r w:rsidR="00ED5F39">
        <w:rPr>
          <w:rFonts w:ascii="Times New Roman" w:hAnsi="Times New Roman" w:cs="Times New Roman"/>
          <w:sz w:val="24"/>
          <w:szCs w:val="24"/>
        </w:rPr>
        <w:t>.</w:t>
      </w:r>
      <w:r w:rsidR="00ED5F39" w:rsidRPr="00ED5F39">
        <w:rPr>
          <w:rFonts w:ascii="Times New Roman" w:hAnsi="Times New Roman" w:cs="Times New Roman"/>
          <w:sz w:val="24"/>
          <w:szCs w:val="24"/>
        </w:rPr>
        <w:t xml:space="preserve"> </w:t>
      </w:r>
    </w:p>
    <w:p w:rsidR="00A972CE" w:rsidRPr="00727D63" w:rsidRDefault="00A972CE" w:rsidP="00D15D38">
      <w:pPr>
        <w:pStyle w:val="Heading2"/>
        <w:spacing w:before="0"/>
        <w:rPr>
          <w:rFonts w:cs="Times New Roman"/>
          <w:szCs w:val="24"/>
        </w:rPr>
      </w:pPr>
      <w:r w:rsidRPr="00727D63">
        <w:rPr>
          <w:rFonts w:cs="Times New Roman"/>
          <w:szCs w:val="24"/>
        </w:rPr>
        <w:t xml:space="preserve">Action Requested:  </w:t>
      </w:r>
    </w:p>
    <w:p w:rsidR="00AB1F4C" w:rsidRDefault="00F20A01" w:rsidP="00EC77BC">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275227">
            <w:rPr>
              <w:rFonts w:ascii="Times New Roman" w:hAnsi="Times New Roman" w:cs="Times New Roman"/>
              <w:sz w:val="24"/>
              <w:szCs w:val="24"/>
            </w:rPr>
            <w:t>Action will be requested at a future meeting. Specify anticipated date below:</w:t>
          </w:r>
        </w:sdtContent>
      </w:sdt>
    </w:p>
    <w:p w:rsidR="00892D0F" w:rsidRDefault="00F20A01" w:rsidP="00EC77BC">
      <w:pPr>
        <w:spacing w:after="0"/>
        <w:rPr>
          <w:rFonts w:ascii="Times New Roman" w:hAnsi="Times New Roman" w:cs="Times New Roman"/>
          <w:sz w:val="24"/>
          <w:szCs w:val="24"/>
        </w:rPr>
      </w:pPr>
      <w:r>
        <w:rPr>
          <w:rFonts w:ascii="Times New Roman" w:hAnsi="Times New Roman" w:cs="Times New Roman"/>
          <w:sz w:val="24"/>
          <w:szCs w:val="24"/>
        </w:rPr>
        <w:t>July 26, 2018</w:t>
      </w:r>
    </w:p>
    <w:p w:rsidR="00F20A01" w:rsidRPr="00AB1F4C" w:rsidRDefault="00F20A01" w:rsidP="00EC77BC">
      <w:pPr>
        <w:spacing w:after="0"/>
        <w:rPr>
          <w:rFonts w:ascii="Times New Roman" w:hAnsi="Times New Roman" w:cs="Times New Roman"/>
          <w:sz w:val="24"/>
          <w:szCs w:val="24"/>
        </w:rPr>
      </w:pPr>
    </w:p>
    <w:p w:rsidR="00A972CE" w:rsidRPr="00727D63" w:rsidRDefault="00A972CE" w:rsidP="00EC77BC">
      <w:pPr>
        <w:pStyle w:val="Heading2"/>
        <w:spacing w:before="0"/>
        <w:rPr>
          <w:rFonts w:cs="Times New Roman"/>
          <w:szCs w:val="24"/>
        </w:rPr>
      </w:pPr>
      <w:r w:rsidRPr="00727D63">
        <w:rPr>
          <w:rFonts w:cs="Times New Roman"/>
          <w:szCs w:val="24"/>
        </w:rPr>
        <w:t xml:space="preserve">Superintendent’s Recommendation: </w:t>
      </w:r>
    </w:p>
    <w:p w:rsidR="00870B14" w:rsidRDefault="005D6EDE" w:rsidP="00EC77BC">
      <w:pPr>
        <w:spacing w:after="0"/>
        <w:rPr>
          <w:rFonts w:ascii="Times New Roman" w:hAnsi="Times New Roman" w:cs="Times New Roman"/>
          <w:sz w:val="24"/>
          <w:szCs w:val="24"/>
        </w:rPr>
      </w:pPr>
      <w:r w:rsidRPr="005D6EDE">
        <w:rPr>
          <w:rFonts w:ascii="Times New Roman" w:hAnsi="Times New Roman" w:cs="Times New Roman"/>
          <w:sz w:val="24"/>
          <w:szCs w:val="24"/>
        </w:rPr>
        <w:t>The Superintendent of Public Instruction recommends that the Board of Education receive for first review the Advisory Board on Teacher Education and Licensure’s recommendation</w:t>
      </w:r>
      <w:r w:rsidR="005C2863">
        <w:rPr>
          <w:rFonts w:ascii="Times New Roman" w:hAnsi="Times New Roman" w:cs="Times New Roman"/>
          <w:sz w:val="24"/>
          <w:szCs w:val="24"/>
        </w:rPr>
        <w:t>s</w:t>
      </w:r>
      <w:r w:rsidRPr="005D6EDE">
        <w:rPr>
          <w:rFonts w:ascii="Times New Roman" w:hAnsi="Times New Roman" w:cs="Times New Roman"/>
          <w:sz w:val="24"/>
          <w:szCs w:val="24"/>
        </w:rPr>
        <w:t xml:space="preserve"> to:  (1)</w:t>
      </w:r>
      <w:r w:rsidR="00C17761">
        <w:rPr>
          <w:rFonts w:ascii="Times New Roman" w:hAnsi="Times New Roman" w:cs="Times New Roman"/>
          <w:sz w:val="24"/>
          <w:szCs w:val="24"/>
        </w:rPr>
        <w:t> </w:t>
      </w:r>
      <w:r w:rsidRPr="005D6EDE">
        <w:rPr>
          <w:rFonts w:ascii="Times New Roman" w:hAnsi="Times New Roman" w:cs="Times New Roman"/>
          <w:sz w:val="24"/>
          <w:szCs w:val="24"/>
        </w:rPr>
        <w:t xml:space="preserve">approve the use the </w:t>
      </w:r>
      <w:r w:rsidR="009E63A1" w:rsidRPr="009E63A1">
        <w:rPr>
          <w:rFonts w:ascii="Times New Roman" w:hAnsi="Times New Roman" w:cs="Times New Roman"/>
          <w:sz w:val="24"/>
          <w:szCs w:val="24"/>
        </w:rPr>
        <w:t>School Leader Licensure Assessment (6990</w:t>
      </w:r>
      <w:r w:rsidR="009E63A1">
        <w:rPr>
          <w:rFonts w:ascii="Times New Roman" w:hAnsi="Times New Roman" w:cs="Times New Roman"/>
          <w:sz w:val="24"/>
          <w:szCs w:val="24"/>
        </w:rPr>
        <w:t xml:space="preserve">) </w:t>
      </w:r>
      <w:r w:rsidRPr="005D6EDE">
        <w:rPr>
          <w:rFonts w:ascii="Times New Roman" w:hAnsi="Times New Roman" w:cs="Times New Roman"/>
          <w:sz w:val="24"/>
          <w:szCs w:val="24"/>
        </w:rPr>
        <w:t xml:space="preserve">as a </w:t>
      </w:r>
      <w:r w:rsidR="008446D6">
        <w:rPr>
          <w:rFonts w:ascii="Times New Roman" w:hAnsi="Times New Roman" w:cs="Times New Roman"/>
          <w:sz w:val="24"/>
          <w:szCs w:val="24"/>
        </w:rPr>
        <w:t>professional administrator’s assessment for the</w:t>
      </w:r>
      <w:r w:rsidR="009E63A1" w:rsidRPr="009E63A1">
        <w:rPr>
          <w:rFonts w:ascii="Times New Roman" w:hAnsi="Times New Roman" w:cs="Times New Roman"/>
          <w:sz w:val="24"/>
          <w:szCs w:val="24"/>
        </w:rPr>
        <w:t xml:space="preserve"> </w:t>
      </w:r>
      <w:r w:rsidR="00870B14">
        <w:rPr>
          <w:rFonts w:ascii="Times New Roman" w:hAnsi="Times New Roman" w:cs="Times New Roman"/>
          <w:sz w:val="24"/>
          <w:szCs w:val="24"/>
        </w:rPr>
        <w:t>Administration and Supervision P</w:t>
      </w:r>
      <w:r w:rsidR="009E63A1" w:rsidRPr="009E63A1">
        <w:rPr>
          <w:rFonts w:ascii="Times New Roman" w:hAnsi="Times New Roman" w:cs="Times New Roman"/>
          <w:sz w:val="24"/>
          <w:szCs w:val="24"/>
        </w:rPr>
        <w:t xml:space="preserve">reK-12 </w:t>
      </w:r>
      <w:r w:rsidR="008446D6">
        <w:rPr>
          <w:rFonts w:ascii="Times New Roman" w:hAnsi="Times New Roman" w:cs="Times New Roman"/>
          <w:sz w:val="24"/>
          <w:szCs w:val="24"/>
        </w:rPr>
        <w:t>endorsement</w:t>
      </w:r>
      <w:r w:rsidR="00C17761">
        <w:rPr>
          <w:rFonts w:ascii="Times New Roman" w:hAnsi="Times New Roman" w:cs="Times New Roman"/>
          <w:sz w:val="24"/>
          <w:szCs w:val="24"/>
        </w:rPr>
        <w:t>; (2) set a passing score of 146</w:t>
      </w:r>
      <w:r w:rsidRPr="005D6EDE">
        <w:rPr>
          <w:rFonts w:ascii="Times New Roman" w:hAnsi="Times New Roman" w:cs="Times New Roman"/>
          <w:sz w:val="24"/>
          <w:szCs w:val="24"/>
        </w:rPr>
        <w:t xml:space="preserve"> for the test; and (3)</w:t>
      </w:r>
      <w:r w:rsidR="00870B14" w:rsidRPr="00870B14">
        <w:rPr>
          <w:rFonts w:ascii="Times New Roman" w:hAnsi="Times New Roman" w:cs="Times New Roman"/>
          <w:sz w:val="24"/>
          <w:szCs w:val="24"/>
        </w:rPr>
        <w:t xml:space="preserve"> </w:t>
      </w:r>
      <w:r w:rsidR="00870B14" w:rsidRPr="00ED5F39">
        <w:rPr>
          <w:rFonts w:ascii="Times New Roman" w:hAnsi="Times New Roman" w:cs="Times New Roman"/>
          <w:sz w:val="24"/>
          <w:szCs w:val="24"/>
        </w:rPr>
        <w:t xml:space="preserve">allow the acceptance of passing scores for </w:t>
      </w:r>
      <w:r w:rsidR="00870B14">
        <w:rPr>
          <w:rFonts w:ascii="Times New Roman" w:hAnsi="Times New Roman" w:cs="Times New Roman"/>
          <w:sz w:val="24"/>
          <w:szCs w:val="24"/>
        </w:rPr>
        <w:t>either the current SLLA (6011)</w:t>
      </w:r>
      <w:r w:rsidR="00870B14" w:rsidRPr="00ED5F39">
        <w:rPr>
          <w:rFonts w:ascii="Times New Roman" w:hAnsi="Times New Roman" w:cs="Times New Roman"/>
          <w:sz w:val="24"/>
          <w:szCs w:val="24"/>
        </w:rPr>
        <w:t xml:space="preserve"> </w:t>
      </w:r>
      <w:r w:rsidR="00870B14">
        <w:rPr>
          <w:rFonts w:ascii="Times New Roman" w:hAnsi="Times New Roman" w:cs="Times New Roman"/>
          <w:sz w:val="24"/>
          <w:szCs w:val="24"/>
        </w:rPr>
        <w:t xml:space="preserve">or the revised SLLA </w:t>
      </w:r>
      <w:r w:rsidR="00870B14" w:rsidRPr="00ED5F39">
        <w:rPr>
          <w:rFonts w:ascii="Times New Roman" w:hAnsi="Times New Roman" w:cs="Times New Roman"/>
          <w:sz w:val="24"/>
          <w:szCs w:val="24"/>
        </w:rPr>
        <w:t xml:space="preserve">(6990) for the period of September 1, 2018 to </w:t>
      </w:r>
    </w:p>
    <w:p w:rsidR="00E024D9" w:rsidRDefault="00870B14" w:rsidP="00EC77BC">
      <w:pPr>
        <w:spacing w:after="0"/>
        <w:rPr>
          <w:rFonts w:ascii="Times New Roman" w:hAnsi="Times New Roman" w:cs="Times New Roman"/>
          <w:sz w:val="24"/>
          <w:szCs w:val="24"/>
        </w:rPr>
      </w:pPr>
      <w:r w:rsidRPr="00ED5F39">
        <w:rPr>
          <w:rFonts w:ascii="Times New Roman" w:hAnsi="Times New Roman" w:cs="Times New Roman"/>
          <w:sz w:val="24"/>
          <w:szCs w:val="24"/>
        </w:rPr>
        <w:lastRenderedPageBreak/>
        <w:t xml:space="preserve">January 1, 2020; </w:t>
      </w:r>
      <w:r w:rsidR="005C2863" w:rsidRPr="00ED5F39">
        <w:rPr>
          <w:rFonts w:ascii="Times New Roman" w:hAnsi="Times New Roman" w:cs="Times New Roman"/>
          <w:sz w:val="24"/>
          <w:szCs w:val="24"/>
        </w:rPr>
        <w:t xml:space="preserve">and effective January 1, 2020, </w:t>
      </w:r>
      <w:proofErr w:type="gramStart"/>
      <w:r w:rsidR="005C2863">
        <w:rPr>
          <w:rFonts w:ascii="Times New Roman" w:hAnsi="Times New Roman" w:cs="Times New Roman"/>
          <w:sz w:val="24"/>
          <w:szCs w:val="24"/>
        </w:rPr>
        <w:t>require</w:t>
      </w:r>
      <w:proofErr w:type="gramEnd"/>
      <w:r w:rsidR="005C2863">
        <w:rPr>
          <w:rFonts w:ascii="Times New Roman" w:hAnsi="Times New Roman" w:cs="Times New Roman"/>
          <w:sz w:val="24"/>
          <w:szCs w:val="24"/>
        </w:rPr>
        <w:t xml:space="preserve"> a passing score</w:t>
      </w:r>
      <w:r w:rsidR="005C2863" w:rsidRPr="00ED5F39">
        <w:rPr>
          <w:rFonts w:ascii="Times New Roman" w:hAnsi="Times New Roman" w:cs="Times New Roman"/>
          <w:sz w:val="24"/>
          <w:szCs w:val="24"/>
        </w:rPr>
        <w:t xml:space="preserve"> for the Praxis School Leader Licensure Assessment (6990) </w:t>
      </w:r>
      <w:r w:rsidR="005C2863" w:rsidRPr="005C2863">
        <w:rPr>
          <w:rFonts w:ascii="Times New Roman" w:hAnsi="Times New Roman" w:cs="Times New Roman"/>
          <w:b/>
          <w:sz w:val="24"/>
          <w:szCs w:val="24"/>
          <w:u w:val="single"/>
        </w:rPr>
        <w:t>or</w:t>
      </w:r>
      <w:r w:rsidR="005C2863">
        <w:rPr>
          <w:rFonts w:ascii="Times New Roman" w:hAnsi="Times New Roman" w:cs="Times New Roman"/>
          <w:sz w:val="24"/>
          <w:szCs w:val="24"/>
        </w:rPr>
        <w:t xml:space="preserve"> a passing score on the SLLA (6011) if taken prior to January 1, 2020.</w:t>
      </w:r>
    </w:p>
    <w:p w:rsidR="00566D52" w:rsidRDefault="00566D52" w:rsidP="00EC77BC">
      <w:pPr>
        <w:spacing w:after="0"/>
        <w:rPr>
          <w:rFonts w:ascii="Times New Roman" w:hAnsi="Times New Roman" w:cs="Times New Roman"/>
          <w:sz w:val="24"/>
          <w:szCs w:val="24"/>
        </w:rPr>
      </w:pPr>
    </w:p>
    <w:p w:rsidR="00123E2E" w:rsidRPr="00566D52" w:rsidRDefault="00123E2E" w:rsidP="00566D52">
      <w:pPr>
        <w:pStyle w:val="Heading2"/>
        <w:spacing w:before="0"/>
      </w:pPr>
      <w:r w:rsidRPr="00566D52">
        <w:t xml:space="preserve">Previous Review or Action:  </w:t>
      </w:r>
    </w:p>
    <w:sdt>
      <w:sdtPr>
        <w:rPr>
          <w:rFonts w:ascii="Times New Roman" w:hAnsi="Times New Roman" w:cs="Times New Roman"/>
          <w:sz w:val="24"/>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27D63" w:rsidRDefault="005D3044" w:rsidP="00EC77BC">
          <w:pPr>
            <w:spacing w:after="0"/>
            <w:rPr>
              <w:rFonts w:ascii="Times New Roman" w:hAnsi="Times New Roman" w:cs="Times New Roman"/>
              <w:sz w:val="24"/>
              <w:szCs w:val="24"/>
            </w:rPr>
          </w:pPr>
          <w:r w:rsidRPr="00727D63">
            <w:rPr>
              <w:rFonts w:ascii="Times New Roman" w:hAnsi="Times New Roman" w:cs="Times New Roman"/>
              <w:sz w:val="24"/>
              <w:szCs w:val="24"/>
            </w:rPr>
            <w:t>No previous review or action.</w:t>
          </w:r>
        </w:p>
      </w:sdtContent>
    </w:sdt>
    <w:p w:rsidR="000E009D" w:rsidRDefault="000E009D" w:rsidP="00F20A01">
      <w:pPr>
        <w:pStyle w:val="Heading2"/>
      </w:pPr>
      <w:r w:rsidRPr="00727D63">
        <w:t xml:space="preserve">Statutory </w:t>
      </w:r>
      <w:r w:rsidR="00F76D52">
        <w:t xml:space="preserve">and Regulatory </w:t>
      </w:r>
      <w:r w:rsidRPr="00727D63">
        <w:t xml:space="preserve">Authority: </w:t>
      </w:r>
    </w:p>
    <w:p w:rsidR="00151D8B" w:rsidRPr="0013594E" w:rsidRDefault="00151D8B" w:rsidP="00EC77BC">
      <w:pPr>
        <w:rPr>
          <w:rFonts w:ascii="Times New Roman" w:hAnsi="Times New Roman" w:cs="Times New Roman"/>
          <w:sz w:val="24"/>
          <w:szCs w:val="24"/>
        </w:rPr>
      </w:pPr>
      <w:r w:rsidRPr="0013594E">
        <w:rPr>
          <w:rFonts w:ascii="Times New Roman" w:hAnsi="Times New Roman" w:cs="Times New Roman"/>
          <w:sz w:val="24"/>
          <w:szCs w:val="24"/>
        </w:rPr>
        <w:t xml:space="preserve">The </w:t>
      </w:r>
      <w:r w:rsidRPr="0013594E">
        <w:rPr>
          <w:rFonts w:ascii="Times New Roman" w:hAnsi="Times New Roman" w:cs="Times New Roman"/>
          <w:i/>
          <w:sz w:val="24"/>
          <w:szCs w:val="24"/>
        </w:rPr>
        <w:t>Constitution of Virginia</w:t>
      </w:r>
      <w:r w:rsidRPr="0013594E">
        <w:rPr>
          <w:rFonts w:ascii="Times New Roman" w:hAnsi="Times New Roman" w:cs="Times New Roman"/>
          <w:sz w:val="24"/>
          <w:szCs w:val="24"/>
        </w:rPr>
        <w:t xml:space="preserve"> and the </w:t>
      </w:r>
      <w:r w:rsidRPr="0013594E">
        <w:rPr>
          <w:rFonts w:ascii="Times New Roman" w:hAnsi="Times New Roman" w:cs="Times New Roman"/>
          <w:i/>
          <w:sz w:val="24"/>
          <w:szCs w:val="24"/>
        </w:rPr>
        <w:t>Code of Virginia</w:t>
      </w:r>
      <w:r w:rsidRPr="0013594E">
        <w:rPr>
          <w:rFonts w:ascii="Times New Roman" w:hAnsi="Times New Roman" w:cs="Times New Roman"/>
          <w:sz w:val="24"/>
          <w:szCs w:val="24"/>
        </w:rPr>
        <w:t xml:space="preserve"> provide authority for the Board of Education to promulgate </w:t>
      </w:r>
      <w:r w:rsidRPr="00870B14">
        <w:rPr>
          <w:rFonts w:ascii="Times New Roman" w:hAnsi="Times New Roman" w:cs="Times New Roman"/>
          <w:i/>
          <w:sz w:val="24"/>
          <w:szCs w:val="24"/>
        </w:rPr>
        <w:t>Licensure Regulations for School Personnel</w:t>
      </w:r>
      <w:r w:rsidRPr="0013594E">
        <w:rPr>
          <w:rFonts w:ascii="Times New Roman" w:hAnsi="Times New Roman" w:cs="Times New Roman"/>
          <w:sz w:val="24"/>
          <w:szCs w:val="24"/>
        </w:rPr>
        <w:t>.</w:t>
      </w:r>
    </w:p>
    <w:p w:rsidR="00151D8B" w:rsidRPr="0013594E" w:rsidRDefault="00F20A01" w:rsidP="00EC77BC">
      <w:pPr>
        <w:rPr>
          <w:rFonts w:ascii="Times New Roman" w:hAnsi="Times New Roman" w:cs="Times New Roman"/>
          <w:sz w:val="24"/>
          <w:szCs w:val="24"/>
        </w:rPr>
      </w:pPr>
      <w:hyperlink r:id="rId12" w:history="1">
        <w:r w:rsidR="00151D8B" w:rsidRPr="0013594E">
          <w:rPr>
            <w:rStyle w:val="Hyperlink"/>
            <w:rFonts w:ascii="Times New Roman" w:hAnsi="Times New Roman" w:cs="Times New Roman"/>
            <w:sz w:val="24"/>
            <w:szCs w:val="24"/>
          </w:rPr>
          <w:t>Article Eight, Section 4</w:t>
        </w:r>
      </w:hyperlink>
      <w:r w:rsidR="00151D8B" w:rsidRPr="0013594E">
        <w:rPr>
          <w:rFonts w:ascii="Times New Roman" w:hAnsi="Times New Roman" w:cs="Times New Roman"/>
          <w:sz w:val="24"/>
          <w:szCs w:val="24"/>
        </w:rPr>
        <w:t xml:space="preserve"> of the </w:t>
      </w:r>
      <w:r w:rsidR="00151D8B" w:rsidRPr="0013594E">
        <w:rPr>
          <w:rFonts w:ascii="Times New Roman" w:hAnsi="Times New Roman" w:cs="Times New Roman"/>
          <w:i/>
          <w:sz w:val="24"/>
          <w:szCs w:val="24"/>
        </w:rPr>
        <w:t>Constitution of Virginia</w:t>
      </w:r>
      <w:r w:rsidR="00151D8B" w:rsidRPr="0013594E">
        <w:rPr>
          <w:rFonts w:ascii="Times New Roman" w:hAnsi="Times New Roman" w:cs="Times New Roman"/>
          <w:sz w:val="24"/>
          <w:szCs w:val="24"/>
        </w:rPr>
        <w:t xml:space="preserve"> states, in part, the following:</w:t>
      </w:r>
    </w:p>
    <w:p w:rsidR="00151D8B" w:rsidRPr="0013594E" w:rsidRDefault="00151D8B" w:rsidP="00EC77BC">
      <w:pPr>
        <w:ind w:left="720"/>
        <w:rPr>
          <w:rFonts w:ascii="Times New Roman" w:hAnsi="Times New Roman" w:cs="Times New Roman"/>
          <w:i/>
          <w:sz w:val="24"/>
          <w:szCs w:val="24"/>
        </w:rPr>
      </w:pPr>
      <w:r w:rsidRPr="0013594E">
        <w:rPr>
          <w:rFonts w:ascii="Times New Roman" w:hAnsi="Times New Roman" w:cs="Times New Roman"/>
          <w:i/>
          <w:sz w:val="24"/>
          <w:szCs w:val="24"/>
        </w:rPr>
        <w:t>The general supervision of the public school system shall be vested in a Board of Education…</w:t>
      </w:r>
    </w:p>
    <w:p w:rsidR="00151D8B" w:rsidRPr="0013594E" w:rsidRDefault="00151D8B" w:rsidP="00EC77BC">
      <w:pPr>
        <w:rPr>
          <w:rFonts w:ascii="Times New Roman" w:hAnsi="Times New Roman" w:cs="Times New Roman"/>
          <w:sz w:val="24"/>
          <w:szCs w:val="24"/>
        </w:rPr>
      </w:pPr>
      <w:r w:rsidRPr="0013594E">
        <w:rPr>
          <w:rFonts w:ascii="Times New Roman" w:hAnsi="Times New Roman" w:cs="Times New Roman"/>
          <w:sz w:val="24"/>
          <w:szCs w:val="24"/>
        </w:rPr>
        <w:t>Section</w:t>
      </w:r>
      <w:r w:rsidR="00C17761">
        <w:rPr>
          <w:rFonts w:ascii="Times New Roman" w:hAnsi="Times New Roman" w:cs="Times New Roman"/>
          <w:sz w:val="24"/>
          <w:szCs w:val="24"/>
        </w:rPr>
        <w:t> </w:t>
      </w:r>
      <w:hyperlink r:id="rId13" w:history="1">
        <w:r w:rsidRPr="0013594E">
          <w:rPr>
            <w:rStyle w:val="Hyperlink"/>
            <w:rFonts w:ascii="Times New Roman" w:hAnsi="Times New Roman" w:cs="Times New Roman"/>
            <w:sz w:val="24"/>
            <w:szCs w:val="24"/>
          </w:rPr>
          <w:t>22.1-298.1</w:t>
        </w:r>
      </w:hyperlink>
      <w:r w:rsidRPr="0013594E">
        <w:rPr>
          <w:rFonts w:ascii="Times New Roman" w:hAnsi="Times New Roman" w:cs="Times New Roman"/>
          <w:sz w:val="24"/>
          <w:szCs w:val="24"/>
        </w:rPr>
        <w:t xml:space="preserve"> of the </w:t>
      </w:r>
      <w:r w:rsidRPr="0013594E">
        <w:rPr>
          <w:rFonts w:ascii="Times New Roman" w:hAnsi="Times New Roman" w:cs="Times New Roman"/>
          <w:i/>
          <w:sz w:val="24"/>
          <w:szCs w:val="24"/>
        </w:rPr>
        <w:t>Code of Virginia</w:t>
      </w:r>
      <w:r w:rsidRPr="0013594E">
        <w:rPr>
          <w:rFonts w:ascii="Times New Roman" w:hAnsi="Times New Roman" w:cs="Times New Roman"/>
          <w:sz w:val="24"/>
          <w:szCs w:val="24"/>
        </w:rPr>
        <w:t>, states in part, the following:</w:t>
      </w:r>
    </w:p>
    <w:p w:rsidR="00151D8B" w:rsidRPr="00F20A01" w:rsidRDefault="00151D8B" w:rsidP="00F20A01">
      <w:pPr>
        <w:ind w:firstLine="720"/>
        <w:rPr>
          <w:rFonts w:ascii="Times New Roman" w:hAnsi="Times New Roman" w:cs="Times New Roman"/>
          <w:b/>
          <w:sz w:val="24"/>
          <w:szCs w:val="24"/>
        </w:rPr>
      </w:pPr>
      <w:r w:rsidRPr="00F20A01">
        <w:rPr>
          <w:rFonts w:ascii="Times New Roman" w:hAnsi="Times New Roman" w:cs="Times New Roman"/>
          <w:b/>
          <w:sz w:val="24"/>
          <w:szCs w:val="24"/>
        </w:rPr>
        <w:t xml:space="preserve">§ </w:t>
      </w:r>
      <w:hyperlink r:id="rId14" w:history="1">
        <w:r w:rsidRPr="00F20A01">
          <w:rPr>
            <w:rStyle w:val="Hyperlink"/>
            <w:rFonts w:ascii="Times New Roman" w:eastAsia="Calibri" w:hAnsi="Times New Roman" w:cs="Times New Roman"/>
            <w:b/>
            <w:sz w:val="24"/>
            <w:szCs w:val="24"/>
          </w:rPr>
          <w:t>22.1-298.1</w:t>
        </w:r>
      </w:hyperlink>
      <w:r w:rsidRPr="00F20A01">
        <w:rPr>
          <w:rFonts w:ascii="Times New Roman" w:hAnsi="Times New Roman" w:cs="Times New Roman"/>
          <w:b/>
          <w:sz w:val="24"/>
          <w:szCs w:val="24"/>
        </w:rPr>
        <w:t xml:space="preserve"> Regulations governing licensure.</w:t>
      </w:r>
    </w:p>
    <w:p w:rsidR="00151D8B" w:rsidRPr="0013594E" w:rsidRDefault="00151D8B" w:rsidP="00EC77BC">
      <w:pPr>
        <w:ind w:left="720"/>
        <w:rPr>
          <w:rFonts w:ascii="Times New Roman" w:hAnsi="Times New Roman"/>
          <w:i/>
          <w:sz w:val="24"/>
          <w:szCs w:val="24"/>
        </w:rPr>
      </w:pPr>
      <w:r w:rsidRPr="0013594E">
        <w:rPr>
          <w:rFonts w:ascii="Times New Roman" w:hAnsi="Times New Roman"/>
          <w:i/>
          <w:sz w:val="24"/>
          <w:szCs w:val="24"/>
        </w:rPr>
        <w:t>A. As used in this section:</w:t>
      </w:r>
    </w:p>
    <w:p w:rsidR="00151D8B" w:rsidRPr="0013594E" w:rsidRDefault="00151D8B" w:rsidP="00EC77BC">
      <w:pPr>
        <w:ind w:left="720"/>
        <w:rPr>
          <w:rFonts w:ascii="Times New Roman" w:hAnsi="Times New Roman"/>
          <w:i/>
          <w:sz w:val="24"/>
          <w:szCs w:val="24"/>
        </w:rPr>
      </w:pPr>
      <w:r w:rsidRPr="0013594E">
        <w:rPr>
          <w:rFonts w:ascii="Times New Roman" w:hAnsi="Times New Roman"/>
          <w:i/>
          <w:sz w:val="24"/>
          <w:szCs w:val="24"/>
        </w:rPr>
        <w:t>"Alternate route to licensure" means a nontraditional route to teacher licensure available to individuals who meet the criteria specified in the regulations issued by the Board of Education</w:t>
      </w:r>
      <w:r w:rsidR="007C29C7">
        <w:rPr>
          <w:rFonts w:ascii="Times New Roman" w:hAnsi="Times New Roman"/>
          <w:i/>
          <w:sz w:val="24"/>
          <w:szCs w:val="24"/>
        </w:rPr>
        <w:t>…</w:t>
      </w:r>
    </w:p>
    <w:p w:rsidR="00151D8B" w:rsidRDefault="004C4B9D" w:rsidP="00EC77BC">
      <w:pPr>
        <w:ind w:left="720"/>
        <w:rPr>
          <w:rFonts w:ascii="Times New Roman" w:hAnsi="Times New Roman"/>
          <w:i/>
          <w:sz w:val="24"/>
          <w:szCs w:val="24"/>
        </w:rPr>
      </w:pPr>
      <w:r w:rsidRPr="004C4B9D">
        <w:rPr>
          <w:rFonts w:ascii="Times New Roman" w:hAnsi="Times New Roman"/>
          <w:i/>
          <w:sz w:val="24"/>
          <w:szCs w:val="24"/>
        </w:rPr>
        <w:t>…F. The Board's regulations shall require that initial licensure for principals and assistant principals be contingent upon passage of an assessment as prescribed by the Board…</w:t>
      </w:r>
    </w:p>
    <w:p w:rsidR="004C4B9D" w:rsidRPr="00840FFF" w:rsidRDefault="004C4B9D" w:rsidP="004C4B9D">
      <w:pPr>
        <w:spacing w:after="0"/>
        <w:ind w:left="720"/>
        <w:rPr>
          <w:rStyle w:val="Hyperlink"/>
          <w:rFonts w:ascii="Times New Roman" w:hAnsi="Times New Roman" w:cs="Times New Roman"/>
          <w:sz w:val="24"/>
          <w:szCs w:val="24"/>
        </w:rPr>
      </w:pPr>
      <w:proofErr w:type="gramStart"/>
      <w:r w:rsidRPr="00840FFF">
        <w:rPr>
          <w:rFonts w:ascii="Times New Roman" w:hAnsi="Times New Roman" w:cs="Times New Roman"/>
          <w:i/>
          <w:sz w:val="24"/>
          <w:szCs w:val="24"/>
        </w:rPr>
        <w:t xml:space="preserve">Code of Virginia, </w:t>
      </w:r>
      <w:r w:rsidRPr="00840FFF">
        <w:rPr>
          <w:rFonts w:ascii="Times New Roman" w:hAnsi="Times New Roman" w:cs="Times New Roman"/>
          <w:sz w:val="24"/>
          <w:szCs w:val="24"/>
        </w:rPr>
        <w:t xml:space="preserve">Section </w:t>
      </w:r>
      <w:r w:rsidRPr="00840FFF">
        <w:rPr>
          <w:rFonts w:ascii="Times New Roman" w:hAnsi="Times New Roman" w:cs="Times New Roman"/>
          <w:sz w:val="24"/>
          <w:szCs w:val="24"/>
        </w:rPr>
        <w:fldChar w:fldCharType="begin"/>
      </w:r>
      <w:r w:rsidRPr="00840FFF">
        <w:rPr>
          <w:rFonts w:ascii="Times New Roman" w:hAnsi="Times New Roman" w:cs="Times New Roman"/>
          <w:sz w:val="24"/>
          <w:szCs w:val="24"/>
        </w:rPr>
        <w:instrText xml:space="preserve"> HYPERLINK "https://law.lis.virginia.gov/vacode/title22.1/chapter2/section22.1-16/" </w:instrText>
      </w:r>
      <w:r w:rsidRPr="00840FFF">
        <w:rPr>
          <w:rFonts w:ascii="Times New Roman" w:hAnsi="Times New Roman" w:cs="Times New Roman"/>
          <w:sz w:val="24"/>
          <w:szCs w:val="24"/>
        </w:rPr>
        <w:fldChar w:fldCharType="separate"/>
      </w:r>
      <w:r w:rsidRPr="00840FFF">
        <w:rPr>
          <w:rStyle w:val="Hyperlink"/>
          <w:rFonts w:ascii="Times New Roman" w:hAnsi="Times New Roman" w:cs="Times New Roman"/>
          <w:sz w:val="24"/>
          <w:szCs w:val="24"/>
        </w:rPr>
        <w:t>22.1-16.</w:t>
      </w:r>
      <w:proofErr w:type="gramEnd"/>
      <w:r w:rsidRPr="00840FFF">
        <w:rPr>
          <w:rStyle w:val="Hyperlink"/>
          <w:rFonts w:ascii="Times New Roman" w:hAnsi="Times New Roman" w:cs="Times New Roman"/>
          <w:sz w:val="24"/>
          <w:szCs w:val="24"/>
        </w:rPr>
        <w:t xml:space="preserve"> </w:t>
      </w:r>
      <w:proofErr w:type="gramStart"/>
      <w:r w:rsidRPr="00840FFF">
        <w:rPr>
          <w:rStyle w:val="Hyperlink"/>
          <w:rFonts w:ascii="Times New Roman" w:hAnsi="Times New Roman" w:cs="Times New Roman"/>
          <w:sz w:val="24"/>
          <w:szCs w:val="24"/>
        </w:rPr>
        <w:t>Bylaws and regulations generally.</w:t>
      </w:r>
      <w:proofErr w:type="gramEnd"/>
    </w:p>
    <w:p w:rsidR="004C4B9D" w:rsidRPr="00840FFF" w:rsidRDefault="004C4B9D" w:rsidP="004C4B9D">
      <w:pPr>
        <w:spacing w:after="0"/>
        <w:ind w:left="720"/>
        <w:rPr>
          <w:rFonts w:ascii="Times New Roman" w:hAnsi="Times New Roman" w:cs="Times New Roman"/>
          <w:i/>
          <w:sz w:val="24"/>
          <w:szCs w:val="24"/>
        </w:rPr>
      </w:pPr>
      <w:r w:rsidRPr="00840FFF">
        <w:rPr>
          <w:rFonts w:ascii="Times New Roman" w:hAnsi="Times New Roman" w:cs="Times New Roman"/>
          <w:sz w:val="24"/>
          <w:szCs w:val="24"/>
        </w:rPr>
        <w:fldChar w:fldCharType="end"/>
      </w:r>
      <w:r w:rsidRPr="00840FFF">
        <w:rPr>
          <w:rFonts w:ascii="Times New Roman" w:hAnsi="Times New Roman" w:cs="Times New Roman"/>
          <w:i/>
          <w:sz w:val="24"/>
          <w:szCs w:val="24"/>
        </w:rPr>
        <w:t xml:space="preserve">Code of Virginia, </w:t>
      </w:r>
      <w:r w:rsidRPr="00840FFF">
        <w:rPr>
          <w:rFonts w:ascii="Times New Roman" w:hAnsi="Times New Roman" w:cs="Times New Roman"/>
          <w:sz w:val="24"/>
          <w:szCs w:val="24"/>
        </w:rPr>
        <w:t xml:space="preserve">Section </w:t>
      </w:r>
      <w:hyperlink r:id="rId15" w:history="1">
        <w:r w:rsidRPr="00840FFF">
          <w:rPr>
            <w:rStyle w:val="Hyperlink"/>
            <w:rFonts w:ascii="Times New Roman" w:hAnsi="Times New Roman" w:cs="Times New Roman"/>
            <w:sz w:val="24"/>
            <w:szCs w:val="24"/>
          </w:rPr>
          <w:t>22.1-299. License required of teachers</w:t>
        </w:r>
      </w:hyperlink>
      <w:r w:rsidRPr="00840FFF">
        <w:rPr>
          <w:rStyle w:val="Hyperlink"/>
          <w:rFonts w:ascii="Times New Roman" w:hAnsi="Times New Roman" w:cs="Times New Roman"/>
          <w:sz w:val="24"/>
          <w:szCs w:val="24"/>
        </w:rPr>
        <w:t>.</w:t>
      </w:r>
    </w:p>
    <w:p w:rsidR="004C4B9D" w:rsidRDefault="004C4B9D" w:rsidP="004C4B9D">
      <w:pPr>
        <w:spacing w:after="0"/>
        <w:ind w:left="720"/>
        <w:rPr>
          <w:rFonts w:ascii="Times New Roman" w:hAnsi="Times New Roman" w:cs="Times New Roman"/>
          <w:sz w:val="24"/>
          <w:szCs w:val="24"/>
        </w:rPr>
      </w:pPr>
      <w:r w:rsidRPr="00840FFF">
        <w:rPr>
          <w:rFonts w:ascii="Times New Roman" w:hAnsi="Times New Roman" w:cs="Times New Roman"/>
          <w:i/>
          <w:sz w:val="24"/>
          <w:szCs w:val="24"/>
        </w:rPr>
        <w:t xml:space="preserve">Code of Virginia, </w:t>
      </w:r>
      <w:r w:rsidRPr="00840FFF">
        <w:rPr>
          <w:rFonts w:ascii="Times New Roman" w:hAnsi="Times New Roman" w:cs="Times New Roman"/>
          <w:sz w:val="24"/>
          <w:szCs w:val="24"/>
        </w:rPr>
        <w:t xml:space="preserve">Section </w:t>
      </w:r>
      <w:hyperlink r:id="rId16" w:history="1">
        <w:r w:rsidRPr="00840FFF">
          <w:rPr>
            <w:rStyle w:val="Hyperlink"/>
            <w:rFonts w:ascii="Times New Roman" w:hAnsi="Times New Roman" w:cs="Times New Roman"/>
            <w:sz w:val="24"/>
            <w:szCs w:val="24"/>
          </w:rPr>
          <w:t xml:space="preserve">22.1-305.2. </w:t>
        </w:r>
        <w:proofErr w:type="gramStart"/>
        <w:r w:rsidRPr="00840FFF">
          <w:rPr>
            <w:rStyle w:val="Hyperlink"/>
            <w:rFonts w:ascii="Times New Roman" w:hAnsi="Times New Roman" w:cs="Times New Roman"/>
            <w:sz w:val="24"/>
            <w:szCs w:val="24"/>
          </w:rPr>
          <w:t>Advisory Board on Teacher Education and Licensure</w:t>
        </w:r>
      </w:hyperlink>
      <w:r w:rsidRPr="00840FFF">
        <w:rPr>
          <w:rFonts w:ascii="Times New Roman" w:hAnsi="Times New Roman" w:cs="Times New Roman"/>
          <w:sz w:val="24"/>
          <w:szCs w:val="24"/>
        </w:rPr>
        <w:t>.</w:t>
      </w:r>
      <w:proofErr w:type="gramEnd"/>
    </w:p>
    <w:p w:rsidR="00F20A01" w:rsidRPr="00F20A01" w:rsidRDefault="00F20A01" w:rsidP="004C4B9D">
      <w:pPr>
        <w:spacing w:after="0"/>
        <w:ind w:left="720"/>
        <w:rPr>
          <w:rFonts w:ascii="Times New Roman" w:hAnsi="Times New Roman" w:cs="Times New Roman"/>
          <w:sz w:val="28"/>
          <w:szCs w:val="24"/>
        </w:rPr>
      </w:pPr>
    </w:p>
    <w:p w:rsidR="00F76D52" w:rsidRPr="00F20A01" w:rsidRDefault="00F76D52" w:rsidP="00F20A01">
      <w:pPr>
        <w:rPr>
          <w:rFonts w:ascii="Times New Roman" w:hAnsi="Times New Roman" w:cs="Times New Roman"/>
          <w:sz w:val="24"/>
        </w:rPr>
      </w:pPr>
      <w:proofErr w:type="gramStart"/>
      <w:r w:rsidRPr="00F20A01">
        <w:rPr>
          <w:rFonts w:ascii="Times New Roman" w:hAnsi="Times New Roman" w:cs="Times New Roman"/>
          <w:sz w:val="24"/>
        </w:rPr>
        <w:t xml:space="preserve">Section </w:t>
      </w:r>
      <w:hyperlink r:id="rId17" w:history="1">
        <w:r w:rsidRPr="00F20A01">
          <w:rPr>
            <w:rStyle w:val="Hyperlink"/>
            <w:rFonts w:ascii="Times New Roman" w:eastAsia="Times New Roman" w:hAnsi="Times New Roman" w:cs="Times New Roman"/>
            <w:sz w:val="24"/>
            <w:szCs w:val="24"/>
          </w:rPr>
          <w:t>8VAC20-22-590</w:t>
        </w:r>
      </w:hyperlink>
      <w:r w:rsidRPr="00F20A01">
        <w:rPr>
          <w:rFonts w:ascii="Times New Roman" w:hAnsi="Times New Roman" w:cs="Times New Roman"/>
          <w:sz w:val="24"/>
        </w:rPr>
        <w:t>.</w:t>
      </w:r>
      <w:proofErr w:type="gramEnd"/>
      <w:r w:rsidRPr="00F20A01">
        <w:rPr>
          <w:rFonts w:ascii="Times New Roman" w:hAnsi="Times New Roman" w:cs="Times New Roman"/>
          <w:sz w:val="24"/>
        </w:rPr>
        <w:t xml:space="preserve"> </w:t>
      </w:r>
      <w:r w:rsidRPr="00F20A01">
        <w:rPr>
          <w:rFonts w:ascii="Times New Roman" w:hAnsi="Times New Roman" w:cs="Times New Roman"/>
          <w:b/>
          <w:sz w:val="24"/>
        </w:rPr>
        <w:t xml:space="preserve">Administration and Supervision Prek-12 of the </w:t>
      </w:r>
      <w:r w:rsidRPr="00F20A01">
        <w:rPr>
          <w:rFonts w:ascii="Times New Roman" w:hAnsi="Times New Roman" w:cs="Times New Roman"/>
          <w:b/>
          <w:i/>
          <w:sz w:val="24"/>
        </w:rPr>
        <w:t>Licensure Regulations for School Personnel</w:t>
      </w:r>
      <w:r w:rsidR="008364E6" w:rsidRPr="00F20A01">
        <w:rPr>
          <w:rFonts w:ascii="Times New Roman" w:hAnsi="Times New Roman" w:cs="Times New Roman"/>
          <w:i/>
          <w:sz w:val="24"/>
        </w:rPr>
        <w:t xml:space="preserve">, </w:t>
      </w:r>
      <w:r w:rsidR="008364E6" w:rsidRPr="00F20A01">
        <w:rPr>
          <w:rFonts w:ascii="Times New Roman" w:hAnsi="Times New Roman" w:cs="Times New Roman"/>
          <w:sz w:val="24"/>
        </w:rPr>
        <w:t>states the following:</w:t>
      </w:r>
    </w:p>
    <w:p w:rsidR="00F76D52" w:rsidRPr="00F76D52" w:rsidRDefault="00F76D52" w:rsidP="00D575A0">
      <w:pPr>
        <w:spacing w:after="192" w:line="348" w:lineRule="atLeast"/>
        <w:ind w:left="72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 xml:space="preserve">Part VI. Licensure Regulations Governing Support Personnel </w:t>
      </w:r>
    </w:p>
    <w:p w:rsidR="00F76D52" w:rsidRPr="00F76D52" w:rsidRDefault="00F76D52" w:rsidP="00D575A0">
      <w:pPr>
        <w:spacing w:after="192" w:line="348" w:lineRule="atLeast"/>
        <w:ind w:left="72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 xml:space="preserve">A. An endorsement in administration and supervision preK-12 consists of Level I, which is required to serve as a building-level administrator or central office supervisor, and Level II, which is an optional endorsement to which an experienced building-level administrator may aspire. Individuals must meet the requirements for the administration </w:t>
      </w:r>
      <w:r w:rsidRPr="00F76D52">
        <w:rPr>
          <w:rFonts w:ascii="Times New Roman" w:eastAsia="Times New Roman" w:hAnsi="Times New Roman" w:cs="Times New Roman"/>
          <w:i/>
          <w:sz w:val="24"/>
          <w:szCs w:val="24"/>
        </w:rPr>
        <w:lastRenderedPageBreak/>
        <w:t xml:space="preserve">and supervision preK-12 endorsement through one of the four options listed in this section and </w:t>
      </w:r>
      <w:proofErr w:type="gramStart"/>
      <w:r w:rsidRPr="00F76D52">
        <w:rPr>
          <w:rFonts w:ascii="Times New Roman" w:eastAsia="Times New Roman" w:hAnsi="Times New Roman" w:cs="Times New Roman"/>
          <w:i/>
          <w:sz w:val="24"/>
          <w:szCs w:val="24"/>
        </w:rPr>
        <w:t>be</w:t>
      </w:r>
      <w:proofErr w:type="gramEnd"/>
      <w:r w:rsidRPr="00F76D52">
        <w:rPr>
          <w:rFonts w:ascii="Times New Roman" w:eastAsia="Times New Roman" w:hAnsi="Times New Roman" w:cs="Times New Roman"/>
          <w:i/>
          <w:sz w:val="24"/>
          <w:szCs w:val="24"/>
        </w:rPr>
        <w:t xml:space="preserve"> recommended by a Virginia</w:t>
      </w:r>
      <w:r w:rsidR="00092C39" w:rsidRPr="00092C39">
        <w:rPr>
          <w:rFonts w:ascii="Times New Roman" w:eastAsia="Times New Roman" w:hAnsi="Times New Roman" w:cs="Times New Roman"/>
          <w:i/>
          <w:sz w:val="24"/>
          <w:szCs w:val="24"/>
        </w:rPr>
        <w:t xml:space="preserve"> school division superintendent</w:t>
      </w:r>
      <w:r w:rsidRPr="00F76D52">
        <w:rPr>
          <w:rFonts w:ascii="Times New Roman" w:eastAsia="Times New Roman" w:hAnsi="Times New Roman" w:cs="Times New Roman"/>
          <w:i/>
          <w:sz w:val="24"/>
          <w:szCs w:val="24"/>
        </w:rPr>
        <w:t>. A school leader's assessment prescribed by the Board of Education must be met for all individuals who are seeking an initial endorsement authorizing them to serve as principals and assistant principals in the public schools. Individuals seeking an initial administration and supervision endorsement who are interested in serving as central office instructional personnel are not required to take and pass the school leaders assessment prescribed by the Board of Education.</w:t>
      </w:r>
    </w:p>
    <w:p w:rsidR="00F76D52" w:rsidRPr="00F76D52" w:rsidRDefault="00F76D52" w:rsidP="00D575A0">
      <w:pPr>
        <w:spacing w:after="192" w:line="348" w:lineRule="atLeast"/>
        <w:ind w:left="72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B. Approved program route to Level I administration and supervision preK-12 endorsement. To become eligible for a Level I endorsement under this option, the candidate must have:</w:t>
      </w:r>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1. A master's degree from a regionally accredited college or university;</w:t>
      </w:r>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 xml:space="preserve">2. Completed three years of successful, full-time experience in a public school or accredited nonpublic school in an instructional personnel position that requires licensure in </w:t>
      </w:r>
      <w:proofErr w:type="gramStart"/>
      <w:r w:rsidRPr="00F76D52">
        <w:rPr>
          <w:rFonts w:ascii="Times New Roman" w:eastAsia="Times New Roman" w:hAnsi="Times New Roman" w:cs="Times New Roman"/>
          <w:i/>
          <w:sz w:val="24"/>
          <w:szCs w:val="24"/>
        </w:rPr>
        <w:t>Virginia ;</w:t>
      </w:r>
      <w:proofErr w:type="gramEnd"/>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 xml:space="preserve">3. </w:t>
      </w:r>
      <w:proofErr w:type="gramStart"/>
      <w:r w:rsidRPr="00F76D52">
        <w:rPr>
          <w:rFonts w:ascii="Times New Roman" w:eastAsia="Times New Roman" w:hAnsi="Times New Roman" w:cs="Times New Roman"/>
          <w:i/>
          <w:sz w:val="24"/>
          <w:szCs w:val="24"/>
        </w:rPr>
        <w:t>Completed</w:t>
      </w:r>
      <w:proofErr w:type="gramEnd"/>
      <w:r w:rsidRPr="00F76D52">
        <w:rPr>
          <w:rFonts w:ascii="Times New Roman" w:eastAsia="Times New Roman" w:hAnsi="Times New Roman" w:cs="Times New Roman"/>
          <w:i/>
          <w:sz w:val="24"/>
          <w:szCs w:val="24"/>
        </w:rPr>
        <w:t xml:space="preserve"> an approved program in administration and supervision from a regionally accredited college or university;</w:t>
      </w:r>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4. Completed a minimum of 320 clock hours of a deliberately structured and supervised internship that provides exposure to multiple sites (elementary, middle, high, central office, agency) with diverse student populations. These experiences shall be an integral component of a Virginia Board of Education approved preparation program. The internship must be focused on instructional leadership and learning for all students and must occur in a public school or accredited nonpublic school; and</w:t>
      </w:r>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5. Satisfied the requirements for the school leaders licensure assessment prescribed by the Board of Education. Individuals seeking an initial administration and supervision endorsement who are interested in serving as central office instructional personnel are not required to take and pass the school leaders assessment prescribed by the Board of Education.</w:t>
      </w:r>
    </w:p>
    <w:p w:rsidR="00F76D52" w:rsidRPr="00F76D52" w:rsidRDefault="00F76D52" w:rsidP="00D575A0">
      <w:pPr>
        <w:spacing w:after="192" w:line="348" w:lineRule="atLeast"/>
        <w:ind w:left="72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C. Alternate route to Level I administration and supervision preK-12 endorsement restricted to the Virginia school division in which the superintendent submitted the recommendation for endorsement. This endorsement is valid only in the designated Virginia school division and would not be portable or reciprocal. In order to be eligible for Level I endorsement under this option, the candidate must have:</w:t>
      </w:r>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lastRenderedPageBreak/>
        <w:t>1. A master's degree from a regionally accredited college or university;</w:t>
      </w:r>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2. Completed graduate coursework in school law, evaluation of instruction, and other areas of study as required by an employing Virginia school superintendent; the graduate coursework must be taken from a regionally accredited college or university that has a state-approved administration and supervision program;</w:t>
      </w:r>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 xml:space="preserve">3. Completed three years of successful, full-time experience in a public school or accredited nonpublic school in an instructional personnel position that requires licensure in Virginia; </w:t>
      </w:r>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4. Satisfied the requirements for the school leaders licensure assessment specified by the Board of Education; and</w:t>
      </w:r>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5. Been recommended by the superintendent in the employing Virginia school division.</w:t>
      </w:r>
    </w:p>
    <w:p w:rsidR="00F76D52" w:rsidRPr="00F76D52" w:rsidRDefault="00F76D52" w:rsidP="00D575A0">
      <w:pPr>
        <w:spacing w:after="192" w:line="348" w:lineRule="atLeast"/>
        <w:ind w:left="72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D. Alternate route to Level I administration and supervision preK-12 endorsement. In order to be eligible for Level I endorsement under this option, the candidate must have:</w:t>
      </w:r>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1. A master's degree from a regionally accredited college or university;</w:t>
      </w:r>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 xml:space="preserve">2. Completed graduate coursework in school law, evaluation of instruction, special education, school finance, and educational leadership, and other areas of study as required by an employing Virginia school superintendent; the graduate coursework must be taken from a regionally accredited college or university that has a state-approved administration and supervision program. </w:t>
      </w:r>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3. Completed three years of successful, full-time experience in a public school or accredited nonpublic school in an instructional personnel position that requires licensure in Virginia;</w:t>
      </w:r>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4. Satisfied the requirements for the school leaders licensure assessment specified by the Board of Education; and</w:t>
      </w:r>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5. Been recommended by the superintendent in the employing Virginia school division.</w:t>
      </w:r>
    </w:p>
    <w:p w:rsidR="00F76D52" w:rsidRPr="00F76D52" w:rsidRDefault="00F76D52" w:rsidP="00D575A0">
      <w:pPr>
        <w:spacing w:after="192" w:line="348" w:lineRule="atLeast"/>
        <w:ind w:left="72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E. Out-of-state administration and supervision endorsement. The candidate must have:</w:t>
      </w:r>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1. A master's degree from a regionally accredited college or university; and</w:t>
      </w:r>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 xml:space="preserve">2. A current, valid out-of-state license (full </w:t>
      </w:r>
      <w:proofErr w:type="gramStart"/>
      <w:r w:rsidRPr="00F76D52">
        <w:rPr>
          <w:rFonts w:ascii="Times New Roman" w:eastAsia="Times New Roman" w:hAnsi="Times New Roman" w:cs="Times New Roman"/>
          <w:i/>
          <w:sz w:val="24"/>
          <w:szCs w:val="24"/>
        </w:rPr>
        <w:t>credential )</w:t>
      </w:r>
      <w:proofErr w:type="gramEnd"/>
      <w:r w:rsidRPr="00F76D52">
        <w:rPr>
          <w:rFonts w:ascii="Times New Roman" w:eastAsia="Times New Roman" w:hAnsi="Times New Roman" w:cs="Times New Roman"/>
          <w:i/>
          <w:sz w:val="24"/>
          <w:szCs w:val="24"/>
        </w:rPr>
        <w:t xml:space="preserve"> with an endorsement in administration and supervision .</w:t>
      </w:r>
    </w:p>
    <w:p w:rsidR="00F76D52" w:rsidRPr="00F76D52" w:rsidRDefault="00F76D52" w:rsidP="00D575A0">
      <w:pPr>
        <w:spacing w:after="192" w:line="348" w:lineRule="atLeast"/>
        <w:ind w:left="720"/>
        <w:rPr>
          <w:rFonts w:ascii="Times New Roman" w:eastAsia="Times New Roman" w:hAnsi="Times New Roman" w:cs="Times New Roman"/>
          <w:i/>
          <w:sz w:val="24"/>
          <w:szCs w:val="24"/>
        </w:rPr>
      </w:pPr>
      <w:proofErr w:type="gramStart"/>
      <w:r w:rsidRPr="00F76D52">
        <w:rPr>
          <w:rFonts w:ascii="Times New Roman" w:eastAsia="Times New Roman" w:hAnsi="Times New Roman" w:cs="Times New Roman"/>
          <w:i/>
          <w:sz w:val="24"/>
          <w:szCs w:val="24"/>
        </w:rPr>
        <w:lastRenderedPageBreak/>
        <w:t>F. Level II endorsement in administration and supervision preK-12.</w:t>
      </w:r>
      <w:proofErr w:type="gramEnd"/>
      <w:r w:rsidRPr="00F76D52">
        <w:rPr>
          <w:rFonts w:ascii="Times New Roman" w:eastAsia="Times New Roman" w:hAnsi="Times New Roman" w:cs="Times New Roman"/>
          <w:i/>
          <w:sz w:val="24"/>
          <w:szCs w:val="24"/>
        </w:rPr>
        <w:t xml:space="preserve"> A building-level administrator may seek Level II endorsement in administration and supervision preK-12 after successfully serving as a building-level administrator for at least five years in a public school or accredited nonpublic school and successfully completing a formal induction program as a principal or assistant principal. In order to earn Level II endorsement, the candidate must meet two or more of the following criteria as specified by the Board of Education and documented in a Department of Education approved format and be recommended by the employing Virginia school division superintendent :</w:t>
      </w:r>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1. Evidence of improved student achievement;</w:t>
      </w:r>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2. Evidence of effective instructional leadership;</w:t>
      </w:r>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3. Evidence of positive effect on school climate or culture;</w:t>
      </w:r>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4. Earned doctorate in educational leadership or evidence of formal professional development in the areas of school law, school finance, supervision, human resource management, and instructional leadership; or</w:t>
      </w:r>
    </w:p>
    <w:p w:rsidR="00F76D52" w:rsidRPr="00F76D52" w:rsidRDefault="00F76D52" w:rsidP="00D575A0">
      <w:pPr>
        <w:spacing w:after="192" w:line="348" w:lineRule="atLeast"/>
        <w:ind w:left="960"/>
        <w:rPr>
          <w:rFonts w:ascii="Times New Roman" w:eastAsia="Times New Roman" w:hAnsi="Times New Roman" w:cs="Times New Roman"/>
          <w:i/>
          <w:sz w:val="24"/>
          <w:szCs w:val="24"/>
        </w:rPr>
      </w:pPr>
      <w:r w:rsidRPr="00F76D52">
        <w:rPr>
          <w:rFonts w:ascii="Times New Roman" w:eastAsia="Times New Roman" w:hAnsi="Times New Roman" w:cs="Times New Roman"/>
          <w:i/>
          <w:sz w:val="24"/>
          <w:szCs w:val="24"/>
        </w:rPr>
        <w:t>5. Evidence of a completion of a high-quality professional development project designed by the division superintendent.</w:t>
      </w:r>
    </w:p>
    <w:p w:rsidR="00E024D9" w:rsidRPr="00C17761" w:rsidRDefault="00123E2E" w:rsidP="00EC77BC">
      <w:pPr>
        <w:pStyle w:val="Heading2"/>
        <w:spacing w:before="0"/>
        <w:rPr>
          <w:rFonts w:cs="Times New Roman"/>
          <w:szCs w:val="24"/>
        </w:rPr>
      </w:pPr>
      <w:r w:rsidRPr="00C17761">
        <w:rPr>
          <w:rFonts w:cs="Times New Roman"/>
          <w:szCs w:val="24"/>
        </w:rPr>
        <w:t>Timetable for Further Review/Action:</w:t>
      </w:r>
    </w:p>
    <w:p w:rsidR="00E024D9" w:rsidRPr="00C17761" w:rsidRDefault="00E024D9" w:rsidP="00BB22DC">
      <w:pPr>
        <w:rPr>
          <w:rFonts w:ascii="Times New Roman" w:hAnsi="Times New Roman" w:cs="Times New Roman"/>
          <w:b/>
          <w:bCs/>
          <w:sz w:val="24"/>
          <w:szCs w:val="24"/>
        </w:rPr>
      </w:pPr>
      <w:r w:rsidRPr="00C17761">
        <w:rPr>
          <w:rFonts w:ascii="Times New Roman" w:hAnsi="Times New Roman" w:cs="Times New Roman"/>
          <w:sz w:val="24"/>
          <w:szCs w:val="24"/>
        </w:rPr>
        <w:t>Upon approval by the Board of Education, school divisions and institutions of higher education</w:t>
      </w:r>
      <w:r w:rsidR="00870B14">
        <w:rPr>
          <w:rFonts w:ascii="Times New Roman" w:hAnsi="Times New Roman" w:cs="Times New Roman"/>
          <w:sz w:val="24"/>
          <w:szCs w:val="24"/>
        </w:rPr>
        <w:t xml:space="preserve"> will be notified of the </w:t>
      </w:r>
      <w:r w:rsidR="00C17761" w:rsidRPr="00C17761">
        <w:rPr>
          <w:rFonts w:ascii="Times New Roman" w:hAnsi="Times New Roman" w:cs="Times New Roman"/>
          <w:sz w:val="24"/>
          <w:szCs w:val="24"/>
        </w:rPr>
        <w:t>School Leader Licensure Assessment (6990)</w:t>
      </w:r>
      <w:r w:rsidR="00C17761">
        <w:rPr>
          <w:rFonts w:ascii="Times New Roman" w:hAnsi="Times New Roman" w:cs="Times New Roman"/>
          <w:sz w:val="24"/>
          <w:szCs w:val="24"/>
        </w:rPr>
        <w:t xml:space="preserve"> </w:t>
      </w:r>
      <w:r w:rsidRPr="00C17761">
        <w:rPr>
          <w:rFonts w:ascii="Times New Roman" w:hAnsi="Times New Roman" w:cs="Times New Roman"/>
          <w:sz w:val="24"/>
          <w:szCs w:val="24"/>
        </w:rPr>
        <w:t xml:space="preserve">requirement. </w:t>
      </w:r>
    </w:p>
    <w:p w:rsidR="009B109E" w:rsidRPr="00C17761" w:rsidRDefault="000E009D" w:rsidP="00EC77BC">
      <w:pPr>
        <w:pStyle w:val="Heading2"/>
        <w:spacing w:before="0"/>
        <w:rPr>
          <w:rFonts w:cs="Times New Roman"/>
          <w:szCs w:val="24"/>
        </w:rPr>
      </w:pPr>
      <w:r w:rsidRPr="00C17761">
        <w:rPr>
          <w:rFonts w:cs="Times New Roman"/>
          <w:szCs w:val="24"/>
        </w:rPr>
        <w:t xml:space="preserve">Impact on Fiscal and Human Resources: </w:t>
      </w:r>
    </w:p>
    <w:p w:rsidR="00E024D9" w:rsidRPr="00C17761" w:rsidRDefault="00E024D9" w:rsidP="00EC77BC">
      <w:pPr>
        <w:autoSpaceDE w:val="0"/>
        <w:autoSpaceDN w:val="0"/>
        <w:adjustRightInd w:val="0"/>
        <w:rPr>
          <w:rFonts w:ascii="Times New Roman" w:hAnsi="Times New Roman"/>
          <w:color w:val="000000"/>
          <w:sz w:val="24"/>
          <w:szCs w:val="24"/>
        </w:rPr>
      </w:pPr>
      <w:r w:rsidRPr="00C17761">
        <w:rPr>
          <w:rFonts w:ascii="Times New Roman" w:hAnsi="Times New Roman"/>
          <w:color w:val="000000"/>
          <w:sz w:val="24"/>
          <w:szCs w:val="24"/>
        </w:rPr>
        <w:t xml:space="preserve">Costs associated with the administration of </w:t>
      </w:r>
      <w:r w:rsidR="00870B14">
        <w:rPr>
          <w:rFonts w:ascii="Times New Roman" w:eastAsia="Calibri" w:hAnsi="Times New Roman"/>
          <w:bCs/>
          <w:sz w:val="24"/>
          <w:szCs w:val="24"/>
        </w:rPr>
        <w:t xml:space="preserve">the </w:t>
      </w:r>
      <w:r w:rsidR="00C17761" w:rsidRPr="00C17761">
        <w:rPr>
          <w:rFonts w:ascii="Times New Roman" w:eastAsia="Calibri" w:hAnsi="Times New Roman"/>
          <w:bCs/>
          <w:sz w:val="24"/>
          <w:szCs w:val="24"/>
        </w:rPr>
        <w:t>School Leader Licensure Assessment</w:t>
      </w:r>
      <w:r w:rsidR="001F6096">
        <w:rPr>
          <w:rFonts w:ascii="Times New Roman" w:eastAsia="Calibri" w:hAnsi="Times New Roman"/>
          <w:bCs/>
          <w:sz w:val="24"/>
          <w:szCs w:val="24"/>
        </w:rPr>
        <w:t> </w:t>
      </w:r>
      <w:r w:rsidR="00C17761" w:rsidRPr="00C17761">
        <w:rPr>
          <w:rFonts w:ascii="Times New Roman" w:eastAsia="Calibri" w:hAnsi="Times New Roman"/>
          <w:bCs/>
          <w:sz w:val="24"/>
          <w:szCs w:val="24"/>
        </w:rPr>
        <w:t>(6990)</w:t>
      </w:r>
      <w:r w:rsidR="00C17761">
        <w:rPr>
          <w:rFonts w:ascii="Times New Roman" w:eastAsia="Calibri" w:hAnsi="Times New Roman"/>
          <w:bCs/>
          <w:sz w:val="24"/>
          <w:szCs w:val="24"/>
        </w:rPr>
        <w:t xml:space="preserve"> </w:t>
      </w:r>
      <w:r w:rsidRPr="00C17761">
        <w:rPr>
          <w:rFonts w:ascii="Times New Roman" w:hAnsi="Times New Roman"/>
          <w:color w:val="000000"/>
          <w:sz w:val="24"/>
          <w:szCs w:val="24"/>
        </w:rPr>
        <w:t xml:space="preserve">will be incurred by the Educational Testing Service.  Prospective </w:t>
      </w:r>
      <w:r w:rsidR="00C415EB" w:rsidRPr="00C17761">
        <w:rPr>
          <w:rFonts w:ascii="Times New Roman" w:hAnsi="Times New Roman"/>
          <w:color w:val="000000"/>
          <w:sz w:val="24"/>
          <w:szCs w:val="24"/>
        </w:rPr>
        <w:t>administrators</w:t>
      </w:r>
      <w:r w:rsidRPr="00C17761">
        <w:rPr>
          <w:rFonts w:ascii="Times New Roman" w:hAnsi="Times New Roman"/>
          <w:color w:val="000000"/>
          <w:sz w:val="24"/>
          <w:szCs w:val="24"/>
        </w:rPr>
        <w:t xml:space="preserve"> are required to pay test fees. </w:t>
      </w:r>
    </w:p>
    <w:p w:rsidR="00870B14" w:rsidRDefault="00B43197" w:rsidP="00566D52">
      <w:pPr>
        <w:rPr>
          <w:rFonts w:ascii="Times New Roman" w:hAnsi="Times New Roman"/>
          <w:b/>
          <w:sz w:val="40"/>
          <w:szCs w:val="40"/>
          <w:u w:val="single"/>
        </w:rPr>
      </w:pPr>
      <w:r>
        <w:rPr>
          <w:rFonts w:ascii="Times New Roman" w:hAnsi="Times New Roman"/>
          <w:color w:val="000000"/>
          <w:szCs w:val="24"/>
        </w:rPr>
        <w:br w:type="page"/>
      </w:r>
    </w:p>
    <w:p w:rsidR="00B43197" w:rsidRPr="0059446A" w:rsidRDefault="00B43197" w:rsidP="00870B14">
      <w:pPr>
        <w:jc w:val="center"/>
        <w:rPr>
          <w:rFonts w:ascii="Times New Roman" w:hAnsi="Times New Roman"/>
          <w:b/>
          <w:sz w:val="40"/>
          <w:szCs w:val="40"/>
          <w:u w:val="single"/>
        </w:rPr>
      </w:pPr>
      <w:r>
        <w:rPr>
          <w:rFonts w:ascii="Times New Roman" w:hAnsi="Times New Roman"/>
          <w:b/>
          <w:sz w:val="40"/>
          <w:szCs w:val="40"/>
          <w:u w:val="single"/>
        </w:rPr>
        <w:lastRenderedPageBreak/>
        <w:t>ATTACHMENT 1</w:t>
      </w:r>
    </w:p>
    <w:p w:rsidR="00B43197" w:rsidRPr="00870B14" w:rsidRDefault="00B43197" w:rsidP="00870B14">
      <w:pPr>
        <w:jc w:val="center"/>
        <w:rPr>
          <w:rFonts w:ascii="Times New Roman" w:hAnsi="Times New Roman"/>
          <w:sz w:val="40"/>
          <w:szCs w:val="40"/>
        </w:rPr>
      </w:pPr>
      <w:r w:rsidRPr="00870B14">
        <w:rPr>
          <w:rFonts w:ascii="Times New Roman" w:hAnsi="Times New Roman"/>
          <w:sz w:val="40"/>
          <w:szCs w:val="40"/>
        </w:rPr>
        <w:t>Multistate Standard-Setting Technical Report</w:t>
      </w:r>
    </w:p>
    <w:p w:rsidR="008253EC" w:rsidRPr="00870B14" w:rsidRDefault="00B43197" w:rsidP="00870B14">
      <w:pPr>
        <w:jc w:val="center"/>
        <w:rPr>
          <w:rFonts w:ascii="Times New Roman" w:hAnsi="Times New Roman"/>
          <w:sz w:val="40"/>
          <w:szCs w:val="40"/>
        </w:rPr>
      </w:pPr>
      <w:r w:rsidRPr="00870B14">
        <w:rPr>
          <w:rFonts w:ascii="Times New Roman" w:hAnsi="Times New Roman"/>
          <w:i/>
          <w:sz w:val="40"/>
          <w:szCs w:val="40"/>
        </w:rPr>
        <w:t>Praxis</w:t>
      </w:r>
      <w:r w:rsidRPr="00870B14">
        <w:rPr>
          <w:rStyle w:val="rhbody1"/>
          <w:sz w:val="40"/>
          <w:szCs w:val="40"/>
          <w:vertAlign w:val="superscript"/>
        </w:rPr>
        <w:t>®</w:t>
      </w:r>
      <w:r w:rsidRPr="00870B14">
        <w:rPr>
          <w:rStyle w:val="rhbody1"/>
          <w:sz w:val="40"/>
          <w:szCs w:val="40"/>
        </w:rPr>
        <w:t xml:space="preserve"> </w:t>
      </w:r>
      <w:r w:rsidR="00870B14" w:rsidRPr="00870B14">
        <w:rPr>
          <w:rFonts w:ascii="Times New Roman" w:hAnsi="Times New Roman"/>
          <w:sz w:val="40"/>
          <w:szCs w:val="40"/>
        </w:rPr>
        <w:t>School Leader Licensure Assessment</w:t>
      </w:r>
      <w:r w:rsidR="008253EC" w:rsidRPr="00870B14">
        <w:rPr>
          <w:rFonts w:ascii="Times New Roman" w:hAnsi="Times New Roman"/>
          <w:sz w:val="40"/>
          <w:szCs w:val="40"/>
        </w:rPr>
        <w:t xml:space="preserve"> (6990)</w:t>
      </w:r>
    </w:p>
    <w:p w:rsidR="00870B14" w:rsidRDefault="007C5F4E" w:rsidP="00566D52">
      <w:pPr>
        <w:rPr>
          <w:rFonts w:ascii="Times New Roman" w:hAnsi="Times New Roman"/>
          <w:b/>
          <w:sz w:val="40"/>
          <w:szCs w:val="40"/>
          <w:u w:val="single"/>
        </w:rPr>
      </w:pPr>
      <w:r>
        <w:rPr>
          <w:rFonts w:ascii="Times New Roman" w:hAnsi="Times New Roman"/>
          <w:b/>
          <w:sz w:val="40"/>
          <w:szCs w:val="40"/>
          <w:u w:val="single"/>
        </w:rPr>
        <w:br w:type="page"/>
      </w:r>
    </w:p>
    <w:p w:rsidR="007C5F4E" w:rsidRDefault="007C5F4E" w:rsidP="00B43197">
      <w:pPr>
        <w:jc w:val="center"/>
        <w:rPr>
          <w:rFonts w:ascii="Times New Roman" w:hAnsi="Times New Roman"/>
          <w:b/>
          <w:sz w:val="40"/>
          <w:szCs w:val="40"/>
          <w:u w:val="single"/>
        </w:rPr>
      </w:pPr>
      <w:r>
        <w:rPr>
          <w:rFonts w:ascii="Times New Roman" w:hAnsi="Times New Roman"/>
          <w:b/>
          <w:sz w:val="40"/>
          <w:szCs w:val="40"/>
          <w:u w:val="single"/>
        </w:rPr>
        <w:lastRenderedPageBreak/>
        <w:t>ATTACHMENT 2</w:t>
      </w:r>
    </w:p>
    <w:p w:rsidR="00B43197" w:rsidRPr="00870B14" w:rsidRDefault="00B43197" w:rsidP="00B43197">
      <w:pPr>
        <w:jc w:val="center"/>
        <w:rPr>
          <w:rFonts w:ascii="Times New Roman" w:hAnsi="Times New Roman"/>
          <w:i/>
          <w:sz w:val="40"/>
          <w:szCs w:val="40"/>
        </w:rPr>
      </w:pPr>
      <w:r w:rsidRPr="00870B14">
        <w:rPr>
          <w:rFonts w:ascii="Times New Roman" w:hAnsi="Times New Roman"/>
          <w:i/>
          <w:sz w:val="40"/>
          <w:szCs w:val="40"/>
        </w:rPr>
        <w:t>Test at a Glance</w:t>
      </w:r>
    </w:p>
    <w:p w:rsidR="00B43197" w:rsidRPr="00870B14" w:rsidRDefault="00B43197" w:rsidP="008253EC">
      <w:pPr>
        <w:jc w:val="center"/>
        <w:rPr>
          <w:rFonts w:ascii="Times New Roman" w:hAnsi="Times New Roman"/>
          <w:sz w:val="40"/>
          <w:szCs w:val="40"/>
        </w:rPr>
      </w:pPr>
      <w:r w:rsidRPr="004B1302">
        <w:rPr>
          <w:rFonts w:ascii="Times New Roman" w:hAnsi="Times New Roman"/>
          <w:i/>
          <w:sz w:val="40"/>
          <w:szCs w:val="40"/>
        </w:rPr>
        <w:t>Praxis</w:t>
      </w:r>
      <w:r w:rsidRPr="004B1302">
        <w:rPr>
          <w:rStyle w:val="rhbody1"/>
          <w:sz w:val="40"/>
          <w:szCs w:val="40"/>
          <w:vertAlign w:val="superscript"/>
        </w:rPr>
        <w:t>®</w:t>
      </w:r>
      <w:r w:rsidRPr="004B1302">
        <w:rPr>
          <w:rStyle w:val="rhbody1"/>
          <w:sz w:val="40"/>
          <w:szCs w:val="40"/>
        </w:rPr>
        <w:t xml:space="preserve"> </w:t>
      </w:r>
      <w:r w:rsidR="00870B14" w:rsidRPr="00870B14">
        <w:rPr>
          <w:rFonts w:ascii="Times New Roman" w:hAnsi="Times New Roman"/>
          <w:sz w:val="40"/>
          <w:szCs w:val="40"/>
        </w:rPr>
        <w:t xml:space="preserve">School Leader Licensure Assessment </w:t>
      </w:r>
      <w:r w:rsidR="008253EC" w:rsidRPr="00870B14">
        <w:rPr>
          <w:rFonts w:ascii="Times New Roman" w:hAnsi="Times New Roman"/>
          <w:sz w:val="40"/>
          <w:szCs w:val="40"/>
        </w:rPr>
        <w:t>(6990)</w:t>
      </w:r>
    </w:p>
    <w:p w:rsidR="00B43197" w:rsidRPr="00CA2375" w:rsidRDefault="00B43197" w:rsidP="00B43197">
      <w:pPr>
        <w:autoSpaceDE w:val="0"/>
        <w:autoSpaceDN w:val="0"/>
        <w:adjustRightInd w:val="0"/>
        <w:jc w:val="center"/>
        <w:rPr>
          <w:rFonts w:ascii="Times New Roman" w:hAnsi="Times New Roman"/>
          <w:color w:val="000000"/>
          <w:szCs w:val="24"/>
        </w:rPr>
      </w:pPr>
    </w:p>
    <w:p w:rsidR="005D3044" w:rsidRPr="00727D63" w:rsidRDefault="005D3044" w:rsidP="00EC77BC">
      <w:pPr>
        <w:rPr>
          <w:rFonts w:ascii="Times New Roman" w:hAnsi="Times New Roman" w:cs="Times New Roman"/>
          <w:sz w:val="24"/>
          <w:szCs w:val="24"/>
        </w:rPr>
      </w:pPr>
    </w:p>
    <w:sectPr w:rsidR="005D3044" w:rsidRPr="00727D63" w:rsidSect="00A9062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26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7C5" w:rsidRDefault="005357C5" w:rsidP="000E009D">
      <w:pPr>
        <w:spacing w:after="0" w:line="240" w:lineRule="auto"/>
      </w:pPr>
      <w:r>
        <w:separator/>
      </w:r>
    </w:p>
  </w:endnote>
  <w:endnote w:type="continuationSeparator" w:id="0">
    <w:p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9C7" w:rsidRDefault="007C2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F20A01">
          <w:rPr>
            <w:rFonts w:ascii="Times New Roman" w:hAnsi="Times New Roman" w:cs="Times New Roman"/>
            <w:noProof/>
          </w:rPr>
          <w:t>A</w:t>
        </w:r>
        <w:r w:rsidRPr="000E009D">
          <w:rPr>
            <w:rFonts w:ascii="Times New Roman" w:hAnsi="Times New Roman" w:cs="Times New Roman"/>
            <w:noProof/>
          </w:rPr>
          <w:fldChar w:fldCharType="end"/>
        </w:r>
      </w:p>
    </w:sdtContent>
  </w:sdt>
  <w:p w:rsidR="000E009D" w:rsidRDefault="000E00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9C7" w:rsidRDefault="007C2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7C5" w:rsidRDefault="005357C5" w:rsidP="000E009D">
      <w:pPr>
        <w:spacing w:after="0" w:line="240" w:lineRule="auto"/>
      </w:pPr>
      <w:r>
        <w:separator/>
      </w:r>
    </w:p>
  </w:footnote>
  <w:footnote w:type="continuationSeparator" w:id="0">
    <w:p w:rsidR="005357C5" w:rsidRDefault="005357C5" w:rsidP="000E009D">
      <w:pPr>
        <w:spacing w:after="0" w:line="240" w:lineRule="auto"/>
      </w:pPr>
      <w:r>
        <w:continuationSeparator/>
      </w:r>
    </w:p>
  </w:footnote>
  <w:footnote w:id="1">
    <w:p w:rsidR="006E1CC2" w:rsidRPr="00F866D0" w:rsidRDefault="006E1CC2">
      <w:pPr>
        <w:pStyle w:val="FootnoteText"/>
        <w:rPr>
          <w:rFonts w:ascii="Times New Roman" w:hAnsi="Times New Roman" w:cs="Times New Roman"/>
        </w:rPr>
      </w:pPr>
      <w:r w:rsidRPr="00F866D0">
        <w:rPr>
          <w:rStyle w:val="FootnoteReference"/>
          <w:rFonts w:ascii="Times New Roman" w:hAnsi="Times New Roman" w:cs="Times New Roman"/>
        </w:rPr>
        <w:footnoteRef/>
      </w:r>
      <w:r w:rsidRPr="00F866D0">
        <w:rPr>
          <w:rFonts w:ascii="Times New Roman" w:hAnsi="Times New Roman" w:cs="Times New Roman"/>
        </w:rPr>
        <w:t xml:space="preserve"> Please note the current test is the School </w:t>
      </w:r>
      <w:r w:rsidRPr="00F866D0">
        <w:rPr>
          <w:rFonts w:ascii="Times New Roman" w:hAnsi="Times New Roman" w:cs="Times New Roman"/>
          <w:b/>
        </w:rPr>
        <w:t>Leaders</w:t>
      </w:r>
      <w:r w:rsidRPr="00F866D0">
        <w:rPr>
          <w:rFonts w:ascii="Times New Roman" w:hAnsi="Times New Roman" w:cs="Times New Roman"/>
        </w:rPr>
        <w:t xml:space="preserve"> Licensure Assessment (6011)</w:t>
      </w:r>
      <w:r w:rsidR="00FD16B7">
        <w:rPr>
          <w:rFonts w:ascii="Times New Roman" w:hAnsi="Times New Roman" w:cs="Times New Roman"/>
        </w:rPr>
        <w:t>,</w:t>
      </w:r>
      <w:r w:rsidRPr="00F866D0">
        <w:rPr>
          <w:rFonts w:ascii="Times New Roman" w:hAnsi="Times New Roman" w:cs="Times New Roman"/>
        </w:rPr>
        <w:t xml:space="preserve"> and the revised test is the School </w:t>
      </w:r>
      <w:r w:rsidRPr="00F866D0">
        <w:rPr>
          <w:rFonts w:ascii="Times New Roman" w:hAnsi="Times New Roman" w:cs="Times New Roman"/>
          <w:b/>
        </w:rPr>
        <w:t>Leader</w:t>
      </w:r>
      <w:r w:rsidRPr="00F866D0">
        <w:rPr>
          <w:rFonts w:ascii="Times New Roman" w:hAnsi="Times New Roman" w:cs="Times New Roman"/>
        </w:rPr>
        <w:t xml:space="preserve"> Licensure Assessment (6990).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9C7" w:rsidRDefault="007C29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9C7" w:rsidRDefault="007C29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9C7" w:rsidRDefault="007C2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C70EB4"/>
    <w:multiLevelType w:val="hybridMultilevel"/>
    <w:tmpl w:val="82D23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92C39"/>
    <w:rsid w:val="000D2E3D"/>
    <w:rsid w:val="000D590D"/>
    <w:rsid w:val="000E009D"/>
    <w:rsid w:val="00123E2E"/>
    <w:rsid w:val="0013594E"/>
    <w:rsid w:val="0013720C"/>
    <w:rsid w:val="00141B2E"/>
    <w:rsid w:val="00151D8B"/>
    <w:rsid w:val="001F6096"/>
    <w:rsid w:val="00275227"/>
    <w:rsid w:val="002E6268"/>
    <w:rsid w:val="003162E8"/>
    <w:rsid w:val="00350A12"/>
    <w:rsid w:val="003730EB"/>
    <w:rsid w:val="003C187A"/>
    <w:rsid w:val="003E15B5"/>
    <w:rsid w:val="003E1949"/>
    <w:rsid w:val="004A4963"/>
    <w:rsid w:val="004B1302"/>
    <w:rsid w:val="004B65C0"/>
    <w:rsid w:val="004C4B9D"/>
    <w:rsid w:val="00530462"/>
    <w:rsid w:val="005357C5"/>
    <w:rsid w:val="00537153"/>
    <w:rsid w:val="00566D52"/>
    <w:rsid w:val="005A1453"/>
    <w:rsid w:val="005C1B70"/>
    <w:rsid w:val="005C2863"/>
    <w:rsid w:val="005D0C96"/>
    <w:rsid w:val="005D3044"/>
    <w:rsid w:val="005D6EDE"/>
    <w:rsid w:val="005E70AA"/>
    <w:rsid w:val="006466FB"/>
    <w:rsid w:val="0065013E"/>
    <w:rsid w:val="00653598"/>
    <w:rsid w:val="00680D3D"/>
    <w:rsid w:val="00682A92"/>
    <w:rsid w:val="006E1CC2"/>
    <w:rsid w:val="006E62C7"/>
    <w:rsid w:val="006F6868"/>
    <w:rsid w:val="00727D63"/>
    <w:rsid w:val="00762F4E"/>
    <w:rsid w:val="0077204B"/>
    <w:rsid w:val="0077429C"/>
    <w:rsid w:val="007853FB"/>
    <w:rsid w:val="007923C0"/>
    <w:rsid w:val="007926DB"/>
    <w:rsid w:val="007C29C7"/>
    <w:rsid w:val="007C5F4E"/>
    <w:rsid w:val="00805AF1"/>
    <w:rsid w:val="008121CB"/>
    <w:rsid w:val="008208E9"/>
    <w:rsid w:val="008253EC"/>
    <w:rsid w:val="008364E6"/>
    <w:rsid w:val="008446D6"/>
    <w:rsid w:val="00870B14"/>
    <w:rsid w:val="008858E0"/>
    <w:rsid w:val="00892D0F"/>
    <w:rsid w:val="008B7818"/>
    <w:rsid w:val="009B109E"/>
    <w:rsid w:val="009B7A05"/>
    <w:rsid w:val="009E63A1"/>
    <w:rsid w:val="009F756A"/>
    <w:rsid w:val="00A27840"/>
    <w:rsid w:val="00A47F8C"/>
    <w:rsid w:val="00A90629"/>
    <w:rsid w:val="00A972CE"/>
    <w:rsid w:val="00AB1F4C"/>
    <w:rsid w:val="00B43197"/>
    <w:rsid w:val="00B7742B"/>
    <w:rsid w:val="00B96CA6"/>
    <w:rsid w:val="00BB22DC"/>
    <w:rsid w:val="00BB4FBD"/>
    <w:rsid w:val="00C17761"/>
    <w:rsid w:val="00C415EB"/>
    <w:rsid w:val="00C779D3"/>
    <w:rsid w:val="00D0770D"/>
    <w:rsid w:val="00D15D38"/>
    <w:rsid w:val="00D171E9"/>
    <w:rsid w:val="00D575A0"/>
    <w:rsid w:val="00D63C11"/>
    <w:rsid w:val="00DB3E3D"/>
    <w:rsid w:val="00DC2AB6"/>
    <w:rsid w:val="00DF61FF"/>
    <w:rsid w:val="00E024D9"/>
    <w:rsid w:val="00E96098"/>
    <w:rsid w:val="00EA4972"/>
    <w:rsid w:val="00EB0742"/>
    <w:rsid w:val="00EC77BC"/>
    <w:rsid w:val="00EC7CF9"/>
    <w:rsid w:val="00ED5F39"/>
    <w:rsid w:val="00ED6527"/>
    <w:rsid w:val="00F20A01"/>
    <w:rsid w:val="00F76D52"/>
    <w:rsid w:val="00F866D0"/>
    <w:rsid w:val="00FA1470"/>
    <w:rsid w:val="00FD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6D52"/>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566D52"/>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EA497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49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566D52"/>
    <w:rPr>
      <w:rFonts w:ascii="Times New Roman" w:eastAsiaTheme="majorEastAsia" w:hAnsi="Times New Roman" w:cstheme="majorBidi"/>
      <w:b/>
      <w:bCs/>
      <w:sz w:val="24"/>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styleId="Hyperlink">
    <w:name w:val="Hyperlink"/>
    <w:basedOn w:val="DefaultParagraphFont"/>
    <w:uiPriority w:val="99"/>
    <w:unhideWhenUsed/>
    <w:rsid w:val="005D3044"/>
    <w:rPr>
      <w:color w:val="0000FF" w:themeColor="hyperlink"/>
      <w:u w:val="single"/>
    </w:rPr>
  </w:style>
  <w:style w:type="character" w:customStyle="1" w:styleId="Heading3Char">
    <w:name w:val="Heading 3 Char"/>
    <w:basedOn w:val="DefaultParagraphFont"/>
    <w:link w:val="Heading3"/>
    <w:uiPriority w:val="9"/>
    <w:rsid w:val="00566D52"/>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EA497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A4972"/>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5D6EDE"/>
    <w:pPr>
      <w:spacing w:after="0" w:line="240" w:lineRule="auto"/>
      <w:jc w:val="center"/>
    </w:pPr>
    <w:rPr>
      <w:rFonts w:ascii="Times New Roman" w:eastAsia="Times New Roman" w:hAnsi="Times New Roman" w:cs="Times New Roman"/>
      <w:b/>
      <w:i/>
      <w:sz w:val="32"/>
      <w:szCs w:val="20"/>
    </w:rPr>
  </w:style>
  <w:style w:type="character" w:customStyle="1" w:styleId="BodyTextChar">
    <w:name w:val="Body Text Char"/>
    <w:basedOn w:val="DefaultParagraphFont"/>
    <w:link w:val="BodyText"/>
    <w:rsid w:val="005D6EDE"/>
    <w:rPr>
      <w:rFonts w:ascii="Times New Roman" w:eastAsia="Times New Roman" w:hAnsi="Times New Roman" w:cs="Times New Roman"/>
      <w:b/>
      <w:i/>
      <w:sz w:val="32"/>
      <w:szCs w:val="20"/>
    </w:rPr>
  </w:style>
  <w:style w:type="paragraph" w:styleId="Caption">
    <w:name w:val="caption"/>
    <w:basedOn w:val="Normal"/>
    <w:next w:val="Normal"/>
    <w:uiPriority w:val="35"/>
    <w:unhideWhenUsed/>
    <w:qFormat/>
    <w:rsid w:val="00A27840"/>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151D8B"/>
    <w:rPr>
      <w:color w:val="800080" w:themeColor="followedHyperlink"/>
      <w:u w:val="single"/>
    </w:rPr>
  </w:style>
  <w:style w:type="character" w:customStyle="1" w:styleId="rhbody1">
    <w:name w:val="rhbody1"/>
    <w:basedOn w:val="DefaultParagraphFont"/>
    <w:rsid w:val="00B43197"/>
    <w:rPr>
      <w:strike w:val="0"/>
      <w:dstrike w:val="0"/>
      <w:u w:val="none"/>
      <w:effect w:val="none"/>
    </w:rPr>
  </w:style>
  <w:style w:type="paragraph" w:styleId="FootnoteText">
    <w:name w:val="footnote text"/>
    <w:basedOn w:val="Normal"/>
    <w:link w:val="FootnoteTextChar"/>
    <w:uiPriority w:val="99"/>
    <w:semiHidden/>
    <w:unhideWhenUsed/>
    <w:rsid w:val="006E1C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1CC2"/>
    <w:rPr>
      <w:sz w:val="20"/>
      <w:szCs w:val="20"/>
    </w:rPr>
  </w:style>
  <w:style w:type="character" w:styleId="FootnoteReference">
    <w:name w:val="footnote reference"/>
    <w:basedOn w:val="DefaultParagraphFont"/>
    <w:uiPriority w:val="99"/>
    <w:semiHidden/>
    <w:unhideWhenUsed/>
    <w:rsid w:val="006E1C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6D52"/>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566D52"/>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EA497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49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566D52"/>
    <w:rPr>
      <w:rFonts w:ascii="Times New Roman" w:eastAsiaTheme="majorEastAsia" w:hAnsi="Times New Roman" w:cstheme="majorBidi"/>
      <w:b/>
      <w:bCs/>
      <w:sz w:val="24"/>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styleId="Hyperlink">
    <w:name w:val="Hyperlink"/>
    <w:basedOn w:val="DefaultParagraphFont"/>
    <w:uiPriority w:val="99"/>
    <w:unhideWhenUsed/>
    <w:rsid w:val="005D3044"/>
    <w:rPr>
      <w:color w:val="0000FF" w:themeColor="hyperlink"/>
      <w:u w:val="single"/>
    </w:rPr>
  </w:style>
  <w:style w:type="character" w:customStyle="1" w:styleId="Heading3Char">
    <w:name w:val="Heading 3 Char"/>
    <w:basedOn w:val="DefaultParagraphFont"/>
    <w:link w:val="Heading3"/>
    <w:uiPriority w:val="9"/>
    <w:rsid w:val="00566D52"/>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EA497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A4972"/>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5D6EDE"/>
    <w:pPr>
      <w:spacing w:after="0" w:line="240" w:lineRule="auto"/>
      <w:jc w:val="center"/>
    </w:pPr>
    <w:rPr>
      <w:rFonts w:ascii="Times New Roman" w:eastAsia="Times New Roman" w:hAnsi="Times New Roman" w:cs="Times New Roman"/>
      <w:b/>
      <w:i/>
      <w:sz w:val="32"/>
      <w:szCs w:val="20"/>
    </w:rPr>
  </w:style>
  <w:style w:type="character" w:customStyle="1" w:styleId="BodyTextChar">
    <w:name w:val="Body Text Char"/>
    <w:basedOn w:val="DefaultParagraphFont"/>
    <w:link w:val="BodyText"/>
    <w:rsid w:val="005D6EDE"/>
    <w:rPr>
      <w:rFonts w:ascii="Times New Roman" w:eastAsia="Times New Roman" w:hAnsi="Times New Roman" w:cs="Times New Roman"/>
      <w:b/>
      <w:i/>
      <w:sz w:val="32"/>
      <w:szCs w:val="20"/>
    </w:rPr>
  </w:style>
  <w:style w:type="paragraph" w:styleId="Caption">
    <w:name w:val="caption"/>
    <w:basedOn w:val="Normal"/>
    <w:next w:val="Normal"/>
    <w:uiPriority w:val="35"/>
    <w:unhideWhenUsed/>
    <w:qFormat/>
    <w:rsid w:val="00A27840"/>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151D8B"/>
    <w:rPr>
      <w:color w:val="800080" w:themeColor="followedHyperlink"/>
      <w:u w:val="single"/>
    </w:rPr>
  </w:style>
  <w:style w:type="character" w:customStyle="1" w:styleId="rhbody1">
    <w:name w:val="rhbody1"/>
    <w:basedOn w:val="DefaultParagraphFont"/>
    <w:rsid w:val="00B43197"/>
    <w:rPr>
      <w:strike w:val="0"/>
      <w:dstrike w:val="0"/>
      <w:u w:val="none"/>
      <w:effect w:val="none"/>
    </w:rPr>
  </w:style>
  <w:style w:type="paragraph" w:styleId="FootnoteText">
    <w:name w:val="footnote text"/>
    <w:basedOn w:val="Normal"/>
    <w:link w:val="FootnoteTextChar"/>
    <w:uiPriority w:val="99"/>
    <w:semiHidden/>
    <w:unhideWhenUsed/>
    <w:rsid w:val="006E1C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1CC2"/>
    <w:rPr>
      <w:sz w:val="20"/>
      <w:szCs w:val="20"/>
    </w:rPr>
  </w:style>
  <w:style w:type="character" w:styleId="FootnoteReference">
    <w:name w:val="footnote reference"/>
    <w:basedOn w:val="DefaultParagraphFont"/>
    <w:uiPriority w:val="99"/>
    <w:semiHidden/>
    <w:unhideWhenUsed/>
    <w:rsid w:val="006E1C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62801">
      <w:bodyDiv w:val="1"/>
      <w:marLeft w:val="0"/>
      <w:marRight w:val="0"/>
      <w:marTop w:val="0"/>
      <w:marBottom w:val="0"/>
      <w:divBdr>
        <w:top w:val="none" w:sz="0" w:space="0" w:color="auto"/>
        <w:left w:val="none" w:sz="0" w:space="0" w:color="auto"/>
        <w:bottom w:val="none" w:sz="0" w:space="0" w:color="auto"/>
        <w:right w:val="none" w:sz="0" w:space="0" w:color="auto"/>
      </w:divBdr>
      <w:divsChild>
        <w:div w:id="188569737">
          <w:marLeft w:val="0"/>
          <w:marRight w:val="0"/>
          <w:marTop w:val="0"/>
          <w:marBottom w:val="0"/>
          <w:divBdr>
            <w:top w:val="none" w:sz="0" w:space="0" w:color="auto"/>
            <w:left w:val="none" w:sz="0" w:space="0" w:color="auto"/>
            <w:bottom w:val="none" w:sz="0" w:space="0" w:color="auto"/>
            <w:right w:val="none" w:sz="0" w:space="0" w:color="auto"/>
          </w:divBdr>
          <w:divsChild>
            <w:div w:id="1614093581">
              <w:marLeft w:val="0"/>
              <w:marRight w:val="0"/>
              <w:marTop w:val="0"/>
              <w:marBottom w:val="120"/>
              <w:divBdr>
                <w:top w:val="none" w:sz="0" w:space="0" w:color="auto"/>
                <w:left w:val="none" w:sz="0" w:space="0" w:color="auto"/>
                <w:bottom w:val="none" w:sz="0" w:space="0" w:color="auto"/>
                <w:right w:val="none" w:sz="0" w:space="0" w:color="auto"/>
              </w:divBdr>
              <w:divsChild>
                <w:div w:id="1525246542">
                  <w:marLeft w:val="0"/>
                  <w:marRight w:val="0"/>
                  <w:marTop w:val="0"/>
                  <w:marBottom w:val="0"/>
                  <w:divBdr>
                    <w:top w:val="none" w:sz="0" w:space="0" w:color="auto"/>
                    <w:left w:val="none" w:sz="0" w:space="0" w:color="auto"/>
                    <w:bottom w:val="none" w:sz="0" w:space="0" w:color="auto"/>
                    <w:right w:val="none" w:sz="0" w:space="0" w:color="auto"/>
                  </w:divBdr>
                  <w:divsChild>
                    <w:div w:id="21045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21302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lis.virginia.gov/vacode/title22.1/chapter15/section22.1-298.1/"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law.lis.virginia.gov/constitution/article8/section4/" TargetMode="External"/><Relationship Id="rId17" Type="http://schemas.openxmlformats.org/officeDocument/2006/relationships/hyperlink" Target="https://law.lis.virginia.gov/admincode/title8/agency20/chapter22/section590/"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law.lis.virginia.gov/vacode/title22.1/chapter15/section22.1-305.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w.lis.virginia.gov/vacode/title22.1/chapter15/section22.1-298.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aw.lis.virginia.gov/vacode/title22.1/chapter15/section22.1-299/" TargetMode="External"/><Relationship Id="rId23" Type="http://schemas.openxmlformats.org/officeDocument/2006/relationships/footer" Target="footer3.xml"/><Relationship Id="rId10" Type="http://schemas.openxmlformats.org/officeDocument/2006/relationships/hyperlink" Target="mailto:Patty.Pitts@doe.virginia.gov"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aw.lis.virginia.gov/vacode/title22.1/chapter15/section22.1-298.1/"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952A5E"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952A5E"/>
    <w:rsid w:val="00AA6A5C"/>
    <w:rsid w:val="00B95EC1"/>
    <w:rsid w:val="00DE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0ABF3-AE07-4085-9417-8A326231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2384</Words>
  <Characters>13593</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Boilerplate for SSEAC nomination</vt:lpstr>
    </vt:vector>
  </TitlesOfParts>
  <Company>Virginia IT Infrastructure Partnership</Company>
  <LinksUpToDate>false</LinksUpToDate>
  <CharactersWithSpaces>15946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Boilerplate for SSEAC nomination</dc:title>
  <dc:creator>Emily V. Webb (DOE)</dc:creator>
  <cp:lastModifiedBy>Emily V. Webb (DOE) </cp:lastModifiedBy>
  <cp:revision>2</cp:revision>
  <cp:lastPrinted>2018-06-15T18:45:00Z</cp:lastPrinted>
  <dcterms:created xsi:type="dcterms:W3CDTF">2018-06-15T19:37:00Z</dcterms:created>
  <dcterms:modified xsi:type="dcterms:W3CDTF">2018-06-15T19:37:00Z</dcterms:modified>
</cp:coreProperties>
</file>