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59" w:rsidRPr="00EF5466" w:rsidRDefault="0044140E" w:rsidP="001B1E9A">
      <w:pPr>
        <w:pStyle w:val="Heading1"/>
        <w:spacing w:after="0" w:line="240" w:lineRule="auto"/>
        <w:rPr>
          <w:b/>
          <w:color w:val="1F497D" w:themeColor="text2"/>
          <w:sz w:val="32"/>
          <w:szCs w:val="32"/>
        </w:rPr>
      </w:pPr>
      <w:r>
        <w:rPr>
          <w:b/>
          <w:color w:val="1F497D" w:themeColor="text2"/>
          <w:sz w:val="32"/>
          <w:szCs w:val="32"/>
        </w:rPr>
        <w:t>Summary of R</w:t>
      </w:r>
      <w:r w:rsidR="00861799" w:rsidRPr="00EF5466">
        <w:rPr>
          <w:b/>
          <w:color w:val="1F497D" w:themeColor="text2"/>
          <w:sz w:val="32"/>
          <w:szCs w:val="32"/>
        </w:rPr>
        <w:t xml:space="preserve">ecommendations </w:t>
      </w:r>
      <w:r w:rsidR="00AE007C">
        <w:rPr>
          <w:b/>
          <w:color w:val="1F497D" w:themeColor="text2"/>
          <w:sz w:val="32"/>
          <w:szCs w:val="32"/>
        </w:rPr>
        <w:t xml:space="preserve">from Virginia Reports </w:t>
      </w:r>
      <w:r w:rsidR="00861799" w:rsidRPr="00EF5466">
        <w:rPr>
          <w:b/>
          <w:color w:val="1F497D" w:themeColor="text2"/>
          <w:sz w:val="32"/>
          <w:szCs w:val="32"/>
        </w:rPr>
        <w:t>to Address the Teacher Shortage</w:t>
      </w:r>
    </w:p>
    <w:p w:rsidR="001B1E9A" w:rsidRDefault="001B1E9A" w:rsidP="001B1E9A">
      <w:pPr>
        <w:spacing w:after="0" w:line="240" w:lineRule="auto"/>
        <w:jc w:val="center"/>
        <w:rPr>
          <w:i/>
        </w:rPr>
      </w:pPr>
    </w:p>
    <w:p w:rsidR="00E04B19" w:rsidRPr="00F30B63" w:rsidRDefault="00E04B19" w:rsidP="00F30B63">
      <w:pPr>
        <w:pStyle w:val="Heading2"/>
        <w:jc w:val="center"/>
        <w:rPr>
          <w:b w:val="0"/>
          <w:i/>
          <w:color w:val="auto"/>
          <w:sz w:val="24"/>
        </w:rPr>
      </w:pPr>
      <w:r w:rsidRPr="00F30B63">
        <w:rPr>
          <w:b w:val="0"/>
          <w:i/>
          <w:color w:val="auto"/>
          <w:sz w:val="24"/>
        </w:rPr>
        <w:t>Prepared for the Virginia Board of Education’s Retreat</w:t>
      </w:r>
    </w:p>
    <w:p w:rsidR="00E04B19" w:rsidRPr="00F30B63" w:rsidRDefault="00E04B19" w:rsidP="00F30B63">
      <w:pPr>
        <w:pStyle w:val="Heading3"/>
      </w:pPr>
      <w:r w:rsidRPr="00F30B63">
        <w:t>April 24, 2018</w:t>
      </w:r>
    </w:p>
    <w:p w:rsidR="001B1E9A" w:rsidRPr="00E04B19" w:rsidRDefault="001B1E9A" w:rsidP="001B1E9A">
      <w:pPr>
        <w:spacing w:after="0" w:line="240" w:lineRule="auto"/>
        <w:jc w:val="center"/>
        <w:rPr>
          <w:i/>
        </w:rPr>
      </w:pPr>
    </w:p>
    <w:p w:rsidR="00356DCA" w:rsidRDefault="008A0126" w:rsidP="008D1592">
      <w:pPr>
        <w:spacing w:after="0" w:line="240" w:lineRule="auto"/>
        <w:contextualSpacing/>
        <w:rPr>
          <w:rFonts w:eastAsiaTheme="minorEastAsia" w:cs="Times New Roman"/>
          <w:szCs w:val="24"/>
        </w:rPr>
      </w:pPr>
      <w:r w:rsidRPr="000A25A8">
        <w:rPr>
          <w:rFonts w:eastAsiaTheme="minorEastAsia" w:cs="Times New Roman"/>
          <w:szCs w:val="24"/>
        </w:rPr>
        <w:t xml:space="preserve">The following three reports </w:t>
      </w:r>
      <w:r w:rsidR="00EF5466">
        <w:rPr>
          <w:rFonts w:eastAsiaTheme="minorEastAsia" w:cs="Times New Roman"/>
          <w:szCs w:val="24"/>
        </w:rPr>
        <w:t xml:space="preserve">shared with the Board of Education </w:t>
      </w:r>
      <w:r w:rsidRPr="000A25A8">
        <w:rPr>
          <w:rFonts w:eastAsiaTheme="minorEastAsia" w:cs="Times New Roman"/>
          <w:szCs w:val="24"/>
        </w:rPr>
        <w:t>include recommendations on strategies to address teache</w:t>
      </w:r>
      <w:r w:rsidR="00DE0723">
        <w:rPr>
          <w:rFonts w:eastAsiaTheme="minorEastAsia" w:cs="Times New Roman"/>
          <w:szCs w:val="24"/>
        </w:rPr>
        <w:t>r shortages and diversify</w:t>
      </w:r>
      <w:r w:rsidRPr="000A25A8">
        <w:rPr>
          <w:rFonts w:eastAsiaTheme="minorEastAsia" w:cs="Times New Roman"/>
          <w:szCs w:val="24"/>
        </w:rPr>
        <w:t xml:space="preserve"> Virginia’s educator pipeline. </w:t>
      </w:r>
    </w:p>
    <w:p w:rsidR="001E0B99" w:rsidRDefault="001E0B99" w:rsidP="008D1592">
      <w:pPr>
        <w:spacing w:after="0" w:line="240" w:lineRule="auto"/>
        <w:contextualSpacing/>
        <w:rPr>
          <w:rFonts w:eastAsiaTheme="minorEastAsia" w:cs="Times New Roman"/>
          <w:szCs w:val="24"/>
        </w:rPr>
      </w:pPr>
    </w:p>
    <w:p w:rsidR="000A25A8" w:rsidRDefault="001E0B99" w:rsidP="008D1592">
      <w:pPr>
        <w:pStyle w:val="ListParagraph"/>
        <w:numPr>
          <w:ilvl w:val="0"/>
          <w:numId w:val="6"/>
        </w:numPr>
        <w:contextualSpacing/>
        <w:rPr>
          <w:rFonts w:eastAsiaTheme="minorEastAsia"/>
          <w:szCs w:val="24"/>
        </w:rPr>
      </w:pPr>
      <w:r w:rsidRPr="001E0B99">
        <w:rPr>
          <w:rFonts w:eastAsiaTheme="minorEastAsia"/>
          <w:i/>
          <w:szCs w:val="24"/>
        </w:rPr>
        <w:t>Recommendations from the Advisory Board on Teacher Education and Licensure</w:t>
      </w:r>
      <w:r>
        <w:rPr>
          <w:rFonts w:eastAsiaTheme="minorEastAsia"/>
          <w:i/>
          <w:szCs w:val="24"/>
        </w:rPr>
        <w:t xml:space="preserve"> (ABTEL)</w:t>
      </w:r>
      <w:r w:rsidRPr="001E0B99">
        <w:rPr>
          <w:rFonts w:eastAsiaTheme="minorEastAsia"/>
          <w:i/>
          <w:szCs w:val="24"/>
        </w:rPr>
        <w:t xml:space="preserve"> to the Virginia Board of Education to Address the Teacher Shortage</w:t>
      </w:r>
      <w:r w:rsidRPr="001E0B99">
        <w:rPr>
          <w:rFonts w:eastAsiaTheme="minorEastAsia"/>
          <w:szCs w:val="24"/>
        </w:rPr>
        <w:t>, March 22, 2018;</w:t>
      </w:r>
    </w:p>
    <w:p w:rsidR="001E0B99" w:rsidRDefault="001E0B99" w:rsidP="001E0B99">
      <w:pPr>
        <w:pStyle w:val="ListParagraph"/>
        <w:numPr>
          <w:ilvl w:val="0"/>
          <w:numId w:val="6"/>
        </w:numPr>
        <w:contextualSpacing/>
        <w:rPr>
          <w:rFonts w:eastAsiaTheme="minorEastAsia"/>
          <w:szCs w:val="24"/>
        </w:rPr>
      </w:pPr>
      <w:r w:rsidRPr="001B1E9A">
        <w:rPr>
          <w:rFonts w:eastAsiaTheme="minorEastAsia"/>
          <w:i/>
          <w:szCs w:val="24"/>
        </w:rPr>
        <w:t>Preliminary Report from the Advisory Committee on Teacher Shortages</w:t>
      </w:r>
      <w:r>
        <w:rPr>
          <w:rFonts w:eastAsiaTheme="minorEastAsia"/>
          <w:szCs w:val="24"/>
        </w:rPr>
        <w:t xml:space="preserve">, October 2017; and </w:t>
      </w:r>
    </w:p>
    <w:p w:rsidR="000A25A8" w:rsidRDefault="000A25A8" w:rsidP="000A25A8">
      <w:pPr>
        <w:pStyle w:val="ListParagraph"/>
        <w:numPr>
          <w:ilvl w:val="0"/>
          <w:numId w:val="6"/>
        </w:numPr>
        <w:contextualSpacing/>
        <w:rPr>
          <w:rFonts w:eastAsiaTheme="minorEastAsia"/>
          <w:szCs w:val="24"/>
        </w:rPr>
      </w:pPr>
      <w:r w:rsidRPr="001B1E9A">
        <w:rPr>
          <w:rFonts w:eastAsiaTheme="minorEastAsia"/>
          <w:i/>
          <w:szCs w:val="24"/>
        </w:rPr>
        <w:t>Report from the Task Force on Diversifying Virginia’s Educator Pipeline</w:t>
      </w:r>
      <w:r w:rsidR="001E0B99">
        <w:rPr>
          <w:rFonts w:eastAsiaTheme="minorEastAsia"/>
          <w:szCs w:val="24"/>
        </w:rPr>
        <w:t>, August 2017.</w:t>
      </w:r>
    </w:p>
    <w:p w:rsidR="00DE0723" w:rsidRDefault="00DE0723" w:rsidP="00DE0723">
      <w:pPr>
        <w:pStyle w:val="ListParagraph"/>
        <w:numPr>
          <w:ilvl w:val="0"/>
          <w:numId w:val="0"/>
        </w:numPr>
        <w:ind w:left="720"/>
        <w:contextualSpacing/>
        <w:rPr>
          <w:rFonts w:eastAsiaTheme="minorEastAsia"/>
          <w:szCs w:val="24"/>
        </w:rPr>
      </w:pPr>
    </w:p>
    <w:p w:rsidR="00DE0723" w:rsidRPr="00DE0723" w:rsidRDefault="00DE0723" w:rsidP="001E0B99">
      <w:pPr>
        <w:spacing w:line="240" w:lineRule="auto"/>
        <w:contextualSpacing/>
        <w:rPr>
          <w:rFonts w:eastAsiaTheme="minorEastAsia"/>
          <w:szCs w:val="24"/>
        </w:rPr>
      </w:pPr>
      <w:r>
        <w:rPr>
          <w:rFonts w:eastAsiaTheme="minorEastAsia"/>
          <w:szCs w:val="24"/>
        </w:rPr>
        <w:t xml:space="preserve">Below is a chart summarizing the reports’ </w:t>
      </w:r>
      <w:proofErr w:type="gramStart"/>
      <w:r>
        <w:rPr>
          <w:rFonts w:eastAsiaTheme="minorEastAsia"/>
          <w:szCs w:val="24"/>
        </w:rPr>
        <w:t>recommendations.</w:t>
      </w:r>
      <w:proofErr w:type="gramEnd"/>
      <w:r>
        <w:rPr>
          <w:rFonts w:eastAsiaTheme="minorEastAsia"/>
          <w:szCs w:val="24"/>
        </w:rPr>
        <w:t xml:space="preserve">  The last column includes notes </w:t>
      </w:r>
      <w:r w:rsidR="0011598A">
        <w:rPr>
          <w:rFonts w:eastAsiaTheme="minorEastAsia"/>
          <w:szCs w:val="24"/>
        </w:rPr>
        <w:t xml:space="preserve">to highlight the </w:t>
      </w:r>
      <w:r>
        <w:rPr>
          <w:rFonts w:eastAsiaTheme="minorEastAsia"/>
          <w:szCs w:val="24"/>
        </w:rPr>
        <w:t xml:space="preserve">recommendations </w:t>
      </w:r>
      <w:r w:rsidR="0011598A">
        <w:rPr>
          <w:rFonts w:eastAsiaTheme="minorEastAsia"/>
          <w:szCs w:val="24"/>
        </w:rPr>
        <w:t xml:space="preserve">that </w:t>
      </w:r>
      <w:r>
        <w:rPr>
          <w:rFonts w:eastAsiaTheme="minorEastAsia"/>
          <w:szCs w:val="24"/>
        </w:rPr>
        <w:t>have been addressed by the General Assembly</w:t>
      </w:r>
      <w:r w:rsidR="001B1E9A">
        <w:rPr>
          <w:rFonts w:eastAsiaTheme="minorEastAsia"/>
          <w:szCs w:val="24"/>
        </w:rPr>
        <w:t xml:space="preserve"> or by the Board of Education in regulations.</w:t>
      </w:r>
    </w:p>
    <w:p w:rsidR="00EF5466" w:rsidRDefault="00EF5466" w:rsidP="000A25A8">
      <w:pPr>
        <w:contextualSpacing/>
        <w:rPr>
          <w:rFonts w:eastAsiaTheme="minorEastAsia"/>
          <w:szCs w:val="24"/>
        </w:rPr>
      </w:pPr>
    </w:p>
    <w:tbl>
      <w:tblPr>
        <w:tblStyle w:val="TableGrid"/>
        <w:tblW w:w="13968" w:type="dxa"/>
        <w:tblLayout w:type="fixed"/>
        <w:tblLook w:val="0000" w:firstRow="0" w:lastRow="0" w:firstColumn="0" w:lastColumn="0" w:noHBand="0" w:noVBand="0"/>
        <w:tblCaption w:val="Table of Recommendations "/>
        <w:tblDescription w:val="This table provides a chart of the recommendations from the Advisory Board for Teacher Education and Licensure, the Advisory Committee on Teacher Shortages, and the Task Force on Diversfying Virginia's Educator Pipeline. The table includes all of the recommendations from those three groups and highlights where there is overlap in the recommendations. "/>
      </w:tblPr>
      <w:tblGrid>
        <w:gridCol w:w="6858"/>
        <w:gridCol w:w="1800"/>
        <w:gridCol w:w="1710"/>
        <w:gridCol w:w="1800"/>
        <w:gridCol w:w="1800"/>
      </w:tblGrid>
      <w:tr w:rsidR="00C205ED" w:rsidTr="00C205ED">
        <w:trPr>
          <w:trHeight w:val="543"/>
          <w:tblHeader/>
        </w:trPr>
        <w:tc>
          <w:tcPr>
            <w:tcW w:w="6858" w:type="dxa"/>
            <w:vAlign w:val="center"/>
          </w:tcPr>
          <w:p w:rsidR="00C205ED" w:rsidRPr="001B1E9A" w:rsidRDefault="00C205ED" w:rsidP="0044140E">
            <w:pPr>
              <w:shd w:val="clear" w:color="auto" w:fill="FFFFFF" w:themeFill="background1"/>
              <w:ind w:right="-121"/>
              <w:contextualSpacing/>
              <w:jc w:val="center"/>
              <w:rPr>
                <w:rFonts w:eastAsiaTheme="minorEastAsia" w:cs="Times New Roman"/>
                <w:b/>
                <w:szCs w:val="24"/>
              </w:rPr>
            </w:pPr>
            <w:r w:rsidRPr="001B1E9A">
              <w:rPr>
                <w:rFonts w:eastAsiaTheme="minorEastAsia" w:cs="Times New Roman"/>
                <w:b/>
                <w:color w:val="1F497D" w:themeColor="text2"/>
                <w:szCs w:val="24"/>
              </w:rPr>
              <w:t>Recommendations</w:t>
            </w:r>
          </w:p>
        </w:tc>
        <w:tc>
          <w:tcPr>
            <w:tcW w:w="1800" w:type="dxa"/>
          </w:tcPr>
          <w:p w:rsidR="00C205ED" w:rsidRDefault="00C205ED" w:rsidP="00F515AE">
            <w:pPr>
              <w:shd w:val="clear" w:color="auto" w:fill="FFFFFF" w:themeFill="background1"/>
              <w:ind w:left="-18" w:right="-121" w:hanging="18"/>
              <w:contextualSpacing/>
              <w:jc w:val="center"/>
              <w:rPr>
                <w:b/>
                <w:i/>
                <w:color w:val="1F497D" w:themeColor="text2"/>
                <w:sz w:val="20"/>
                <w:szCs w:val="20"/>
              </w:rPr>
            </w:pPr>
            <w:r w:rsidRPr="00F5383C">
              <w:rPr>
                <w:b/>
                <w:i/>
                <w:color w:val="1F497D" w:themeColor="text2"/>
                <w:sz w:val="20"/>
                <w:szCs w:val="20"/>
              </w:rPr>
              <w:t>Recommendations from ABTEL to the Board of Education to Address the Teacher Shortage</w:t>
            </w:r>
          </w:p>
          <w:p w:rsidR="00C205ED" w:rsidRPr="00E04B19" w:rsidRDefault="00C205ED" w:rsidP="00F515AE">
            <w:pPr>
              <w:shd w:val="clear" w:color="auto" w:fill="FFFFFF" w:themeFill="background1"/>
              <w:ind w:right="-121"/>
              <w:contextualSpacing/>
              <w:jc w:val="center"/>
              <w:rPr>
                <w:b/>
                <w:color w:val="1F497D" w:themeColor="text2"/>
                <w:sz w:val="20"/>
                <w:szCs w:val="20"/>
              </w:rPr>
            </w:pPr>
            <w:r>
              <w:rPr>
                <w:b/>
                <w:color w:val="1F497D" w:themeColor="text2"/>
                <w:sz w:val="20"/>
                <w:szCs w:val="20"/>
              </w:rPr>
              <w:t>March 22, 2018</w:t>
            </w:r>
          </w:p>
        </w:tc>
        <w:tc>
          <w:tcPr>
            <w:tcW w:w="1710" w:type="dxa"/>
          </w:tcPr>
          <w:p w:rsidR="00C205ED" w:rsidRPr="00F5383C" w:rsidRDefault="00C205ED" w:rsidP="00652EB0">
            <w:pPr>
              <w:shd w:val="clear" w:color="auto" w:fill="FFFFFF" w:themeFill="background1"/>
              <w:ind w:left="-108" w:right="-121"/>
              <w:contextualSpacing/>
              <w:jc w:val="center"/>
              <w:rPr>
                <w:b/>
                <w:i/>
                <w:color w:val="1F497D" w:themeColor="text2"/>
                <w:sz w:val="20"/>
                <w:szCs w:val="20"/>
              </w:rPr>
            </w:pPr>
            <w:r w:rsidRPr="00F5383C">
              <w:rPr>
                <w:b/>
                <w:i/>
                <w:color w:val="1F497D" w:themeColor="text2"/>
                <w:sz w:val="20"/>
                <w:szCs w:val="20"/>
              </w:rPr>
              <w:t>Preliminary Report from the Advisory Committee on Teacher Shortages</w:t>
            </w:r>
          </w:p>
          <w:p w:rsidR="00C205ED" w:rsidRPr="00810864" w:rsidRDefault="00C205ED" w:rsidP="00652EB0">
            <w:pPr>
              <w:shd w:val="clear" w:color="auto" w:fill="FFFFFF" w:themeFill="background1"/>
              <w:ind w:left="-108" w:right="-121"/>
              <w:contextualSpacing/>
              <w:jc w:val="center"/>
              <w:rPr>
                <w:b/>
                <w:color w:val="1F497D" w:themeColor="text2"/>
                <w:sz w:val="32"/>
                <w:szCs w:val="32"/>
              </w:rPr>
            </w:pPr>
            <w:r w:rsidRPr="00F5383C">
              <w:rPr>
                <w:b/>
                <w:color w:val="1F497D" w:themeColor="text2"/>
                <w:sz w:val="20"/>
                <w:szCs w:val="20"/>
              </w:rPr>
              <w:t>October 2017</w:t>
            </w:r>
          </w:p>
        </w:tc>
        <w:tc>
          <w:tcPr>
            <w:tcW w:w="1800" w:type="dxa"/>
          </w:tcPr>
          <w:p w:rsidR="00C205ED" w:rsidRPr="00F5383C" w:rsidRDefault="00C205ED" w:rsidP="00652EB0">
            <w:pPr>
              <w:shd w:val="clear" w:color="auto" w:fill="FFFFFF" w:themeFill="background1"/>
              <w:ind w:left="-108" w:right="-121" w:firstLine="72"/>
              <w:contextualSpacing/>
              <w:jc w:val="center"/>
              <w:rPr>
                <w:b/>
                <w:i/>
                <w:color w:val="1F497D" w:themeColor="text2"/>
                <w:sz w:val="20"/>
                <w:szCs w:val="20"/>
              </w:rPr>
            </w:pPr>
            <w:r w:rsidRPr="00F5383C">
              <w:rPr>
                <w:b/>
                <w:i/>
                <w:color w:val="1F497D" w:themeColor="text2"/>
                <w:sz w:val="20"/>
                <w:szCs w:val="20"/>
              </w:rPr>
              <w:t>Report from the Task Force on Diversifying Virginia’s Educator Pipeline</w:t>
            </w:r>
          </w:p>
          <w:p w:rsidR="00C205ED" w:rsidRPr="00FF69CD" w:rsidRDefault="00C205ED" w:rsidP="008632B3">
            <w:pPr>
              <w:shd w:val="clear" w:color="auto" w:fill="FFFFFF" w:themeFill="background1"/>
              <w:ind w:right="-121"/>
              <w:contextualSpacing/>
              <w:jc w:val="center"/>
              <w:rPr>
                <w:b/>
                <w:color w:val="1F497D" w:themeColor="text2"/>
                <w:sz w:val="20"/>
                <w:szCs w:val="20"/>
              </w:rPr>
            </w:pPr>
            <w:r>
              <w:rPr>
                <w:b/>
                <w:color w:val="1F497D" w:themeColor="text2"/>
                <w:sz w:val="20"/>
                <w:szCs w:val="20"/>
              </w:rPr>
              <w:t>August 2017</w:t>
            </w:r>
          </w:p>
        </w:tc>
        <w:tc>
          <w:tcPr>
            <w:tcW w:w="1800" w:type="dxa"/>
            <w:vAlign w:val="center"/>
          </w:tcPr>
          <w:p w:rsidR="00C205ED" w:rsidRPr="00DE0723" w:rsidRDefault="00C205ED" w:rsidP="0044140E">
            <w:pPr>
              <w:shd w:val="clear" w:color="auto" w:fill="FFFFFF" w:themeFill="background1"/>
              <w:ind w:left="27" w:right="-121"/>
              <w:contextualSpacing/>
              <w:jc w:val="center"/>
              <w:rPr>
                <w:b/>
                <w:color w:val="1F497D" w:themeColor="text2"/>
                <w:sz w:val="20"/>
                <w:szCs w:val="20"/>
              </w:rPr>
            </w:pPr>
            <w:r w:rsidRPr="00DE0723">
              <w:rPr>
                <w:b/>
                <w:color w:val="1F497D" w:themeColor="text2"/>
                <w:sz w:val="20"/>
                <w:szCs w:val="20"/>
              </w:rPr>
              <w:t>Notes</w:t>
            </w:r>
          </w:p>
        </w:tc>
      </w:tr>
      <w:tr w:rsidR="00E01B2B" w:rsidTr="00E01B2B">
        <w:trPr>
          <w:trHeight w:val="251"/>
        </w:trPr>
        <w:tc>
          <w:tcPr>
            <w:tcW w:w="13968" w:type="dxa"/>
            <w:gridSpan w:val="5"/>
            <w:vAlign w:val="center"/>
          </w:tcPr>
          <w:p w:rsidR="00E01B2B" w:rsidRPr="00F30B63" w:rsidRDefault="00E01B2B" w:rsidP="00F30B63">
            <w:pPr>
              <w:pStyle w:val="Heading2"/>
            </w:pPr>
            <w:r w:rsidRPr="00F30B63">
              <w:t>Salaries, Compensation, Scholarships, and Employment</w:t>
            </w:r>
          </w:p>
        </w:tc>
      </w:tr>
      <w:tr w:rsidR="00C205ED" w:rsidTr="00C205ED">
        <w:trPr>
          <w:trHeight w:val="251"/>
        </w:trPr>
        <w:tc>
          <w:tcPr>
            <w:tcW w:w="6858" w:type="dxa"/>
          </w:tcPr>
          <w:p w:rsidR="00C205ED"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Increase teacher salaries to be competitive (before other bonuses);</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348"/>
        </w:trPr>
        <w:tc>
          <w:tcPr>
            <w:tcW w:w="6858" w:type="dxa"/>
          </w:tcPr>
          <w:p w:rsidR="00C205ED"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Provide a cost of living raise annually and align salaries with area cost of living;</w:t>
            </w:r>
          </w:p>
        </w:tc>
        <w:tc>
          <w:tcPr>
            <w:tcW w:w="1800" w:type="dxa"/>
          </w:tcPr>
          <w:p w:rsidR="00C205ED" w:rsidRPr="005774E9" w:rsidRDefault="00C205ED" w:rsidP="008A0126">
            <w:pPr>
              <w:shd w:val="clear" w:color="auto" w:fill="FFFFFF" w:themeFill="background1"/>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287"/>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Fun</w:t>
            </w:r>
            <w:r>
              <w:rPr>
                <w:rFonts w:eastAsiaTheme="minorEastAsia" w:cs="Times New Roman"/>
                <w:szCs w:val="24"/>
              </w:rPr>
              <w:t>d salary incentives to recruit and retain</w:t>
            </w:r>
            <w:r w:rsidRPr="005774E9">
              <w:rPr>
                <w:rFonts w:eastAsiaTheme="minorEastAsia" w:cs="Times New Roman"/>
                <w:szCs w:val="24"/>
              </w:rPr>
              <w:t xml:space="preserve"> teachers in high-need</w:t>
            </w:r>
            <w:r>
              <w:rPr>
                <w:rFonts w:eastAsiaTheme="minorEastAsia" w:cs="Times New Roman"/>
                <w:szCs w:val="24"/>
              </w:rPr>
              <w:t>, high poverty</w:t>
            </w:r>
            <w:r w:rsidRPr="005774E9">
              <w:rPr>
                <w:rFonts w:eastAsiaTheme="minorEastAsia" w:cs="Times New Roman"/>
                <w:szCs w:val="24"/>
              </w:rPr>
              <w:t xml:space="preserve"> locales;</w:t>
            </w:r>
            <w:r>
              <w:rPr>
                <w:rFonts w:eastAsiaTheme="minorEastAsia" w:cs="Times New Roman"/>
                <w:szCs w:val="24"/>
              </w:rPr>
              <w:t xml:space="preserve"> </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269"/>
        </w:trPr>
        <w:tc>
          <w:tcPr>
            <w:tcW w:w="6858" w:type="dxa"/>
          </w:tcPr>
          <w:p w:rsidR="00C205ED" w:rsidRPr="00DE07AF" w:rsidRDefault="00C205ED" w:rsidP="0011598A">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t>Offer financial and other incentives to make living more affordable for teachers -- subsidize child care; provide assistance with housing; and offer additional retirement credit or provide higher contributions toward health insurance premiums and retirement accounts;</w:t>
            </w: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269"/>
        </w:trPr>
        <w:tc>
          <w:tcPr>
            <w:tcW w:w="6858" w:type="dxa"/>
          </w:tcPr>
          <w:p w:rsidR="00C205ED" w:rsidRPr="005774E9" w:rsidRDefault="00C205ED" w:rsidP="000D57FD">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Address high costs of health care coverage;</w:t>
            </w:r>
          </w:p>
        </w:tc>
        <w:tc>
          <w:tcPr>
            <w:tcW w:w="180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p>
        </w:tc>
      </w:tr>
      <w:tr w:rsidR="00C205ED" w:rsidTr="00C205ED">
        <w:trPr>
          <w:trHeight w:val="510"/>
        </w:trPr>
        <w:tc>
          <w:tcPr>
            <w:tcW w:w="6858" w:type="dxa"/>
          </w:tcPr>
          <w:p w:rsidR="00C205ED" w:rsidRDefault="00C205ED" w:rsidP="00810864">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lastRenderedPageBreak/>
              <w:t xml:space="preserve">Target financial incentives:  </w:t>
            </w:r>
          </w:p>
          <w:p w:rsidR="00C205ED" w:rsidRDefault="00C205ED" w:rsidP="00C103CB">
            <w:pPr>
              <w:numPr>
                <w:ilvl w:val="1"/>
                <w:numId w:val="5"/>
              </w:numPr>
              <w:shd w:val="clear" w:color="auto" w:fill="FFFFFF" w:themeFill="background1"/>
              <w:ind w:left="702" w:hanging="270"/>
              <w:contextualSpacing/>
              <w:rPr>
                <w:rFonts w:eastAsiaTheme="minorEastAsia" w:cs="Times New Roman"/>
                <w:szCs w:val="24"/>
              </w:rPr>
            </w:pPr>
            <w:r>
              <w:rPr>
                <w:rFonts w:eastAsiaTheme="minorEastAsia" w:cs="Times New Roman"/>
                <w:szCs w:val="24"/>
              </w:rPr>
              <w:t>Provide funding to support differential compensation or retention bonuses;</w:t>
            </w:r>
          </w:p>
          <w:p w:rsidR="00C205ED" w:rsidRDefault="00C205ED" w:rsidP="00C103CB">
            <w:pPr>
              <w:numPr>
                <w:ilvl w:val="1"/>
                <w:numId w:val="5"/>
              </w:numPr>
              <w:shd w:val="clear" w:color="auto" w:fill="FFFFFF" w:themeFill="background1"/>
              <w:ind w:left="702" w:hanging="270"/>
              <w:contextualSpacing/>
              <w:rPr>
                <w:rFonts w:eastAsiaTheme="minorEastAsia" w:cs="Times New Roman"/>
                <w:szCs w:val="24"/>
              </w:rPr>
            </w:pPr>
            <w:r>
              <w:rPr>
                <w:rFonts w:eastAsiaTheme="minorEastAsia" w:cs="Times New Roman"/>
                <w:szCs w:val="24"/>
              </w:rPr>
              <w:t>Compensate teachers who mentor and help retain other teachers;</w:t>
            </w:r>
          </w:p>
          <w:p w:rsidR="00C205ED" w:rsidRDefault="00C205ED" w:rsidP="00C103CB">
            <w:pPr>
              <w:numPr>
                <w:ilvl w:val="1"/>
                <w:numId w:val="5"/>
              </w:numPr>
              <w:shd w:val="clear" w:color="auto" w:fill="FFFFFF" w:themeFill="background1"/>
              <w:ind w:left="702" w:hanging="270"/>
              <w:contextualSpacing/>
              <w:rPr>
                <w:rFonts w:eastAsiaTheme="minorEastAsia" w:cs="Times New Roman"/>
                <w:szCs w:val="24"/>
              </w:rPr>
            </w:pPr>
            <w:r>
              <w:rPr>
                <w:rFonts w:eastAsiaTheme="minorEastAsia" w:cs="Times New Roman"/>
                <w:szCs w:val="24"/>
              </w:rPr>
              <w:t>Provide classroom materials and resources;</w:t>
            </w:r>
          </w:p>
          <w:p w:rsidR="00C205ED" w:rsidRDefault="00C205ED" w:rsidP="00C103CB">
            <w:pPr>
              <w:numPr>
                <w:ilvl w:val="1"/>
                <w:numId w:val="5"/>
              </w:numPr>
              <w:shd w:val="clear" w:color="auto" w:fill="FFFFFF" w:themeFill="background1"/>
              <w:ind w:left="702" w:hanging="270"/>
              <w:contextualSpacing/>
              <w:rPr>
                <w:rFonts w:eastAsiaTheme="minorEastAsia" w:cs="Times New Roman"/>
                <w:szCs w:val="24"/>
              </w:rPr>
            </w:pPr>
            <w:r>
              <w:rPr>
                <w:rFonts w:eastAsiaTheme="minorEastAsia" w:cs="Times New Roman"/>
                <w:szCs w:val="24"/>
              </w:rPr>
              <w:t>Offer opportunities for advancement and income through career paths for teachers;</w:t>
            </w:r>
          </w:p>
          <w:p w:rsidR="00C205ED" w:rsidRDefault="00C205ED" w:rsidP="00C103CB">
            <w:pPr>
              <w:numPr>
                <w:ilvl w:val="1"/>
                <w:numId w:val="5"/>
              </w:numPr>
              <w:shd w:val="clear" w:color="auto" w:fill="FFFFFF" w:themeFill="background1"/>
              <w:ind w:left="702" w:hanging="270"/>
              <w:contextualSpacing/>
              <w:rPr>
                <w:rFonts w:eastAsiaTheme="minorEastAsia" w:cs="Times New Roman"/>
                <w:szCs w:val="24"/>
              </w:rPr>
            </w:pPr>
            <w:r>
              <w:rPr>
                <w:rFonts w:eastAsiaTheme="minorEastAsia" w:cs="Times New Roman"/>
                <w:szCs w:val="24"/>
              </w:rPr>
              <w:t>Offer richer benefits, such as retirement benefits to part-time teachers; and</w:t>
            </w:r>
          </w:p>
          <w:p w:rsidR="00C205ED" w:rsidRPr="005774E9" w:rsidRDefault="00C205ED" w:rsidP="00C103CB">
            <w:pPr>
              <w:numPr>
                <w:ilvl w:val="1"/>
                <w:numId w:val="5"/>
              </w:numPr>
              <w:shd w:val="clear" w:color="auto" w:fill="FFFFFF" w:themeFill="background1"/>
              <w:ind w:left="702" w:hanging="270"/>
              <w:contextualSpacing/>
              <w:rPr>
                <w:rFonts w:eastAsiaTheme="minorEastAsia" w:cs="Times New Roman"/>
                <w:szCs w:val="24"/>
              </w:rPr>
            </w:pPr>
            <w:r>
              <w:rPr>
                <w:rFonts w:eastAsiaTheme="minorEastAsia" w:cs="Times New Roman"/>
                <w:szCs w:val="24"/>
              </w:rPr>
              <w:t>Offer opportunities to teach or mentor after retirement;</w:t>
            </w: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510"/>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Establish hiri</w:t>
            </w:r>
            <w:r>
              <w:rPr>
                <w:rFonts w:eastAsiaTheme="minorEastAsia" w:cs="Times New Roman"/>
                <w:szCs w:val="24"/>
              </w:rPr>
              <w:t xml:space="preserve">ng bonuses (ABTEL recommends awarding a portion </w:t>
            </w:r>
            <w:r w:rsidRPr="005774E9">
              <w:rPr>
                <w:rFonts w:eastAsiaTheme="minorEastAsia" w:cs="Times New Roman"/>
                <w:szCs w:val="24"/>
              </w:rPr>
              <w:t xml:space="preserve">at entry and the remainder after a designated period of </w:t>
            </w:r>
            <w:r>
              <w:rPr>
                <w:rFonts w:eastAsiaTheme="minorEastAsia" w:cs="Times New Roman"/>
                <w:szCs w:val="24"/>
              </w:rPr>
              <w:t xml:space="preserve">successful </w:t>
            </w:r>
            <w:r w:rsidRPr="005774E9">
              <w:rPr>
                <w:rFonts w:eastAsiaTheme="minorEastAsia" w:cs="Times New Roman"/>
                <w:szCs w:val="24"/>
              </w:rPr>
              <w:t>teaching);</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432"/>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t>Conduct r</w:t>
            </w:r>
            <w:r w:rsidRPr="005774E9">
              <w:rPr>
                <w:rFonts w:eastAsiaTheme="minorEastAsia" w:cs="Times New Roman"/>
                <w:szCs w:val="24"/>
              </w:rPr>
              <w:t xml:space="preserve">esearch to identify the “sweet spot” by region </w:t>
            </w:r>
            <w:r>
              <w:rPr>
                <w:rFonts w:eastAsiaTheme="minorEastAsia" w:cs="Times New Roman"/>
                <w:szCs w:val="24"/>
              </w:rPr>
              <w:t xml:space="preserve">to recruit and retain teachers </w:t>
            </w:r>
            <w:r w:rsidRPr="005774E9">
              <w:rPr>
                <w:rFonts w:eastAsiaTheme="minorEastAsia" w:cs="Times New Roman"/>
                <w:szCs w:val="24"/>
              </w:rPr>
              <w:t>relative to benefits, salary, and conditions;</w:t>
            </w: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300"/>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Provide relocation assistance;</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252"/>
        </w:trPr>
        <w:tc>
          <w:tcPr>
            <w:tcW w:w="6858" w:type="dxa"/>
          </w:tcPr>
          <w:p w:rsidR="00C205ED" w:rsidRPr="005774E9" w:rsidRDefault="00C205ED" w:rsidP="000D57FD">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Work with student loan compa</w:t>
            </w:r>
            <w:r>
              <w:rPr>
                <w:rFonts w:eastAsiaTheme="minorEastAsia" w:cs="Times New Roman"/>
                <w:szCs w:val="24"/>
              </w:rPr>
              <w:t>nies to amortize loans over 30 years;</w:t>
            </w:r>
          </w:p>
        </w:tc>
        <w:tc>
          <w:tcPr>
            <w:tcW w:w="180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p>
        </w:tc>
      </w:tr>
      <w:tr w:rsidR="00C205ED" w:rsidTr="00C205ED">
        <w:trPr>
          <w:trHeight w:val="252"/>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Consider loan forgiveness programs;</w:t>
            </w:r>
            <w:r>
              <w:rPr>
                <w:rFonts w:eastAsiaTheme="minorEastAsia" w:cs="Times New Roman"/>
                <w:szCs w:val="24"/>
              </w:rPr>
              <w:t xml:space="preserve"> (provide information about the availability of federal loan forgiveness progr</w:t>
            </w:r>
            <w:r w:rsidR="007A328D">
              <w:rPr>
                <w:rFonts w:eastAsiaTheme="minorEastAsia" w:cs="Times New Roman"/>
                <w:szCs w:val="24"/>
              </w:rPr>
              <w:t>ams which may be underutilized);</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324"/>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t>Utilize funding for scholarships;</w:t>
            </w: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360"/>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t>Evaluate and leverage the Virginia Teaching Scholarship Loan Program for critical shortage areas – expand impact for minority teaching candidates;</w:t>
            </w: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360"/>
        </w:trPr>
        <w:tc>
          <w:tcPr>
            <w:tcW w:w="6858" w:type="dxa"/>
          </w:tcPr>
          <w:p w:rsidR="00C205ED"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Encourage</w:t>
            </w:r>
            <w:r>
              <w:rPr>
                <w:rFonts w:eastAsiaTheme="minorEastAsia" w:cs="Times New Roman"/>
                <w:szCs w:val="24"/>
              </w:rPr>
              <w:t xml:space="preserve"> and support pathways for first generation</w:t>
            </w:r>
            <w:r w:rsidRPr="005774E9">
              <w:rPr>
                <w:rFonts w:eastAsiaTheme="minorEastAsia" w:cs="Times New Roman"/>
                <w:szCs w:val="24"/>
              </w:rPr>
              <w:t xml:space="preserve"> higher education students;</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312"/>
        </w:trPr>
        <w:tc>
          <w:tcPr>
            <w:tcW w:w="6858" w:type="dxa"/>
          </w:tcPr>
          <w:p w:rsidR="00C205ED" w:rsidRPr="005774E9" w:rsidRDefault="00C205ED" w:rsidP="005D3B92">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lastRenderedPageBreak/>
              <w:t>Establish a Commonwealth’s Teaching Fellows Program  (require a commitment of four years’ teaching in a high-need school to repay loan);</w:t>
            </w: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312"/>
        </w:trPr>
        <w:tc>
          <w:tcPr>
            <w:tcW w:w="6858" w:type="dxa"/>
          </w:tcPr>
          <w:p w:rsidR="00C205ED" w:rsidRPr="005774E9" w:rsidRDefault="00C205ED" w:rsidP="000D57FD">
            <w:pPr>
              <w:numPr>
                <w:ilvl w:val="0"/>
                <w:numId w:val="5"/>
              </w:numPr>
              <w:shd w:val="clear" w:color="auto" w:fill="FFFFFF" w:themeFill="background1"/>
              <w:ind w:left="408"/>
              <w:contextualSpacing/>
              <w:rPr>
                <w:rFonts w:eastAsiaTheme="minorEastAsia" w:cs="Times New Roman"/>
                <w:szCs w:val="24"/>
              </w:rPr>
            </w:pPr>
            <w:r w:rsidRPr="001D4CF7">
              <w:rPr>
                <w:rFonts w:eastAsiaTheme="minorEastAsia" w:cs="Times New Roman"/>
                <w:szCs w:val="24"/>
              </w:rPr>
              <w:t xml:space="preserve">Expand Teachers for Tomorrow Programs designed to </w:t>
            </w:r>
            <w:r w:rsidRPr="001D4CF7">
              <w:rPr>
                <w:rFonts w:cs="Times New Roman"/>
                <w:color w:val="000000"/>
                <w:szCs w:val="24"/>
                <w:lang w:val="en"/>
              </w:rPr>
              <w:t>attract teacher candidates from high school students to the field of education;</w:t>
            </w:r>
          </w:p>
        </w:tc>
        <w:tc>
          <w:tcPr>
            <w:tcW w:w="1800" w:type="dxa"/>
          </w:tcPr>
          <w:p w:rsidR="00C205ED" w:rsidRPr="001D4CF7" w:rsidRDefault="00C205ED" w:rsidP="000D57FD">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1D4CF7" w:rsidRDefault="00C205ED" w:rsidP="000D57FD">
            <w:pPr>
              <w:shd w:val="clear" w:color="auto" w:fill="FFFFFF" w:themeFill="background1"/>
              <w:ind w:left="48"/>
              <w:contextualSpacing/>
              <w:jc w:val="center"/>
              <w:rPr>
                <w:rFonts w:eastAsiaTheme="minorEastAsia" w:cs="Times New Roman"/>
                <w:szCs w:val="24"/>
              </w:rPr>
            </w:pPr>
          </w:p>
        </w:tc>
        <w:tc>
          <w:tcPr>
            <w:tcW w:w="1800" w:type="dxa"/>
          </w:tcPr>
          <w:p w:rsidR="00C205ED" w:rsidRPr="001D4CF7"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1D4CF7" w:rsidRDefault="00C205ED" w:rsidP="000D57FD">
            <w:pPr>
              <w:shd w:val="clear" w:color="auto" w:fill="FFFFFF" w:themeFill="background1"/>
              <w:ind w:left="48"/>
              <w:contextualSpacing/>
              <w:jc w:val="center"/>
              <w:rPr>
                <w:rFonts w:eastAsiaTheme="minorEastAsia" w:cs="Times New Roman"/>
                <w:szCs w:val="24"/>
              </w:rPr>
            </w:pPr>
          </w:p>
        </w:tc>
      </w:tr>
      <w:tr w:rsidR="00C205ED" w:rsidTr="00C205ED">
        <w:trPr>
          <w:trHeight w:val="312"/>
        </w:trPr>
        <w:tc>
          <w:tcPr>
            <w:tcW w:w="6858" w:type="dxa"/>
          </w:tcPr>
          <w:p w:rsidR="00C205ED" w:rsidRPr="001D4CF7" w:rsidRDefault="00C205ED" w:rsidP="000D57FD">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t>Encourage</w:t>
            </w:r>
            <w:r w:rsidRPr="005774E9">
              <w:rPr>
                <w:rFonts w:eastAsiaTheme="minorEastAsia" w:cs="Times New Roman"/>
                <w:szCs w:val="24"/>
              </w:rPr>
              <w:t xml:space="preserve"> programs that </w:t>
            </w:r>
            <w:r>
              <w:rPr>
                <w:rFonts w:eastAsiaTheme="minorEastAsia" w:cs="Times New Roman"/>
                <w:szCs w:val="24"/>
              </w:rPr>
              <w:t xml:space="preserve">support </w:t>
            </w:r>
            <w:r w:rsidRPr="005774E9">
              <w:rPr>
                <w:rFonts w:eastAsiaTheme="minorEastAsia" w:cs="Times New Roman"/>
                <w:szCs w:val="24"/>
              </w:rPr>
              <w:t>students, such as</w:t>
            </w:r>
            <w:r>
              <w:rPr>
                <w:rFonts w:eastAsiaTheme="minorEastAsia" w:cs="Times New Roman"/>
                <w:szCs w:val="24"/>
              </w:rPr>
              <w:t xml:space="preserve"> the Empowering African American Males Initiative;</w:t>
            </w:r>
            <w:r w:rsidRPr="005774E9">
              <w:rPr>
                <w:rFonts w:eastAsiaTheme="minorEastAsia" w:cs="Times New Roman"/>
                <w:szCs w:val="24"/>
              </w:rPr>
              <w:t xml:space="preserve"> </w:t>
            </w:r>
          </w:p>
        </w:tc>
        <w:tc>
          <w:tcPr>
            <w:tcW w:w="1800" w:type="dxa"/>
          </w:tcPr>
          <w:p w:rsidR="00C205ED" w:rsidRDefault="00C205ED" w:rsidP="000D57FD">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Default="00C205ED" w:rsidP="000D57FD">
            <w:pPr>
              <w:shd w:val="clear" w:color="auto" w:fill="FFFFFF" w:themeFill="background1"/>
              <w:ind w:left="48"/>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Default="00C205ED" w:rsidP="000D57FD">
            <w:pPr>
              <w:shd w:val="clear" w:color="auto" w:fill="FFFFFF" w:themeFill="background1"/>
              <w:ind w:left="48"/>
              <w:contextualSpacing/>
              <w:jc w:val="center"/>
              <w:rPr>
                <w:rFonts w:eastAsiaTheme="minorEastAsia" w:cs="Times New Roman"/>
                <w:szCs w:val="24"/>
              </w:rPr>
            </w:pPr>
          </w:p>
        </w:tc>
      </w:tr>
      <w:tr w:rsidR="00C205ED" w:rsidTr="00C205ED">
        <w:trPr>
          <w:trHeight w:val="312"/>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 xml:space="preserve">Expand programs to diversify </w:t>
            </w:r>
            <w:r>
              <w:rPr>
                <w:rFonts w:eastAsiaTheme="minorEastAsia" w:cs="Times New Roman"/>
                <w:szCs w:val="24"/>
              </w:rPr>
              <w:t xml:space="preserve">the teacher, administrator, and staff </w:t>
            </w:r>
            <w:r w:rsidRPr="005774E9">
              <w:rPr>
                <w:rFonts w:eastAsiaTheme="minorEastAsia" w:cs="Times New Roman"/>
                <w:szCs w:val="24"/>
              </w:rPr>
              <w:t>applicant pool</w:t>
            </w:r>
            <w:r>
              <w:rPr>
                <w:rFonts w:eastAsiaTheme="minorEastAsia" w:cs="Times New Roman"/>
                <w:szCs w:val="24"/>
              </w:rPr>
              <w:t>;</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504"/>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Train administrators on personnel management and leade</w:t>
            </w:r>
            <w:r>
              <w:rPr>
                <w:rFonts w:eastAsiaTheme="minorEastAsia" w:cs="Times New Roman"/>
                <w:szCs w:val="24"/>
              </w:rPr>
              <w:t>rship, including a focus on ret</w:t>
            </w:r>
            <w:r w:rsidRPr="005774E9">
              <w:rPr>
                <w:rFonts w:eastAsiaTheme="minorEastAsia" w:cs="Times New Roman"/>
                <w:szCs w:val="24"/>
              </w:rPr>
              <w:t>aining staff;</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288"/>
        </w:trPr>
        <w:tc>
          <w:tcPr>
            <w:tcW w:w="6858" w:type="dxa"/>
          </w:tcPr>
          <w:p w:rsidR="00C205ED" w:rsidRDefault="00C205ED" w:rsidP="00810864">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Grant stipends for teacher supplies;</w:t>
            </w:r>
            <w:r>
              <w:rPr>
                <w:rFonts w:eastAsiaTheme="minorEastAsia" w:cs="Times New Roman"/>
                <w:szCs w:val="24"/>
              </w:rPr>
              <w:t xml:space="preserve"> </w:t>
            </w: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48"/>
              <w:contextualSpacing/>
              <w:jc w:val="center"/>
              <w:rPr>
                <w:rFonts w:eastAsiaTheme="minorEastAsia" w:cs="Times New Roman"/>
                <w:szCs w:val="24"/>
              </w:rPr>
            </w:pPr>
          </w:p>
        </w:tc>
      </w:tr>
      <w:tr w:rsidR="00C205ED" w:rsidTr="00C205ED">
        <w:trPr>
          <w:trHeight w:val="396"/>
        </w:trPr>
        <w:tc>
          <w:tcPr>
            <w:tcW w:w="6858" w:type="dxa"/>
          </w:tcPr>
          <w:p w:rsidR="00C205ED" w:rsidRDefault="00C205ED" w:rsidP="000D57FD">
            <w:pPr>
              <w:numPr>
                <w:ilvl w:val="0"/>
                <w:numId w:val="5"/>
              </w:numPr>
              <w:shd w:val="clear" w:color="auto" w:fill="FFFFFF" w:themeFill="background1"/>
              <w:ind w:left="408"/>
              <w:contextualSpacing/>
              <w:rPr>
                <w:rFonts w:eastAsiaTheme="minorEastAsia" w:cs="Times New Roman"/>
                <w:szCs w:val="24"/>
              </w:rPr>
            </w:pPr>
            <w:r w:rsidRPr="005774E9">
              <w:rPr>
                <w:rFonts w:eastAsiaTheme="minorEastAsia" w:cs="Times New Roman"/>
                <w:szCs w:val="24"/>
              </w:rPr>
              <w:t>Launch a marketing/promotional campaign with positive images of the teaching profession;</w:t>
            </w:r>
          </w:p>
        </w:tc>
        <w:tc>
          <w:tcPr>
            <w:tcW w:w="180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p>
        </w:tc>
      </w:tr>
      <w:tr w:rsidR="00C205ED" w:rsidTr="00C205ED">
        <w:trPr>
          <w:trHeight w:val="396"/>
        </w:trPr>
        <w:tc>
          <w:tcPr>
            <w:tcW w:w="6858" w:type="dxa"/>
          </w:tcPr>
          <w:p w:rsidR="00C205ED" w:rsidRPr="005774E9" w:rsidRDefault="00C205ED" w:rsidP="000D57FD">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t>Develop a public awareness campaign to encourage minority candidates graduating in content areas to enter the teaching profession and provide clear pathways for candidates to become provisionally licensed; include supports in seeking a renewable license; and</w:t>
            </w:r>
          </w:p>
        </w:tc>
        <w:tc>
          <w:tcPr>
            <w:tcW w:w="1800" w:type="dxa"/>
          </w:tcPr>
          <w:p w:rsidR="00C205ED" w:rsidRDefault="00C205ED" w:rsidP="000D57FD">
            <w:pPr>
              <w:shd w:val="clear" w:color="auto" w:fill="FFFFFF" w:themeFill="background1"/>
              <w:ind w:left="48"/>
              <w:contextualSpacing/>
              <w:jc w:val="center"/>
              <w:rPr>
                <w:rFonts w:eastAsiaTheme="minorEastAsia" w:cs="Times New Roman"/>
                <w:szCs w:val="24"/>
              </w:rPr>
            </w:pPr>
          </w:p>
        </w:tc>
        <w:tc>
          <w:tcPr>
            <w:tcW w:w="171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0D57FD">
            <w:pPr>
              <w:shd w:val="clear" w:color="auto" w:fill="FFFFFF" w:themeFill="background1"/>
              <w:ind w:left="48"/>
              <w:contextualSpacing/>
              <w:jc w:val="center"/>
              <w:rPr>
                <w:rFonts w:eastAsiaTheme="minorEastAsia" w:cs="Times New Roman"/>
                <w:szCs w:val="24"/>
              </w:rPr>
            </w:pPr>
          </w:p>
        </w:tc>
      </w:tr>
      <w:tr w:rsidR="00C205ED" w:rsidTr="00C205ED">
        <w:trPr>
          <w:trHeight w:val="396"/>
        </w:trPr>
        <w:tc>
          <w:tcPr>
            <w:tcW w:w="6858" w:type="dxa"/>
          </w:tcPr>
          <w:p w:rsidR="00C205ED" w:rsidRPr="005774E9" w:rsidRDefault="00C205ED" w:rsidP="00810864">
            <w:pPr>
              <w:numPr>
                <w:ilvl w:val="0"/>
                <w:numId w:val="5"/>
              </w:numPr>
              <w:shd w:val="clear" w:color="auto" w:fill="FFFFFF" w:themeFill="background1"/>
              <w:ind w:left="408"/>
              <w:contextualSpacing/>
              <w:rPr>
                <w:rFonts w:eastAsiaTheme="minorEastAsia" w:cs="Times New Roman"/>
                <w:szCs w:val="24"/>
              </w:rPr>
            </w:pPr>
            <w:r>
              <w:rPr>
                <w:rFonts w:eastAsiaTheme="minorEastAsia" w:cs="Times New Roman"/>
                <w:szCs w:val="24"/>
              </w:rPr>
              <w:t>Reduce the time for record checks that delay employment; such delays for a division can result in losing an applicant to another locale or state.</w:t>
            </w: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r>
              <w:rPr>
                <w:rFonts w:eastAsiaTheme="minorEastAsia" w:cs="Times New Roman"/>
                <w:szCs w:val="24"/>
              </w:rPr>
              <w:t>X</w:t>
            </w:r>
          </w:p>
        </w:tc>
        <w:tc>
          <w:tcPr>
            <w:tcW w:w="1710" w:type="dxa"/>
          </w:tcPr>
          <w:p w:rsidR="00C205ED" w:rsidRDefault="00C205ED" w:rsidP="008A0126">
            <w:pPr>
              <w:shd w:val="clear" w:color="auto" w:fill="FFFFFF" w:themeFill="background1"/>
              <w:ind w:left="48"/>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48"/>
              <w:contextualSpacing/>
              <w:jc w:val="center"/>
              <w:rPr>
                <w:rFonts w:eastAsiaTheme="minorEastAsia" w:cs="Times New Roman"/>
                <w:szCs w:val="24"/>
              </w:rPr>
            </w:pPr>
          </w:p>
        </w:tc>
        <w:tc>
          <w:tcPr>
            <w:tcW w:w="1800" w:type="dxa"/>
          </w:tcPr>
          <w:p w:rsidR="00C205ED" w:rsidRDefault="00C205ED" w:rsidP="008A0126">
            <w:pPr>
              <w:shd w:val="clear" w:color="auto" w:fill="FFFFFF" w:themeFill="background1"/>
              <w:ind w:left="48"/>
              <w:contextualSpacing/>
              <w:jc w:val="center"/>
              <w:rPr>
                <w:rFonts w:eastAsiaTheme="minorEastAsia" w:cs="Times New Roman"/>
                <w:szCs w:val="24"/>
              </w:rPr>
            </w:pPr>
          </w:p>
        </w:tc>
      </w:tr>
      <w:tr w:rsidR="00330F3F" w:rsidTr="00330F3F">
        <w:trPr>
          <w:trHeight w:val="312"/>
        </w:trPr>
        <w:tc>
          <w:tcPr>
            <w:tcW w:w="13968" w:type="dxa"/>
            <w:gridSpan w:val="5"/>
          </w:tcPr>
          <w:p w:rsidR="00330F3F" w:rsidRPr="00F30B63" w:rsidRDefault="00330F3F" w:rsidP="00F30B63">
            <w:pPr>
              <w:pStyle w:val="Heading2"/>
            </w:pPr>
            <w:r w:rsidRPr="00F30B63">
              <w:t>Recruitment, Preparation, and Licensure</w:t>
            </w:r>
          </w:p>
        </w:tc>
      </w:tr>
      <w:tr w:rsidR="00C205ED" w:rsidTr="00C205ED">
        <w:trPr>
          <w:trHeight w:val="312"/>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Convene annually the Teachers of Color Summit and Minority Teacher Recruitment Fair;</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12"/>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Provide financial support to human resource departments with the greatest shortages to support aggressive recruitment strategies;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12"/>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lastRenderedPageBreak/>
              <w:t>Ensure that teachers receive a quality preparation;</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288"/>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Offer “full” reciprocity for individuals who hold an out-of-state, District of Columbia, or territory of the U.S. renewable teaching licenses with no deficiencies that is in force at the time of application;</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44140E" w:rsidRDefault="00683497" w:rsidP="00FE07C8">
            <w:pPr>
              <w:shd w:val="clear" w:color="auto" w:fill="FFFFFF" w:themeFill="background1"/>
              <w:ind w:left="-18"/>
              <w:contextualSpacing/>
              <w:rPr>
                <w:rFonts w:eastAsiaTheme="minorEastAsia" w:cs="Times New Roman"/>
                <w:sz w:val="20"/>
                <w:szCs w:val="20"/>
              </w:rPr>
            </w:pPr>
            <w:r>
              <w:rPr>
                <w:rFonts w:eastAsiaTheme="minorEastAsia" w:cs="Times New Roman"/>
                <w:sz w:val="20"/>
                <w:szCs w:val="20"/>
              </w:rPr>
              <w:t xml:space="preserve">HB1125 and </w:t>
            </w:r>
            <w:r w:rsidR="00C205ED" w:rsidRPr="0044140E">
              <w:rPr>
                <w:rFonts w:eastAsiaTheme="minorEastAsia" w:cs="Times New Roman"/>
                <w:sz w:val="20"/>
                <w:szCs w:val="20"/>
              </w:rPr>
              <w:t xml:space="preserve">SB349 </w:t>
            </w:r>
            <w:r w:rsidR="00FE07C8">
              <w:rPr>
                <w:rFonts w:eastAsiaTheme="minorEastAsia" w:cs="Times New Roman"/>
                <w:sz w:val="20"/>
                <w:szCs w:val="20"/>
              </w:rPr>
              <w:t>passed by the</w:t>
            </w:r>
            <w:r>
              <w:rPr>
                <w:rFonts w:eastAsiaTheme="minorEastAsia" w:cs="Times New Roman"/>
                <w:sz w:val="20"/>
                <w:szCs w:val="20"/>
              </w:rPr>
              <w:t xml:space="preserve"> 2018 General Assembly call</w:t>
            </w:r>
            <w:r w:rsidR="00C205ED" w:rsidRPr="0044140E">
              <w:rPr>
                <w:rFonts w:eastAsiaTheme="minorEastAsia" w:cs="Times New Roman"/>
                <w:sz w:val="20"/>
                <w:szCs w:val="20"/>
              </w:rPr>
              <w:t xml:space="preserve"> for full reciprocity</w:t>
            </w:r>
            <w:r w:rsidR="005E1E2B">
              <w:rPr>
                <w:rFonts w:eastAsiaTheme="minorEastAsia" w:cs="Times New Roman"/>
                <w:sz w:val="20"/>
                <w:szCs w:val="20"/>
              </w:rPr>
              <w:t xml:space="preserve"> for out-of-state licenses (full with no deficiencies).</w:t>
            </w:r>
          </w:p>
        </w:tc>
      </w:tr>
      <w:tr w:rsidR="00C205ED" w:rsidTr="00C205ED">
        <w:trPr>
          <w:trHeight w:val="288"/>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Expand high quality alternative routes;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Default="00C205ED" w:rsidP="00EF5466">
            <w:pPr>
              <w:shd w:val="clear" w:color="auto" w:fill="FFFFFF" w:themeFill="background1"/>
              <w:ind w:left="90"/>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Default="00C205ED" w:rsidP="00750B3E">
            <w:pPr>
              <w:shd w:val="clear" w:color="auto" w:fill="FFFFFF" w:themeFill="background1"/>
              <w:ind w:left="-18"/>
              <w:contextualSpacing/>
              <w:rPr>
                <w:rFonts w:eastAsiaTheme="minorEastAsia" w:cs="Times New Roman"/>
                <w:szCs w:val="24"/>
              </w:rPr>
            </w:pPr>
          </w:p>
        </w:tc>
      </w:tr>
      <w:tr w:rsidR="00C205ED" w:rsidTr="00C205ED">
        <w:trPr>
          <w:trHeight w:val="300"/>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Reduce the years’ experience (currently five) required to enter the Career Switcher Program or become eligible for the experiential route to licensure;</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p w:rsidR="00C205ED" w:rsidRPr="00DF679E" w:rsidRDefault="00C205ED" w:rsidP="008A0126">
            <w:pPr>
              <w:shd w:val="clear" w:color="auto" w:fill="FFFFFF" w:themeFill="background1"/>
              <w:ind w:left="72"/>
              <w:contextualSpacing/>
              <w:jc w:val="center"/>
              <w:rPr>
                <w:rFonts w:eastAsiaTheme="minorEastAsia" w:cs="Times New Roman"/>
                <w:sz w:val="18"/>
                <w:szCs w:val="18"/>
              </w:rPr>
            </w:pPr>
            <w:r w:rsidRPr="00DF679E">
              <w:rPr>
                <w:rFonts w:eastAsiaTheme="minorEastAsia" w:cs="Times New Roman"/>
                <w:sz w:val="18"/>
                <w:szCs w:val="18"/>
              </w:rPr>
              <w:t>(*ABTEL recommended in proposed regulations)</w:t>
            </w: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750B3E" w:rsidRDefault="00C205ED" w:rsidP="00750B3E">
            <w:pPr>
              <w:shd w:val="clear" w:color="auto" w:fill="FFFFFF" w:themeFill="background1"/>
              <w:ind w:left="-18"/>
              <w:contextualSpacing/>
              <w:rPr>
                <w:rFonts w:eastAsiaTheme="minorEastAsia" w:cs="Times New Roman"/>
                <w:sz w:val="20"/>
                <w:szCs w:val="20"/>
              </w:rPr>
            </w:pPr>
            <w:r w:rsidRPr="00750B3E">
              <w:rPr>
                <w:rFonts w:eastAsiaTheme="minorEastAsia" w:cs="Times New Roman"/>
                <w:sz w:val="20"/>
                <w:szCs w:val="20"/>
              </w:rPr>
              <w:t>Proposed Licensure Regulations reduce the number of years’ experience to three years.</w:t>
            </w:r>
          </w:p>
        </w:tc>
      </w:tr>
      <w:tr w:rsidR="00C205ED" w:rsidTr="00C205ED">
        <w:trPr>
          <w:trHeight w:val="300"/>
        </w:trPr>
        <w:tc>
          <w:tcPr>
            <w:tcW w:w="6858" w:type="dxa"/>
          </w:tcPr>
          <w:p w:rsidR="00C205ED" w:rsidRDefault="00C205ED" w:rsidP="006F28F3">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Allow for the issuance of a Provisional License to allow a year to meet all statutory “ancillary” requirements;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683497" w:rsidP="00FE07C8">
            <w:pPr>
              <w:shd w:val="clear" w:color="auto" w:fill="FFFFFF" w:themeFill="background1"/>
              <w:ind w:left="-18"/>
              <w:contextualSpacing/>
              <w:rPr>
                <w:rFonts w:eastAsiaTheme="minorEastAsia" w:cs="Times New Roman"/>
                <w:szCs w:val="24"/>
              </w:rPr>
            </w:pPr>
            <w:r>
              <w:rPr>
                <w:rFonts w:eastAsiaTheme="minorEastAsia" w:cs="Times New Roman"/>
                <w:sz w:val="20"/>
                <w:szCs w:val="20"/>
              </w:rPr>
              <w:t xml:space="preserve">HB1125 and </w:t>
            </w:r>
            <w:r w:rsidR="00C205ED" w:rsidRPr="0044140E">
              <w:rPr>
                <w:rFonts w:eastAsiaTheme="minorEastAsia" w:cs="Times New Roman"/>
                <w:sz w:val="20"/>
                <w:szCs w:val="20"/>
              </w:rPr>
              <w:t xml:space="preserve">SB349 </w:t>
            </w:r>
            <w:r w:rsidR="00FE07C8">
              <w:rPr>
                <w:rFonts w:eastAsiaTheme="minorEastAsia" w:cs="Times New Roman"/>
                <w:sz w:val="20"/>
                <w:szCs w:val="20"/>
              </w:rPr>
              <w:t>passed by the</w:t>
            </w:r>
            <w:r w:rsidR="00C205ED" w:rsidRPr="0044140E">
              <w:rPr>
                <w:rFonts w:eastAsiaTheme="minorEastAsia" w:cs="Times New Roman"/>
                <w:sz w:val="20"/>
                <w:szCs w:val="20"/>
              </w:rPr>
              <w:t xml:space="preserve"> 2018 General Assembly </w:t>
            </w:r>
            <w:r w:rsidR="00C205ED">
              <w:rPr>
                <w:rFonts w:eastAsiaTheme="minorEastAsia" w:cs="Times New Roman"/>
                <w:sz w:val="20"/>
                <w:szCs w:val="20"/>
              </w:rPr>
              <w:t>addressed this requirement.</w:t>
            </w:r>
          </w:p>
        </w:tc>
      </w:tr>
      <w:tr w:rsidR="00C205ED" w:rsidTr="00C205ED">
        <w:trPr>
          <w:trHeight w:val="300"/>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Issue the Provisional License for a five-year period (instead of three);</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683497" w:rsidP="00FE07C8">
            <w:pPr>
              <w:shd w:val="clear" w:color="auto" w:fill="FFFFFF" w:themeFill="background1"/>
              <w:ind w:left="-18"/>
              <w:contextualSpacing/>
              <w:rPr>
                <w:rFonts w:eastAsiaTheme="minorEastAsia" w:cs="Times New Roman"/>
                <w:szCs w:val="24"/>
              </w:rPr>
            </w:pPr>
            <w:r>
              <w:rPr>
                <w:rFonts w:eastAsiaTheme="minorEastAsia" w:cs="Times New Roman"/>
                <w:sz w:val="20"/>
                <w:szCs w:val="20"/>
              </w:rPr>
              <w:t xml:space="preserve">HB1125 and </w:t>
            </w:r>
            <w:r w:rsidR="00C205ED" w:rsidRPr="0044140E">
              <w:rPr>
                <w:rFonts w:eastAsiaTheme="minorEastAsia" w:cs="Times New Roman"/>
                <w:sz w:val="20"/>
                <w:szCs w:val="20"/>
              </w:rPr>
              <w:t xml:space="preserve">SB349 </w:t>
            </w:r>
            <w:r w:rsidR="00FE07C8">
              <w:rPr>
                <w:rFonts w:eastAsiaTheme="minorEastAsia" w:cs="Times New Roman"/>
                <w:sz w:val="20"/>
                <w:szCs w:val="20"/>
              </w:rPr>
              <w:t>passed by the</w:t>
            </w:r>
            <w:r w:rsidR="00C205ED" w:rsidRPr="0044140E">
              <w:rPr>
                <w:rFonts w:eastAsiaTheme="minorEastAsia" w:cs="Times New Roman"/>
                <w:sz w:val="20"/>
                <w:szCs w:val="20"/>
              </w:rPr>
              <w:t xml:space="preserve"> 2018 General Assembly </w:t>
            </w:r>
            <w:r>
              <w:rPr>
                <w:rFonts w:eastAsiaTheme="minorEastAsia" w:cs="Times New Roman"/>
                <w:sz w:val="20"/>
                <w:szCs w:val="20"/>
              </w:rPr>
              <w:t>allow</w:t>
            </w:r>
            <w:r w:rsidR="00C205ED">
              <w:rPr>
                <w:rFonts w:eastAsiaTheme="minorEastAsia" w:cs="Times New Roman"/>
                <w:sz w:val="20"/>
                <w:szCs w:val="20"/>
              </w:rPr>
              <w:t xml:space="preserve"> up to two</w:t>
            </w:r>
            <w:r w:rsidR="00FE07C8">
              <w:rPr>
                <w:rFonts w:eastAsiaTheme="minorEastAsia" w:cs="Times New Roman"/>
                <w:sz w:val="20"/>
                <w:szCs w:val="20"/>
              </w:rPr>
              <w:t xml:space="preserve"> (one-year)</w:t>
            </w:r>
            <w:r w:rsidR="00C205ED">
              <w:rPr>
                <w:rFonts w:eastAsiaTheme="minorEastAsia" w:cs="Times New Roman"/>
                <w:sz w:val="20"/>
                <w:szCs w:val="20"/>
              </w:rPr>
              <w:t xml:space="preserve"> extensions of the Provisional </w:t>
            </w:r>
            <w:r w:rsidR="007A328D">
              <w:rPr>
                <w:rFonts w:eastAsiaTheme="minorEastAsia" w:cs="Times New Roman"/>
                <w:sz w:val="20"/>
                <w:szCs w:val="20"/>
              </w:rPr>
              <w:t xml:space="preserve">License </w:t>
            </w:r>
            <w:r w:rsidR="00C205ED">
              <w:rPr>
                <w:rFonts w:eastAsiaTheme="minorEastAsia" w:cs="Times New Roman"/>
                <w:sz w:val="20"/>
                <w:szCs w:val="20"/>
              </w:rPr>
              <w:t xml:space="preserve">if requested by the superintendent and the teacher has satisfactory performance evaluations for each of the three years of the </w:t>
            </w:r>
            <w:r w:rsidR="00C205ED">
              <w:rPr>
                <w:rFonts w:eastAsiaTheme="minorEastAsia" w:cs="Times New Roman"/>
                <w:sz w:val="20"/>
                <w:szCs w:val="20"/>
              </w:rPr>
              <w:lastRenderedPageBreak/>
              <w:t>original Provisional License.</w:t>
            </w:r>
          </w:p>
        </w:tc>
      </w:tr>
      <w:tr w:rsidR="00C205ED" w:rsidTr="00C205ED">
        <w:trPr>
          <w:trHeight w:val="300"/>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lastRenderedPageBreak/>
              <w:t>Market strategies to promote alternative pathways into the profession;</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00"/>
        </w:trPr>
        <w:tc>
          <w:tcPr>
            <w:tcW w:w="6858" w:type="dxa"/>
          </w:tcPr>
          <w:p w:rsidR="00C205ED" w:rsidRDefault="00C205ED" w:rsidP="00140663">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Make information about pathways into the teaching profession widely and publicly available (target segments of the population, such as retirees or military personnel, who may be interested in the teaching profession); include a variety of audiences – from middle school students to retirees;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00"/>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Facilitate the creation of a summer teaching fundamental program, partnering with institutions of higher education, to help individuals with Provisional Licenses make the transition into teaching;</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00"/>
        </w:trPr>
        <w:tc>
          <w:tcPr>
            <w:tcW w:w="6858" w:type="dxa"/>
          </w:tcPr>
          <w:p w:rsidR="00C205ED" w:rsidRDefault="00C205ED" w:rsidP="00EB7029">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Develop a partnership with the Department of Education and institutions of higher education to support teachers holding Provisional Licenses to obtain full licenses, including test preparation and discounted courses; (focus on teachers in critical shortage areas, including minority recruitment);</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00"/>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 xml:space="preserve">Offer a student teaching stipend for low income </w:t>
            </w:r>
            <w:r w:rsidR="00FE07C8">
              <w:rPr>
                <w:rFonts w:eastAsiaTheme="minorEastAsia" w:cs="Times New Roman"/>
                <w:szCs w:val="24"/>
              </w:rPr>
              <w:t xml:space="preserve">candidates, as well as student teachers </w:t>
            </w:r>
            <w:r>
              <w:rPr>
                <w:rFonts w:eastAsiaTheme="minorEastAsia" w:cs="Times New Roman"/>
                <w:szCs w:val="24"/>
              </w:rPr>
              <w:t>serving in critical shortage areas;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00"/>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Provide technical assistance to help innovative divisions provide compensation to student teachers during the student teaching experience, perhaps by hiring them as paraprofessionals or teacher aides;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00"/>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t>Fund support resources for teacher preparation programs</w:t>
            </w:r>
            <w:r>
              <w:rPr>
                <w:rFonts w:eastAsiaTheme="minorEastAsia" w:cs="Times New Roman"/>
                <w:szCs w:val="24"/>
              </w:rPr>
              <w:t>;</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90"/>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528"/>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 xml:space="preserve">Review and evaluate licensure assessments (the </w:t>
            </w:r>
            <w:r w:rsidRPr="005774E9">
              <w:rPr>
                <w:rFonts w:eastAsiaTheme="minorEastAsia" w:cs="Times New Roman"/>
                <w:szCs w:val="24"/>
              </w:rPr>
              <w:t xml:space="preserve">number of assessments required for teacher licensure, test bias, cost of tests, </w:t>
            </w:r>
            <w:r>
              <w:rPr>
                <w:rFonts w:eastAsiaTheme="minorEastAsia" w:cs="Times New Roman"/>
                <w:szCs w:val="24"/>
              </w:rPr>
              <w:t xml:space="preserve">what the tests measure, relationship between tests and teacher performance, </w:t>
            </w:r>
            <w:r w:rsidRPr="005774E9">
              <w:rPr>
                <w:rFonts w:eastAsiaTheme="minorEastAsia" w:cs="Times New Roman"/>
                <w:szCs w:val="24"/>
              </w:rPr>
              <w:t>and duplication of content</w:t>
            </w:r>
            <w:r>
              <w:rPr>
                <w:rFonts w:eastAsiaTheme="minorEastAsia" w:cs="Times New Roman"/>
                <w:szCs w:val="24"/>
              </w:rPr>
              <w:t xml:space="preserve">);  </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90"/>
              <w:contextualSpacing/>
              <w:jc w:val="center"/>
              <w:rPr>
                <w:rFonts w:eastAsiaTheme="minorEastAsia" w:cs="Times New Roman"/>
                <w:szCs w:val="24"/>
              </w:rPr>
            </w:pPr>
          </w:p>
        </w:tc>
        <w:tc>
          <w:tcPr>
            <w:tcW w:w="1800" w:type="dxa"/>
          </w:tcPr>
          <w:p w:rsidR="00C205ED"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528"/>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lastRenderedPageBreak/>
              <w:t>Cover or subsidize the cost of licensure assessments and provide test preparation programs;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528"/>
        </w:trPr>
        <w:tc>
          <w:tcPr>
            <w:tcW w:w="6858" w:type="dxa"/>
          </w:tcPr>
          <w:p w:rsidR="00C205ED" w:rsidRDefault="00C205ED" w:rsidP="0021421F">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t>Create “Grow Your Own” teacher preparation programs (to include internships for high school students and financial incentives to earn a degree)</w:t>
            </w:r>
            <w:r>
              <w:rPr>
                <w:rFonts w:eastAsiaTheme="minorEastAsia" w:cs="Times New Roman"/>
                <w:szCs w:val="24"/>
              </w:rPr>
              <w:t>; draw on successful existing models for deployment to school divisions; (expand Teachers for Tomorrow Programs);</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600"/>
        </w:trPr>
        <w:tc>
          <w:tcPr>
            <w:tcW w:w="6858" w:type="dxa"/>
          </w:tcPr>
          <w:p w:rsidR="00C205ED" w:rsidRDefault="00C205ED" w:rsidP="0021421F">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Offer dual enrollment at the high school level as part of “Grow Your Own” programs that should transfer seamlessly into degree pathways for students;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Default="00C205ED" w:rsidP="008A0126">
            <w:pPr>
              <w:shd w:val="clear" w:color="auto" w:fill="FFFFFF" w:themeFill="background1"/>
              <w:ind w:left="504"/>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600"/>
        </w:trPr>
        <w:tc>
          <w:tcPr>
            <w:tcW w:w="6858" w:type="dxa"/>
          </w:tcPr>
          <w:p w:rsidR="00C205ED" w:rsidRDefault="00C205ED" w:rsidP="006F28F3">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 xml:space="preserve">Support divisions in efforts to introduce students (both middle and high school) to teaching careers, and provide work-based learning opportunities for high school students; </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600"/>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Strengthen articulation agreements between community colleges and four-year institutions to ensure maximum credit transfers;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600"/>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Develop programs to assist paraprofessionals to become licensed through partnerships with higher education, school divisions, and apprenticeships;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Default="00C205ED" w:rsidP="00EF5466">
            <w:pPr>
              <w:shd w:val="clear" w:color="auto" w:fill="FFFFFF" w:themeFill="background1"/>
              <w:ind w:left="90"/>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276"/>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Pay for or subsidize child care for teacher candidates during clinical experiences;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EF5466">
            <w:pPr>
              <w:shd w:val="clear" w:color="auto" w:fill="FFFFFF" w:themeFill="background1"/>
              <w:ind w:left="90"/>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276"/>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t>Consider partnering with institutions of higher education to support fellows programs;</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00"/>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t xml:space="preserve">Provide </w:t>
            </w:r>
            <w:r>
              <w:rPr>
                <w:rFonts w:eastAsiaTheme="minorEastAsia" w:cs="Times New Roman"/>
                <w:szCs w:val="24"/>
              </w:rPr>
              <w:t xml:space="preserve">training to recognize and address </w:t>
            </w:r>
            <w:r w:rsidRPr="005774E9">
              <w:rPr>
                <w:rFonts w:eastAsiaTheme="minorEastAsia" w:cs="Times New Roman"/>
                <w:szCs w:val="24"/>
              </w:rPr>
              <w:t>unconscious bias;</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264"/>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t xml:space="preserve">Provide </w:t>
            </w:r>
            <w:r>
              <w:rPr>
                <w:rFonts w:eastAsiaTheme="minorEastAsia" w:cs="Times New Roman"/>
                <w:szCs w:val="24"/>
              </w:rPr>
              <w:t xml:space="preserve">quality statewide </w:t>
            </w:r>
            <w:r w:rsidRPr="005774E9">
              <w:rPr>
                <w:rFonts w:eastAsiaTheme="minorEastAsia" w:cs="Times New Roman"/>
                <w:szCs w:val="24"/>
              </w:rPr>
              <w:t>mentoring programs, guidance, and support;</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8B1AF6" w:rsidRDefault="00C205ED" w:rsidP="008B1AF6">
            <w:pPr>
              <w:shd w:val="clear" w:color="auto" w:fill="FFFFFF" w:themeFill="background1"/>
              <w:ind w:left="72"/>
              <w:contextualSpacing/>
              <w:jc w:val="center"/>
              <w:rPr>
                <w:rFonts w:eastAsiaTheme="minorEastAsia" w:cs="Times New Roman"/>
                <w:szCs w:val="24"/>
              </w:rPr>
            </w:pPr>
            <w:r w:rsidRPr="008B1AF6">
              <w:rPr>
                <w:rFonts w:eastAsiaTheme="minorEastAsia" w:cs="Times New Roman"/>
                <w:szCs w:val="24"/>
              </w:rPr>
              <w:t>X</w:t>
            </w:r>
          </w:p>
        </w:tc>
        <w:tc>
          <w:tcPr>
            <w:tcW w:w="1800" w:type="dxa"/>
          </w:tcPr>
          <w:p w:rsidR="00C205ED" w:rsidRPr="008B1AF6" w:rsidRDefault="00C205ED" w:rsidP="008632B3">
            <w:pPr>
              <w:shd w:val="clear" w:color="auto" w:fill="FFFFFF" w:themeFill="background1"/>
              <w:ind w:left="72"/>
              <w:contextualSpacing/>
              <w:jc w:val="center"/>
              <w:rPr>
                <w:rFonts w:eastAsiaTheme="minorEastAsia" w:cs="Times New Roman"/>
                <w:szCs w:val="24"/>
              </w:rPr>
            </w:pPr>
            <w:r w:rsidRPr="008B1AF6">
              <w:rPr>
                <w:rFonts w:eastAsiaTheme="minorEastAsia" w:cs="Times New Roman"/>
                <w:szCs w:val="24"/>
              </w:rPr>
              <w:t>X</w:t>
            </w:r>
          </w:p>
        </w:tc>
        <w:tc>
          <w:tcPr>
            <w:tcW w:w="1800" w:type="dxa"/>
          </w:tcPr>
          <w:p w:rsidR="00C205ED" w:rsidRPr="005774E9"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323"/>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Examine a</w:t>
            </w:r>
            <w:r w:rsidRPr="005774E9">
              <w:rPr>
                <w:rFonts w:eastAsiaTheme="minorEastAsia" w:cs="Times New Roman"/>
                <w:szCs w:val="24"/>
              </w:rPr>
              <w:t>ccreditation requirements</w:t>
            </w:r>
            <w:r>
              <w:rPr>
                <w:rFonts w:eastAsiaTheme="minorEastAsia" w:cs="Times New Roman"/>
                <w:szCs w:val="24"/>
              </w:rPr>
              <w:t xml:space="preserve"> for teacher preparation programs</w:t>
            </w:r>
            <w:r w:rsidRPr="005774E9">
              <w:rPr>
                <w:rFonts w:eastAsiaTheme="minorEastAsia" w:cs="Times New Roman"/>
                <w:szCs w:val="24"/>
              </w:rPr>
              <w:t xml:space="preserve"> that</w:t>
            </w:r>
            <w:r>
              <w:rPr>
                <w:rFonts w:eastAsiaTheme="minorEastAsia" w:cs="Times New Roman"/>
                <w:szCs w:val="24"/>
              </w:rPr>
              <w:t xml:space="preserve"> may create barriers to candidates</w:t>
            </w:r>
            <w:r w:rsidRPr="005774E9">
              <w:rPr>
                <w:rFonts w:eastAsiaTheme="minorEastAsia" w:cs="Times New Roman"/>
                <w:szCs w:val="24"/>
              </w:rPr>
              <w:t xml:space="preserve"> entering teacher preparation programs;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Default="00C205ED" w:rsidP="008A0126">
            <w:pPr>
              <w:shd w:val="clear" w:color="auto" w:fill="FFFFFF" w:themeFill="background1"/>
              <w:ind w:left="504"/>
              <w:contextualSpacing/>
              <w:jc w:val="center"/>
              <w:rPr>
                <w:rFonts w:eastAsiaTheme="minorEastAsia" w:cs="Times New Roman"/>
                <w:szCs w:val="24"/>
              </w:rPr>
            </w:pPr>
          </w:p>
        </w:tc>
        <w:tc>
          <w:tcPr>
            <w:tcW w:w="1800" w:type="dxa"/>
          </w:tcPr>
          <w:p w:rsidR="00C205ED" w:rsidRDefault="00C205ED" w:rsidP="008632B3">
            <w:pPr>
              <w:shd w:val="clear" w:color="auto" w:fill="FFFFFF" w:themeFill="background1"/>
              <w:ind w:left="504"/>
              <w:contextualSpacing/>
              <w:jc w:val="center"/>
              <w:rPr>
                <w:rFonts w:eastAsiaTheme="minorEastAsia" w:cs="Times New Roman"/>
                <w:szCs w:val="24"/>
              </w:rPr>
            </w:pPr>
          </w:p>
        </w:tc>
        <w:tc>
          <w:tcPr>
            <w:tcW w:w="1800" w:type="dxa"/>
          </w:tcPr>
          <w:p w:rsidR="00C205ED" w:rsidRDefault="00C205ED" w:rsidP="008A0126">
            <w:pPr>
              <w:shd w:val="clear" w:color="auto" w:fill="FFFFFF" w:themeFill="background1"/>
              <w:ind w:left="504"/>
              <w:contextualSpacing/>
              <w:jc w:val="center"/>
              <w:rPr>
                <w:rFonts w:eastAsiaTheme="minorEastAsia" w:cs="Times New Roman"/>
                <w:szCs w:val="24"/>
              </w:rPr>
            </w:pPr>
          </w:p>
        </w:tc>
      </w:tr>
      <w:tr w:rsidR="00C205ED" w:rsidTr="00C205ED">
        <w:trPr>
          <w:trHeight w:val="540"/>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lastRenderedPageBreak/>
              <w:t xml:space="preserve">Incorporate new data systems that allow the state to </w:t>
            </w:r>
            <w:r w:rsidR="00A4002A">
              <w:rPr>
                <w:rFonts w:eastAsiaTheme="minorEastAsia" w:cs="Times New Roman"/>
                <w:szCs w:val="24"/>
              </w:rPr>
              <w:t xml:space="preserve">better </w:t>
            </w:r>
            <w:r>
              <w:rPr>
                <w:rFonts w:eastAsiaTheme="minorEastAsia" w:cs="Times New Roman"/>
                <w:szCs w:val="24"/>
              </w:rPr>
              <w:t>understand the nature of the issues surrounding the teacher shortage and provide a basis for improvement;</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72"/>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p>
        </w:tc>
      </w:tr>
      <w:tr w:rsidR="00C205ED" w:rsidTr="00C205ED">
        <w:trPr>
          <w:trHeight w:val="224"/>
        </w:trPr>
        <w:tc>
          <w:tcPr>
            <w:tcW w:w="6858" w:type="dxa"/>
          </w:tcPr>
          <w:p w:rsidR="00C205ED" w:rsidRDefault="00C205ED" w:rsidP="007057F6">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t>Establish statewid</w:t>
            </w:r>
            <w:r>
              <w:rPr>
                <w:rFonts w:eastAsiaTheme="minorEastAsia" w:cs="Times New Roman"/>
                <w:szCs w:val="24"/>
              </w:rPr>
              <w:t>e background checks for teacher candidates</w:t>
            </w:r>
            <w:r w:rsidRPr="005774E9">
              <w:rPr>
                <w:rFonts w:eastAsiaTheme="minorEastAsia" w:cs="Times New Roman"/>
                <w:szCs w:val="24"/>
              </w:rPr>
              <w:t xml:space="preserve"> (Currently, candidates</w:t>
            </w:r>
            <w:r>
              <w:rPr>
                <w:rFonts w:eastAsiaTheme="minorEastAsia" w:cs="Times New Roman"/>
                <w:szCs w:val="24"/>
              </w:rPr>
              <w:t xml:space="preserve"> completing internships and clinical experiences </w:t>
            </w:r>
            <w:r w:rsidRPr="005774E9">
              <w:rPr>
                <w:rFonts w:eastAsiaTheme="minorEastAsia" w:cs="Times New Roman"/>
                <w:szCs w:val="24"/>
              </w:rPr>
              <w:t xml:space="preserve">in </w:t>
            </w:r>
            <w:r>
              <w:rPr>
                <w:rFonts w:eastAsiaTheme="minorEastAsia" w:cs="Times New Roman"/>
                <w:szCs w:val="24"/>
              </w:rPr>
              <w:t xml:space="preserve">several divisions are required to pay </w:t>
            </w:r>
            <w:r w:rsidRPr="005774E9">
              <w:rPr>
                <w:rFonts w:eastAsiaTheme="minorEastAsia" w:cs="Times New Roman"/>
                <w:szCs w:val="24"/>
              </w:rPr>
              <w:t xml:space="preserve">for multiple background checks </w:t>
            </w:r>
            <w:r>
              <w:rPr>
                <w:rFonts w:eastAsiaTheme="minorEastAsia" w:cs="Times New Roman"/>
                <w:szCs w:val="24"/>
              </w:rPr>
              <w:t xml:space="preserve">which </w:t>
            </w:r>
            <w:r w:rsidRPr="005774E9">
              <w:rPr>
                <w:rFonts w:eastAsiaTheme="minorEastAsia" w:cs="Times New Roman"/>
                <w:szCs w:val="24"/>
              </w:rPr>
              <w:t>is costly for candidates.);</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p>
        </w:tc>
      </w:tr>
      <w:tr w:rsidR="00C205ED" w:rsidTr="00C205ED">
        <w:trPr>
          <w:trHeight w:val="260"/>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t>Address transportation issues for preservice teachers to complete clinical experiences, perhaps partnering with the community;</w:t>
            </w:r>
            <w:r>
              <w:rPr>
                <w:rFonts w:eastAsiaTheme="minorEastAsia" w:cs="Times New Roman"/>
                <w:szCs w:val="24"/>
              </w:rPr>
              <w:t xml:space="preserve"> </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p>
        </w:tc>
      </w:tr>
      <w:tr w:rsidR="00C205ED" w:rsidTr="00C205ED">
        <w:trPr>
          <w:trHeight w:val="696"/>
        </w:trPr>
        <w:tc>
          <w:tcPr>
            <w:tcW w:w="6858" w:type="dxa"/>
          </w:tcPr>
          <w:p w:rsidR="00C205ED" w:rsidRPr="005774E9" w:rsidRDefault="00C205ED" w:rsidP="005F6621">
            <w:pPr>
              <w:numPr>
                <w:ilvl w:val="0"/>
                <w:numId w:val="5"/>
              </w:numPr>
              <w:shd w:val="clear" w:color="auto" w:fill="FFFFFF" w:themeFill="background1"/>
              <w:ind w:left="432"/>
              <w:contextualSpacing/>
              <w:rPr>
                <w:rFonts w:eastAsiaTheme="minorEastAsia" w:cs="Times New Roman"/>
                <w:szCs w:val="24"/>
              </w:rPr>
            </w:pPr>
            <w:r>
              <w:rPr>
                <w:rFonts w:eastAsiaTheme="minorEastAsia" w:cs="Times New Roman"/>
                <w:szCs w:val="24"/>
              </w:rPr>
              <w:t>Strengthen coursework in preparation programs so the clinical and practical experiences help all educators develop an understanding of the needs of schools in diverse settings and different populations of students;</w:t>
            </w:r>
          </w:p>
        </w:tc>
        <w:tc>
          <w:tcPr>
            <w:tcW w:w="1800" w:type="dxa"/>
          </w:tcPr>
          <w:p w:rsidR="00C205ED" w:rsidRDefault="00C205ED" w:rsidP="008A0126">
            <w:pPr>
              <w:shd w:val="clear" w:color="auto" w:fill="FFFFFF" w:themeFill="background1"/>
              <w:ind w:left="72"/>
              <w:contextualSpacing/>
              <w:jc w:val="center"/>
              <w:rPr>
                <w:rFonts w:eastAsiaTheme="minorEastAsia" w:cs="Times New Roman"/>
                <w:szCs w:val="24"/>
              </w:rPr>
            </w:pPr>
          </w:p>
        </w:tc>
        <w:tc>
          <w:tcPr>
            <w:tcW w:w="1710" w:type="dxa"/>
          </w:tcPr>
          <w:p w:rsidR="00C205ED"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800" w:type="dxa"/>
          </w:tcPr>
          <w:p w:rsidR="00C205ED" w:rsidRDefault="00C205ED" w:rsidP="008632B3">
            <w:pPr>
              <w:shd w:val="clear" w:color="auto" w:fill="FFFFFF" w:themeFill="background1"/>
              <w:ind w:left="72"/>
              <w:contextualSpacing/>
              <w:jc w:val="center"/>
              <w:rPr>
                <w:rFonts w:eastAsiaTheme="minorEastAsia"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p>
        </w:tc>
      </w:tr>
      <w:tr w:rsidR="00C205ED" w:rsidTr="00C205ED">
        <w:trPr>
          <w:trHeight w:val="696"/>
        </w:trPr>
        <w:tc>
          <w:tcPr>
            <w:tcW w:w="6858" w:type="dxa"/>
          </w:tcPr>
          <w:p w:rsidR="00C205ED" w:rsidRDefault="00C205ED" w:rsidP="00C60C52">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Improve teacher induction:  strengthen clinical experiences; strengthen diversity education in teacher preparation coursework; strengthen oversight of teacher preparation programs; and better prepare candidates to work in challenged schools; and</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696"/>
        </w:trPr>
        <w:tc>
          <w:tcPr>
            <w:tcW w:w="6858" w:type="dxa"/>
          </w:tcPr>
          <w:p w:rsidR="00C205ED" w:rsidRPr="005774E9" w:rsidRDefault="00C205ED" w:rsidP="007057F6">
            <w:pPr>
              <w:numPr>
                <w:ilvl w:val="0"/>
                <w:numId w:val="5"/>
              </w:numPr>
              <w:shd w:val="clear" w:color="auto" w:fill="FFFFFF" w:themeFill="background1"/>
              <w:ind w:left="432"/>
              <w:contextualSpacing/>
              <w:rPr>
                <w:rFonts w:eastAsiaTheme="minorEastAsia" w:cs="Times New Roman"/>
                <w:szCs w:val="24"/>
              </w:rPr>
            </w:pPr>
            <w:r w:rsidRPr="005774E9">
              <w:rPr>
                <w:rFonts w:eastAsiaTheme="minorEastAsia" w:cs="Times New Roman"/>
                <w:szCs w:val="24"/>
              </w:rPr>
              <w:t xml:space="preserve">Implement the </w:t>
            </w:r>
            <w:r>
              <w:rPr>
                <w:rFonts w:eastAsiaTheme="minorEastAsia" w:cs="Times New Roman"/>
                <w:szCs w:val="24"/>
              </w:rPr>
              <w:t>option of the four-year teacher preparation programs</w:t>
            </w:r>
            <w:r w:rsidRPr="005774E9">
              <w:rPr>
                <w:rFonts w:eastAsiaTheme="minorEastAsia" w:cs="Times New Roman"/>
                <w:szCs w:val="24"/>
              </w:rPr>
              <w:t xml:space="preserve"> </w:t>
            </w:r>
            <w:r>
              <w:rPr>
                <w:rFonts w:eastAsiaTheme="minorEastAsia" w:cs="Times New Roman"/>
                <w:szCs w:val="24"/>
              </w:rPr>
              <w:t>with a major in education</w:t>
            </w:r>
            <w:r w:rsidRPr="005774E9">
              <w:rPr>
                <w:rFonts w:eastAsiaTheme="minorEastAsia" w:cs="Times New Roman"/>
                <w:szCs w:val="24"/>
              </w:rPr>
              <w:t xml:space="preserve"> and maintain professional standards, including a balance between content and teaching.</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632B3">
            <w:pPr>
              <w:shd w:val="clear" w:color="auto" w:fill="FFFFFF" w:themeFill="background1"/>
              <w:ind w:left="72"/>
              <w:contextualSpacing/>
              <w:jc w:val="center"/>
              <w:rPr>
                <w:rFonts w:eastAsiaTheme="minorEastAsia" w:cs="Times New Roman"/>
                <w:szCs w:val="24"/>
              </w:rPr>
            </w:pPr>
            <w:r>
              <w:rPr>
                <w:rFonts w:eastAsiaTheme="minorEastAsia" w:cs="Times New Roman"/>
                <w:szCs w:val="24"/>
              </w:rPr>
              <w:t>X</w:t>
            </w:r>
          </w:p>
        </w:tc>
        <w:tc>
          <w:tcPr>
            <w:tcW w:w="1800" w:type="dxa"/>
          </w:tcPr>
          <w:p w:rsidR="00C205ED" w:rsidRPr="005774E9" w:rsidRDefault="00C205ED" w:rsidP="008A0126">
            <w:pPr>
              <w:shd w:val="clear" w:color="auto" w:fill="FFFFFF" w:themeFill="background1"/>
              <w:ind w:left="72"/>
              <w:contextualSpacing/>
              <w:jc w:val="center"/>
              <w:rPr>
                <w:rFonts w:eastAsiaTheme="minorEastAsia" w:cs="Times New Roman"/>
                <w:szCs w:val="24"/>
              </w:rPr>
            </w:pPr>
          </w:p>
        </w:tc>
      </w:tr>
      <w:tr w:rsidR="00632F00" w:rsidTr="00632F00">
        <w:trPr>
          <w:trHeight w:val="324"/>
        </w:trPr>
        <w:tc>
          <w:tcPr>
            <w:tcW w:w="13968" w:type="dxa"/>
            <w:gridSpan w:val="5"/>
          </w:tcPr>
          <w:p w:rsidR="00632F00" w:rsidRPr="00F30B63" w:rsidRDefault="00632F00" w:rsidP="00F30B63">
            <w:pPr>
              <w:pStyle w:val="Heading2"/>
            </w:pPr>
            <w:r w:rsidRPr="00F30B63">
              <w:t>Induction and Support</w:t>
            </w:r>
          </w:p>
        </w:tc>
      </w:tr>
      <w:tr w:rsidR="00C205ED" w:rsidTr="00C205ED">
        <w:trPr>
          <w:trHeight w:val="324"/>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Expand teacher residency programs;</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612"/>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 xml:space="preserve">Establish high quality </w:t>
            </w:r>
            <w:r>
              <w:rPr>
                <w:rFonts w:eastAsia="Times New Roman" w:cs="Times New Roman"/>
                <w:szCs w:val="24"/>
              </w:rPr>
              <w:t xml:space="preserve">model </w:t>
            </w:r>
            <w:r w:rsidRPr="005774E9">
              <w:rPr>
                <w:rFonts w:eastAsia="Times New Roman" w:cs="Times New Roman"/>
                <w:szCs w:val="24"/>
              </w:rPr>
              <w:t>induction and mentoring programs and provide support through the probationary period (not only the first year)</w:t>
            </w:r>
            <w:r>
              <w:rPr>
                <w:rFonts w:eastAsia="Times New Roman" w:cs="Times New Roman"/>
                <w:szCs w:val="24"/>
              </w:rPr>
              <w:t>; provide funding to support mentors;</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00"/>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Provide incentives for mentors and mentoring programs;</w:t>
            </w:r>
          </w:p>
        </w:tc>
        <w:tc>
          <w:tcPr>
            <w:tcW w:w="1800" w:type="dxa"/>
          </w:tcPr>
          <w:p w:rsidR="00C205ED" w:rsidRPr="005774E9" w:rsidRDefault="00CA40B4" w:rsidP="000D57FD">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A40B4" w:rsidP="000D57FD">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0D57FD">
            <w:pPr>
              <w:shd w:val="clear" w:color="auto" w:fill="FFFFFF" w:themeFill="background1"/>
              <w:ind w:left="72"/>
              <w:contextualSpacing/>
              <w:jc w:val="center"/>
              <w:rPr>
                <w:rFonts w:eastAsia="Times New Roman" w:cs="Times New Roman"/>
                <w:szCs w:val="24"/>
              </w:rPr>
            </w:pPr>
          </w:p>
        </w:tc>
      </w:tr>
      <w:tr w:rsidR="00C205ED" w:rsidTr="00C205ED">
        <w:trPr>
          <w:trHeight w:val="300"/>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Provide release time for mentoring – time t</w:t>
            </w:r>
            <w:r>
              <w:rPr>
                <w:rFonts w:eastAsia="Times New Roman" w:cs="Times New Roman"/>
                <w:szCs w:val="24"/>
              </w:rPr>
              <w:t xml:space="preserve">o observe, reflect, </w:t>
            </w:r>
            <w:r>
              <w:rPr>
                <w:rFonts w:eastAsia="Times New Roman" w:cs="Times New Roman"/>
                <w:szCs w:val="24"/>
              </w:rPr>
              <w:lastRenderedPageBreak/>
              <w:t>and discuss;</w:t>
            </w:r>
          </w:p>
        </w:tc>
        <w:tc>
          <w:tcPr>
            <w:tcW w:w="1800" w:type="dxa"/>
          </w:tcPr>
          <w:p w:rsidR="00C205ED" w:rsidRPr="005774E9" w:rsidRDefault="00C205ED" w:rsidP="000D57FD">
            <w:pPr>
              <w:shd w:val="clear" w:color="auto" w:fill="FFFFFF" w:themeFill="background1"/>
              <w:ind w:left="72"/>
              <w:contextualSpacing/>
              <w:jc w:val="center"/>
              <w:rPr>
                <w:rFonts w:eastAsia="Times New Roman" w:cs="Times New Roman"/>
                <w:szCs w:val="24"/>
              </w:rPr>
            </w:pPr>
            <w:r>
              <w:rPr>
                <w:rFonts w:eastAsia="Times New Roman" w:cs="Times New Roman"/>
                <w:szCs w:val="24"/>
              </w:rPr>
              <w:lastRenderedPageBreak/>
              <w:t>X</w:t>
            </w:r>
          </w:p>
        </w:tc>
        <w:tc>
          <w:tcPr>
            <w:tcW w:w="1710" w:type="dxa"/>
          </w:tcPr>
          <w:p w:rsidR="00C205ED" w:rsidRPr="005774E9" w:rsidRDefault="00C205ED" w:rsidP="000D57FD">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0D57FD">
            <w:pPr>
              <w:shd w:val="clear" w:color="auto" w:fill="FFFFFF" w:themeFill="background1"/>
              <w:ind w:left="72"/>
              <w:contextualSpacing/>
              <w:jc w:val="center"/>
              <w:rPr>
                <w:rFonts w:eastAsia="Times New Roman" w:cs="Times New Roman"/>
                <w:szCs w:val="24"/>
              </w:rPr>
            </w:pPr>
          </w:p>
        </w:tc>
      </w:tr>
      <w:tr w:rsidR="00C205ED" w:rsidTr="00C205ED">
        <w:trPr>
          <w:trHeight w:val="300"/>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lastRenderedPageBreak/>
              <w:t>Provide model principal induction and mentoring programs to all divisions and support their implementation and training;</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00"/>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Create a master teacher program</w:t>
            </w:r>
            <w:r>
              <w:rPr>
                <w:rFonts w:eastAsia="Times New Roman" w:cs="Times New Roman"/>
                <w:szCs w:val="24"/>
              </w:rPr>
              <w:t xml:space="preserve"> to incentivize </w:t>
            </w:r>
            <w:r w:rsidRPr="005774E9">
              <w:rPr>
                <w:rFonts w:eastAsia="Times New Roman" w:cs="Times New Roman"/>
                <w:szCs w:val="24"/>
              </w:rPr>
              <w:t xml:space="preserve">effective teachers </w:t>
            </w:r>
            <w:r>
              <w:rPr>
                <w:rFonts w:eastAsia="Times New Roman" w:cs="Times New Roman"/>
                <w:szCs w:val="24"/>
              </w:rPr>
              <w:t xml:space="preserve">to stay </w:t>
            </w:r>
            <w:r w:rsidRPr="005774E9">
              <w:rPr>
                <w:rFonts w:eastAsia="Times New Roman" w:cs="Times New Roman"/>
                <w:szCs w:val="24"/>
              </w:rPr>
              <w:t xml:space="preserve">in </w:t>
            </w:r>
            <w:r>
              <w:rPr>
                <w:rFonts w:eastAsia="Times New Roman" w:cs="Times New Roman"/>
                <w:szCs w:val="24"/>
              </w:rPr>
              <w:t>the classroom</w:t>
            </w:r>
            <w:r w:rsidRPr="005774E9">
              <w:rPr>
                <w:rFonts w:eastAsia="Times New Roman" w:cs="Times New Roman"/>
                <w:szCs w:val="24"/>
              </w:rPr>
              <w:t>;</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05"/>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Provide funding for career ladders for teachers who assume additional responsib</w:t>
            </w:r>
            <w:r>
              <w:rPr>
                <w:rFonts w:eastAsia="Times New Roman" w:cs="Times New Roman"/>
                <w:szCs w:val="24"/>
              </w:rPr>
              <w:t xml:space="preserve">ilities, such as mentoring or taking </w:t>
            </w:r>
            <w:r w:rsidRPr="005774E9">
              <w:rPr>
                <w:rFonts w:eastAsia="Times New Roman" w:cs="Times New Roman"/>
                <w:szCs w:val="24"/>
              </w:rPr>
              <w:t>leadership</w:t>
            </w:r>
            <w:r>
              <w:rPr>
                <w:rFonts w:eastAsia="Times New Roman" w:cs="Times New Roman"/>
                <w:szCs w:val="24"/>
              </w:rPr>
              <w:t xml:space="preserve"> roles</w:t>
            </w:r>
            <w:r w:rsidRPr="005774E9">
              <w:rPr>
                <w:rFonts w:eastAsia="Times New Roman" w:cs="Times New Roman"/>
                <w:szCs w:val="24"/>
              </w:rPr>
              <w:t>;</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286"/>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Reduce paperwork of teachers;</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288"/>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Recognize, praise, celebrate, and</w:t>
            </w:r>
            <w:r>
              <w:rPr>
                <w:rFonts w:eastAsia="Times New Roman" w:cs="Times New Roman"/>
                <w:szCs w:val="24"/>
              </w:rPr>
              <w:t xml:space="preserve"> reward teachers for hard work (not only related to assessments):</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516"/>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Review the Teacher Performance Evaluation system and the</w:t>
            </w:r>
            <w:r>
              <w:rPr>
                <w:rFonts w:eastAsia="Times New Roman" w:cs="Times New Roman"/>
                <w:szCs w:val="24"/>
              </w:rPr>
              <w:t xml:space="preserve"> weighting of the standards in the summative evaluation</w:t>
            </w:r>
            <w:r w:rsidRPr="005774E9">
              <w:rPr>
                <w:rFonts w:eastAsia="Times New Roman" w:cs="Times New Roman"/>
                <w:szCs w:val="24"/>
              </w:rPr>
              <w:t>;</w:t>
            </w:r>
            <w:r>
              <w:rPr>
                <w:rFonts w:eastAsia="Times New Roman" w:cs="Times New Roman"/>
                <w:szCs w:val="24"/>
              </w:rPr>
              <w:t xml:space="preserve"> and</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444"/>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Create a statewide system to help provisionally licensed teachers track progress to full licensure and connect with cohorts of similarly positioned teachers.</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632F00" w:rsidTr="00632F00">
        <w:trPr>
          <w:trHeight w:val="224"/>
        </w:trPr>
        <w:tc>
          <w:tcPr>
            <w:tcW w:w="13968" w:type="dxa"/>
            <w:gridSpan w:val="5"/>
          </w:tcPr>
          <w:p w:rsidR="00632F00" w:rsidRPr="00F30B63" w:rsidRDefault="00632F00" w:rsidP="00F30B63">
            <w:pPr>
              <w:pStyle w:val="Heading2"/>
            </w:pPr>
            <w:bookmarkStart w:id="0" w:name="_GoBack" w:colFirst="0" w:colLast="0"/>
            <w:r w:rsidRPr="00F30B63">
              <w:t>Working Conditions</w:t>
            </w:r>
          </w:p>
        </w:tc>
      </w:tr>
      <w:bookmarkEnd w:id="0"/>
      <w:tr w:rsidR="00C205ED" w:rsidTr="00C205ED">
        <w:trPr>
          <w:trHeight w:val="492"/>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Expand funding</w:t>
            </w:r>
            <w:r w:rsidRPr="005774E9">
              <w:rPr>
                <w:rFonts w:eastAsia="Times New Roman" w:cs="Times New Roman"/>
                <w:szCs w:val="24"/>
              </w:rPr>
              <w:t xml:space="preserve"> for incentives and professional development for institutions of higher education and school divisions to support provisionally licensed teachers;</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12"/>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Provide incentives</w:t>
            </w:r>
            <w:r w:rsidRPr="005774E9">
              <w:rPr>
                <w:rFonts w:eastAsia="Times New Roman" w:cs="Times New Roman"/>
                <w:szCs w:val="24"/>
              </w:rPr>
              <w:t xml:space="preserve"> similar to those offered in private business;</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264"/>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Encourage l</w:t>
            </w:r>
            <w:r w:rsidRPr="005774E9">
              <w:rPr>
                <w:rFonts w:eastAsia="Times New Roman" w:cs="Times New Roman"/>
                <w:szCs w:val="24"/>
              </w:rPr>
              <w:t>ocal incentives (tax relief, first-time home buyer loans, etc.</w:t>
            </w:r>
            <w:r>
              <w:rPr>
                <w:rFonts w:eastAsia="Times New Roman" w:cs="Times New Roman"/>
                <w:szCs w:val="24"/>
              </w:rPr>
              <w:t>)</w:t>
            </w:r>
            <w:r w:rsidRPr="005774E9">
              <w:rPr>
                <w:rFonts w:eastAsia="Times New Roman" w:cs="Times New Roman"/>
                <w:szCs w:val="24"/>
              </w:rPr>
              <w:t>;</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602"/>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Allow construction f</w:t>
            </w:r>
            <w:r w:rsidRPr="005774E9">
              <w:rPr>
                <w:rFonts w:eastAsia="Times New Roman" w:cs="Times New Roman"/>
                <w:szCs w:val="24"/>
              </w:rPr>
              <w:t>und</w:t>
            </w:r>
            <w:r>
              <w:rPr>
                <w:rFonts w:eastAsia="Times New Roman" w:cs="Times New Roman"/>
                <w:szCs w:val="24"/>
              </w:rPr>
              <w:t>s to address school safety issues (not only for building construction)</w:t>
            </w:r>
            <w:r w:rsidRPr="005774E9">
              <w:rPr>
                <w:rFonts w:eastAsia="Times New Roman" w:cs="Times New Roman"/>
                <w:szCs w:val="24"/>
              </w:rPr>
              <w:t xml:space="preserve">; </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660"/>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Offer collaborative decision-</w:t>
            </w:r>
            <w:r w:rsidRPr="005774E9">
              <w:rPr>
                <w:rFonts w:eastAsia="Times New Roman" w:cs="Times New Roman"/>
                <w:szCs w:val="24"/>
              </w:rPr>
              <w:t>making training for principals in administrative preparation programs that may become part of annual performance evaluations;</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204"/>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Provide a</w:t>
            </w:r>
            <w:r w:rsidRPr="005774E9">
              <w:rPr>
                <w:rFonts w:eastAsia="Times New Roman" w:cs="Times New Roman"/>
                <w:szCs w:val="24"/>
              </w:rPr>
              <w:t xml:space="preserve">dequate support staff who are appropriately </w:t>
            </w:r>
            <w:r w:rsidRPr="005774E9">
              <w:rPr>
                <w:rFonts w:eastAsia="Times New Roman" w:cs="Times New Roman"/>
                <w:szCs w:val="24"/>
              </w:rPr>
              <w:lastRenderedPageBreak/>
              <w:t>compensated;</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lastRenderedPageBreak/>
              <w:t>X</w:t>
            </w:r>
          </w:p>
        </w:tc>
        <w:tc>
          <w:tcPr>
            <w:tcW w:w="171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282"/>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lastRenderedPageBreak/>
              <w:t xml:space="preserve">Invest in </w:t>
            </w:r>
            <w:r>
              <w:rPr>
                <w:rFonts w:eastAsia="Times New Roman" w:cs="Times New Roman"/>
                <w:szCs w:val="24"/>
              </w:rPr>
              <w:t>p</w:t>
            </w:r>
            <w:r w:rsidRPr="005774E9">
              <w:rPr>
                <w:rFonts w:eastAsia="Times New Roman" w:cs="Times New Roman"/>
                <w:szCs w:val="24"/>
              </w:rPr>
              <w:t>rofessional development programs for teachers</w:t>
            </w:r>
            <w:r>
              <w:rPr>
                <w:rFonts w:eastAsia="Times New Roman" w:cs="Times New Roman"/>
                <w:szCs w:val="24"/>
              </w:rPr>
              <w:t xml:space="preserve">, administrators, </w:t>
            </w:r>
            <w:r w:rsidRPr="005774E9">
              <w:rPr>
                <w:rFonts w:eastAsia="Times New Roman" w:cs="Times New Roman"/>
                <w:szCs w:val="24"/>
              </w:rPr>
              <w:t>and support staff;</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288"/>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Increase community and parental involvement and support;</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260"/>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Guarantee teacher planning time (not eliminated by reassignments to other duties, such as class coverage when substitute teachers are not available);</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552"/>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 xml:space="preserve">Provide early release days for </w:t>
            </w:r>
            <w:r>
              <w:rPr>
                <w:rFonts w:eastAsia="Times New Roman" w:cs="Times New Roman"/>
                <w:szCs w:val="24"/>
              </w:rPr>
              <w:t xml:space="preserve">teachers to participate in </w:t>
            </w:r>
            <w:r w:rsidRPr="005774E9">
              <w:rPr>
                <w:rFonts w:eastAsia="Times New Roman" w:cs="Times New Roman"/>
                <w:szCs w:val="24"/>
              </w:rPr>
              <w:t>profession</w:t>
            </w:r>
            <w:r>
              <w:rPr>
                <w:rFonts w:eastAsia="Times New Roman" w:cs="Times New Roman"/>
                <w:szCs w:val="24"/>
              </w:rPr>
              <w:t xml:space="preserve">al development and collaborate </w:t>
            </w:r>
            <w:r w:rsidRPr="005774E9">
              <w:rPr>
                <w:rFonts w:eastAsia="Times New Roman" w:cs="Times New Roman"/>
                <w:szCs w:val="24"/>
              </w:rPr>
              <w:t>with colleagues;</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38"/>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Create a t</w:t>
            </w:r>
            <w:r>
              <w:rPr>
                <w:rFonts w:eastAsia="Times New Roman" w:cs="Times New Roman"/>
                <w:szCs w:val="24"/>
              </w:rPr>
              <w:t>eam approach (instead of an “us</w:t>
            </w:r>
            <w:r w:rsidRPr="005774E9">
              <w:rPr>
                <w:rFonts w:eastAsia="Times New Roman" w:cs="Times New Roman"/>
                <w:szCs w:val="24"/>
              </w:rPr>
              <w:t>”)</w:t>
            </w:r>
            <w:r>
              <w:rPr>
                <w:rFonts w:eastAsia="Times New Roman" w:cs="Times New Roman"/>
                <w:szCs w:val="24"/>
              </w:rPr>
              <w:t>;</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56"/>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Reduce class size;</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25"/>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Provide wellness days (not just sick days);</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90"/>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Consider employing interns or teacher candidates as substitute teachers;</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600"/>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Review the separation of service time for teachers to return to employment as substitutes or full-time teachers;</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467"/>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Support safety in schools, including providing mental health resources;</w:t>
            </w:r>
            <w:r>
              <w:rPr>
                <w:rFonts w:eastAsia="Times New Roman" w:cs="Times New Roman"/>
                <w:szCs w:val="24"/>
              </w:rPr>
              <w:t xml:space="preserve"> </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72"/>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sidRPr="005774E9">
              <w:rPr>
                <w:rFonts w:eastAsia="Times New Roman" w:cs="Times New Roman"/>
                <w:szCs w:val="24"/>
              </w:rPr>
              <w:t xml:space="preserve">“Rethink” </w:t>
            </w:r>
            <w:r>
              <w:rPr>
                <w:rFonts w:eastAsia="Times New Roman" w:cs="Times New Roman"/>
                <w:szCs w:val="24"/>
              </w:rPr>
              <w:t>the traditional classroom model;</w:t>
            </w: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72"/>
        </w:trPr>
        <w:tc>
          <w:tcPr>
            <w:tcW w:w="6858" w:type="dxa"/>
          </w:tcPr>
          <w:p w:rsidR="00C205ED"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Implement a working conditions survey to accurately identify sources of stress for teachers that impact long-term stability in employment; and</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710" w:type="dxa"/>
          </w:tcPr>
          <w:p w:rsidR="00C205ED"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p>
        </w:tc>
      </w:tr>
      <w:tr w:rsidR="00C205ED" w:rsidTr="00C205ED">
        <w:trPr>
          <w:trHeight w:val="372"/>
        </w:trPr>
        <w:tc>
          <w:tcPr>
            <w:tcW w:w="6858" w:type="dxa"/>
          </w:tcPr>
          <w:p w:rsidR="00C205ED" w:rsidRPr="005774E9" w:rsidRDefault="00C205ED" w:rsidP="00666E2A">
            <w:pPr>
              <w:numPr>
                <w:ilvl w:val="0"/>
                <w:numId w:val="5"/>
              </w:numPr>
              <w:shd w:val="clear" w:color="auto" w:fill="FFFFFF" w:themeFill="background1"/>
              <w:ind w:left="450"/>
              <w:contextualSpacing/>
              <w:rPr>
                <w:rFonts w:eastAsia="Times New Roman" w:cs="Times New Roman"/>
                <w:szCs w:val="24"/>
              </w:rPr>
            </w:pPr>
            <w:r>
              <w:rPr>
                <w:rFonts w:eastAsia="Times New Roman" w:cs="Times New Roman"/>
                <w:szCs w:val="24"/>
              </w:rPr>
              <w:t xml:space="preserve">Adopt the proposed </w:t>
            </w:r>
            <w:r w:rsidRPr="00B93D52">
              <w:rPr>
                <w:rFonts w:eastAsia="Times New Roman" w:cs="Times New Roman"/>
                <w:i/>
                <w:szCs w:val="24"/>
              </w:rPr>
              <w:t>Standards of Accreditation</w:t>
            </w:r>
            <w:r>
              <w:rPr>
                <w:rFonts w:eastAsia="Times New Roman" w:cs="Times New Roman"/>
                <w:szCs w:val="24"/>
              </w:rPr>
              <w:t xml:space="preserve"> that take more than just point-in-time achievement test scores into account (reduce testing pressures on students and teachers).</w:t>
            </w:r>
          </w:p>
        </w:tc>
        <w:tc>
          <w:tcPr>
            <w:tcW w:w="1800" w:type="dxa"/>
          </w:tcPr>
          <w:p w:rsidR="00C205ED" w:rsidRDefault="00C205ED" w:rsidP="008A0126">
            <w:pPr>
              <w:shd w:val="clear" w:color="auto" w:fill="FFFFFF" w:themeFill="background1"/>
              <w:ind w:left="72"/>
              <w:contextualSpacing/>
              <w:jc w:val="center"/>
              <w:rPr>
                <w:rFonts w:eastAsia="Times New Roman" w:cs="Times New Roman"/>
                <w:szCs w:val="24"/>
              </w:rPr>
            </w:pPr>
          </w:p>
        </w:tc>
        <w:tc>
          <w:tcPr>
            <w:tcW w:w="1710" w:type="dxa"/>
          </w:tcPr>
          <w:p w:rsidR="00C205ED" w:rsidRPr="005774E9" w:rsidRDefault="00C205ED" w:rsidP="008A0126">
            <w:pPr>
              <w:shd w:val="clear" w:color="auto" w:fill="FFFFFF" w:themeFill="background1"/>
              <w:ind w:left="72"/>
              <w:contextualSpacing/>
              <w:jc w:val="center"/>
              <w:rPr>
                <w:rFonts w:eastAsia="Times New Roman" w:cs="Times New Roman"/>
                <w:szCs w:val="24"/>
              </w:rPr>
            </w:pPr>
            <w:r>
              <w:rPr>
                <w:rFonts w:eastAsia="Times New Roman" w:cs="Times New Roman"/>
                <w:szCs w:val="24"/>
              </w:rPr>
              <w:t>X</w:t>
            </w:r>
          </w:p>
        </w:tc>
        <w:tc>
          <w:tcPr>
            <w:tcW w:w="1800" w:type="dxa"/>
          </w:tcPr>
          <w:p w:rsidR="00C205ED" w:rsidRPr="005774E9" w:rsidRDefault="00C205ED" w:rsidP="008632B3">
            <w:pPr>
              <w:shd w:val="clear" w:color="auto" w:fill="FFFFFF" w:themeFill="background1"/>
              <w:ind w:left="72"/>
              <w:contextualSpacing/>
              <w:jc w:val="center"/>
              <w:rPr>
                <w:rFonts w:eastAsia="Times New Roman" w:cs="Times New Roman"/>
                <w:szCs w:val="24"/>
              </w:rPr>
            </w:pPr>
          </w:p>
        </w:tc>
        <w:tc>
          <w:tcPr>
            <w:tcW w:w="1800" w:type="dxa"/>
          </w:tcPr>
          <w:p w:rsidR="00C205ED" w:rsidRPr="0044140E" w:rsidRDefault="00C205ED" w:rsidP="00750B3E">
            <w:pPr>
              <w:shd w:val="clear" w:color="auto" w:fill="FFFFFF" w:themeFill="background1"/>
              <w:ind w:hanging="18"/>
              <w:contextualSpacing/>
              <w:jc w:val="center"/>
              <w:rPr>
                <w:rFonts w:eastAsia="Times New Roman" w:cs="Times New Roman"/>
                <w:sz w:val="20"/>
                <w:szCs w:val="20"/>
              </w:rPr>
            </w:pPr>
            <w:r>
              <w:rPr>
                <w:rFonts w:eastAsia="Times New Roman" w:cs="Times New Roman"/>
                <w:sz w:val="20"/>
                <w:szCs w:val="20"/>
              </w:rPr>
              <w:t>R</w:t>
            </w:r>
            <w:r w:rsidR="000E6E98">
              <w:rPr>
                <w:rFonts w:eastAsia="Times New Roman" w:cs="Times New Roman"/>
                <w:sz w:val="20"/>
                <w:szCs w:val="20"/>
              </w:rPr>
              <w:t>evised r</w:t>
            </w:r>
            <w:r>
              <w:rPr>
                <w:rFonts w:eastAsia="Times New Roman" w:cs="Times New Roman"/>
                <w:sz w:val="20"/>
                <w:szCs w:val="20"/>
              </w:rPr>
              <w:t>egulations governing a</w:t>
            </w:r>
            <w:r w:rsidRPr="0044140E">
              <w:rPr>
                <w:rFonts w:eastAsia="Times New Roman" w:cs="Times New Roman"/>
                <w:sz w:val="20"/>
                <w:szCs w:val="20"/>
              </w:rPr>
              <w:t xml:space="preserve">ccreditation will become effective in the 2018-2019 school </w:t>
            </w:r>
            <w:proofErr w:type="gramStart"/>
            <w:r w:rsidRPr="0044140E">
              <w:rPr>
                <w:rFonts w:eastAsia="Times New Roman" w:cs="Times New Roman"/>
                <w:sz w:val="20"/>
                <w:szCs w:val="20"/>
              </w:rPr>
              <w:t>year</w:t>
            </w:r>
            <w:proofErr w:type="gramEnd"/>
            <w:r w:rsidRPr="0044140E">
              <w:rPr>
                <w:rFonts w:eastAsia="Times New Roman" w:cs="Times New Roman"/>
                <w:sz w:val="20"/>
                <w:szCs w:val="20"/>
              </w:rPr>
              <w:t>.</w:t>
            </w:r>
          </w:p>
        </w:tc>
      </w:tr>
    </w:tbl>
    <w:p w:rsidR="005774E9" w:rsidRPr="005774E9" w:rsidRDefault="005774E9" w:rsidP="00E04B19">
      <w:pPr>
        <w:rPr>
          <w:rFonts w:eastAsia="Times New Roman" w:cs="Times New Roman"/>
          <w:szCs w:val="24"/>
        </w:rPr>
      </w:pPr>
    </w:p>
    <w:sectPr w:rsidR="005774E9" w:rsidRPr="005774E9" w:rsidSect="001B1E9A">
      <w:footerReference w:type="default" r:id="rId9"/>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0F" w:rsidRDefault="00DB7C0F" w:rsidP="000278A7">
      <w:pPr>
        <w:spacing w:after="0" w:line="240" w:lineRule="auto"/>
      </w:pPr>
      <w:r>
        <w:separator/>
      </w:r>
    </w:p>
  </w:endnote>
  <w:endnote w:type="continuationSeparator" w:id="0">
    <w:p w:rsidR="00DB7C0F" w:rsidRDefault="00DB7C0F" w:rsidP="000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20223"/>
      <w:docPartObj>
        <w:docPartGallery w:val="Page Numbers (Bottom of Page)"/>
        <w:docPartUnique/>
      </w:docPartObj>
    </w:sdtPr>
    <w:sdtEndPr>
      <w:rPr>
        <w:noProof/>
      </w:rPr>
    </w:sdtEndPr>
    <w:sdtContent>
      <w:p w:rsidR="000D57FD" w:rsidRDefault="000D57FD">
        <w:pPr>
          <w:pStyle w:val="Footer"/>
          <w:jc w:val="center"/>
        </w:pPr>
        <w:r>
          <w:fldChar w:fldCharType="begin"/>
        </w:r>
        <w:r>
          <w:instrText xml:space="preserve"> PAGE   \* MERGEFORMAT </w:instrText>
        </w:r>
        <w:r>
          <w:fldChar w:fldCharType="separate"/>
        </w:r>
        <w:r w:rsidR="00F30B63">
          <w:rPr>
            <w:noProof/>
          </w:rPr>
          <w:t>1</w:t>
        </w:r>
        <w:r>
          <w:rPr>
            <w:noProof/>
          </w:rPr>
          <w:fldChar w:fldCharType="end"/>
        </w:r>
      </w:p>
    </w:sdtContent>
  </w:sdt>
  <w:p w:rsidR="000D57FD" w:rsidRDefault="000D57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0F" w:rsidRDefault="00DB7C0F" w:rsidP="000278A7">
      <w:pPr>
        <w:spacing w:after="0" w:line="240" w:lineRule="auto"/>
      </w:pPr>
      <w:r>
        <w:separator/>
      </w:r>
    </w:p>
  </w:footnote>
  <w:footnote w:type="continuationSeparator" w:id="0">
    <w:p w:rsidR="00DB7C0F" w:rsidRDefault="00DB7C0F" w:rsidP="000278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711"/>
    <w:multiLevelType w:val="hybridMultilevel"/>
    <w:tmpl w:val="BFB04B16"/>
    <w:lvl w:ilvl="0" w:tplc="09C88316">
      <w:start w:val="1"/>
      <w:numFmt w:val="bullet"/>
      <w:lvlText w:val="•"/>
      <w:lvlJc w:val="left"/>
      <w:pPr>
        <w:tabs>
          <w:tab w:val="num" w:pos="360"/>
        </w:tabs>
        <w:ind w:left="360" w:hanging="360"/>
      </w:pPr>
      <w:rPr>
        <w:rFonts w:ascii="Times New Roman" w:hAnsi="Times New Roman" w:hint="default"/>
      </w:rPr>
    </w:lvl>
    <w:lvl w:ilvl="1" w:tplc="813C7034">
      <w:start w:val="3783"/>
      <w:numFmt w:val="bullet"/>
      <w:lvlText w:val="•"/>
      <w:lvlJc w:val="left"/>
      <w:pPr>
        <w:tabs>
          <w:tab w:val="num" w:pos="1080"/>
        </w:tabs>
        <w:ind w:left="1080" w:hanging="360"/>
      </w:pPr>
      <w:rPr>
        <w:rFonts w:ascii="Times New Roman" w:hAnsi="Times New Roman" w:hint="default"/>
      </w:rPr>
    </w:lvl>
    <w:lvl w:ilvl="2" w:tplc="D39CB414" w:tentative="1">
      <w:start w:val="1"/>
      <w:numFmt w:val="bullet"/>
      <w:lvlText w:val="•"/>
      <w:lvlJc w:val="left"/>
      <w:pPr>
        <w:tabs>
          <w:tab w:val="num" w:pos="1800"/>
        </w:tabs>
        <w:ind w:left="1800" w:hanging="360"/>
      </w:pPr>
      <w:rPr>
        <w:rFonts w:ascii="Times New Roman" w:hAnsi="Times New Roman" w:hint="default"/>
      </w:rPr>
    </w:lvl>
    <w:lvl w:ilvl="3" w:tplc="FE56D010" w:tentative="1">
      <w:start w:val="1"/>
      <w:numFmt w:val="bullet"/>
      <w:lvlText w:val="•"/>
      <w:lvlJc w:val="left"/>
      <w:pPr>
        <w:tabs>
          <w:tab w:val="num" w:pos="2520"/>
        </w:tabs>
        <w:ind w:left="2520" w:hanging="360"/>
      </w:pPr>
      <w:rPr>
        <w:rFonts w:ascii="Times New Roman" w:hAnsi="Times New Roman" w:hint="default"/>
      </w:rPr>
    </w:lvl>
    <w:lvl w:ilvl="4" w:tplc="90B04A92" w:tentative="1">
      <w:start w:val="1"/>
      <w:numFmt w:val="bullet"/>
      <w:lvlText w:val="•"/>
      <w:lvlJc w:val="left"/>
      <w:pPr>
        <w:tabs>
          <w:tab w:val="num" w:pos="3240"/>
        </w:tabs>
        <w:ind w:left="3240" w:hanging="360"/>
      </w:pPr>
      <w:rPr>
        <w:rFonts w:ascii="Times New Roman" w:hAnsi="Times New Roman" w:hint="default"/>
      </w:rPr>
    </w:lvl>
    <w:lvl w:ilvl="5" w:tplc="1E8EB358" w:tentative="1">
      <w:start w:val="1"/>
      <w:numFmt w:val="bullet"/>
      <w:lvlText w:val="•"/>
      <w:lvlJc w:val="left"/>
      <w:pPr>
        <w:tabs>
          <w:tab w:val="num" w:pos="3960"/>
        </w:tabs>
        <w:ind w:left="3960" w:hanging="360"/>
      </w:pPr>
      <w:rPr>
        <w:rFonts w:ascii="Times New Roman" w:hAnsi="Times New Roman" w:hint="default"/>
      </w:rPr>
    </w:lvl>
    <w:lvl w:ilvl="6" w:tplc="E2628DAA" w:tentative="1">
      <w:start w:val="1"/>
      <w:numFmt w:val="bullet"/>
      <w:lvlText w:val="•"/>
      <w:lvlJc w:val="left"/>
      <w:pPr>
        <w:tabs>
          <w:tab w:val="num" w:pos="4680"/>
        </w:tabs>
        <w:ind w:left="4680" w:hanging="360"/>
      </w:pPr>
      <w:rPr>
        <w:rFonts w:ascii="Times New Roman" w:hAnsi="Times New Roman" w:hint="default"/>
      </w:rPr>
    </w:lvl>
    <w:lvl w:ilvl="7" w:tplc="3F10A454" w:tentative="1">
      <w:start w:val="1"/>
      <w:numFmt w:val="bullet"/>
      <w:lvlText w:val="•"/>
      <w:lvlJc w:val="left"/>
      <w:pPr>
        <w:tabs>
          <w:tab w:val="num" w:pos="5400"/>
        </w:tabs>
        <w:ind w:left="5400" w:hanging="360"/>
      </w:pPr>
      <w:rPr>
        <w:rFonts w:ascii="Times New Roman" w:hAnsi="Times New Roman" w:hint="default"/>
      </w:rPr>
    </w:lvl>
    <w:lvl w:ilvl="8" w:tplc="B7FA998A" w:tentative="1">
      <w:start w:val="1"/>
      <w:numFmt w:val="bullet"/>
      <w:lvlText w:val="•"/>
      <w:lvlJc w:val="left"/>
      <w:pPr>
        <w:tabs>
          <w:tab w:val="num" w:pos="6120"/>
        </w:tabs>
        <w:ind w:left="6120" w:hanging="360"/>
      </w:pPr>
      <w:rPr>
        <w:rFonts w:ascii="Times New Roman" w:hAnsi="Times New Roman" w:hint="default"/>
      </w:rPr>
    </w:lvl>
  </w:abstractNum>
  <w:abstractNum w:abstractNumId="1">
    <w:nsid w:val="0DF77498"/>
    <w:multiLevelType w:val="hybridMultilevel"/>
    <w:tmpl w:val="06462404"/>
    <w:lvl w:ilvl="0" w:tplc="8B74825C">
      <w:start w:val="1"/>
      <w:numFmt w:val="bullet"/>
      <w:lvlText w:val=""/>
      <w:lvlJc w:val="left"/>
      <w:pPr>
        <w:ind w:left="4080" w:hanging="360"/>
      </w:pPr>
      <w:rPr>
        <w:rFonts w:ascii="Symbol" w:hAnsi="Symbol" w:hint="default"/>
        <w:color w:val="1F497D" w:themeColor="text2"/>
      </w:rPr>
    </w:lvl>
    <w:lvl w:ilvl="1" w:tplc="FD0C63D8">
      <w:start w:val="1"/>
      <w:numFmt w:val="bullet"/>
      <w:lvlText w:val="o"/>
      <w:lvlJc w:val="left"/>
      <w:pPr>
        <w:ind w:left="4800" w:hanging="360"/>
      </w:pPr>
      <w:rPr>
        <w:rFonts w:ascii="Courier New" w:hAnsi="Courier New" w:cs="Courier New" w:hint="default"/>
        <w:color w:val="1F497D" w:themeColor="text2"/>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abstractNum w:abstractNumId="2">
    <w:nsid w:val="31597320"/>
    <w:multiLevelType w:val="hybridMultilevel"/>
    <w:tmpl w:val="7EF05566"/>
    <w:lvl w:ilvl="0" w:tplc="C3F0431E">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D0DFE"/>
    <w:multiLevelType w:val="hybridMultilevel"/>
    <w:tmpl w:val="D9228F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0F422A"/>
    <w:multiLevelType w:val="hybridMultilevel"/>
    <w:tmpl w:val="121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8B"/>
    <w:rsid w:val="000278A7"/>
    <w:rsid w:val="00035B12"/>
    <w:rsid w:val="000433B7"/>
    <w:rsid w:val="00043A3E"/>
    <w:rsid w:val="0006011D"/>
    <w:rsid w:val="00082087"/>
    <w:rsid w:val="000A0F47"/>
    <w:rsid w:val="000A25A8"/>
    <w:rsid w:val="000A4498"/>
    <w:rsid w:val="000B695C"/>
    <w:rsid w:val="000C5B17"/>
    <w:rsid w:val="000D57FD"/>
    <w:rsid w:val="000E6E98"/>
    <w:rsid w:val="0011598A"/>
    <w:rsid w:val="00140663"/>
    <w:rsid w:val="001946D9"/>
    <w:rsid w:val="001B1E9A"/>
    <w:rsid w:val="001B4E21"/>
    <w:rsid w:val="001C4D36"/>
    <w:rsid w:val="001D4CF7"/>
    <w:rsid w:val="001E0B99"/>
    <w:rsid w:val="001F6887"/>
    <w:rsid w:val="00207FF6"/>
    <w:rsid w:val="0021421F"/>
    <w:rsid w:val="00225B52"/>
    <w:rsid w:val="0027145D"/>
    <w:rsid w:val="002A6350"/>
    <w:rsid w:val="002F2DAF"/>
    <w:rsid w:val="00330F3F"/>
    <w:rsid w:val="00350D31"/>
    <w:rsid w:val="00356DCA"/>
    <w:rsid w:val="00362D9A"/>
    <w:rsid w:val="00393FB0"/>
    <w:rsid w:val="003B7E1C"/>
    <w:rsid w:val="003C0459"/>
    <w:rsid w:val="0044140E"/>
    <w:rsid w:val="004C012C"/>
    <w:rsid w:val="004E0E7D"/>
    <w:rsid w:val="005006BA"/>
    <w:rsid w:val="005209D0"/>
    <w:rsid w:val="00576655"/>
    <w:rsid w:val="005774E9"/>
    <w:rsid w:val="00596D3C"/>
    <w:rsid w:val="005C20EC"/>
    <w:rsid w:val="005D3B92"/>
    <w:rsid w:val="005E1E2B"/>
    <w:rsid w:val="005E2873"/>
    <w:rsid w:val="005F6621"/>
    <w:rsid w:val="00622A8C"/>
    <w:rsid w:val="00632F00"/>
    <w:rsid w:val="00640C9E"/>
    <w:rsid w:val="00652EB0"/>
    <w:rsid w:val="00653F57"/>
    <w:rsid w:val="00666E2A"/>
    <w:rsid w:val="00672BAC"/>
    <w:rsid w:val="00677899"/>
    <w:rsid w:val="00683497"/>
    <w:rsid w:val="006B6F03"/>
    <w:rsid w:val="006D6C87"/>
    <w:rsid w:val="006D73BC"/>
    <w:rsid w:val="006E3505"/>
    <w:rsid w:val="006F28F3"/>
    <w:rsid w:val="00703CF6"/>
    <w:rsid w:val="007057F6"/>
    <w:rsid w:val="00705B2D"/>
    <w:rsid w:val="00750B3E"/>
    <w:rsid w:val="00752AB5"/>
    <w:rsid w:val="00764D36"/>
    <w:rsid w:val="00777844"/>
    <w:rsid w:val="00791AC5"/>
    <w:rsid w:val="007A328D"/>
    <w:rsid w:val="007D38F6"/>
    <w:rsid w:val="007F3D56"/>
    <w:rsid w:val="0080799A"/>
    <w:rsid w:val="00810864"/>
    <w:rsid w:val="008124E5"/>
    <w:rsid w:val="008536CB"/>
    <w:rsid w:val="008577E8"/>
    <w:rsid w:val="00861799"/>
    <w:rsid w:val="00862170"/>
    <w:rsid w:val="008A0126"/>
    <w:rsid w:val="008B1AF6"/>
    <w:rsid w:val="008B27CA"/>
    <w:rsid w:val="008C248E"/>
    <w:rsid w:val="008D1592"/>
    <w:rsid w:val="0099591D"/>
    <w:rsid w:val="009972BA"/>
    <w:rsid w:val="00A13A0A"/>
    <w:rsid w:val="00A26586"/>
    <w:rsid w:val="00A30BC9"/>
    <w:rsid w:val="00A4002A"/>
    <w:rsid w:val="00A4590F"/>
    <w:rsid w:val="00A5335A"/>
    <w:rsid w:val="00A81D61"/>
    <w:rsid w:val="00AB65CA"/>
    <w:rsid w:val="00AE007C"/>
    <w:rsid w:val="00AE65FD"/>
    <w:rsid w:val="00AF6A95"/>
    <w:rsid w:val="00B22516"/>
    <w:rsid w:val="00B35CA6"/>
    <w:rsid w:val="00B93D52"/>
    <w:rsid w:val="00BA7FC2"/>
    <w:rsid w:val="00BB0F41"/>
    <w:rsid w:val="00BC1A9C"/>
    <w:rsid w:val="00C103CB"/>
    <w:rsid w:val="00C205ED"/>
    <w:rsid w:val="00C41B68"/>
    <w:rsid w:val="00C60C52"/>
    <w:rsid w:val="00C75C96"/>
    <w:rsid w:val="00C762EB"/>
    <w:rsid w:val="00CA40B4"/>
    <w:rsid w:val="00CD40A4"/>
    <w:rsid w:val="00CD448B"/>
    <w:rsid w:val="00D658BC"/>
    <w:rsid w:val="00DB7C0F"/>
    <w:rsid w:val="00DC4087"/>
    <w:rsid w:val="00DE0723"/>
    <w:rsid w:val="00DE07AF"/>
    <w:rsid w:val="00DE41C9"/>
    <w:rsid w:val="00DF679E"/>
    <w:rsid w:val="00E01B2B"/>
    <w:rsid w:val="00E04B19"/>
    <w:rsid w:val="00E448A1"/>
    <w:rsid w:val="00E53A02"/>
    <w:rsid w:val="00E5510F"/>
    <w:rsid w:val="00E64859"/>
    <w:rsid w:val="00E66B96"/>
    <w:rsid w:val="00E839EB"/>
    <w:rsid w:val="00EB7029"/>
    <w:rsid w:val="00ED1D32"/>
    <w:rsid w:val="00EE45EC"/>
    <w:rsid w:val="00EF2311"/>
    <w:rsid w:val="00EF5466"/>
    <w:rsid w:val="00F0388C"/>
    <w:rsid w:val="00F30B63"/>
    <w:rsid w:val="00F510B2"/>
    <w:rsid w:val="00F51192"/>
    <w:rsid w:val="00F515AE"/>
    <w:rsid w:val="00F5383C"/>
    <w:rsid w:val="00F61544"/>
    <w:rsid w:val="00F66A07"/>
    <w:rsid w:val="00F805B3"/>
    <w:rsid w:val="00F80BDF"/>
    <w:rsid w:val="00F845A7"/>
    <w:rsid w:val="00F9674B"/>
    <w:rsid w:val="00FB09FA"/>
    <w:rsid w:val="00FE07C8"/>
    <w:rsid w:val="00FF69CD"/>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791AC5"/>
    <w:pPr>
      <w:jc w:val="center"/>
      <w:outlineLvl w:val="0"/>
    </w:pPr>
    <w:rPr>
      <w:color w:val="000000" w:themeColor="text1"/>
      <w:sz w:val="44"/>
    </w:rPr>
  </w:style>
  <w:style w:type="paragraph" w:styleId="Heading2">
    <w:name w:val="heading 2"/>
    <w:basedOn w:val="Normal"/>
    <w:next w:val="Normal"/>
    <w:link w:val="Heading2Char"/>
    <w:uiPriority w:val="9"/>
    <w:unhideWhenUsed/>
    <w:qFormat/>
    <w:rsid w:val="00F30B63"/>
    <w:pPr>
      <w:shd w:val="clear" w:color="auto" w:fill="FFFFFF" w:themeFill="background1"/>
      <w:spacing w:after="0" w:line="240" w:lineRule="auto"/>
      <w:ind w:left="72"/>
      <w:contextualSpacing/>
      <w:outlineLvl w:val="1"/>
    </w:pPr>
    <w:rPr>
      <w:rFonts w:eastAsiaTheme="minorEastAsia" w:cs="Times New Roman"/>
      <w:b/>
      <w:color w:val="1F497D" w:themeColor="text2"/>
      <w:sz w:val="28"/>
      <w:szCs w:val="28"/>
    </w:rPr>
  </w:style>
  <w:style w:type="paragraph" w:styleId="Heading3">
    <w:name w:val="heading 3"/>
    <w:basedOn w:val="Normal"/>
    <w:next w:val="Normal"/>
    <w:link w:val="Heading3Char"/>
    <w:uiPriority w:val="9"/>
    <w:unhideWhenUsed/>
    <w:qFormat/>
    <w:rsid w:val="00F30B63"/>
    <w:pPr>
      <w:spacing w:after="0" w:line="240" w:lineRule="auto"/>
      <w:jc w:val="center"/>
      <w:outlineLvl w:val="2"/>
    </w:pPr>
    <w:rPr>
      <w:i/>
    </w:rPr>
  </w:style>
  <w:style w:type="paragraph" w:styleId="Heading4">
    <w:name w:val="heading 4"/>
    <w:basedOn w:val="Normal"/>
    <w:next w:val="Normal"/>
    <w:link w:val="Heading4Char"/>
    <w:uiPriority w:val="9"/>
    <w:unhideWhenUsed/>
    <w:qFormat/>
    <w:rsid w:val="00F51192"/>
    <w:pPr>
      <w:outlineLvl w:val="3"/>
    </w:pPr>
    <w:rPr>
      <w:rFonts w:cstheme="majorBidi"/>
      <w:b/>
      <w:color w:val="000000" w:themeColor="text1"/>
      <w:lang w:val="fr-FR"/>
    </w:rPr>
  </w:style>
  <w:style w:type="paragraph" w:styleId="Heading5">
    <w:name w:val="heading 5"/>
    <w:basedOn w:val="Normal"/>
    <w:next w:val="Normal"/>
    <w:link w:val="Heading5Char"/>
    <w:uiPriority w:val="9"/>
    <w:unhideWhenUsed/>
    <w:qFormat/>
    <w:rsid w:val="0006011D"/>
    <w:pPr>
      <w:keepNext/>
      <w:keepLines/>
      <w:spacing w:before="200" w:after="0"/>
      <w:outlineLvl w:val="4"/>
    </w:pPr>
    <w:rPr>
      <w:rFonts w:eastAsiaTheme="majorEastAsia" w:cs="Times New Roman"/>
      <w:color w:val="1F497D" w:themeColor="text2"/>
    </w:rPr>
  </w:style>
  <w:style w:type="paragraph" w:styleId="Heading6">
    <w:name w:val="heading 6"/>
    <w:basedOn w:val="Normal"/>
    <w:next w:val="Normal"/>
    <w:link w:val="Heading6Char"/>
    <w:uiPriority w:val="9"/>
    <w:unhideWhenUsed/>
    <w:qFormat/>
    <w:rsid w:val="0006011D"/>
    <w:pPr>
      <w:keepNext/>
      <w:keepLines/>
      <w:spacing w:before="200" w:after="0"/>
      <w:outlineLvl w:val="5"/>
    </w:pPr>
    <w:rPr>
      <w:rFonts w:eastAsiaTheme="majorEastAsia" w:cs="Times New Roman"/>
      <w:i/>
      <w:iCs/>
      <w:color w:val="1B2F4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AC5"/>
    <w:rPr>
      <w:rFonts w:ascii="Times New Roman" w:hAnsi="Times New Roman"/>
      <w:color w:val="000000" w:themeColor="text1"/>
      <w:sz w:val="44"/>
    </w:rPr>
  </w:style>
  <w:style w:type="character" w:customStyle="1" w:styleId="Heading2Char">
    <w:name w:val="Heading 2 Char"/>
    <w:basedOn w:val="DefaultParagraphFont"/>
    <w:link w:val="Heading2"/>
    <w:uiPriority w:val="9"/>
    <w:rsid w:val="00F30B63"/>
    <w:rPr>
      <w:rFonts w:ascii="Times New Roman" w:eastAsiaTheme="minorEastAsia" w:hAnsi="Times New Roman" w:cs="Times New Roman"/>
      <w:b/>
      <w:color w:val="1F497D" w:themeColor="text2"/>
      <w:sz w:val="28"/>
      <w:szCs w:val="28"/>
      <w:shd w:val="clear" w:color="auto" w:fill="FFFFFF" w:themeFill="background1"/>
    </w:rPr>
  </w:style>
  <w:style w:type="character" w:customStyle="1" w:styleId="Heading3Char">
    <w:name w:val="Heading 3 Char"/>
    <w:basedOn w:val="DefaultParagraphFont"/>
    <w:link w:val="Heading3"/>
    <w:uiPriority w:val="9"/>
    <w:rsid w:val="00F30B63"/>
    <w:rPr>
      <w:rFonts w:ascii="Times New Roman" w:hAnsi="Times New Roman"/>
      <w:i/>
      <w:sz w:val="24"/>
    </w:rPr>
  </w:style>
  <w:style w:type="character" w:customStyle="1" w:styleId="Heading4Char">
    <w:name w:val="Heading 4 Char"/>
    <w:basedOn w:val="DefaultParagraphFont"/>
    <w:link w:val="Heading4"/>
    <w:uiPriority w:val="9"/>
    <w:rsid w:val="00F51192"/>
    <w:rPr>
      <w:rFonts w:ascii="Times New Roman" w:hAnsi="Times New Roman" w:cstheme="majorBidi"/>
      <w:b/>
      <w:color w:val="000000" w:themeColor="text1"/>
      <w:sz w:val="24"/>
      <w:lang w:val="fr-FR"/>
    </w:rPr>
  </w:style>
  <w:style w:type="character" w:customStyle="1" w:styleId="Heading5Char">
    <w:name w:val="Heading 5 Char"/>
    <w:basedOn w:val="DefaultParagraphFont"/>
    <w:link w:val="Heading5"/>
    <w:uiPriority w:val="9"/>
    <w:rsid w:val="0006011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D4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48B"/>
    <w:rPr>
      <w:rFonts w:ascii="Tahoma" w:hAnsi="Tahoma" w:cs="Tahoma"/>
      <w:sz w:val="16"/>
      <w:szCs w:val="16"/>
    </w:rPr>
  </w:style>
  <w:style w:type="paragraph" w:styleId="Header">
    <w:name w:val="header"/>
    <w:basedOn w:val="Normal"/>
    <w:link w:val="HeaderChar"/>
    <w:uiPriority w:val="99"/>
    <w:unhideWhenUsed/>
    <w:rsid w:val="00027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8A7"/>
    <w:rPr>
      <w:rFonts w:ascii="Times New Roman" w:hAnsi="Times New Roman"/>
      <w:sz w:val="24"/>
    </w:rPr>
  </w:style>
  <w:style w:type="paragraph" w:styleId="Footer">
    <w:name w:val="footer"/>
    <w:basedOn w:val="Normal"/>
    <w:link w:val="FooterChar"/>
    <w:uiPriority w:val="99"/>
    <w:unhideWhenUsed/>
    <w:rsid w:val="00027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8A7"/>
    <w:rPr>
      <w:rFonts w:ascii="Times New Roman" w:hAnsi="Times New Roman"/>
      <w:sz w:val="24"/>
    </w:rPr>
  </w:style>
  <w:style w:type="paragraph" w:styleId="NormalWeb">
    <w:name w:val="Normal (Web)"/>
    <w:basedOn w:val="Normal"/>
    <w:uiPriority w:val="99"/>
    <w:semiHidden/>
    <w:unhideWhenUsed/>
    <w:rsid w:val="00791AC5"/>
    <w:pPr>
      <w:spacing w:before="100" w:beforeAutospacing="1" w:after="100" w:afterAutospacing="1" w:line="240" w:lineRule="auto"/>
    </w:pPr>
    <w:rPr>
      <w:rFonts w:eastAsia="Times New Roman" w:cs="Times New Roman"/>
      <w:szCs w:val="24"/>
    </w:rPr>
  </w:style>
  <w:style w:type="character" w:customStyle="1" w:styleId="Heading6Char">
    <w:name w:val="Heading 6 Char"/>
    <w:basedOn w:val="DefaultParagraphFont"/>
    <w:link w:val="Heading6"/>
    <w:uiPriority w:val="9"/>
    <w:rsid w:val="0006011D"/>
    <w:rPr>
      <w:rFonts w:ascii="Times New Roman" w:eastAsiaTheme="majorEastAsia" w:hAnsi="Times New Roman" w:cs="Times New Roman"/>
      <w:i/>
      <w:iCs/>
      <w:color w:val="1B2F48" w:themeColor="accent1" w:themeShade="7F"/>
    </w:rPr>
  </w:style>
  <w:style w:type="table" w:styleId="TableGrid">
    <w:name w:val="Table Grid"/>
    <w:basedOn w:val="TableNormal"/>
    <w:uiPriority w:val="59"/>
    <w:rsid w:val="00EF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791AC5"/>
    <w:pPr>
      <w:jc w:val="center"/>
      <w:outlineLvl w:val="0"/>
    </w:pPr>
    <w:rPr>
      <w:color w:val="000000" w:themeColor="text1"/>
      <w:sz w:val="44"/>
    </w:rPr>
  </w:style>
  <w:style w:type="paragraph" w:styleId="Heading2">
    <w:name w:val="heading 2"/>
    <w:basedOn w:val="Normal"/>
    <w:next w:val="Normal"/>
    <w:link w:val="Heading2Char"/>
    <w:uiPriority w:val="9"/>
    <w:unhideWhenUsed/>
    <w:qFormat/>
    <w:rsid w:val="00F30B63"/>
    <w:pPr>
      <w:shd w:val="clear" w:color="auto" w:fill="FFFFFF" w:themeFill="background1"/>
      <w:spacing w:after="0" w:line="240" w:lineRule="auto"/>
      <w:ind w:left="72"/>
      <w:contextualSpacing/>
      <w:outlineLvl w:val="1"/>
    </w:pPr>
    <w:rPr>
      <w:rFonts w:eastAsiaTheme="minorEastAsia" w:cs="Times New Roman"/>
      <w:b/>
      <w:color w:val="1F497D" w:themeColor="text2"/>
      <w:sz w:val="28"/>
      <w:szCs w:val="28"/>
    </w:rPr>
  </w:style>
  <w:style w:type="paragraph" w:styleId="Heading3">
    <w:name w:val="heading 3"/>
    <w:basedOn w:val="Normal"/>
    <w:next w:val="Normal"/>
    <w:link w:val="Heading3Char"/>
    <w:uiPriority w:val="9"/>
    <w:unhideWhenUsed/>
    <w:qFormat/>
    <w:rsid w:val="00F30B63"/>
    <w:pPr>
      <w:spacing w:after="0" w:line="240" w:lineRule="auto"/>
      <w:jc w:val="center"/>
      <w:outlineLvl w:val="2"/>
    </w:pPr>
    <w:rPr>
      <w:i/>
    </w:rPr>
  </w:style>
  <w:style w:type="paragraph" w:styleId="Heading4">
    <w:name w:val="heading 4"/>
    <w:basedOn w:val="Normal"/>
    <w:next w:val="Normal"/>
    <w:link w:val="Heading4Char"/>
    <w:uiPriority w:val="9"/>
    <w:unhideWhenUsed/>
    <w:qFormat/>
    <w:rsid w:val="00F51192"/>
    <w:pPr>
      <w:outlineLvl w:val="3"/>
    </w:pPr>
    <w:rPr>
      <w:rFonts w:cstheme="majorBidi"/>
      <w:b/>
      <w:color w:val="000000" w:themeColor="text1"/>
      <w:lang w:val="fr-FR"/>
    </w:rPr>
  </w:style>
  <w:style w:type="paragraph" w:styleId="Heading5">
    <w:name w:val="heading 5"/>
    <w:basedOn w:val="Normal"/>
    <w:next w:val="Normal"/>
    <w:link w:val="Heading5Char"/>
    <w:uiPriority w:val="9"/>
    <w:unhideWhenUsed/>
    <w:qFormat/>
    <w:rsid w:val="0006011D"/>
    <w:pPr>
      <w:keepNext/>
      <w:keepLines/>
      <w:spacing w:before="200" w:after="0"/>
      <w:outlineLvl w:val="4"/>
    </w:pPr>
    <w:rPr>
      <w:rFonts w:eastAsiaTheme="majorEastAsia" w:cs="Times New Roman"/>
      <w:color w:val="1F497D" w:themeColor="text2"/>
    </w:rPr>
  </w:style>
  <w:style w:type="paragraph" w:styleId="Heading6">
    <w:name w:val="heading 6"/>
    <w:basedOn w:val="Normal"/>
    <w:next w:val="Normal"/>
    <w:link w:val="Heading6Char"/>
    <w:uiPriority w:val="9"/>
    <w:unhideWhenUsed/>
    <w:qFormat/>
    <w:rsid w:val="0006011D"/>
    <w:pPr>
      <w:keepNext/>
      <w:keepLines/>
      <w:spacing w:before="200" w:after="0"/>
      <w:outlineLvl w:val="5"/>
    </w:pPr>
    <w:rPr>
      <w:rFonts w:eastAsiaTheme="majorEastAsia" w:cs="Times New Roman"/>
      <w:i/>
      <w:iCs/>
      <w:color w:val="1B2F4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AC5"/>
    <w:rPr>
      <w:rFonts w:ascii="Times New Roman" w:hAnsi="Times New Roman"/>
      <w:color w:val="000000" w:themeColor="text1"/>
      <w:sz w:val="44"/>
    </w:rPr>
  </w:style>
  <w:style w:type="character" w:customStyle="1" w:styleId="Heading2Char">
    <w:name w:val="Heading 2 Char"/>
    <w:basedOn w:val="DefaultParagraphFont"/>
    <w:link w:val="Heading2"/>
    <w:uiPriority w:val="9"/>
    <w:rsid w:val="00F30B63"/>
    <w:rPr>
      <w:rFonts w:ascii="Times New Roman" w:eastAsiaTheme="minorEastAsia" w:hAnsi="Times New Roman" w:cs="Times New Roman"/>
      <w:b/>
      <w:color w:val="1F497D" w:themeColor="text2"/>
      <w:sz w:val="28"/>
      <w:szCs w:val="28"/>
      <w:shd w:val="clear" w:color="auto" w:fill="FFFFFF" w:themeFill="background1"/>
    </w:rPr>
  </w:style>
  <w:style w:type="character" w:customStyle="1" w:styleId="Heading3Char">
    <w:name w:val="Heading 3 Char"/>
    <w:basedOn w:val="DefaultParagraphFont"/>
    <w:link w:val="Heading3"/>
    <w:uiPriority w:val="9"/>
    <w:rsid w:val="00F30B63"/>
    <w:rPr>
      <w:rFonts w:ascii="Times New Roman" w:hAnsi="Times New Roman"/>
      <w:i/>
      <w:sz w:val="24"/>
    </w:rPr>
  </w:style>
  <w:style w:type="character" w:customStyle="1" w:styleId="Heading4Char">
    <w:name w:val="Heading 4 Char"/>
    <w:basedOn w:val="DefaultParagraphFont"/>
    <w:link w:val="Heading4"/>
    <w:uiPriority w:val="9"/>
    <w:rsid w:val="00F51192"/>
    <w:rPr>
      <w:rFonts w:ascii="Times New Roman" w:hAnsi="Times New Roman" w:cstheme="majorBidi"/>
      <w:b/>
      <w:color w:val="000000" w:themeColor="text1"/>
      <w:sz w:val="24"/>
      <w:lang w:val="fr-FR"/>
    </w:rPr>
  </w:style>
  <w:style w:type="character" w:customStyle="1" w:styleId="Heading5Char">
    <w:name w:val="Heading 5 Char"/>
    <w:basedOn w:val="DefaultParagraphFont"/>
    <w:link w:val="Heading5"/>
    <w:uiPriority w:val="9"/>
    <w:rsid w:val="0006011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CD4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48B"/>
    <w:rPr>
      <w:rFonts w:ascii="Tahoma" w:hAnsi="Tahoma" w:cs="Tahoma"/>
      <w:sz w:val="16"/>
      <w:szCs w:val="16"/>
    </w:rPr>
  </w:style>
  <w:style w:type="paragraph" w:styleId="Header">
    <w:name w:val="header"/>
    <w:basedOn w:val="Normal"/>
    <w:link w:val="HeaderChar"/>
    <w:uiPriority w:val="99"/>
    <w:unhideWhenUsed/>
    <w:rsid w:val="00027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8A7"/>
    <w:rPr>
      <w:rFonts w:ascii="Times New Roman" w:hAnsi="Times New Roman"/>
      <w:sz w:val="24"/>
    </w:rPr>
  </w:style>
  <w:style w:type="paragraph" w:styleId="Footer">
    <w:name w:val="footer"/>
    <w:basedOn w:val="Normal"/>
    <w:link w:val="FooterChar"/>
    <w:uiPriority w:val="99"/>
    <w:unhideWhenUsed/>
    <w:rsid w:val="00027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8A7"/>
    <w:rPr>
      <w:rFonts w:ascii="Times New Roman" w:hAnsi="Times New Roman"/>
      <w:sz w:val="24"/>
    </w:rPr>
  </w:style>
  <w:style w:type="paragraph" w:styleId="NormalWeb">
    <w:name w:val="Normal (Web)"/>
    <w:basedOn w:val="Normal"/>
    <w:uiPriority w:val="99"/>
    <w:semiHidden/>
    <w:unhideWhenUsed/>
    <w:rsid w:val="00791AC5"/>
    <w:pPr>
      <w:spacing w:before="100" w:beforeAutospacing="1" w:after="100" w:afterAutospacing="1" w:line="240" w:lineRule="auto"/>
    </w:pPr>
    <w:rPr>
      <w:rFonts w:eastAsia="Times New Roman" w:cs="Times New Roman"/>
      <w:szCs w:val="24"/>
    </w:rPr>
  </w:style>
  <w:style w:type="character" w:customStyle="1" w:styleId="Heading6Char">
    <w:name w:val="Heading 6 Char"/>
    <w:basedOn w:val="DefaultParagraphFont"/>
    <w:link w:val="Heading6"/>
    <w:uiPriority w:val="9"/>
    <w:rsid w:val="0006011D"/>
    <w:rPr>
      <w:rFonts w:ascii="Times New Roman" w:eastAsiaTheme="majorEastAsia" w:hAnsi="Times New Roman" w:cs="Times New Roman"/>
      <w:i/>
      <w:iCs/>
      <w:color w:val="1B2F48" w:themeColor="accent1" w:themeShade="7F"/>
    </w:rPr>
  </w:style>
  <w:style w:type="table" w:styleId="TableGrid">
    <w:name w:val="Table Grid"/>
    <w:basedOn w:val="TableNormal"/>
    <w:uiPriority w:val="59"/>
    <w:rsid w:val="00EF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66942">
      <w:bodyDiv w:val="1"/>
      <w:marLeft w:val="0"/>
      <w:marRight w:val="0"/>
      <w:marTop w:val="0"/>
      <w:marBottom w:val="0"/>
      <w:divBdr>
        <w:top w:val="none" w:sz="0" w:space="0" w:color="auto"/>
        <w:left w:val="none" w:sz="0" w:space="0" w:color="auto"/>
        <w:bottom w:val="none" w:sz="0" w:space="0" w:color="auto"/>
        <w:right w:val="none" w:sz="0" w:space="0" w:color="auto"/>
      </w:divBdr>
    </w:div>
    <w:div w:id="1420440590">
      <w:bodyDiv w:val="1"/>
      <w:marLeft w:val="0"/>
      <w:marRight w:val="0"/>
      <w:marTop w:val="0"/>
      <w:marBottom w:val="0"/>
      <w:divBdr>
        <w:top w:val="none" w:sz="0" w:space="0" w:color="auto"/>
        <w:left w:val="none" w:sz="0" w:space="0" w:color="auto"/>
        <w:bottom w:val="none" w:sz="0" w:space="0" w:color="auto"/>
        <w:right w:val="none" w:sz="0" w:space="0" w:color="auto"/>
      </w:divBdr>
    </w:div>
    <w:div w:id="1941569922">
      <w:bodyDiv w:val="1"/>
      <w:marLeft w:val="0"/>
      <w:marRight w:val="0"/>
      <w:marTop w:val="0"/>
      <w:marBottom w:val="0"/>
      <w:divBdr>
        <w:top w:val="none" w:sz="0" w:space="0" w:color="auto"/>
        <w:left w:val="none" w:sz="0" w:space="0" w:color="auto"/>
        <w:bottom w:val="none" w:sz="0" w:space="0" w:color="auto"/>
        <w:right w:val="none" w:sz="0" w:space="0" w:color="auto"/>
      </w:divBdr>
      <w:divsChild>
        <w:div w:id="1022781544">
          <w:marLeft w:val="547"/>
          <w:marRight w:val="0"/>
          <w:marTop w:val="0"/>
          <w:marBottom w:val="0"/>
          <w:divBdr>
            <w:top w:val="none" w:sz="0" w:space="0" w:color="auto"/>
            <w:left w:val="none" w:sz="0" w:space="0" w:color="auto"/>
            <w:bottom w:val="none" w:sz="0" w:space="0" w:color="auto"/>
            <w:right w:val="none" w:sz="0" w:space="0" w:color="auto"/>
          </w:divBdr>
        </w:div>
        <w:div w:id="1286229327">
          <w:marLeft w:val="1166"/>
          <w:marRight w:val="0"/>
          <w:marTop w:val="0"/>
          <w:marBottom w:val="0"/>
          <w:divBdr>
            <w:top w:val="none" w:sz="0" w:space="0" w:color="auto"/>
            <w:left w:val="none" w:sz="0" w:space="0" w:color="auto"/>
            <w:bottom w:val="none" w:sz="0" w:space="0" w:color="auto"/>
            <w:right w:val="none" w:sz="0" w:space="0" w:color="auto"/>
          </w:divBdr>
        </w:div>
        <w:div w:id="1502622476">
          <w:marLeft w:val="1166"/>
          <w:marRight w:val="0"/>
          <w:marTop w:val="0"/>
          <w:marBottom w:val="0"/>
          <w:divBdr>
            <w:top w:val="none" w:sz="0" w:space="0" w:color="auto"/>
            <w:left w:val="none" w:sz="0" w:space="0" w:color="auto"/>
            <w:bottom w:val="none" w:sz="0" w:space="0" w:color="auto"/>
            <w:right w:val="none" w:sz="0" w:space="0" w:color="auto"/>
          </w:divBdr>
        </w:div>
        <w:div w:id="1184710455">
          <w:marLeft w:val="1166"/>
          <w:marRight w:val="0"/>
          <w:marTop w:val="0"/>
          <w:marBottom w:val="0"/>
          <w:divBdr>
            <w:top w:val="none" w:sz="0" w:space="0" w:color="auto"/>
            <w:left w:val="none" w:sz="0" w:space="0" w:color="auto"/>
            <w:bottom w:val="none" w:sz="0" w:space="0" w:color="auto"/>
            <w:right w:val="none" w:sz="0" w:space="0" w:color="auto"/>
          </w:divBdr>
        </w:div>
        <w:div w:id="1000087496">
          <w:marLeft w:val="547"/>
          <w:marRight w:val="0"/>
          <w:marTop w:val="0"/>
          <w:marBottom w:val="0"/>
          <w:divBdr>
            <w:top w:val="none" w:sz="0" w:space="0" w:color="auto"/>
            <w:left w:val="none" w:sz="0" w:space="0" w:color="auto"/>
            <w:bottom w:val="none" w:sz="0" w:space="0" w:color="auto"/>
            <w:right w:val="none" w:sz="0" w:space="0" w:color="auto"/>
          </w:divBdr>
        </w:div>
        <w:div w:id="2080519976">
          <w:marLeft w:val="1166"/>
          <w:marRight w:val="0"/>
          <w:marTop w:val="0"/>
          <w:marBottom w:val="0"/>
          <w:divBdr>
            <w:top w:val="none" w:sz="0" w:space="0" w:color="auto"/>
            <w:left w:val="none" w:sz="0" w:space="0" w:color="auto"/>
            <w:bottom w:val="none" w:sz="0" w:space="0" w:color="auto"/>
            <w:right w:val="none" w:sz="0" w:space="0" w:color="auto"/>
          </w:divBdr>
        </w:div>
        <w:div w:id="527568567">
          <w:marLeft w:val="1166"/>
          <w:marRight w:val="0"/>
          <w:marTop w:val="0"/>
          <w:marBottom w:val="0"/>
          <w:divBdr>
            <w:top w:val="none" w:sz="0" w:space="0" w:color="auto"/>
            <w:left w:val="none" w:sz="0" w:space="0" w:color="auto"/>
            <w:bottom w:val="none" w:sz="0" w:space="0" w:color="auto"/>
            <w:right w:val="none" w:sz="0" w:space="0" w:color="auto"/>
          </w:divBdr>
        </w:div>
        <w:div w:id="698775013">
          <w:marLeft w:val="1166"/>
          <w:marRight w:val="0"/>
          <w:marTop w:val="0"/>
          <w:marBottom w:val="0"/>
          <w:divBdr>
            <w:top w:val="none" w:sz="0" w:space="0" w:color="auto"/>
            <w:left w:val="none" w:sz="0" w:space="0" w:color="auto"/>
            <w:bottom w:val="none" w:sz="0" w:space="0" w:color="auto"/>
            <w:right w:val="none" w:sz="0" w:space="0" w:color="auto"/>
          </w:divBdr>
        </w:div>
        <w:div w:id="1797019895">
          <w:marLeft w:val="547"/>
          <w:marRight w:val="0"/>
          <w:marTop w:val="0"/>
          <w:marBottom w:val="0"/>
          <w:divBdr>
            <w:top w:val="none" w:sz="0" w:space="0" w:color="auto"/>
            <w:left w:val="none" w:sz="0" w:space="0" w:color="auto"/>
            <w:bottom w:val="none" w:sz="0" w:space="0" w:color="auto"/>
            <w:right w:val="none" w:sz="0" w:space="0" w:color="auto"/>
          </w:divBdr>
        </w:div>
        <w:div w:id="342518146">
          <w:marLeft w:val="1166"/>
          <w:marRight w:val="0"/>
          <w:marTop w:val="0"/>
          <w:marBottom w:val="0"/>
          <w:divBdr>
            <w:top w:val="none" w:sz="0" w:space="0" w:color="auto"/>
            <w:left w:val="none" w:sz="0" w:space="0" w:color="auto"/>
            <w:bottom w:val="none" w:sz="0" w:space="0" w:color="auto"/>
            <w:right w:val="none" w:sz="0" w:space="0" w:color="auto"/>
          </w:divBdr>
        </w:div>
        <w:div w:id="1793206554">
          <w:marLeft w:val="1166"/>
          <w:marRight w:val="0"/>
          <w:marTop w:val="0"/>
          <w:marBottom w:val="0"/>
          <w:divBdr>
            <w:top w:val="none" w:sz="0" w:space="0" w:color="auto"/>
            <w:left w:val="none" w:sz="0" w:space="0" w:color="auto"/>
            <w:bottom w:val="none" w:sz="0" w:space="0" w:color="auto"/>
            <w:right w:val="none" w:sz="0" w:space="0" w:color="auto"/>
          </w:divBdr>
        </w:div>
        <w:div w:id="438718288">
          <w:marLeft w:val="1166"/>
          <w:marRight w:val="0"/>
          <w:marTop w:val="0"/>
          <w:marBottom w:val="0"/>
          <w:divBdr>
            <w:top w:val="none" w:sz="0" w:space="0" w:color="auto"/>
            <w:left w:val="none" w:sz="0" w:space="0" w:color="auto"/>
            <w:bottom w:val="none" w:sz="0" w:space="0" w:color="auto"/>
            <w:right w:val="none" w:sz="0" w:space="0" w:color="auto"/>
          </w:divBdr>
        </w:div>
        <w:div w:id="188446029">
          <w:marLeft w:val="547"/>
          <w:marRight w:val="0"/>
          <w:marTop w:val="0"/>
          <w:marBottom w:val="0"/>
          <w:divBdr>
            <w:top w:val="none" w:sz="0" w:space="0" w:color="auto"/>
            <w:left w:val="none" w:sz="0" w:space="0" w:color="auto"/>
            <w:bottom w:val="none" w:sz="0" w:space="0" w:color="auto"/>
            <w:right w:val="none" w:sz="0" w:space="0" w:color="auto"/>
          </w:divBdr>
        </w:div>
        <w:div w:id="1544320215">
          <w:marLeft w:val="1166"/>
          <w:marRight w:val="0"/>
          <w:marTop w:val="0"/>
          <w:marBottom w:val="0"/>
          <w:divBdr>
            <w:top w:val="none" w:sz="0" w:space="0" w:color="auto"/>
            <w:left w:val="none" w:sz="0" w:space="0" w:color="auto"/>
            <w:bottom w:val="none" w:sz="0" w:space="0" w:color="auto"/>
            <w:right w:val="none" w:sz="0" w:space="0" w:color="auto"/>
          </w:divBdr>
        </w:div>
        <w:div w:id="628820583">
          <w:marLeft w:val="1166"/>
          <w:marRight w:val="0"/>
          <w:marTop w:val="0"/>
          <w:marBottom w:val="0"/>
          <w:divBdr>
            <w:top w:val="none" w:sz="0" w:space="0" w:color="auto"/>
            <w:left w:val="none" w:sz="0" w:space="0" w:color="auto"/>
            <w:bottom w:val="none" w:sz="0" w:space="0" w:color="auto"/>
            <w:right w:val="none" w:sz="0" w:space="0" w:color="auto"/>
          </w:divBdr>
        </w:div>
        <w:div w:id="4143210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AB44-52C1-46DD-8508-D168D09A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Summary of Recommendations from Virginia Reports to Address the Teacher Shortage</vt:lpstr>
    </vt:vector>
  </TitlesOfParts>
  <Company>Virginia IT Infrastructure Partnership</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Recommendations from Virginia Reports to Address the Teacher Shortage</dc:title>
  <dc:creator>crb29104</dc:creator>
  <cp:lastModifiedBy>Emily V. Webb (DOE) </cp:lastModifiedBy>
  <cp:revision>2</cp:revision>
  <cp:lastPrinted>2018-04-18T12:24:00Z</cp:lastPrinted>
  <dcterms:created xsi:type="dcterms:W3CDTF">2018-04-18T21:03:00Z</dcterms:created>
  <dcterms:modified xsi:type="dcterms:W3CDTF">2018-04-18T21:03:00Z</dcterms:modified>
</cp:coreProperties>
</file>