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E" w:rsidRDefault="00AE369E" w:rsidP="00AE369E">
      <w:pPr>
        <w:pStyle w:val="Heading1"/>
        <w:jc w:val="right"/>
        <w:rPr>
          <w:u w:val="none"/>
        </w:rPr>
      </w:pPr>
      <w:bookmarkStart w:id="0" w:name="_GoBack"/>
      <w:bookmarkEnd w:id="0"/>
      <w:r>
        <w:rPr>
          <w:u w:val="none"/>
        </w:rPr>
        <w:t>ATTACHMENT C</w:t>
      </w:r>
    </w:p>
    <w:p w:rsidR="00AE369E" w:rsidRPr="00CC07B5" w:rsidRDefault="00AE369E" w:rsidP="00AE369E">
      <w:pPr>
        <w:pStyle w:val="Heading1"/>
        <w:rPr>
          <w:u w:val="none"/>
        </w:rPr>
      </w:pPr>
      <w:r w:rsidRPr="00CC07B5">
        <w:rPr>
          <w:u w:val="none"/>
        </w:rPr>
        <w:t>Legislative Report</w:t>
      </w:r>
    </w:p>
    <w:p w:rsidR="00AE369E" w:rsidRPr="00CC07B5" w:rsidRDefault="00AE369E" w:rsidP="00AE369E">
      <w:pPr>
        <w:pStyle w:val="Heading1"/>
        <w:rPr>
          <w:u w:val="none"/>
        </w:rPr>
      </w:pPr>
      <w:r>
        <w:rPr>
          <w:u w:val="none"/>
        </w:rPr>
        <w:t>Provisions in the Proposed Appropriation Act</w:t>
      </w:r>
    </w:p>
    <w:p w:rsidR="00AE369E" w:rsidRPr="00EA1329" w:rsidRDefault="00AE369E" w:rsidP="00EA1329">
      <w:pPr>
        <w:pStyle w:val="Heading2"/>
      </w:pPr>
      <w:r w:rsidRPr="00EA1329">
        <w:t>Prepared by the Virginia Department of Education</w:t>
      </w:r>
    </w:p>
    <w:p w:rsidR="00AE369E" w:rsidRDefault="00AE369E" w:rsidP="00EA1329">
      <w:pPr>
        <w:pStyle w:val="Heading2"/>
      </w:pPr>
      <w:r w:rsidRPr="00EA1329">
        <w:t>Division of Policy &amp; Communications</w:t>
      </w:r>
    </w:p>
    <w:p w:rsidR="00EA1329" w:rsidRPr="00EA1329" w:rsidRDefault="00EA1329" w:rsidP="00EA1329"/>
    <w:p w:rsidR="00650C99" w:rsidRPr="00EA1329" w:rsidRDefault="00AE369E" w:rsidP="00EA1329">
      <w:pPr>
        <w:pStyle w:val="Heading2"/>
      </w:pPr>
      <w:r w:rsidRPr="00EA1329">
        <w:fldChar w:fldCharType="begin"/>
      </w:r>
      <w:r w:rsidRPr="00EA1329">
        <w:instrText xml:space="preserve"> DATE  \@ "MMMM d, yyyy"  \* MERGEFORMAT </w:instrText>
      </w:r>
      <w:r w:rsidRPr="00EA1329">
        <w:fldChar w:fldCharType="separate"/>
      </w:r>
      <w:r w:rsidR="0012575B">
        <w:rPr>
          <w:noProof/>
        </w:rPr>
        <w:t>March 12, 2018</w:t>
      </w:r>
      <w:r w:rsidRPr="00EA1329">
        <w:fldChar w:fldCharType="end"/>
      </w:r>
    </w:p>
    <w:p w:rsidR="00F83754" w:rsidRDefault="002A22C9" w:rsidP="00AE369E">
      <w:pPr>
        <w:rPr>
          <w:sz w:val="24"/>
          <w:szCs w:val="24"/>
        </w:rPr>
      </w:pPr>
      <w:r w:rsidRPr="00F83754">
        <w:rPr>
          <w:sz w:val="24"/>
          <w:szCs w:val="24"/>
        </w:rPr>
        <w:t>The General Assembly adjourned on March 10, 2018 without adopting an approved budget.  Below are highlights of provisions in the Governor’s introduced budget</w:t>
      </w:r>
      <w:r w:rsidR="00F83754" w:rsidRPr="00F83754">
        <w:rPr>
          <w:sz w:val="24"/>
          <w:szCs w:val="24"/>
        </w:rPr>
        <w:t xml:space="preserve"> impacting public elementary and secondary education</w:t>
      </w:r>
      <w:r w:rsidRPr="00F83754">
        <w:rPr>
          <w:sz w:val="24"/>
          <w:szCs w:val="24"/>
        </w:rPr>
        <w:t xml:space="preserve">, and </w:t>
      </w:r>
      <w:r w:rsidR="00F83754" w:rsidRPr="00F83754">
        <w:rPr>
          <w:sz w:val="24"/>
          <w:szCs w:val="24"/>
        </w:rPr>
        <w:t xml:space="preserve">related </w:t>
      </w:r>
      <w:r w:rsidRPr="00F83754">
        <w:rPr>
          <w:sz w:val="24"/>
          <w:szCs w:val="24"/>
        </w:rPr>
        <w:t xml:space="preserve">amendments proposed by the House of Delegates and </w:t>
      </w:r>
      <w:r w:rsidR="009D0E61">
        <w:rPr>
          <w:sz w:val="24"/>
          <w:szCs w:val="24"/>
        </w:rPr>
        <w:t xml:space="preserve">the </w:t>
      </w:r>
      <w:r w:rsidRPr="00F83754">
        <w:rPr>
          <w:sz w:val="24"/>
          <w:szCs w:val="24"/>
        </w:rPr>
        <w:t>Senate</w:t>
      </w:r>
      <w:r w:rsidR="00325775">
        <w:rPr>
          <w:sz w:val="24"/>
          <w:szCs w:val="24"/>
        </w:rPr>
        <w:t xml:space="preserve">. The Governor </w:t>
      </w:r>
      <w:r w:rsidR="009D0E61">
        <w:rPr>
          <w:sz w:val="24"/>
          <w:szCs w:val="24"/>
        </w:rPr>
        <w:t>will</w:t>
      </w:r>
      <w:r w:rsidR="00325775">
        <w:rPr>
          <w:sz w:val="24"/>
          <w:szCs w:val="24"/>
        </w:rPr>
        <w:t xml:space="preserve"> call the General Assembly into special session to allow the House and Senate to resolve the differences among their budget proposals.</w:t>
      </w:r>
    </w:p>
    <w:p w:rsidR="00B41449" w:rsidRPr="003B2F49" w:rsidRDefault="00F83754" w:rsidP="00F83754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EA1329">
        <w:rPr>
          <w:rStyle w:val="Heading3Char"/>
        </w:rPr>
        <w:t>V</w:t>
      </w:r>
      <w:r w:rsidR="00B41449" w:rsidRPr="00EA1329">
        <w:rPr>
          <w:rStyle w:val="Heading3Char"/>
        </w:rPr>
        <w:t>irginia Preschool Ini</w:t>
      </w:r>
      <w:r w:rsidR="003B2F49" w:rsidRPr="00EA1329">
        <w:rPr>
          <w:rStyle w:val="Heading3Char"/>
        </w:rPr>
        <w:t>ti</w:t>
      </w:r>
      <w:r w:rsidR="00B41449" w:rsidRPr="00EA1329">
        <w:rPr>
          <w:rStyle w:val="Heading3Char"/>
        </w:rPr>
        <w:t>ative</w:t>
      </w:r>
      <w:r w:rsidRPr="00EA1329">
        <w:rPr>
          <w:rStyle w:val="Heading3Char"/>
        </w:rPr>
        <w:t>.</w:t>
      </w:r>
      <w:r>
        <w:rPr>
          <w:sz w:val="24"/>
          <w:szCs w:val="24"/>
        </w:rPr>
        <w:t xml:space="preserve"> Provides $50,000 in FY19 &amp; FY20 for VDOE to conduct site visits to VPI programs to ensure compliance with state requirements and provide technical assistance.  </w:t>
      </w:r>
      <w:r w:rsidRPr="003B2F49">
        <w:rPr>
          <w:i/>
          <w:sz w:val="24"/>
          <w:szCs w:val="24"/>
          <w:highlight w:val="yellow"/>
        </w:rPr>
        <w:t>Th</w:t>
      </w:r>
      <w:r w:rsidR="00B41449" w:rsidRPr="003B2F49">
        <w:rPr>
          <w:i/>
          <w:sz w:val="24"/>
          <w:szCs w:val="24"/>
          <w:highlight w:val="yellow"/>
        </w:rPr>
        <w:t>e House and Senate budgets include additional funding in response to JLARC’s recent Early Education report recommendations regarding VPI classroom observations and professional development.  The House proposes an additional $650,000 in FY19 and $1.2 million FY20, the Senate proposes an additional $250,000 in FY19 and FY20.</w:t>
      </w:r>
    </w:p>
    <w:p w:rsidR="00F83754" w:rsidRPr="00F83754" w:rsidRDefault="00F83754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Virginia Kindergarten Readiness Program.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Provides $275,000 in FY19&amp; FY20 to develop and implement a post-kindergarten assessment to measure student growth at the conclusion of kindergarten.  </w:t>
      </w:r>
      <w:r w:rsidRPr="003B2F49">
        <w:rPr>
          <w:i/>
          <w:sz w:val="24"/>
          <w:szCs w:val="24"/>
          <w:highlight w:val="yellow"/>
        </w:rPr>
        <w:t>This remains in the Senate budget.  The House budget includes an additional $275,000 and requires all kindergartners to be assessed.</w:t>
      </w:r>
      <w:r w:rsidRPr="003B2F49">
        <w:rPr>
          <w:i/>
          <w:sz w:val="24"/>
          <w:szCs w:val="24"/>
        </w:rPr>
        <w:t xml:space="preserve">  </w:t>
      </w:r>
    </w:p>
    <w:p w:rsidR="00C611F0" w:rsidRDefault="00C611F0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Performance Assessments in History/Social Science.</w:t>
      </w:r>
      <w:r>
        <w:rPr>
          <w:b/>
          <w:sz w:val="24"/>
          <w:szCs w:val="24"/>
        </w:rPr>
        <w:t xml:space="preserve">  </w:t>
      </w:r>
      <w:r w:rsidRPr="00C611F0">
        <w:rPr>
          <w:sz w:val="24"/>
          <w:szCs w:val="24"/>
        </w:rPr>
        <w:t>The Senate budget</w:t>
      </w:r>
      <w:r>
        <w:rPr>
          <w:sz w:val="24"/>
          <w:szCs w:val="24"/>
        </w:rPr>
        <w:t xml:space="preserve"> includes an amendment that would prohibit verified credits in history/social science from being awarded for successful completion of a performance assessment.  Verified credits in history/social science could be earned only by successful completing of end-of-course SOL tests, Board-approved substitute tests.  Locally-awarded verified credits could also be earned when a student fails to pass the SOL test.  $300,000 is provided in FY19 &amp; FY20 for the development of SOL tests to align with the 2015 history/social science SOL.  </w:t>
      </w:r>
      <w:r w:rsidRPr="003B2F49">
        <w:rPr>
          <w:i/>
          <w:sz w:val="24"/>
          <w:szCs w:val="24"/>
          <w:highlight w:val="yellow"/>
        </w:rPr>
        <w:t xml:space="preserve">Similar provisions are not included in the </w:t>
      </w:r>
      <w:r w:rsidRPr="009D0E61">
        <w:rPr>
          <w:i/>
          <w:sz w:val="24"/>
          <w:szCs w:val="24"/>
          <w:highlight w:val="yellow"/>
        </w:rPr>
        <w:t>Governor’s introduced or the House versions of the budget.</w:t>
      </w:r>
      <w:r w:rsidR="009D0E61" w:rsidRPr="009D0E61">
        <w:rPr>
          <w:i/>
          <w:sz w:val="24"/>
          <w:szCs w:val="24"/>
          <w:highlight w:val="yellow"/>
        </w:rPr>
        <w:t xml:space="preserve"> We have been working on an amendment that would instead provide $450,000 in FY19 &amp; FY20 and allow for the development of a statewide performance assessment that could be used to confer verified credit in history/social science</w:t>
      </w:r>
      <w:r w:rsidR="009D0E61">
        <w:rPr>
          <w:i/>
          <w:sz w:val="24"/>
          <w:szCs w:val="24"/>
          <w:highlight w:val="yellow"/>
        </w:rPr>
        <w:t xml:space="preserve">, as was provided in the </w:t>
      </w:r>
      <w:hyperlink r:id="rId9" w:history="1">
        <w:r w:rsidR="009D0E61" w:rsidRPr="00877540">
          <w:rPr>
            <w:rStyle w:val="Hyperlink"/>
            <w:i/>
            <w:sz w:val="24"/>
            <w:szCs w:val="24"/>
            <w:highlight w:val="yellow"/>
          </w:rPr>
          <w:t>House substitute version of SB 969</w:t>
        </w:r>
      </w:hyperlink>
      <w:r w:rsidR="009D0E61" w:rsidRPr="009D0E61">
        <w:rPr>
          <w:i/>
          <w:sz w:val="24"/>
          <w:szCs w:val="24"/>
          <w:highlight w:val="yellow"/>
        </w:rPr>
        <w:t xml:space="preserve">.  </w:t>
      </w:r>
    </w:p>
    <w:p w:rsidR="00C611F0" w:rsidRPr="00C611F0" w:rsidRDefault="00C611F0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lastRenderedPageBreak/>
        <w:t>Automation of the Teacher Licensure process.</w:t>
      </w:r>
      <w:r>
        <w:rPr>
          <w:sz w:val="24"/>
          <w:szCs w:val="24"/>
        </w:rPr>
        <w:t xml:space="preserve">  Provides $552,000 in FY19 &amp; FY20 to automate the existing manual licensure process.  </w:t>
      </w:r>
      <w:r w:rsidRPr="003B2F49">
        <w:rPr>
          <w:i/>
          <w:sz w:val="24"/>
          <w:szCs w:val="24"/>
          <w:highlight w:val="yellow"/>
        </w:rPr>
        <w:t xml:space="preserve">The Senate version of the budget </w:t>
      </w:r>
      <w:r w:rsidR="00986346">
        <w:rPr>
          <w:i/>
          <w:sz w:val="24"/>
          <w:szCs w:val="24"/>
          <w:highlight w:val="yellow"/>
        </w:rPr>
        <w:t xml:space="preserve">instead </w:t>
      </w:r>
      <w:r w:rsidRPr="003B2F49">
        <w:rPr>
          <w:i/>
          <w:sz w:val="24"/>
          <w:szCs w:val="24"/>
          <w:highlight w:val="yellow"/>
        </w:rPr>
        <w:t xml:space="preserve">provides </w:t>
      </w:r>
      <w:r w:rsidR="00986346">
        <w:rPr>
          <w:i/>
          <w:sz w:val="24"/>
          <w:szCs w:val="24"/>
          <w:highlight w:val="yellow"/>
        </w:rPr>
        <w:t xml:space="preserve">$1 million in </w:t>
      </w:r>
      <w:r w:rsidRPr="003B2F49">
        <w:rPr>
          <w:i/>
          <w:sz w:val="24"/>
          <w:szCs w:val="24"/>
          <w:highlight w:val="yellow"/>
        </w:rPr>
        <w:t>funding to complete this project in FY19</w:t>
      </w:r>
      <w:r w:rsidR="00986346">
        <w:rPr>
          <w:i/>
          <w:sz w:val="24"/>
          <w:szCs w:val="24"/>
          <w:highlight w:val="yellow"/>
        </w:rPr>
        <w:t xml:space="preserve">, and reduces funding for the licensure office by $75,000 in FY20 efficiencies by assuming efficiencies from the new automated process. </w:t>
      </w:r>
      <w:r w:rsidR="00877540">
        <w:rPr>
          <w:i/>
          <w:sz w:val="24"/>
          <w:szCs w:val="24"/>
          <w:highlight w:val="yellow"/>
        </w:rPr>
        <w:t xml:space="preserve"> </w:t>
      </w:r>
      <w:r w:rsidRPr="003B2F49">
        <w:rPr>
          <w:i/>
          <w:sz w:val="24"/>
          <w:szCs w:val="24"/>
          <w:highlight w:val="yellow"/>
        </w:rPr>
        <w:t>The House version eliminates all funding.</w:t>
      </w:r>
    </w:p>
    <w:p w:rsidR="00EA1329" w:rsidRPr="00EA1329" w:rsidRDefault="00C611F0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Enhancements to the School Quality Profiles system.</w:t>
      </w:r>
      <w:r>
        <w:rPr>
          <w:b/>
          <w:sz w:val="24"/>
          <w:szCs w:val="24"/>
        </w:rPr>
        <w:t xml:space="preserve"> </w:t>
      </w:r>
      <w:r w:rsidR="000305E0">
        <w:rPr>
          <w:sz w:val="24"/>
          <w:szCs w:val="24"/>
        </w:rPr>
        <w:t xml:space="preserve">Provides $150,000 in FY19 &amp; FY20 to update the system to reflect the revised Standards of Accreditation and ESSA requirements.  </w:t>
      </w:r>
      <w:r w:rsidR="000305E0" w:rsidRPr="003B2F49">
        <w:rPr>
          <w:i/>
          <w:sz w:val="24"/>
          <w:szCs w:val="24"/>
          <w:highlight w:val="yellow"/>
        </w:rPr>
        <w:t>This remains in the Senate budget.  This is eliminated in the House budget.</w:t>
      </w:r>
    </w:p>
    <w:p w:rsidR="00F83754" w:rsidRPr="000305E0" w:rsidRDefault="000305E0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Principal retention and recruitment.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Provides $500,000 in FY19 &amp; FY20 to support recruitment in school divisions with a memorandum of understanding with the Board.  </w:t>
      </w:r>
      <w:r w:rsidRPr="003B2F49">
        <w:rPr>
          <w:i/>
          <w:sz w:val="24"/>
          <w:szCs w:val="24"/>
          <w:highlight w:val="yellow"/>
        </w:rPr>
        <w:t>The House budget eliminates this proposal.  The Senate budget provides only $300,000 in FY19 &amp; FY20.</w:t>
      </w:r>
    </w:p>
    <w:p w:rsidR="000305E0" w:rsidRPr="000305E0" w:rsidRDefault="000305E0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One full-time principal in each elementary school.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Provides $7.7 million in FY20 to support the state share of one principal in each elementary school, in support of the Board’s Standards of Quality recommendations.  </w:t>
      </w:r>
      <w:r w:rsidRPr="003B2F49">
        <w:rPr>
          <w:i/>
          <w:sz w:val="24"/>
          <w:szCs w:val="24"/>
          <w:highlight w:val="yellow"/>
        </w:rPr>
        <w:t>This is eliminated in the House and Senate versions of the budget.</w:t>
      </w:r>
    </w:p>
    <w:p w:rsidR="000305E0" w:rsidRPr="000305E0" w:rsidRDefault="000305E0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At-Risk Add-On funds.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Provides an additional $7.1 million in FY20 in At-Risk Add-On funds.  </w:t>
      </w:r>
      <w:r w:rsidRPr="003B2F49">
        <w:rPr>
          <w:i/>
          <w:sz w:val="24"/>
          <w:szCs w:val="24"/>
          <w:highlight w:val="yellow"/>
        </w:rPr>
        <w:t>This remains in the Senate budget.  The House version eliminates this additional funding.  The House and Senate budgets propose allowing school divisions to use these funds for additional purposes.</w:t>
      </w:r>
    </w:p>
    <w:p w:rsidR="000305E0" w:rsidRPr="00EA1329" w:rsidRDefault="00B41449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Lottery Per-Pupil payments.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The House proposes an addition $26 million in FY19 and $36.4 million in FY20 for per-pupil lottery fund payments.  This would increase the per-pupil payments from $274/pupil in FY18 to $342/pupil by FY20.  </w:t>
      </w:r>
      <w:r w:rsidRPr="003B2F49">
        <w:rPr>
          <w:i/>
          <w:sz w:val="24"/>
          <w:szCs w:val="24"/>
          <w:highlight w:val="yellow"/>
        </w:rPr>
        <w:t xml:space="preserve">This was not </w:t>
      </w:r>
      <w:r w:rsidRPr="00EA1329">
        <w:rPr>
          <w:i/>
          <w:sz w:val="24"/>
          <w:szCs w:val="24"/>
          <w:highlight w:val="yellow"/>
        </w:rPr>
        <w:t>included in the Governor’s introduced or the Senate version of the budget.</w:t>
      </w:r>
    </w:p>
    <w:p w:rsidR="00B41449" w:rsidRPr="00EA1329" w:rsidRDefault="00B41449" w:rsidP="00F8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Salary Increase for SOQ Positions.</w:t>
      </w:r>
      <w:r w:rsidRPr="00EA1329">
        <w:rPr>
          <w:b/>
          <w:sz w:val="24"/>
          <w:szCs w:val="24"/>
        </w:rPr>
        <w:t xml:space="preserve">  </w:t>
      </w:r>
      <w:r w:rsidR="003B2F49" w:rsidRPr="00EA1329">
        <w:rPr>
          <w:sz w:val="24"/>
          <w:szCs w:val="24"/>
        </w:rPr>
        <w:t xml:space="preserve">Provides $51.3 million for the state’s share of a one-time 2% salary increase for recognized SOQ positions, effective December 1, 2019.  </w:t>
      </w:r>
      <w:r w:rsidR="003B2F49" w:rsidRPr="00EA1329">
        <w:rPr>
          <w:i/>
          <w:sz w:val="24"/>
          <w:szCs w:val="24"/>
          <w:highlight w:val="yellow"/>
        </w:rPr>
        <w:t>The Senate version eliminates the salary increase.  The House version provides an additional $36.4 million to advance the pay raise to July 1, 2019.</w:t>
      </w:r>
    </w:p>
    <w:p w:rsidR="003B2F49" w:rsidRPr="00EA1329" w:rsidRDefault="003B2F49" w:rsidP="00F83754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EA1329">
        <w:rPr>
          <w:rStyle w:val="Heading3Char"/>
        </w:rPr>
        <w:t>No-loss funding to school divisions.</w:t>
      </w:r>
      <w:r w:rsidRPr="00EA1329">
        <w:rPr>
          <w:b/>
          <w:sz w:val="24"/>
          <w:szCs w:val="24"/>
        </w:rPr>
        <w:t xml:space="preserve">  </w:t>
      </w:r>
      <w:r w:rsidRPr="00EA1329">
        <w:rPr>
          <w:sz w:val="24"/>
          <w:szCs w:val="24"/>
        </w:rPr>
        <w:t xml:space="preserve">Provides $11.5 million in FY 19 to ensure no division loses state funding in FY19 as compared to its FY18 distribution.  </w:t>
      </w:r>
      <w:r w:rsidRPr="00EA1329">
        <w:rPr>
          <w:i/>
          <w:sz w:val="24"/>
          <w:szCs w:val="24"/>
        </w:rPr>
        <w:t>This was eliminated in the House and Senate versions of the budget.</w:t>
      </w:r>
    </w:p>
    <w:p w:rsidR="002A22C9" w:rsidRPr="00F83754" w:rsidRDefault="003B2F49" w:rsidP="00EA1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329">
        <w:rPr>
          <w:rStyle w:val="Heading3Char"/>
        </w:rPr>
        <w:t>Small school division enrollment loss payments.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The FY18 budget included $6.1 million in payments for small school divisions that have experienced high rates of enrollment losses.  This was eliminated in the Governor’s introduced budget.  </w:t>
      </w:r>
      <w:r w:rsidRPr="00325775">
        <w:rPr>
          <w:i/>
          <w:sz w:val="24"/>
          <w:szCs w:val="24"/>
          <w:highlight w:val="yellow"/>
        </w:rPr>
        <w:t>The House budget proposes maintaining these payments at $6.1 million in FY19.  The Senate budget proposes similar payments at $5 million in FY19.</w:t>
      </w:r>
      <w:r w:rsidR="00EA1329" w:rsidRPr="00F83754">
        <w:rPr>
          <w:sz w:val="24"/>
          <w:szCs w:val="24"/>
        </w:rPr>
        <w:t xml:space="preserve"> </w:t>
      </w:r>
    </w:p>
    <w:sectPr w:rsidR="002A22C9" w:rsidRPr="00F837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FF" w:rsidRDefault="004C5FFF" w:rsidP="004C5FFF">
      <w:pPr>
        <w:spacing w:after="0" w:line="240" w:lineRule="auto"/>
      </w:pPr>
      <w:r>
        <w:separator/>
      </w:r>
    </w:p>
  </w:endnote>
  <w:endnote w:type="continuationSeparator" w:id="0">
    <w:p w:rsidR="004C5FFF" w:rsidRDefault="004C5FFF" w:rsidP="004C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FF" w:rsidRDefault="004C5FFF" w:rsidP="004C5F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B0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FF" w:rsidRDefault="004C5FFF" w:rsidP="004C5FFF">
      <w:pPr>
        <w:spacing w:after="0" w:line="240" w:lineRule="auto"/>
      </w:pPr>
      <w:r>
        <w:separator/>
      </w:r>
    </w:p>
  </w:footnote>
  <w:footnote w:type="continuationSeparator" w:id="0">
    <w:p w:rsidR="004C5FFF" w:rsidRDefault="004C5FFF" w:rsidP="004C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E02"/>
    <w:multiLevelType w:val="hybridMultilevel"/>
    <w:tmpl w:val="2ACAE4CE"/>
    <w:lvl w:ilvl="0" w:tplc="66C2AACE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03"/>
    <w:rsid w:val="000305E0"/>
    <w:rsid w:val="0012575B"/>
    <w:rsid w:val="00233B0E"/>
    <w:rsid w:val="002A22C9"/>
    <w:rsid w:val="00325775"/>
    <w:rsid w:val="003B2F49"/>
    <w:rsid w:val="004C5FFF"/>
    <w:rsid w:val="00625303"/>
    <w:rsid w:val="00650C99"/>
    <w:rsid w:val="00877540"/>
    <w:rsid w:val="00986346"/>
    <w:rsid w:val="009D0E61"/>
    <w:rsid w:val="00AE369E"/>
    <w:rsid w:val="00B41449"/>
    <w:rsid w:val="00C611F0"/>
    <w:rsid w:val="00EA1329"/>
    <w:rsid w:val="00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E"/>
    <w:pPr>
      <w:keepNext/>
      <w:spacing w:after="160" w:line="259" w:lineRule="auto"/>
      <w:contextualSpacing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69E"/>
    <w:pPr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A1329"/>
    <w:pPr>
      <w:outlineLvl w:val="1"/>
    </w:pPr>
    <w:rPr>
      <w:sz w:val="22"/>
      <w:szCs w:val="22"/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A1329"/>
    <w:pPr>
      <w:numPr>
        <w:numId w:val="1"/>
      </w:num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69E"/>
    <w:rPr>
      <w:rFonts w:ascii="Arial" w:hAnsi="Arial" w:cs="Arial"/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5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F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FF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329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A1329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E"/>
    <w:pPr>
      <w:keepNext/>
      <w:spacing w:after="160" w:line="259" w:lineRule="auto"/>
      <w:contextualSpacing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69E"/>
    <w:pPr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A1329"/>
    <w:pPr>
      <w:outlineLvl w:val="1"/>
    </w:pPr>
    <w:rPr>
      <w:sz w:val="22"/>
      <w:szCs w:val="22"/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A1329"/>
    <w:pPr>
      <w:numPr>
        <w:numId w:val="1"/>
      </w:num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69E"/>
    <w:rPr>
      <w:rFonts w:ascii="Arial" w:hAnsi="Arial" w:cs="Arial"/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5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F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FF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329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A1329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s.virginia.gov/cgi-bin/legp604.exe?181+ful+SB969H1+h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4952-4926-4EBE-BACB-A566791A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- Appropriation Act Update</vt:lpstr>
    </vt:vector>
  </TitlesOfParts>
  <Company>Virginia IT Infrastructure Partnership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- Appropriation Act Update</dc:title>
  <dc:creator>Robbins, Zachary (DOE)</dc:creator>
  <cp:lastModifiedBy>Emily V. Webb (DOE) </cp:lastModifiedBy>
  <cp:revision>2</cp:revision>
  <cp:lastPrinted>2018-03-12T20:41:00Z</cp:lastPrinted>
  <dcterms:created xsi:type="dcterms:W3CDTF">2018-03-12T22:05:00Z</dcterms:created>
  <dcterms:modified xsi:type="dcterms:W3CDTF">2018-03-12T22:05:00Z</dcterms:modified>
</cp:coreProperties>
</file>