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9C1C" w14:textId="1EC4822E" w:rsidR="007B35BE" w:rsidRPr="006C60AE" w:rsidRDefault="007B35BE" w:rsidP="00572E2A">
      <w:pPr>
        <w:pStyle w:val="Heading1"/>
        <w:spacing w:after="420"/>
        <w:rPr>
          <w:i/>
          <w:iCs/>
          <w:color w:val="auto"/>
          <w:sz w:val="24"/>
          <w:szCs w:val="24"/>
        </w:rPr>
      </w:pPr>
      <w:bookmarkStart w:id="0" w:name="_Toc382082357"/>
      <w:bookmarkStart w:id="1" w:name="_Toc392159258"/>
      <w:r w:rsidRPr="000F6E74">
        <w:rPr>
          <w:color w:val="auto"/>
        </w:rPr>
        <w:t>State Performance Plan / Annual Performance Report: Part B</w:t>
      </w:r>
      <w:r w:rsidR="00CC708D" w:rsidRPr="000F6E74">
        <w:rPr>
          <w:color w:val="auto"/>
        </w:rPr>
        <w:br/>
      </w:r>
      <w:r w:rsidRPr="000F6E74">
        <w:rPr>
          <w:color w:val="auto"/>
          <w:sz w:val="24"/>
          <w:szCs w:val="24"/>
        </w:rPr>
        <w:t xml:space="preserve">for </w:t>
      </w:r>
      <w:r w:rsidR="00196909" w:rsidRPr="000F6E74">
        <w:rPr>
          <w:color w:val="auto"/>
          <w:sz w:val="24"/>
          <w:szCs w:val="24"/>
        </w:rPr>
        <w:t xml:space="preserve">State Formula Grant Programs </w:t>
      </w:r>
      <w:r w:rsidRPr="000F6E74">
        <w:rPr>
          <w:color w:val="auto"/>
          <w:sz w:val="24"/>
          <w:szCs w:val="24"/>
        </w:rPr>
        <w:t xml:space="preserve">under the </w:t>
      </w:r>
      <w:r w:rsidR="004331E7">
        <w:rPr>
          <w:color w:val="auto"/>
          <w:sz w:val="24"/>
          <w:szCs w:val="24"/>
        </w:rPr>
        <w:br/>
      </w:r>
      <w:r w:rsidRPr="00A31A72">
        <w:rPr>
          <w:color w:val="auto"/>
          <w:sz w:val="24"/>
          <w:szCs w:val="24"/>
        </w:rPr>
        <w:t>Individuals with Disabilities Education</w:t>
      </w:r>
      <w:r w:rsidRPr="006C60AE">
        <w:rPr>
          <w:i/>
          <w:iCs/>
          <w:color w:val="auto"/>
          <w:sz w:val="24"/>
          <w:szCs w:val="24"/>
        </w:rPr>
        <w:t xml:space="preserve"> </w:t>
      </w:r>
      <w:r w:rsidRPr="00A31A72">
        <w:rPr>
          <w:color w:val="auto"/>
          <w:sz w:val="24"/>
          <w:szCs w:val="24"/>
        </w:rPr>
        <w:t>Act</w:t>
      </w:r>
    </w:p>
    <w:p w14:paraId="29F4DA54" w14:textId="3B5B1F62" w:rsidR="007B35BE" w:rsidRPr="000F6E74" w:rsidRDefault="007B35BE" w:rsidP="007B35BE">
      <w:pPr>
        <w:autoSpaceDE w:val="0"/>
        <w:autoSpaceDN w:val="0"/>
        <w:adjustRightInd w:val="0"/>
        <w:spacing w:before="360"/>
        <w:jc w:val="center"/>
        <w:rPr>
          <w:rFonts w:cs="Arial"/>
          <w:b/>
          <w:bCs/>
          <w:sz w:val="28"/>
          <w:szCs w:val="28"/>
        </w:rPr>
      </w:pPr>
      <w:r w:rsidRPr="00EE6BE1">
        <w:rPr>
          <w:rFonts w:cs="Arial"/>
          <w:b/>
          <w:bCs/>
          <w:szCs w:val="24"/>
        </w:rPr>
        <w:t xml:space="preserve">For reporting on </w:t>
      </w:r>
      <w:r w:rsidRPr="00EE6BE1">
        <w:rPr>
          <w:rFonts w:cs="Arial"/>
          <w:b/>
          <w:bCs/>
          <w:szCs w:val="24"/>
        </w:rPr>
        <w:br/>
      </w:r>
      <w:r w:rsidRPr="00EE6BE1">
        <w:rPr>
          <w:rFonts w:cs="Arial"/>
          <w:b/>
          <w:bCs/>
          <w:sz w:val="28"/>
          <w:szCs w:val="28"/>
        </w:rPr>
        <w:t>F</w:t>
      </w:r>
      <w:r w:rsidR="00BD5F05" w:rsidRPr="00EE6BE1">
        <w:rPr>
          <w:rFonts w:cs="Arial"/>
          <w:b/>
          <w:bCs/>
          <w:sz w:val="28"/>
          <w:szCs w:val="28"/>
        </w:rPr>
        <w:t xml:space="preserve">ederal </w:t>
      </w:r>
      <w:r w:rsidRPr="00EE6BE1">
        <w:rPr>
          <w:rFonts w:cs="Arial"/>
          <w:b/>
          <w:bCs/>
          <w:sz w:val="28"/>
          <w:szCs w:val="28"/>
        </w:rPr>
        <w:t>F</w:t>
      </w:r>
      <w:r w:rsidR="00BD5F05" w:rsidRPr="00EE6BE1">
        <w:rPr>
          <w:rFonts w:cs="Arial"/>
          <w:b/>
          <w:bCs/>
          <w:sz w:val="28"/>
          <w:szCs w:val="28"/>
        </w:rPr>
        <w:t xml:space="preserve">iscal </w:t>
      </w:r>
      <w:r w:rsidRPr="00EE6BE1">
        <w:rPr>
          <w:rFonts w:cs="Arial"/>
          <w:b/>
          <w:bCs/>
          <w:sz w:val="28"/>
          <w:szCs w:val="28"/>
        </w:rPr>
        <w:t>Y</w:t>
      </w:r>
      <w:r w:rsidR="00BD5F05" w:rsidRPr="00EE6BE1">
        <w:rPr>
          <w:rFonts w:cs="Arial"/>
          <w:b/>
          <w:bCs/>
          <w:sz w:val="28"/>
          <w:szCs w:val="28"/>
        </w:rPr>
        <w:t>ear (FFY)</w:t>
      </w:r>
      <w:r w:rsidRPr="00EE6BE1">
        <w:rPr>
          <w:rFonts w:cs="Arial"/>
          <w:b/>
          <w:bCs/>
          <w:sz w:val="28"/>
          <w:szCs w:val="28"/>
        </w:rPr>
        <w:t xml:space="preserve"> </w:t>
      </w:r>
      <w:r w:rsidR="00E53761" w:rsidRPr="00EE6BE1">
        <w:rPr>
          <w:rFonts w:cs="Arial"/>
          <w:b/>
          <w:bCs/>
          <w:sz w:val="28"/>
          <w:szCs w:val="28"/>
        </w:rPr>
        <w:t>2020</w:t>
      </w:r>
    </w:p>
    <w:p w14:paraId="3168A19B" w14:textId="77777777" w:rsidR="007B35BE" w:rsidRPr="000F6E74" w:rsidRDefault="007B35BE" w:rsidP="007B35BE">
      <w:pPr>
        <w:autoSpaceDE w:val="0"/>
        <w:autoSpaceDN w:val="0"/>
        <w:adjustRightInd w:val="0"/>
        <w:spacing w:before="360"/>
        <w:jc w:val="center"/>
        <w:rPr>
          <w:rFonts w:cs="Arial"/>
          <w:b/>
          <w:bCs/>
          <w:sz w:val="32"/>
          <w:szCs w:val="32"/>
        </w:rPr>
      </w:pPr>
      <w:r w:rsidRPr="000F6E74">
        <w:rPr>
          <w:rFonts w:cs="Arial"/>
          <w:b/>
          <w:bCs/>
          <w:sz w:val="32"/>
          <w:szCs w:val="32"/>
        </w:rPr>
        <w:t>Virginia</w:t>
      </w:r>
    </w:p>
    <w:p w14:paraId="160C9007" w14:textId="77777777" w:rsidR="007B35BE" w:rsidRPr="000F6E74" w:rsidRDefault="007B35BE" w:rsidP="007B35BE">
      <w:pPr>
        <w:autoSpaceDE w:val="0"/>
        <w:autoSpaceDN w:val="0"/>
        <w:adjustRightInd w:val="0"/>
        <w:spacing w:before="360"/>
        <w:jc w:val="center"/>
        <w:rPr>
          <w:rFonts w:cs="Arial"/>
          <w:b/>
          <w:bCs/>
          <w:szCs w:val="24"/>
        </w:rPr>
      </w:pPr>
      <w:r w:rsidRPr="000F6E74">
        <w:rPr>
          <w:rFonts w:cs="Arial"/>
          <w:noProof/>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2B1C2D9A" w:rsidR="007B35BE" w:rsidRPr="000F6E74" w:rsidRDefault="007B35BE" w:rsidP="007B35BE">
      <w:pPr>
        <w:autoSpaceDE w:val="0"/>
        <w:autoSpaceDN w:val="0"/>
        <w:adjustRightInd w:val="0"/>
        <w:spacing w:before="360"/>
        <w:jc w:val="center"/>
        <w:rPr>
          <w:rFonts w:cs="Arial"/>
          <w:b/>
          <w:bCs/>
          <w:szCs w:val="24"/>
        </w:rPr>
      </w:pPr>
      <w:r w:rsidRPr="000F6E74">
        <w:rPr>
          <w:rFonts w:cs="Arial"/>
          <w:b/>
          <w:bCs/>
          <w:szCs w:val="24"/>
        </w:rPr>
        <w:t>PART B DUE February 1, 2022</w:t>
      </w:r>
    </w:p>
    <w:p w14:paraId="00155D5B" w14:textId="77777777" w:rsidR="007B35BE" w:rsidRPr="000F6E74" w:rsidRDefault="007B35BE" w:rsidP="007B35BE">
      <w:pPr>
        <w:autoSpaceDE w:val="0"/>
        <w:autoSpaceDN w:val="0"/>
        <w:adjustRightInd w:val="0"/>
        <w:spacing w:before="360"/>
        <w:jc w:val="center"/>
        <w:rPr>
          <w:rFonts w:cs="Arial"/>
          <w:b/>
          <w:bCs/>
          <w:sz w:val="18"/>
          <w:szCs w:val="18"/>
        </w:rPr>
      </w:pPr>
      <w:r w:rsidRPr="000F6E74">
        <w:rPr>
          <w:rFonts w:cs="Arial"/>
          <w:b/>
          <w:bCs/>
          <w:sz w:val="18"/>
          <w:szCs w:val="18"/>
        </w:rPr>
        <w:t>U.S. DEPARTMENT OF EDUCATION</w:t>
      </w:r>
    </w:p>
    <w:p w14:paraId="27ABABDC" w14:textId="06AA0DF7" w:rsidR="00AB39FB" w:rsidRPr="000F6E74" w:rsidRDefault="007B35BE" w:rsidP="005E4A7D">
      <w:pPr>
        <w:jc w:val="center"/>
        <w:rPr>
          <w:rFonts w:cs="Arial"/>
          <w:b/>
          <w:bCs/>
          <w:sz w:val="18"/>
          <w:szCs w:val="18"/>
        </w:rPr>
      </w:pPr>
      <w:r w:rsidRPr="000F6E74">
        <w:rPr>
          <w:rFonts w:cs="Arial"/>
          <w:b/>
          <w:bCs/>
          <w:sz w:val="18"/>
          <w:szCs w:val="18"/>
        </w:rPr>
        <w:t>WASHINGTON, DC 20202</w:t>
      </w:r>
      <w:r w:rsidR="00AB39FB" w:rsidRPr="000F6E74">
        <w:rPr>
          <w:rFonts w:cs="Arial"/>
          <w:b/>
          <w:bCs/>
          <w:sz w:val="18"/>
          <w:szCs w:val="18"/>
        </w:rPr>
        <w:br w:type="page"/>
      </w:r>
    </w:p>
    <w:p w14:paraId="0E7D29A1" w14:textId="2C077CCB" w:rsidR="00AF5649" w:rsidRPr="000F6E74" w:rsidRDefault="00AF5649" w:rsidP="008143AB">
      <w:pPr>
        <w:pStyle w:val="Heading2"/>
      </w:pPr>
      <w:r w:rsidRPr="000F6E74">
        <w:lastRenderedPageBreak/>
        <w:t>Introduction</w:t>
      </w:r>
    </w:p>
    <w:p w14:paraId="5B9171B6" w14:textId="1B94FDAA" w:rsidR="007742F1" w:rsidRPr="000F6E74" w:rsidRDefault="007742F1" w:rsidP="005A5B1B">
      <w:pPr>
        <w:pStyle w:val="Heading3"/>
        <w:spacing w:before="240"/>
        <w:rPr>
          <w:color w:val="auto"/>
        </w:rPr>
      </w:pPr>
      <w:r w:rsidRPr="000F6E74">
        <w:rPr>
          <w:color w:val="auto"/>
        </w:rPr>
        <w:t>Instructions</w:t>
      </w:r>
    </w:p>
    <w:p w14:paraId="696881EF" w14:textId="783B44AF" w:rsidR="00AA4DAF" w:rsidRPr="000F6E74" w:rsidRDefault="00AA4DAF" w:rsidP="00CC708D">
      <w:pPr>
        <w:rPr>
          <w:rFonts w:cs="Arial"/>
          <w:szCs w:val="16"/>
        </w:rPr>
      </w:pPr>
      <w:r w:rsidRPr="000F6E74">
        <w:rPr>
          <w:rFonts w:cs="Arial"/>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0F6E74" w:rsidRDefault="00684B51" w:rsidP="005A5B1B">
      <w:pPr>
        <w:pStyle w:val="Heading3"/>
        <w:rPr>
          <w:color w:val="auto"/>
        </w:rPr>
      </w:pPr>
      <w:r w:rsidRPr="000F6E74">
        <w:rPr>
          <w:color w:val="auto"/>
        </w:rPr>
        <w:t xml:space="preserve">Intro - </w:t>
      </w:r>
      <w:r w:rsidR="007742F1" w:rsidRPr="000F6E74">
        <w:rPr>
          <w:color w:val="auto"/>
        </w:rPr>
        <w:t>Indicator Data</w:t>
      </w:r>
    </w:p>
    <w:p w14:paraId="72B2C3E7" w14:textId="767D9111" w:rsidR="00AF5649" w:rsidRPr="0036581E" w:rsidRDefault="00AF5649" w:rsidP="0036581E">
      <w:pPr>
        <w:pStyle w:val="Heading4"/>
      </w:pPr>
      <w:r w:rsidRPr="0036581E">
        <w:t>Executive Summary</w:t>
      </w:r>
    </w:p>
    <w:p w14:paraId="04B2974F" w14:textId="0DF01750" w:rsidR="000C24C2" w:rsidRPr="00196909" w:rsidRDefault="002B7490" w:rsidP="00314F94">
      <w:pPr>
        <w:pStyle w:val="ListParagraph"/>
        <w:numPr>
          <w:ilvl w:val="0"/>
          <w:numId w:val="47"/>
        </w:numPr>
        <w:rPr>
          <w:rFonts w:cs="Arial"/>
          <w:szCs w:val="16"/>
        </w:rPr>
      </w:pPr>
      <w:r w:rsidRPr="00196909">
        <w:rPr>
          <w:rFonts w:cs="Arial"/>
          <w:szCs w:val="16"/>
        </w:rPr>
        <w:t>Not applicable</w:t>
      </w:r>
    </w:p>
    <w:p w14:paraId="223A8781" w14:textId="77777777" w:rsidR="00757D21" w:rsidRPr="000F6E74" w:rsidRDefault="00757D21" w:rsidP="0036581E">
      <w:pPr>
        <w:pStyle w:val="Heading4"/>
      </w:pPr>
      <w:r w:rsidRPr="000F6E74">
        <w:t>Additional information related to data collection and reporting</w:t>
      </w:r>
    </w:p>
    <w:p w14:paraId="614EAC72" w14:textId="529061B3" w:rsidR="00757D21" w:rsidRPr="002666B9" w:rsidRDefault="00757D21" w:rsidP="00314F94">
      <w:pPr>
        <w:pStyle w:val="ListParagraph"/>
        <w:numPr>
          <w:ilvl w:val="0"/>
          <w:numId w:val="57"/>
        </w:numPr>
        <w:rPr>
          <w:b/>
        </w:rPr>
      </w:pPr>
      <w:r w:rsidRPr="000F6E74">
        <w:t xml:space="preserve">In response to the spread of COVID-19, the Virginia Department of Education (VDOE) has been working closely with the Governor’s Office, the Virginia Department of Health, and other state agencies to ensure our schools and communities have the most up-to-date information and resources. The health and safety of our children and staff </w:t>
      </w:r>
      <w:proofErr w:type="gramStart"/>
      <w:r w:rsidRPr="000F6E74">
        <w:t>are</w:t>
      </w:r>
      <w:proofErr w:type="gramEnd"/>
      <w:r w:rsidRPr="000F6E74">
        <w:t xml:space="preserve"> our top priorities. The latest news and </w:t>
      </w:r>
      <w:r w:rsidRPr="002666B9">
        <w:rPr>
          <w:color w:val="000000" w:themeColor="text1"/>
        </w:rPr>
        <w:t xml:space="preserve">resources regarding </w:t>
      </w:r>
      <w:hyperlink r:id="rId13" w:history="1">
        <w:r w:rsidRPr="00CC708D">
          <w:rPr>
            <w:rStyle w:val="Hyperlink"/>
          </w:rPr>
          <w:t>COVID-19 and Virginia</w:t>
        </w:r>
      </w:hyperlink>
      <w:r w:rsidRPr="002666B9">
        <w:rPr>
          <w:color w:val="000000" w:themeColor="text1"/>
        </w:rPr>
        <w:t xml:space="preserve"> </w:t>
      </w:r>
      <w:r w:rsidRPr="000F6E74">
        <w:t>schools can be located at</w:t>
      </w:r>
      <w:r w:rsidR="009615F9">
        <w:t xml:space="preserve"> </w:t>
      </w:r>
      <w:r w:rsidR="009615F9" w:rsidRPr="009615F9">
        <w:t>https://www.doe.virginia.gov/?navid=682</w:t>
      </w:r>
      <w:r w:rsidRPr="000F6E74">
        <w:t>.</w:t>
      </w:r>
    </w:p>
    <w:p w14:paraId="4ADBDC7F" w14:textId="2CA8C307" w:rsidR="00C01339" w:rsidRPr="000F6E74" w:rsidRDefault="00AF5649" w:rsidP="0036581E">
      <w:pPr>
        <w:pStyle w:val="Heading4"/>
      </w:pPr>
      <w:r w:rsidRPr="000F6E74">
        <w:t xml:space="preserve">Number of Districts in your State/Territory during reporting year </w:t>
      </w:r>
    </w:p>
    <w:p w14:paraId="36C38539" w14:textId="1E194795" w:rsidR="00AF5649" w:rsidRPr="000F6E74" w:rsidRDefault="002B7490" w:rsidP="00314F94">
      <w:pPr>
        <w:pStyle w:val="ListParagraph"/>
        <w:numPr>
          <w:ilvl w:val="0"/>
          <w:numId w:val="58"/>
        </w:numPr>
      </w:pPr>
      <w:r w:rsidRPr="000F6E74">
        <w:t>132</w:t>
      </w:r>
    </w:p>
    <w:p w14:paraId="785B8E3E" w14:textId="5E29FFD5" w:rsidR="00AF5649" w:rsidRPr="000F6E74" w:rsidRDefault="00AF5649" w:rsidP="0036581E">
      <w:pPr>
        <w:pStyle w:val="Heading4"/>
      </w:pPr>
      <w:r w:rsidRPr="000F6E74">
        <w:t>General Supervision System:</w:t>
      </w:r>
    </w:p>
    <w:p w14:paraId="6B6CEAB0" w14:textId="77777777" w:rsidR="00AF5649" w:rsidRPr="000F6E74" w:rsidRDefault="00AF5649" w:rsidP="00CC708D">
      <w:pPr>
        <w:rPr>
          <w:rFonts w:cs="Arial"/>
          <w:b/>
          <w:szCs w:val="16"/>
        </w:rPr>
      </w:pPr>
      <w:r w:rsidRPr="000F6E74">
        <w:rPr>
          <w:rFonts w:cs="Arial"/>
          <w:b/>
          <w:szCs w:val="16"/>
        </w:rPr>
        <w:t>The systems that are in place to ensure that IDEA Part B requirements are met, e.g., monitoring, dispute resolution, etc.</w:t>
      </w:r>
    </w:p>
    <w:p w14:paraId="5D9C5D03" w14:textId="77777777" w:rsidR="00CC708D" w:rsidRPr="004C1EC0" w:rsidRDefault="002B7490" w:rsidP="00314F94">
      <w:pPr>
        <w:pStyle w:val="ListParagraph"/>
        <w:numPr>
          <w:ilvl w:val="0"/>
          <w:numId w:val="48"/>
        </w:numPr>
        <w:rPr>
          <w:rFonts w:cs="Arial"/>
          <w:szCs w:val="16"/>
        </w:rPr>
      </w:pPr>
      <w:r w:rsidRPr="004C1EC0">
        <w:rPr>
          <w:rFonts w:cs="Arial"/>
          <w:szCs w:val="16"/>
        </w:rPr>
        <w:t xml:space="preserve">The Virginia Department of Education’s (VDOE's) general supervision system to identify noncompliance in special education programs consists of multi-faceted monitoring processes based on a model released by the U.S. Department of Education, Office of Special Education Programs (OSEP). The State’s system includes stakeholder involvement; applications for funding; review of policies and procedures; data collection, reporting, and verification; self-assessments and on-site monitoring with parent involvement; and dispute resolution. On-site monitoring includes visits to school districts; regional special education programs, local and regional jails, and nursing homes; state-operated programs including hospital programs, schools for the deaf and blind, rehabilitation centers, state training schools, state mental health centers, and juvenile detention and adult correctional facilities; and VDOE- licensed private day and residential schools. Visits of LEAs and other facilities are conducted on-site or using </w:t>
      </w:r>
      <w:r w:rsidRPr="004C1EC0">
        <w:rPr>
          <w:rFonts w:cs="Arial"/>
          <w:szCs w:val="16"/>
        </w:rPr>
        <w:lastRenderedPageBreak/>
        <w:t>various virtual strategies such as Zoom meetings, telephone conference calls, virtual use of the LEAs’ student record computer system or the Virginia IEP system, and record scanning.</w:t>
      </w:r>
    </w:p>
    <w:p w14:paraId="540130D3" w14:textId="77777777" w:rsidR="00CC708D" w:rsidRPr="000F6E74" w:rsidRDefault="002B7490" w:rsidP="00196909">
      <w:pPr>
        <w:ind w:left="720"/>
        <w:rPr>
          <w:rFonts w:cs="Arial"/>
          <w:szCs w:val="16"/>
        </w:rPr>
      </w:pPr>
      <w:r w:rsidRPr="000F6E74">
        <w:rPr>
          <w:rFonts w:cs="Arial"/>
          <w:szCs w:val="16"/>
        </w:rPr>
        <w:t>Virginia’s comprehensive monitoring system for continuous improvement is designed to ensure continuous examination of performance for compliance and results. All districts participate in some level of Virginia’s comprehensive monitoring system annually. The components of Virginia’s comprehensive monitoring system include compliance indicator reviews; on-site focused reviews; and targeted reviews (i.e., self-assessments, audit findings, complaints, and investigations).</w:t>
      </w:r>
    </w:p>
    <w:p w14:paraId="6530DDC8" w14:textId="77777777" w:rsidR="00CC708D" w:rsidRPr="000F6E74" w:rsidRDefault="002B7490" w:rsidP="004C1EC0">
      <w:pPr>
        <w:ind w:left="720"/>
        <w:rPr>
          <w:rFonts w:cs="Arial"/>
          <w:szCs w:val="16"/>
        </w:rPr>
      </w:pPr>
      <w:r w:rsidRPr="000F6E74">
        <w:rPr>
          <w:rFonts w:cs="Arial"/>
          <w:szCs w:val="16"/>
        </w:rPr>
        <w:t xml:space="preserve">The VDOE analyzes year-end data for all compliance indicators to identify school districts with performance rates indicating noncompliance. Whenever a finding of noncompliance is identified, the district is required to develop corrective action that addresses all identified areas of noncompliance to include improvement strategies and timelines to ensure correction. Timelines for correction are set, ranging from immediately to one year. The VDOE may require periodic progress reports as necessary </w:t>
      </w:r>
      <w:proofErr w:type="gramStart"/>
      <w:r w:rsidRPr="000F6E74">
        <w:rPr>
          <w:rFonts w:cs="Arial"/>
          <w:szCs w:val="16"/>
        </w:rPr>
        <w:t>and also</w:t>
      </w:r>
      <w:proofErr w:type="gramEnd"/>
      <w:r w:rsidRPr="000F6E74">
        <w:rPr>
          <w:rFonts w:cs="Arial"/>
          <w:szCs w:val="16"/>
        </w:rPr>
        <w:t xml:space="preserve"> follow-up through frequent visits and/or telephone contacts. For final closure, the district must demonstrate correction according to OSEP’s “two-pronged test” for correction. Districts must demonstrate individual and systemic correction as soon as possible, but no later than one year from the notification of noncompliance.</w:t>
      </w:r>
    </w:p>
    <w:p w14:paraId="0E2E29C0" w14:textId="44E6686A" w:rsidR="00CC708D" w:rsidRPr="000F6E74" w:rsidRDefault="002B7490" w:rsidP="004C1EC0">
      <w:pPr>
        <w:ind w:left="720"/>
        <w:rPr>
          <w:rFonts w:cs="Arial"/>
          <w:szCs w:val="16"/>
        </w:rPr>
      </w:pPr>
      <w:r w:rsidRPr="000F6E74">
        <w:rPr>
          <w:rFonts w:cs="Arial"/>
          <w:szCs w:val="16"/>
        </w:rPr>
        <w:t xml:space="preserve">The VDOE's approach to monitoring adherence by all school districts in the Commonwealth to the Regulations Governing Special Education Programs for Children with Disabilities in Virginia includes a five-year cyclical approach. This cyclical process allows a rotation of the 132 school districts to be monitored no less than every five years. Each year, between the months of September and December, school districts within that current year’s cohort utilize the Core Special Education Assessment (CSEA) to assess its special education programs and services. The assessment process requires the LEA to use the district’s special education documents and special education student </w:t>
      </w:r>
      <w:proofErr w:type="gramStart"/>
      <w:r w:rsidRPr="000F6E74">
        <w:rPr>
          <w:rFonts w:cs="Arial"/>
          <w:szCs w:val="16"/>
        </w:rPr>
        <w:t>records, and</w:t>
      </w:r>
      <w:proofErr w:type="gramEnd"/>
      <w:r w:rsidRPr="000F6E74">
        <w:rPr>
          <w:rFonts w:cs="Arial"/>
          <w:szCs w:val="16"/>
        </w:rPr>
        <w:t xml:space="preserve"> involves multiple staff to answer the regulatory questions. Following a cohort district’s completion and submission to the VDOE of this assessment, assigned monitors conduct a desk audit of the documentation. Subsequently, the monitor conducts a review and validation process with the district by probing/discussing reported noncompliance as well as compliance. This review and validation process also consists of a reassessment by the monitor of randomly selected items in the CSEA and associated district policies, procedures, practices, and student records. A final report is developed to summarize the findings from each area of the review and sent to the district leadership. The summary report identifies strengths and weaknesses of the Special Education Programs, emerging improvements, areas for program improvements, and areas of individual and general supervision noncompliance with IDEA regulations.</w:t>
      </w:r>
    </w:p>
    <w:p w14:paraId="1763A1F6" w14:textId="56408060" w:rsidR="00CC708D" w:rsidRPr="000F6E74" w:rsidRDefault="002B7490" w:rsidP="004C1EC0">
      <w:pPr>
        <w:ind w:left="720"/>
        <w:rPr>
          <w:rFonts w:cs="Arial"/>
          <w:szCs w:val="16"/>
        </w:rPr>
      </w:pPr>
      <w:r w:rsidRPr="000F6E74">
        <w:rPr>
          <w:rFonts w:cs="Arial"/>
          <w:szCs w:val="16"/>
        </w:rPr>
        <w:t xml:space="preserve">The VDOE monitors districts’ compliance for children with disabilities who have been publicly placed in regional special education programs; local and regional jails; nursing homes; state-operated programs including hospital programs, the school for the deaf and blind, rehabilitation centers, state training schools, state mental health centers, and juvenile detention and adult correctional facilities; and private day and residential schools. Services provided to children with disabilities in these school districts and facilities are monitored in three ways: 1) each </w:t>
      </w:r>
      <w:r w:rsidRPr="000F6E74">
        <w:rPr>
          <w:rFonts w:cs="Arial"/>
          <w:szCs w:val="16"/>
        </w:rPr>
        <w:lastRenderedPageBreak/>
        <w:t>must review compliance for children and youth as part of its self-assessment; 2) VDOE reviews the files for children and youth when it conducts its on-site visit to the school district or facility; and 3) VDOE monitors to ensure the provision of free appropriate public education (FAPE) to these students by making on-site visits to the school districts and facilities to ensure compliance and to make recommendations for program improvement, as appropriate.</w:t>
      </w:r>
    </w:p>
    <w:p w14:paraId="6211CE8F" w14:textId="77777777" w:rsidR="00CC708D" w:rsidRPr="000F6E74" w:rsidRDefault="002B7490" w:rsidP="004C1EC0">
      <w:pPr>
        <w:ind w:left="720"/>
        <w:rPr>
          <w:rFonts w:cs="Arial"/>
          <w:szCs w:val="16"/>
        </w:rPr>
      </w:pPr>
      <w:r w:rsidRPr="000F6E74">
        <w:rPr>
          <w:rFonts w:cs="Arial"/>
          <w:szCs w:val="16"/>
        </w:rPr>
        <w:t xml:space="preserve">To ensure that all school districts correct any identified compliance deficiencies within a reasonable </w:t>
      </w:r>
      <w:proofErr w:type="gramStart"/>
      <w:r w:rsidRPr="000F6E74">
        <w:rPr>
          <w:rFonts w:cs="Arial"/>
          <w:szCs w:val="16"/>
        </w:rPr>
        <w:t>period of time</w:t>
      </w:r>
      <w:proofErr w:type="gramEnd"/>
      <w:r w:rsidRPr="000F6E74">
        <w:rPr>
          <w:rFonts w:cs="Arial"/>
          <w:szCs w:val="16"/>
        </w:rPr>
        <w:t>, not to exceed one year from identification, VDOE has implemented a tracking system to monitor the correction of the noncompliance findings that were identified through local district self-assessments and the State’s on-site reviews. Tracking of noncompliant findings in the self-assessment begins following receipt of the self-assessment reports and program improvement plans. Tracking of noncompliant findings resulting from VDOE’s reviews begins from the issue date of the report findings.</w:t>
      </w:r>
    </w:p>
    <w:p w14:paraId="2EF1D1B8" w14:textId="77777777" w:rsidR="00CC66DF" w:rsidRPr="000F6E74" w:rsidRDefault="002B7490" w:rsidP="004C1EC0">
      <w:pPr>
        <w:ind w:left="720"/>
        <w:rPr>
          <w:rFonts w:cs="Arial"/>
          <w:szCs w:val="16"/>
        </w:rPr>
      </w:pPr>
      <w:r w:rsidRPr="000F6E74">
        <w:rPr>
          <w:rFonts w:cs="Arial"/>
          <w:szCs w:val="16"/>
        </w:rPr>
        <w:t>The VDOE continually enhances its IDEA fiscal supervision and monitoring procedures to comply with related distribution and use of IDEA Part B funds and ensure school districts are being fiscally prudent and compliant with Federal regulations. The supervision of school districts is structured according to tiered levels of risk and need. Virginia’s system of general supervision includes several mechanisms to provide oversight in the distribution and use of IDEA funds at the state level. Some of these mechanisms are reached through the VDOE Single Sign-on Web (SSWS) secure internet portal. The applications are designed and embedded with information and instruction on fiscal regulations to assist school districts in maintaining compliance</w:t>
      </w:r>
      <w:r w:rsidR="00CC66DF" w:rsidRPr="000F6E74">
        <w:rPr>
          <w:rFonts w:cs="Arial"/>
          <w:szCs w:val="16"/>
        </w:rPr>
        <w:t>.</w:t>
      </w:r>
    </w:p>
    <w:p w14:paraId="7E57ACB2" w14:textId="77777777" w:rsidR="00CC66DF" w:rsidRPr="000F6E74" w:rsidRDefault="002B7490" w:rsidP="004C1EC0">
      <w:pPr>
        <w:ind w:left="720"/>
        <w:rPr>
          <w:rFonts w:cs="Arial"/>
          <w:szCs w:val="16"/>
        </w:rPr>
      </w:pPr>
      <w:r w:rsidRPr="000F6E74">
        <w:rPr>
          <w:rFonts w:cs="Arial"/>
          <w:szCs w:val="16"/>
        </w:rPr>
        <w:t xml:space="preserve">Virginia’s Regulations Governing Special Education Programs for Children with Disabilities set forth three special education dispute resolution options to address disagreements regarding the identification, evaluation, educational placement, and services of their child, or the provision of a FAPE. These options include: 1) parents and the local school district </w:t>
      </w:r>
      <w:proofErr w:type="gramStart"/>
      <w:r w:rsidRPr="000F6E74">
        <w:rPr>
          <w:rFonts w:cs="Arial"/>
          <w:szCs w:val="16"/>
        </w:rPr>
        <w:t>entering into</w:t>
      </w:r>
      <w:proofErr w:type="gramEnd"/>
      <w:r w:rsidRPr="000F6E74">
        <w:rPr>
          <w:rFonts w:cs="Arial"/>
          <w:szCs w:val="16"/>
        </w:rPr>
        <w:t xml:space="preserve"> mediation to resolve the dispute; 2) the filing of a complaint that the school district has erred in meeting its special education obligations; and 3) the parent or local school district filing a request for a due process hearing to have a hearing officer determine the appropriate outcome for the child.</w:t>
      </w:r>
    </w:p>
    <w:p w14:paraId="7941FC2D" w14:textId="11BF98DA" w:rsidR="000C24C2" w:rsidRPr="000F6E74" w:rsidRDefault="002B7490" w:rsidP="004C1EC0">
      <w:pPr>
        <w:ind w:left="720"/>
        <w:rPr>
          <w:rFonts w:cs="Arial"/>
          <w:szCs w:val="16"/>
        </w:rPr>
      </w:pPr>
      <w:r w:rsidRPr="000F6E74">
        <w:rPr>
          <w:rFonts w:cs="Arial"/>
          <w:szCs w:val="16"/>
        </w:rPr>
        <w:t>The Office of Dispute Resolution and Administrative Services (ODRAS) within VDOE’s Department of Special Education and Student Services: 1) administers the three Federally-mandated special education dispute resolution options; 2) provides technical assistance to parents and school districts regarding special education laws and regulations; 3) develops and updates various special education resource materials; 4) provides training to school districts regarding regulatory compliance; 5) assists in the development and revision of Board of Education regulations as may be requested; and 6) works collaboratively with other offices within the Department of Special Education and Student Services, as appropriate.</w:t>
      </w:r>
    </w:p>
    <w:p w14:paraId="26D57A13" w14:textId="589F2D22" w:rsidR="00AF5649" w:rsidRPr="000F6E74" w:rsidRDefault="00AF5649" w:rsidP="0036581E">
      <w:pPr>
        <w:pStyle w:val="Heading4"/>
      </w:pPr>
      <w:r w:rsidRPr="000F6E74">
        <w:t>Technical Assistance System:</w:t>
      </w:r>
    </w:p>
    <w:p w14:paraId="66B8EA84" w14:textId="2BA80156" w:rsidR="00AF5649" w:rsidRPr="000F6E74" w:rsidRDefault="00AF5649" w:rsidP="00CC708D">
      <w:pPr>
        <w:rPr>
          <w:rFonts w:cs="Arial"/>
          <w:b/>
          <w:szCs w:val="16"/>
        </w:rPr>
      </w:pPr>
      <w:r w:rsidRPr="000F6E74">
        <w:rPr>
          <w:rFonts w:cs="Arial"/>
          <w:b/>
          <w:szCs w:val="16"/>
        </w:rPr>
        <w:t>The mechanisms that the State has in place to ensure the timely delivery of high quality, evidenced based technical assistance and support to LEAs.</w:t>
      </w:r>
    </w:p>
    <w:p w14:paraId="6BACDB9A" w14:textId="77777777" w:rsidR="00CC66DF" w:rsidRPr="004C1EC0" w:rsidRDefault="002B7490" w:rsidP="00314F94">
      <w:pPr>
        <w:pStyle w:val="ListParagraph"/>
        <w:numPr>
          <w:ilvl w:val="0"/>
          <w:numId w:val="49"/>
        </w:numPr>
        <w:rPr>
          <w:rFonts w:cs="Arial"/>
          <w:szCs w:val="16"/>
        </w:rPr>
      </w:pPr>
      <w:r w:rsidRPr="004C1EC0">
        <w:rPr>
          <w:rFonts w:cs="Arial"/>
          <w:szCs w:val="16"/>
        </w:rPr>
        <w:lastRenderedPageBreak/>
        <w:t xml:space="preserve">The purpose of the VDOE’s special education technical assistance is to provide evidence-based professional development for quality educational opportunities for children and youth with disabilities. The focus of the activities is access to the general education curriculum and effective practices that lead to successful school achievement and post-school outcomes for students with disabilities from ages 2-21, inclusive. There are ongoing regularly scheduled activities as well as new initiatives that are field-tested to determine their effectiveness. Staff members provide leadership for activities and initiatives addressing the educational needs of students identified with specific disabilities in all disability categories and specialized processes or procedures </w:t>
      </w:r>
      <w:proofErr w:type="gramStart"/>
      <w:r w:rsidRPr="004C1EC0">
        <w:rPr>
          <w:rFonts w:cs="Arial"/>
          <w:szCs w:val="16"/>
        </w:rPr>
        <w:t>including:</w:t>
      </w:r>
      <w:proofErr w:type="gramEnd"/>
      <w:r w:rsidRPr="004C1EC0">
        <w:rPr>
          <w:rFonts w:cs="Arial"/>
          <w:szCs w:val="16"/>
        </w:rPr>
        <w:t xml:space="preserve"> accessible instructional materials, assistive technology, behavior management, special education eligibility and individualized education program development, special education administration, and related services.</w:t>
      </w:r>
    </w:p>
    <w:p w14:paraId="7ABD8F28" w14:textId="77777777" w:rsidR="00CC66DF" w:rsidRPr="000F6E74" w:rsidRDefault="002B7490" w:rsidP="004C1EC0">
      <w:pPr>
        <w:ind w:left="720"/>
        <w:rPr>
          <w:rFonts w:cs="Arial"/>
          <w:szCs w:val="16"/>
        </w:rPr>
      </w:pPr>
      <w:r w:rsidRPr="000F6E74">
        <w:rPr>
          <w:rFonts w:cs="Arial"/>
          <w:szCs w:val="16"/>
        </w:rPr>
        <w:t>Activities are driven by demographic and achievement-related data analyses. Initiatives are derived from research findings or from systems that have been proven to be effective for students with disabilities through evidence-based practices.</w:t>
      </w:r>
    </w:p>
    <w:p w14:paraId="51186536" w14:textId="77777777" w:rsidR="00CC66DF" w:rsidRPr="000F6E74" w:rsidRDefault="002B7490" w:rsidP="004C1EC0">
      <w:pPr>
        <w:ind w:left="720"/>
        <w:rPr>
          <w:rFonts w:cs="Arial"/>
          <w:szCs w:val="16"/>
        </w:rPr>
      </w:pPr>
      <w:r w:rsidRPr="000F6E74">
        <w:rPr>
          <w:rFonts w:cs="Arial"/>
          <w:szCs w:val="16"/>
        </w:rPr>
        <w:t xml:space="preserve">The VDOE also funds regional centers supported by the Department of Special Education and Student Services, known as Training and Technical Assistance Centers (TTACs). The TTACs deliver direct technical assistance and support to local educational agencies. Their mission is to improve educational opportunities and contribute to the success of children and youth with disabilities. The services are designed to increase the capacity of school personnel, service providers, and families to meet the needs of children and youth with disabilities. The Centers’ focus is on educators in schools designated by the VDOE as needing improvement on behalf of students with disabilities. Their offices and libraries </w:t>
      </w:r>
      <w:proofErr w:type="gramStart"/>
      <w:r w:rsidRPr="000F6E74">
        <w:rPr>
          <w:rFonts w:cs="Arial"/>
          <w:szCs w:val="16"/>
        </w:rPr>
        <w:t>are located in</w:t>
      </w:r>
      <w:proofErr w:type="gramEnd"/>
      <w:r w:rsidRPr="000F6E74">
        <w:rPr>
          <w:rFonts w:cs="Arial"/>
          <w:szCs w:val="16"/>
        </w:rPr>
        <w:t xml:space="preserve"> universities based in the eight Superintendent of Public Instruction’s regions in Virginia.</w:t>
      </w:r>
    </w:p>
    <w:p w14:paraId="11EEF2BF" w14:textId="77777777" w:rsidR="00CC66DF" w:rsidRPr="000F6E74" w:rsidRDefault="002B7490" w:rsidP="004C1EC0">
      <w:pPr>
        <w:ind w:left="720"/>
        <w:rPr>
          <w:rFonts w:cs="Arial"/>
          <w:szCs w:val="16"/>
        </w:rPr>
      </w:pPr>
      <w:r w:rsidRPr="000F6E74">
        <w:rPr>
          <w:rFonts w:cs="Arial"/>
          <w:szCs w:val="16"/>
        </w:rPr>
        <w:t>Additional centers and networks include:</w:t>
      </w:r>
    </w:p>
    <w:p w14:paraId="7B38BE0D" w14:textId="77777777" w:rsidR="00CC66DF" w:rsidRPr="000F6E74" w:rsidRDefault="002B7490" w:rsidP="004C1EC0">
      <w:pPr>
        <w:ind w:left="720"/>
        <w:rPr>
          <w:rFonts w:cs="Arial"/>
          <w:szCs w:val="16"/>
        </w:rPr>
      </w:pPr>
      <w:r w:rsidRPr="000F6E74">
        <w:rPr>
          <w:rFonts w:cs="Arial"/>
          <w:szCs w:val="16"/>
        </w:rPr>
        <w:t>Accessible Instructional Materials Center of Virginia (AIM-VA): The AIM-VA produces and delivers accessible instructional materials for local educational agencies in Virginia who have students with an individualized education program indicating a need for alternate formats of printed materials. The Center also provides training and technical assistance on the use of these accessible instructional materials.</w:t>
      </w:r>
    </w:p>
    <w:p w14:paraId="45328E95" w14:textId="77777777" w:rsidR="00CC66DF" w:rsidRPr="000F6E74" w:rsidRDefault="002B7490" w:rsidP="004C1EC0">
      <w:pPr>
        <w:ind w:left="720"/>
        <w:rPr>
          <w:rFonts w:cs="Arial"/>
          <w:szCs w:val="16"/>
        </w:rPr>
      </w:pPr>
      <w:r w:rsidRPr="000F6E74">
        <w:rPr>
          <w:rFonts w:cs="Arial"/>
          <w:szCs w:val="16"/>
        </w:rPr>
        <w:t>Assistive Technology (AT) Network: The AT Network is a group of assistive technology specialists from regional TTACs. This group plans and provides statewide technical assistance and professional development regarding AT consideration, evaluation, and implementation. Additionally, members of the AT Network build capacity within districts by assisting with the creation of AT Teams within individual school districts.</w:t>
      </w:r>
    </w:p>
    <w:p w14:paraId="760E584F" w14:textId="77777777" w:rsidR="00CC66DF" w:rsidRPr="000F6E74" w:rsidRDefault="002B7490" w:rsidP="004C1EC0">
      <w:pPr>
        <w:ind w:left="720"/>
        <w:rPr>
          <w:rFonts w:cs="Arial"/>
          <w:szCs w:val="16"/>
        </w:rPr>
      </w:pPr>
      <w:r w:rsidRPr="000F6E74">
        <w:rPr>
          <w:rFonts w:cs="Arial"/>
          <w:szCs w:val="16"/>
        </w:rPr>
        <w:t xml:space="preserve">Virginia Commonwealth University’s Autism Center for Excellence (VCU-ACE): The VCU-ACE offers a variety of training opportunities through online and face-to-face training as well as embedded technical assistance in school districts. The VCU-ACE strives to meet the needs of all learners across the state of Virginia by providing training activities and resources for the emergent learner, developing learner, as well as district leaders who provide professional development activities and resources that will assist with systematic change and fidelity of </w:t>
      </w:r>
      <w:r w:rsidRPr="000F6E74">
        <w:rPr>
          <w:rFonts w:cs="Arial"/>
          <w:szCs w:val="16"/>
        </w:rPr>
        <w:lastRenderedPageBreak/>
        <w:t>evidence-based practices in autism spectrum disorder (ASD). The VCU-ACE offers a variety of training opportunities through online coursework and many on-demand options such as videos and presentations.</w:t>
      </w:r>
    </w:p>
    <w:p w14:paraId="6D281DC0" w14:textId="0389C2DD" w:rsidR="00CC66DF" w:rsidRPr="000F6E74" w:rsidRDefault="002B7490" w:rsidP="004C1EC0">
      <w:pPr>
        <w:ind w:left="720"/>
        <w:rPr>
          <w:rFonts w:cs="Arial"/>
          <w:szCs w:val="16"/>
        </w:rPr>
      </w:pPr>
      <w:r w:rsidRPr="000F6E74">
        <w:rPr>
          <w:rFonts w:cs="Arial"/>
          <w:szCs w:val="16"/>
        </w:rPr>
        <w:t>Community of Leaders in Autism (</w:t>
      </w:r>
      <w:proofErr w:type="spellStart"/>
      <w:r w:rsidRPr="000F6E74">
        <w:rPr>
          <w:rFonts w:cs="Arial"/>
          <w:szCs w:val="16"/>
        </w:rPr>
        <w:t>CoLA</w:t>
      </w:r>
      <w:proofErr w:type="spellEnd"/>
      <w:r w:rsidRPr="000F6E74">
        <w:rPr>
          <w:rFonts w:cs="Arial"/>
          <w:szCs w:val="16"/>
        </w:rPr>
        <w:t xml:space="preserve">): The </w:t>
      </w:r>
      <w:proofErr w:type="spellStart"/>
      <w:r w:rsidRPr="000F6E74">
        <w:rPr>
          <w:rFonts w:cs="Arial"/>
          <w:szCs w:val="16"/>
        </w:rPr>
        <w:t>CoLA</w:t>
      </w:r>
      <w:proofErr w:type="spellEnd"/>
      <w:r w:rsidRPr="000F6E74">
        <w:rPr>
          <w:rFonts w:cs="Arial"/>
          <w:szCs w:val="16"/>
        </w:rPr>
        <w:t xml:space="preserve"> is a responsive network of autism leaders from participating districts. The </w:t>
      </w:r>
      <w:proofErr w:type="spellStart"/>
      <w:r w:rsidRPr="000F6E74">
        <w:rPr>
          <w:rFonts w:cs="Arial"/>
          <w:szCs w:val="16"/>
        </w:rPr>
        <w:t>CoLA</w:t>
      </w:r>
      <w:proofErr w:type="spellEnd"/>
      <w:r w:rsidRPr="000F6E74">
        <w:rPr>
          <w:rFonts w:cs="Arial"/>
          <w:szCs w:val="16"/>
        </w:rPr>
        <w:t xml:space="preserve"> Teams participate in two regional meetings per year and one statewide summer institute. The </w:t>
      </w:r>
      <w:proofErr w:type="spellStart"/>
      <w:r w:rsidRPr="000F6E74">
        <w:rPr>
          <w:rFonts w:cs="Arial"/>
          <w:szCs w:val="16"/>
        </w:rPr>
        <w:t>CoLA</w:t>
      </w:r>
      <w:proofErr w:type="spellEnd"/>
      <w:r w:rsidRPr="000F6E74">
        <w:rPr>
          <w:rFonts w:cs="Arial"/>
          <w:szCs w:val="16"/>
        </w:rPr>
        <w:t xml:space="preserve"> represents a partnership between school districts, Virginia Commonwealth University’s Autism Center for Excellence (VCU-ACE), regional Training and Technical Assistance Centers (TTAC), and the Virginia Department of Education. The </w:t>
      </w:r>
      <w:proofErr w:type="spellStart"/>
      <w:r w:rsidRPr="000F6E74">
        <w:rPr>
          <w:rFonts w:cs="Arial"/>
          <w:szCs w:val="16"/>
        </w:rPr>
        <w:t>CoLA</w:t>
      </w:r>
      <w:proofErr w:type="spellEnd"/>
      <w:r w:rsidRPr="000F6E74">
        <w:rPr>
          <w:rFonts w:cs="Arial"/>
          <w:szCs w:val="16"/>
        </w:rPr>
        <w:t xml:space="preserve"> members share a common interest in the improvement of service delivery and use of evidence-based practice for students with ASD and create a strong community that fosters trust and encourages collaboration and sharing.</w:t>
      </w:r>
    </w:p>
    <w:p w14:paraId="082817C0" w14:textId="77777777" w:rsidR="00CC66DF" w:rsidRPr="000F6E74" w:rsidRDefault="002B7490" w:rsidP="004C1EC0">
      <w:pPr>
        <w:ind w:left="720"/>
        <w:rPr>
          <w:rFonts w:cs="Arial"/>
          <w:szCs w:val="16"/>
        </w:rPr>
      </w:pPr>
      <w:r w:rsidRPr="000F6E74">
        <w:rPr>
          <w:rFonts w:cs="Arial"/>
          <w:szCs w:val="16"/>
        </w:rPr>
        <w:t xml:space="preserve">Technical Assistance Center for Children Who Are Deaf and Hard of Hearing: The Technical Assistance Center for Children Who Are Deaf and Hard of Hearing is funded by the VDOE to provide training and technical assistance in the areas of deafness and hearing impairment. Assistance is available to local </w:t>
      </w:r>
      <w:proofErr w:type="gramStart"/>
      <w:r w:rsidRPr="000F6E74">
        <w:rPr>
          <w:rFonts w:cs="Arial"/>
          <w:szCs w:val="16"/>
        </w:rPr>
        <w:t>public school</w:t>
      </w:r>
      <w:proofErr w:type="gramEnd"/>
      <w:r w:rsidRPr="000F6E74">
        <w:rPr>
          <w:rFonts w:cs="Arial"/>
          <w:szCs w:val="16"/>
        </w:rPr>
        <w:t xml:space="preserve"> systems as well as state-operated programs, including early intervention through the Virginia Network of Consultants for Professionals Working with Children Who Are Deaf and Hard of Hearing (VNOC).</w:t>
      </w:r>
    </w:p>
    <w:p w14:paraId="53E6F408" w14:textId="77777777" w:rsidR="00CC66DF" w:rsidRPr="000F6E74" w:rsidRDefault="002B7490" w:rsidP="004C1EC0">
      <w:pPr>
        <w:ind w:left="720"/>
        <w:rPr>
          <w:rFonts w:cs="Arial"/>
          <w:szCs w:val="16"/>
        </w:rPr>
      </w:pPr>
      <w:r w:rsidRPr="000F6E74">
        <w:rPr>
          <w:rFonts w:cs="Arial"/>
          <w:szCs w:val="16"/>
        </w:rPr>
        <w:t>Virginia Project for Children and Young Adults with Deaf-Blindness (VDBP): The VDBP is a statewide program designed to provide technical assistance, training, distance education, and networking information to families, teachers, and service providers of individuals, birth through 21, who have both a hearing loss and a vision loss. The Virginia Deaf-Blind Project is committed to supporting families, teachers, and service providers in their endeavors to improve outcomes for children and youth who experience both vision and hearing loss.</w:t>
      </w:r>
    </w:p>
    <w:p w14:paraId="69DC61DB" w14:textId="77777777" w:rsidR="00CC66DF" w:rsidRPr="000F6E74" w:rsidRDefault="002B7490" w:rsidP="004C1EC0">
      <w:pPr>
        <w:ind w:left="720"/>
        <w:rPr>
          <w:rFonts w:cs="Arial"/>
          <w:szCs w:val="16"/>
        </w:rPr>
      </w:pPr>
      <w:r w:rsidRPr="000F6E74">
        <w:rPr>
          <w:rFonts w:cs="Arial"/>
          <w:szCs w:val="16"/>
        </w:rPr>
        <w:t>Center on Transition Innovations: The Center provides resources for professionals, individuals with disabilities, and their representatives, and is committed to developing and advancing evidence-based practices to increase the hiring and retention of individuals with disabilities. The Center is designed to research and spotlight the strategies and circumstances that produce optimal employment and career achievement for youth with disabilities and provide knowledge transfer with a variety of information (via webinars, white papers, fact sheets, and online classes). Staff assist school districts with implementation of a variety of programs such as Project Search, Start on Success, Customized Employment, and Supported Employment.</w:t>
      </w:r>
    </w:p>
    <w:p w14:paraId="29B379BE" w14:textId="57053F8C" w:rsidR="00CC66DF" w:rsidRPr="000F6E74" w:rsidRDefault="002B7490" w:rsidP="004C1EC0">
      <w:pPr>
        <w:ind w:left="720"/>
        <w:rPr>
          <w:rFonts w:cs="Arial"/>
          <w:szCs w:val="16"/>
        </w:rPr>
      </w:pPr>
      <w:r w:rsidRPr="000F6E74">
        <w:rPr>
          <w:rFonts w:cs="Arial"/>
          <w:szCs w:val="16"/>
        </w:rPr>
        <w:t>Center for Family Involvement: The Center works with families to increase their skills as decision-makers, mentors, and leaders so that their family members with disabilities can lead the lives they want. Through self-advocacy activities, youth and adults with disabilities have information and support to speak for themselves and be leaders in their home communities and in state-level activities. The Center is committed to helping agencies and organizations deliver person-centered and user-friendly services and supports in neighborhoods and communities.</w:t>
      </w:r>
    </w:p>
    <w:p w14:paraId="226E0ADD" w14:textId="77777777" w:rsidR="00CC66DF" w:rsidRPr="000F6E74" w:rsidRDefault="002B7490" w:rsidP="004C1EC0">
      <w:pPr>
        <w:ind w:left="720"/>
        <w:rPr>
          <w:rFonts w:cs="Arial"/>
          <w:szCs w:val="16"/>
        </w:rPr>
      </w:pPr>
      <w:r w:rsidRPr="000F6E74">
        <w:rPr>
          <w:rFonts w:cs="Arial"/>
          <w:szCs w:val="16"/>
        </w:rPr>
        <w:t xml:space="preserve">Parent Education Advocacy Training Center (PEATC): The PEATC is an independent Center funded by the United States Department of Education and serves at Virginia's Federally </w:t>
      </w:r>
      <w:r w:rsidRPr="000F6E74">
        <w:rPr>
          <w:rFonts w:cs="Arial"/>
          <w:szCs w:val="16"/>
        </w:rPr>
        <w:lastRenderedPageBreak/>
        <w:t>Funded Parent Training and Information Center (PTI). The PEATC’s information, resources, and training promote respectful, collaborative partnerships between parents, schools, professionals, and the community that increase the possibilities of success for children with disabilities.</w:t>
      </w:r>
    </w:p>
    <w:p w14:paraId="672C3EB4" w14:textId="77777777" w:rsidR="00CC66DF" w:rsidRPr="000F6E74" w:rsidRDefault="002B7490" w:rsidP="004C1EC0">
      <w:pPr>
        <w:ind w:left="720"/>
        <w:rPr>
          <w:rFonts w:cs="Arial"/>
          <w:szCs w:val="16"/>
        </w:rPr>
      </w:pPr>
      <w:r w:rsidRPr="000F6E74">
        <w:rPr>
          <w:rFonts w:cs="Arial"/>
          <w:szCs w:val="16"/>
        </w:rPr>
        <w:t>Virginia’s Parent Resource Centers (PRCs) are committed to a positive relationship between parents and schools. The PRCs assist parents with questions and planning as well as provide resources and training sessions.</w:t>
      </w:r>
    </w:p>
    <w:p w14:paraId="46AFA65A" w14:textId="59212243" w:rsidR="000C24C2" w:rsidRPr="000F6E74" w:rsidRDefault="002B7490" w:rsidP="004C1EC0">
      <w:pPr>
        <w:ind w:left="720"/>
        <w:rPr>
          <w:rFonts w:cs="Arial"/>
          <w:szCs w:val="16"/>
        </w:rPr>
      </w:pPr>
      <w:r w:rsidRPr="000F6E74">
        <w:rPr>
          <w:rFonts w:cs="Arial"/>
          <w:szCs w:val="16"/>
        </w:rPr>
        <w:t>Virginia Tiered Systems of Supports Research and Implementation Center (VTSS-RIC): The VTSS-RIC’s mission is to build state and local capacity for a sustained tiered system of academic, behavioral, and social-emotional supports that are responsive to the needs of all students. The VTSS-RIC assists VDOE with the evaluation of participating LEAs through their participation in both the Response to Intervention (RTI) and Positive Behavioral Interventions and Supports (PBIS) components of VTSS.</w:t>
      </w:r>
    </w:p>
    <w:p w14:paraId="31C31C58" w14:textId="6D9367D0" w:rsidR="00AF5649" w:rsidRPr="000F6E74" w:rsidRDefault="00AF5649" w:rsidP="0036581E">
      <w:pPr>
        <w:pStyle w:val="Heading4"/>
      </w:pPr>
      <w:r w:rsidRPr="000F6E74">
        <w:t>Professional Development System:</w:t>
      </w:r>
    </w:p>
    <w:p w14:paraId="25232CAB" w14:textId="27BBB727" w:rsidR="00AF5649" w:rsidRPr="000F6E74" w:rsidRDefault="00AF5649" w:rsidP="00CC708D">
      <w:pPr>
        <w:rPr>
          <w:rFonts w:cs="Arial"/>
          <w:b/>
          <w:szCs w:val="16"/>
        </w:rPr>
      </w:pPr>
      <w:r w:rsidRPr="000F6E74">
        <w:rPr>
          <w:rFonts w:cs="Arial"/>
          <w:b/>
          <w:szCs w:val="16"/>
        </w:rPr>
        <w:t>The mechanisms the State has in place to ensure that service providers have the skills to effectively provide services that improve results for children with disabilities.</w:t>
      </w:r>
    </w:p>
    <w:p w14:paraId="11E55505" w14:textId="77777777" w:rsidR="00116556" w:rsidRPr="004C1EC0" w:rsidRDefault="002B7490" w:rsidP="00314F94">
      <w:pPr>
        <w:pStyle w:val="ListParagraph"/>
        <w:numPr>
          <w:ilvl w:val="0"/>
          <w:numId w:val="50"/>
        </w:numPr>
        <w:rPr>
          <w:rFonts w:cs="Arial"/>
          <w:szCs w:val="16"/>
        </w:rPr>
      </w:pPr>
      <w:r w:rsidRPr="004C1EC0">
        <w:rPr>
          <w:rFonts w:cs="Arial"/>
          <w:szCs w:val="16"/>
        </w:rPr>
        <w:t>Professional development and related resources are developed to provide support and professional development to parents, school personnel, and other consumers. All resources are intended to provide guidance for addressing the regulatory requirements and instructional elements needed for a student’s FAPE that is linked directly to the indicators and improvement activities established in the State Performance Plan/Annual Performance Report (SPP/APR). Through this model, the VDOE uses a variety of means, at varying levels of intensity, to build capacity throughout the State. Virginia’s Regulations Governing Special Education Programs for Children with Disabilities in Virginia provide state-operating standards for districts along with the following accompanying guidance documents: 1) Implementation of the Regulations Governing Special Education Programs for Children with Disabilities in Virginia, 2009; 2) Developing Local Policies and Procedures Required for Implementation of Special Education Regulations in Virginia's Public Schools; and 3) the Parents’ Guide to the Virginia Regulations.</w:t>
      </w:r>
    </w:p>
    <w:p w14:paraId="78F2B9DF" w14:textId="77777777" w:rsidR="00116556" w:rsidRPr="000F6E74" w:rsidRDefault="002B7490" w:rsidP="004C1EC0">
      <w:pPr>
        <w:ind w:left="720"/>
        <w:rPr>
          <w:rFonts w:cs="Arial"/>
          <w:szCs w:val="16"/>
        </w:rPr>
      </w:pPr>
      <w:r w:rsidRPr="000F6E74">
        <w:rPr>
          <w:rFonts w:cs="Arial"/>
          <w:szCs w:val="16"/>
        </w:rPr>
        <w:t>The VDOE's Department of Special Education and Student Services staff members are assigned to regional teams to provide technical assistance and professional development, including one representative from each of the following offices on each team: Special Education Instructional Services (SEIS); Dispute Resolution and Administrative Services (ODRAS); Special Education Program Improvement (SEPI); and Specialized Education Facilities and Family Engagement (FFE). The regional teams provide guidance for addressing the regulatory requirements and instructional elements needed for a student’s FAPE.</w:t>
      </w:r>
    </w:p>
    <w:p w14:paraId="49965A24" w14:textId="77777777" w:rsidR="00116556" w:rsidRPr="000F6E74" w:rsidRDefault="002B7490" w:rsidP="004C1EC0">
      <w:pPr>
        <w:ind w:left="720"/>
        <w:rPr>
          <w:rFonts w:cs="Arial"/>
          <w:szCs w:val="16"/>
        </w:rPr>
      </w:pPr>
      <w:r w:rsidRPr="000F6E74">
        <w:rPr>
          <w:rFonts w:cs="Arial"/>
          <w:szCs w:val="16"/>
        </w:rPr>
        <w:t>In addition, the VDOE’s Department of Special Education and Student Services e-learning modules provide an opportunity for individuals to increase knowledge and skills in a variety of areas such as: Special Education Evaluation and Services, Prior Written Notice, Calculating and Reporting Placement and Services, and Back to Basics modules focused on compliance with Federal law and state regulations.</w:t>
      </w:r>
    </w:p>
    <w:p w14:paraId="5B7BE89D" w14:textId="77777777" w:rsidR="00116556" w:rsidRPr="000F6E74" w:rsidRDefault="002B7490" w:rsidP="004C1EC0">
      <w:pPr>
        <w:ind w:left="720"/>
        <w:rPr>
          <w:rFonts w:cs="Arial"/>
          <w:szCs w:val="16"/>
        </w:rPr>
      </w:pPr>
      <w:r w:rsidRPr="000F6E74">
        <w:rPr>
          <w:rFonts w:cs="Arial"/>
          <w:szCs w:val="16"/>
        </w:rPr>
        <w:lastRenderedPageBreak/>
        <w:t>The Virginia Tiered Systems of Supports (VTSS) is a data-informed, decision-making framework for establishing the academic, behavioral, and social-emotional supports needed for a school to be an effective learning environment for all students. The VTSS systemic approach allows districts, schools, and communities to provide multiple levels of supports to students in a more effective, efficient, and clearly defined process. Implementing the VTSS requires the use of evidence-based, system-wide practices with fidelity to provide a quick response to academic, behavioral, social, and emotional needs. The practices are progress-monitored frequently to enable educators to make sound, data-based instructional decisions for students.</w:t>
      </w:r>
    </w:p>
    <w:p w14:paraId="79CE2C74" w14:textId="77777777" w:rsidR="00116556" w:rsidRPr="000F6E74" w:rsidRDefault="002B7490" w:rsidP="004C1EC0">
      <w:pPr>
        <w:ind w:left="720"/>
        <w:rPr>
          <w:rFonts w:cs="Arial"/>
          <w:szCs w:val="16"/>
        </w:rPr>
      </w:pPr>
      <w:r w:rsidRPr="000F6E74">
        <w:rPr>
          <w:rFonts w:cs="Arial"/>
          <w:szCs w:val="16"/>
        </w:rPr>
        <w:t>Two leadership academies provide professional development for administrators. The Aspiring Special Education Leaders Academy is a program established to assist school districts and state-operated programs with succession planning and is designed to help prepare potential leaders for future administrative positions in special education. This yearlong program includes workshops, seminars, observations, assignments, and field experiences. Participants have opportunities to gain knowledge, skills, and experiences that will help them excel in positions of special educational leadership. The New Special Education Directors Academy provides orientation to the various VDOE offices, critical technical assistance resources, regulatory information, dispute resolution, and a mentor for newly appointed administrators.</w:t>
      </w:r>
    </w:p>
    <w:p w14:paraId="6942FAFA" w14:textId="77777777" w:rsidR="00116556" w:rsidRPr="000F6E74" w:rsidRDefault="002B7490" w:rsidP="004C1EC0">
      <w:pPr>
        <w:ind w:left="720"/>
        <w:rPr>
          <w:rFonts w:cs="Arial"/>
          <w:szCs w:val="16"/>
        </w:rPr>
      </w:pPr>
      <w:r w:rsidRPr="000F6E74">
        <w:rPr>
          <w:rFonts w:cs="Arial"/>
          <w:szCs w:val="16"/>
        </w:rPr>
        <w:t>The VDOE supports seven TTACs, located at universities across the Commonwealth, to improve educational opportunities and contribute to the success of children and youth with disabilities (birth through 22 years). The VDOE determines the scope of work for the TTACs, which is outlined in an annual cooperative agreement holding TTACs responsible for the regional delivery of school improvement, special education, early learning, and school readiness services. The cooperative agreement details specific responsibilities in the work of TTACs with local districts and community schools, organized by priority areas. The TTACs provide varying levels of technical assistance and professional development in these areas, based on LEA’s SPP/APR performance and compliance indicator data. The TTACs use multiple years of SPP/APR data to identify patterns of strengths and weaknesses within each LEA and across LEAs located in their regions. The TTACs also provide information and services regarding IDEA to parents and families of children with disabilities and those at risk of being identified as disabled.</w:t>
      </w:r>
    </w:p>
    <w:p w14:paraId="0B77B8C1" w14:textId="70B19F8E" w:rsidR="007742F1" w:rsidRPr="000F6E74" w:rsidRDefault="002B7490" w:rsidP="004C1EC0">
      <w:pPr>
        <w:ind w:left="720"/>
        <w:rPr>
          <w:rFonts w:cs="Arial"/>
          <w:szCs w:val="16"/>
        </w:rPr>
      </w:pPr>
      <w:r w:rsidRPr="000F6E74">
        <w:rPr>
          <w:rFonts w:cs="Arial"/>
          <w:szCs w:val="16"/>
        </w:rPr>
        <w:t>The VDOE’s TTAC Online is a resource for professionals and family members of children and youth with disabilities (birth through 22 years). The website offers a wide range of resources, events (trainings, conferences, and webinars/webcasts), and free online training opportunities. Online trainings cover a wide range of topics, such as assistive technology, behavior, curriculum and instruction, and transition.</w:t>
      </w:r>
    </w:p>
    <w:p w14:paraId="0D25C7E9" w14:textId="3ADA39B6" w:rsidR="00AF5649" w:rsidRPr="000F6E74" w:rsidRDefault="00F72E24" w:rsidP="0036581E">
      <w:pPr>
        <w:pStyle w:val="Heading4"/>
      </w:pPr>
      <w:r w:rsidRPr="000F6E74">
        <w:t>Broad Stakeholder Input:</w:t>
      </w:r>
    </w:p>
    <w:p w14:paraId="0EB1658A" w14:textId="77777777" w:rsidR="006457D1" w:rsidRPr="000F6E74" w:rsidRDefault="006457D1" w:rsidP="00CC708D">
      <w:pPr>
        <w:rPr>
          <w:rFonts w:cs="Arial"/>
          <w:b/>
          <w:szCs w:val="16"/>
        </w:rPr>
      </w:pPr>
      <w:r w:rsidRPr="000F6E74">
        <w:rPr>
          <w:rFonts w:cs="Arial"/>
          <w:b/>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14:paraId="4115E0C1" w14:textId="7F5C24C0" w:rsidR="00116556" w:rsidRPr="004C1EC0" w:rsidRDefault="002B7490" w:rsidP="00314F94">
      <w:pPr>
        <w:pStyle w:val="ListParagraph"/>
        <w:numPr>
          <w:ilvl w:val="0"/>
          <w:numId w:val="51"/>
        </w:numPr>
        <w:rPr>
          <w:rFonts w:cs="Arial"/>
          <w:szCs w:val="16"/>
        </w:rPr>
      </w:pPr>
      <w:r w:rsidRPr="004C1EC0">
        <w:rPr>
          <w:rFonts w:cs="Arial"/>
          <w:szCs w:val="16"/>
        </w:rPr>
        <w:lastRenderedPageBreak/>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7621D9ED" w14:textId="698226C2" w:rsidR="000C24C2" w:rsidRPr="000F6E74" w:rsidRDefault="002B7490" w:rsidP="004C1EC0">
      <w:pPr>
        <w:ind w:left="720"/>
        <w:rPr>
          <w:rFonts w:cs="Arial"/>
          <w:szCs w:val="16"/>
        </w:rPr>
      </w:pPr>
      <w:r w:rsidRPr="000F6E74">
        <w:rPr>
          <w:rFonts w:cs="Arial"/>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159721AE" w14:textId="7E456FC5" w:rsidR="00084FF1" w:rsidRPr="00D73ABA" w:rsidRDefault="00084FF1" w:rsidP="00D73ABA">
      <w:pPr>
        <w:rPr>
          <w:b/>
          <w:bCs/>
        </w:rPr>
      </w:pPr>
      <w:r w:rsidRPr="00D73ABA">
        <w:rPr>
          <w:b/>
          <w:bCs/>
        </w:rPr>
        <w:t>Apply stakeholder involvement from introduction to all Part B results indicators (y/n)</w:t>
      </w:r>
    </w:p>
    <w:p w14:paraId="2E10E7B0" w14:textId="614B0A54" w:rsidR="00FB0D0A" w:rsidRPr="000F6E74" w:rsidRDefault="00196909" w:rsidP="00314F94">
      <w:pPr>
        <w:pStyle w:val="ListParagraph"/>
        <w:numPr>
          <w:ilvl w:val="0"/>
          <w:numId w:val="52"/>
        </w:numPr>
      </w:pPr>
      <w:r w:rsidRPr="000F6E74">
        <w:t>Yes</w:t>
      </w:r>
    </w:p>
    <w:p w14:paraId="039304C3" w14:textId="77777777" w:rsidR="00F72E24" w:rsidRPr="00D73ABA" w:rsidRDefault="00F72E24" w:rsidP="00D73ABA">
      <w:pPr>
        <w:rPr>
          <w:b/>
          <w:bCs/>
        </w:rPr>
      </w:pPr>
      <w:r w:rsidRPr="00D73ABA">
        <w:rPr>
          <w:b/>
          <w:bCs/>
        </w:rPr>
        <w:t>Number of Parent Members:</w:t>
      </w:r>
    </w:p>
    <w:p w14:paraId="3A2A60D7" w14:textId="5F5224C2" w:rsidR="00F72E24" w:rsidRPr="004C1EC0" w:rsidRDefault="00F72E24" w:rsidP="00314F94">
      <w:pPr>
        <w:pStyle w:val="ListParagraph"/>
        <w:numPr>
          <w:ilvl w:val="0"/>
          <w:numId w:val="53"/>
        </w:numPr>
        <w:rPr>
          <w:szCs w:val="16"/>
        </w:rPr>
      </w:pPr>
      <w:r w:rsidRPr="004C1EC0">
        <w:rPr>
          <w:szCs w:val="16"/>
        </w:rPr>
        <w:t>86</w:t>
      </w:r>
    </w:p>
    <w:p w14:paraId="06D1F432" w14:textId="77777777" w:rsidR="00F72E24" w:rsidRPr="000F6E74" w:rsidRDefault="00F72E24" w:rsidP="0036581E">
      <w:pPr>
        <w:pStyle w:val="Heading4"/>
      </w:pPr>
      <w:r w:rsidRPr="000F6E74">
        <w:t>Parent Members Engagement:</w:t>
      </w:r>
    </w:p>
    <w:p w14:paraId="243421D1" w14:textId="676E0957" w:rsidR="00F72E24" w:rsidRPr="000F6E74" w:rsidRDefault="00F72E24" w:rsidP="00CC708D">
      <w:pPr>
        <w:rPr>
          <w:b/>
        </w:rPr>
      </w:pPr>
      <w:r w:rsidRPr="000F6E74">
        <w:rPr>
          <w:b/>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4C1EC0" w:rsidRDefault="00F72E24" w:rsidP="00314F94">
      <w:pPr>
        <w:pStyle w:val="ListParagraph"/>
        <w:numPr>
          <w:ilvl w:val="0"/>
          <w:numId w:val="54"/>
        </w:numPr>
        <w:rPr>
          <w:szCs w:val="16"/>
        </w:rPr>
      </w:pPr>
      <w:r w:rsidRPr="004C1EC0">
        <w:rPr>
          <w:szCs w:val="16"/>
        </w:rPr>
        <w:t xml:space="preserve">Parent members of the State Advisory Panel, parent center staff, parents from local and statewide advocacy and advisory committees, and individual parents were engaged in setting targets, analyzing data, developing improvement strategies, and evaluating progress. As explained above, we held numerous opportunities to gather stakeholder input that spanned an eight-month period from May through December 2021. Following each event, a survey link was disseminated to the participants </w:t>
      </w:r>
      <w:proofErr w:type="gramStart"/>
      <w:r w:rsidRPr="004C1EC0">
        <w:rPr>
          <w:szCs w:val="16"/>
        </w:rPr>
        <w:t>in an effort to</w:t>
      </w:r>
      <w:proofErr w:type="gramEnd"/>
      <w:r w:rsidRPr="004C1EC0">
        <w:rPr>
          <w:szCs w:val="16"/>
        </w:rPr>
        <w:t xml:space="preserve"> ensure all stakeholders had an equal opportunity to be heard and has led to additional initiatives and resources. In addition to the 86 parents that provided input via the survey, we had nine students with disabilities participate as well. Together, these two populations represented more than 33 percent of all returned surveys related to the FFY 2020-2025 stakeholder involvement—a milestone to celebrate.</w:t>
      </w:r>
    </w:p>
    <w:p w14:paraId="22B36B69" w14:textId="77777777" w:rsidR="00F72E24" w:rsidRPr="000F6E74" w:rsidRDefault="00F72E24" w:rsidP="0036581E">
      <w:pPr>
        <w:pStyle w:val="Heading4"/>
      </w:pPr>
      <w:r w:rsidRPr="000F6E74">
        <w:t>Activities to Improve Outcomes for Children with Disabilities:</w:t>
      </w:r>
    </w:p>
    <w:p w14:paraId="362D1ECF" w14:textId="77777777" w:rsidR="006457D1" w:rsidRPr="000F6E74" w:rsidRDefault="006457D1" w:rsidP="00CC708D">
      <w:pPr>
        <w:rPr>
          <w:b/>
        </w:rPr>
      </w:pPr>
      <w:r w:rsidRPr="000F6E74">
        <w:rPr>
          <w:b/>
        </w:rPr>
        <w:lastRenderedPageBreak/>
        <w:t>The activities conducted to increase the capacity of diverse groups of parents to support the development of implementation activities designed to improve outcomes for children with disabilities.</w:t>
      </w:r>
    </w:p>
    <w:p w14:paraId="3BDE813D" w14:textId="522F6FB0" w:rsidR="00F72E24" w:rsidRPr="003856F1" w:rsidRDefault="00F72E24" w:rsidP="00314F94">
      <w:pPr>
        <w:pStyle w:val="ListParagraph"/>
        <w:numPr>
          <w:ilvl w:val="0"/>
          <w:numId w:val="59"/>
        </w:numPr>
        <w:rPr>
          <w:szCs w:val="16"/>
        </w:rPr>
      </w:pPr>
      <w:r w:rsidRPr="003856F1">
        <w:rPr>
          <w:szCs w:val="16"/>
        </w:rPr>
        <w:t>The Virginia Department of Education staff made a deliberate attempt to be more inclusive across Virginia’s vast geographic regions to capture a more representative population of the State’s diverse groups of parents to support the development of implementation activities designed to improve outcomes for children with disabilities. For example, one of the many activities that staff conducted was an evening session (6:00-8:30 p.m.) that included multiple local special education advisory committees (SEACs) from all eight geographic regions in the State. In all, we had approximately 100 participants actively engaged throughout the process.</w:t>
      </w:r>
    </w:p>
    <w:p w14:paraId="6210CD83" w14:textId="77777777" w:rsidR="00F72E24" w:rsidRPr="000F6E74" w:rsidRDefault="00F72E24" w:rsidP="0036581E">
      <w:pPr>
        <w:pStyle w:val="Heading4"/>
      </w:pPr>
      <w:r w:rsidRPr="000F6E74">
        <w:t>Soliciting Public Input:</w:t>
      </w:r>
    </w:p>
    <w:p w14:paraId="39A8F7F4" w14:textId="036934F6" w:rsidR="00F72E24" w:rsidRPr="000F6E74" w:rsidRDefault="00F72E24" w:rsidP="00CC708D">
      <w:pPr>
        <w:rPr>
          <w:b/>
        </w:rPr>
      </w:pPr>
      <w:r w:rsidRPr="000F6E74">
        <w:rPr>
          <w:b/>
        </w:rPr>
        <w:t>The mechanisms and timelines for soliciting public input for setting targets, analyzing data, developing improvement strategies, and evaluating progress.</w:t>
      </w:r>
    </w:p>
    <w:p w14:paraId="223D0B8E" w14:textId="16A98311" w:rsidR="00F72E24" w:rsidRPr="003856F1" w:rsidRDefault="00F72E24" w:rsidP="00314F94">
      <w:pPr>
        <w:pStyle w:val="ListParagraph"/>
        <w:numPr>
          <w:ilvl w:val="0"/>
          <w:numId w:val="60"/>
        </w:numPr>
        <w:rPr>
          <w:szCs w:val="16"/>
        </w:rPr>
      </w:pPr>
      <w:r w:rsidRPr="003856F1">
        <w:rPr>
          <w:szCs w:val="16"/>
        </w:rPr>
        <w:t>Over the course of eight months, from May through December 2021, staff members from the VDOE organized and led numerous stakeholder groups, including multiple times with the State Special Education Advisory Board (SSEAC). Staff served as indicator chairs by topical area with a focus on analyzing the data, developing improvement strategies, and evaluating progress.</w:t>
      </w:r>
    </w:p>
    <w:p w14:paraId="60517C6B" w14:textId="77777777" w:rsidR="001628C0" w:rsidRPr="000F6E74" w:rsidRDefault="001628C0" w:rsidP="0036581E">
      <w:pPr>
        <w:pStyle w:val="Heading4"/>
      </w:pPr>
      <w:r w:rsidRPr="000F6E74">
        <w:t>Making Results Available to the Public:</w:t>
      </w:r>
    </w:p>
    <w:p w14:paraId="311EF023" w14:textId="34EDFFF0" w:rsidR="001628C0" w:rsidRPr="000F6E74" w:rsidRDefault="001628C0" w:rsidP="00CC708D">
      <w:pPr>
        <w:rPr>
          <w:b/>
        </w:rPr>
      </w:pPr>
      <w:r w:rsidRPr="000F6E74">
        <w:rPr>
          <w:b/>
        </w:rPr>
        <w:t>The mechanisms and timelines for making the results of the target setting, data analysis, development of the improvement strategies, and evaluation available to the public.</w:t>
      </w:r>
    </w:p>
    <w:p w14:paraId="7432C5B0" w14:textId="0CFAD563" w:rsidR="00F72E24" w:rsidRPr="003856F1" w:rsidRDefault="001628C0" w:rsidP="00314F94">
      <w:pPr>
        <w:pStyle w:val="ListParagraph"/>
        <w:numPr>
          <w:ilvl w:val="0"/>
          <w:numId w:val="61"/>
        </w:numPr>
        <w:rPr>
          <w:szCs w:val="16"/>
        </w:rPr>
      </w:pPr>
      <w:r w:rsidRPr="003856F1">
        <w:rPr>
          <w:szCs w:val="16"/>
        </w:rPr>
        <w:t>As a culminating activity, the results of the vast stakeholder outreach were presented to the SSEAC during their December 2021 public meeting.</w:t>
      </w:r>
    </w:p>
    <w:p w14:paraId="41976EFD" w14:textId="52C6C218" w:rsidR="00AF5649" w:rsidRPr="000F6E74" w:rsidRDefault="00AF5649" w:rsidP="0036581E">
      <w:pPr>
        <w:pStyle w:val="Heading4"/>
      </w:pPr>
      <w:r w:rsidRPr="000F6E74">
        <w:t>Reporting to the Public</w:t>
      </w:r>
    </w:p>
    <w:p w14:paraId="6989C68F" w14:textId="7621797C" w:rsidR="00AF5649" w:rsidRPr="000F6E74" w:rsidRDefault="00AF5649" w:rsidP="00CC708D">
      <w:pPr>
        <w:rPr>
          <w:b/>
        </w:rPr>
      </w:pPr>
      <w:r w:rsidRPr="000F6E74">
        <w:rPr>
          <w:b/>
        </w:rPr>
        <w:t>How and where the State reported to the public on the FFY 2019 performance of each LEA located in the State on the targets in the SPP/APR as soon as practicable, but no later than 120 days following the State’s submission of its FFY 2019 APR, as required by 34 CFR §300.602(b)(1)(</w:t>
      </w:r>
      <w:proofErr w:type="spellStart"/>
      <w:r w:rsidRPr="000F6E74">
        <w:rPr>
          <w:b/>
        </w:rPr>
        <w:t>i</w:t>
      </w:r>
      <w:proofErr w:type="spellEnd"/>
      <w:r w:rsidRPr="000F6E74">
        <w:rPr>
          <w:b/>
        </w:rPr>
        <w:t>)(A); and a description of where, on its Web site, a complete copy of the State’s SPP/APR, including any revision if the State has revised the targets that it submitted with its FFY 2019 APR in 2021, is available.</w:t>
      </w:r>
    </w:p>
    <w:p w14:paraId="3196B9CD" w14:textId="28F60148" w:rsidR="00116556" w:rsidRPr="003856F1" w:rsidRDefault="002B7490" w:rsidP="00314F94">
      <w:pPr>
        <w:pStyle w:val="ListParagraph"/>
        <w:numPr>
          <w:ilvl w:val="0"/>
          <w:numId w:val="62"/>
        </w:numPr>
        <w:rPr>
          <w:rFonts w:cs="Arial"/>
          <w:color w:val="000000" w:themeColor="text1"/>
          <w:szCs w:val="16"/>
        </w:rPr>
      </w:pPr>
      <w:r w:rsidRPr="003856F1">
        <w:rPr>
          <w:rFonts w:cs="Arial"/>
          <w:szCs w:val="16"/>
        </w:rPr>
        <w:t xml:space="preserve">The Virginia Department of Education (VDOE) has developed its </w:t>
      </w:r>
      <w:hyperlink r:id="rId14" w:history="1">
        <w:r w:rsidRPr="003856F1">
          <w:rPr>
            <w:rStyle w:val="Hyperlink"/>
            <w:rFonts w:cs="Arial"/>
            <w:szCs w:val="16"/>
          </w:rPr>
          <w:t>State Performance Plan (SPP)</w:t>
        </w:r>
      </w:hyperlink>
      <w:r w:rsidRPr="003856F1">
        <w:rPr>
          <w:rFonts w:cs="Arial"/>
          <w:szCs w:val="16"/>
        </w:rPr>
        <w:t xml:space="preserve"> with input from stakeholders and with the expectation that the SPP would be disseminated to the public following the submission of the Annual Performance Report (APR) each February. The SPP is available at</w:t>
      </w:r>
      <w:r w:rsidRPr="003856F1">
        <w:rPr>
          <w:rFonts w:cs="Arial"/>
          <w:color w:val="000000" w:themeColor="text1"/>
          <w:szCs w:val="16"/>
        </w:rPr>
        <w:t xml:space="preserve"> </w:t>
      </w:r>
      <w:r w:rsidR="00116556" w:rsidRPr="003856F1">
        <w:rPr>
          <w:rFonts w:cs="Arial"/>
          <w:szCs w:val="16"/>
        </w:rPr>
        <w:t>https://sites.ed.gov/idea/spp-apr-letters?selected-category=&amp;selected-year=&amp;state=Virginia</w:t>
      </w:r>
      <w:r w:rsidRPr="003856F1">
        <w:rPr>
          <w:rFonts w:cs="Arial"/>
          <w:color w:val="000000" w:themeColor="text1"/>
          <w:szCs w:val="16"/>
        </w:rPr>
        <w:t>.</w:t>
      </w:r>
    </w:p>
    <w:p w14:paraId="5231B97D" w14:textId="6859CC0D" w:rsidR="00466646" w:rsidRPr="000F6E74" w:rsidRDefault="002B7490" w:rsidP="004C1EC0">
      <w:pPr>
        <w:ind w:left="720"/>
        <w:rPr>
          <w:rFonts w:cs="Arial"/>
          <w:szCs w:val="16"/>
        </w:rPr>
      </w:pPr>
      <w:r w:rsidRPr="000F6E74">
        <w:rPr>
          <w:rFonts w:cs="Arial"/>
          <w:szCs w:val="16"/>
        </w:rPr>
        <w:t xml:space="preserve">The VDOE reports to the public on the progress or slippage in meeting the measurable and rigorous targets found in the SPP each June of the same year and refers to this as the </w:t>
      </w:r>
      <w:hyperlink r:id="rId15" w:history="1">
        <w:r w:rsidRPr="0052002E">
          <w:rPr>
            <w:rStyle w:val="Hyperlink"/>
            <w:rFonts w:cs="Arial"/>
            <w:szCs w:val="16"/>
          </w:rPr>
          <w:t xml:space="preserve">Special </w:t>
        </w:r>
        <w:r w:rsidRPr="0052002E">
          <w:rPr>
            <w:rStyle w:val="Hyperlink"/>
            <w:rFonts w:cs="Arial"/>
            <w:szCs w:val="16"/>
          </w:rPr>
          <w:lastRenderedPageBreak/>
          <w:t>Education Performance Report to the Public</w:t>
        </w:r>
      </w:hyperlink>
      <w:r w:rsidRPr="000F6E74">
        <w:rPr>
          <w:rFonts w:cs="Arial"/>
          <w:szCs w:val="16"/>
        </w:rPr>
        <w:t>. Additionally, the VDOE reports to the public on the performance of each local educational agency located in the state on the targets in the SPP. The Special Education Performance Report to the Public is disseminated to all school districts in the State, to members of the State Special Education Advisory Committee (SSEAC</w:t>
      </w:r>
      <w:proofErr w:type="gramStart"/>
      <w:r w:rsidRPr="000F6E74">
        <w:rPr>
          <w:rFonts w:cs="Arial"/>
          <w:szCs w:val="16"/>
        </w:rPr>
        <w:t>), and</w:t>
      </w:r>
      <w:proofErr w:type="gramEnd"/>
      <w:r w:rsidRPr="000F6E74">
        <w:rPr>
          <w:rFonts w:cs="Arial"/>
          <w:szCs w:val="16"/>
        </w:rPr>
        <w:t xml:space="preserve"> is also available online at</w:t>
      </w:r>
      <w:r w:rsidR="009615F9">
        <w:rPr>
          <w:rFonts w:cs="Arial"/>
          <w:szCs w:val="16"/>
        </w:rPr>
        <w:t xml:space="preserve"> </w:t>
      </w:r>
      <w:r w:rsidR="009615F9" w:rsidRPr="009615F9">
        <w:rPr>
          <w:rFonts w:cs="Arial"/>
          <w:szCs w:val="16"/>
        </w:rPr>
        <w:t>https://www.doe.virginia.gov/?navid=659</w:t>
      </w:r>
      <w:r w:rsidRPr="000F6E74">
        <w:rPr>
          <w:rFonts w:cs="Arial"/>
          <w:szCs w:val="16"/>
        </w:rPr>
        <w:t>.</w:t>
      </w:r>
    </w:p>
    <w:p w14:paraId="149B9F3D" w14:textId="2CFE1DFC" w:rsidR="00AA4DAF" w:rsidRPr="000F6E74" w:rsidRDefault="00684B51" w:rsidP="00CC708D">
      <w:pPr>
        <w:pStyle w:val="Heading3"/>
        <w:rPr>
          <w:color w:val="auto"/>
        </w:rPr>
      </w:pPr>
      <w:r w:rsidRPr="000F6E74">
        <w:rPr>
          <w:color w:val="auto"/>
        </w:rPr>
        <w:t xml:space="preserve">Intro - </w:t>
      </w:r>
      <w:r w:rsidR="006B0FD9" w:rsidRPr="000F6E74">
        <w:rPr>
          <w:color w:val="auto"/>
        </w:rPr>
        <w:t xml:space="preserve">Prior FFY Required </w:t>
      </w:r>
      <w:r w:rsidR="00AA4DAF" w:rsidRPr="000F6E74">
        <w:rPr>
          <w:color w:val="auto"/>
        </w:rPr>
        <w:t>Actions</w:t>
      </w:r>
    </w:p>
    <w:p w14:paraId="6ECA4985" w14:textId="207769EE" w:rsidR="008C56EE" w:rsidRPr="003856F1" w:rsidRDefault="002B7490" w:rsidP="00314F94">
      <w:pPr>
        <w:pStyle w:val="ListParagraph"/>
        <w:numPr>
          <w:ilvl w:val="0"/>
          <w:numId w:val="63"/>
        </w:numPr>
        <w:rPr>
          <w:rFonts w:cs="Arial"/>
          <w:szCs w:val="16"/>
        </w:rPr>
      </w:pPr>
      <w:r w:rsidRPr="003856F1">
        <w:rPr>
          <w:rFonts w:cs="Arial"/>
          <w:szCs w:val="16"/>
        </w:rPr>
        <w:t>None</w:t>
      </w:r>
    </w:p>
    <w:p w14:paraId="4A252D01" w14:textId="7879CF0B" w:rsidR="00CE6EB0" w:rsidRPr="000F6E74" w:rsidRDefault="00684B51" w:rsidP="00CC708D">
      <w:pPr>
        <w:pStyle w:val="Heading3"/>
        <w:rPr>
          <w:color w:val="auto"/>
        </w:rPr>
      </w:pPr>
      <w:r w:rsidRPr="000F6E74">
        <w:rPr>
          <w:color w:val="auto"/>
        </w:rPr>
        <w:t xml:space="preserve">Intro - </w:t>
      </w:r>
      <w:r w:rsidR="00CE6EB0" w:rsidRPr="000F6E74">
        <w:rPr>
          <w:color w:val="auto"/>
        </w:rPr>
        <w:t>OSEP Response</w:t>
      </w:r>
    </w:p>
    <w:p w14:paraId="75883DD0" w14:textId="4E365ADE" w:rsidR="000C24C2" w:rsidRPr="003856F1" w:rsidRDefault="002B7490" w:rsidP="00314F94">
      <w:pPr>
        <w:pStyle w:val="ListParagraph"/>
        <w:numPr>
          <w:ilvl w:val="0"/>
          <w:numId w:val="64"/>
        </w:numPr>
        <w:rPr>
          <w:rFonts w:cs="Arial"/>
          <w:szCs w:val="16"/>
        </w:rPr>
      </w:pPr>
      <w:r w:rsidRPr="003856F1">
        <w:rPr>
          <w:rFonts w:cs="Arial"/>
          <w:szCs w:val="16"/>
        </w:rPr>
        <w:t xml:space="preserve">OSEP issued a monitoring report to the State on </w:t>
      </w:r>
      <w:proofErr w:type="gramStart"/>
      <w:r w:rsidRPr="003856F1">
        <w:rPr>
          <w:rFonts w:cs="Arial"/>
          <w:szCs w:val="16"/>
        </w:rPr>
        <w:t>June 23, 2020</w:t>
      </w:r>
      <w:r w:rsidR="00817235" w:rsidRPr="003856F1">
        <w:rPr>
          <w:rFonts w:cs="Arial"/>
          <w:szCs w:val="16"/>
        </w:rPr>
        <w:t>,</w:t>
      </w:r>
      <w:r w:rsidRPr="003856F1">
        <w:rPr>
          <w:rFonts w:cs="Arial"/>
          <w:szCs w:val="16"/>
        </w:rPr>
        <w:t xml:space="preserve"> and</w:t>
      </w:r>
      <w:proofErr w:type="gramEnd"/>
      <w:r w:rsidRPr="003856F1">
        <w:rPr>
          <w:rFonts w:cs="Arial"/>
          <w:szCs w:val="16"/>
        </w:rPr>
        <w:t xml:space="preserve"> is currently reviewing the State's response submitted on June 10, 2022</w:t>
      </w:r>
      <w:r w:rsidR="00817235" w:rsidRPr="003856F1">
        <w:rPr>
          <w:rFonts w:cs="Arial"/>
          <w:szCs w:val="16"/>
        </w:rPr>
        <w:t>,</w:t>
      </w:r>
      <w:r w:rsidRPr="003856F1">
        <w:rPr>
          <w:rFonts w:cs="Arial"/>
          <w:szCs w:val="16"/>
        </w:rPr>
        <w:t xml:space="preserve"> and will respond under separate cover.</w:t>
      </w:r>
    </w:p>
    <w:p w14:paraId="4593FA49" w14:textId="410D479A" w:rsidR="000C24C2" w:rsidRDefault="00684B51" w:rsidP="00116556">
      <w:pPr>
        <w:pStyle w:val="Heading3"/>
        <w:rPr>
          <w:color w:val="auto"/>
        </w:rPr>
      </w:pPr>
      <w:r w:rsidRPr="000F6E74">
        <w:rPr>
          <w:color w:val="auto"/>
        </w:rPr>
        <w:t>Intro - Required Actions</w:t>
      </w:r>
    </w:p>
    <w:p w14:paraId="42393C4C" w14:textId="20A675B3" w:rsidR="00D37BF0" w:rsidRPr="003856F1" w:rsidRDefault="00FE7050" w:rsidP="00314F94">
      <w:pPr>
        <w:pStyle w:val="ListParagraph"/>
        <w:numPr>
          <w:ilvl w:val="0"/>
          <w:numId w:val="65"/>
        </w:numPr>
        <w:rPr>
          <w:rFonts w:eastAsiaTheme="majorEastAsia" w:cs="Arial"/>
          <w:b/>
          <w:bCs/>
          <w:szCs w:val="16"/>
        </w:rPr>
      </w:pPr>
      <w:r>
        <w:t>Not applicable</w:t>
      </w:r>
      <w:r w:rsidR="00D37BF0" w:rsidRPr="003856F1">
        <w:rPr>
          <w:rFonts w:cs="Arial"/>
          <w:szCs w:val="16"/>
        </w:rPr>
        <w:br w:type="page"/>
      </w:r>
    </w:p>
    <w:p w14:paraId="38F1108C" w14:textId="1387D8AF" w:rsidR="00EB0146" w:rsidRPr="000F6E74" w:rsidRDefault="00EB0146" w:rsidP="008143AB">
      <w:pPr>
        <w:pStyle w:val="Heading2"/>
      </w:pPr>
      <w:r w:rsidRPr="000F6E74">
        <w:lastRenderedPageBreak/>
        <w:t>Indicator 1: Graduation</w:t>
      </w:r>
      <w:bookmarkEnd w:id="0"/>
      <w:bookmarkEnd w:id="1"/>
    </w:p>
    <w:p w14:paraId="5D906D37" w14:textId="00C8F8B1" w:rsidR="009A62A4" w:rsidRPr="000F6E74" w:rsidRDefault="009A62A4" w:rsidP="0036581E">
      <w:pPr>
        <w:pStyle w:val="Heading3"/>
      </w:pPr>
      <w:r w:rsidRPr="000F6E74">
        <w:t>Instructions and Measurement</w:t>
      </w:r>
    </w:p>
    <w:p w14:paraId="13149CC2" w14:textId="298E4D0E" w:rsidR="004B782D" w:rsidRPr="000F6E74" w:rsidRDefault="004B782D" w:rsidP="00CC708D">
      <w:bookmarkStart w:id="2" w:name="_Toc392159259"/>
      <w:r w:rsidRPr="000F6E74">
        <w:rPr>
          <w:b/>
        </w:rPr>
        <w:t>Monitoring Priority:</w:t>
      </w:r>
      <w:r w:rsidRPr="000F6E74">
        <w:t xml:space="preserve"> FAPE in the LRE</w:t>
      </w:r>
    </w:p>
    <w:p w14:paraId="18CE8669" w14:textId="0A91E220" w:rsidR="00531ED7" w:rsidRPr="000F6E74" w:rsidRDefault="004B782D" w:rsidP="00CC708D">
      <w:r w:rsidRPr="000F6E74">
        <w:rPr>
          <w:b/>
        </w:rPr>
        <w:t>Results indicator:</w:t>
      </w:r>
      <w:r w:rsidRPr="000F6E74">
        <w:t xml:space="preserve"> Percent of youth with</w:t>
      </w:r>
      <w:r w:rsidR="005F5514" w:rsidRPr="000F6E74">
        <w:t xml:space="preserve"> Individualized Education </w:t>
      </w:r>
      <w:r w:rsidR="00DA7FAE" w:rsidRPr="000F6E74">
        <w:t>Programs</w:t>
      </w:r>
      <w:r w:rsidRPr="000F6E74">
        <w:t xml:space="preserve"> </w:t>
      </w:r>
      <w:r w:rsidR="005F5514" w:rsidRPr="000F6E74">
        <w:t>(</w:t>
      </w:r>
      <w:r w:rsidRPr="000F6E74">
        <w:t>IEPs</w:t>
      </w:r>
      <w:r w:rsidR="005F5514" w:rsidRPr="000F6E74">
        <w:t>)</w:t>
      </w:r>
      <w:r w:rsidRPr="000F6E74">
        <w:t xml:space="preserve"> </w:t>
      </w:r>
      <w:r w:rsidR="003068D4" w:rsidRPr="000F6E74">
        <w:t>exiting</w:t>
      </w:r>
      <w:r w:rsidR="00EF4CAF" w:rsidRPr="000F6E74">
        <w:t xml:space="preserve"> </w:t>
      </w:r>
      <w:r w:rsidR="00EF4CAF" w:rsidRPr="000F6E74">
        <w:rPr>
          <w:rFonts w:cs="Arial"/>
          <w:szCs w:val="16"/>
        </w:rPr>
        <w:t>special education due to graduating</w:t>
      </w:r>
      <w:r w:rsidR="003068D4" w:rsidRPr="000F6E74">
        <w:t xml:space="preserve"> </w:t>
      </w:r>
      <w:r w:rsidRPr="000F6E74">
        <w:t>with a regular</w:t>
      </w:r>
      <w:r w:rsidR="005F5514" w:rsidRPr="000F6E74">
        <w:t xml:space="preserve"> high school diploma</w:t>
      </w:r>
      <w:r w:rsidRPr="000F6E74">
        <w:t>.</w:t>
      </w:r>
      <w:r w:rsidR="00552927" w:rsidRPr="000F6E74">
        <w:t xml:space="preserve"> </w:t>
      </w:r>
      <w:r w:rsidRPr="000F6E74">
        <w:t>(20 U.S.C. 1416 (a)(3)(A))</w:t>
      </w:r>
    </w:p>
    <w:p w14:paraId="6446BBA4" w14:textId="09E75AD8" w:rsidR="005F5514" w:rsidRPr="000F6E74" w:rsidRDefault="00460298" w:rsidP="0036581E">
      <w:pPr>
        <w:pStyle w:val="Heading4"/>
      </w:pPr>
      <w:r w:rsidRPr="000F6E74">
        <w:t>Data Source</w:t>
      </w:r>
    </w:p>
    <w:p w14:paraId="08997539" w14:textId="281A6713" w:rsidR="005F5514" w:rsidRPr="000F6E74" w:rsidRDefault="00460298" w:rsidP="00CC708D">
      <w:pPr>
        <w:rPr>
          <w:rFonts w:cs="Arial"/>
          <w:szCs w:val="16"/>
        </w:rPr>
      </w:pPr>
      <w:r w:rsidRPr="000F6E74">
        <w:rPr>
          <w:rFonts w:cs="Arial"/>
          <w:szCs w:val="16"/>
          <w:shd w:val="clear" w:color="auto" w:fill="FFFFFF"/>
        </w:rPr>
        <w:t xml:space="preserve">Same data as used for reporting to the Department </w:t>
      </w:r>
      <w:r w:rsidR="001A0C28" w:rsidRPr="000F6E74">
        <w:rPr>
          <w:rFonts w:cs="Arial"/>
          <w:szCs w:val="16"/>
          <w:shd w:val="clear" w:color="auto" w:fill="FFFFFF"/>
        </w:rPr>
        <w:t xml:space="preserve">under section 618 of the Individuals with Disabilities Education Act (IDEA), using the definitions in </w:t>
      </w:r>
      <w:proofErr w:type="spellStart"/>
      <w:r w:rsidR="001A0C28" w:rsidRPr="000F6E74">
        <w:rPr>
          <w:rFonts w:cs="Arial"/>
          <w:szCs w:val="16"/>
          <w:shd w:val="clear" w:color="auto" w:fill="FFFFFF"/>
        </w:rPr>
        <w:t>EDFacts</w:t>
      </w:r>
      <w:proofErr w:type="spellEnd"/>
      <w:r w:rsidR="001A0C28" w:rsidRPr="000F6E74">
        <w:rPr>
          <w:rFonts w:cs="Arial"/>
          <w:szCs w:val="16"/>
          <w:shd w:val="clear" w:color="auto" w:fill="FFFFFF"/>
        </w:rPr>
        <w:t xml:space="preserve"> file specification FS009</w:t>
      </w:r>
      <w:r w:rsidRPr="000F6E74">
        <w:rPr>
          <w:rFonts w:cs="Arial"/>
          <w:szCs w:val="16"/>
          <w:shd w:val="clear" w:color="auto" w:fill="FFFFFF"/>
        </w:rPr>
        <w:t>.</w:t>
      </w:r>
    </w:p>
    <w:p w14:paraId="453C54CF" w14:textId="0B94BC61" w:rsidR="005F5514" w:rsidRPr="000F6E74" w:rsidRDefault="005F5514" w:rsidP="0036581E">
      <w:pPr>
        <w:pStyle w:val="Heading4"/>
      </w:pPr>
      <w:r w:rsidRPr="000F6E74">
        <w:t>Measurement</w:t>
      </w:r>
    </w:p>
    <w:p w14:paraId="368E5D32" w14:textId="2D879251" w:rsidR="005F5514" w:rsidRPr="000F6E74" w:rsidRDefault="005F5514" w:rsidP="00CC708D">
      <w:pPr>
        <w:rPr>
          <w:rFonts w:cs="Arial"/>
          <w:szCs w:val="16"/>
        </w:rPr>
      </w:pPr>
      <w:r w:rsidRPr="000F6E74">
        <w:rPr>
          <w:rFonts w:cs="Arial"/>
          <w:szCs w:val="16"/>
          <w:shd w:val="clear" w:color="auto" w:fill="FFFFFF"/>
        </w:rPr>
        <w:t xml:space="preserve">States </w:t>
      </w:r>
      <w:r w:rsidR="0084727C" w:rsidRPr="000F6E74">
        <w:rPr>
          <w:rFonts w:cs="Arial"/>
          <w:szCs w:val="16"/>
          <w:shd w:val="clear" w:color="auto" w:fill="FFFFFF"/>
        </w:rPr>
        <w:t xml:space="preserve">must report a percentage using the number of </w:t>
      </w:r>
      <w:proofErr w:type="gramStart"/>
      <w:r w:rsidR="0084727C" w:rsidRPr="000F6E74">
        <w:rPr>
          <w:rFonts w:cs="Arial"/>
          <w:szCs w:val="16"/>
          <w:shd w:val="clear" w:color="auto" w:fill="FFFFFF"/>
        </w:rPr>
        <w:t>youth</w:t>
      </w:r>
      <w:proofErr w:type="gramEnd"/>
      <w:r w:rsidR="0084727C" w:rsidRPr="000F6E74">
        <w:rPr>
          <w:rFonts w:cs="Arial"/>
          <w:szCs w:val="16"/>
          <w:shd w:val="clear" w:color="auto" w:fill="FFFFFF"/>
        </w:rPr>
        <w:t xml:space="preserve"> with IEPs (ages 14-21) who exited special education due to graduating with a regular high school diploma in the numerator and the number of all youth with IEPs who </w:t>
      </w:r>
      <w:r w:rsidR="00CB505C" w:rsidRPr="000F6E74">
        <w:rPr>
          <w:rFonts w:cs="Arial"/>
          <w:szCs w:val="16"/>
          <w:shd w:val="clear" w:color="auto" w:fill="FFFFFF"/>
        </w:rPr>
        <w:t>exited</w:t>
      </w:r>
      <w:r w:rsidR="0084727C" w:rsidRPr="000F6E74">
        <w:rPr>
          <w:rFonts w:cs="Arial"/>
          <w:szCs w:val="16"/>
          <w:shd w:val="clear" w:color="auto" w:fill="FFFFFF"/>
        </w:rPr>
        <w:t xml:space="preserve"> high school (ages 14-21) in the denominator</w:t>
      </w:r>
      <w:r w:rsidRPr="000F6E74">
        <w:rPr>
          <w:rFonts w:cs="Arial"/>
          <w:szCs w:val="16"/>
          <w:shd w:val="clear" w:color="auto" w:fill="FFFFFF"/>
        </w:rPr>
        <w:t>.</w:t>
      </w:r>
    </w:p>
    <w:p w14:paraId="3C528AFB" w14:textId="76079BAD" w:rsidR="005F5514" w:rsidRPr="000F6E74" w:rsidRDefault="005F5514" w:rsidP="0036581E">
      <w:pPr>
        <w:pStyle w:val="Heading4"/>
      </w:pPr>
      <w:r w:rsidRPr="000F6E74">
        <w:t>Instructions</w:t>
      </w:r>
    </w:p>
    <w:p w14:paraId="675BD796" w14:textId="6D333C0C" w:rsidR="005F5514" w:rsidRPr="000F6E74" w:rsidRDefault="005F5514" w:rsidP="00CC708D">
      <w:pPr>
        <w:rPr>
          <w:i/>
        </w:rPr>
      </w:pPr>
      <w:r w:rsidRPr="000F6E74">
        <w:rPr>
          <w:i/>
        </w:rPr>
        <w:t>Sampling is not allowed.</w:t>
      </w:r>
    </w:p>
    <w:p w14:paraId="496A7DDE" w14:textId="6B2E61CE" w:rsidR="005F5514" w:rsidRPr="000F6E74" w:rsidRDefault="00815B9B" w:rsidP="00CC708D">
      <w:pPr>
        <w:rPr>
          <w:rFonts w:cs="Arial"/>
          <w:szCs w:val="16"/>
        </w:rPr>
      </w:pPr>
      <w:r w:rsidRPr="000F6E74">
        <w:t xml:space="preserve">Data for this indicator are “lag” data. </w:t>
      </w:r>
      <w:r w:rsidR="005F5514" w:rsidRPr="000F6E74">
        <w:rPr>
          <w:rFonts w:cs="Arial"/>
          <w:szCs w:val="16"/>
        </w:rPr>
        <w:t>Describe the results of the State’s examination of the data for the year before the reporting year (e.g., for the FFY 2020 SPP/APR, use data from 201</w:t>
      </w:r>
      <w:r w:rsidRPr="000F6E74">
        <w:rPr>
          <w:rFonts w:cs="Arial"/>
          <w:szCs w:val="16"/>
        </w:rPr>
        <w:t>9</w:t>
      </w:r>
      <w:r w:rsidR="005F5514" w:rsidRPr="000F6E74">
        <w:rPr>
          <w:rFonts w:cs="Arial"/>
          <w:szCs w:val="16"/>
        </w:rPr>
        <w:t>-</w:t>
      </w:r>
      <w:r w:rsidR="003522C0" w:rsidRPr="000F6E74">
        <w:rPr>
          <w:rFonts w:cs="Arial"/>
          <w:szCs w:val="16"/>
        </w:rPr>
        <w:t>2020</w:t>
      </w:r>
      <w:r w:rsidR="005F5514" w:rsidRPr="000F6E74">
        <w:rPr>
          <w:rFonts w:cs="Arial"/>
          <w:szCs w:val="16"/>
        </w:rPr>
        <w:t>), and compare the results to the target. Provide the actual numbers used in the calculation.</w:t>
      </w:r>
    </w:p>
    <w:p w14:paraId="7E94BD74" w14:textId="6F95F949" w:rsidR="003069AE" w:rsidRPr="000F6E74" w:rsidRDefault="003069AE" w:rsidP="00CC708D">
      <w:r w:rsidRPr="000F6E74">
        <w:t>Include in the denominator the following exiting categories: (a) graduated with a regular high school diploma; (b) graduated with a state-defined alternate diploma; (c) received a certificate; (d) reached maximum age; or (e) dropped out.</w:t>
      </w:r>
    </w:p>
    <w:p w14:paraId="6D62B3B3" w14:textId="4F597FD3" w:rsidR="003069AE" w:rsidRPr="000F6E74" w:rsidRDefault="003069AE" w:rsidP="00CC708D">
      <w:r w:rsidRPr="000F6E74">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0F6E74" w:rsidRDefault="005F5514" w:rsidP="00CC708D">
      <w:pPr>
        <w:rPr>
          <w:rFonts w:cs="Arial"/>
          <w:szCs w:val="16"/>
        </w:rPr>
      </w:pPr>
      <w:r w:rsidRPr="000F6E74">
        <w:rPr>
          <w:rFonts w:cs="Arial"/>
          <w:szCs w:val="16"/>
        </w:rPr>
        <w:t xml:space="preserve">Provide a narrative that describes the conditions youth must meet </w:t>
      </w:r>
      <w:proofErr w:type="gramStart"/>
      <w:r w:rsidRPr="000F6E74">
        <w:rPr>
          <w:rFonts w:cs="Arial"/>
          <w:szCs w:val="16"/>
        </w:rPr>
        <w:t>in order to</w:t>
      </w:r>
      <w:proofErr w:type="gramEnd"/>
      <w:r w:rsidRPr="000F6E74">
        <w:rPr>
          <w:rFonts w:cs="Arial"/>
          <w:szCs w:val="16"/>
        </w:rPr>
        <w:t xml:space="preserve"> graduate with a regular high school diploma. If the conditions that youth with IEPs must meet </w:t>
      </w:r>
      <w:proofErr w:type="gramStart"/>
      <w:r w:rsidRPr="000F6E74">
        <w:rPr>
          <w:rFonts w:cs="Arial"/>
          <w:szCs w:val="16"/>
        </w:rPr>
        <w:t>in order to</w:t>
      </w:r>
      <w:proofErr w:type="gramEnd"/>
      <w:r w:rsidRPr="000F6E74">
        <w:rPr>
          <w:rFonts w:cs="Arial"/>
          <w:szCs w:val="16"/>
        </w:rPr>
        <w:t xml:space="preserve"> graduate with a regular high school diploma are different, please explain.</w:t>
      </w:r>
    </w:p>
    <w:p w14:paraId="17C36F54" w14:textId="0B0AD4FB" w:rsidR="00B34EE6" w:rsidRPr="000F6E74" w:rsidRDefault="00B0742B" w:rsidP="00CC708D">
      <w:pPr>
        <w:pStyle w:val="Heading3"/>
        <w:rPr>
          <w:color w:val="auto"/>
        </w:rPr>
      </w:pPr>
      <w:r w:rsidRPr="000F6E74">
        <w:rPr>
          <w:color w:val="auto"/>
        </w:rPr>
        <w:t>1</w:t>
      </w:r>
      <w:r w:rsidR="00684B51" w:rsidRPr="000F6E74">
        <w:rPr>
          <w:color w:val="auto"/>
        </w:rPr>
        <w:t xml:space="preserve"> </w:t>
      </w:r>
      <w:r w:rsidRPr="000F6E74">
        <w:rPr>
          <w:color w:val="auto"/>
        </w:rPr>
        <w:t xml:space="preserve">- </w:t>
      </w:r>
      <w:r w:rsidR="007742F1" w:rsidRPr="000F6E74">
        <w:rPr>
          <w:color w:val="auto"/>
        </w:rPr>
        <w:t xml:space="preserve">Indicator </w:t>
      </w:r>
      <w:r w:rsidR="00B34EE6" w:rsidRPr="000F6E74">
        <w:rPr>
          <w:color w:val="auto"/>
        </w:rPr>
        <w:t xml:space="preserve">Data </w:t>
      </w:r>
    </w:p>
    <w:bookmarkEnd w:id="2"/>
    <w:p w14:paraId="184125A1" w14:textId="308B4C00" w:rsidR="00B31CF2" w:rsidRPr="00B31CF2" w:rsidRDefault="00B31CF2" w:rsidP="00815ACE">
      <w:pPr>
        <w:pStyle w:val="Caption"/>
      </w:pPr>
      <w:r w:rsidRPr="00B31CF2">
        <w:rPr>
          <w:noProof/>
        </w:rPr>
        <w:t>Historical Data (1)</w:t>
      </w:r>
    </w:p>
    <w:tbl>
      <w:tblPr>
        <w:tblStyle w:val="TableGrid"/>
        <w:tblW w:w="0" w:type="auto"/>
        <w:tblLayout w:type="fixed"/>
        <w:tblLook w:val="04A0" w:firstRow="1" w:lastRow="0" w:firstColumn="1" w:lastColumn="0" w:noHBand="0" w:noVBand="1"/>
        <w:tblDescription w:val="Table provides baseline year and baseline data for this indicator. "/>
      </w:tblPr>
      <w:tblGrid>
        <w:gridCol w:w="2607"/>
        <w:gridCol w:w="2608"/>
      </w:tblGrid>
      <w:tr w:rsidR="000F6E74" w:rsidRPr="000F6E74" w14:paraId="58873103" w14:textId="77777777" w:rsidTr="003E4F35">
        <w:trPr>
          <w:trHeight w:val="440"/>
          <w:tblHeader/>
        </w:trPr>
        <w:tc>
          <w:tcPr>
            <w:tcW w:w="2607" w:type="dxa"/>
            <w:shd w:val="clear" w:color="auto" w:fill="D9D9D9" w:themeFill="background1" w:themeFillShade="D9"/>
            <w:vAlign w:val="center"/>
          </w:tcPr>
          <w:p w14:paraId="3521E7AE" w14:textId="2CED297B" w:rsidR="008F3F33" w:rsidRPr="000F6E74" w:rsidRDefault="008F3F33" w:rsidP="003E4F35">
            <w:pPr>
              <w:spacing w:after="0"/>
              <w:jc w:val="center"/>
              <w:rPr>
                <w:b/>
              </w:rPr>
            </w:pPr>
            <w:r w:rsidRPr="000F6E74">
              <w:rPr>
                <w:rFonts w:cs="Arial"/>
                <w:b/>
                <w:szCs w:val="16"/>
              </w:rPr>
              <w:t>Baseline Year</w:t>
            </w:r>
          </w:p>
        </w:tc>
        <w:tc>
          <w:tcPr>
            <w:tcW w:w="2608" w:type="dxa"/>
            <w:shd w:val="clear" w:color="auto" w:fill="D9D9D9" w:themeFill="background1" w:themeFillShade="D9"/>
            <w:vAlign w:val="center"/>
          </w:tcPr>
          <w:p w14:paraId="70C1DEA4" w14:textId="362D12BF" w:rsidR="008F3F33" w:rsidRPr="000F6E74" w:rsidRDefault="008F3F33" w:rsidP="003E4F35">
            <w:pPr>
              <w:spacing w:after="0"/>
              <w:jc w:val="center"/>
              <w:rPr>
                <w:b/>
              </w:rPr>
            </w:pPr>
            <w:r w:rsidRPr="000F6E74">
              <w:rPr>
                <w:b/>
              </w:rPr>
              <w:t>Baseline Data</w:t>
            </w:r>
          </w:p>
        </w:tc>
      </w:tr>
      <w:tr w:rsidR="000F6E74" w:rsidRPr="000F6E74" w14:paraId="1079C891" w14:textId="77777777" w:rsidTr="003E4F35">
        <w:trPr>
          <w:trHeight w:val="467"/>
        </w:trPr>
        <w:tc>
          <w:tcPr>
            <w:tcW w:w="2607" w:type="dxa"/>
            <w:vAlign w:val="center"/>
          </w:tcPr>
          <w:p w14:paraId="55702E9C" w14:textId="3300C91F" w:rsidR="008F3F33" w:rsidRPr="000F6E74" w:rsidRDefault="008F3F33" w:rsidP="003E4F35">
            <w:pPr>
              <w:spacing w:after="0"/>
              <w:jc w:val="center"/>
              <w:rPr>
                <w:b/>
              </w:rPr>
            </w:pPr>
            <w:r w:rsidRPr="000F6E74">
              <w:rPr>
                <w:rFonts w:cs="Arial"/>
                <w:szCs w:val="16"/>
              </w:rPr>
              <w:t>2020</w:t>
            </w:r>
          </w:p>
        </w:tc>
        <w:tc>
          <w:tcPr>
            <w:tcW w:w="2608" w:type="dxa"/>
            <w:vAlign w:val="center"/>
          </w:tcPr>
          <w:p w14:paraId="4BB8ED70" w14:textId="40307D5C" w:rsidR="008F3F33" w:rsidRPr="000F6E74" w:rsidRDefault="008F3F33" w:rsidP="003E4F35">
            <w:pPr>
              <w:spacing w:after="0"/>
              <w:jc w:val="center"/>
              <w:rPr>
                <w:b/>
              </w:rPr>
            </w:pPr>
            <w:r w:rsidRPr="000F6E74">
              <w:rPr>
                <w:rFonts w:cs="Arial"/>
                <w:szCs w:val="16"/>
              </w:rPr>
              <w:t>70.74%</w:t>
            </w:r>
          </w:p>
        </w:tc>
      </w:tr>
    </w:tbl>
    <w:p w14:paraId="48247527" w14:textId="77777777" w:rsidR="00FE7050" w:rsidRDefault="00FE7050">
      <w:pPr>
        <w:spacing w:after="200"/>
        <w:rPr>
          <w:b/>
          <w:bCs/>
        </w:rPr>
      </w:pPr>
      <w:r>
        <w:rPr>
          <w:b/>
          <w:bCs/>
        </w:rPr>
        <w:br w:type="page"/>
      </w:r>
    </w:p>
    <w:p w14:paraId="1B3FC550" w14:textId="6AEF583D" w:rsidR="00B31CF2" w:rsidRPr="00B31CF2" w:rsidRDefault="00B31CF2" w:rsidP="00815ACE">
      <w:pPr>
        <w:pStyle w:val="Caption"/>
      </w:pPr>
      <w:r w:rsidRPr="00B31CF2">
        <w:lastRenderedPageBreak/>
        <w:t>Historical Data (FFY)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0F6E74" w:rsidRPr="000F6E74" w14:paraId="6EF7C6D0" w14:textId="1CEAEBAE" w:rsidTr="003E4F35">
        <w:trPr>
          <w:trHeight w:val="350"/>
          <w:tblHeader/>
        </w:trPr>
        <w:tc>
          <w:tcPr>
            <w:tcW w:w="833" w:type="pct"/>
            <w:tcBorders>
              <w:bottom w:val="single" w:sz="4" w:space="0" w:color="auto"/>
            </w:tcBorders>
            <w:shd w:val="clear" w:color="auto" w:fill="D9D9D9" w:themeFill="background1" w:themeFillShade="D9"/>
            <w:vAlign w:val="center"/>
          </w:tcPr>
          <w:p w14:paraId="4483C39A" w14:textId="77777777" w:rsidR="007F24E2" w:rsidRPr="000F6E74" w:rsidRDefault="007F24E2" w:rsidP="006D0DC2">
            <w:pPr>
              <w:spacing w:after="0" w:line="240" w:lineRule="auto"/>
              <w:jc w:val="center"/>
              <w:rPr>
                <w:rFonts w:cs="Arial"/>
                <w:b/>
                <w:szCs w:val="16"/>
              </w:rPr>
            </w:pPr>
            <w:r w:rsidRPr="000F6E74">
              <w:rPr>
                <w:rFonts w:cs="Arial"/>
                <w:b/>
                <w:szCs w:val="16"/>
              </w:rPr>
              <w:t>FFY</w:t>
            </w:r>
          </w:p>
        </w:tc>
        <w:tc>
          <w:tcPr>
            <w:tcW w:w="833" w:type="pct"/>
            <w:shd w:val="clear" w:color="auto" w:fill="D9D9D9" w:themeFill="background1" w:themeFillShade="D9"/>
            <w:vAlign w:val="center"/>
          </w:tcPr>
          <w:p w14:paraId="0DF3D5A6" w14:textId="2DA8A75D" w:rsidR="007F24E2" w:rsidRPr="000F6E74" w:rsidRDefault="002B7490" w:rsidP="003E4F35">
            <w:pPr>
              <w:spacing w:after="0" w:line="240" w:lineRule="auto"/>
              <w:jc w:val="center"/>
              <w:rPr>
                <w:rFonts w:cs="Arial"/>
                <w:b/>
                <w:szCs w:val="16"/>
              </w:rPr>
            </w:pPr>
            <w:r w:rsidRPr="000F6E74">
              <w:rPr>
                <w:rFonts w:cs="Arial"/>
                <w:b/>
                <w:szCs w:val="16"/>
              </w:rPr>
              <w:t>2015</w:t>
            </w:r>
          </w:p>
        </w:tc>
        <w:tc>
          <w:tcPr>
            <w:tcW w:w="833" w:type="pct"/>
            <w:shd w:val="clear" w:color="auto" w:fill="D9D9D9" w:themeFill="background1" w:themeFillShade="D9"/>
            <w:vAlign w:val="center"/>
          </w:tcPr>
          <w:p w14:paraId="5E57E797" w14:textId="6309195B" w:rsidR="007F24E2" w:rsidRPr="000F6E74" w:rsidRDefault="002B7490" w:rsidP="003E4F35">
            <w:pPr>
              <w:spacing w:after="0" w:line="240" w:lineRule="auto"/>
              <w:jc w:val="center"/>
              <w:rPr>
                <w:rFonts w:cs="Arial"/>
                <w:b/>
                <w:szCs w:val="16"/>
              </w:rPr>
            </w:pPr>
            <w:r w:rsidRPr="000F6E74">
              <w:rPr>
                <w:rFonts w:cs="Arial"/>
                <w:b/>
                <w:szCs w:val="16"/>
              </w:rPr>
              <w:t>2016</w:t>
            </w:r>
          </w:p>
        </w:tc>
        <w:tc>
          <w:tcPr>
            <w:tcW w:w="833" w:type="pct"/>
            <w:shd w:val="clear" w:color="auto" w:fill="D9D9D9" w:themeFill="background1" w:themeFillShade="D9"/>
            <w:vAlign w:val="center"/>
          </w:tcPr>
          <w:p w14:paraId="6D5C8516" w14:textId="2F8BF9E2" w:rsidR="007F24E2" w:rsidRPr="000F6E74" w:rsidRDefault="002B7490" w:rsidP="003E4F35">
            <w:pPr>
              <w:spacing w:after="0" w:line="240" w:lineRule="auto"/>
              <w:jc w:val="center"/>
              <w:rPr>
                <w:rFonts w:cs="Arial"/>
                <w:b/>
                <w:szCs w:val="16"/>
              </w:rPr>
            </w:pPr>
            <w:r w:rsidRPr="000F6E74">
              <w:rPr>
                <w:rFonts w:cs="Arial"/>
                <w:b/>
                <w:szCs w:val="16"/>
              </w:rPr>
              <w:t>2017</w:t>
            </w:r>
          </w:p>
        </w:tc>
        <w:tc>
          <w:tcPr>
            <w:tcW w:w="833" w:type="pct"/>
            <w:shd w:val="clear" w:color="auto" w:fill="D9D9D9" w:themeFill="background1" w:themeFillShade="D9"/>
            <w:vAlign w:val="center"/>
          </w:tcPr>
          <w:p w14:paraId="116A9927" w14:textId="1D308C81" w:rsidR="007F24E2" w:rsidRPr="000F6E74" w:rsidRDefault="002B7490" w:rsidP="003E4F35">
            <w:pPr>
              <w:spacing w:after="0" w:line="240" w:lineRule="auto"/>
              <w:jc w:val="center"/>
              <w:rPr>
                <w:rFonts w:cs="Arial"/>
                <w:b/>
                <w:szCs w:val="16"/>
              </w:rPr>
            </w:pPr>
            <w:r w:rsidRPr="000F6E74">
              <w:rPr>
                <w:rFonts w:cs="Arial"/>
                <w:b/>
                <w:szCs w:val="16"/>
              </w:rPr>
              <w:t>2018</w:t>
            </w:r>
          </w:p>
        </w:tc>
        <w:tc>
          <w:tcPr>
            <w:tcW w:w="834" w:type="pct"/>
            <w:shd w:val="clear" w:color="auto" w:fill="D9D9D9" w:themeFill="background1" w:themeFillShade="D9"/>
            <w:vAlign w:val="center"/>
          </w:tcPr>
          <w:p w14:paraId="41821FE5" w14:textId="02E4CA44" w:rsidR="007F24E2" w:rsidRPr="000F6E74" w:rsidRDefault="002B7490" w:rsidP="003E4F35">
            <w:pPr>
              <w:spacing w:after="0" w:line="240" w:lineRule="auto"/>
              <w:jc w:val="center"/>
              <w:rPr>
                <w:rFonts w:cs="Arial"/>
                <w:b/>
                <w:szCs w:val="16"/>
              </w:rPr>
            </w:pPr>
            <w:r w:rsidRPr="000F6E74">
              <w:rPr>
                <w:rFonts w:cs="Arial"/>
                <w:b/>
                <w:szCs w:val="16"/>
              </w:rPr>
              <w:t>2019</w:t>
            </w:r>
          </w:p>
        </w:tc>
      </w:tr>
      <w:tr w:rsidR="000F6E74" w:rsidRPr="000F6E74" w14:paraId="69850889" w14:textId="5FBD9A23" w:rsidTr="003E4F35">
        <w:trPr>
          <w:trHeight w:val="357"/>
        </w:trPr>
        <w:tc>
          <w:tcPr>
            <w:tcW w:w="833" w:type="pct"/>
            <w:shd w:val="clear" w:color="auto" w:fill="auto"/>
            <w:vAlign w:val="center"/>
          </w:tcPr>
          <w:p w14:paraId="329304B6" w14:textId="1D4FEA84" w:rsidR="007F24E2" w:rsidRPr="000F6E74" w:rsidRDefault="007F24E2" w:rsidP="006D0DC2">
            <w:pPr>
              <w:spacing w:after="0" w:line="240" w:lineRule="auto"/>
              <w:jc w:val="center"/>
              <w:rPr>
                <w:rFonts w:cs="Arial"/>
                <w:szCs w:val="16"/>
              </w:rPr>
            </w:pPr>
            <w:r w:rsidRPr="000F6E74">
              <w:rPr>
                <w:rFonts w:cs="Arial"/>
                <w:szCs w:val="16"/>
              </w:rPr>
              <w:t>Target &gt;=</w:t>
            </w:r>
          </w:p>
        </w:tc>
        <w:tc>
          <w:tcPr>
            <w:tcW w:w="833" w:type="pct"/>
            <w:shd w:val="clear" w:color="auto" w:fill="auto"/>
            <w:vAlign w:val="center"/>
          </w:tcPr>
          <w:p w14:paraId="4D288A5D" w14:textId="1DE49DCD" w:rsidR="007F24E2" w:rsidRPr="000F6E74" w:rsidRDefault="002B7490" w:rsidP="003E4F35">
            <w:pPr>
              <w:spacing w:after="0" w:line="240" w:lineRule="auto"/>
              <w:jc w:val="center"/>
              <w:rPr>
                <w:rFonts w:cs="Arial"/>
                <w:szCs w:val="16"/>
              </w:rPr>
            </w:pPr>
            <w:r w:rsidRPr="000F6E74">
              <w:rPr>
                <w:rFonts w:cs="Arial"/>
                <w:szCs w:val="16"/>
              </w:rPr>
              <w:t>57.84%</w:t>
            </w:r>
          </w:p>
        </w:tc>
        <w:tc>
          <w:tcPr>
            <w:tcW w:w="833" w:type="pct"/>
            <w:shd w:val="clear" w:color="auto" w:fill="auto"/>
            <w:vAlign w:val="center"/>
          </w:tcPr>
          <w:p w14:paraId="2751003B" w14:textId="66867EC3" w:rsidR="007F24E2" w:rsidRPr="000F6E74" w:rsidRDefault="002B7490" w:rsidP="003E4F35">
            <w:pPr>
              <w:spacing w:after="0" w:line="240" w:lineRule="auto"/>
              <w:jc w:val="center"/>
              <w:rPr>
                <w:rFonts w:cs="Arial"/>
                <w:szCs w:val="16"/>
              </w:rPr>
            </w:pPr>
            <w:r w:rsidRPr="000F6E74">
              <w:rPr>
                <w:rFonts w:cs="Arial"/>
                <w:szCs w:val="16"/>
              </w:rPr>
              <w:t>52.00%</w:t>
            </w:r>
          </w:p>
        </w:tc>
        <w:tc>
          <w:tcPr>
            <w:tcW w:w="833" w:type="pct"/>
            <w:shd w:val="clear" w:color="auto" w:fill="auto"/>
            <w:vAlign w:val="center"/>
          </w:tcPr>
          <w:p w14:paraId="6982A73B" w14:textId="50B9EF02" w:rsidR="007F24E2" w:rsidRPr="000F6E74" w:rsidRDefault="002B7490" w:rsidP="003E4F35">
            <w:pPr>
              <w:spacing w:after="0" w:line="240" w:lineRule="auto"/>
              <w:jc w:val="center"/>
              <w:rPr>
                <w:rFonts w:cs="Arial"/>
                <w:szCs w:val="16"/>
              </w:rPr>
            </w:pPr>
            <w:r w:rsidRPr="000F6E74">
              <w:rPr>
                <w:rFonts w:cs="Arial"/>
                <w:szCs w:val="16"/>
              </w:rPr>
              <w:t>56.00%</w:t>
            </w:r>
          </w:p>
        </w:tc>
        <w:tc>
          <w:tcPr>
            <w:tcW w:w="833" w:type="pct"/>
            <w:shd w:val="clear" w:color="auto" w:fill="auto"/>
            <w:vAlign w:val="center"/>
          </w:tcPr>
          <w:p w14:paraId="54566D6E" w14:textId="0812F659" w:rsidR="007F24E2" w:rsidRPr="000F6E74" w:rsidRDefault="002B7490" w:rsidP="003E4F35">
            <w:pPr>
              <w:spacing w:after="0" w:line="240" w:lineRule="auto"/>
              <w:jc w:val="center"/>
              <w:rPr>
                <w:rFonts w:cs="Arial"/>
                <w:szCs w:val="16"/>
              </w:rPr>
            </w:pPr>
            <w:r w:rsidRPr="000F6E74">
              <w:rPr>
                <w:rFonts w:cs="Arial"/>
                <w:szCs w:val="16"/>
              </w:rPr>
              <w:t>56.00%</w:t>
            </w:r>
          </w:p>
        </w:tc>
        <w:tc>
          <w:tcPr>
            <w:tcW w:w="834" w:type="pct"/>
            <w:shd w:val="clear" w:color="auto" w:fill="auto"/>
            <w:vAlign w:val="center"/>
          </w:tcPr>
          <w:p w14:paraId="12B0FD7D" w14:textId="7E3C835D" w:rsidR="007F24E2" w:rsidRPr="000F6E74" w:rsidRDefault="002B7490" w:rsidP="003E4F35">
            <w:pPr>
              <w:spacing w:after="0" w:line="240" w:lineRule="auto"/>
              <w:jc w:val="center"/>
              <w:rPr>
                <w:rFonts w:cs="Arial"/>
                <w:szCs w:val="16"/>
              </w:rPr>
            </w:pPr>
            <w:r w:rsidRPr="000F6E74">
              <w:rPr>
                <w:rFonts w:cs="Arial"/>
                <w:szCs w:val="16"/>
              </w:rPr>
              <w:t>61.00%</w:t>
            </w:r>
          </w:p>
        </w:tc>
      </w:tr>
      <w:tr w:rsidR="000F6E74" w:rsidRPr="000F6E74" w14:paraId="146BC5C2" w14:textId="426AC9C6" w:rsidTr="003E4F35">
        <w:trPr>
          <w:trHeight w:val="85"/>
        </w:trPr>
        <w:tc>
          <w:tcPr>
            <w:tcW w:w="833" w:type="pct"/>
            <w:shd w:val="clear" w:color="auto" w:fill="auto"/>
            <w:vAlign w:val="center"/>
          </w:tcPr>
          <w:p w14:paraId="2FA56C27" w14:textId="77777777" w:rsidR="007F24E2" w:rsidRPr="000F6E74" w:rsidRDefault="007F24E2" w:rsidP="006D0DC2">
            <w:pPr>
              <w:spacing w:after="0" w:line="240" w:lineRule="auto"/>
              <w:jc w:val="center"/>
              <w:rPr>
                <w:rFonts w:cs="Arial"/>
                <w:szCs w:val="16"/>
              </w:rPr>
            </w:pPr>
            <w:r w:rsidRPr="000F6E74">
              <w:rPr>
                <w:rFonts w:cs="Arial"/>
                <w:szCs w:val="16"/>
              </w:rPr>
              <w:t>Data</w:t>
            </w:r>
          </w:p>
        </w:tc>
        <w:tc>
          <w:tcPr>
            <w:tcW w:w="833" w:type="pct"/>
            <w:shd w:val="clear" w:color="auto" w:fill="auto"/>
            <w:vAlign w:val="center"/>
          </w:tcPr>
          <w:p w14:paraId="7832DBB9" w14:textId="0E41C477" w:rsidR="007F24E2" w:rsidRPr="000F6E74" w:rsidRDefault="002B7490" w:rsidP="003E4F35">
            <w:pPr>
              <w:spacing w:after="0" w:line="240" w:lineRule="auto"/>
              <w:jc w:val="center"/>
              <w:rPr>
                <w:rFonts w:cs="Arial"/>
                <w:szCs w:val="16"/>
              </w:rPr>
            </w:pPr>
            <w:r w:rsidRPr="000F6E74">
              <w:rPr>
                <w:rFonts w:cs="Arial"/>
                <w:szCs w:val="16"/>
              </w:rPr>
              <w:t>52.61%</w:t>
            </w:r>
          </w:p>
        </w:tc>
        <w:tc>
          <w:tcPr>
            <w:tcW w:w="833" w:type="pct"/>
            <w:shd w:val="clear" w:color="auto" w:fill="auto"/>
            <w:vAlign w:val="center"/>
          </w:tcPr>
          <w:p w14:paraId="522433F4" w14:textId="15824FD9" w:rsidR="007F24E2" w:rsidRPr="000F6E74" w:rsidRDefault="002B7490" w:rsidP="003E4F35">
            <w:pPr>
              <w:spacing w:after="0" w:line="240" w:lineRule="auto"/>
              <w:jc w:val="center"/>
              <w:rPr>
                <w:rFonts w:cs="Arial"/>
                <w:szCs w:val="16"/>
              </w:rPr>
            </w:pPr>
            <w:r w:rsidRPr="000F6E74">
              <w:rPr>
                <w:rFonts w:cs="Arial"/>
                <w:szCs w:val="16"/>
              </w:rPr>
              <w:t>53.86%</w:t>
            </w:r>
          </w:p>
        </w:tc>
        <w:tc>
          <w:tcPr>
            <w:tcW w:w="833" w:type="pct"/>
            <w:tcBorders>
              <w:bottom w:val="single" w:sz="4" w:space="0" w:color="auto"/>
            </w:tcBorders>
            <w:shd w:val="clear" w:color="auto" w:fill="auto"/>
            <w:vAlign w:val="center"/>
          </w:tcPr>
          <w:p w14:paraId="51E9F945" w14:textId="1DED232A" w:rsidR="007F24E2" w:rsidRPr="000F6E74" w:rsidRDefault="002B7490" w:rsidP="003E4F35">
            <w:pPr>
              <w:spacing w:after="0" w:line="240" w:lineRule="auto"/>
              <w:jc w:val="center"/>
              <w:rPr>
                <w:rFonts w:cs="Arial"/>
                <w:szCs w:val="16"/>
              </w:rPr>
            </w:pPr>
            <w:r w:rsidRPr="000F6E74">
              <w:rPr>
                <w:rFonts w:cs="Arial"/>
                <w:szCs w:val="16"/>
              </w:rPr>
              <w:t>59.80%</w:t>
            </w:r>
          </w:p>
        </w:tc>
        <w:tc>
          <w:tcPr>
            <w:tcW w:w="833" w:type="pct"/>
            <w:tcBorders>
              <w:bottom w:val="single" w:sz="4" w:space="0" w:color="auto"/>
            </w:tcBorders>
            <w:shd w:val="clear" w:color="auto" w:fill="auto"/>
            <w:vAlign w:val="center"/>
          </w:tcPr>
          <w:p w14:paraId="180CBFE9" w14:textId="01D5E7B3" w:rsidR="007F24E2" w:rsidRPr="000F6E74" w:rsidRDefault="002B7490" w:rsidP="003E4F35">
            <w:pPr>
              <w:spacing w:after="0" w:line="240" w:lineRule="auto"/>
              <w:jc w:val="center"/>
              <w:rPr>
                <w:rFonts w:cs="Arial"/>
                <w:szCs w:val="16"/>
              </w:rPr>
            </w:pPr>
            <w:r w:rsidRPr="000F6E74">
              <w:rPr>
                <w:rFonts w:cs="Arial"/>
                <w:szCs w:val="16"/>
              </w:rPr>
              <w:t>61.24%</w:t>
            </w:r>
          </w:p>
        </w:tc>
        <w:tc>
          <w:tcPr>
            <w:tcW w:w="834" w:type="pct"/>
            <w:tcBorders>
              <w:bottom w:val="single" w:sz="4" w:space="0" w:color="auto"/>
            </w:tcBorders>
            <w:shd w:val="clear" w:color="auto" w:fill="auto"/>
            <w:vAlign w:val="center"/>
          </w:tcPr>
          <w:p w14:paraId="3C2AFA14" w14:textId="153E7CE5" w:rsidR="007F24E2" w:rsidRPr="000F6E74" w:rsidRDefault="002B7490" w:rsidP="003E4F35">
            <w:pPr>
              <w:spacing w:after="0" w:line="240" w:lineRule="auto"/>
              <w:jc w:val="center"/>
              <w:rPr>
                <w:rFonts w:cs="Arial"/>
                <w:szCs w:val="16"/>
              </w:rPr>
            </w:pPr>
            <w:r w:rsidRPr="000F6E74">
              <w:rPr>
                <w:rFonts w:cs="Arial"/>
                <w:szCs w:val="16"/>
              </w:rPr>
              <w:t>62.88%</w:t>
            </w:r>
          </w:p>
        </w:tc>
      </w:tr>
    </w:tbl>
    <w:p w14:paraId="2C0BC5BF" w14:textId="713F3223" w:rsidR="00B31CF2" w:rsidRPr="00B31CF2" w:rsidRDefault="00B31CF2" w:rsidP="00815ACE">
      <w:pPr>
        <w:pStyle w:val="Caption"/>
      </w:pPr>
      <w:r w:rsidRPr="00B31CF2">
        <w:rPr>
          <w:noProof/>
        </w:rPr>
        <w:t>Targets (1)</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433"/>
        <w:gridCol w:w="1563"/>
        <w:gridCol w:w="1564"/>
        <w:gridCol w:w="1564"/>
        <w:gridCol w:w="1564"/>
        <w:gridCol w:w="1564"/>
        <w:gridCol w:w="1562"/>
      </w:tblGrid>
      <w:tr w:rsidR="000F6E74" w:rsidRPr="000F6E74" w14:paraId="2AA1A231" w14:textId="4E09135F" w:rsidTr="00B31CF2">
        <w:trPr>
          <w:trHeight w:val="366"/>
          <w:tblHeader/>
        </w:trPr>
        <w:tc>
          <w:tcPr>
            <w:tcW w:w="663" w:type="pct"/>
            <w:tcBorders>
              <w:bottom w:val="single" w:sz="4" w:space="0" w:color="auto"/>
            </w:tcBorders>
            <w:shd w:val="clear" w:color="auto" w:fill="D9D9D9" w:themeFill="background1" w:themeFillShade="D9"/>
            <w:vAlign w:val="center"/>
          </w:tcPr>
          <w:p w14:paraId="40B33FED" w14:textId="77777777" w:rsidR="00373F78" w:rsidRPr="000F6E74" w:rsidRDefault="00373F78" w:rsidP="003E4F35">
            <w:pPr>
              <w:spacing w:after="0" w:line="240" w:lineRule="auto"/>
              <w:jc w:val="center"/>
              <w:rPr>
                <w:b/>
              </w:rPr>
            </w:pPr>
            <w:r w:rsidRPr="000F6E74">
              <w:rPr>
                <w:b/>
              </w:rPr>
              <w:t>FFY</w:t>
            </w:r>
          </w:p>
        </w:tc>
        <w:tc>
          <w:tcPr>
            <w:tcW w:w="723" w:type="pct"/>
            <w:shd w:val="clear" w:color="auto" w:fill="D9D9D9" w:themeFill="background1" w:themeFillShade="D9"/>
            <w:vAlign w:val="center"/>
          </w:tcPr>
          <w:p w14:paraId="71086D9D" w14:textId="38ED494E" w:rsidR="00373F78" w:rsidRPr="000F6E74" w:rsidRDefault="00373F78" w:rsidP="003E4F35">
            <w:pPr>
              <w:spacing w:after="0" w:line="240" w:lineRule="auto"/>
              <w:jc w:val="center"/>
              <w:rPr>
                <w:b/>
              </w:rPr>
            </w:pPr>
            <w:r w:rsidRPr="000F6E74">
              <w:rPr>
                <w:b/>
              </w:rPr>
              <w:t>2020</w:t>
            </w:r>
          </w:p>
        </w:tc>
        <w:tc>
          <w:tcPr>
            <w:tcW w:w="723" w:type="pct"/>
            <w:shd w:val="clear" w:color="auto" w:fill="D9D9D9" w:themeFill="background1" w:themeFillShade="D9"/>
            <w:vAlign w:val="center"/>
          </w:tcPr>
          <w:p w14:paraId="4D39066B" w14:textId="301F6A49" w:rsidR="00373F78" w:rsidRPr="000F6E74" w:rsidRDefault="00373F78" w:rsidP="003E4F35">
            <w:pPr>
              <w:spacing w:after="0" w:line="240" w:lineRule="auto"/>
              <w:jc w:val="center"/>
              <w:rPr>
                <w:b/>
              </w:rPr>
            </w:pPr>
            <w:r w:rsidRPr="000F6E74">
              <w:rPr>
                <w:rFonts w:cs="Arial"/>
                <w:b/>
                <w:szCs w:val="16"/>
              </w:rPr>
              <w:t>2021</w:t>
            </w:r>
          </w:p>
        </w:tc>
        <w:tc>
          <w:tcPr>
            <w:tcW w:w="723" w:type="pct"/>
            <w:shd w:val="clear" w:color="auto" w:fill="D9D9D9" w:themeFill="background1" w:themeFillShade="D9"/>
            <w:vAlign w:val="center"/>
          </w:tcPr>
          <w:p w14:paraId="1FB807B9" w14:textId="403D43E4" w:rsidR="00373F78" w:rsidRPr="000F6E74" w:rsidRDefault="00373F78" w:rsidP="003E4F35">
            <w:pPr>
              <w:spacing w:after="0" w:line="240" w:lineRule="auto"/>
              <w:jc w:val="center"/>
              <w:rPr>
                <w:b/>
              </w:rPr>
            </w:pPr>
            <w:r w:rsidRPr="000F6E74">
              <w:rPr>
                <w:rFonts w:cs="Arial"/>
                <w:b/>
                <w:szCs w:val="16"/>
              </w:rPr>
              <w:t>2022</w:t>
            </w:r>
          </w:p>
        </w:tc>
        <w:tc>
          <w:tcPr>
            <w:tcW w:w="723" w:type="pct"/>
            <w:shd w:val="clear" w:color="auto" w:fill="D9D9D9" w:themeFill="background1" w:themeFillShade="D9"/>
            <w:vAlign w:val="center"/>
          </w:tcPr>
          <w:p w14:paraId="720CF74E" w14:textId="096265B6" w:rsidR="00373F78" w:rsidRPr="000F6E74" w:rsidRDefault="00373F78" w:rsidP="003E4F35">
            <w:pPr>
              <w:spacing w:after="0" w:line="240" w:lineRule="auto"/>
              <w:jc w:val="center"/>
              <w:rPr>
                <w:b/>
              </w:rPr>
            </w:pPr>
            <w:r w:rsidRPr="000F6E74">
              <w:rPr>
                <w:rFonts w:cs="Arial"/>
                <w:b/>
                <w:szCs w:val="16"/>
              </w:rPr>
              <w:t>2023</w:t>
            </w:r>
          </w:p>
        </w:tc>
        <w:tc>
          <w:tcPr>
            <w:tcW w:w="723" w:type="pct"/>
            <w:shd w:val="clear" w:color="auto" w:fill="D9D9D9" w:themeFill="background1" w:themeFillShade="D9"/>
            <w:vAlign w:val="center"/>
          </w:tcPr>
          <w:p w14:paraId="767866E4" w14:textId="1EE4AF77" w:rsidR="00373F78" w:rsidRPr="000F6E74" w:rsidRDefault="00373F78" w:rsidP="003E4F35">
            <w:pPr>
              <w:spacing w:after="0" w:line="240" w:lineRule="auto"/>
              <w:jc w:val="center"/>
              <w:rPr>
                <w:b/>
              </w:rPr>
            </w:pPr>
            <w:r w:rsidRPr="000F6E74">
              <w:rPr>
                <w:rFonts w:cs="Arial"/>
                <w:b/>
                <w:szCs w:val="16"/>
              </w:rPr>
              <w:t>2024</w:t>
            </w:r>
          </w:p>
        </w:tc>
        <w:tc>
          <w:tcPr>
            <w:tcW w:w="722" w:type="pct"/>
            <w:shd w:val="clear" w:color="auto" w:fill="D9D9D9" w:themeFill="background1" w:themeFillShade="D9"/>
            <w:vAlign w:val="center"/>
          </w:tcPr>
          <w:p w14:paraId="041026E7" w14:textId="462C327C" w:rsidR="00373F78" w:rsidRPr="000F6E74" w:rsidRDefault="00373F78" w:rsidP="003E4F35">
            <w:pPr>
              <w:spacing w:after="0" w:line="240" w:lineRule="auto"/>
              <w:jc w:val="center"/>
              <w:rPr>
                <w:b/>
              </w:rPr>
            </w:pPr>
            <w:r w:rsidRPr="000F6E74">
              <w:rPr>
                <w:rFonts w:cs="Arial"/>
                <w:b/>
                <w:szCs w:val="16"/>
              </w:rPr>
              <w:t>2025</w:t>
            </w:r>
          </w:p>
        </w:tc>
      </w:tr>
      <w:tr w:rsidR="000F6E74" w:rsidRPr="000F6E74" w14:paraId="30C65E4A" w14:textId="7AB118F2" w:rsidTr="00B31CF2">
        <w:trPr>
          <w:trHeight w:val="374"/>
        </w:trPr>
        <w:tc>
          <w:tcPr>
            <w:tcW w:w="663" w:type="pct"/>
            <w:shd w:val="clear" w:color="auto" w:fill="auto"/>
            <w:vAlign w:val="center"/>
          </w:tcPr>
          <w:p w14:paraId="15D80559" w14:textId="5A8166E8" w:rsidR="00373F78" w:rsidRPr="000F6E74" w:rsidRDefault="00373F78" w:rsidP="003E4F35">
            <w:pPr>
              <w:spacing w:after="0" w:line="240" w:lineRule="auto"/>
              <w:rPr>
                <w:rFonts w:cs="Arial"/>
                <w:szCs w:val="16"/>
              </w:rPr>
            </w:pPr>
            <w:r w:rsidRPr="000F6E74">
              <w:rPr>
                <w:rFonts w:cs="Arial"/>
                <w:szCs w:val="16"/>
              </w:rPr>
              <w:t>Target &gt;=</w:t>
            </w:r>
          </w:p>
        </w:tc>
        <w:tc>
          <w:tcPr>
            <w:tcW w:w="723" w:type="pct"/>
            <w:shd w:val="clear" w:color="auto" w:fill="auto"/>
            <w:vAlign w:val="center"/>
          </w:tcPr>
          <w:p w14:paraId="5C1E2097" w14:textId="7100F4DF" w:rsidR="00373F78" w:rsidRPr="000F6E74" w:rsidRDefault="00373F78" w:rsidP="003E4F35">
            <w:pPr>
              <w:spacing w:after="0" w:line="240" w:lineRule="auto"/>
              <w:jc w:val="center"/>
              <w:rPr>
                <w:rFonts w:cs="Arial"/>
                <w:szCs w:val="16"/>
              </w:rPr>
            </w:pPr>
            <w:r w:rsidRPr="000F6E74">
              <w:rPr>
                <w:rFonts w:cs="Arial"/>
                <w:szCs w:val="16"/>
              </w:rPr>
              <w:t>70.74%</w:t>
            </w:r>
          </w:p>
        </w:tc>
        <w:tc>
          <w:tcPr>
            <w:tcW w:w="723" w:type="pct"/>
            <w:vAlign w:val="center"/>
          </w:tcPr>
          <w:p w14:paraId="7717027B" w14:textId="1C4C1650" w:rsidR="00373F78" w:rsidRPr="000F6E74" w:rsidRDefault="00373F78" w:rsidP="003E4F35">
            <w:pPr>
              <w:spacing w:after="0" w:line="240" w:lineRule="auto"/>
              <w:jc w:val="center"/>
              <w:rPr>
                <w:rFonts w:cs="Arial"/>
                <w:szCs w:val="16"/>
              </w:rPr>
            </w:pPr>
            <w:r w:rsidRPr="000F6E74">
              <w:rPr>
                <w:szCs w:val="16"/>
              </w:rPr>
              <w:t>71.24%</w:t>
            </w:r>
          </w:p>
        </w:tc>
        <w:tc>
          <w:tcPr>
            <w:tcW w:w="723" w:type="pct"/>
            <w:vAlign w:val="center"/>
          </w:tcPr>
          <w:p w14:paraId="48C73194" w14:textId="78C93C75" w:rsidR="00373F78" w:rsidRPr="000F6E74" w:rsidRDefault="00373F78" w:rsidP="003E4F35">
            <w:pPr>
              <w:spacing w:after="0" w:line="240" w:lineRule="auto"/>
              <w:jc w:val="center"/>
              <w:rPr>
                <w:rFonts w:cs="Arial"/>
                <w:szCs w:val="16"/>
              </w:rPr>
            </w:pPr>
            <w:r w:rsidRPr="000F6E74">
              <w:rPr>
                <w:szCs w:val="16"/>
              </w:rPr>
              <w:t>71.74%</w:t>
            </w:r>
          </w:p>
        </w:tc>
        <w:tc>
          <w:tcPr>
            <w:tcW w:w="723" w:type="pct"/>
            <w:vAlign w:val="center"/>
          </w:tcPr>
          <w:p w14:paraId="1CC5CF36" w14:textId="47158C2B" w:rsidR="00373F78" w:rsidRPr="000F6E74" w:rsidRDefault="00373F78" w:rsidP="003E4F35">
            <w:pPr>
              <w:spacing w:after="0" w:line="240" w:lineRule="auto"/>
              <w:jc w:val="center"/>
              <w:rPr>
                <w:rFonts w:cs="Arial"/>
                <w:szCs w:val="16"/>
              </w:rPr>
            </w:pPr>
            <w:r w:rsidRPr="000F6E74">
              <w:rPr>
                <w:szCs w:val="16"/>
              </w:rPr>
              <w:t>72.24%</w:t>
            </w:r>
          </w:p>
        </w:tc>
        <w:tc>
          <w:tcPr>
            <w:tcW w:w="723" w:type="pct"/>
            <w:vAlign w:val="center"/>
          </w:tcPr>
          <w:p w14:paraId="6BAB194A" w14:textId="42E53978" w:rsidR="00373F78" w:rsidRPr="000F6E74" w:rsidRDefault="00373F78" w:rsidP="003E4F35">
            <w:pPr>
              <w:spacing w:after="0" w:line="240" w:lineRule="auto"/>
              <w:jc w:val="center"/>
              <w:rPr>
                <w:rFonts w:cs="Arial"/>
                <w:szCs w:val="16"/>
              </w:rPr>
            </w:pPr>
            <w:r w:rsidRPr="000F6E74">
              <w:rPr>
                <w:szCs w:val="16"/>
              </w:rPr>
              <w:t>72.74%</w:t>
            </w:r>
          </w:p>
        </w:tc>
        <w:tc>
          <w:tcPr>
            <w:tcW w:w="722" w:type="pct"/>
            <w:vAlign w:val="center"/>
          </w:tcPr>
          <w:p w14:paraId="1DF62173" w14:textId="4E964E44" w:rsidR="00373F78" w:rsidRPr="000F6E74" w:rsidRDefault="00373F78" w:rsidP="003E4F35">
            <w:pPr>
              <w:spacing w:after="0" w:line="240" w:lineRule="auto"/>
              <w:jc w:val="center"/>
              <w:rPr>
                <w:rFonts w:cs="Arial"/>
                <w:szCs w:val="16"/>
              </w:rPr>
            </w:pPr>
            <w:r w:rsidRPr="000F6E74">
              <w:rPr>
                <w:szCs w:val="16"/>
              </w:rPr>
              <w:t>73.24%</w:t>
            </w:r>
          </w:p>
        </w:tc>
      </w:tr>
    </w:tbl>
    <w:p w14:paraId="451C0051" w14:textId="532ECC3B" w:rsidR="005E59DB" w:rsidRPr="000F6E74" w:rsidRDefault="005E59DB" w:rsidP="0036581E">
      <w:pPr>
        <w:pStyle w:val="Heading4"/>
      </w:pPr>
      <w:r w:rsidRPr="000F6E74">
        <w:t>Targets: Description of Stakeholder Input</w:t>
      </w:r>
    </w:p>
    <w:p w14:paraId="3EDD2FFA" w14:textId="77777777" w:rsidR="003E4F35" w:rsidRPr="003856F1" w:rsidRDefault="0051170F" w:rsidP="00314F94">
      <w:pPr>
        <w:pStyle w:val="ListParagraph"/>
        <w:numPr>
          <w:ilvl w:val="0"/>
          <w:numId w:val="66"/>
        </w:numPr>
        <w:rPr>
          <w:rFonts w:cs="Arial"/>
          <w:szCs w:val="16"/>
        </w:rPr>
      </w:pPr>
      <w:r w:rsidRPr="003856F1">
        <w:rPr>
          <w:rFonts w:cs="Arial"/>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2B946CE6" w14:textId="46864E14" w:rsidR="0051170F" w:rsidRPr="000F6E74" w:rsidRDefault="0051170F" w:rsidP="004C1EC0">
      <w:pPr>
        <w:ind w:left="720"/>
        <w:rPr>
          <w:rFonts w:cs="Arial"/>
          <w:szCs w:val="16"/>
        </w:rPr>
      </w:pPr>
      <w:r w:rsidRPr="000F6E74">
        <w:rPr>
          <w:rFonts w:cs="Arial"/>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7D1D4036" w14:textId="663563A8" w:rsidR="003E4F35" w:rsidRPr="000F6E74" w:rsidRDefault="002B7490" w:rsidP="004C1EC0">
      <w:pPr>
        <w:ind w:left="720"/>
        <w:rPr>
          <w:b/>
          <w:bCs/>
        </w:rPr>
      </w:pPr>
      <w:r w:rsidRPr="000F6E74">
        <w:rPr>
          <w:rFonts w:cs="Arial"/>
          <w:szCs w:val="16"/>
        </w:rPr>
        <w:t>In addition, during the FFY 2020 Annual Performance Report (APR) cycle, secondary transition stakeholder input was received from: youth with disabilities, parents, Parent Education Advocacy and Training Center (PEATC), Disability Resource Center, resources for Independent Living, LEA staff members, Virginia Commonwealth University-Center on Transition Innovations, Virginia Board for People with Disabilities, Department of Social Services, Department for Aging and Rehabilitative Services, Wilson Workforce Rehabilitation Center, and other state agencies. Stakeholders learned about the State Performance Plan requirements and reviewed data that included student attendance, testing, graduation, dropout, and post-school outcomes. In addition, they discussed issues/descriptions of systems or processes related to secondary transition and made recommendations to the Virginia Department of Education. Numerous resources were shared with and among the stakeholders.</w:t>
      </w:r>
      <w:r w:rsidR="003E4F35" w:rsidRPr="000F6E74">
        <w:rPr>
          <w:b/>
          <w:bCs/>
        </w:rPr>
        <w:br w:type="page"/>
      </w:r>
    </w:p>
    <w:p w14:paraId="2BA188D6" w14:textId="1D32C769" w:rsidR="00B31CF2" w:rsidRPr="00B31CF2" w:rsidRDefault="00B31CF2" w:rsidP="00815ACE">
      <w:pPr>
        <w:pStyle w:val="Caption"/>
      </w:pPr>
      <w:r w:rsidRPr="00B31CF2">
        <w:lastRenderedPageBreak/>
        <w:t>Prepopulated Data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numbers of youth with IEPs exiting special education, by various explanations, for this indicator. Data source provided for each."/>
      </w:tblPr>
      <w:tblGrid>
        <w:gridCol w:w="3056"/>
        <w:gridCol w:w="1983"/>
        <w:gridCol w:w="3507"/>
        <w:gridCol w:w="2244"/>
      </w:tblGrid>
      <w:tr w:rsidR="000F6E74" w:rsidRPr="000F6E74" w14:paraId="30F51C80" w14:textId="4B2A2ADB" w:rsidTr="00196909">
        <w:trPr>
          <w:trHeight w:val="372"/>
          <w:tblHeader/>
        </w:trPr>
        <w:tc>
          <w:tcPr>
            <w:tcW w:w="1416" w:type="pct"/>
            <w:shd w:val="clear" w:color="auto" w:fill="D9D9D9" w:themeFill="background1" w:themeFillShade="D9"/>
            <w:vAlign w:val="center"/>
          </w:tcPr>
          <w:p w14:paraId="323D50E8" w14:textId="6779F814" w:rsidR="00866B4D" w:rsidRPr="000F6E74" w:rsidRDefault="00866B4D" w:rsidP="003E4F35">
            <w:pPr>
              <w:spacing w:after="0"/>
              <w:jc w:val="center"/>
              <w:rPr>
                <w:rFonts w:cs="Arial"/>
                <w:b/>
                <w:szCs w:val="16"/>
              </w:rPr>
            </w:pPr>
            <w:r w:rsidRPr="000F6E74">
              <w:rPr>
                <w:rFonts w:cs="Arial"/>
                <w:b/>
                <w:szCs w:val="16"/>
              </w:rPr>
              <w:t>Source</w:t>
            </w:r>
          </w:p>
        </w:tc>
        <w:tc>
          <w:tcPr>
            <w:tcW w:w="919" w:type="pct"/>
            <w:shd w:val="clear" w:color="auto" w:fill="D9D9D9" w:themeFill="background1" w:themeFillShade="D9"/>
            <w:vAlign w:val="center"/>
          </w:tcPr>
          <w:p w14:paraId="01C2B5F0" w14:textId="1D5140A6" w:rsidR="00866B4D" w:rsidRPr="000F6E74" w:rsidRDefault="00866B4D" w:rsidP="003E4F35">
            <w:pPr>
              <w:spacing w:after="0"/>
              <w:jc w:val="center"/>
              <w:rPr>
                <w:rFonts w:cs="Arial"/>
                <w:b/>
                <w:szCs w:val="16"/>
              </w:rPr>
            </w:pPr>
            <w:r w:rsidRPr="000F6E74">
              <w:rPr>
                <w:rFonts w:cs="Arial"/>
                <w:b/>
                <w:szCs w:val="16"/>
              </w:rPr>
              <w:t>Date</w:t>
            </w:r>
          </w:p>
        </w:tc>
        <w:tc>
          <w:tcPr>
            <w:tcW w:w="1625" w:type="pct"/>
            <w:shd w:val="clear" w:color="auto" w:fill="D9D9D9" w:themeFill="background1" w:themeFillShade="D9"/>
            <w:vAlign w:val="center"/>
          </w:tcPr>
          <w:p w14:paraId="1FC5546A" w14:textId="059B9945" w:rsidR="00866B4D" w:rsidRPr="000F6E74" w:rsidRDefault="00866B4D" w:rsidP="003E4F35">
            <w:pPr>
              <w:spacing w:after="0"/>
              <w:jc w:val="center"/>
              <w:rPr>
                <w:rFonts w:cs="Arial"/>
                <w:b/>
                <w:szCs w:val="16"/>
              </w:rPr>
            </w:pPr>
            <w:r w:rsidRPr="000F6E74">
              <w:rPr>
                <w:rFonts w:cs="Arial"/>
                <w:b/>
                <w:szCs w:val="16"/>
              </w:rPr>
              <w:t>Description</w:t>
            </w:r>
          </w:p>
        </w:tc>
        <w:tc>
          <w:tcPr>
            <w:tcW w:w="1040" w:type="pct"/>
            <w:shd w:val="clear" w:color="auto" w:fill="D9D9D9" w:themeFill="background1" w:themeFillShade="D9"/>
            <w:vAlign w:val="center"/>
          </w:tcPr>
          <w:p w14:paraId="189AD2F4" w14:textId="2C14B569" w:rsidR="00866B4D" w:rsidRPr="000F6E74" w:rsidRDefault="00866B4D" w:rsidP="003E4F35">
            <w:pPr>
              <w:spacing w:after="0"/>
              <w:jc w:val="center"/>
              <w:rPr>
                <w:rFonts w:cs="Arial"/>
                <w:b/>
                <w:szCs w:val="16"/>
              </w:rPr>
            </w:pPr>
            <w:r w:rsidRPr="000F6E74">
              <w:rPr>
                <w:rFonts w:cs="Arial"/>
                <w:b/>
                <w:szCs w:val="16"/>
              </w:rPr>
              <w:t>Data</w:t>
            </w:r>
          </w:p>
        </w:tc>
      </w:tr>
      <w:tr w:rsidR="000F6E74" w:rsidRPr="000F6E74" w14:paraId="30B629CE" w14:textId="3D9C8EF1" w:rsidTr="00196909">
        <w:trPr>
          <w:trHeight w:val="380"/>
        </w:trPr>
        <w:tc>
          <w:tcPr>
            <w:tcW w:w="1416" w:type="pct"/>
            <w:shd w:val="clear" w:color="auto" w:fill="auto"/>
            <w:vAlign w:val="center"/>
          </w:tcPr>
          <w:p w14:paraId="73323AED" w14:textId="61550716" w:rsidR="005A75AD" w:rsidRPr="000F6E74" w:rsidRDefault="005A75AD" w:rsidP="003E4F35">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19" w:type="pct"/>
            <w:shd w:val="clear" w:color="auto" w:fill="auto"/>
            <w:vAlign w:val="center"/>
          </w:tcPr>
          <w:p w14:paraId="5E976CB4" w14:textId="15FDC9EF" w:rsidR="005A75AD" w:rsidRPr="000F6E74" w:rsidRDefault="005A75AD" w:rsidP="003E4F35">
            <w:pPr>
              <w:spacing w:after="0"/>
              <w:jc w:val="center"/>
              <w:rPr>
                <w:rFonts w:cs="Arial"/>
                <w:szCs w:val="16"/>
              </w:rPr>
            </w:pPr>
            <w:r w:rsidRPr="000F6E74">
              <w:rPr>
                <w:rFonts w:cs="Arial"/>
                <w:szCs w:val="16"/>
              </w:rPr>
              <w:t>05/26/2021</w:t>
            </w:r>
          </w:p>
        </w:tc>
        <w:tc>
          <w:tcPr>
            <w:tcW w:w="1625" w:type="pct"/>
            <w:shd w:val="clear" w:color="auto" w:fill="auto"/>
            <w:vAlign w:val="center"/>
          </w:tcPr>
          <w:p w14:paraId="01C211E9" w14:textId="4BA1367C" w:rsidR="005A75AD" w:rsidRPr="000F6E74" w:rsidRDefault="005A75AD" w:rsidP="003E4F35">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graduating with a regular high school diploma (a)</w:t>
            </w:r>
          </w:p>
        </w:tc>
        <w:tc>
          <w:tcPr>
            <w:tcW w:w="1040" w:type="pct"/>
            <w:shd w:val="clear" w:color="auto" w:fill="auto"/>
            <w:vAlign w:val="center"/>
          </w:tcPr>
          <w:p w14:paraId="18434B19" w14:textId="3271491A" w:rsidR="005A75AD" w:rsidRPr="000F6E74" w:rsidRDefault="005A75AD" w:rsidP="003E4F35">
            <w:pPr>
              <w:spacing w:after="0"/>
              <w:jc w:val="center"/>
              <w:rPr>
                <w:rFonts w:cs="Arial"/>
                <w:szCs w:val="16"/>
              </w:rPr>
            </w:pPr>
            <w:r w:rsidRPr="000F6E74">
              <w:rPr>
                <w:rFonts w:cs="Arial"/>
                <w:szCs w:val="16"/>
              </w:rPr>
              <w:t>8,707</w:t>
            </w:r>
          </w:p>
        </w:tc>
      </w:tr>
      <w:tr w:rsidR="000F6E74" w:rsidRPr="000F6E74" w14:paraId="2E9BAC4B" w14:textId="77777777" w:rsidTr="00196909">
        <w:trPr>
          <w:trHeight w:val="380"/>
        </w:trPr>
        <w:tc>
          <w:tcPr>
            <w:tcW w:w="1416" w:type="pct"/>
            <w:shd w:val="clear" w:color="auto" w:fill="auto"/>
            <w:vAlign w:val="center"/>
          </w:tcPr>
          <w:p w14:paraId="019DE2CA" w14:textId="1C16E7CC" w:rsidR="005A75AD" w:rsidRPr="000F6E74" w:rsidRDefault="005A75AD" w:rsidP="003E4F35">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19" w:type="pct"/>
            <w:shd w:val="clear" w:color="auto" w:fill="auto"/>
            <w:vAlign w:val="center"/>
          </w:tcPr>
          <w:p w14:paraId="21121509" w14:textId="35C72B6A" w:rsidR="005A75AD" w:rsidRPr="000F6E74" w:rsidRDefault="005A75AD" w:rsidP="003E4F35">
            <w:pPr>
              <w:spacing w:after="0"/>
              <w:jc w:val="center"/>
              <w:rPr>
                <w:rFonts w:cs="Arial"/>
                <w:szCs w:val="16"/>
              </w:rPr>
            </w:pPr>
            <w:r w:rsidRPr="000F6E74">
              <w:rPr>
                <w:rFonts w:cs="Arial"/>
                <w:szCs w:val="16"/>
              </w:rPr>
              <w:t>05/26/2021</w:t>
            </w:r>
          </w:p>
        </w:tc>
        <w:tc>
          <w:tcPr>
            <w:tcW w:w="1625" w:type="pct"/>
            <w:shd w:val="clear" w:color="auto" w:fill="auto"/>
            <w:vAlign w:val="center"/>
          </w:tcPr>
          <w:p w14:paraId="4DBDAFD8" w14:textId="70B6722B" w:rsidR="005A75AD" w:rsidRPr="000F6E74" w:rsidRDefault="005A75AD" w:rsidP="003E4F35">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graduating with a state-defined alternate diploma (b)</w:t>
            </w:r>
          </w:p>
        </w:tc>
        <w:tc>
          <w:tcPr>
            <w:tcW w:w="1040" w:type="pct"/>
            <w:shd w:val="clear" w:color="auto" w:fill="auto"/>
            <w:vAlign w:val="center"/>
          </w:tcPr>
          <w:p w14:paraId="010FD1F1" w14:textId="7C43793B" w:rsidR="005A75AD" w:rsidRPr="000F6E74" w:rsidRDefault="005A75AD" w:rsidP="003E4F35">
            <w:pPr>
              <w:spacing w:after="0"/>
              <w:jc w:val="center"/>
              <w:rPr>
                <w:rFonts w:cs="Arial"/>
                <w:szCs w:val="16"/>
              </w:rPr>
            </w:pPr>
            <w:r w:rsidRPr="000F6E74">
              <w:rPr>
                <w:rFonts w:cs="Arial"/>
                <w:szCs w:val="16"/>
              </w:rPr>
              <w:t>0</w:t>
            </w:r>
          </w:p>
        </w:tc>
      </w:tr>
      <w:tr w:rsidR="000F6E74" w:rsidRPr="000F6E74" w14:paraId="032776B0" w14:textId="77777777" w:rsidTr="00196909">
        <w:trPr>
          <w:trHeight w:val="380"/>
        </w:trPr>
        <w:tc>
          <w:tcPr>
            <w:tcW w:w="1416" w:type="pct"/>
            <w:shd w:val="clear" w:color="auto" w:fill="auto"/>
            <w:vAlign w:val="center"/>
          </w:tcPr>
          <w:p w14:paraId="5813DAD1" w14:textId="06D60F55" w:rsidR="005A75AD" w:rsidRPr="000F6E74" w:rsidRDefault="005A75AD" w:rsidP="003E4F35">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19" w:type="pct"/>
            <w:shd w:val="clear" w:color="auto" w:fill="auto"/>
            <w:vAlign w:val="center"/>
          </w:tcPr>
          <w:p w14:paraId="0CBE5647" w14:textId="5D16DC3C" w:rsidR="005A75AD" w:rsidRPr="000F6E74" w:rsidRDefault="005A75AD" w:rsidP="003E4F35">
            <w:pPr>
              <w:spacing w:after="0"/>
              <w:jc w:val="center"/>
              <w:rPr>
                <w:rFonts w:cs="Arial"/>
                <w:szCs w:val="16"/>
              </w:rPr>
            </w:pPr>
            <w:r w:rsidRPr="000F6E74">
              <w:rPr>
                <w:rFonts w:cs="Arial"/>
                <w:szCs w:val="16"/>
              </w:rPr>
              <w:t>05/26/2021</w:t>
            </w:r>
          </w:p>
        </w:tc>
        <w:tc>
          <w:tcPr>
            <w:tcW w:w="1625" w:type="pct"/>
            <w:shd w:val="clear" w:color="auto" w:fill="auto"/>
            <w:vAlign w:val="center"/>
          </w:tcPr>
          <w:p w14:paraId="7D0086CE" w14:textId="510BD804" w:rsidR="005A75AD" w:rsidRPr="000F6E74" w:rsidRDefault="005A75AD" w:rsidP="003E4F35">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receiving a certificate (c)</w:t>
            </w:r>
          </w:p>
        </w:tc>
        <w:tc>
          <w:tcPr>
            <w:tcW w:w="1040" w:type="pct"/>
            <w:shd w:val="clear" w:color="auto" w:fill="auto"/>
            <w:vAlign w:val="center"/>
          </w:tcPr>
          <w:p w14:paraId="184082B3" w14:textId="438EC66B" w:rsidR="005A75AD" w:rsidRPr="000F6E74" w:rsidRDefault="005A75AD" w:rsidP="003E4F35">
            <w:pPr>
              <w:spacing w:after="0"/>
              <w:jc w:val="center"/>
              <w:rPr>
                <w:rFonts w:cs="Arial"/>
                <w:szCs w:val="16"/>
              </w:rPr>
            </w:pPr>
            <w:r w:rsidRPr="000F6E74">
              <w:rPr>
                <w:rFonts w:cs="Arial"/>
                <w:szCs w:val="16"/>
              </w:rPr>
              <w:t>2,777</w:t>
            </w:r>
          </w:p>
        </w:tc>
      </w:tr>
      <w:tr w:rsidR="000F6E74" w:rsidRPr="000F6E74" w14:paraId="73AB7466" w14:textId="77777777" w:rsidTr="00196909">
        <w:trPr>
          <w:trHeight w:val="380"/>
        </w:trPr>
        <w:tc>
          <w:tcPr>
            <w:tcW w:w="1416" w:type="pct"/>
            <w:shd w:val="clear" w:color="auto" w:fill="auto"/>
            <w:vAlign w:val="center"/>
          </w:tcPr>
          <w:p w14:paraId="4B56ED01" w14:textId="0B62D17A" w:rsidR="00E1624B" w:rsidRPr="000F6E74" w:rsidRDefault="00E1624B" w:rsidP="003E4F35">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19" w:type="pct"/>
            <w:shd w:val="clear" w:color="auto" w:fill="auto"/>
            <w:vAlign w:val="center"/>
          </w:tcPr>
          <w:p w14:paraId="60CF2903" w14:textId="690ADEAE" w:rsidR="00E1624B" w:rsidRPr="000F6E74" w:rsidRDefault="00E1624B" w:rsidP="003E4F35">
            <w:pPr>
              <w:spacing w:after="0"/>
              <w:jc w:val="center"/>
              <w:rPr>
                <w:rFonts w:cs="Arial"/>
                <w:szCs w:val="16"/>
              </w:rPr>
            </w:pPr>
            <w:r w:rsidRPr="000F6E74">
              <w:rPr>
                <w:rFonts w:cs="Arial"/>
                <w:szCs w:val="16"/>
              </w:rPr>
              <w:t>05/26/2021</w:t>
            </w:r>
          </w:p>
        </w:tc>
        <w:tc>
          <w:tcPr>
            <w:tcW w:w="1625" w:type="pct"/>
            <w:shd w:val="clear" w:color="auto" w:fill="auto"/>
            <w:vAlign w:val="center"/>
          </w:tcPr>
          <w:p w14:paraId="06653647" w14:textId="36FF0607" w:rsidR="00E1624B" w:rsidRPr="000F6E74" w:rsidRDefault="00E1624B" w:rsidP="003E4F35">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reaching maximum age (d)</w:t>
            </w:r>
          </w:p>
        </w:tc>
        <w:tc>
          <w:tcPr>
            <w:tcW w:w="1040" w:type="pct"/>
            <w:shd w:val="clear" w:color="auto" w:fill="auto"/>
            <w:vAlign w:val="center"/>
          </w:tcPr>
          <w:p w14:paraId="73E001A1" w14:textId="747191F4" w:rsidR="00E1624B" w:rsidRPr="000F6E74" w:rsidRDefault="00E1624B" w:rsidP="003E4F35">
            <w:pPr>
              <w:spacing w:after="0"/>
              <w:jc w:val="center"/>
              <w:rPr>
                <w:rFonts w:cs="Arial"/>
                <w:szCs w:val="16"/>
              </w:rPr>
            </w:pPr>
            <w:r w:rsidRPr="000F6E74">
              <w:rPr>
                <w:rFonts w:cs="Arial"/>
                <w:szCs w:val="16"/>
              </w:rPr>
              <w:t>5</w:t>
            </w:r>
          </w:p>
        </w:tc>
      </w:tr>
      <w:tr w:rsidR="000F6E74" w:rsidRPr="000F6E74" w14:paraId="14CC53E0" w14:textId="77777777" w:rsidTr="00196909">
        <w:trPr>
          <w:trHeight w:val="380"/>
        </w:trPr>
        <w:tc>
          <w:tcPr>
            <w:tcW w:w="1416" w:type="pct"/>
            <w:shd w:val="clear" w:color="auto" w:fill="auto"/>
            <w:vAlign w:val="center"/>
          </w:tcPr>
          <w:p w14:paraId="3B200D0B" w14:textId="610D9D3D" w:rsidR="00E1624B" w:rsidRPr="000F6E74" w:rsidRDefault="00E1624B" w:rsidP="003E4F35">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19" w:type="pct"/>
            <w:shd w:val="clear" w:color="auto" w:fill="auto"/>
            <w:vAlign w:val="center"/>
          </w:tcPr>
          <w:p w14:paraId="57A125A7" w14:textId="625619CE" w:rsidR="00E1624B" w:rsidRPr="000F6E74" w:rsidRDefault="00E1624B" w:rsidP="003E4F35">
            <w:pPr>
              <w:spacing w:after="0"/>
              <w:jc w:val="center"/>
              <w:rPr>
                <w:rFonts w:cs="Arial"/>
                <w:szCs w:val="16"/>
              </w:rPr>
            </w:pPr>
            <w:r w:rsidRPr="000F6E74">
              <w:rPr>
                <w:rFonts w:cs="Arial"/>
                <w:szCs w:val="16"/>
              </w:rPr>
              <w:t>05/26/2021</w:t>
            </w:r>
          </w:p>
        </w:tc>
        <w:tc>
          <w:tcPr>
            <w:tcW w:w="1625" w:type="pct"/>
            <w:shd w:val="clear" w:color="auto" w:fill="auto"/>
            <w:vAlign w:val="center"/>
          </w:tcPr>
          <w:p w14:paraId="5C2E5C85" w14:textId="316DABB1" w:rsidR="00E1624B" w:rsidRPr="000F6E74" w:rsidRDefault="00E1624B" w:rsidP="003E4F35">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due to dropping out (e)</w:t>
            </w:r>
          </w:p>
        </w:tc>
        <w:tc>
          <w:tcPr>
            <w:tcW w:w="1040" w:type="pct"/>
            <w:shd w:val="clear" w:color="auto" w:fill="auto"/>
            <w:vAlign w:val="center"/>
          </w:tcPr>
          <w:p w14:paraId="79A046E2" w14:textId="17FE2759" w:rsidR="00E1624B" w:rsidRPr="000F6E74" w:rsidRDefault="00E1624B" w:rsidP="003E4F35">
            <w:pPr>
              <w:spacing w:after="0"/>
              <w:jc w:val="center"/>
              <w:rPr>
                <w:rFonts w:cs="Arial"/>
                <w:szCs w:val="16"/>
              </w:rPr>
            </w:pPr>
            <w:r w:rsidRPr="000F6E74">
              <w:rPr>
                <w:rFonts w:cs="Arial"/>
                <w:szCs w:val="16"/>
              </w:rPr>
              <w:t>820</w:t>
            </w:r>
          </w:p>
        </w:tc>
      </w:tr>
    </w:tbl>
    <w:p w14:paraId="70CE9394" w14:textId="79B751C8" w:rsidR="00B31CF2" w:rsidRDefault="00B31CF2" w:rsidP="00815ACE">
      <w:pPr>
        <w:pStyle w:val="Caption"/>
      </w:pPr>
      <w:bookmarkStart w:id="3" w:name="_Hlk121841807"/>
      <w:r w:rsidRPr="00B31CF2">
        <w:t>FFY 2020 SPP/APR Data (1)</w:t>
      </w:r>
    </w:p>
    <w:bookmarkEnd w:id="3"/>
    <w:p w14:paraId="08C95275" w14:textId="200326F2" w:rsidR="00705748" w:rsidRPr="00705748" w:rsidRDefault="00705748" w:rsidP="00705748">
      <w:r w:rsidRPr="00A631AE">
        <w:t>N/A = 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2063"/>
        <w:gridCol w:w="1979"/>
        <w:gridCol w:w="1444"/>
        <w:gridCol w:w="1325"/>
        <w:gridCol w:w="1366"/>
        <w:gridCol w:w="1329"/>
        <w:gridCol w:w="1284"/>
      </w:tblGrid>
      <w:tr w:rsidR="000F6E74" w:rsidRPr="000F6E74" w14:paraId="02722994" w14:textId="4BCF686A" w:rsidTr="00B31CF2">
        <w:trPr>
          <w:trHeight w:val="333"/>
          <w:tblHeader/>
        </w:trPr>
        <w:tc>
          <w:tcPr>
            <w:tcW w:w="956" w:type="pct"/>
            <w:shd w:val="clear" w:color="auto" w:fill="D9D9D9" w:themeFill="background1" w:themeFillShade="D9"/>
            <w:vAlign w:val="center"/>
          </w:tcPr>
          <w:p w14:paraId="272BBF68" w14:textId="161B6D1A" w:rsidR="0098478C" w:rsidRPr="000F6E74" w:rsidRDefault="0052187D" w:rsidP="003E4F35">
            <w:pPr>
              <w:spacing w:after="0"/>
              <w:jc w:val="center"/>
              <w:rPr>
                <w:rFonts w:cs="Arial"/>
                <w:b/>
                <w:szCs w:val="16"/>
              </w:rPr>
            </w:pPr>
            <w:r w:rsidRPr="000F6E74">
              <w:rPr>
                <w:rFonts w:cs="Arial"/>
                <w:b/>
                <w:szCs w:val="16"/>
              </w:rPr>
              <w:t xml:space="preserve">Number of </w:t>
            </w:r>
            <w:proofErr w:type="gramStart"/>
            <w:r w:rsidRPr="000F6E74">
              <w:rPr>
                <w:rFonts w:cs="Arial"/>
                <w:b/>
                <w:szCs w:val="16"/>
              </w:rPr>
              <w:t>youth</w:t>
            </w:r>
            <w:proofErr w:type="gramEnd"/>
            <w:r w:rsidRPr="000F6E74">
              <w:rPr>
                <w:rFonts w:cs="Arial"/>
                <w:b/>
                <w:szCs w:val="16"/>
              </w:rPr>
              <w:t xml:space="preserve"> with IEPs (ages 14-21) who exited special education due to graduating with a regular high school diploma</w:t>
            </w:r>
          </w:p>
        </w:tc>
        <w:tc>
          <w:tcPr>
            <w:tcW w:w="917" w:type="pct"/>
            <w:shd w:val="clear" w:color="auto" w:fill="D9D9D9" w:themeFill="background1" w:themeFillShade="D9"/>
            <w:vAlign w:val="center"/>
          </w:tcPr>
          <w:p w14:paraId="055EF61F" w14:textId="73ED460F" w:rsidR="0098478C" w:rsidRPr="000F6E74" w:rsidRDefault="00CB505C" w:rsidP="003E4F35">
            <w:pPr>
              <w:spacing w:after="0"/>
              <w:jc w:val="center"/>
              <w:rPr>
                <w:rFonts w:cs="Arial"/>
                <w:b/>
                <w:bCs/>
                <w:szCs w:val="16"/>
              </w:rPr>
            </w:pPr>
            <w:r w:rsidRPr="000F6E74">
              <w:rPr>
                <w:b/>
                <w:bCs/>
              </w:rPr>
              <w:t xml:space="preserve">Number of all youth with IEPs who exited special education </w:t>
            </w:r>
            <w:r w:rsidR="00FE7050">
              <w:rPr>
                <w:b/>
                <w:bCs/>
              </w:rPr>
              <w:br/>
            </w:r>
            <w:r w:rsidRPr="000F6E74">
              <w:rPr>
                <w:b/>
                <w:bCs/>
              </w:rPr>
              <w:t xml:space="preserve">(ages 14-21)  </w:t>
            </w:r>
          </w:p>
        </w:tc>
        <w:tc>
          <w:tcPr>
            <w:tcW w:w="669" w:type="pct"/>
            <w:shd w:val="clear" w:color="auto" w:fill="D9D9D9" w:themeFill="background1" w:themeFillShade="D9"/>
            <w:vAlign w:val="center"/>
          </w:tcPr>
          <w:p w14:paraId="74998318" w14:textId="14A88853" w:rsidR="0098478C" w:rsidRPr="000F6E74" w:rsidRDefault="00F6415A" w:rsidP="003E4F35">
            <w:pPr>
              <w:spacing w:after="0"/>
              <w:jc w:val="center"/>
              <w:rPr>
                <w:rFonts w:cs="Arial"/>
                <w:b/>
                <w:szCs w:val="16"/>
              </w:rPr>
            </w:pPr>
            <w:r w:rsidRPr="000F6E74">
              <w:rPr>
                <w:rFonts w:cs="Arial"/>
                <w:b/>
                <w:szCs w:val="16"/>
              </w:rPr>
              <w:t>FFY 2019 Data</w:t>
            </w:r>
          </w:p>
        </w:tc>
        <w:tc>
          <w:tcPr>
            <w:tcW w:w="614" w:type="pct"/>
            <w:shd w:val="clear" w:color="auto" w:fill="D9D9D9" w:themeFill="background1" w:themeFillShade="D9"/>
            <w:vAlign w:val="center"/>
          </w:tcPr>
          <w:p w14:paraId="5A1C61A6" w14:textId="208288A2" w:rsidR="0098478C" w:rsidRPr="000F6E74" w:rsidRDefault="00F6415A" w:rsidP="003E4F35">
            <w:pPr>
              <w:spacing w:after="0"/>
              <w:jc w:val="center"/>
              <w:rPr>
                <w:rFonts w:cs="Arial"/>
                <w:b/>
                <w:szCs w:val="16"/>
              </w:rPr>
            </w:pPr>
            <w:r w:rsidRPr="000F6E74">
              <w:rPr>
                <w:rFonts w:cs="Arial"/>
                <w:b/>
                <w:szCs w:val="16"/>
              </w:rPr>
              <w:t>FFY 2020 Target</w:t>
            </w:r>
          </w:p>
        </w:tc>
        <w:tc>
          <w:tcPr>
            <w:tcW w:w="633" w:type="pct"/>
            <w:shd w:val="clear" w:color="auto" w:fill="D9D9D9" w:themeFill="background1" w:themeFillShade="D9"/>
            <w:vAlign w:val="center"/>
          </w:tcPr>
          <w:p w14:paraId="51DD5A1B" w14:textId="4AC07655" w:rsidR="0098478C" w:rsidRPr="000F6E74" w:rsidRDefault="00F6415A" w:rsidP="003E4F35">
            <w:pPr>
              <w:spacing w:after="0"/>
              <w:jc w:val="center"/>
              <w:rPr>
                <w:rFonts w:cs="Arial"/>
                <w:b/>
                <w:szCs w:val="16"/>
              </w:rPr>
            </w:pPr>
            <w:r w:rsidRPr="000F6E74">
              <w:rPr>
                <w:rFonts w:cs="Arial"/>
                <w:b/>
                <w:szCs w:val="16"/>
              </w:rPr>
              <w:t>FFY 2020 Data</w:t>
            </w:r>
          </w:p>
        </w:tc>
        <w:tc>
          <w:tcPr>
            <w:tcW w:w="616" w:type="pct"/>
            <w:shd w:val="clear" w:color="auto" w:fill="D9D9D9" w:themeFill="background1" w:themeFillShade="D9"/>
            <w:vAlign w:val="center"/>
          </w:tcPr>
          <w:p w14:paraId="23C86FAA" w14:textId="7FC8D54B" w:rsidR="0098478C" w:rsidRPr="000F6E74" w:rsidRDefault="0098478C" w:rsidP="003E4F35">
            <w:pPr>
              <w:spacing w:after="0"/>
              <w:jc w:val="center"/>
              <w:rPr>
                <w:rFonts w:cs="Arial"/>
                <w:b/>
                <w:szCs w:val="16"/>
              </w:rPr>
            </w:pPr>
            <w:r w:rsidRPr="000F6E74">
              <w:rPr>
                <w:rFonts w:cs="Arial"/>
                <w:b/>
                <w:szCs w:val="16"/>
              </w:rPr>
              <w:t>Status</w:t>
            </w:r>
          </w:p>
        </w:tc>
        <w:tc>
          <w:tcPr>
            <w:tcW w:w="595" w:type="pct"/>
            <w:shd w:val="clear" w:color="auto" w:fill="D9D9D9" w:themeFill="background1" w:themeFillShade="D9"/>
            <w:vAlign w:val="center"/>
          </w:tcPr>
          <w:p w14:paraId="6EE58552" w14:textId="4AA8F220" w:rsidR="0098478C" w:rsidRPr="000F6E74" w:rsidRDefault="0098478C" w:rsidP="003E4F35">
            <w:pPr>
              <w:spacing w:after="0"/>
              <w:jc w:val="center"/>
              <w:rPr>
                <w:rFonts w:cs="Arial"/>
                <w:b/>
                <w:szCs w:val="16"/>
              </w:rPr>
            </w:pPr>
            <w:r w:rsidRPr="000F6E74">
              <w:rPr>
                <w:rFonts w:cs="Arial"/>
                <w:b/>
                <w:szCs w:val="16"/>
              </w:rPr>
              <w:t>Slippage</w:t>
            </w:r>
          </w:p>
        </w:tc>
      </w:tr>
      <w:tr w:rsidR="000F6E74" w:rsidRPr="000F6E74" w14:paraId="601A0599" w14:textId="76387A52" w:rsidTr="00B31CF2">
        <w:trPr>
          <w:trHeight w:val="530"/>
        </w:trPr>
        <w:tc>
          <w:tcPr>
            <w:tcW w:w="956" w:type="pct"/>
            <w:shd w:val="clear" w:color="auto" w:fill="auto"/>
            <w:vAlign w:val="center"/>
          </w:tcPr>
          <w:p w14:paraId="70B1C138" w14:textId="6CAA41C3" w:rsidR="0098478C" w:rsidRPr="000F6E74" w:rsidRDefault="002B7490" w:rsidP="003E4F35">
            <w:pPr>
              <w:spacing w:after="0"/>
              <w:jc w:val="center"/>
              <w:rPr>
                <w:rFonts w:cs="Arial"/>
                <w:szCs w:val="16"/>
              </w:rPr>
            </w:pPr>
            <w:r w:rsidRPr="000F6E74">
              <w:rPr>
                <w:rFonts w:cs="Arial"/>
                <w:szCs w:val="16"/>
              </w:rPr>
              <w:t>8,707</w:t>
            </w:r>
          </w:p>
        </w:tc>
        <w:tc>
          <w:tcPr>
            <w:tcW w:w="917" w:type="pct"/>
            <w:shd w:val="clear" w:color="auto" w:fill="auto"/>
            <w:vAlign w:val="center"/>
          </w:tcPr>
          <w:p w14:paraId="614E7B59" w14:textId="5AA9B72C" w:rsidR="0098478C" w:rsidRPr="000F6E74" w:rsidRDefault="002B7490" w:rsidP="003E4F35">
            <w:pPr>
              <w:spacing w:after="0"/>
              <w:jc w:val="center"/>
              <w:rPr>
                <w:rFonts w:cs="Arial"/>
                <w:szCs w:val="16"/>
              </w:rPr>
            </w:pPr>
            <w:r w:rsidRPr="000F6E74">
              <w:rPr>
                <w:rFonts w:cs="Arial"/>
                <w:szCs w:val="16"/>
              </w:rPr>
              <w:t>12,309</w:t>
            </w:r>
          </w:p>
        </w:tc>
        <w:tc>
          <w:tcPr>
            <w:tcW w:w="669" w:type="pct"/>
            <w:shd w:val="clear" w:color="auto" w:fill="auto"/>
            <w:vAlign w:val="center"/>
          </w:tcPr>
          <w:p w14:paraId="02406DF0" w14:textId="52BAECC6" w:rsidR="0098478C" w:rsidRPr="000F6E74" w:rsidRDefault="002B7490" w:rsidP="003E4F35">
            <w:pPr>
              <w:spacing w:after="0"/>
              <w:jc w:val="center"/>
              <w:rPr>
                <w:rFonts w:cs="Arial"/>
                <w:szCs w:val="16"/>
              </w:rPr>
            </w:pPr>
            <w:r w:rsidRPr="000F6E74">
              <w:rPr>
                <w:rFonts w:cs="Arial"/>
                <w:szCs w:val="16"/>
              </w:rPr>
              <w:t>62.88%</w:t>
            </w:r>
          </w:p>
        </w:tc>
        <w:tc>
          <w:tcPr>
            <w:tcW w:w="614" w:type="pct"/>
            <w:shd w:val="clear" w:color="auto" w:fill="auto"/>
            <w:vAlign w:val="center"/>
          </w:tcPr>
          <w:p w14:paraId="2398C001" w14:textId="76ED9E04" w:rsidR="0098478C" w:rsidRPr="000F6E74" w:rsidRDefault="002B7490" w:rsidP="003E4F35">
            <w:pPr>
              <w:spacing w:after="0"/>
              <w:jc w:val="center"/>
              <w:rPr>
                <w:rFonts w:cs="Arial"/>
                <w:szCs w:val="16"/>
              </w:rPr>
            </w:pPr>
            <w:r w:rsidRPr="000F6E74">
              <w:rPr>
                <w:rFonts w:cs="Arial"/>
                <w:szCs w:val="16"/>
              </w:rPr>
              <w:t>70.74%</w:t>
            </w:r>
          </w:p>
        </w:tc>
        <w:tc>
          <w:tcPr>
            <w:tcW w:w="633" w:type="pct"/>
            <w:shd w:val="clear" w:color="auto" w:fill="auto"/>
            <w:vAlign w:val="center"/>
          </w:tcPr>
          <w:p w14:paraId="4A53AF2D" w14:textId="3BE4EB07" w:rsidR="0098478C" w:rsidRPr="000F6E74" w:rsidRDefault="002B7490" w:rsidP="003E4F35">
            <w:pPr>
              <w:spacing w:after="0"/>
              <w:jc w:val="center"/>
              <w:rPr>
                <w:rFonts w:cs="Arial"/>
                <w:szCs w:val="16"/>
              </w:rPr>
            </w:pPr>
            <w:r w:rsidRPr="000F6E74">
              <w:rPr>
                <w:rFonts w:cs="Arial"/>
                <w:szCs w:val="16"/>
              </w:rPr>
              <w:t>70.74%</w:t>
            </w:r>
          </w:p>
        </w:tc>
        <w:tc>
          <w:tcPr>
            <w:tcW w:w="616" w:type="pct"/>
            <w:shd w:val="clear" w:color="auto" w:fill="auto"/>
            <w:vAlign w:val="center"/>
          </w:tcPr>
          <w:p w14:paraId="0A60DC85" w14:textId="479F7096" w:rsidR="0098478C" w:rsidRPr="000F6E74" w:rsidRDefault="002B7490" w:rsidP="003E4F35">
            <w:pPr>
              <w:spacing w:after="0"/>
              <w:jc w:val="center"/>
              <w:rPr>
                <w:rFonts w:cs="Arial"/>
                <w:szCs w:val="16"/>
              </w:rPr>
            </w:pPr>
            <w:r w:rsidRPr="000F6E74">
              <w:rPr>
                <w:rFonts w:cs="Arial"/>
                <w:szCs w:val="16"/>
              </w:rPr>
              <w:t>N/A</w:t>
            </w:r>
          </w:p>
        </w:tc>
        <w:tc>
          <w:tcPr>
            <w:tcW w:w="595" w:type="pct"/>
            <w:shd w:val="clear" w:color="auto" w:fill="auto"/>
            <w:vAlign w:val="center"/>
          </w:tcPr>
          <w:p w14:paraId="6FB98C67" w14:textId="68AEDB07" w:rsidR="0098478C" w:rsidRPr="000F6E74" w:rsidRDefault="002B7490" w:rsidP="003E4F35">
            <w:pPr>
              <w:spacing w:after="0"/>
              <w:jc w:val="center"/>
              <w:rPr>
                <w:rFonts w:cs="Arial"/>
                <w:szCs w:val="16"/>
              </w:rPr>
            </w:pPr>
            <w:r w:rsidRPr="000F6E74">
              <w:rPr>
                <w:rFonts w:cs="Arial"/>
                <w:szCs w:val="16"/>
              </w:rPr>
              <w:t>N/A</w:t>
            </w:r>
          </w:p>
        </w:tc>
      </w:tr>
    </w:tbl>
    <w:p w14:paraId="6F88DA3C" w14:textId="77777777" w:rsidR="00DE2CFA" w:rsidRPr="000F6E74" w:rsidRDefault="00DE2CFA">
      <w:pPr>
        <w:spacing w:after="200"/>
        <w:rPr>
          <w:b/>
        </w:rPr>
      </w:pPr>
      <w:r w:rsidRPr="000F6E74">
        <w:rPr>
          <w:b/>
        </w:rPr>
        <w:br w:type="page"/>
      </w:r>
    </w:p>
    <w:p w14:paraId="2BB119D0" w14:textId="7D2780E5" w:rsidR="005E59DB" w:rsidRPr="000F6E74" w:rsidRDefault="005E59DB" w:rsidP="0036581E">
      <w:pPr>
        <w:pStyle w:val="Heading4"/>
      </w:pPr>
      <w:r w:rsidRPr="000F6E74">
        <w:lastRenderedPageBreak/>
        <w:t>Graduation Conditions</w:t>
      </w:r>
    </w:p>
    <w:p w14:paraId="44381070" w14:textId="757A1B8A" w:rsidR="005E59DB" w:rsidRPr="000F6E74" w:rsidRDefault="00C14D48" w:rsidP="00CC708D">
      <w:pPr>
        <w:rPr>
          <w:rFonts w:cs="Arial"/>
          <w:b/>
          <w:i/>
          <w:szCs w:val="16"/>
        </w:rPr>
      </w:pPr>
      <w:r w:rsidRPr="000F6E74">
        <w:rPr>
          <w:rFonts w:cs="Arial"/>
          <w:b/>
          <w:szCs w:val="16"/>
        </w:rPr>
        <w:t xml:space="preserve">Provide a narrative that describes the conditions youth must meet </w:t>
      </w:r>
      <w:proofErr w:type="gramStart"/>
      <w:r w:rsidRPr="000F6E74">
        <w:rPr>
          <w:rFonts w:cs="Arial"/>
          <w:b/>
          <w:szCs w:val="16"/>
        </w:rPr>
        <w:t>in order to</w:t>
      </w:r>
      <w:proofErr w:type="gramEnd"/>
      <w:r w:rsidRPr="000F6E74">
        <w:rPr>
          <w:rFonts w:cs="Arial"/>
          <w:b/>
          <w:szCs w:val="16"/>
        </w:rPr>
        <w:t xml:space="preserve"> graduate with a regular high school diploma.</w:t>
      </w:r>
    </w:p>
    <w:p w14:paraId="2092CD63" w14:textId="77777777" w:rsidR="003E4F35" w:rsidRPr="003856F1" w:rsidRDefault="002B7490" w:rsidP="00314F94">
      <w:pPr>
        <w:pStyle w:val="ListParagraph"/>
        <w:numPr>
          <w:ilvl w:val="0"/>
          <w:numId w:val="67"/>
        </w:numPr>
        <w:rPr>
          <w:rFonts w:cs="Arial"/>
          <w:szCs w:val="16"/>
        </w:rPr>
      </w:pPr>
      <w:r w:rsidRPr="003856F1">
        <w:rPr>
          <w:rFonts w:cs="Arial"/>
          <w:szCs w:val="16"/>
        </w:rPr>
        <w:t>To have graduated in 2019-2020 with a regular diploma (Standard Diploma) in Virginia, a student earned at least 22 standard units of credit by passing required courses and electives. The minimum course requirements included: English (4); Math (3); Laboratory Science (3); History and Social Sciences (3); Health and Physical Education (2); Foreign Language, Fine Arts, or Career and Technical Education (2); Economics and Personal Finance (1); and electives (4). Beginning with students entering ninth grade for the first time in 2013-2014, a student must also have earned a board-approved career and technical education credential and successfully completed one virtual course, which may have been noncredit bearing.</w:t>
      </w:r>
    </w:p>
    <w:p w14:paraId="39A31D70" w14:textId="22047E66" w:rsidR="003E4F35" w:rsidRDefault="002B7490" w:rsidP="004C1EC0">
      <w:pPr>
        <w:ind w:left="720"/>
        <w:rPr>
          <w:rFonts w:cs="Arial"/>
          <w:color w:val="000000" w:themeColor="text1"/>
          <w:szCs w:val="16"/>
        </w:rPr>
      </w:pPr>
      <w:r w:rsidRPr="000F6E74">
        <w:rPr>
          <w:rFonts w:cs="Arial"/>
          <w:szCs w:val="16"/>
        </w:rPr>
        <w:t xml:space="preserve">In addition, all recipients of the Standard Diploma earned at least six verified credits by passing end-of-course Standards of Learning (SOL) tests (i.e., statewide assessments) or other assessments approved by the State Board of Education. The minimum verified units of credit </w:t>
      </w:r>
      <w:proofErr w:type="gramStart"/>
      <w:r w:rsidRPr="000F6E74">
        <w:rPr>
          <w:rFonts w:cs="Arial"/>
          <w:szCs w:val="16"/>
        </w:rPr>
        <w:t>include:</w:t>
      </w:r>
      <w:proofErr w:type="gramEnd"/>
      <w:r w:rsidRPr="000F6E74">
        <w:rPr>
          <w:rFonts w:cs="Arial"/>
          <w:szCs w:val="16"/>
        </w:rPr>
        <w:t xml:space="preserve"> English (2), Math (1), Laboratory Science (1), History and Social Sciences (1), and student-selected assessment (1). Additional information pertaining to the </w:t>
      </w:r>
      <w:hyperlink r:id="rId16" w:history="1">
        <w:r w:rsidRPr="007A0DB8">
          <w:rPr>
            <w:rStyle w:val="Hyperlink"/>
            <w:rFonts w:cs="Arial"/>
            <w:szCs w:val="16"/>
          </w:rPr>
          <w:t>minimum course and credit requirements for the Standard Diploma</w:t>
        </w:r>
      </w:hyperlink>
      <w:r w:rsidRPr="000F6E74">
        <w:rPr>
          <w:rFonts w:cs="Arial"/>
          <w:szCs w:val="16"/>
        </w:rPr>
        <w:t xml:space="preserve"> can be found at</w:t>
      </w:r>
      <w:r w:rsidR="009615F9">
        <w:rPr>
          <w:rFonts w:cs="Arial"/>
          <w:szCs w:val="16"/>
        </w:rPr>
        <w:t xml:space="preserve"> </w:t>
      </w:r>
      <w:r w:rsidR="009615F9" w:rsidRPr="009615F9">
        <w:rPr>
          <w:rFonts w:cs="Arial"/>
          <w:szCs w:val="16"/>
        </w:rPr>
        <w:t>https://www.doe.virginia.gov/?navid=160</w:t>
      </w:r>
      <w:r w:rsidRPr="00781112">
        <w:rPr>
          <w:rFonts w:cs="Arial"/>
          <w:color w:val="000000" w:themeColor="text1"/>
          <w:szCs w:val="16"/>
        </w:rPr>
        <w:t>.</w:t>
      </w:r>
    </w:p>
    <w:p w14:paraId="7C1B3984" w14:textId="0B43AB96" w:rsidR="002D145D" w:rsidRPr="000F6E74" w:rsidRDefault="002B7490" w:rsidP="004C1EC0">
      <w:pPr>
        <w:ind w:left="720"/>
        <w:rPr>
          <w:rFonts w:cs="Arial"/>
          <w:szCs w:val="16"/>
        </w:rPr>
      </w:pPr>
      <w:r w:rsidRPr="000F6E74">
        <w:rPr>
          <w:rFonts w:cs="Arial"/>
          <w:szCs w:val="16"/>
        </w:rPr>
        <w:t>The conditions to graduate with a regular high school diploma in Virginia are the same for all students, including students with IEPs.</w:t>
      </w:r>
    </w:p>
    <w:p w14:paraId="58C36CC8" w14:textId="7DE9B0CE" w:rsidR="00F672DF" w:rsidRPr="000F6E74" w:rsidRDefault="00F672DF" w:rsidP="00CC708D">
      <w:pPr>
        <w:rPr>
          <w:rFonts w:cs="Arial"/>
          <w:b/>
          <w:szCs w:val="16"/>
        </w:rPr>
      </w:pPr>
      <w:r w:rsidRPr="000F6E74">
        <w:rPr>
          <w:rFonts w:cs="Arial"/>
          <w:b/>
          <w:szCs w:val="16"/>
        </w:rPr>
        <w:t>Are the conditions that youth with IEPs must meet to graduate with a regular high school diploma different from the conditions noted above? (yes/no)</w:t>
      </w:r>
    </w:p>
    <w:p w14:paraId="0930BD95" w14:textId="5F49E656" w:rsidR="00F672DF" w:rsidRPr="003856F1" w:rsidRDefault="00F672DF" w:rsidP="00314F94">
      <w:pPr>
        <w:pStyle w:val="ListParagraph"/>
        <w:numPr>
          <w:ilvl w:val="0"/>
          <w:numId w:val="68"/>
        </w:numPr>
        <w:rPr>
          <w:rFonts w:cs="Arial"/>
          <w:szCs w:val="16"/>
        </w:rPr>
      </w:pPr>
      <w:r w:rsidRPr="003856F1">
        <w:rPr>
          <w:rFonts w:cs="Arial"/>
          <w:szCs w:val="16"/>
        </w:rPr>
        <w:t>N</w:t>
      </w:r>
      <w:r w:rsidR="006A24D8" w:rsidRPr="003856F1">
        <w:rPr>
          <w:rFonts w:cs="Arial"/>
          <w:szCs w:val="16"/>
        </w:rPr>
        <w:t>o</w:t>
      </w:r>
    </w:p>
    <w:p w14:paraId="51BF8B64" w14:textId="746664C9" w:rsidR="0098478C" w:rsidRPr="000F6E74" w:rsidRDefault="0098478C" w:rsidP="00D73ABA">
      <w:pPr>
        <w:pStyle w:val="Heading4"/>
      </w:pPr>
      <w:r w:rsidRPr="000F6E74">
        <w:t>Provide additional information about this indicator (optional)</w:t>
      </w:r>
    </w:p>
    <w:p w14:paraId="2CDAC437" w14:textId="58A5CDB2" w:rsidR="002D145D" w:rsidRPr="003856F1" w:rsidRDefault="002B7490" w:rsidP="00314F94">
      <w:pPr>
        <w:pStyle w:val="ListParagraph"/>
        <w:numPr>
          <w:ilvl w:val="0"/>
          <w:numId w:val="69"/>
        </w:numPr>
        <w:rPr>
          <w:rFonts w:cs="Arial"/>
          <w:szCs w:val="16"/>
        </w:rPr>
      </w:pPr>
      <w:r w:rsidRPr="003856F1">
        <w:rPr>
          <w:rFonts w:cs="Arial"/>
          <w:szCs w:val="16"/>
        </w:rPr>
        <w:t>The baseline data was revised due to a change in the data source for the indicator that impacts comparability of the data. The new baseline year is FFY 2020.</w:t>
      </w:r>
    </w:p>
    <w:p w14:paraId="7D2A5658" w14:textId="39995CE7" w:rsidR="000C60E1" w:rsidRPr="000F6E74" w:rsidRDefault="00B0742B" w:rsidP="00DE2CFA">
      <w:pPr>
        <w:pStyle w:val="Heading3"/>
        <w:rPr>
          <w:color w:val="auto"/>
        </w:rPr>
      </w:pPr>
      <w:bookmarkStart w:id="4" w:name="_Toc382082358"/>
      <w:r w:rsidRPr="000F6E74">
        <w:rPr>
          <w:color w:val="auto"/>
        </w:rPr>
        <w:t>1</w:t>
      </w:r>
      <w:r w:rsidR="00684B51" w:rsidRPr="000F6E74">
        <w:rPr>
          <w:color w:val="auto"/>
        </w:rPr>
        <w:t xml:space="preserve"> </w:t>
      </w:r>
      <w:r w:rsidRPr="000F6E74">
        <w:rPr>
          <w:color w:val="auto"/>
        </w:rPr>
        <w:t xml:space="preserve">- </w:t>
      </w:r>
      <w:r w:rsidR="002D145D" w:rsidRPr="000F6E74">
        <w:rPr>
          <w:color w:val="auto"/>
        </w:rPr>
        <w:t>Prior FFY Required Actions</w:t>
      </w:r>
    </w:p>
    <w:p w14:paraId="12317A47" w14:textId="4692B7B0" w:rsidR="00A2794A" w:rsidRPr="003856F1" w:rsidRDefault="002B7490" w:rsidP="00314F94">
      <w:pPr>
        <w:pStyle w:val="ListParagraph"/>
        <w:numPr>
          <w:ilvl w:val="0"/>
          <w:numId w:val="70"/>
        </w:numPr>
        <w:rPr>
          <w:rFonts w:cs="Arial"/>
          <w:szCs w:val="16"/>
        </w:rPr>
      </w:pPr>
      <w:r w:rsidRPr="003856F1">
        <w:rPr>
          <w:rFonts w:cs="Arial"/>
          <w:szCs w:val="16"/>
        </w:rPr>
        <w:t>None</w:t>
      </w:r>
    </w:p>
    <w:p w14:paraId="0D99EF95" w14:textId="4B8DDAD7" w:rsidR="004C462E" w:rsidRPr="000F6E74" w:rsidRDefault="00862B20" w:rsidP="00CC708D">
      <w:pPr>
        <w:pStyle w:val="Heading3"/>
        <w:rPr>
          <w:color w:val="auto"/>
        </w:rPr>
      </w:pPr>
      <w:r w:rsidRPr="000F6E74">
        <w:rPr>
          <w:color w:val="auto"/>
        </w:rPr>
        <w:t>1</w:t>
      </w:r>
      <w:r w:rsidR="00684B51" w:rsidRPr="000F6E74">
        <w:rPr>
          <w:color w:val="auto"/>
        </w:rPr>
        <w:t xml:space="preserve"> </w:t>
      </w:r>
      <w:r w:rsidRPr="000F6E74">
        <w:rPr>
          <w:color w:val="auto"/>
        </w:rPr>
        <w:t xml:space="preserve">- </w:t>
      </w:r>
      <w:r w:rsidR="004C462E" w:rsidRPr="000F6E74">
        <w:rPr>
          <w:color w:val="auto"/>
        </w:rPr>
        <w:t>OSEP Response</w:t>
      </w:r>
    </w:p>
    <w:p w14:paraId="195C45FA" w14:textId="77777777" w:rsidR="003E4F35" w:rsidRPr="003856F1" w:rsidRDefault="002B7490" w:rsidP="00314F94">
      <w:pPr>
        <w:pStyle w:val="ListParagraph"/>
        <w:numPr>
          <w:ilvl w:val="0"/>
          <w:numId w:val="71"/>
        </w:numPr>
        <w:rPr>
          <w:rFonts w:cs="Arial"/>
          <w:szCs w:val="16"/>
        </w:rPr>
      </w:pPr>
      <w:r w:rsidRPr="003856F1">
        <w:rPr>
          <w:rFonts w:cs="Arial"/>
          <w:szCs w:val="16"/>
        </w:rPr>
        <w:t>The State has revised the baseline for this indicator, using data from FFY 2020, and OSEP accepts that revision.</w:t>
      </w:r>
    </w:p>
    <w:p w14:paraId="47549565" w14:textId="3FB4E259" w:rsidR="002D145D" w:rsidRPr="000F6E74" w:rsidRDefault="002B7490" w:rsidP="004C1EC0">
      <w:pPr>
        <w:ind w:left="720"/>
        <w:rPr>
          <w:rFonts w:cs="Arial"/>
          <w:szCs w:val="16"/>
        </w:rPr>
      </w:pPr>
      <w:r w:rsidRPr="000F6E74">
        <w:rPr>
          <w:rFonts w:cs="Arial"/>
          <w:szCs w:val="16"/>
        </w:rPr>
        <w:t>The State provided targets for FFYs 2020 through 2025 for this indicator, and OSEP accepts those targets.</w:t>
      </w:r>
    </w:p>
    <w:p w14:paraId="5F7376D0" w14:textId="628398D5" w:rsidR="004C462E" w:rsidRPr="000F6E74" w:rsidRDefault="00B0742B" w:rsidP="00CC708D">
      <w:pPr>
        <w:pStyle w:val="Heading3"/>
        <w:rPr>
          <w:color w:val="auto"/>
        </w:rPr>
      </w:pPr>
      <w:bookmarkStart w:id="5" w:name="_Hlk21352084"/>
      <w:r w:rsidRPr="000F6E74">
        <w:rPr>
          <w:color w:val="auto"/>
        </w:rPr>
        <w:t xml:space="preserve">1 - </w:t>
      </w:r>
      <w:bookmarkEnd w:id="5"/>
      <w:r w:rsidR="004C462E" w:rsidRPr="000F6E74">
        <w:rPr>
          <w:color w:val="auto"/>
        </w:rPr>
        <w:t>Required Actions</w:t>
      </w:r>
    </w:p>
    <w:p w14:paraId="6345FC57" w14:textId="39AF388D" w:rsidR="00DE2CFA" w:rsidRPr="000F6E74" w:rsidRDefault="00DE2CFA" w:rsidP="00314F94">
      <w:pPr>
        <w:pStyle w:val="ListParagraph"/>
        <w:numPr>
          <w:ilvl w:val="0"/>
          <w:numId w:val="72"/>
        </w:numPr>
      </w:pPr>
      <w:r w:rsidRPr="000F6E74">
        <w:lastRenderedPageBreak/>
        <w:t>Not applicable</w:t>
      </w:r>
      <w:r w:rsidRPr="000F6E74">
        <w:br w:type="page"/>
      </w:r>
    </w:p>
    <w:p w14:paraId="06F42DD3" w14:textId="793A19C1" w:rsidR="00D21EAA" w:rsidRPr="000F6E74" w:rsidRDefault="00D21EAA" w:rsidP="008143AB">
      <w:pPr>
        <w:pStyle w:val="Heading2"/>
      </w:pPr>
      <w:bookmarkStart w:id="6" w:name="_Toc392159262"/>
      <w:r w:rsidRPr="000F6E74">
        <w:lastRenderedPageBreak/>
        <w:t>Indicator 2: Drop Out</w:t>
      </w:r>
      <w:bookmarkEnd w:id="4"/>
      <w:bookmarkEnd w:id="6"/>
    </w:p>
    <w:p w14:paraId="7F31959F" w14:textId="6C15FFEB" w:rsidR="002C60D5" w:rsidRPr="000F6E74" w:rsidRDefault="002C60D5" w:rsidP="0036581E">
      <w:pPr>
        <w:pStyle w:val="Heading3"/>
        <w:spacing w:before="240"/>
      </w:pPr>
      <w:r w:rsidRPr="000F6E74">
        <w:t>Instructions and Measurement</w:t>
      </w:r>
    </w:p>
    <w:p w14:paraId="608EBBFC" w14:textId="77777777" w:rsidR="004B782D" w:rsidRPr="000F6E74" w:rsidRDefault="004B782D" w:rsidP="004369B2">
      <w:bookmarkStart w:id="7" w:name="_Toc392159263"/>
      <w:r w:rsidRPr="000F6E74">
        <w:rPr>
          <w:b/>
        </w:rPr>
        <w:t>Monitoring Priority:</w:t>
      </w:r>
      <w:r w:rsidRPr="000F6E74">
        <w:t xml:space="preserve"> FAPE in the LRE</w:t>
      </w:r>
    </w:p>
    <w:p w14:paraId="5ECEA58F" w14:textId="5A7B31F9" w:rsidR="004B782D" w:rsidRPr="000F6E74" w:rsidRDefault="004B782D" w:rsidP="009340E3">
      <w:r w:rsidRPr="000F6E74">
        <w:rPr>
          <w:b/>
        </w:rPr>
        <w:t>Results indicator:</w:t>
      </w:r>
      <w:r w:rsidR="00552927" w:rsidRPr="000F6E74">
        <w:t xml:space="preserve"> </w:t>
      </w:r>
      <w:r w:rsidRPr="000F6E74">
        <w:t xml:space="preserve">Percent of youth with IEPs </w:t>
      </w:r>
      <w:r w:rsidR="00CB505C" w:rsidRPr="000F6E74">
        <w:rPr>
          <w:rFonts w:cs="Arial"/>
          <w:szCs w:val="16"/>
        </w:rPr>
        <w:t xml:space="preserve">who exited special education due to </w:t>
      </w:r>
      <w:r w:rsidRPr="000F6E74">
        <w:t>dropping out.</w:t>
      </w:r>
      <w:r w:rsidR="00552927" w:rsidRPr="000F6E74">
        <w:t xml:space="preserve"> </w:t>
      </w:r>
      <w:r w:rsidRPr="000F6E74">
        <w:t>(20 U.S.C. 1416 (a)(3)(A))</w:t>
      </w:r>
    </w:p>
    <w:p w14:paraId="0A0172CD" w14:textId="77777777" w:rsidR="00553544" w:rsidRPr="000F6E74" w:rsidRDefault="00553544" w:rsidP="0036581E">
      <w:pPr>
        <w:pStyle w:val="Heading4"/>
      </w:pPr>
      <w:r w:rsidRPr="000F6E74">
        <w:t>Data Source</w:t>
      </w:r>
    </w:p>
    <w:p w14:paraId="403134A2" w14:textId="77777777" w:rsidR="00553544" w:rsidRPr="000F6E74" w:rsidRDefault="00553544" w:rsidP="00296D74">
      <w:pPr>
        <w:rPr>
          <w:rFonts w:cs="Arial"/>
          <w:szCs w:val="16"/>
        </w:rPr>
      </w:pPr>
      <w:r w:rsidRPr="000F6E74">
        <w:rPr>
          <w:rFonts w:cs="Arial"/>
          <w:szCs w:val="16"/>
        </w:rPr>
        <w:t>OPTION 1:</w:t>
      </w:r>
    </w:p>
    <w:p w14:paraId="3ABD013F" w14:textId="6B60845D" w:rsidR="00553544" w:rsidRPr="000F6E74" w:rsidRDefault="00553544" w:rsidP="00296D74">
      <w:pPr>
        <w:rPr>
          <w:rFonts w:cs="Arial"/>
          <w:szCs w:val="16"/>
        </w:rPr>
      </w:pPr>
      <w:r w:rsidRPr="000F6E74">
        <w:rPr>
          <w:rFonts w:cs="Arial"/>
          <w:szCs w:val="16"/>
        </w:rPr>
        <w:t xml:space="preserve">Same data as used for reporting to the Department under section 618 of the Individuals with Disabilities Education Act (IDEA), using the definitions in </w:t>
      </w:r>
      <w:proofErr w:type="spellStart"/>
      <w:r w:rsidRPr="000F6E74">
        <w:rPr>
          <w:rFonts w:cs="Arial"/>
          <w:szCs w:val="16"/>
        </w:rPr>
        <w:t>EDFacts</w:t>
      </w:r>
      <w:proofErr w:type="spellEnd"/>
      <w:r w:rsidRPr="000F6E74">
        <w:rPr>
          <w:rFonts w:cs="Arial"/>
          <w:szCs w:val="16"/>
        </w:rPr>
        <w:t xml:space="preserve"> file specification FS009.</w:t>
      </w:r>
    </w:p>
    <w:p w14:paraId="7FE591EB" w14:textId="4339144B" w:rsidR="00553544" w:rsidRPr="000F6E74" w:rsidRDefault="00553544" w:rsidP="00296D74">
      <w:pPr>
        <w:rPr>
          <w:rFonts w:cs="Arial"/>
          <w:szCs w:val="16"/>
        </w:rPr>
      </w:pPr>
      <w:r w:rsidRPr="000F6E74">
        <w:rPr>
          <w:rFonts w:cs="Arial"/>
          <w:szCs w:val="16"/>
        </w:rPr>
        <w:t xml:space="preserve">OPTION 2 </w:t>
      </w:r>
      <w:r w:rsidR="003704E3" w:rsidRPr="000F6E74">
        <w:rPr>
          <w:rFonts w:cs="Arial"/>
          <w:szCs w:val="16"/>
        </w:rPr>
        <w:t>(For FFY 2020 ONLY):</w:t>
      </w:r>
    </w:p>
    <w:p w14:paraId="251BE1E1" w14:textId="77777777" w:rsidR="00553544" w:rsidRPr="000F6E74" w:rsidRDefault="00553544" w:rsidP="00296D74">
      <w:pPr>
        <w:rPr>
          <w:rFonts w:cs="Arial"/>
          <w:szCs w:val="16"/>
        </w:rPr>
      </w:pPr>
      <w:r w:rsidRPr="000F6E74">
        <w:rPr>
          <w:rFonts w:cs="Arial"/>
          <w:szCs w:val="16"/>
        </w:rPr>
        <w:t>Use same data source and measurement that the State used to report in its FFY 2010 SPP/APR that was submitted on February 1, 2012.</w:t>
      </w:r>
    </w:p>
    <w:p w14:paraId="660E9DFB" w14:textId="77777777" w:rsidR="00553544" w:rsidRPr="000F6E74" w:rsidRDefault="00553544" w:rsidP="0036581E">
      <w:pPr>
        <w:pStyle w:val="Heading4"/>
      </w:pPr>
      <w:r w:rsidRPr="000F6E74">
        <w:t>Measurement</w:t>
      </w:r>
    </w:p>
    <w:p w14:paraId="2DDFA00B" w14:textId="77777777" w:rsidR="00553544" w:rsidRPr="000F6E74" w:rsidRDefault="00553544" w:rsidP="00296D74">
      <w:pPr>
        <w:rPr>
          <w:rFonts w:cs="Arial"/>
          <w:szCs w:val="16"/>
        </w:rPr>
      </w:pPr>
      <w:r w:rsidRPr="000F6E74">
        <w:rPr>
          <w:rFonts w:cs="Arial"/>
          <w:szCs w:val="16"/>
        </w:rPr>
        <w:t>OPTION 1:</w:t>
      </w:r>
    </w:p>
    <w:p w14:paraId="770B9C89" w14:textId="7FCC5E3B" w:rsidR="00553544" w:rsidRPr="000F6E74" w:rsidRDefault="00553544" w:rsidP="00296D74">
      <w:pPr>
        <w:rPr>
          <w:rFonts w:cs="Arial"/>
          <w:szCs w:val="16"/>
        </w:rPr>
      </w:pPr>
      <w:r w:rsidRPr="000F6E74">
        <w:rPr>
          <w:rFonts w:cs="Arial"/>
          <w:szCs w:val="16"/>
        </w:rPr>
        <w:t xml:space="preserve">States must report a percentage using the number of </w:t>
      </w:r>
      <w:proofErr w:type="gramStart"/>
      <w:r w:rsidRPr="000F6E74">
        <w:rPr>
          <w:rFonts w:cs="Arial"/>
          <w:szCs w:val="16"/>
        </w:rPr>
        <w:t>youth</w:t>
      </w:r>
      <w:proofErr w:type="gramEnd"/>
      <w:r w:rsidRPr="000F6E74">
        <w:rPr>
          <w:rFonts w:cs="Arial"/>
          <w:szCs w:val="16"/>
        </w:rPr>
        <w:t xml:space="preserve"> with IEPs (ages 14-21) who exited special education due to dropping out in the numerator and the number of all youth with IEPs who </w:t>
      </w:r>
      <w:r w:rsidR="0053066F" w:rsidRPr="000F6E74">
        <w:rPr>
          <w:rFonts w:cs="Arial"/>
          <w:szCs w:val="16"/>
        </w:rPr>
        <w:t xml:space="preserve">exited special education </w:t>
      </w:r>
      <w:r w:rsidRPr="000F6E74">
        <w:rPr>
          <w:rFonts w:cs="Arial"/>
          <w:szCs w:val="16"/>
        </w:rPr>
        <w:t>(ages 14-21) in the denominator.</w:t>
      </w:r>
    </w:p>
    <w:p w14:paraId="13812C1B" w14:textId="5E47E73B" w:rsidR="00553544" w:rsidRPr="000F6E74" w:rsidRDefault="00553544" w:rsidP="00296D74">
      <w:pPr>
        <w:rPr>
          <w:rFonts w:cs="Arial"/>
          <w:szCs w:val="16"/>
        </w:rPr>
      </w:pPr>
      <w:r w:rsidRPr="000F6E74">
        <w:rPr>
          <w:rFonts w:cs="Arial"/>
          <w:szCs w:val="16"/>
        </w:rPr>
        <w:t xml:space="preserve">OPTION 2 </w:t>
      </w:r>
      <w:r w:rsidR="003704E3" w:rsidRPr="000F6E74">
        <w:rPr>
          <w:rFonts w:cs="Arial"/>
          <w:szCs w:val="16"/>
        </w:rPr>
        <w:t>(For FFY 2020 ONLY):</w:t>
      </w:r>
    </w:p>
    <w:p w14:paraId="5D85D6DB" w14:textId="77777777" w:rsidR="00553544" w:rsidRPr="000F6E74" w:rsidRDefault="00553544" w:rsidP="00296D74">
      <w:pPr>
        <w:rPr>
          <w:rFonts w:cs="Arial"/>
          <w:szCs w:val="16"/>
        </w:rPr>
      </w:pPr>
      <w:r w:rsidRPr="000F6E74">
        <w:rPr>
          <w:rFonts w:cs="Arial"/>
          <w:szCs w:val="16"/>
        </w:rPr>
        <w:t>Use same data source and measurement that the State used to report in its FFY 2010 SPP/APR that was submitted on February 1, 2012.</w:t>
      </w:r>
    </w:p>
    <w:p w14:paraId="0D547F78" w14:textId="77777777" w:rsidR="00553544" w:rsidRPr="000F6E74" w:rsidRDefault="00553544" w:rsidP="0036581E">
      <w:pPr>
        <w:pStyle w:val="Heading4"/>
      </w:pPr>
      <w:r w:rsidRPr="000F6E74">
        <w:t>Instructions</w:t>
      </w:r>
    </w:p>
    <w:p w14:paraId="64E3DDA2" w14:textId="778C5D45" w:rsidR="00553544" w:rsidRPr="000F6E74" w:rsidRDefault="00553544" w:rsidP="00296D74">
      <w:pPr>
        <w:rPr>
          <w:rFonts w:cs="Arial"/>
          <w:i/>
          <w:iCs/>
          <w:szCs w:val="16"/>
        </w:rPr>
      </w:pPr>
      <w:r w:rsidRPr="000F6E74">
        <w:rPr>
          <w:rFonts w:cs="Arial"/>
          <w:i/>
          <w:iCs/>
          <w:szCs w:val="16"/>
        </w:rPr>
        <w:t>Sampling is not allowed.</w:t>
      </w:r>
    </w:p>
    <w:p w14:paraId="4BE0B739" w14:textId="21FB5B8C" w:rsidR="00CC6131" w:rsidRPr="000F6E74" w:rsidRDefault="00CC6131" w:rsidP="00CC6131">
      <w:pPr>
        <w:rPr>
          <w:rFonts w:cs="Arial"/>
          <w:szCs w:val="16"/>
        </w:rPr>
      </w:pPr>
      <w:r w:rsidRPr="000F6E74">
        <w:rPr>
          <w:rFonts w:cs="Arial"/>
          <w:szCs w:val="16"/>
        </w:rPr>
        <w:t>Data for this indicator are “lag” data. Describe the results of the State’s examination of the data for the year before the reporting year (e.g., for the FFY 2020 SPP/APR, use data from 2019-2020), and compare the results to the target.</w:t>
      </w:r>
    </w:p>
    <w:p w14:paraId="5EE32A75" w14:textId="33358C7E" w:rsidR="00CC6131" w:rsidRPr="000F6E74" w:rsidRDefault="00CC6131" w:rsidP="00296D74">
      <w:pPr>
        <w:rPr>
          <w:rFonts w:cs="Arial"/>
          <w:szCs w:val="16"/>
        </w:rPr>
      </w:pPr>
      <w:r w:rsidRPr="000F6E74">
        <w:rPr>
          <w:rFonts w:cs="Arial"/>
          <w:szCs w:val="16"/>
        </w:rPr>
        <w:t xml:space="preserve">With the FFY 2020 SPP/APR, due February 1, 2022, States may use either option 1 or 2. </w:t>
      </w:r>
      <w:r w:rsidR="0053066F" w:rsidRPr="000F6E74">
        <w:rPr>
          <w:rFonts w:cs="Arial"/>
        </w:rPr>
        <w:t>States using Option 2 must provide the actual numbers used in the calculation.</w:t>
      </w:r>
    </w:p>
    <w:p w14:paraId="14BA6A38" w14:textId="77777777" w:rsidR="00553544" w:rsidRPr="000F6E74" w:rsidRDefault="00553544" w:rsidP="00296D74">
      <w:pPr>
        <w:rPr>
          <w:rFonts w:cs="Arial"/>
          <w:szCs w:val="16"/>
        </w:rPr>
      </w:pPr>
      <w:r w:rsidRPr="000F6E74">
        <w:rPr>
          <w:rFonts w:cs="Arial"/>
          <w:szCs w:val="16"/>
        </w:rPr>
        <w:t>OPTION 1:</w:t>
      </w:r>
    </w:p>
    <w:p w14:paraId="4E899C11" w14:textId="73C90DFD" w:rsidR="00553544" w:rsidRPr="000F6E74" w:rsidRDefault="00A14B5D" w:rsidP="00E706BB">
      <w:pPr>
        <w:rPr>
          <w:rFonts w:cs="Arial"/>
          <w:szCs w:val="16"/>
        </w:rPr>
      </w:pPr>
      <w:r w:rsidRPr="000F6E74">
        <w:rPr>
          <w:rFonts w:cs="Arial"/>
          <w:b/>
          <w:bCs/>
          <w:szCs w:val="16"/>
        </w:rPr>
        <w:t>Use 618 exiting data</w:t>
      </w:r>
      <w:r w:rsidRPr="000F6E74">
        <w:rPr>
          <w:rFonts w:cs="Arial"/>
          <w:szCs w:val="16"/>
        </w:rPr>
        <w:t xml:space="preserve"> for the year before the reporting year (e.g., for the FFY 2020 SPP/APR, use data from 2019-2020). Include in the denominator the following exiting categories: (a) graduated with </w:t>
      </w:r>
      <w:r w:rsidRPr="000F6E74">
        <w:rPr>
          <w:rFonts w:cs="Arial"/>
          <w:szCs w:val="16"/>
        </w:rPr>
        <w:lastRenderedPageBreak/>
        <w:t>a regular high school diploma;</w:t>
      </w:r>
      <w:r w:rsidR="00E706BB" w:rsidRPr="000F6E74">
        <w:rPr>
          <w:rFonts w:cs="Arial"/>
          <w:szCs w:val="16"/>
        </w:rPr>
        <w:t xml:space="preserve"> (b) graduated with a state-defined alternate diploma; (c) received a certificate; (d) reached maximum age; or (e) dropped out.</w:t>
      </w:r>
    </w:p>
    <w:p w14:paraId="10351B16" w14:textId="77777777" w:rsidR="00553544" w:rsidRPr="000F6E74" w:rsidRDefault="00553544" w:rsidP="00296D74">
      <w:pPr>
        <w:rPr>
          <w:rFonts w:cs="Arial"/>
          <w:szCs w:val="16"/>
        </w:rPr>
      </w:pPr>
      <w:r w:rsidRPr="000F6E74">
        <w:rPr>
          <w:rFonts w:cs="Arial"/>
          <w:szCs w:val="16"/>
        </w:rPr>
        <w:t xml:space="preserve">Do not include in the denominator the number of youths with IEPs who exited special education due to: (a) transferring to regular education; or (b) who </w:t>
      </w:r>
      <w:proofErr w:type="gramStart"/>
      <w:r w:rsidRPr="000F6E74">
        <w:rPr>
          <w:rFonts w:cs="Arial"/>
          <w:szCs w:val="16"/>
        </w:rPr>
        <w:t>moved, but</w:t>
      </w:r>
      <w:proofErr w:type="gramEnd"/>
      <w:r w:rsidRPr="000F6E74">
        <w:rPr>
          <w:rFonts w:cs="Arial"/>
          <w:szCs w:val="16"/>
        </w:rPr>
        <w:t xml:space="preserve"> are known to be continuing in an educational program.</w:t>
      </w:r>
    </w:p>
    <w:p w14:paraId="605CC57A" w14:textId="77777777" w:rsidR="00553544" w:rsidRPr="000F6E74" w:rsidRDefault="00553544" w:rsidP="00296D74">
      <w:pPr>
        <w:rPr>
          <w:rFonts w:cs="Arial"/>
          <w:szCs w:val="16"/>
        </w:rPr>
      </w:pPr>
      <w:r w:rsidRPr="000F6E74">
        <w:rPr>
          <w:rFonts w:cs="Arial"/>
          <w:szCs w:val="16"/>
        </w:rPr>
        <w:t>OPTION 2:</w:t>
      </w:r>
    </w:p>
    <w:p w14:paraId="6210B2C8" w14:textId="77777777" w:rsidR="00553544" w:rsidRPr="000F6E74" w:rsidRDefault="00553544" w:rsidP="00296D74">
      <w:pPr>
        <w:rPr>
          <w:rFonts w:cs="Arial"/>
          <w:szCs w:val="16"/>
        </w:rPr>
      </w:pPr>
      <w:r w:rsidRPr="000F6E74">
        <w:rPr>
          <w:rFonts w:cs="Arial"/>
          <w:szCs w:val="16"/>
        </w:rPr>
        <w:t>Use the annual event school dropout rate for students leaving a school in a single year determined in accordance with the National Center for Education Statistic's Common Core of Data.</w:t>
      </w:r>
    </w:p>
    <w:p w14:paraId="35A79E37" w14:textId="77777777" w:rsidR="00553544" w:rsidRPr="000F6E74" w:rsidRDefault="00553544" w:rsidP="00296D74">
      <w:pPr>
        <w:rPr>
          <w:rFonts w:cs="Arial"/>
          <w:szCs w:val="16"/>
        </w:rPr>
      </w:pPr>
      <w:r w:rsidRPr="000F6E74">
        <w:rPr>
          <w:rFonts w:cs="Arial"/>
          <w:szCs w:val="16"/>
        </w:rPr>
        <w:t>If the State has made or proposes to make changes to the data source or measurement under Option 2, when compared to the information reported in its FFY 2010 SPP/APR submitted on February 1, 2012, the State should include a justification as to why such changes are warranted.</w:t>
      </w:r>
    </w:p>
    <w:p w14:paraId="7A6D6B9C" w14:textId="2500B44D" w:rsidR="00553544" w:rsidRPr="000F6E74" w:rsidRDefault="00553544" w:rsidP="00296D74">
      <w:pPr>
        <w:rPr>
          <w:rFonts w:cs="Arial"/>
          <w:szCs w:val="16"/>
        </w:rPr>
      </w:pPr>
      <w:r w:rsidRPr="000F6E74">
        <w:rPr>
          <w:rFonts w:cs="Arial"/>
          <w:szCs w:val="16"/>
        </w:rPr>
        <w:t>Options 1 and 2:</w:t>
      </w:r>
    </w:p>
    <w:p w14:paraId="6B573FD8" w14:textId="77777777" w:rsidR="00573616" w:rsidRPr="000F6E74" w:rsidRDefault="00573616" w:rsidP="00573616">
      <w:pPr>
        <w:rPr>
          <w:rFonts w:cs="Arial"/>
          <w:szCs w:val="16"/>
        </w:rPr>
      </w:pPr>
      <w:r w:rsidRPr="000F6E74">
        <w:rPr>
          <w:rFonts w:cs="Arial"/>
          <w:szCs w:val="16"/>
        </w:rPr>
        <w:t>Provide a narrative that describes what counts as dropping out for all youth. Please explain if there is a difference between what counts as dropping out for all students and what counts as dropping out for students with IEPs.</w:t>
      </w:r>
    </w:p>
    <w:p w14:paraId="63E1EB8C" w14:textId="3E1A57D5" w:rsidR="00573616" w:rsidRPr="000F6E74" w:rsidRDefault="00573616" w:rsidP="00360DD6">
      <w:pPr>
        <w:rPr>
          <w:rFonts w:cs="Arial"/>
          <w:szCs w:val="16"/>
        </w:rPr>
      </w:pPr>
      <w:r w:rsidRPr="000F6E74">
        <w:rPr>
          <w:rFonts w:cs="Arial"/>
          <w:b/>
          <w:bCs/>
          <w:szCs w:val="16"/>
        </w:rPr>
        <w:t>Beginning with the FFY 2021 SPP/APR, due February 1, 2023</w:t>
      </w:r>
      <w:r w:rsidRPr="000F6E74">
        <w:rPr>
          <w:rFonts w:cs="Arial"/>
          <w:szCs w:val="16"/>
        </w:rPr>
        <w:t>, States must report data using</w:t>
      </w:r>
      <w:r w:rsidR="0053066F" w:rsidRPr="000F6E74">
        <w:rPr>
          <w:rFonts w:cs="Arial"/>
          <w:szCs w:val="16"/>
        </w:rPr>
        <w:t xml:space="preserve"> </w:t>
      </w:r>
      <w:r w:rsidR="0053066F" w:rsidRPr="000F6E74">
        <w:rPr>
          <w:rFonts w:cs="Arial"/>
        </w:rPr>
        <w:t>Option 1 (i.e., the same data as used for reporting to the Department under section 618 of the IDEA). Option 2 will not be available beginning with the FFY 2021 SPP/APR.</w:t>
      </w:r>
    </w:p>
    <w:bookmarkEnd w:id="7"/>
    <w:p w14:paraId="7F3C4C70" w14:textId="5E656134" w:rsidR="002C60D5" w:rsidRPr="000F6E74" w:rsidRDefault="00F914B4" w:rsidP="003E4F35">
      <w:pPr>
        <w:pStyle w:val="Heading3"/>
        <w:rPr>
          <w:color w:val="auto"/>
        </w:rPr>
      </w:pPr>
      <w:r w:rsidRPr="000F6E74">
        <w:rPr>
          <w:color w:val="auto"/>
        </w:rPr>
        <w:t>2</w:t>
      </w:r>
      <w:r w:rsidR="00684B51" w:rsidRPr="000F6E74">
        <w:rPr>
          <w:color w:val="auto"/>
        </w:rPr>
        <w:t xml:space="preserve"> </w:t>
      </w:r>
      <w:r w:rsidRPr="000F6E74">
        <w:rPr>
          <w:color w:val="auto"/>
        </w:rPr>
        <w:t xml:space="preserve">- </w:t>
      </w:r>
      <w:r w:rsidR="002C60D5" w:rsidRPr="000F6E74">
        <w:rPr>
          <w:color w:val="auto"/>
        </w:rPr>
        <w:t>Indicator Data</w:t>
      </w:r>
    </w:p>
    <w:p w14:paraId="16CF922B" w14:textId="6C18057E" w:rsidR="00845C0A" w:rsidRPr="00845C0A" w:rsidRDefault="00845C0A" w:rsidP="00815ACE">
      <w:pPr>
        <w:pStyle w:val="Caption"/>
      </w:pPr>
      <w:r w:rsidRPr="00845C0A">
        <w:t>Historical Data (2)</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562"/>
        <w:gridCol w:w="2563"/>
      </w:tblGrid>
      <w:tr w:rsidR="00845C0A" w:rsidRPr="00845C0A" w14:paraId="628BEDAF" w14:textId="77777777" w:rsidTr="00572E2A">
        <w:trPr>
          <w:trHeight w:val="311"/>
          <w:tblHeader/>
        </w:trPr>
        <w:tc>
          <w:tcPr>
            <w:tcW w:w="2562" w:type="dxa"/>
            <w:shd w:val="clear" w:color="auto" w:fill="D9D9D9" w:themeFill="background1" w:themeFillShade="D9"/>
            <w:vAlign w:val="center"/>
          </w:tcPr>
          <w:p w14:paraId="43FEF78C" w14:textId="77777777" w:rsidR="008F3F33" w:rsidRPr="00845C0A" w:rsidRDefault="008F3F33" w:rsidP="003E4F35">
            <w:pPr>
              <w:spacing w:after="0"/>
              <w:jc w:val="center"/>
              <w:rPr>
                <w:b/>
                <w:szCs w:val="24"/>
              </w:rPr>
            </w:pPr>
            <w:r w:rsidRPr="00845C0A">
              <w:rPr>
                <w:rFonts w:cs="Arial"/>
                <w:b/>
                <w:szCs w:val="24"/>
              </w:rPr>
              <w:t>Baseline Year</w:t>
            </w:r>
          </w:p>
        </w:tc>
        <w:tc>
          <w:tcPr>
            <w:tcW w:w="2563" w:type="dxa"/>
            <w:shd w:val="clear" w:color="auto" w:fill="D9D9D9" w:themeFill="background1" w:themeFillShade="D9"/>
            <w:vAlign w:val="center"/>
          </w:tcPr>
          <w:p w14:paraId="276B82F6" w14:textId="77777777" w:rsidR="008F3F33" w:rsidRPr="00845C0A" w:rsidRDefault="008F3F33" w:rsidP="003E4F35">
            <w:pPr>
              <w:spacing w:after="0"/>
              <w:jc w:val="center"/>
              <w:rPr>
                <w:b/>
                <w:szCs w:val="24"/>
              </w:rPr>
            </w:pPr>
            <w:r w:rsidRPr="00845C0A">
              <w:rPr>
                <w:b/>
                <w:szCs w:val="24"/>
              </w:rPr>
              <w:t>Baseline Data</w:t>
            </w:r>
          </w:p>
        </w:tc>
      </w:tr>
      <w:tr w:rsidR="00845C0A" w:rsidRPr="00845C0A" w14:paraId="4706A01B" w14:textId="77777777" w:rsidTr="00572E2A">
        <w:trPr>
          <w:trHeight w:val="311"/>
        </w:trPr>
        <w:tc>
          <w:tcPr>
            <w:tcW w:w="2562" w:type="dxa"/>
            <w:vAlign w:val="center"/>
          </w:tcPr>
          <w:p w14:paraId="2D2A3601" w14:textId="2E05C132" w:rsidR="008F3F33" w:rsidRPr="00845C0A" w:rsidRDefault="008F3F33" w:rsidP="003E4F35">
            <w:pPr>
              <w:spacing w:after="0"/>
              <w:jc w:val="center"/>
              <w:rPr>
                <w:bCs/>
                <w:szCs w:val="24"/>
              </w:rPr>
            </w:pPr>
            <w:r w:rsidRPr="00845C0A">
              <w:rPr>
                <w:bCs/>
                <w:szCs w:val="24"/>
              </w:rPr>
              <w:t>2020</w:t>
            </w:r>
          </w:p>
        </w:tc>
        <w:tc>
          <w:tcPr>
            <w:tcW w:w="2563" w:type="dxa"/>
            <w:vAlign w:val="center"/>
          </w:tcPr>
          <w:p w14:paraId="47669FA0" w14:textId="71ECEF5D" w:rsidR="008F3F33" w:rsidRPr="00845C0A" w:rsidRDefault="008F3F33" w:rsidP="003E4F35">
            <w:pPr>
              <w:spacing w:after="0"/>
              <w:jc w:val="center"/>
              <w:rPr>
                <w:bCs/>
                <w:szCs w:val="24"/>
              </w:rPr>
            </w:pPr>
            <w:r w:rsidRPr="00845C0A">
              <w:rPr>
                <w:bCs/>
                <w:szCs w:val="24"/>
              </w:rPr>
              <w:t>6.66%</w:t>
            </w:r>
          </w:p>
        </w:tc>
      </w:tr>
    </w:tbl>
    <w:p w14:paraId="7551E479" w14:textId="46B9F61D" w:rsidR="00845C0A" w:rsidRPr="00845C0A" w:rsidRDefault="00845C0A" w:rsidP="00815ACE">
      <w:pPr>
        <w:pStyle w:val="Caption"/>
      </w:pPr>
      <w:r w:rsidRPr="00845C0A">
        <w:t>Historical Data (FFY)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845C0A" w:rsidRPr="00845C0A" w14:paraId="4B5BBF62" w14:textId="77777777" w:rsidTr="00572E2A">
        <w:trPr>
          <w:trHeight w:val="350"/>
          <w:tblHeader/>
        </w:trPr>
        <w:tc>
          <w:tcPr>
            <w:tcW w:w="833" w:type="pct"/>
            <w:tcBorders>
              <w:bottom w:val="single" w:sz="4" w:space="0" w:color="auto"/>
            </w:tcBorders>
            <w:shd w:val="clear" w:color="auto" w:fill="D9D9D9" w:themeFill="background1" w:themeFillShade="D9"/>
            <w:vAlign w:val="center"/>
          </w:tcPr>
          <w:p w14:paraId="7CE940CD" w14:textId="77777777" w:rsidR="00907A35" w:rsidRPr="00845C0A" w:rsidRDefault="00907A35" w:rsidP="006D0DC2">
            <w:pPr>
              <w:spacing w:after="0" w:line="240" w:lineRule="auto"/>
              <w:jc w:val="center"/>
              <w:rPr>
                <w:b/>
                <w:szCs w:val="24"/>
              </w:rPr>
            </w:pPr>
            <w:r w:rsidRPr="00845C0A">
              <w:rPr>
                <w:b/>
                <w:szCs w:val="24"/>
              </w:rPr>
              <w:t>FFY</w:t>
            </w:r>
          </w:p>
        </w:tc>
        <w:tc>
          <w:tcPr>
            <w:tcW w:w="833" w:type="pct"/>
            <w:shd w:val="clear" w:color="auto" w:fill="D9D9D9" w:themeFill="background1" w:themeFillShade="D9"/>
            <w:vAlign w:val="center"/>
          </w:tcPr>
          <w:p w14:paraId="1B67E69F" w14:textId="56F9072E" w:rsidR="00907A35" w:rsidRPr="00845C0A" w:rsidRDefault="002B7490" w:rsidP="003E4F35">
            <w:pPr>
              <w:spacing w:after="0" w:line="240" w:lineRule="auto"/>
              <w:jc w:val="center"/>
              <w:rPr>
                <w:b/>
                <w:szCs w:val="24"/>
              </w:rPr>
            </w:pPr>
            <w:r w:rsidRPr="00845C0A">
              <w:rPr>
                <w:b/>
                <w:szCs w:val="24"/>
              </w:rPr>
              <w:t>2015</w:t>
            </w:r>
          </w:p>
        </w:tc>
        <w:tc>
          <w:tcPr>
            <w:tcW w:w="833" w:type="pct"/>
            <w:shd w:val="clear" w:color="auto" w:fill="D9D9D9" w:themeFill="background1" w:themeFillShade="D9"/>
            <w:vAlign w:val="center"/>
          </w:tcPr>
          <w:p w14:paraId="7C0715D5" w14:textId="197F633E" w:rsidR="00907A35" w:rsidRPr="00845C0A" w:rsidRDefault="002B7490" w:rsidP="003E4F35">
            <w:pPr>
              <w:spacing w:after="0" w:line="240" w:lineRule="auto"/>
              <w:jc w:val="center"/>
              <w:rPr>
                <w:b/>
                <w:szCs w:val="24"/>
              </w:rPr>
            </w:pPr>
            <w:r w:rsidRPr="00845C0A">
              <w:rPr>
                <w:b/>
                <w:szCs w:val="24"/>
              </w:rPr>
              <w:t>2016</w:t>
            </w:r>
          </w:p>
        </w:tc>
        <w:tc>
          <w:tcPr>
            <w:tcW w:w="833" w:type="pct"/>
            <w:shd w:val="clear" w:color="auto" w:fill="D9D9D9" w:themeFill="background1" w:themeFillShade="D9"/>
            <w:vAlign w:val="center"/>
          </w:tcPr>
          <w:p w14:paraId="36DD95CC" w14:textId="1D95C11E" w:rsidR="00907A35" w:rsidRPr="00845C0A" w:rsidRDefault="002B7490" w:rsidP="003E4F35">
            <w:pPr>
              <w:spacing w:after="0" w:line="240" w:lineRule="auto"/>
              <w:jc w:val="center"/>
              <w:rPr>
                <w:b/>
                <w:szCs w:val="24"/>
              </w:rPr>
            </w:pPr>
            <w:r w:rsidRPr="00845C0A">
              <w:rPr>
                <w:b/>
                <w:szCs w:val="24"/>
              </w:rPr>
              <w:t>2017</w:t>
            </w:r>
          </w:p>
        </w:tc>
        <w:tc>
          <w:tcPr>
            <w:tcW w:w="833" w:type="pct"/>
            <w:shd w:val="clear" w:color="auto" w:fill="D9D9D9" w:themeFill="background1" w:themeFillShade="D9"/>
            <w:vAlign w:val="center"/>
          </w:tcPr>
          <w:p w14:paraId="6DC8920B" w14:textId="560E0E60" w:rsidR="00907A35" w:rsidRPr="00845C0A" w:rsidRDefault="002B7490" w:rsidP="003E4F35">
            <w:pPr>
              <w:spacing w:after="0" w:line="240" w:lineRule="auto"/>
              <w:jc w:val="center"/>
              <w:rPr>
                <w:b/>
                <w:szCs w:val="24"/>
              </w:rPr>
            </w:pPr>
            <w:r w:rsidRPr="00845C0A">
              <w:rPr>
                <w:b/>
                <w:szCs w:val="24"/>
              </w:rPr>
              <w:t>2018</w:t>
            </w:r>
          </w:p>
        </w:tc>
        <w:tc>
          <w:tcPr>
            <w:tcW w:w="834" w:type="pct"/>
            <w:shd w:val="clear" w:color="auto" w:fill="D9D9D9" w:themeFill="background1" w:themeFillShade="D9"/>
            <w:vAlign w:val="center"/>
          </w:tcPr>
          <w:p w14:paraId="42978F28" w14:textId="43280835" w:rsidR="00907A35" w:rsidRPr="00845C0A" w:rsidRDefault="002B7490" w:rsidP="003E4F35">
            <w:pPr>
              <w:spacing w:after="0" w:line="240" w:lineRule="auto"/>
              <w:jc w:val="center"/>
              <w:rPr>
                <w:b/>
                <w:szCs w:val="24"/>
              </w:rPr>
            </w:pPr>
            <w:r w:rsidRPr="00845C0A">
              <w:rPr>
                <w:b/>
                <w:szCs w:val="24"/>
              </w:rPr>
              <w:t>2019</w:t>
            </w:r>
          </w:p>
        </w:tc>
      </w:tr>
      <w:tr w:rsidR="00845C0A" w:rsidRPr="00845C0A" w14:paraId="58F3D93E" w14:textId="77777777" w:rsidTr="00572E2A">
        <w:trPr>
          <w:trHeight w:val="357"/>
        </w:trPr>
        <w:tc>
          <w:tcPr>
            <w:tcW w:w="833" w:type="pct"/>
            <w:shd w:val="clear" w:color="auto" w:fill="auto"/>
            <w:vAlign w:val="center"/>
          </w:tcPr>
          <w:p w14:paraId="19C9E1E1" w14:textId="72240B64" w:rsidR="00907A35" w:rsidRPr="00845C0A" w:rsidRDefault="00907A35" w:rsidP="006D0DC2">
            <w:pPr>
              <w:spacing w:after="0" w:line="240" w:lineRule="auto"/>
              <w:jc w:val="center"/>
              <w:rPr>
                <w:rFonts w:cs="Arial"/>
                <w:szCs w:val="24"/>
              </w:rPr>
            </w:pPr>
            <w:r w:rsidRPr="00845C0A">
              <w:rPr>
                <w:rFonts w:cs="Arial"/>
                <w:szCs w:val="24"/>
              </w:rPr>
              <w:t xml:space="preserve">Target </w:t>
            </w:r>
            <w:r w:rsidR="0051170F" w:rsidRPr="00845C0A">
              <w:rPr>
                <w:rFonts w:cs="Arial"/>
                <w:szCs w:val="24"/>
                <w:shd w:val="clear" w:color="auto" w:fill="FFFFFF"/>
              </w:rPr>
              <w:t>&lt;=</w:t>
            </w:r>
          </w:p>
        </w:tc>
        <w:tc>
          <w:tcPr>
            <w:tcW w:w="833" w:type="pct"/>
            <w:shd w:val="clear" w:color="auto" w:fill="auto"/>
            <w:vAlign w:val="center"/>
          </w:tcPr>
          <w:p w14:paraId="70EB2EF4" w14:textId="3E0F0873" w:rsidR="00907A35" w:rsidRPr="00845C0A" w:rsidRDefault="002B7490" w:rsidP="003E4F35">
            <w:pPr>
              <w:spacing w:after="0" w:line="240" w:lineRule="auto"/>
              <w:jc w:val="center"/>
              <w:rPr>
                <w:rFonts w:cs="Arial"/>
                <w:szCs w:val="24"/>
              </w:rPr>
            </w:pPr>
            <w:r w:rsidRPr="00845C0A">
              <w:rPr>
                <w:rFonts w:cs="Arial"/>
                <w:szCs w:val="24"/>
              </w:rPr>
              <w:t>1.70%</w:t>
            </w:r>
          </w:p>
        </w:tc>
        <w:tc>
          <w:tcPr>
            <w:tcW w:w="833" w:type="pct"/>
            <w:shd w:val="clear" w:color="auto" w:fill="auto"/>
            <w:vAlign w:val="center"/>
          </w:tcPr>
          <w:p w14:paraId="09754C04" w14:textId="6AA1C908" w:rsidR="00907A35" w:rsidRPr="00845C0A" w:rsidRDefault="002B7490" w:rsidP="003E4F35">
            <w:pPr>
              <w:spacing w:after="0" w:line="240" w:lineRule="auto"/>
              <w:jc w:val="center"/>
              <w:rPr>
                <w:rFonts w:cs="Arial"/>
                <w:szCs w:val="24"/>
              </w:rPr>
            </w:pPr>
            <w:r w:rsidRPr="00845C0A">
              <w:rPr>
                <w:rFonts w:cs="Arial"/>
                <w:szCs w:val="24"/>
              </w:rPr>
              <w:t>1.60%</w:t>
            </w:r>
          </w:p>
        </w:tc>
        <w:tc>
          <w:tcPr>
            <w:tcW w:w="833" w:type="pct"/>
            <w:shd w:val="clear" w:color="auto" w:fill="auto"/>
            <w:vAlign w:val="center"/>
          </w:tcPr>
          <w:p w14:paraId="73F1F537" w14:textId="213B7CF6" w:rsidR="00907A35" w:rsidRPr="00845C0A" w:rsidRDefault="002B7490" w:rsidP="003E4F35">
            <w:pPr>
              <w:spacing w:after="0" w:line="240" w:lineRule="auto"/>
              <w:jc w:val="center"/>
              <w:rPr>
                <w:rFonts w:cs="Arial"/>
                <w:szCs w:val="24"/>
              </w:rPr>
            </w:pPr>
            <w:r w:rsidRPr="00845C0A">
              <w:rPr>
                <w:rFonts w:cs="Arial"/>
                <w:szCs w:val="24"/>
              </w:rPr>
              <w:t>1.50%</w:t>
            </w:r>
          </w:p>
        </w:tc>
        <w:tc>
          <w:tcPr>
            <w:tcW w:w="833" w:type="pct"/>
            <w:shd w:val="clear" w:color="auto" w:fill="auto"/>
            <w:vAlign w:val="center"/>
          </w:tcPr>
          <w:p w14:paraId="24592EED" w14:textId="5BE30DC5" w:rsidR="00907A35" w:rsidRPr="00845C0A" w:rsidRDefault="002B7490" w:rsidP="003E4F35">
            <w:pPr>
              <w:spacing w:after="0" w:line="240" w:lineRule="auto"/>
              <w:jc w:val="center"/>
              <w:rPr>
                <w:rFonts w:cs="Arial"/>
                <w:szCs w:val="24"/>
              </w:rPr>
            </w:pPr>
            <w:r w:rsidRPr="00845C0A">
              <w:rPr>
                <w:rFonts w:cs="Arial"/>
                <w:szCs w:val="24"/>
              </w:rPr>
              <w:t>1.40%</w:t>
            </w:r>
          </w:p>
        </w:tc>
        <w:tc>
          <w:tcPr>
            <w:tcW w:w="834" w:type="pct"/>
            <w:shd w:val="clear" w:color="auto" w:fill="auto"/>
            <w:vAlign w:val="center"/>
          </w:tcPr>
          <w:p w14:paraId="0C69FBF7" w14:textId="5FED7341" w:rsidR="00907A35" w:rsidRPr="00845C0A" w:rsidRDefault="002B7490" w:rsidP="003E4F35">
            <w:pPr>
              <w:spacing w:after="0" w:line="240" w:lineRule="auto"/>
              <w:jc w:val="center"/>
              <w:rPr>
                <w:rFonts w:cs="Arial"/>
                <w:szCs w:val="24"/>
              </w:rPr>
            </w:pPr>
            <w:r w:rsidRPr="00845C0A">
              <w:rPr>
                <w:rFonts w:cs="Arial"/>
                <w:szCs w:val="24"/>
              </w:rPr>
              <w:t>1.40%</w:t>
            </w:r>
          </w:p>
        </w:tc>
      </w:tr>
      <w:tr w:rsidR="00845C0A" w:rsidRPr="00845C0A" w14:paraId="06558B7E" w14:textId="77777777" w:rsidTr="00572E2A">
        <w:trPr>
          <w:trHeight w:val="85"/>
        </w:trPr>
        <w:tc>
          <w:tcPr>
            <w:tcW w:w="833" w:type="pct"/>
            <w:shd w:val="clear" w:color="auto" w:fill="auto"/>
            <w:vAlign w:val="center"/>
          </w:tcPr>
          <w:p w14:paraId="1DE2074D" w14:textId="77777777" w:rsidR="00907A35" w:rsidRPr="00845C0A" w:rsidRDefault="00907A35" w:rsidP="006D0DC2">
            <w:pPr>
              <w:spacing w:after="0" w:line="240" w:lineRule="auto"/>
              <w:jc w:val="center"/>
              <w:rPr>
                <w:rFonts w:cs="Arial"/>
                <w:szCs w:val="24"/>
              </w:rPr>
            </w:pPr>
            <w:r w:rsidRPr="00845C0A">
              <w:rPr>
                <w:rFonts w:cs="Arial"/>
                <w:szCs w:val="24"/>
              </w:rPr>
              <w:t>Data</w:t>
            </w:r>
          </w:p>
        </w:tc>
        <w:tc>
          <w:tcPr>
            <w:tcW w:w="833" w:type="pct"/>
            <w:shd w:val="clear" w:color="auto" w:fill="auto"/>
            <w:vAlign w:val="center"/>
          </w:tcPr>
          <w:p w14:paraId="033EDE68" w14:textId="28E51F4E" w:rsidR="00907A35" w:rsidRPr="00845C0A" w:rsidRDefault="002B7490" w:rsidP="003E4F35">
            <w:pPr>
              <w:spacing w:after="0" w:line="240" w:lineRule="auto"/>
              <w:jc w:val="center"/>
              <w:rPr>
                <w:rFonts w:cs="Arial"/>
                <w:szCs w:val="24"/>
              </w:rPr>
            </w:pPr>
            <w:r w:rsidRPr="00845C0A">
              <w:rPr>
                <w:rFonts w:cs="Arial"/>
                <w:szCs w:val="24"/>
              </w:rPr>
              <w:t>1.30%</w:t>
            </w:r>
          </w:p>
        </w:tc>
        <w:tc>
          <w:tcPr>
            <w:tcW w:w="833" w:type="pct"/>
            <w:shd w:val="clear" w:color="auto" w:fill="auto"/>
            <w:vAlign w:val="center"/>
          </w:tcPr>
          <w:p w14:paraId="1DE6EF8F" w14:textId="2C6399B2" w:rsidR="00907A35" w:rsidRPr="00845C0A" w:rsidRDefault="002B7490" w:rsidP="003E4F35">
            <w:pPr>
              <w:spacing w:after="0" w:line="240" w:lineRule="auto"/>
              <w:jc w:val="center"/>
              <w:rPr>
                <w:rFonts w:cs="Arial"/>
                <w:szCs w:val="24"/>
              </w:rPr>
            </w:pPr>
            <w:r w:rsidRPr="00845C0A">
              <w:rPr>
                <w:rFonts w:cs="Arial"/>
                <w:szCs w:val="24"/>
              </w:rPr>
              <w:t>1.65%</w:t>
            </w:r>
          </w:p>
        </w:tc>
        <w:tc>
          <w:tcPr>
            <w:tcW w:w="833" w:type="pct"/>
            <w:tcBorders>
              <w:bottom w:val="single" w:sz="4" w:space="0" w:color="auto"/>
            </w:tcBorders>
            <w:shd w:val="clear" w:color="auto" w:fill="auto"/>
            <w:vAlign w:val="center"/>
          </w:tcPr>
          <w:p w14:paraId="3F810822" w14:textId="70D15FEC" w:rsidR="00907A35" w:rsidRPr="00845C0A" w:rsidRDefault="002B7490" w:rsidP="003E4F35">
            <w:pPr>
              <w:spacing w:after="0" w:line="240" w:lineRule="auto"/>
              <w:jc w:val="center"/>
              <w:rPr>
                <w:rFonts w:cs="Arial"/>
                <w:szCs w:val="24"/>
              </w:rPr>
            </w:pPr>
            <w:r w:rsidRPr="00845C0A">
              <w:rPr>
                <w:rFonts w:cs="Arial"/>
                <w:szCs w:val="24"/>
              </w:rPr>
              <w:t>1.70%</w:t>
            </w:r>
          </w:p>
        </w:tc>
        <w:tc>
          <w:tcPr>
            <w:tcW w:w="833" w:type="pct"/>
            <w:tcBorders>
              <w:bottom w:val="single" w:sz="4" w:space="0" w:color="auto"/>
            </w:tcBorders>
            <w:shd w:val="clear" w:color="auto" w:fill="auto"/>
            <w:vAlign w:val="center"/>
          </w:tcPr>
          <w:p w14:paraId="5421E042" w14:textId="6AE010E9" w:rsidR="00907A35" w:rsidRPr="00845C0A" w:rsidRDefault="002B7490" w:rsidP="003E4F35">
            <w:pPr>
              <w:spacing w:after="0" w:line="240" w:lineRule="auto"/>
              <w:jc w:val="center"/>
              <w:rPr>
                <w:rFonts w:cs="Arial"/>
                <w:szCs w:val="24"/>
              </w:rPr>
            </w:pPr>
            <w:r w:rsidRPr="00845C0A">
              <w:rPr>
                <w:rFonts w:cs="Arial"/>
                <w:szCs w:val="24"/>
              </w:rPr>
              <w:t>1.51%</w:t>
            </w:r>
          </w:p>
        </w:tc>
        <w:tc>
          <w:tcPr>
            <w:tcW w:w="834" w:type="pct"/>
            <w:tcBorders>
              <w:bottom w:val="single" w:sz="4" w:space="0" w:color="auto"/>
            </w:tcBorders>
            <w:shd w:val="clear" w:color="auto" w:fill="auto"/>
            <w:vAlign w:val="center"/>
          </w:tcPr>
          <w:p w14:paraId="32A53100" w14:textId="125B9065" w:rsidR="00907A35" w:rsidRPr="00845C0A" w:rsidRDefault="002B7490" w:rsidP="003E4F35">
            <w:pPr>
              <w:spacing w:after="0" w:line="240" w:lineRule="auto"/>
              <w:jc w:val="center"/>
              <w:rPr>
                <w:rFonts w:cs="Arial"/>
                <w:szCs w:val="24"/>
              </w:rPr>
            </w:pPr>
            <w:r w:rsidRPr="00845C0A">
              <w:rPr>
                <w:rFonts w:cs="Arial"/>
                <w:szCs w:val="24"/>
              </w:rPr>
              <w:t>1.42%</w:t>
            </w:r>
          </w:p>
        </w:tc>
      </w:tr>
    </w:tbl>
    <w:p w14:paraId="46592725" w14:textId="768F61FC" w:rsidR="00845C0A" w:rsidRPr="00845C0A" w:rsidRDefault="00845C0A" w:rsidP="00815ACE">
      <w:pPr>
        <w:pStyle w:val="Caption"/>
      </w:pPr>
      <w:r w:rsidRPr="00845C0A">
        <w:t>Targets (2)</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528"/>
        <w:gridCol w:w="1543"/>
        <w:gridCol w:w="1543"/>
        <w:gridCol w:w="1543"/>
        <w:gridCol w:w="1543"/>
        <w:gridCol w:w="1542"/>
        <w:gridCol w:w="1542"/>
      </w:tblGrid>
      <w:tr w:rsidR="000F6E74" w:rsidRPr="000F6E74" w14:paraId="029A4CCE" w14:textId="7CD6FC1B" w:rsidTr="00572E2A">
        <w:trPr>
          <w:trHeight w:val="378"/>
          <w:tblHeader/>
        </w:trPr>
        <w:tc>
          <w:tcPr>
            <w:tcW w:w="708" w:type="pct"/>
            <w:tcBorders>
              <w:bottom w:val="single" w:sz="4" w:space="0" w:color="auto"/>
            </w:tcBorders>
            <w:shd w:val="clear" w:color="auto" w:fill="D9D9D9" w:themeFill="background1" w:themeFillShade="D9"/>
            <w:vAlign w:val="center"/>
          </w:tcPr>
          <w:p w14:paraId="7E454C96" w14:textId="77777777" w:rsidR="00373F78" w:rsidRPr="000F6E74" w:rsidRDefault="00373F78" w:rsidP="003E4F35">
            <w:pPr>
              <w:spacing w:after="0" w:line="240" w:lineRule="auto"/>
              <w:jc w:val="center"/>
              <w:rPr>
                <w:b/>
              </w:rPr>
            </w:pPr>
            <w:r w:rsidRPr="000F6E74">
              <w:rPr>
                <w:b/>
              </w:rPr>
              <w:t>FFY</w:t>
            </w:r>
          </w:p>
        </w:tc>
        <w:tc>
          <w:tcPr>
            <w:tcW w:w="715" w:type="pct"/>
            <w:shd w:val="clear" w:color="auto" w:fill="D9D9D9" w:themeFill="background1" w:themeFillShade="D9"/>
            <w:vAlign w:val="center"/>
          </w:tcPr>
          <w:p w14:paraId="43981BCA" w14:textId="46BADE94" w:rsidR="00373F78" w:rsidRPr="000F6E74" w:rsidRDefault="00373F78" w:rsidP="003E4F35">
            <w:pPr>
              <w:spacing w:after="0" w:line="240" w:lineRule="auto"/>
              <w:jc w:val="center"/>
              <w:rPr>
                <w:b/>
              </w:rPr>
            </w:pPr>
            <w:r w:rsidRPr="000F6E74">
              <w:rPr>
                <w:b/>
              </w:rPr>
              <w:t>2020</w:t>
            </w:r>
          </w:p>
        </w:tc>
        <w:tc>
          <w:tcPr>
            <w:tcW w:w="715" w:type="pct"/>
            <w:shd w:val="clear" w:color="auto" w:fill="D9D9D9" w:themeFill="background1" w:themeFillShade="D9"/>
            <w:vAlign w:val="center"/>
          </w:tcPr>
          <w:p w14:paraId="5E92A3B3" w14:textId="014BC7EC" w:rsidR="00373F78" w:rsidRPr="000F6E74" w:rsidRDefault="00373F78" w:rsidP="003E4F35">
            <w:pPr>
              <w:spacing w:after="0" w:line="240" w:lineRule="auto"/>
              <w:jc w:val="center"/>
              <w:rPr>
                <w:b/>
              </w:rPr>
            </w:pPr>
            <w:r w:rsidRPr="000F6E74">
              <w:rPr>
                <w:rFonts w:cs="Arial"/>
                <w:b/>
                <w:szCs w:val="16"/>
              </w:rPr>
              <w:t>2021</w:t>
            </w:r>
          </w:p>
        </w:tc>
        <w:tc>
          <w:tcPr>
            <w:tcW w:w="715" w:type="pct"/>
            <w:shd w:val="clear" w:color="auto" w:fill="D9D9D9" w:themeFill="background1" w:themeFillShade="D9"/>
            <w:vAlign w:val="center"/>
          </w:tcPr>
          <w:p w14:paraId="3A9EE8AA" w14:textId="53416CB2" w:rsidR="00373F78" w:rsidRPr="000F6E74" w:rsidRDefault="00373F78" w:rsidP="003E4F35">
            <w:pPr>
              <w:spacing w:after="0" w:line="240" w:lineRule="auto"/>
              <w:jc w:val="center"/>
              <w:rPr>
                <w:b/>
              </w:rPr>
            </w:pPr>
            <w:r w:rsidRPr="000F6E74">
              <w:rPr>
                <w:rFonts w:cs="Arial"/>
                <w:b/>
                <w:szCs w:val="16"/>
              </w:rPr>
              <w:t>2022</w:t>
            </w:r>
          </w:p>
        </w:tc>
        <w:tc>
          <w:tcPr>
            <w:tcW w:w="715" w:type="pct"/>
            <w:shd w:val="clear" w:color="auto" w:fill="D9D9D9" w:themeFill="background1" w:themeFillShade="D9"/>
            <w:vAlign w:val="center"/>
          </w:tcPr>
          <w:p w14:paraId="7D50850A" w14:textId="0FF3B8D7" w:rsidR="00373F78" w:rsidRPr="000F6E74" w:rsidRDefault="00373F78" w:rsidP="003E4F35">
            <w:pPr>
              <w:spacing w:after="0" w:line="240" w:lineRule="auto"/>
              <w:jc w:val="center"/>
              <w:rPr>
                <w:b/>
              </w:rPr>
            </w:pPr>
            <w:r w:rsidRPr="000F6E74">
              <w:rPr>
                <w:rFonts w:cs="Arial"/>
                <w:b/>
                <w:szCs w:val="16"/>
              </w:rPr>
              <w:t>2023</w:t>
            </w:r>
          </w:p>
        </w:tc>
        <w:tc>
          <w:tcPr>
            <w:tcW w:w="715" w:type="pct"/>
            <w:shd w:val="clear" w:color="auto" w:fill="D9D9D9" w:themeFill="background1" w:themeFillShade="D9"/>
            <w:vAlign w:val="center"/>
          </w:tcPr>
          <w:p w14:paraId="150CD52F" w14:textId="1406DCAF" w:rsidR="00373F78" w:rsidRPr="000F6E74" w:rsidRDefault="00373F78" w:rsidP="003E4F35">
            <w:pPr>
              <w:spacing w:after="0" w:line="240" w:lineRule="auto"/>
              <w:jc w:val="center"/>
              <w:rPr>
                <w:b/>
              </w:rPr>
            </w:pPr>
            <w:r w:rsidRPr="000F6E74">
              <w:rPr>
                <w:rFonts w:cs="Arial"/>
                <w:b/>
                <w:szCs w:val="16"/>
              </w:rPr>
              <w:t>2024</w:t>
            </w:r>
          </w:p>
        </w:tc>
        <w:tc>
          <w:tcPr>
            <w:tcW w:w="715" w:type="pct"/>
            <w:shd w:val="clear" w:color="auto" w:fill="D9D9D9" w:themeFill="background1" w:themeFillShade="D9"/>
            <w:vAlign w:val="center"/>
          </w:tcPr>
          <w:p w14:paraId="285B2BFD" w14:textId="664CF179" w:rsidR="00373F78" w:rsidRPr="000F6E74" w:rsidRDefault="00373F78" w:rsidP="003E4F35">
            <w:pPr>
              <w:spacing w:after="0" w:line="240" w:lineRule="auto"/>
              <w:jc w:val="center"/>
              <w:rPr>
                <w:b/>
              </w:rPr>
            </w:pPr>
            <w:r w:rsidRPr="000F6E74">
              <w:rPr>
                <w:rFonts w:cs="Arial"/>
                <w:b/>
                <w:szCs w:val="16"/>
              </w:rPr>
              <w:t>2025</w:t>
            </w:r>
          </w:p>
        </w:tc>
      </w:tr>
      <w:tr w:rsidR="000F6E74" w:rsidRPr="000F6E74" w14:paraId="74AFE5A4" w14:textId="4CB3606D" w:rsidTr="00572E2A">
        <w:trPr>
          <w:trHeight w:val="386"/>
        </w:trPr>
        <w:tc>
          <w:tcPr>
            <w:tcW w:w="708" w:type="pct"/>
            <w:shd w:val="clear" w:color="auto" w:fill="auto"/>
            <w:vAlign w:val="center"/>
          </w:tcPr>
          <w:p w14:paraId="74812D09" w14:textId="3A67082C" w:rsidR="00373F78" w:rsidRPr="000F6E74" w:rsidRDefault="00373F78" w:rsidP="003E4F35">
            <w:pPr>
              <w:spacing w:after="0" w:line="240" w:lineRule="auto"/>
              <w:rPr>
                <w:rFonts w:cs="Arial"/>
                <w:szCs w:val="16"/>
              </w:rPr>
            </w:pPr>
            <w:r w:rsidRPr="000F6E74">
              <w:rPr>
                <w:rFonts w:cs="Arial"/>
                <w:szCs w:val="16"/>
              </w:rPr>
              <w:t>Target &lt;=</w:t>
            </w:r>
          </w:p>
        </w:tc>
        <w:tc>
          <w:tcPr>
            <w:tcW w:w="715" w:type="pct"/>
            <w:shd w:val="clear" w:color="auto" w:fill="auto"/>
            <w:vAlign w:val="center"/>
          </w:tcPr>
          <w:p w14:paraId="1AA9A6F0" w14:textId="23F8F955" w:rsidR="00373F78" w:rsidRPr="000F6E74" w:rsidRDefault="00373F78" w:rsidP="003E4F35">
            <w:pPr>
              <w:spacing w:after="0" w:line="240" w:lineRule="auto"/>
              <w:jc w:val="center"/>
              <w:rPr>
                <w:rFonts w:cs="Arial"/>
                <w:szCs w:val="16"/>
              </w:rPr>
            </w:pPr>
            <w:r w:rsidRPr="000F6E74">
              <w:rPr>
                <w:rFonts w:cs="Arial"/>
                <w:szCs w:val="16"/>
              </w:rPr>
              <w:t>6.66%</w:t>
            </w:r>
          </w:p>
        </w:tc>
        <w:tc>
          <w:tcPr>
            <w:tcW w:w="715" w:type="pct"/>
            <w:vAlign w:val="center"/>
          </w:tcPr>
          <w:p w14:paraId="1887156F" w14:textId="2A53DFD8" w:rsidR="00373F78" w:rsidRPr="000F6E74" w:rsidRDefault="00373F78" w:rsidP="003E4F35">
            <w:pPr>
              <w:spacing w:after="0" w:line="240" w:lineRule="auto"/>
              <w:jc w:val="center"/>
              <w:rPr>
                <w:rFonts w:cs="Arial"/>
                <w:szCs w:val="16"/>
              </w:rPr>
            </w:pPr>
            <w:r w:rsidRPr="000F6E74">
              <w:rPr>
                <w:szCs w:val="16"/>
              </w:rPr>
              <w:t>6.41%</w:t>
            </w:r>
          </w:p>
        </w:tc>
        <w:tc>
          <w:tcPr>
            <w:tcW w:w="715" w:type="pct"/>
            <w:vAlign w:val="center"/>
          </w:tcPr>
          <w:p w14:paraId="114E0304" w14:textId="3D4B66CA" w:rsidR="00373F78" w:rsidRPr="000F6E74" w:rsidRDefault="00373F78" w:rsidP="003E4F35">
            <w:pPr>
              <w:spacing w:after="0" w:line="240" w:lineRule="auto"/>
              <w:jc w:val="center"/>
              <w:rPr>
                <w:rFonts w:cs="Arial"/>
                <w:szCs w:val="16"/>
              </w:rPr>
            </w:pPr>
            <w:r w:rsidRPr="000F6E74">
              <w:rPr>
                <w:szCs w:val="16"/>
              </w:rPr>
              <w:t>6.16%</w:t>
            </w:r>
          </w:p>
        </w:tc>
        <w:tc>
          <w:tcPr>
            <w:tcW w:w="715" w:type="pct"/>
            <w:vAlign w:val="center"/>
          </w:tcPr>
          <w:p w14:paraId="78D67310" w14:textId="6B7563FE" w:rsidR="00373F78" w:rsidRPr="000F6E74" w:rsidRDefault="00373F78" w:rsidP="003E4F35">
            <w:pPr>
              <w:spacing w:after="0" w:line="240" w:lineRule="auto"/>
              <w:jc w:val="center"/>
              <w:rPr>
                <w:rFonts w:cs="Arial"/>
                <w:szCs w:val="16"/>
              </w:rPr>
            </w:pPr>
            <w:r w:rsidRPr="000F6E74">
              <w:rPr>
                <w:szCs w:val="16"/>
              </w:rPr>
              <w:t>5.91%</w:t>
            </w:r>
          </w:p>
        </w:tc>
        <w:tc>
          <w:tcPr>
            <w:tcW w:w="715" w:type="pct"/>
            <w:vAlign w:val="center"/>
          </w:tcPr>
          <w:p w14:paraId="56091902" w14:textId="764DD0A6" w:rsidR="00373F78" w:rsidRPr="000F6E74" w:rsidRDefault="00373F78" w:rsidP="003E4F35">
            <w:pPr>
              <w:spacing w:after="0" w:line="240" w:lineRule="auto"/>
              <w:jc w:val="center"/>
              <w:rPr>
                <w:rFonts w:cs="Arial"/>
                <w:szCs w:val="16"/>
              </w:rPr>
            </w:pPr>
            <w:r w:rsidRPr="000F6E74">
              <w:rPr>
                <w:szCs w:val="16"/>
              </w:rPr>
              <w:t>5.66%</w:t>
            </w:r>
          </w:p>
        </w:tc>
        <w:tc>
          <w:tcPr>
            <w:tcW w:w="715" w:type="pct"/>
            <w:vAlign w:val="center"/>
          </w:tcPr>
          <w:p w14:paraId="361146A8" w14:textId="1C49A2DF" w:rsidR="00373F78" w:rsidRPr="000F6E74" w:rsidRDefault="00373F78" w:rsidP="003E4F35">
            <w:pPr>
              <w:spacing w:after="0" w:line="240" w:lineRule="auto"/>
              <w:jc w:val="center"/>
              <w:rPr>
                <w:rFonts w:cs="Arial"/>
                <w:szCs w:val="16"/>
              </w:rPr>
            </w:pPr>
            <w:r w:rsidRPr="000F6E74">
              <w:rPr>
                <w:szCs w:val="16"/>
              </w:rPr>
              <w:t>5.41%</w:t>
            </w:r>
          </w:p>
        </w:tc>
      </w:tr>
    </w:tbl>
    <w:p w14:paraId="23C212C7" w14:textId="54B31D84" w:rsidR="002D145D" w:rsidRPr="000F6E74" w:rsidRDefault="002D145D" w:rsidP="0036581E">
      <w:pPr>
        <w:pStyle w:val="Heading4"/>
      </w:pPr>
      <w:r w:rsidRPr="000F6E74">
        <w:t>Targets: Description of Stakeholder Input</w:t>
      </w:r>
    </w:p>
    <w:p w14:paraId="77060C63" w14:textId="77777777" w:rsidR="009E4F1C" w:rsidRPr="003856F1" w:rsidRDefault="0051170F" w:rsidP="00314F94">
      <w:pPr>
        <w:pStyle w:val="ListParagraph"/>
        <w:numPr>
          <w:ilvl w:val="0"/>
          <w:numId w:val="73"/>
        </w:numPr>
        <w:rPr>
          <w:rFonts w:cs="Arial"/>
          <w:szCs w:val="16"/>
        </w:rPr>
      </w:pPr>
      <w:r w:rsidRPr="003856F1">
        <w:rPr>
          <w:rFonts w:cs="Arial"/>
          <w:szCs w:val="16"/>
        </w:rPr>
        <w:t xml:space="preserve">During the development of Virginia’s FFY 2020 Part B State Performance Plan/Annual Performance Review (SPP/APR), multiple opportunities for stakeholder involvement were </w:t>
      </w:r>
      <w:r w:rsidRPr="003856F1">
        <w:rPr>
          <w:rFonts w:cs="Arial"/>
          <w:szCs w:val="16"/>
        </w:rPr>
        <w:lastRenderedPageBreak/>
        <w:t>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713FE3D9" w14:textId="6FD91BA2" w:rsidR="0051170F" w:rsidRPr="000F6E74" w:rsidRDefault="0051170F" w:rsidP="004C1EC0">
      <w:pPr>
        <w:ind w:left="720"/>
        <w:rPr>
          <w:rFonts w:cs="Arial"/>
          <w:szCs w:val="16"/>
        </w:rPr>
      </w:pPr>
      <w:r w:rsidRPr="000F6E74">
        <w:rPr>
          <w:rFonts w:cs="Arial"/>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1646393A" w14:textId="2F9E8E4A" w:rsidR="002D145D" w:rsidRPr="000F6E74" w:rsidRDefault="002B7490" w:rsidP="004C1EC0">
      <w:pPr>
        <w:ind w:left="720"/>
        <w:rPr>
          <w:rFonts w:cs="Arial"/>
          <w:szCs w:val="16"/>
        </w:rPr>
      </w:pPr>
      <w:r w:rsidRPr="000F6E74">
        <w:rPr>
          <w:rFonts w:cs="Arial"/>
          <w:szCs w:val="16"/>
        </w:rPr>
        <w:t xml:space="preserve">In addition, during the FFY 2020 APR cycle, secondary transition stakeholder input was received from: youth with disabilities, parents, Parent Education Advocacy and Training Center (PEATC), Disability Resource Center, resources for Independent Living, local education agency staff members, Virginia Commonwealth University-Center on Transition Innovations, Virginia Board for People with Disabilities, Department of Social Services, Department for Aging and Rehabilitative Services, Wilson Workforce Rehabilitation Center, and other state agencies. Stakeholders learned about the State Performance Plan requirements and reviewed data that included student attendance, testing, graduation, dropout, and post-school outcomes. In addition, they discussed issues/descriptions of systems or processes related to secondary </w:t>
      </w:r>
      <w:proofErr w:type="gramStart"/>
      <w:r w:rsidRPr="000F6E74">
        <w:rPr>
          <w:rFonts w:cs="Arial"/>
          <w:szCs w:val="16"/>
        </w:rPr>
        <w:t>transition, and</w:t>
      </w:r>
      <w:proofErr w:type="gramEnd"/>
      <w:r w:rsidRPr="000F6E74">
        <w:rPr>
          <w:rFonts w:cs="Arial"/>
          <w:szCs w:val="16"/>
        </w:rPr>
        <w:t xml:space="preserve"> made recommendations to the Virginia Department of Education. Numerous resources were shared with and among the stakeholders.</w:t>
      </w:r>
    </w:p>
    <w:p w14:paraId="540DBFAE" w14:textId="3E161997" w:rsidR="00A2794A" w:rsidRPr="000F6E74" w:rsidRDefault="00A87A9D" w:rsidP="00DF30F0">
      <w:pPr>
        <w:rPr>
          <w:rFonts w:cs="Arial"/>
          <w:b/>
          <w:szCs w:val="16"/>
        </w:rPr>
      </w:pPr>
      <w:r w:rsidRPr="000F6E74">
        <w:rPr>
          <w:rFonts w:cs="Arial"/>
          <w:b/>
          <w:szCs w:val="16"/>
        </w:rPr>
        <w:t>Please indicate the reporting option used on this indicator</w:t>
      </w:r>
    </w:p>
    <w:p w14:paraId="4B2134EC" w14:textId="312D44C1" w:rsidR="006E3F55" w:rsidRPr="000F6E74" w:rsidRDefault="003D7F56" w:rsidP="00314F94">
      <w:pPr>
        <w:pStyle w:val="ListParagraph"/>
        <w:numPr>
          <w:ilvl w:val="0"/>
          <w:numId w:val="74"/>
        </w:numPr>
      </w:pPr>
      <w:r w:rsidRPr="000F6E74">
        <w:t>Option 1</w:t>
      </w:r>
    </w:p>
    <w:p w14:paraId="19037EEB" w14:textId="66568103" w:rsidR="00845C0A" w:rsidRPr="00845C0A" w:rsidRDefault="00845C0A" w:rsidP="00815ACE">
      <w:pPr>
        <w:pStyle w:val="Caption"/>
      </w:pPr>
      <w:r w:rsidRPr="00845C0A">
        <w:t>Prepopulated Data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numbers of youth with IEPs exiting special education, by various explanations, for this indicator. Data source provided for each."/>
      </w:tblPr>
      <w:tblGrid>
        <w:gridCol w:w="2164"/>
        <w:gridCol w:w="2130"/>
        <w:gridCol w:w="4929"/>
        <w:gridCol w:w="1567"/>
      </w:tblGrid>
      <w:tr w:rsidR="000F6E74" w:rsidRPr="000F6E74" w14:paraId="60D7260E" w14:textId="77777777" w:rsidTr="009E4F1C">
        <w:trPr>
          <w:trHeight w:val="372"/>
          <w:tblHeader/>
        </w:trPr>
        <w:tc>
          <w:tcPr>
            <w:tcW w:w="1003" w:type="pct"/>
            <w:shd w:val="clear" w:color="auto" w:fill="D9D9D9" w:themeFill="background1" w:themeFillShade="D9"/>
            <w:vAlign w:val="center"/>
          </w:tcPr>
          <w:p w14:paraId="7217614C" w14:textId="77777777" w:rsidR="001D55EC" w:rsidRPr="000F6E74" w:rsidRDefault="001D55EC" w:rsidP="009E4F1C">
            <w:pPr>
              <w:spacing w:after="0"/>
              <w:jc w:val="center"/>
              <w:rPr>
                <w:rFonts w:cs="Arial"/>
                <w:b/>
                <w:szCs w:val="16"/>
              </w:rPr>
            </w:pPr>
            <w:r w:rsidRPr="000F6E74">
              <w:rPr>
                <w:rFonts w:cs="Arial"/>
                <w:b/>
                <w:szCs w:val="16"/>
              </w:rPr>
              <w:t>Source</w:t>
            </w:r>
          </w:p>
        </w:tc>
        <w:tc>
          <w:tcPr>
            <w:tcW w:w="987" w:type="pct"/>
            <w:shd w:val="clear" w:color="auto" w:fill="D9D9D9" w:themeFill="background1" w:themeFillShade="D9"/>
            <w:vAlign w:val="center"/>
          </w:tcPr>
          <w:p w14:paraId="05FC9008" w14:textId="77777777" w:rsidR="001D55EC" w:rsidRPr="000F6E74" w:rsidRDefault="001D55EC" w:rsidP="009E4F1C">
            <w:pPr>
              <w:spacing w:after="0"/>
              <w:jc w:val="center"/>
              <w:rPr>
                <w:rFonts w:cs="Arial"/>
                <w:b/>
                <w:szCs w:val="16"/>
              </w:rPr>
            </w:pPr>
            <w:r w:rsidRPr="000F6E74">
              <w:rPr>
                <w:rFonts w:cs="Arial"/>
                <w:b/>
                <w:szCs w:val="16"/>
              </w:rPr>
              <w:t>Date</w:t>
            </w:r>
          </w:p>
        </w:tc>
        <w:tc>
          <w:tcPr>
            <w:tcW w:w="2284" w:type="pct"/>
            <w:shd w:val="clear" w:color="auto" w:fill="D9D9D9" w:themeFill="background1" w:themeFillShade="D9"/>
            <w:vAlign w:val="center"/>
          </w:tcPr>
          <w:p w14:paraId="452E3A47" w14:textId="77777777" w:rsidR="001D55EC" w:rsidRPr="000F6E74" w:rsidRDefault="001D55EC" w:rsidP="009E4F1C">
            <w:pPr>
              <w:spacing w:after="0"/>
              <w:jc w:val="center"/>
              <w:rPr>
                <w:rFonts w:cs="Arial"/>
                <w:b/>
                <w:szCs w:val="16"/>
              </w:rPr>
            </w:pPr>
            <w:r w:rsidRPr="000F6E74">
              <w:rPr>
                <w:rFonts w:cs="Arial"/>
                <w:b/>
                <w:szCs w:val="16"/>
              </w:rPr>
              <w:t>Description</w:t>
            </w:r>
          </w:p>
        </w:tc>
        <w:tc>
          <w:tcPr>
            <w:tcW w:w="726" w:type="pct"/>
            <w:shd w:val="clear" w:color="auto" w:fill="D9D9D9" w:themeFill="background1" w:themeFillShade="D9"/>
            <w:vAlign w:val="center"/>
          </w:tcPr>
          <w:p w14:paraId="197E988D" w14:textId="77777777" w:rsidR="001D55EC" w:rsidRPr="000F6E74" w:rsidRDefault="001D55EC" w:rsidP="009E4F1C">
            <w:pPr>
              <w:spacing w:after="0"/>
              <w:jc w:val="center"/>
              <w:rPr>
                <w:rFonts w:cs="Arial"/>
                <w:b/>
                <w:szCs w:val="16"/>
              </w:rPr>
            </w:pPr>
            <w:r w:rsidRPr="000F6E74">
              <w:rPr>
                <w:rFonts w:cs="Arial"/>
                <w:b/>
                <w:szCs w:val="16"/>
              </w:rPr>
              <w:t>Data</w:t>
            </w:r>
          </w:p>
        </w:tc>
      </w:tr>
      <w:tr w:rsidR="000F6E74" w:rsidRPr="000F6E74" w14:paraId="20549B53" w14:textId="77777777" w:rsidTr="00FE7050">
        <w:trPr>
          <w:trHeight w:val="1728"/>
        </w:trPr>
        <w:tc>
          <w:tcPr>
            <w:tcW w:w="1003" w:type="pct"/>
            <w:shd w:val="clear" w:color="auto" w:fill="auto"/>
            <w:vAlign w:val="center"/>
          </w:tcPr>
          <w:p w14:paraId="38DBE1E5" w14:textId="4B654FBA" w:rsidR="001D55EC" w:rsidRPr="000F6E74" w:rsidRDefault="008A2533" w:rsidP="009E4F1C">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87" w:type="pct"/>
            <w:shd w:val="clear" w:color="auto" w:fill="auto"/>
            <w:vAlign w:val="center"/>
          </w:tcPr>
          <w:p w14:paraId="6675DCDD" w14:textId="08B07A76" w:rsidR="001D55EC" w:rsidRPr="000F6E74" w:rsidRDefault="008A2533" w:rsidP="009E4F1C">
            <w:pPr>
              <w:spacing w:after="0"/>
              <w:jc w:val="center"/>
              <w:rPr>
                <w:rFonts w:cs="Arial"/>
                <w:szCs w:val="16"/>
              </w:rPr>
            </w:pPr>
            <w:r w:rsidRPr="000F6E74">
              <w:rPr>
                <w:rFonts w:cs="Arial"/>
                <w:szCs w:val="16"/>
              </w:rPr>
              <w:t>05/26/2021</w:t>
            </w:r>
          </w:p>
        </w:tc>
        <w:tc>
          <w:tcPr>
            <w:tcW w:w="2284" w:type="pct"/>
            <w:shd w:val="clear" w:color="auto" w:fill="auto"/>
            <w:vAlign w:val="center"/>
          </w:tcPr>
          <w:p w14:paraId="52A6FFD9" w14:textId="722CDF17" w:rsidR="001D55EC" w:rsidRPr="000F6E74" w:rsidRDefault="00E619AC" w:rsidP="009E4F1C">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graduating with a regular high school diploma (a)</w:t>
            </w:r>
          </w:p>
        </w:tc>
        <w:tc>
          <w:tcPr>
            <w:tcW w:w="726" w:type="pct"/>
            <w:shd w:val="clear" w:color="auto" w:fill="auto"/>
            <w:vAlign w:val="center"/>
          </w:tcPr>
          <w:p w14:paraId="6BB20172" w14:textId="20DA3C25" w:rsidR="001D55EC" w:rsidRPr="000F6E74" w:rsidRDefault="002B7490" w:rsidP="009E4F1C">
            <w:pPr>
              <w:spacing w:after="0"/>
              <w:jc w:val="center"/>
              <w:rPr>
                <w:rFonts w:cs="Arial"/>
                <w:szCs w:val="16"/>
              </w:rPr>
            </w:pPr>
            <w:r w:rsidRPr="000F6E74">
              <w:rPr>
                <w:rFonts w:cs="Arial"/>
                <w:szCs w:val="16"/>
              </w:rPr>
              <w:t>8,707</w:t>
            </w:r>
          </w:p>
        </w:tc>
      </w:tr>
      <w:tr w:rsidR="000F6E74" w:rsidRPr="000F6E74" w14:paraId="442FFC23" w14:textId="77777777" w:rsidTr="00FE7050">
        <w:trPr>
          <w:trHeight w:val="1728"/>
        </w:trPr>
        <w:tc>
          <w:tcPr>
            <w:tcW w:w="1003" w:type="pct"/>
            <w:shd w:val="clear" w:color="auto" w:fill="auto"/>
            <w:vAlign w:val="center"/>
          </w:tcPr>
          <w:p w14:paraId="6CF34AAB" w14:textId="0F679619" w:rsidR="00FE0F05" w:rsidRPr="000F6E74" w:rsidRDefault="00FE0F05" w:rsidP="009E4F1C">
            <w:pPr>
              <w:spacing w:after="0"/>
              <w:jc w:val="center"/>
              <w:rPr>
                <w:rFonts w:cs="Arial"/>
                <w:szCs w:val="16"/>
              </w:rPr>
            </w:pPr>
            <w:r w:rsidRPr="000F6E74">
              <w:rPr>
                <w:rFonts w:cs="Arial"/>
                <w:szCs w:val="16"/>
              </w:rPr>
              <w:lastRenderedPageBreak/>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87" w:type="pct"/>
            <w:shd w:val="clear" w:color="auto" w:fill="auto"/>
            <w:vAlign w:val="center"/>
          </w:tcPr>
          <w:p w14:paraId="4C847D87" w14:textId="13F5F6DB" w:rsidR="00FE0F05" w:rsidRPr="000F6E74" w:rsidRDefault="00FE0F05" w:rsidP="009E4F1C">
            <w:pPr>
              <w:spacing w:after="0"/>
              <w:jc w:val="center"/>
              <w:rPr>
                <w:rFonts w:cs="Arial"/>
                <w:szCs w:val="16"/>
              </w:rPr>
            </w:pPr>
            <w:r w:rsidRPr="000F6E74">
              <w:rPr>
                <w:rFonts w:cs="Arial"/>
                <w:szCs w:val="16"/>
              </w:rPr>
              <w:t>05/26/2021</w:t>
            </w:r>
          </w:p>
        </w:tc>
        <w:tc>
          <w:tcPr>
            <w:tcW w:w="2284" w:type="pct"/>
            <w:shd w:val="clear" w:color="auto" w:fill="auto"/>
            <w:vAlign w:val="center"/>
          </w:tcPr>
          <w:p w14:paraId="11D0842E" w14:textId="2246C25A" w:rsidR="00FE0F05" w:rsidRPr="000F6E74" w:rsidRDefault="00FE0F05" w:rsidP="009E4F1C">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graduating with a state-defined alternate diploma (b)</w:t>
            </w:r>
          </w:p>
        </w:tc>
        <w:tc>
          <w:tcPr>
            <w:tcW w:w="726" w:type="pct"/>
            <w:shd w:val="clear" w:color="auto" w:fill="auto"/>
            <w:vAlign w:val="center"/>
          </w:tcPr>
          <w:p w14:paraId="076B8DEA" w14:textId="2D1A3AE9" w:rsidR="00FE0F05" w:rsidRPr="000F6E74" w:rsidRDefault="00FE0F05" w:rsidP="009E4F1C">
            <w:pPr>
              <w:spacing w:after="0"/>
              <w:jc w:val="center"/>
              <w:rPr>
                <w:rFonts w:cs="Arial"/>
                <w:szCs w:val="16"/>
              </w:rPr>
            </w:pPr>
            <w:r w:rsidRPr="000F6E74">
              <w:rPr>
                <w:rFonts w:cs="Arial"/>
                <w:szCs w:val="16"/>
              </w:rPr>
              <w:t>0</w:t>
            </w:r>
          </w:p>
        </w:tc>
      </w:tr>
      <w:tr w:rsidR="000F6E74" w:rsidRPr="000F6E74" w14:paraId="7531005B" w14:textId="77777777" w:rsidTr="00FE7050">
        <w:trPr>
          <w:trHeight w:val="1728"/>
        </w:trPr>
        <w:tc>
          <w:tcPr>
            <w:tcW w:w="1003" w:type="pct"/>
            <w:shd w:val="clear" w:color="auto" w:fill="auto"/>
            <w:vAlign w:val="center"/>
          </w:tcPr>
          <w:p w14:paraId="68D79338" w14:textId="7556C19A" w:rsidR="0011161A" w:rsidRPr="000F6E74" w:rsidRDefault="0011161A" w:rsidP="009E4F1C">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87" w:type="pct"/>
            <w:shd w:val="clear" w:color="auto" w:fill="auto"/>
            <w:vAlign w:val="center"/>
          </w:tcPr>
          <w:p w14:paraId="3137C3E8" w14:textId="1C4E2EC1" w:rsidR="0011161A" w:rsidRPr="000F6E74" w:rsidRDefault="0011161A" w:rsidP="009E4F1C">
            <w:pPr>
              <w:spacing w:after="0"/>
              <w:jc w:val="center"/>
              <w:rPr>
                <w:rFonts w:cs="Arial"/>
                <w:szCs w:val="16"/>
              </w:rPr>
            </w:pPr>
            <w:r w:rsidRPr="000F6E74">
              <w:rPr>
                <w:rFonts w:cs="Arial"/>
                <w:szCs w:val="16"/>
              </w:rPr>
              <w:t>05/26/2021</w:t>
            </w:r>
          </w:p>
        </w:tc>
        <w:tc>
          <w:tcPr>
            <w:tcW w:w="2284" w:type="pct"/>
            <w:shd w:val="clear" w:color="auto" w:fill="auto"/>
            <w:vAlign w:val="center"/>
          </w:tcPr>
          <w:p w14:paraId="436358B9" w14:textId="1F75CF67" w:rsidR="0011161A" w:rsidRPr="000F6E74" w:rsidRDefault="0011161A" w:rsidP="009E4F1C">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receiving a certificate (c)</w:t>
            </w:r>
          </w:p>
        </w:tc>
        <w:tc>
          <w:tcPr>
            <w:tcW w:w="726" w:type="pct"/>
            <w:shd w:val="clear" w:color="auto" w:fill="auto"/>
            <w:vAlign w:val="center"/>
          </w:tcPr>
          <w:p w14:paraId="554F88F2" w14:textId="623A3342" w:rsidR="0011161A" w:rsidRPr="000F6E74" w:rsidRDefault="0011161A" w:rsidP="009E4F1C">
            <w:pPr>
              <w:spacing w:after="0"/>
              <w:jc w:val="center"/>
              <w:rPr>
                <w:rFonts w:cs="Arial"/>
                <w:szCs w:val="16"/>
              </w:rPr>
            </w:pPr>
            <w:r w:rsidRPr="000F6E74">
              <w:rPr>
                <w:rFonts w:cs="Arial"/>
                <w:szCs w:val="16"/>
              </w:rPr>
              <w:t>2,777</w:t>
            </w:r>
          </w:p>
        </w:tc>
      </w:tr>
      <w:tr w:rsidR="000F6E74" w:rsidRPr="000F6E74" w14:paraId="56B284E9" w14:textId="77777777" w:rsidTr="00FE7050">
        <w:trPr>
          <w:trHeight w:val="1728"/>
        </w:trPr>
        <w:tc>
          <w:tcPr>
            <w:tcW w:w="1003" w:type="pct"/>
            <w:shd w:val="clear" w:color="auto" w:fill="auto"/>
            <w:vAlign w:val="center"/>
          </w:tcPr>
          <w:p w14:paraId="73E78D27" w14:textId="6A11D514" w:rsidR="0011161A" w:rsidRPr="000F6E74" w:rsidRDefault="0011161A" w:rsidP="009E4F1C">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87" w:type="pct"/>
            <w:shd w:val="clear" w:color="auto" w:fill="auto"/>
            <w:vAlign w:val="center"/>
          </w:tcPr>
          <w:p w14:paraId="151F192A" w14:textId="492844E5" w:rsidR="0011161A" w:rsidRPr="000F6E74" w:rsidRDefault="0011161A" w:rsidP="009E4F1C">
            <w:pPr>
              <w:spacing w:after="0"/>
              <w:jc w:val="center"/>
              <w:rPr>
                <w:rFonts w:cs="Arial"/>
                <w:szCs w:val="16"/>
              </w:rPr>
            </w:pPr>
            <w:r w:rsidRPr="000F6E74">
              <w:rPr>
                <w:rFonts w:cs="Arial"/>
                <w:szCs w:val="16"/>
              </w:rPr>
              <w:t>05/26/2021</w:t>
            </w:r>
          </w:p>
        </w:tc>
        <w:tc>
          <w:tcPr>
            <w:tcW w:w="2284" w:type="pct"/>
            <w:shd w:val="clear" w:color="auto" w:fill="auto"/>
            <w:vAlign w:val="center"/>
          </w:tcPr>
          <w:p w14:paraId="65152DCF" w14:textId="4124B416" w:rsidR="0011161A" w:rsidRPr="000F6E74" w:rsidRDefault="0011161A" w:rsidP="009E4F1C">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by reaching maximum age (d)</w:t>
            </w:r>
          </w:p>
        </w:tc>
        <w:tc>
          <w:tcPr>
            <w:tcW w:w="726" w:type="pct"/>
            <w:shd w:val="clear" w:color="auto" w:fill="auto"/>
            <w:vAlign w:val="center"/>
          </w:tcPr>
          <w:p w14:paraId="788B37F6" w14:textId="1E312572" w:rsidR="0011161A" w:rsidRPr="000F6E74" w:rsidRDefault="0011161A" w:rsidP="009E4F1C">
            <w:pPr>
              <w:spacing w:after="0"/>
              <w:jc w:val="center"/>
              <w:rPr>
                <w:rFonts w:cs="Arial"/>
                <w:szCs w:val="16"/>
              </w:rPr>
            </w:pPr>
            <w:r w:rsidRPr="000F6E74">
              <w:rPr>
                <w:rFonts w:cs="Arial"/>
                <w:szCs w:val="16"/>
              </w:rPr>
              <w:t>5</w:t>
            </w:r>
          </w:p>
        </w:tc>
      </w:tr>
      <w:tr w:rsidR="000F6E74" w:rsidRPr="000F6E74" w14:paraId="245FE023" w14:textId="77777777" w:rsidTr="00FE7050">
        <w:trPr>
          <w:trHeight w:val="1728"/>
        </w:trPr>
        <w:tc>
          <w:tcPr>
            <w:tcW w:w="1003" w:type="pct"/>
            <w:shd w:val="clear" w:color="auto" w:fill="auto"/>
            <w:vAlign w:val="center"/>
          </w:tcPr>
          <w:p w14:paraId="67B529F8" w14:textId="28E7DCDC" w:rsidR="00C470E8" w:rsidRPr="000F6E74" w:rsidRDefault="008A2533" w:rsidP="009E4F1C">
            <w:pPr>
              <w:spacing w:after="0"/>
              <w:jc w:val="center"/>
              <w:rPr>
                <w:rFonts w:cs="Arial"/>
                <w:szCs w:val="16"/>
              </w:rPr>
            </w:pPr>
            <w:r w:rsidRPr="000F6E74">
              <w:rPr>
                <w:rFonts w:cs="Arial"/>
                <w:szCs w:val="16"/>
              </w:rPr>
              <w:t>SY 2019-20 Exiting Data Groups (</w:t>
            </w:r>
            <w:proofErr w:type="spellStart"/>
            <w:r w:rsidRPr="000F6E74">
              <w:rPr>
                <w:rFonts w:cs="Arial"/>
                <w:szCs w:val="16"/>
              </w:rPr>
              <w:t>EDFacts</w:t>
            </w:r>
            <w:proofErr w:type="spellEnd"/>
            <w:r w:rsidRPr="000F6E74">
              <w:rPr>
                <w:rFonts w:cs="Arial"/>
                <w:szCs w:val="16"/>
              </w:rPr>
              <w:t xml:space="preserve"> file spec FS009; Data Group 85)</w:t>
            </w:r>
          </w:p>
        </w:tc>
        <w:tc>
          <w:tcPr>
            <w:tcW w:w="987" w:type="pct"/>
            <w:shd w:val="clear" w:color="auto" w:fill="auto"/>
            <w:vAlign w:val="center"/>
          </w:tcPr>
          <w:p w14:paraId="2C17EFE7" w14:textId="6210AB54" w:rsidR="00C470E8" w:rsidRPr="000F6E74" w:rsidRDefault="008A2533" w:rsidP="009E4F1C">
            <w:pPr>
              <w:spacing w:after="0"/>
              <w:jc w:val="center"/>
              <w:rPr>
                <w:rFonts w:cs="Arial"/>
                <w:szCs w:val="16"/>
              </w:rPr>
            </w:pPr>
            <w:r w:rsidRPr="000F6E74">
              <w:rPr>
                <w:rFonts w:cs="Arial"/>
                <w:szCs w:val="16"/>
              </w:rPr>
              <w:t>05/26/2021</w:t>
            </w:r>
          </w:p>
        </w:tc>
        <w:tc>
          <w:tcPr>
            <w:tcW w:w="2284" w:type="pct"/>
            <w:shd w:val="clear" w:color="auto" w:fill="auto"/>
            <w:vAlign w:val="center"/>
          </w:tcPr>
          <w:p w14:paraId="2D5B3E78" w14:textId="5F9109CF" w:rsidR="00C470E8" w:rsidRPr="000F6E74" w:rsidRDefault="00C470E8" w:rsidP="009E4F1C">
            <w:pPr>
              <w:spacing w:after="0"/>
              <w:rPr>
                <w:rFonts w:cs="Arial"/>
                <w:szCs w:val="16"/>
              </w:rPr>
            </w:pPr>
            <w:r w:rsidRPr="000F6E74">
              <w:rPr>
                <w:rFonts w:cs="Arial"/>
                <w:szCs w:val="16"/>
              </w:rPr>
              <w:t xml:space="preserve">Number of </w:t>
            </w:r>
            <w:proofErr w:type="gramStart"/>
            <w:r w:rsidRPr="000F6E74">
              <w:rPr>
                <w:rFonts w:cs="Arial"/>
                <w:szCs w:val="16"/>
              </w:rPr>
              <w:t>youth</w:t>
            </w:r>
            <w:proofErr w:type="gramEnd"/>
            <w:r w:rsidRPr="000F6E74">
              <w:rPr>
                <w:rFonts w:cs="Arial"/>
                <w:szCs w:val="16"/>
              </w:rPr>
              <w:t xml:space="preserve"> with IEPs (ages 14-21) who exited special education due to dropping out (e)</w:t>
            </w:r>
          </w:p>
        </w:tc>
        <w:tc>
          <w:tcPr>
            <w:tcW w:w="726" w:type="pct"/>
            <w:shd w:val="clear" w:color="auto" w:fill="auto"/>
            <w:vAlign w:val="center"/>
          </w:tcPr>
          <w:p w14:paraId="20785B5C" w14:textId="176AF317" w:rsidR="00C470E8" w:rsidRPr="000F6E74" w:rsidRDefault="00FE0F05" w:rsidP="009E4F1C">
            <w:pPr>
              <w:spacing w:after="0"/>
              <w:jc w:val="center"/>
              <w:rPr>
                <w:rFonts w:cs="Arial"/>
                <w:szCs w:val="16"/>
              </w:rPr>
            </w:pPr>
            <w:r w:rsidRPr="000F6E74">
              <w:rPr>
                <w:rFonts w:cs="Arial"/>
                <w:szCs w:val="16"/>
              </w:rPr>
              <w:t>820</w:t>
            </w:r>
          </w:p>
        </w:tc>
      </w:tr>
    </w:tbl>
    <w:p w14:paraId="0B0E7BE5" w14:textId="70F3F8F2" w:rsidR="00845C0A" w:rsidRPr="00845C0A" w:rsidRDefault="00845C0A" w:rsidP="00815ACE">
      <w:pPr>
        <w:pStyle w:val="Caption"/>
      </w:pPr>
      <w:r w:rsidRPr="00845C0A">
        <w:t>FFY 2020 SPP/APR Data (2)</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1890"/>
        <w:gridCol w:w="1621"/>
        <w:gridCol w:w="1349"/>
        <w:gridCol w:w="1630"/>
        <w:gridCol w:w="1228"/>
        <w:gridCol w:w="1563"/>
        <w:gridCol w:w="1513"/>
      </w:tblGrid>
      <w:tr w:rsidR="000F6E74" w:rsidRPr="000F6E74" w14:paraId="5C4D1C2F" w14:textId="77777777" w:rsidTr="00572E2A">
        <w:trPr>
          <w:trHeight w:val="359"/>
          <w:tblHeader/>
        </w:trPr>
        <w:tc>
          <w:tcPr>
            <w:tcW w:w="875" w:type="pct"/>
            <w:shd w:val="clear" w:color="auto" w:fill="D9D9D9" w:themeFill="background1" w:themeFillShade="D9"/>
            <w:vAlign w:val="center"/>
          </w:tcPr>
          <w:p w14:paraId="3F5808F2" w14:textId="257E84C8" w:rsidR="00C96339" w:rsidRPr="000F6E74" w:rsidRDefault="00C96339" w:rsidP="00DE2CFA">
            <w:pPr>
              <w:spacing w:after="0"/>
              <w:jc w:val="center"/>
              <w:rPr>
                <w:rFonts w:cs="Arial"/>
                <w:b/>
                <w:szCs w:val="16"/>
              </w:rPr>
            </w:pPr>
            <w:r w:rsidRPr="000F6E74">
              <w:rPr>
                <w:rFonts w:cs="Arial"/>
                <w:b/>
                <w:szCs w:val="16"/>
              </w:rPr>
              <w:t xml:space="preserve">Number of </w:t>
            </w:r>
            <w:proofErr w:type="gramStart"/>
            <w:r w:rsidRPr="000F6E74">
              <w:rPr>
                <w:rFonts w:cs="Arial"/>
                <w:b/>
                <w:szCs w:val="16"/>
              </w:rPr>
              <w:t>youth</w:t>
            </w:r>
            <w:proofErr w:type="gramEnd"/>
            <w:r w:rsidRPr="000F6E74">
              <w:rPr>
                <w:rFonts w:cs="Arial"/>
                <w:b/>
                <w:szCs w:val="16"/>
              </w:rPr>
              <w:t xml:space="preserve"> with IEPs (ages 14-21) who exited special education due to dropping out</w:t>
            </w:r>
          </w:p>
        </w:tc>
        <w:tc>
          <w:tcPr>
            <w:tcW w:w="751" w:type="pct"/>
            <w:shd w:val="clear" w:color="auto" w:fill="D9D9D9" w:themeFill="background1" w:themeFillShade="D9"/>
            <w:vAlign w:val="center"/>
          </w:tcPr>
          <w:p w14:paraId="2F5BF81E" w14:textId="1B25DD8E" w:rsidR="00C96339" w:rsidRPr="000F6E74" w:rsidRDefault="008137CC" w:rsidP="00DE2CFA">
            <w:pPr>
              <w:spacing w:after="0"/>
              <w:jc w:val="center"/>
              <w:rPr>
                <w:rFonts w:cs="Arial"/>
                <w:szCs w:val="16"/>
              </w:rPr>
            </w:pPr>
            <w:r w:rsidRPr="000F6E74">
              <w:rPr>
                <w:rFonts w:cs="Arial"/>
                <w:b/>
                <w:szCs w:val="16"/>
              </w:rPr>
              <w:t>Number of all youth with IEPs who exited special education (ages 14-21)</w:t>
            </w:r>
          </w:p>
        </w:tc>
        <w:tc>
          <w:tcPr>
            <w:tcW w:w="625" w:type="pct"/>
            <w:shd w:val="clear" w:color="auto" w:fill="D9D9D9" w:themeFill="background1" w:themeFillShade="D9"/>
            <w:vAlign w:val="center"/>
          </w:tcPr>
          <w:p w14:paraId="764A6652" w14:textId="019F7C44" w:rsidR="00C96339" w:rsidRPr="000F6E74" w:rsidRDefault="00F6415A" w:rsidP="00DE2CFA">
            <w:pPr>
              <w:spacing w:after="0"/>
              <w:jc w:val="center"/>
              <w:rPr>
                <w:rFonts w:cs="Arial"/>
                <w:b/>
                <w:szCs w:val="16"/>
              </w:rPr>
            </w:pPr>
            <w:r w:rsidRPr="000F6E74">
              <w:rPr>
                <w:rFonts w:cs="Arial"/>
                <w:b/>
                <w:szCs w:val="16"/>
              </w:rPr>
              <w:t>FFY 2019 Data</w:t>
            </w:r>
          </w:p>
        </w:tc>
        <w:tc>
          <w:tcPr>
            <w:tcW w:w="755" w:type="pct"/>
            <w:shd w:val="clear" w:color="auto" w:fill="D9D9D9" w:themeFill="background1" w:themeFillShade="D9"/>
            <w:vAlign w:val="center"/>
          </w:tcPr>
          <w:p w14:paraId="1F444650" w14:textId="5E6EFC51" w:rsidR="00C96339" w:rsidRPr="000F6E74" w:rsidRDefault="00F6415A" w:rsidP="00DE2CFA">
            <w:pPr>
              <w:spacing w:after="0"/>
              <w:jc w:val="center"/>
              <w:rPr>
                <w:rFonts w:cs="Arial"/>
                <w:b/>
                <w:szCs w:val="16"/>
              </w:rPr>
            </w:pPr>
            <w:r w:rsidRPr="000F6E74">
              <w:rPr>
                <w:rFonts w:cs="Arial"/>
                <w:b/>
                <w:szCs w:val="16"/>
              </w:rPr>
              <w:t>FFY 2020 Target</w:t>
            </w:r>
          </w:p>
        </w:tc>
        <w:tc>
          <w:tcPr>
            <w:tcW w:w="569" w:type="pct"/>
            <w:shd w:val="clear" w:color="auto" w:fill="D9D9D9" w:themeFill="background1" w:themeFillShade="D9"/>
            <w:vAlign w:val="center"/>
          </w:tcPr>
          <w:p w14:paraId="194A1B8B" w14:textId="62D2916E" w:rsidR="00C96339" w:rsidRPr="000F6E74" w:rsidRDefault="00F6415A" w:rsidP="00DE2CFA">
            <w:pPr>
              <w:spacing w:after="0"/>
              <w:jc w:val="center"/>
              <w:rPr>
                <w:rFonts w:cs="Arial"/>
                <w:b/>
                <w:szCs w:val="16"/>
              </w:rPr>
            </w:pPr>
            <w:r w:rsidRPr="000F6E74">
              <w:rPr>
                <w:rFonts w:cs="Arial"/>
                <w:b/>
                <w:szCs w:val="16"/>
              </w:rPr>
              <w:t>FFY 2020 Data</w:t>
            </w:r>
          </w:p>
        </w:tc>
        <w:tc>
          <w:tcPr>
            <w:tcW w:w="724" w:type="pct"/>
            <w:shd w:val="clear" w:color="auto" w:fill="D9D9D9" w:themeFill="background1" w:themeFillShade="D9"/>
            <w:vAlign w:val="center"/>
          </w:tcPr>
          <w:p w14:paraId="4B0F6AFA" w14:textId="77777777" w:rsidR="00C96339" w:rsidRPr="000F6E74" w:rsidRDefault="00C96339" w:rsidP="00DE2CFA">
            <w:pPr>
              <w:spacing w:after="0"/>
              <w:jc w:val="center"/>
              <w:rPr>
                <w:rFonts w:cs="Arial"/>
                <w:b/>
                <w:szCs w:val="16"/>
              </w:rPr>
            </w:pPr>
            <w:r w:rsidRPr="000F6E74">
              <w:rPr>
                <w:rFonts w:cs="Arial"/>
                <w:b/>
                <w:szCs w:val="16"/>
              </w:rPr>
              <w:t>Status</w:t>
            </w:r>
          </w:p>
        </w:tc>
        <w:tc>
          <w:tcPr>
            <w:tcW w:w="701" w:type="pct"/>
            <w:shd w:val="clear" w:color="auto" w:fill="D9D9D9" w:themeFill="background1" w:themeFillShade="D9"/>
            <w:vAlign w:val="center"/>
          </w:tcPr>
          <w:p w14:paraId="2987DD9A" w14:textId="77777777" w:rsidR="00C96339" w:rsidRPr="000F6E74" w:rsidRDefault="00C96339" w:rsidP="00DE2CFA">
            <w:pPr>
              <w:spacing w:after="0"/>
              <w:jc w:val="center"/>
              <w:rPr>
                <w:rFonts w:cs="Arial"/>
                <w:b/>
                <w:szCs w:val="16"/>
              </w:rPr>
            </w:pPr>
            <w:r w:rsidRPr="000F6E74">
              <w:rPr>
                <w:rFonts w:cs="Arial"/>
                <w:b/>
                <w:szCs w:val="16"/>
              </w:rPr>
              <w:t>Slippage</w:t>
            </w:r>
          </w:p>
        </w:tc>
      </w:tr>
      <w:tr w:rsidR="000F6E74" w:rsidRPr="000F6E74" w14:paraId="2928907F" w14:textId="77777777" w:rsidTr="00572E2A">
        <w:trPr>
          <w:trHeight w:val="467"/>
        </w:trPr>
        <w:tc>
          <w:tcPr>
            <w:tcW w:w="875" w:type="pct"/>
            <w:shd w:val="clear" w:color="auto" w:fill="auto"/>
            <w:vAlign w:val="center"/>
          </w:tcPr>
          <w:p w14:paraId="153F1C9B" w14:textId="5227014D" w:rsidR="00C96339" w:rsidRPr="000F6E74" w:rsidRDefault="002B7490" w:rsidP="00DE2CFA">
            <w:pPr>
              <w:spacing w:after="0"/>
              <w:jc w:val="center"/>
              <w:rPr>
                <w:rFonts w:cs="Arial"/>
                <w:szCs w:val="16"/>
              </w:rPr>
            </w:pPr>
            <w:r w:rsidRPr="000F6E74">
              <w:rPr>
                <w:rFonts w:cs="Arial"/>
                <w:szCs w:val="16"/>
              </w:rPr>
              <w:t>820</w:t>
            </w:r>
          </w:p>
        </w:tc>
        <w:tc>
          <w:tcPr>
            <w:tcW w:w="751" w:type="pct"/>
            <w:shd w:val="clear" w:color="auto" w:fill="auto"/>
            <w:vAlign w:val="center"/>
          </w:tcPr>
          <w:p w14:paraId="31391E82" w14:textId="0E0F2A0A" w:rsidR="00C96339" w:rsidRPr="000F6E74" w:rsidRDefault="002B7490" w:rsidP="00DE2CFA">
            <w:pPr>
              <w:spacing w:after="0"/>
              <w:jc w:val="center"/>
              <w:rPr>
                <w:rFonts w:cs="Arial"/>
                <w:szCs w:val="16"/>
              </w:rPr>
            </w:pPr>
            <w:r w:rsidRPr="000F6E74">
              <w:rPr>
                <w:rFonts w:cs="Arial"/>
                <w:szCs w:val="16"/>
              </w:rPr>
              <w:t>12,309</w:t>
            </w:r>
          </w:p>
        </w:tc>
        <w:tc>
          <w:tcPr>
            <w:tcW w:w="625" w:type="pct"/>
            <w:shd w:val="clear" w:color="auto" w:fill="auto"/>
            <w:vAlign w:val="center"/>
          </w:tcPr>
          <w:p w14:paraId="77541D8A" w14:textId="254EC6F2" w:rsidR="00C96339" w:rsidRPr="000F6E74" w:rsidRDefault="002B7490" w:rsidP="00DE2CFA">
            <w:pPr>
              <w:spacing w:after="0"/>
              <w:jc w:val="center"/>
              <w:rPr>
                <w:rFonts w:cs="Arial"/>
                <w:szCs w:val="16"/>
              </w:rPr>
            </w:pPr>
            <w:r w:rsidRPr="000F6E74">
              <w:rPr>
                <w:rFonts w:cs="Arial"/>
                <w:szCs w:val="16"/>
              </w:rPr>
              <w:t>1.42%</w:t>
            </w:r>
          </w:p>
        </w:tc>
        <w:tc>
          <w:tcPr>
            <w:tcW w:w="755" w:type="pct"/>
            <w:shd w:val="clear" w:color="auto" w:fill="auto"/>
            <w:vAlign w:val="center"/>
          </w:tcPr>
          <w:p w14:paraId="70FE3FCD" w14:textId="1A7F9FE0" w:rsidR="00C96339" w:rsidRPr="000F6E74" w:rsidRDefault="002B7490" w:rsidP="00DE2CFA">
            <w:pPr>
              <w:spacing w:after="0"/>
              <w:jc w:val="center"/>
              <w:rPr>
                <w:rFonts w:cs="Arial"/>
                <w:szCs w:val="16"/>
              </w:rPr>
            </w:pPr>
            <w:r w:rsidRPr="000F6E74">
              <w:rPr>
                <w:rFonts w:cs="Arial"/>
                <w:szCs w:val="16"/>
              </w:rPr>
              <w:t>6.66%</w:t>
            </w:r>
          </w:p>
        </w:tc>
        <w:tc>
          <w:tcPr>
            <w:tcW w:w="569" w:type="pct"/>
            <w:shd w:val="clear" w:color="auto" w:fill="auto"/>
            <w:vAlign w:val="center"/>
          </w:tcPr>
          <w:p w14:paraId="64E2814C" w14:textId="135DB5EE" w:rsidR="00C96339" w:rsidRPr="000F6E74" w:rsidRDefault="002B7490" w:rsidP="00DE2CFA">
            <w:pPr>
              <w:spacing w:after="0"/>
              <w:jc w:val="center"/>
              <w:rPr>
                <w:rFonts w:cs="Arial"/>
                <w:szCs w:val="16"/>
              </w:rPr>
            </w:pPr>
            <w:r w:rsidRPr="000F6E74">
              <w:rPr>
                <w:rFonts w:cs="Arial"/>
                <w:szCs w:val="16"/>
              </w:rPr>
              <w:t>6.66%</w:t>
            </w:r>
          </w:p>
        </w:tc>
        <w:tc>
          <w:tcPr>
            <w:tcW w:w="724" w:type="pct"/>
            <w:shd w:val="clear" w:color="auto" w:fill="auto"/>
            <w:vAlign w:val="center"/>
          </w:tcPr>
          <w:p w14:paraId="60873B1E" w14:textId="3A0A0AC5" w:rsidR="00C96339" w:rsidRPr="000F6E74" w:rsidRDefault="002B7490" w:rsidP="00DE2CFA">
            <w:pPr>
              <w:spacing w:after="0"/>
              <w:jc w:val="center"/>
              <w:rPr>
                <w:rFonts w:cs="Arial"/>
                <w:szCs w:val="16"/>
              </w:rPr>
            </w:pPr>
            <w:r w:rsidRPr="000F6E74">
              <w:rPr>
                <w:rFonts w:cs="Arial"/>
                <w:szCs w:val="16"/>
              </w:rPr>
              <w:t>N/A</w:t>
            </w:r>
          </w:p>
        </w:tc>
        <w:tc>
          <w:tcPr>
            <w:tcW w:w="701" w:type="pct"/>
            <w:shd w:val="clear" w:color="auto" w:fill="auto"/>
            <w:vAlign w:val="center"/>
          </w:tcPr>
          <w:p w14:paraId="3EF3C710" w14:textId="04969BC1" w:rsidR="00C96339" w:rsidRPr="000F6E74" w:rsidRDefault="002B7490" w:rsidP="00DE2CFA">
            <w:pPr>
              <w:spacing w:after="0"/>
              <w:jc w:val="center"/>
              <w:rPr>
                <w:rFonts w:cs="Arial"/>
                <w:szCs w:val="16"/>
              </w:rPr>
            </w:pPr>
            <w:r w:rsidRPr="000F6E74">
              <w:rPr>
                <w:rFonts w:cs="Arial"/>
                <w:szCs w:val="16"/>
              </w:rPr>
              <w:t>N/A</w:t>
            </w:r>
          </w:p>
        </w:tc>
      </w:tr>
    </w:tbl>
    <w:p w14:paraId="27A2EAFB" w14:textId="5DAAB5B0" w:rsidR="00A87A9D" w:rsidRPr="0036581E" w:rsidRDefault="0083500D" w:rsidP="0036581E">
      <w:pPr>
        <w:spacing w:before="240"/>
        <w:rPr>
          <w:b/>
          <w:bCs/>
        </w:rPr>
      </w:pPr>
      <w:r w:rsidRPr="0036581E">
        <w:rPr>
          <w:b/>
          <w:bCs/>
        </w:rPr>
        <w:t>Provide a narrative that describes what counts as dropping out for all youth</w:t>
      </w:r>
    </w:p>
    <w:p w14:paraId="32A15CDA" w14:textId="3CA05678" w:rsidR="00A869E9" w:rsidRPr="003856F1" w:rsidRDefault="002B7490" w:rsidP="00314F94">
      <w:pPr>
        <w:pStyle w:val="ListParagraph"/>
        <w:numPr>
          <w:ilvl w:val="0"/>
          <w:numId w:val="75"/>
        </w:numPr>
        <w:rPr>
          <w:rFonts w:cs="Arial"/>
          <w:szCs w:val="16"/>
          <w:shd w:val="clear" w:color="auto" w:fill="FFFFFF"/>
        </w:rPr>
      </w:pPr>
      <w:r w:rsidRPr="003856F1">
        <w:rPr>
          <w:rFonts w:cs="Arial"/>
          <w:szCs w:val="16"/>
          <w:shd w:val="clear" w:color="auto" w:fill="FFFFFF"/>
        </w:rPr>
        <w:t>Consistent with the National Center for Education Statistics Common Core of Data, the Virginia Department of Education defines a dropout as a student who was enrolled at any time during the previous school year but is not enrolled at the beginning of the current school year, has not graduated from high school or completed an approved educational program, and does not meet any of the following exclusionary conditions: 1) Enrolled in another public school district, private school, or approved education program; 2) Temporarily absent due to suspension or illness; or 3) Deceased.</w:t>
      </w:r>
    </w:p>
    <w:p w14:paraId="6E220BF0" w14:textId="157218DF" w:rsidR="00DD051F" w:rsidRPr="000F6E74" w:rsidRDefault="00DD051F" w:rsidP="000E33D0">
      <w:pPr>
        <w:rPr>
          <w:rFonts w:cs="Arial"/>
          <w:b/>
          <w:szCs w:val="16"/>
        </w:rPr>
      </w:pPr>
      <w:r w:rsidRPr="000F6E74">
        <w:rPr>
          <w:rFonts w:cs="Arial"/>
          <w:b/>
          <w:szCs w:val="16"/>
        </w:rPr>
        <w:lastRenderedPageBreak/>
        <w:t>Is there a difference in what counts as dropping out for youth with IEPs? (yes/no)</w:t>
      </w:r>
    </w:p>
    <w:p w14:paraId="5530CE18" w14:textId="58BED791" w:rsidR="00DD051F" w:rsidRPr="003856F1" w:rsidRDefault="00DD051F" w:rsidP="00314F94">
      <w:pPr>
        <w:pStyle w:val="ListParagraph"/>
        <w:numPr>
          <w:ilvl w:val="0"/>
          <w:numId w:val="76"/>
        </w:numPr>
        <w:rPr>
          <w:rFonts w:cs="Arial"/>
          <w:szCs w:val="16"/>
        </w:rPr>
      </w:pPr>
      <w:r w:rsidRPr="003856F1">
        <w:rPr>
          <w:rFonts w:cs="Arial"/>
          <w:szCs w:val="16"/>
        </w:rPr>
        <w:t>N</w:t>
      </w:r>
      <w:r w:rsidR="006A24D8" w:rsidRPr="003856F1">
        <w:rPr>
          <w:rFonts w:cs="Arial"/>
          <w:szCs w:val="16"/>
        </w:rPr>
        <w:t>o</w:t>
      </w:r>
    </w:p>
    <w:p w14:paraId="4903B3F9" w14:textId="50D12777" w:rsidR="00E418E6" w:rsidRPr="000F6E74" w:rsidRDefault="00B7068F" w:rsidP="004369B2">
      <w:pPr>
        <w:rPr>
          <w:b/>
        </w:rPr>
      </w:pPr>
      <w:r w:rsidRPr="000F6E74">
        <w:rPr>
          <w:b/>
        </w:rPr>
        <w:t>If yes, explain the difference in what counts as dropping out for youth with IEPs.</w:t>
      </w:r>
    </w:p>
    <w:p w14:paraId="44F7B282" w14:textId="77777777" w:rsidR="00F56834" w:rsidRPr="000F6E74" w:rsidRDefault="00F56834" w:rsidP="0036581E">
      <w:pPr>
        <w:pStyle w:val="Heading4"/>
      </w:pPr>
      <w:bookmarkStart w:id="8" w:name="_Toc382082362"/>
      <w:bookmarkStart w:id="9" w:name="_Toc392159270"/>
      <w:bookmarkStart w:id="10" w:name="_Toc365403651"/>
      <w:r w:rsidRPr="000F6E74">
        <w:t>Provide additional information about this indicator (optional)</w:t>
      </w:r>
    </w:p>
    <w:p w14:paraId="4492AB5A" w14:textId="63C5DA7E" w:rsidR="00A869E9" w:rsidRPr="003856F1" w:rsidRDefault="002B7490" w:rsidP="00314F94">
      <w:pPr>
        <w:pStyle w:val="ListParagraph"/>
        <w:numPr>
          <w:ilvl w:val="0"/>
          <w:numId w:val="77"/>
        </w:numPr>
        <w:rPr>
          <w:rFonts w:cs="Arial"/>
          <w:szCs w:val="16"/>
        </w:rPr>
      </w:pPr>
      <w:r w:rsidRPr="003856F1">
        <w:rPr>
          <w:rFonts w:cs="Arial"/>
          <w:szCs w:val="16"/>
          <w:shd w:val="clear" w:color="auto" w:fill="FFFFFF"/>
        </w:rPr>
        <w:t>The baseline data was revised due to a change in the data source for the indicator that impacts comparability of the data. The new baseline year is FFY 2020.</w:t>
      </w:r>
    </w:p>
    <w:p w14:paraId="6E187388" w14:textId="724EF642" w:rsidR="000A2C83" w:rsidRPr="000F6E74" w:rsidRDefault="00F914B4" w:rsidP="003E4F35">
      <w:pPr>
        <w:pStyle w:val="Heading3"/>
        <w:rPr>
          <w:color w:val="auto"/>
        </w:rPr>
      </w:pPr>
      <w:r w:rsidRPr="000F6E74">
        <w:rPr>
          <w:color w:val="auto"/>
        </w:rPr>
        <w:t>2</w:t>
      </w:r>
      <w:r w:rsidR="00684B51" w:rsidRPr="000F6E74">
        <w:rPr>
          <w:color w:val="auto"/>
        </w:rPr>
        <w:t xml:space="preserve"> </w:t>
      </w:r>
      <w:r w:rsidRPr="000F6E74">
        <w:rPr>
          <w:color w:val="auto"/>
        </w:rPr>
        <w:t xml:space="preserve">- </w:t>
      </w:r>
      <w:r w:rsidR="000A2C83" w:rsidRPr="000F6E74">
        <w:rPr>
          <w:color w:val="auto"/>
        </w:rPr>
        <w:t>Prior FFY Required Actions</w:t>
      </w:r>
    </w:p>
    <w:p w14:paraId="3B152B02" w14:textId="0A6719CC" w:rsidR="000A2C83" w:rsidRPr="003856F1" w:rsidRDefault="002B7490" w:rsidP="00314F94">
      <w:pPr>
        <w:pStyle w:val="ListParagraph"/>
        <w:numPr>
          <w:ilvl w:val="0"/>
          <w:numId w:val="78"/>
        </w:numPr>
        <w:rPr>
          <w:rFonts w:cs="Arial"/>
          <w:szCs w:val="16"/>
        </w:rPr>
      </w:pPr>
      <w:r w:rsidRPr="003856F1">
        <w:rPr>
          <w:rFonts w:cs="Arial"/>
          <w:szCs w:val="16"/>
        </w:rPr>
        <w:t>None</w:t>
      </w:r>
    </w:p>
    <w:p w14:paraId="306FF021" w14:textId="5A4A312B" w:rsidR="00F56834" w:rsidRPr="000F6E74" w:rsidRDefault="000D2287" w:rsidP="003E4F35">
      <w:pPr>
        <w:pStyle w:val="Heading3"/>
        <w:rPr>
          <w:color w:val="auto"/>
        </w:rPr>
      </w:pPr>
      <w:r w:rsidRPr="000F6E74">
        <w:rPr>
          <w:color w:val="auto"/>
        </w:rPr>
        <w:t>2</w:t>
      </w:r>
      <w:r w:rsidR="00684B51" w:rsidRPr="000F6E74">
        <w:rPr>
          <w:color w:val="auto"/>
        </w:rPr>
        <w:t xml:space="preserve"> </w:t>
      </w:r>
      <w:r w:rsidRPr="000F6E74">
        <w:rPr>
          <w:color w:val="auto"/>
        </w:rPr>
        <w:t xml:space="preserve">- </w:t>
      </w:r>
      <w:r w:rsidR="00F56834" w:rsidRPr="000F6E74">
        <w:rPr>
          <w:color w:val="auto"/>
        </w:rPr>
        <w:t>OSEP Response</w:t>
      </w:r>
    </w:p>
    <w:p w14:paraId="6E5D532C" w14:textId="77777777" w:rsidR="009E4F1C" w:rsidRPr="003856F1" w:rsidRDefault="002B7490" w:rsidP="00314F94">
      <w:pPr>
        <w:pStyle w:val="ListParagraph"/>
        <w:numPr>
          <w:ilvl w:val="0"/>
          <w:numId w:val="79"/>
        </w:numPr>
        <w:rPr>
          <w:rFonts w:cs="Arial"/>
          <w:szCs w:val="16"/>
          <w:shd w:val="clear" w:color="auto" w:fill="FFFFFF"/>
        </w:rPr>
      </w:pPr>
      <w:r w:rsidRPr="003856F1">
        <w:rPr>
          <w:rFonts w:cs="Arial"/>
          <w:szCs w:val="16"/>
          <w:shd w:val="clear" w:color="auto" w:fill="FFFFFF"/>
        </w:rPr>
        <w:t>The State has revised the baseline for this indicator, using data from FFY 2020, and OSEP accepts that revision.</w:t>
      </w:r>
    </w:p>
    <w:p w14:paraId="079F48D0" w14:textId="6C861194" w:rsidR="00A869E9" w:rsidRPr="000F6E74" w:rsidRDefault="002B7490" w:rsidP="004C1EC0">
      <w:pPr>
        <w:ind w:left="720"/>
        <w:rPr>
          <w:rFonts w:cs="Arial"/>
          <w:szCs w:val="16"/>
        </w:rPr>
      </w:pPr>
      <w:r w:rsidRPr="000F6E74">
        <w:rPr>
          <w:rFonts w:cs="Arial"/>
          <w:szCs w:val="16"/>
          <w:shd w:val="clear" w:color="auto" w:fill="FFFFFF"/>
        </w:rPr>
        <w:t>The State provided targets for FFYs 2020 through 2025 for this indicator, and OSEP accepts those targets.</w:t>
      </w:r>
    </w:p>
    <w:p w14:paraId="6A1E3D87" w14:textId="174811E8" w:rsidR="00F56834" w:rsidRDefault="000105C5" w:rsidP="003E4F35">
      <w:pPr>
        <w:pStyle w:val="Heading3"/>
        <w:rPr>
          <w:color w:val="auto"/>
        </w:rPr>
      </w:pPr>
      <w:r w:rsidRPr="000F6E74">
        <w:rPr>
          <w:color w:val="auto"/>
        </w:rPr>
        <w:t>2 - Required Actions</w:t>
      </w:r>
    </w:p>
    <w:p w14:paraId="4D8C2596" w14:textId="7725BE47" w:rsidR="007A0DB8" w:rsidRDefault="00FE7050" w:rsidP="00314F94">
      <w:pPr>
        <w:pStyle w:val="ListParagraph"/>
        <w:numPr>
          <w:ilvl w:val="0"/>
          <w:numId w:val="80"/>
        </w:numPr>
      </w:pPr>
      <w:r>
        <w:t>Not applicable</w:t>
      </w:r>
      <w:r w:rsidR="007A0DB8">
        <w:br w:type="page"/>
      </w:r>
    </w:p>
    <w:p w14:paraId="735D3BB6" w14:textId="664704B3" w:rsidR="00553A47" w:rsidRPr="000F6E74" w:rsidRDefault="00553A47" w:rsidP="008143AB">
      <w:pPr>
        <w:pStyle w:val="Heading2"/>
      </w:pPr>
      <w:r w:rsidRPr="000F6E74">
        <w:lastRenderedPageBreak/>
        <w:t>Indicator 3A: Participation for Children with IEPs</w:t>
      </w:r>
    </w:p>
    <w:p w14:paraId="5AC89D57" w14:textId="77777777" w:rsidR="00553A47" w:rsidRPr="000F6E74" w:rsidRDefault="00553A47" w:rsidP="0036581E">
      <w:pPr>
        <w:pStyle w:val="Heading3"/>
        <w:spacing w:before="240"/>
      </w:pPr>
      <w:r w:rsidRPr="000F6E74">
        <w:t>Instructions and Measurement</w:t>
      </w:r>
    </w:p>
    <w:p w14:paraId="5D4905EB" w14:textId="77777777" w:rsidR="00553A47" w:rsidRPr="000F6E74" w:rsidRDefault="00553A47" w:rsidP="009E4F1C">
      <w:r w:rsidRPr="000F6E74">
        <w:rPr>
          <w:b/>
        </w:rPr>
        <w:t>Monitoring Priority:</w:t>
      </w:r>
      <w:r w:rsidRPr="000F6E74">
        <w:t xml:space="preserve"> FAPE in the LRE</w:t>
      </w:r>
    </w:p>
    <w:p w14:paraId="5574F71D" w14:textId="77777777" w:rsidR="00553A47" w:rsidRPr="000F6E74" w:rsidRDefault="00553A47" w:rsidP="009E4F1C">
      <w:pPr>
        <w:rPr>
          <w:rFonts w:cs="Arial"/>
          <w:szCs w:val="16"/>
        </w:rPr>
      </w:pPr>
      <w:r w:rsidRPr="000F6E74">
        <w:rPr>
          <w:rFonts w:cs="Arial"/>
          <w:b/>
          <w:szCs w:val="16"/>
        </w:rPr>
        <w:t>Results indicator</w:t>
      </w:r>
      <w:r w:rsidRPr="000F6E74">
        <w:rPr>
          <w:rFonts w:cs="Arial"/>
          <w:szCs w:val="16"/>
        </w:rPr>
        <w:t>: Participation and performance of children with IEPs on statewide assessments:</w:t>
      </w:r>
    </w:p>
    <w:p w14:paraId="0338FF36" w14:textId="49883E52" w:rsidR="00553A47" w:rsidRPr="000F6E74" w:rsidRDefault="00553A47" w:rsidP="00AC70C9">
      <w:pPr>
        <w:pStyle w:val="ListParagraph"/>
        <w:numPr>
          <w:ilvl w:val="0"/>
          <w:numId w:val="5"/>
        </w:numPr>
        <w:contextualSpacing w:val="0"/>
        <w:rPr>
          <w:rFonts w:cs="Arial"/>
          <w:szCs w:val="16"/>
        </w:rPr>
      </w:pPr>
      <w:r w:rsidRPr="000F6E74">
        <w:rPr>
          <w:rFonts w:cs="Arial"/>
          <w:szCs w:val="16"/>
        </w:rPr>
        <w:t>Participation rate for children with IEPs.</w:t>
      </w:r>
    </w:p>
    <w:p w14:paraId="3CA36EC5" w14:textId="212A286D" w:rsidR="00553A47" w:rsidRPr="000F6E74" w:rsidRDefault="001A2D6A" w:rsidP="00AC70C9">
      <w:pPr>
        <w:pStyle w:val="ListParagraph"/>
        <w:numPr>
          <w:ilvl w:val="0"/>
          <w:numId w:val="5"/>
        </w:numPr>
        <w:contextualSpacing w:val="0"/>
        <w:rPr>
          <w:rFonts w:cs="Arial"/>
          <w:szCs w:val="16"/>
        </w:rPr>
      </w:pPr>
      <w:r w:rsidRPr="000F6E74">
        <w:rPr>
          <w:rFonts w:cs="Arial"/>
          <w:szCs w:val="16"/>
        </w:rPr>
        <w:t>Proficiency rate for children with IEPs against grade level academic achievement standards.</w:t>
      </w:r>
    </w:p>
    <w:p w14:paraId="7D2B8CB5" w14:textId="77777777" w:rsidR="009E4F1C" w:rsidRPr="000F6E74" w:rsidRDefault="00553A47" w:rsidP="00AC70C9">
      <w:pPr>
        <w:pStyle w:val="ListParagraph"/>
        <w:numPr>
          <w:ilvl w:val="0"/>
          <w:numId w:val="5"/>
        </w:numPr>
        <w:contextualSpacing w:val="0"/>
        <w:rPr>
          <w:rFonts w:cs="Arial"/>
          <w:szCs w:val="16"/>
        </w:rPr>
      </w:pPr>
      <w:r w:rsidRPr="000F6E74">
        <w:rPr>
          <w:rFonts w:cs="Arial"/>
          <w:szCs w:val="16"/>
        </w:rPr>
        <w:t>Proficiency rate for children with IEPs against alternate academic achievement standards.</w:t>
      </w:r>
    </w:p>
    <w:p w14:paraId="0682F204" w14:textId="385A5995" w:rsidR="00EB7555" w:rsidRPr="000F6E74" w:rsidRDefault="00943CE1" w:rsidP="00AC70C9">
      <w:pPr>
        <w:pStyle w:val="ListParagraph"/>
        <w:numPr>
          <w:ilvl w:val="0"/>
          <w:numId w:val="5"/>
        </w:numPr>
        <w:contextualSpacing w:val="0"/>
        <w:rPr>
          <w:rFonts w:cs="Arial"/>
          <w:szCs w:val="16"/>
        </w:rPr>
      </w:pPr>
      <w:r w:rsidRPr="000F6E74">
        <w:rPr>
          <w:rFonts w:cs="Arial"/>
          <w:szCs w:val="16"/>
        </w:rPr>
        <w:t>Gap in proficiency rates for children with IEPs and all students against grade level academic achievement standards.</w:t>
      </w:r>
    </w:p>
    <w:p w14:paraId="16CF85BD" w14:textId="77777777" w:rsidR="00553A47" w:rsidRPr="000F6E74" w:rsidRDefault="00553A47" w:rsidP="009E4F1C">
      <w:pPr>
        <w:rPr>
          <w:rFonts w:cs="Arial"/>
          <w:szCs w:val="16"/>
        </w:rPr>
      </w:pPr>
      <w:r w:rsidRPr="000F6E74">
        <w:rPr>
          <w:rFonts w:cs="Arial"/>
          <w:szCs w:val="16"/>
        </w:rPr>
        <w:t>(20 U.S.C. 1416 (a)(3)(A))</w:t>
      </w:r>
    </w:p>
    <w:p w14:paraId="324A6C31" w14:textId="77777777" w:rsidR="00553A47" w:rsidRPr="000F6E74" w:rsidRDefault="00553A47" w:rsidP="0036581E">
      <w:pPr>
        <w:pStyle w:val="Heading4"/>
      </w:pPr>
      <w:r w:rsidRPr="000F6E74">
        <w:t>Data Source</w:t>
      </w:r>
    </w:p>
    <w:p w14:paraId="6C25670B" w14:textId="158BF188" w:rsidR="00553A47" w:rsidRPr="000F6E74" w:rsidRDefault="00553A47" w:rsidP="009E4F1C">
      <w:pPr>
        <w:rPr>
          <w:rFonts w:cs="Arial"/>
          <w:szCs w:val="16"/>
        </w:rPr>
      </w:pPr>
      <w:r w:rsidRPr="000F6E74">
        <w:rPr>
          <w:rFonts w:cs="Arial"/>
          <w:szCs w:val="16"/>
        </w:rPr>
        <w:t xml:space="preserve">3A. Same data as used for reporting to the Department under Title I of the ESEA, using </w:t>
      </w:r>
      <w:proofErr w:type="spellStart"/>
      <w:r w:rsidRPr="000F6E74">
        <w:rPr>
          <w:rFonts w:cs="Arial"/>
          <w:szCs w:val="16"/>
        </w:rPr>
        <w:t>EDFacts</w:t>
      </w:r>
      <w:proofErr w:type="spellEnd"/>
      <w:r w:rsidRPr="000F6E74">
        <w:rPr>
          <w:rFonts w:cs="Arial"/>
          <w:szCs w:val="16"/>
        </w:rPr>
        <w:t xml:space="preserve"> file specifications FS185 and 188.</w:t>
      </w:r>
    </w:p>
    <w:p w14:paraId="54E50114" w14:textId="77777777" w:rsidR="009E4F1C" w:rsidRPr="000F6E74" w:rsidRDefault="00553A47" w:rsidP="0036581E">
      <w:pPr>
        <w:pStyle w:val="Heading4"/>
      </w:pPr>
      <w:r w:rsidRPr="000F6E74">
        <w:t>Measurement</w:t>
      </w:r>
    </w:p>
    <w:p w14:paraId="7A515068" w14:textId="7889ADFF" w:rsidR="00553A47" w:rsidRPr="000F6E74" w:rsidRDefault="00943CE1" w:rsidP="00AC70C9">
      <w:pPr>
        <w:pStyle w:val="ListParagraph"/>
        <w:numPr>
          <w:ilvl w:val="0"/>
          <w:numId w:val="6"/>
        </w:numPr>
        <w:ind w:left="270" w:hanging="270"/>
      </w:pPr>
      <w:r w:rsidRPr="000F6E74">
        <w:rPr>
          <w:rFonts w:cs="Arial"/>
          <w:szCs w:val="16"/>
        </w:rPr>
        <w:t>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49DF5966" w14:textId="77777777" w:rsidR="009E4F1C" w:rsidRPr="000F6E74" w:rsidRDefault="00553A47" w:rsidP="0036581E">
      <w:pPr>
        <w:pStyle w:val="Heading4"/>
      </w:pPr>
      <w:r w:rsidRPr="000F6E74">
        <w:t>Instructions</w:t>
      </w:r>
    </w:p>
    <w:p w14:paraId="71331ADA" w14:textId="77777777" w:rsidR="009E4F1C" w:rsidRPr="007A0DB8" w:rsidRDefault="001B75FD" w:rsidP="007A0DB8">
      <w:pPr>
        <w:rPr>
          <w:bCs/>
        </w:rPr>
      </w:pPr>
      <w:r w:rsidRPr="007A0DB8">
        <w:rPr>
          <w:bCs/>
        </w:rPr>
        <w:t>Describe the results of the calculations and compare the results to the targets.  Provide the actual numbers used in the calculation.</w:t>
      </w:r>
    </w:p>
    <w:p w14:paraId="7D60E85E" w14:textId="6D51ABA7" w:rsidR="001B75FD" w:rsidRPr="000F6E74" w:rsidRDefault="001B75FD" w:rsidP="007A0DB8">
      <w:r w:rsidRPr="007A0DB8">
        <w:rPr>
          <w:bCs/>
        </w:rPr>
        <w:t xml:space="preserve">Include information regarding where to find public reports of assessment participation and performance results, as required by 34 CFR §300.160(f), </w:t>
      </w:r>
      <w:r w:rsidRPr="007A0DB8">
        <w:rPr>
          <w:bCs/>
          <w:i/>
        </w:rPr>
        <w:t>i.e.</w:t>
      </w:r>
      <w:r w:rsidRPr="007A0DB8">
        <w:rPr>
          <w:bCs/>
        </w:rPr>
        <w:t>, a link to the Web site where these data are reported.</w:t>
      </w:r>
    </w:p>
    <w:p w14:paraId="25EC49C1" w14:textId="74D6337F" w:rsidR="009E4F1C" w:rsidRPr="000F6E74" w:rsidRDefault="001B75FD" w:rsidP="009E4F1C">
      <w:pPr>
        <w:rPr>
          <w:b/>
          <w:szCs w:val="20"/>
        </w:rPr>
      </w:pPr>
      <w:r w:rsidRPr="000F6E74">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0F6E74">
        <w:rPr>
          <w:rFonts w:cs="Arial"/>
          <w:szCs w:val="16"/>
        </w:rPr>
        <w:t>.</w:t>
      </w:r>
      <w:r w:rsidR="009E4F1C" w:rsidRPr="000F6E74">
        <w:br w:type="page"/>
      </w:r>
    </w:p>
    <w:p w14:paraId="2933C3C1" w14:textId="00B11E83" w:rsidR="00553A47" w:rsidRPr="000F6E74" w:rsidRDefault="00553A47" w:rsidP="009E4F1C">
      <w:pPr>
        <w:pStyle w:val="Heading3"/>
        <w:rPr>
          <w:color w:val="auto"/>
        </w:rPr>
      </w:pPr>
      <w:r w:rsidRPr="000F6E74">
        <w:rPr>
          <w:color w:val="auto"/>
        </w:rPr>
        <w:lastRenderedPageBreak/>
        <w:t>3A - Indicator Data</w:t>
      </w:r>
    </w:p>
    <w:p w14:paraId="4BA0424E" w14:textId="312FC29A" w:rsidR="000E2739" w:rsidRPr="000E2739" w:rsidRDefault="000E2739" w:rsidP="00815ACE">
      <w:pPr>
        <w:pStyle w:val="Caption"/>
      </w:pPr>
      <w:r w:rsidRPr="000E2739">
        <w:t>Historical Data (3A)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baseline year and baseline data for this indicator. "/>
      </w:tblPr>
      <w:tblGrid>
        <w:gridCol w:w="1588"/>
        <w:gridCol w:w="1588"/>
        <w:gridCol w:w="2538"/>
        <w:gridCol w:w="2538"/>
        <w:gridCol w:w="2538"/>
      </w:tblGrid>
      <w:tr w:rsidR="000F6E74" w:rsidRPr="000F6E74" w14:paraId="640BEE62" w14:textId="0ABABB4E" w:rsidTr="00DE2CFA">
        <w:trPr>
          <w:trHeight w:val="368"/>
          <w:tblHeader/>
        </w:trPr>
        <w:tc>
          <w:tcPr>
            <w:tcW w:w="736" w:type="pct"/>
            <w:tcBorders>
              <w:top w:val="single" w:sz="4" w:space="0" w:color="auto"/>
            </w:tcBorders>
            <w:shd w:val="clear" w:color="auto" w:fill="D9D9D9" w:themeFill="background1" w:themeFillShade="D9"/>
            <w:vAlign w:val="center"/>
          </w:tcPr>
          <w:p w14:paraId="41D9612B" w14:textId="31CE748B" w:rsidR="00E5212B" w:rsidRPr="000F6E74" w:rsidRDefault="00E5212B" w:rsidP="00DE2CFA">
            <w:pPr>
              <w:spacing w:after="0"/>
              <w:jc w:val="center"/>
              <w:rPr>
                <w:rFonts w:cs="Arial"/>
                <w:b/>
                <w:szCs w:val="16"/>
              </w:rPr>
            </w:pPr>
            <w:r w:rsidRPr="000F6E74">
              <w:rPr>
                <w:rFonts w:cs="Arial"/>
                <w:b/>
                <w:szCs w:val="16"/>
              </w:rPr>
              <w:t>Subject</w:t>
            </w:r>
          </w:p>
        </w:tc>
        <w:tc>
          <w:tcPr>
            <w:tcW w:w="736" w:type="pct"/>
            <w:tcBorders>
              <w:top w:val="single" w:sz="4" w:space="0" w:color="auto"/>
            </w:tcBorders>
            <w:shd w:val="clear" w:color="auto" w:fill="D9D9D9" w:themeFill="background1" w:themeFillShade="D9"/>
            <w:vAlign w:val="center"/>
          </w:tcPr>
          <w:p w14:paraId="7F27E97C" w14:textId="557342E0" w:rsidR="00E5212B" w:rsidRPr="000F6E74" w:rsidRDefault="00E5212B" w:rsidP="00DE2CFA">
            <w:pPr>
              <w:spacing w:after="0"/>
              <w:jc w:val="center"/>
              <w:rPr>
                <w:rFonts w:cs="Arial"/>
                <w:b/>
                <w:szCs w:val="16"/>
              </w:rPr>
            </w:pPr>
            <w:r w:rsidRPr="000F6E74">
              <w:rPr>
                <w:rFonts w:cs="Arial"/>
                <w:b/>
                <w:szCs w:val="16"/>
              </w:rPr>
              <w:t xml:space="preserve">Group </w:t>
            </w:r>
          </w:p>
        </w:tc>
        <w:tc>
          <w:tcPr>
            <w:tcW w:w="1176" w:type="pct"/>
            <w:tcBorders>
              <w:top w:val="single" w:sz="4" w:space="0" w:color="auto"/>
            </w:tcBorders>
            <w:shd w:val="clear" w:color="auto" w:fill="D9D9D9" w:themeFill="background1" w:themeFillShade="D9"/>
            <w:vAlign w:val="center"/>
          </w:tcPr>
          <w:p w14:paraId="39353288" w14:textId="77777777" w:rsidR="00E5212B" w:rsidRPr="000F6E74" w:rsidRDefault="00E5212B" w:rsidP="00DE2CFA">
            <w:pPr>
              <w:spacing w:after="0"/>
              <w:jc w:val="center"/>
              <w:rPr>
                <w:rFonts w:cs="Arial"/>
                <w:b/>
                <w:szCs w:val="16"/>
              </w:rPr>
            </w:pPr>
            <w:r w:rsidRPr="000F6E74">
              <w:rPr>
                <w:rFonts w:cs="Arial"/>
                <w:b/>
                <w:szCs w:val="16"/>
              </w:rPr>
              <w:t xml:space="preserve">Group Name </w:t>
            </w:r>
          </w:p>
        </w:tc>
        <w:tc>
          <w:tcPr>
            <w:tcW w:w="1176" w:type="pct"/>
            <w:tcBorders>
              <w:top w:val="single" w:sz="4" w:space="0" w:color="auto"/>
            </w:tcBorders>
            <w:shd w:val="clear" w:color="auto" w:fill="D9D9D9" w:themeFill="background1" w:themeFillShade="D9"/>
            <w:vAlign w:val="center"/>
          </w:tcPr>
          <w:p w14:paraId="48E0683E" w14:textId="7AFDFE4C" w:rsidR="00E5212B" w:rsidRPr="000F6E74" w:rsidRDefault="00E5212B" w:rsidP="00DE2CFA">
            <w:pPr>
              <w:spacing w:after="0"/>
              <w:jc w:val="center"/>
              <w:rPr>
                <w:rFonts w:cs="Arial"/>
                <w:b/>
                <w:szCs w:val="16"/>
              </w:rPr>
            </w:pPr>
            <w:r w:rsidRPr="000F6E74">
              <w:rPr>
                <w:rFonts w:cs="Arial"/>
                <w:b/>
                <w:szCs w:val="16"/>
              </w:rPr>
              <w:t xml:space="preserve">Baseline Year </w:t>
            </w:r>
          </w:p>
        </w:tc>
        <w:tc>
          <w:tcPr>
            <w:tcW w:w="1176" w:type="pct"/>
            <w:tcBorders>
              <w:top w:val="single" w:sz="4" w:space="0" w:color="auto"/>
            </w:tcBorders>
            <w:shd w:val="clear" w:color="auto" w:fill="D9D9D9" w:themeFill="background1" w:themeFillShade="D9"/>
            <w:vAlign w:val="center"/>
          </w:tcPr>
          <w:p w14:paraId="38B04ED7" w14:textId="46EC1601" w:rsidR="00E5212B" w:rsidRPr="000F6E74" w:rsidRDefault="00E5212B" w:rsidP="00DE2CFA">
            <w:pPr>
              <w:spacing w:after="0"/>
              <w:jc w:val="center"/>
              <w:rPr>
                <w:rFonts w:cs="Arial"/>
                <w:b/>
                <w:szCs w:val="16"/>
              </w:rPr>
            </w:pPr>
            <w:r w:rsidRPr="000F6E74">
              <w:rPr>
                <w:rFonts w:cs="Arial"/>
                <w:b/>
                <w:szCs w:val="16"/>
              </w:rPr>
              <w:t>Baseline Data</w:t>
            </w:r>
          </w:p>
        </w:tc>
      </w:tr>
      <w:tr w:rsidR="000F6E74" w:rsidRPr="000F6E74" w14:paraId="24FC0173" w14:textId="04F4BEEC" w:rsidTr="000F6E74">
        <w:trPr>
          <w:trHeight w:val="432"/>
        </w:trPr>
        <w:tc>
          <w:tcPr>
            <w:tcW w:w="736" w:type="pct"/>
            <w:vAlign w:val="center"/>
          </w:tcPr>
          <w:p w14:paraId="5EFBA3AC" w14:textId="71314A80" w:rsidR="0044716A" w:rsidRPr="000F6E74" w:rsidRDefault="0044716A" w:rsidP="00DE2CFA">
            <w:pPr>
              <w:spacing w:after="0"/>
              <w:jc w:val="center"/>
              <w:rPr>
                <w:rFonts w:cs="Arial"/>
                <w:b/>
                <w:bCs/>
                <w:szCs w:val="16"/>
              </w:rPr>
            </w:pPr>
            <w:r w:rsidRPr="000F6E74">
              <w:rPr>
                <w:rFonts w:cs="Arial"/>
                <w:szCs w:val="16"/>
              </w:rPr>
              <w:t>Reading</w:t>
            </w:r>
          </w:p>
        </w:tc>
        <w:tc>
          <w:tcPr>
            <w:tcW w:w="736" w:type="pct"/>
            <w:shd w:val="clear" w:color="auto" w:fill="auto"/>
            <w:vAlign w:val="center"/>
          </w:tcPr>
          <w:p w14:paraId="38C519F7" w14:textId="44BB42BA" w:rsidR="0044716A" w:rsidRPr="000F6E74" w:rsidRDefault="0044716A" w:rsidP="00DE2CFA">
            <w:pPr>
              <w:spacing w:after="0"/>
              <w:jc w:val="center"/>
              <w:rPr>
                <w:rFonts w:cs="Arial"/>
                <w:szCs w:val="16"/>
              </w:rPr>
            </w:pPr>
            <w:r w:rsidRPr="000F6E74">
              <w:rPr>
                <w:rFonts w:cs="Arial"/>
                <w:szCs w:val="16"/>
              </w:rPr>
              <w:t>A</w:t>
            </w:r>
          </w:p>
        </w:tc>
        <w:tc>
          <w:tcPr>
            <w:tcW w:w="1176" w:type="pct"/>
            <w:shd w:val="clear" w:color="auto" w:fill="auto"/>
            <w:vAlign w:val="center"/>
          </w:tcPr>
          <w:p w14:paraId="7C81F5F0" w14:textId="67FBA765" w:rsidR="0044716A" w:rsidRPr="000F6E74" w:rsidRDefault="0044716A" w:rsidP="00DE2CFA">
            <w:pPr>
              <w:spacing w:after="0"/>
              <w:jc w:val="center"/>
              <w:rPr>
                <w:rFonts w:cs="Arial"/>
                <w:szCs w:val="16"/>
              </w:rPr>
            </w:pPr>
            <w:r w:rsidRPr="000F6E74">
              <w:rPr>
                <w:rFonts w:cs="Arial"/>
                <w:szCs w:val="16"/>
              </w:rPr>
              <w:t>Grade 4</w:t>
            </w:r>
          </w:p>
        </w:tc>
        <w:tc>
          <w:tcPr>
            <w:tcW w:w="1176" w:type="pct"/>
            <w:shd w:val="clear" w:color="auto" w:fill="auto"/>
            <w:vAlign w:val="center"/>
          </w:tcPr>
          <w:p w14:paraId="3F4068A9" w14:textId="08EF8DB7" w:rsidR="0044716A" w:rsidRPr="000F6E74" w:rsidRDefault="0044716A" w:rsidP="00DE2CFA">
            <w:pPr>
              <w:spacing w:after="0"/>
              <w:jc w:val="center"/>
              <w:rPr>
                <w:rFonts w:cs="Arial"/>
                <w:szCs w:val="16"/>
              </w:rPr>
            </w:pPr>
            <w:r w:rsidRPr="000F6E74">
              <w:rPr>
                <w:rFonts w:cs="Arial"/>
                <w:szCs w:val="16"/>
              </w:rPr>
              <w:t>2020</w:t>
            </w:r>
          </w:p>
        </w:tc>
        <w:tc>
          <w:tcPr>
            <w:tcW w:w="1176" w:type="pct"/>
            <w:vAlign w:val="center"/>
          </w:tcPr>
          <w:p w14:paraId="3C4D03F4" w14:textId="691C6AA3" w:rsidR="0044716A" w:rsidRPr="000F6E74" w:rsidRDefault="0044716A" w:rsidP="00DE2CFA">
            <w:pPr>
              <w:spacing w:after="0"/>
              <w:jc w:val="center"/>
            </w:pPr>
            <w:r w:rsidRPr="000F6E74">
              <w:rPr>
                <w:rFonts w:cs="Arial"/>
                <w:szCs w:val="16"/>
              </w:rPr>
              <w:t>81.66%</w:t>
            </w:r>
          </w:p>
        </w:tc>
      </w:tr>
      <w:tr w:rsidR="000F6E74" w:rsidRPr="000F6E74" w14:paraId="4F9BC9D4" w14:textId="17B65B8C" w:rsidTr="000F6E74">
        <w:trPr>
          <w:trHeight w:val="432"/>
        </w:trPr>
        <w:tc>
          <w:tcPr>
            <w:tcW w:w="736" w:type="pct"/>
            <w:vAlign w:val="center"/>
          </w:tcPr>
          <w:p w14:paraId="7AB33ACC" w14:textId="0B04094A" w:rsidR="005246CC" w:rsidRPr="000F6E74" w:rsidRDefault="005246CC" w:rsidP="00DE2CFA">
            <w:pPr>
              <w:spacing w:after="0"/>
              <w:jc w:val="center"/>
              <w:rPr>
                <w:rFonts w:cs="Arial"/>
                <w:b/>
                <w:bCs/>
                <w:szCs w:val="16"/>
              </w:rPr>
            </w:pPr>
            <w:r w:rsidRPr="000F6E74">
              <w:rPr>
                <w:rFonts w:cs="Arial"/>
                <w:szCs w:val="16"/>
              </w:rPr>
              <w:t>Reading</w:t>
            </w:r>
          </w:p>
        </w:tc>
        <w:tc>
          <w:tcPr>
            <w:tcW w:w="736" w:type="pct"/>
            <w:shd w:val="clear" w:color="auto" w:fill="auto"/>
            <w:vAlign w:val="center"/>
          </w:tcPr>
          <w:p w14:paraId="72D05B63" w14:textId="45D6CED5" w:rsidR="005246CC" w:rsidRPr="000F6E74" w:rsidRDefault="005246CC" w:rsidP="00DE2CFA">
            <w:pPr>
              <w:spacing w:after="0"/>
              <w:jc w:val="center"/>
              <w:rPr>
                <w:rFonts w:cs="Arial"/>
                <w:szCs w:val="16"/>
              </w:rPr>
            </w:pPr>
            <w:r w:rsidRPr="000F6E74">
              <w:rPr>
                <w:rFonts w:cs="Arial"/>
                <w:szCs w:val="16"/>
              </w:rPr>
              <w:t>B</w:t>
            </w:r>
          </w:p>
        </w:tc>
        <w:tc>
          <w:tcPr>
            <w:tcW w:w="1176" w:type="pct"/>
            <w:shd w:val="clear" w:color="auto" w:fill="auto"/>
            <w:vAlign w:val="center"/>
          </w:tcPr>
          <w:p w14:paraId="3E4ED129" w14:textId="1B77E470" w:rsidR="005246CC" w:rsidRPr="000F6E74" w:rsidRDefault="005246CC" w:rsidP="00DE2CFA">
            <w:pPr>
              <w:spacing w:after="0"/>
              <w:jc w:val="center"/>
              <w:rPr>
                <w:rFonts w:cs="Arial"/>
                <w:szCs w:val="16"/>
              </w:rPr>
            </w:pPr>
            <w:r w:rsidRPr="000F6E74">
              <w:rPr>
                <w:rFonts w:cs="Arial"/>
                <w:szCs w:val="16"/>
              </w:rPr>
              <w:t>Grade 8</w:t>
            </w:r>
          </w:p>
        </w:tc>
        <w:tc>
          <w:tcPr>
            <w:tcW w:w="1176" w:type="pct"/>
            <w:shd w:val="clear" w:color="auto" w:fill="auto"/>
            <w:vAlign w:val="center"/>
          </w:tcPr>
          <w:p w14:paraId="70BAF6D2" w14:textId="6183503D" w:rsidR="005246CC" w:rsidRPr="000F6E74" w:rsidRDefault="005246CC" w:rsidP="00DE2CFA">
            <w:pPr>
              <w:spacing w:after="0"/>
              <w:jc w:val="center"/>
              <w:rPr>
                <w:rFonts w:cs="Arial"/>
                <w:szCs w:val="16"/>
              </w:rPr>
            </w:pPr>
            <w:r w:rsidRPr="000F6E74">
              <w:rPr>
                <w:rFonts w:cs="Arial"/>
                <w:szCs w:val="16"/>
              </w:rPr>
              <w:t>2020</w:t>
            </w:r>
          </w:p>
        </w:tc>
        <w:tc>
          <w:tcPr>
            <w:tcW w:w="1176" w:type="pct"/>
            <w:vAlign w:val="center"/>
          </w:tcPr>
          <w:p w14:paraId="49E2C5F4" w14:textId="05AA23CF" w:rsidR="005246CC" w:rsidRPr="000F6E74" w:rsidRDefault="005246CC" w:rsidP="00DE2CFA">
            <w:pPr>
              <w:spacing w:after="0"/>
              <w:jc w:val="center"/>
              <w:rPr>
                <w:rFonts w:cs="Arial"/>
                <w:szCs w:val="16"/>
              </w:rPr>
            </w:pPr>
            <w:r w:rsidRPr="000F6E74">
              <w:rPr>
                <w:rFonts w:cs="Arial"/>
                <w:szCs w:val="16"/>
              </w:rPr>
              <w:t>67.48%</w:t>
            </w:r>
          </w:p>
        </w:tc>
      </w:tr>
      <w:tr w:rsidR="000F6E74" w:rsidRPr="000F6E74" w14:paraId="0B899335" w14:textId="7CB02598" w:rsidTr="000F6E74">
        <w:trPr>
          <w:trHeight w:val="432"/>
        </w:trPr>
        <w:tc>
          <w:tcPr>
            <w:tcW w:w="736" w:type="pct"/>
            <w:vAlign w:val="center"/>
          </w:tcPr>
          <w:p w14:paraId="6148FD1E" w14:textId="34E507DE" w:rsidR="005246CC" w:rsidRPr="000F6E74" w:rsidRDefault="005246CC" w:rsidP="00DE2CFA">
            <w:pPr>
              <w:spacing w:after="0"/>
              <w:jc w:val="center"/>
              <w:rPr>
                <w:rFonts w:cs="Arial"/>
                <w:b/>
                <w:bCs/>
                <w:szCs w:val="16"/>
              </w:rPr>
            </w:pPr>
            <w:r w:rsidRPr="000F6E74">
              <w:rPr>
                <w:rFonts w:cs="Arial"/>
                <w:szCs w:val="16"/>
              </w:rPr>
              <w:t>Reading</w:t>
            </w:r>
          </w:p>
        </w:tc>
        <w:tc>
          <w:tcPr>
            <w:tcW w:w="736" w:type="pct"/>
            <w:shd w:val="clear" w:color="auto" w:fill="auto"/>
            <w:vAlign w:val="center"/>
          </w:tcPr>
          <w:p w14:paraId="269AA774" w14:textId="3B2C9DD9" w:rsidR="005246CC" w:rsidRPr="000F6E74" w:rsidRDefault="005246CC" w:rsidP="00DE2CFA">
            <w:pPr>
              <w:spacing w:after="0"/>
              <w:jc w:val="center"/>
              <w:rPr>
                <w:rFonts w:cs="Arial"/>
                <w:szCs w:val="16"/>
              </w:rPr>
            </w:pPr>
            <w:r w:rsidRPr="000F6E74">
              <w:rPr>
                <w:rFonts w:cs="Arial"/>
                <w:szCs w:val="16"/>
              </w:rPr>
              <w:t>C</w:t>
            </w:r>
          </w:p>
        </w:tc>
        <w:tc>
          <w:tcPr>
            <w:tcW w:w="1176" w:type="pct"/>
            <w:shd w:val="clear" w:color="auto" w:fill="auto"/>
            <w:vAlign w:val="center"/>
          </w:tcPr>
          <w:p w14:paraId="1616D407" w14:textId="20B9E90F" w:rsidR="005246CC" w:rsidRPr="000F6E74" w:rsidRDefault="005246CC" w:rsidP="00DE2CFA">
            <w:pPr>
              <w:spacing w:after="0"/>
              <w:jc w:val="center"/>
              <w:rPr>
                <w:rFonts w:cs="Arial"/>
                <w:szCs w:val="16"/>
              </w:rPr>
            </w:pPr>
            <w:r w:rsidRPr="000F6E74">
              <w:rPr>
                <w:rFonts w:cs="Arial"/>
                <w:szCs w:val="16"/>
              </w:rPr>
              <w:t>Grade HS</w:t>
            </w:r>
          </w:p>
        </w:tc>
        <w:tc>
          <w:tcPr>
            <w:tcW w:w="1176" w:type="pct"/>
            <w:shd w:val="clear" w:color="auto" w:fill="auto"/>
            <w:vAlign w:val="center"/>
          </w:tcPr>
          <w:p w14:paraId="5705909C" w14:textId="172EAC9C" w:rsidR="005246CC" w:rsidRPr="000F6E74" w:rsidRDefault="005246CC" w:rsidP="00DE2CFA">
            <w:pPr>
              <w:spacing w:after="0"/>
              <w:jc w:val="center"/>
              <w:rPr>
                <w:rFonts w:cs="Arial"/>
                <w:szCs w:val="16"/>
              </w:rPr>
            </w:pPr>
            <w:r w:rsidRPr="000F6E74">
              <w:rPr>
                <w:rFonts w:cs="Arial"/>
                <w:szCs w:val="16"/>
              </w:rPr>
              <w:t>2020</w:t>
            </w:r>
          </w:p>
        </w:tc>
        <w:tc>
          <w:tcPr>
            <w:tcW w:w="1176" w:type="pct"/>
            <w:vAlign w:val="center"/>
          </w:tcPr>
          <w:p w14:paraId="0C9F3B59" w14:textId="74A08D13" w:rsidR="005246CC" w:rsidRPr="000F6E74" w:rsidRDefault="005246CC" w:rsidP="00DE2CFA">
            <w:pPr>
              <w:spacing w:after="0"/>
              <w:jc w:val="center"/>
              <w:rPr>
                <w:rFonts w:cs="Arial"/>
                <w:szCs w:val="16"/>
              </w:rPr>
            </w:pPr>
            <w:r w:rsidRPr="000F6E74">
              <w:rPr>
                <w:rFonts w:cs="Arial"/>
                <w:szCs w:val="16"/>
              </w:rPr>
              <w:t>82.75%</w:t>
            </w:r>
          </w:p>
        </w:tc>
      </w:tr>
      <w:tr w:rsidR="000F6E74" w:rsidRPr="000F6E74" w14:paraId="3D1AAF73" w14:textId="678EC166" w:rsidTr="000F6E74">
        <w:trPr>
          <w:trHeight w:val="432"/>
        </w:trPr>
        <w:tc>
          <w:tcPr>
            <w:tcW w:w="736" w:type="pct"/>
            <w:vAlign w:val="center"/>
          </w:tcPr>
          <w:p w14:paraId="49AF9334" w14:textId="516B9B07" w:rsidR="00312480" w:rsidRPr="000F6E74" w:rsidRDefault="00312480" w:rsidP="00DE2CFA">
            <w:pPr>
              <w:spacing w:after="0"/>
              <w:jc w:val="center"/>
              <w:rPr>
                <w:rFonts w:cs="Arial"/>
                <w:b/>
                <w:bCs/>
                <w:szCs w:val="16"/>
              </w:rPr>
            </w:pPr>
            <w:r w:rsidRPr="000F6E74">
              <w:rPr>
                <w:rFonts w:cs="Arial"/>
                <w:szCs w:val="16"/>
              </w:rPr>
              <w:t>Math</w:t>
            </w:r>
          </w:p>
        </w:tc>
        <w:tc>
          <w:tcPr>
            <w:tcW w:w="736" w:type="pct"/>
            <w:shd w:val="clear" w:color="auto" w:fill="auto"/>
            <w:vAlign w:val="center"/>
          </w:tcPr>
          <w:p w14:paraId="37E10643" w14:textId="3D4CDCC3" w:rsidR="00312480" w:rsidRPr="000F6E74" w:rsidRDefault="00312480" w:rsidP="00DE2CFA">
            <w:pPr>
              <w:spacing w:after="0"/>
              <w:jc w:val="center"/>
              <w:rPr>
                <w:rFonts w:cs="Arial"/>
                <w:szCs w:val="16"/>
              </w:rPr>
            </w:pPr>
            <w:r w:rsidRPr="000F6E74">
              <w:rPr>
                <w:rFonts w:cs="Arial"/>
                <w:szCs w:val="16"/>
              </w:rPr>
              <w:t>A</w:t>
            </w:r>
          </w:p>
        </w:tc>
        <w:tc>
          <w:tcPr>
            <w:tcW w:w="1176" w:type="pct"/>
            <w:shd w:val="clear" w:color="auto" w:fill="auto"/>
            <w:vAlign w:val="center"/>
          </w:tcPr>
          <w:p w14:paraId="4EBA000C" w14:textId="1E09C3E7" w:rsidR="00312480" w:rsidRPr="000F6E74" w:rsidRDefault="00312480" w:rsidP="00DE2CFA">
            <w:pPr>
              <w:spacing w:after="0"/>
              <w:jc w:val="center"/>
              <w:rPr>
                <w:rFonts w:cs="Arial"/>
                <w:szCs w:val="16"/>
              </w:rPr>
            </w:pPr>
            <w:r w:rsidRPr="000F6E74">
              <w:rPr>
                <w:rFonts w:cs="Arial"/>
                <w:szCs w:val="16"/>
              </w:rPr>
              <w:t>Grade 4</w:t>
            </w:r>
          </w:p>
        </w:tc>
        <w:tc>
          <w:tcPr>
            <w:tcW w:w="1176" w:type="pct"/>
            <w:shd w:val="clear" w:color="auto" w:fill="auto"/>
            <w:vAlign w:val="center"/>
          </w:tcPr>
          <w:p w14:paraId="50A09FAE" w14:textId="4A9CE939" w:rsidR="00312480" w:rsidRPr="000F6E74" w:rsidRDefault="00312480" w:rsidP="00DE2CFA">
            <w:pPr>
              <w:spacing w:after="0"/>
              <w:jc w:val="center"/>
              <w:rPr>
                <w:rFonts w:cs="Arial"/>
                <w:szCs w:val="16"/>
              </w:rPr>
            </w:pPr>
            <w:r w:rsidRPr="000F6E74">
              <w:rPr>
                <w:rFonts w:cs="Arial"/>
                <w:szCs w:val="16"/>
              </w:rPr>
              <w:t>2020</w:t>
            </w:r>
          </w:p>
        </w:tc>
        <w:tc>
          <w:tcPr>
            <w:tcW w:w="1176" w:type="pct"/>
            <w:vAlign w:val="center"/>
          </w:tcPr>
          <w:p w14:paraId="6A9E42AA" w14:textId="63810B52" w:rsidR="00312480" w:rsidRPr="000F6E74" w:rsidRDefault="00312480" w:rsidP="00DE2CFA">
            <w:pPr>
              <w:spacing w:after="0"/>
              <w:jc w:val="center"/>
              <w:rPr>
                <w:rFonts w:cs="Arial"/>
                <w:szCs w:val="16"/>
              </w:rPr>
            </w:pPr>
            <w:r w:rsidRPr="000F6E74">
              <w:rPr>
                <w:rFonts w:cs="Arial"/>
                <w:szCs w:val="16"/>
              </w:rPr>
              <w:t>81.05%</w:t>
            </w:r>
          </w:p>
        </w:tc>
      </w:tr>
      <w:tr w:rsidR="000F6E74" w:rsidRPr="000F6E74" w14:paraId="4B0C895C" w14:textId="6CF5FA93" w:rsidTr="000F6E74">
        <w:trPr>
          <w:trHeight w:val="432"/>
        </w:trPr>
        <w:tc>
          <w:tcPr>
            <w:tcW w:w="736" w:type="pct"/>
            <w:vAlign w:val="center"/>
          </w:tcPr>
          <w:p w14:paraId="6ED5896C" w14:textId="28272B0B" w:rsidR="00312480" w:rsidRPr="000F6E74" w:rsidRDefault="00312480" w:rsidP="00DE2CFA">
            <w:pPr>
              <w:spacing w:after="0"/>
              <w:jc w:val="center"/>
              <w:rPr>
                <w:rFonts w:cs="Arial"/>
                <w:b/>
                <w:bCs/>
                <w:szCs w:val="16"/>
              </w:rPr>
            </w:pPr>
            <w:r w:rsidRPr="000F6E74">
              <w:rPr>
                <w:rFonts w:cs="Arial"/>
                <w:szCs w:val="16"/>
              </w:rPr>
              <w:t>Math</w:t>
            </w:r>
          </w:p>
        </w:tc>
        <w:tc>
          <w:tcPr>
            <w:tcW w:w="736" w:type="pct"/>
            <w:shd w:val="clear" w:color="auto" w:fill="auto"/>
            <w:vAlign w:val="center"/>
          </w:tcPr>
          <w:p w14:paraId="43C9B56E" w14:textId="3D5B99D0" w:rsidR="00312480" w:rsidRPr="000F6E74" w:rsidRDefault="00312480" w:rsidP="00DE2CFA">
            <w:pPr>
              <w:spacing w:after="0"/>
              <w:jc w:val="center"/>
              <w:rPr>
                <w:rFonts w:cs="Arial"/>
                <w:szCs w:val="16"/>
              </w:rPr>
            </w:pPr>
            <w:r w:rsidRPr="000F6E74">
              <w:rPr>
                <w:rFonts w:cs="Arial"/>
                <w:szCs w:val="16"/>
              </w:rPr>
              <w:t>B</w:t>
            </w:r>
          </w:p>
        </w:tc>
        <w:tc>
          <w:tcPr>
            <w:tcW w:w="1176" w:type="pct"/>
            <w:shd w:val="clear" w:color="auto" w:fill="auto"/>
            <w:vAlign w:val="center"/>
          </w:tcPr>
          <w:p w14:paraId="2C4210F5" w14:textId="3BFF9BEC" w:rsidR="00312480" w:rsidRPr="000F6E74" w:rsidRDefault="00312480" w:rsidP="00DE2CFA">
            <w:pPr>
              <w:spacing w:after="0"/>
              <w:jc w:val="center"/>
              <w:rPr>
                <w:rFonts w:cs="Arial"/>
                <w:szCs w:val="16"/>
              </w:rPr>
            </w:pPr>
            <w:r w:rsidRPr="000F6E74">
              <w:rPr>
                <w:rFonts w:cs="Arial"/>
                <w:szCs w:val="16"/>
              </w:rPr>
              <w:t>Grade 8</w:t>
            </w:r>
          </w:p>
        </w:tc>
        <w:tc>
          <w:tcPr>
            <w:tcW w:w="1176" w:type="pct"/>
            <w:shd w:val="clear" w:color="auto" w:fill="auto"/>
            <w:vAlign w:val="center"/>
          </w:tcPr>
          <w:p w14:paraId="7D91523A" w14:textId="169DAD5C" w:rsidR="00312480" w:rsidRPr="000F6E74" w:rsidRDefault="00312480" w:rsidP="00DE2CFA">
            <w:pPr>
              <w:spacing w:after="0"/>
              <w:jc w:val="center"/>
              <w:rPr>
                <w:rFonts w:cs="Arial"/>
                <w:szCs w:val="16"/>
              </w:rPr>
            </w:pPr>
            <w:r w:rsidRPr="000F6E74">
              <w:rPr>
                <w:rFonts w:cs="Arial"/>
                <w:szCs w:val="16"/>
              </w:rPr>
              <w:t>2020</w:t>
            </w:r>
          </w:p>
        </w:tc>
        <w:tc>
          <w:tcPr>
            <w:tcW w:w="1176" w:type="pct"/>
            <w:vAlign w:val="center"/>
          </w:tcPr>
          <w:p w14:paraId="339ABC62" w14:textId="1E7FF874" w:rsidR="00312480" w:rsidRPr="000F6E74" w:rsidRDefault="00312480" w:rsidP="00DE2CFA">
            <w:pPr>
              <w:spacing w:after="0"/>
              <w:jc w:val="center"/>
              <w:rPr>
                <w:rFonts w:cs="Arial"/>
                <w:szCs w:val="16"/>
              </w:rPr>
            </w:pPr>
            <w:r w:rsidRPr="000F6E74">
              <w:rPr>
                <w:rFonts w:cs="Arial"/>
                <w:szCs w:val="16"/>
              </w:rPr>
              <w:t>68.48%</w:t>
            </w:r>
          </w:p>
        </w:tc>
      </w:tr>
      <w:tr w:rsidR="000F6E74" w:rsidRPr="000F6E74" w14:paraId="43BF7697" w14:textId="58F9CE70" w:rsidTr="000F6E74">
        <w:trPr>
          <w:trHeight w:val="432"/>
        </w:trPr>
        <w:tc>
          <w:tcPr>
            <w:tcW w:w="736" w:type="pct"/>
            <w:vAlign w:val="center"/>
          </w:tcPr>
          <w:p w14:paraId="10E5C656" w14:textId="01AB1420" w:rsidR="00312480" w:rsidRPr="000F6E74" w:rsidRDefault="00312480" w:rsidP="00DE2CFA">
            <w:pPr>
              <w:spacing w:after="0"/>
              <w:jc w:val="center"/>
              <w:rPr>
                <w:rFonts w:cs="Arial"/>
                <w:b/>
                <w:bCs/>
                <w:szCs w:val="16"/>
              </w:rPr>
            </w:pPr>
            <w:r w:rsidRPr="000F6E74">
              <w:rPr>
                <w:rFonts w:cs="Arial"/>
                <w:szCs w:val="16"/>
              </w:rPr>
              <w:t>Math</w:t>
            </w:r>
          </w:p>
        </w:tc>
        <w:tc>
          <w:tcPr>
            <w:tcW w:w="736" w:type="pct"/>
            <w:shd w:val="clear" w:color="auto" w:fill="auto"/>
            <w:vAlign w:val="center"/>
          </w:tcPr>
          <w:p w14:paraId="3AFE65DD" w14:textId="56799213" w:rsidR="00312480" w:rsidRPr="000F6E74" w:rsidRDefault="00312480" w:rsidP="00DE2CFA">
            <w:pPr>
              <w:spacing w:after="0"/>
              <w:jc w:val="center"/>
              <w:rPr>
                <w:rFonts w:cs="Arial"/>
                <w:szCs w:val="16"/>
              </w:rPr>
            </w:pPr>
            <w:r w:rsidRPr="000F6E74">
              <w:rPr>
                <w:rFonts w:cs="Arial"/>
                <w:szCs w:val="16"/>
              </w:rPr>
              <w:t>C</w:t>
            </w:r>
          </w:p>
        </w:tc>
        <w:tc>
          <w:tcPr>
            <w:tcW w:w="1176" w:type="pct"/>
            <w:shd w:val="clear" w:color="auto" w:fill="auto"/>
            <w:vAlign w:val="center"/>
          </w:tcPr>
          <w:p w14:paraId="4C96A826" w14:textId="656222C9" w:rsidR="00312480" w:rsidRPr="000F6E74" w:rsidRDefault="00312480" w:rsidP="00DE2CFA">
            <w:pPr>
              <w:spacing w:after="0"/>
              <w:jc w:val="center"/>
              <w:rPr>
                <w:rFonts w:cs="Arial"/>
                <w:szCs w:val="16"/>
              </w:rPr>
            </w:pPr>
            <w:r w:rsidRPr="000F6E74">
              <w:rPr>
                <w:rFonts w:cs="Arial"/>
                <w:szCs w:val="16"/>
              </w:rPr>
              <w:t>Grade HS</w:t>
            </w:r>
          </w:p>
        </w:tc>
        <w:tc>
          <w:tcPr>
            <w:tcW w:w="1176" w:type="pct"/>
            <w:shd w:val="clear" w:color="auto" w:fill="auto"/>
            <w:vAlign w:val="center"/>
          </w:tcPr>
          <w:p w14:paraId="6848966B" w14:textId="49F3A33A" w:rsidR="00312480" w:rsidRPr="000F6E74" w:rsidRDefault="00312480" w:rsidP="00DE2CFA">
            <w:pPr>
              <w:spacing w:after="0"/>
              <w:jc w:val="center"/>
              <w:rPr>
                <w:rFonts w:cs="Arial"/>
                <w:szCs w:val="16"/>
              </w:rPr>
            </w:pPr>
            <w:r w:rsidRPr="000F6E74">
              <w:rPr>
                <w:rFonts w:cs="Arial"/>
                <w:szCs w:val="16"/>
              </w:rPr>
              <w:t>2020</w:t>
            </w:r>
          </w:p>
        </w:tc>
        <w:tc>
          <w:tcPr>
            <w:tcW w:w="1176" w:type="pct"/>
            <w:vAlign w:val="center"/>
          </w:tcPr>
          <w:p w14:paraId="0271898A" w14:textId="300CF132" w:rsidR="00312480" w:rsidRPr="000F6E74" w:rsidRDefault="00312480" w:rsidP="00DE2CFA">
            <w:pPr>
              <w:spacing w:after="0"/>
              <w:jc w:val="center"/>
              <w:rPr>
                <w:rFonts w:cs="Arial"/>
                <w:szCs w:val="16"/>
              </w:rPr>
            </w:pPr>
            <w:r w:rsidRPr="000F6E74">
              <w:rPr>
                <w:rFonts w:cs="Arial"/>
                <w:szCs w:val="16"/>
              </w:rPr>
              <w:t>80.26%</w:t>
            </w:r>
          </w:p>
        </w:tc>
      </w:tr>
    </w:tbl>
    <w:p w14:paraId="4A2A3935" w14:textId="0990E4E8" w:rsidR="000E2739" w:rsidRPr="000E2739" w:rsidRDefault="000E2739" w:rsidP="00815ACE">
      <w:pPr>
        <w:pStyle w:val="Caption"/>
      </w:pPr>
      <w:r w:rsidRPr="000E2739">
        <w:t>Targets (3A)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615"/>
        <w:gridCol w:w="1148"/>
        <w:gridCol w:w="1148"/>
        <w:gridCol w:w="1148"/>
        <w:gridCol w:w="1148"/>
        <w:gridCol w:w="1148"/>
        <w:gridCol w:w="1148"/>
        <w:gridCol w:w="1148"/>
        <w:gridCol w:w="1139"/>
      </w:tblGrid>
      <w:tr w:rsidR="000F6E74" w:rsidRPr="000F6E74" w14:paraId="61B13027" w14:textId="7E8C0770" w:rsidTr="000E2739">
        <w:tc>
          <w:tcPr>
            <w:tcW w:w="748" w:type="pct"/>
            <w:tcBorders>
              <w:bottom w:val="single" w:sz="4" w:space="0" w:color="auto"/>
            </w:tcBorders>
            <w:shd w:val="clear" w:color="auto" w:fill="D9D9D9" w:themeFill="background1" w:themeFillShade="D9"/>
            <w:vAlign w:val="center"/>
          </w:tcPr>
          <w:p w14:paraId="41C1EDA8" w14:textId="77777777" w:rsidR="00FD5357" w:rsidRPr="000F6E74" w:rsidRDefault="00FD5357" w:rsidP="000F6E74">
            <w:pPr>
              <w:spacing w:after="0"/>
              <w:jc w:val="center"/>
              <w:rPr>
                <w:b/>
              </w:rPr>
            </w:pPr>
            <w:r w:rsidRPr="000F6E74">
              <w:rPr>
                <w:b/>
              </w:rPr>
              <w:t>Subject</w:t>
            </w:r>
          </w:p>
        </w:tc>
        <w:tc>
          <w:tcPr>
            <w:tcW w:w="532" w:type="pct"/>
            <w:tcBorders>
              <w:bottom w:val="single" w:sz="4" w:space="0" w:color="auto"/>
            </w:tcBorders>
            <w:shd w:val="clear" w:color="auto" w:fill="D9D9D9" w:themeFill="background1" w:themeFillShade="D9"/>
            <w:vAlign w:val="center"/>
          </w:tcPr>
          <w:p w14:paraId="47C72AA9" w14:textId="77777777" w:rsidR="00FD5357" w:rsidRPr="000F6E74" w:rsidRDefault="00FD5357" w:rsidP="000F6E74">
            <w:pPr>
              <w:spacing w:after="0"/>
              <w:jc w:val="center"/>
              <w:rPr>
                <w:b/>
              </w:rPr>
            </w:pPr>
            <w:r w:rsidRPr="000F6E74">
              <w:rPr>
                <w:b/>
              </w:rPr>
              <w:t>Group</w:t>
            </w:r>
          </w:p>
        </w:tc>
        <w:tc>
          <w:tcPr>
            <w:tcW w:w="532" w:type="pct"/>
            <w:shd w:val="clear" w:color="auto" w:fill="D9D9D9" w:themeFill="background1" w:themeFillShade="D9"/>
            <w:vAlign w:val="center"/>
          </w:tcPr>
          <w:p w14:paraId="3EBC6D10" w14:textId="77777777" w:rsidR="00FD5357" w:rsidRPr="000F6E74" w:rsidDel="008E7B87" w:rsidRDefault="00FD5357" w:rsidP="000F6E74">
            <w:pPr>
              <w:spacing w:after="0"/>
              <w:jc w:val="center"/>
              <w:rPr>
                <w:b/>
              </w:rPr>
            </w:pPr>
            <w:r w:rsidRPr="000F6E74">
              <w:rPr>
                <w:b/>
              </w:rPr>
              <w:t>Group Name</w:t>
            </w:r>
          </w:p>
        </w:tc>
        <w:tc>
          <w:tcPr>
            <w:tcW w:w="532" w:type="pct"/>
            <w:shd w:val="clear" w:color="auto" w:fill="D9D9D9" w:themeFill="background1" w:themeFillShade="D9"/>
            <w:vAlign w:val="center"/>
          </w:tcPr>
          <w:p w14:paraId="5DB0C638" w14:textId="77777777" w:rsidR="00FD5357" w:rsidRPr="000F6E74" w:rsidRDefault="00FD5357" w:rsidP="000F6E74">
            <w:pPr>
              <w:spacing w:after="0"/>
              <w:jc w:val="center"/>
              <w:rPr>
                <w:b/>
              </w:rPr>
            </w:pPr>
            <w:r w:rsidRPr="000F6E74">
              <w:rPr>
                <w:b/>
              </w:rPr>
              <w:t>2020</w:t>
            </w:r>
          </w:p>
        </w:tc>
        <w:tc>
          <w:tcPr>
            <w:tcW w:w="532" w:type="pct"/>
            <w:shd w:val="clear" w:color="auto" w:fill="D9D9D9" w:themeFill="background1" w:themeFillShade="D9"/>
            <w:vAlign w:val="center"/>
          </w:tcPr>
          <w:p w14:paraId="2BCE0486" w14:textId="3C221AF8" w:rsidR="00FD5357" w:rsidRPr="000F6E74" w:rsidRDefault="00FD5357" w:rsidP="000F6E74">
            <w:pPr>
              <w:spacing w:after="0"/>
              <w:jc w:val="center"/>
              <w:rPr>
                <w:b/>
              </w:rPr>
            </w:pPr>
            <w:r w:rsidRPr="000F6E74">
              <w:rPr>
                <w:rFonts w:cs="Arial"/>
                <w:b/>
                <w:szCs w:val="16"/>
              </w:rPr>
              <w:t>2021</w:t>
            </w:r>
          </w:p>
        </w:tc>
        <w:tc>
          <w:tcPr>
            <w:tcW w:w="532" w:type="pct"/>
            <w:shd w:val="clear" w:color="auto" w:fill="D9D9D9" w:themeFill="background1" w:themeFillShade="D9"/>
            <w:vAlign w:val="center"/>
          </w:tcPr>
          <w:p w14:paraId="1990502A" w14:textId="03716A79" w:rsidR="00FD5357" w:rsidRPr="000F6E74" w:rsidRDefault="00FD5357" w:rsidP="000F6E74">
            <w:pPr>
              <w:spacing w:after="0"/>
              <w:jc w:val="center"/>
              <w:rPr>
                <w:b/>
              </w:rPr>
            </w:pPr>
            <w:r w:rsidRPr="000F6E74">
              <w:rPr>
                <w:rFonts w:cs="Arial"/>
                <w:b/>
                <w:szCs w:val="16"/>
              </w:rPr>
              <w:t>2022</w:t>
            </w:r>
          </w:p>
        </w:tc>
        <w:tc>
          <w:tcPr>
            <w:tcW w:w="532" w:type="pct"/>
            <w:shd w:val="clear" w:color="auto" w:fill="D9D9D9" w:themeFill="background1" w:themeFillShade="D9"/>
            <w:vAlign w:val="center"/>
          </w:tcPr>
          <w:p w14:paraId="72DB4D15" w14:textId="310E5749" w:rsidR="00FD5357" w:rsidRPr="000F6E74" w:rsidRDefault="00FD5357" w:rsidP="000F6E74">
            <w:pPr>
              <w:spacing w:after="0"/>
              <w:jc w:val="center"/>
              <w:rPr>
                <w:b/>
              </w:rPr>
            </w:pPr>
            <w:r w:rsidRPr="000F6E74">
              <w:rPr>
                <w:rFonts w:cs="Arial"/>
                <w:b/>
                <w:szCs w:val="16"/>
              </w:rPr>
              <w:t>2023</w:t>
            </w:r>
          </w:p>
        </w:tc>
        <w:tc>
          <w:tcPr>
            <w:tcW w:w="532" w:type="pct"/>
            <w:shd w:val="clear" w:color="auto" w:fill="D9D9D9" w:themeFill="background1" w:themeFillShade="D9"/>
            <w:vAlign w:val="center"/>
          </w:tcPr>
          <w:p w14:paraId="62291C5B" w14:textId="0E374F42" w:rsidR="00FD5357" w:rsidRPr="000F6E74" w:rsidRDefault="00FD5357" w:rsidP="000F6E74">
            <w:pPr>
              <w:spacing w:after="0"/>
              <w:jc w:val="center"/>
              <w:rPr>
                <w:b/>
              </w:rPr>
            </w:pPr>
            <w:r w:rsidRPr="000F6E74">
              <w:rPr>
                <w:rFonts w:cs="Arial"/>
                <w:b/>
                <w:szCs w:val="16"/>
              </w:rPr>
              <w:t>2024</w:t>
            </w:r>
          </w:p>
        </w:tc>
        <w:tc>
          <w:tcPr>
            <w:tcW w:w="528" w:type="pct"/>
            <w:shd w:val="clear" w:color="auto" w:fill="D9D9D9" w:themeFill="background1" w:themeFillShade="D9"/>
            <w:vAlign w:val="center"/>
          </w:tcPr>
          <w:p w14:paraId="5D064D25" w14:textId="7AE8523E" w:rsidR="00FD5357" w:rsidRPr="000F6E74" w:rsidRDefault="00FD5357" w:rsidP="000F6E74">
            <w:pPr>
              <w:spacing w:after="0"/>
              <w:jc w:val="center"/>
              <w:rPr>
                <w:b/>
              </w:rPr>
            </w:pPr>
            <w:r w:rsidRPr="000F6E74">
              <w:rPr>
                <w:rFonts w:cs="Arial"/>
                <w:b/>
                <w:szCs w:val="16"/>
              </w:rPr>
              <w:t>2025</w:t>
            </w:r>
          </w:p>
        </w:tc>
      </w:tr>
      <w:tr w:rsidR="000F6E74" w:rsidRPr="000F6E74" w14:paraId="5EF23A8E" w14:textId="333536B2" w:rsidTr="000E2739">
        <w:trPr>
          <w:trHeight w:val="432"/>
        </w:trPr>
        <w:tc>
          <w:tcPr>
            <w:tcW w:w="748" w:type="pct"/>
            <w:shd w:val="clear" w:color="auto" w:fill="auto"/>
            <w:vAlign w:val="center"/>
          </w:tcPr>
          <w:p w14:paraId="659131E4" w14:textId="77777777" w:rsidR="00C362C0" w:rsidRPr="000F6E74" w:rsidRDefault="00C362C0" w:rsidP="000F6E74">
            <w:pPr>
              <w:spacing w:after="0"/>
              <w:jc w:val="center"/>
              <w:rPr>
                <w:rFonts w:cs="Arial"/>
                <w:szCs w:val="16"/>
              </w:rPr>
            </w:pPr>
            <w:r w:rsidRPr="000F6E74">
              <w:rPr>
                <w:rFonts w:cs="Arial"/>
                <w:szCs w:val="16"/>
              </w:rPr>
              <w:t>Reading</w:t>
            </w:r>
          </w:p>
        </w:tc>
        <w:tc>
          <w:tcPr>
            <w:tcW w:w="532" w:type="pct"/>
            <w:shd w:val="clear" w:color="auto" w:fill="auto"/>
            <w:vAlign w:val="center"/>
          </w:tcPr>
          <w:p w14:paraId="0E33DCFC" w14:textId="77777777" w:rsidR="00C362C0" w:rsidRPr="000F6E74" w:rsidRDefault="00C362C0" w:rsidP="000F6E74">
            <w:pPr>
              <w:spacing w:after="0"/>
              <w:jc w:val="center"/>
              <w:rPr>
                <w:rFonts w:cs="Arial"/>
                <w:szCs w:val="16"/>
              </w:rPr>
            </w:pPr>
            <w:r w:rsidRPr="000F6E74">
              <w:rPr>
                <w:rFonts w:cs="Arial"/>
                <w:szCs w:val="16"/>
              </w:rPr>
              <w:t>A &gt;=</w:t>
            </w:r>
          </w:p>
        </w:tc>
        <w:tc>
          <w:tcPr>
            <w:tcW w:w="532" w:type="pct"/>
            <w:shd w:val="clear" w:color="auto" w:fill="auto"/>
            <w:vAlign w:val="center"/>
          </w:tcPr>
          <w:p w14:paraId="76B16B43" w14:textId="39FB8899" w:rsidR="00C362C0" w:rsidRPr="000F6E74" w:rsidDel="00DB0A73" w:rsidRDefault="00C362C0" w:rsidP="000F6E74">
            <w:pPr>
              <w:spacing w:after="0"/>
              <w:jc w:val="center"/>
              <w:rPr>
                <w:rFonts w:cs="Arial"/>
                <w:szCs w:val="16"/>
              </w:rPr>
            </w:pPr>
            <w:r w:rsidRPr="000F6E74">
              <w:rPr>
                <w:rFonts w:cs="Arial"/>
                <w:szCs w:val="16"/>
              </w:rPr>
              <w:t>Grade 4</w:t>
            </w:r>
          </w:p>
        </w:tc>
        <w:tc>
          <w:tcPr>
            <w:tcW w:w="532" w:type="pct"/>
            <w:shd w:val="clear" w:color="auto" w:fill="auto"/>
            <w:vAlign w:val="center"/>
          </w:tcPr>
          <w:p w14:paraId="0F6CE0A1" w14:textId="29A64BBD"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4A0A22E0" w14:textId="6BB46B0C" w:rsidR="00C362C0" w:rsidRPr="000F6E74" w:rsidRDefault="00C362C0" w:rsidP="000F6E74">
            <w:pPr>
              <w:spacing w:after="0"/>
              <w:jc w:val="center"/>
              <w:rPr>
                <w:rFonts w:cs="Arial"/>
                <w:szCs w:val="16"/>
              </w:rPr>
            </w:pPr>
            <w:r w:rsidRPr="000F6E74">
              <w:rPr>
                <w:rFonts w:cs="Arial"/>
                <w:szCs w:val="16"/>
              </w:rPr>
              <w:t>95.00%</w:t>
            </w:r>
            <w:r w:rsidRPr="000F6E74">
              <w:t xml:space="preserve"> </w:t>
            </w:r>
          </w:p>
        </w:tc>
        <w:tc>
          <w:tcPr>
            <w:tcW w:w="532" w:type="pct"/>
            <w:vAlign w:val="center"/>
          </w:tcPr>
          <w:p w14:paraId="01E8CE0F" w14:textId="037B9FF4"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384B0AD2" w14:textId="38B3F908"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31EAFB06" w14:textId="6B6573E2" w:rsidR="00C362C0" w:rsidRPr="000F6E74" w:rsidRDefault="00C362C0" w:rsidP="000F6E74">
            <w:pPr>
              <w:spacing w:after="0"/>
              <w:jc w:val="center"/>
              <w:rPr>
                <w:rFonts w:cs="Arial"/>
                <w:szCs w:val="16"/>
              </w:rPr>
            </w:pPr>
            <w:r w:rsidRPr="000F6E74">
              <w:rPr>
                <w:rFonts w:cs="Arial"/>
                <w:szCs w:val="16"/>
              </w:rPr>
              <w:t>95.00%</w:t>
            </w:r>
          </w:p>
        </w:tc>
        <w:tc>
          <w:tcPr>
            <w:tcW w:w="528" w:type="pct"/>
            <w:vAlign w:val="center"/>
          </w:tcPr>
          <w:p w14:paraId="1B8020D6" w14:textId="2E1B85FC" w:rsidR="00C362C0" w:rsidRPr="000F6E74" w:rsidRDefault="00C362C0" w:rsidP="000F6E74">
            <w:pPr>
              <w:spacing w:after="0"/>
              <w:jc w:val="center"/>
              <w:rPr>
                <w:rFonts w:cs="Arial"/>
                <w:szCs w:val="16"/>
              </w:rPr>
            </w:pPr>
            <w:r w:rsidRPr="000F6E74">
              <w:rPr>
                <w:rFonts w:cs="Arial"/>
                <w:szCs w:val="16"/>
              </w:rPr>
              <w:t>95.00%</w:t>
            </w:r>
          </w:p>
        </w:tc>
      </w:tr>
      <w:tr w:rsidR="000F6E74" w:rsidRPr="000F6E74" w14:paraId="0DC87485" w14:textId="7CEA602E" w:rsidTr="000E2739">
        <w:trPr>
          <w:trHeight w:val="432"/>
        </w:trPr>
        <w:tc>
          <w:tcPr>
            <w:tcW w:w="748" w:type="pct"/>
            <w:shd w:val="clear" w:color="auto" w:fill="auto"/>
            <w:vAlign w:val="center"/>
          </w:tcPr>
          <w:p w14:paraId="0DBD5106" w14:textId="77777777" w:rsidR="00C362C0" w:rsidRPr="000F6E74" w:rsidRDefault="00C362C0" w:rsidP="000F6E74">
            <w:pPr>
              <w:spacing w:after="0"/>
              <w:jc w:val="center"/>
              <w:rPr>
                <w:rFonts w:cs="Arial"/>
                <w:szCs w:val="16"/>
              </w:rPr>
            </w:pPr>
            <w:r w:rsidRPr="000F6E74">
              <w:rPr>
                <w:rFonts w:cs="Arial"/>
                <w:szCs w:val="16"/>
              </w:rPr>
              <w:t>Reading</w:t>
            </w:r>
          </w:p>
        </w:tc>
        <w:tc>
          <w:tcPr>
            <w:tcW w:w="532" w:type="pct"/>
            <w:shd w:val="clear" w:color="auto" w:fill="auto"/>
            <w:vAlign w:val="center"/>
          </w:tcPr>
          <w:p w14:paraId="32DA1B30" w14:textId="77777777" w:rsidR="00C362C0" w:rsidRPr="000F6E74" w:rsidRDefault="00C362C0" w:rsidP="000F6E74">
            <w:pPr>
              <w:spacing w:after="0"/>
              <w:jc w:val="center"/>
              <w:rPr>
                <w:rFonts w:cs="Arial"/>
                <w:szCs w:val="16"/>
              </w:rPr>
            </w:pPr>
            <w:r w:rsidRPr="000F6E74">
              <w:rPr>
                <w:rFonts w:cs="Arial"/>
                <w:szCs w:val="16"/>
              </w:rPr>
              <w:t>B &gt;=</w:t>
            </w:r>
          </w:p>
        </w:tc>
        <w:tc>
          <w:tcPr>
            <w:tcW w:w="532" w:type="pct"/>
            <w:shd w:val="clear" w:color="auto" w:fill="auto"/>
            <w:vAlign w:val="center"/>
          </w:tcPr>
          <w:p w14:paraId="7451C944" w14:textId="48D1DB42" w:rsidR="00C362C0" w:rsidRPr="000F6E74" w:rsidDel="00DB0A73" w:rsidRDefault="00C362C0" w:rsidP="000F6E74">
            <w:pPr>
              <w:spacing w:after="0"/>
              <w:jc w:val="center"/>
              <w:rPr>
                <w:rFonts w:cs="Arial"/>
                <w:szCs w:val="16"/>
              </w:rPr>
            </w:pPr>
            <w:r w:rsidRPr="000F6E74">
              <w:rPr>
                <w:rFonts w:cs="Arial"/>
                <w:szCs w:val="16"/>
              </w:rPr>
              <w:t>Grade 8</w:t>
            </w:r>
          </w:p>
        </w:tc>
        <w:tc>
          <w:tcPr>
            <w:tcW w:w="532" w:type="pct"/>
            <w:shd w:val="clear" w:color="auto" w:fill="auto"/>
            <w:vAlign w:val="center"/>
          </w:tcPr>
          <w:p w14:paraId="00A324D3" w14:textId="7CE00F34"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52AC2F70" w14:textId="3AB4351A"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32A4C051" w14:textId="2E65FFFC"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77CC4A95" w14:textId="1A1A42B6"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73563EF2" w14:textId="7C7E03A0" w:rsidR="00C362C0" w:rsidRPr="000F6E74" w:rsidRDefault="00C362C0" w:rsidP="000F6E74">
            <w:pPr>
              <w:spacing w:after="0"/>
              <w:jc w:val="center"/>
              <w:rPr>
                <w:rFonts w:cs="Arial"/>
                <w:szCs w:val="16"/>
              </w:rPr>
            </w:pPr>
            <w:r w:rsidRPr="000F6E74">
              <w:rPr>
                <w:rFonts w:cs="Arial"/>
                <w:szCs w:val="16"/>
              </w:rPr>
              <w:t>95.00%</w:t>
            </w:r>
          </w:p>
        </w:tc>
        <w:tc>
          <w:tcPr>
            <w:tcW w:w="528" w:type="pct"/>
            <w:vAlign w:val="center"/>
          </w:tcPr>
          <w:p w14:paraId="4678C9EF" w14:textId="095E0438" w:rsidR="00C362C0" w:rsidRPr="000F6E74" w:rsidRDefault="00C362C0" w:rsidP="000F6E74">
            <w:pPr>
              <w:spacing w:after="0"/>
              <w:jc w:val="center"/>
              <w:rPr>
                <w:rFonts w:cs="Arial"/>
                <w:szCs w:val="16"/>
              </w:rPr>
            </w:pPr>
            <w:r w:rsidRPr="000F6E74">
              <w:rPr>
                <w:rFonts w:cs="Arial"/>
                <w:szCs w:val="16"/>
              </w:rPr>
              <w:t>95.00%</w:t>
            </w:r>
          </w:p>
        </w:tc>
      </w:tr>
      <w:tr w:rsidR="000F6E74" w:rsidRPr="000F6E74" w14:paraId="546837A9" w14:textId="0EC3B58A" w:rsidTr="000E2739">
        <w:trPr>
          <w:trHeight w:val="432"/>
        </w:trPr>
        <w:tc>
          <w:tcPr>
            <w:tcW w:w="748" w:type="pct"/>
            <w:shd w:val="clear" w:color="auto" w:fill="auto"/>
            <w:vAlign w:val="center"/>
          </w:tcPr>
          <w:p w14:paraId="5E2AB8D4" w14:textId="77777777" w:rsidR="00C362C0" w:rsidRPr="000F6E74" w:rsidRDefault="00C362C0" w:rsidP="000F6E74">
            <w:pPr>
              <w:spacing w:after="0"/>
              <w:jc w:val="center"/>
              <w:rPr>
                <w:rFonts w:cs="Arial"/>
                <w:szCs w:val="16"/>
              </w:rPr>
            </w:pPr>
            <w:r w:rsidRPr="000F6E74">
              <w:rPr>
                <w:rFonts w:cs="Arial"/>
                <w:szCs w:val="16"/>
              </w:rPr>
              <w:t>Reading</w:t>
            </w:r>
          </w:p>
        </w:tc>
        <w:tc>
          <w:tcPr>
            <w:tcW w:w="532" w:type="pct"/>
            <w:shd w:val="clear" w:color="auto" w:fill="auto"/>
            <w:vAlign w:val="center"/>
          </w:tcPr>
          <w:p w14:paraId="2801904B" w14:textId="77777777" w:rsidR="00C362C0" w:rsidRPr="000F6E74" w:rsidRDefault="00C362C0" w:rsidP="000F6E74">
            <w:pPr>
              <w:spacing w:after="0"/>
              <w:jc w:val="center"/>
              <w:rPr>
                <w:rFonts w:cs="Arial"/>
                <w:szCs w:val="16"/>
              </w:rPr>
            </w:pPr>
            <w:r w:rsidRPr="000F6E74">
              <w:rPr>
                <w:rFonts w:cs="Arial"/>
                <w:szCs w:val="16"/>
              </w:rPr>
              <w:t>C &gt;=</w:t>
            </w:r>
          </w:p>
        </w:tc>
        <w:tc>
          <w:tcPr>
            <w:tcW w:w="532" w:type="pct"/>
            <w:shd w:val="clear" w:color="auto" w:fill="auto"/>
            <w:vAlign w:val="center"/>
          </w:tcPr>
          <w:p w14:paraId="5F09655C" w14:textId="799E5EE7" w:rsidR="00C362C0" w:rsidRPr="000F6E74" w:rsidDel="00DB0A73" w:rsidRDefault="00C362C0" w:rsidP="000F6E74">
            <w:pPr>
              <w:spacing w:after="0"/>
              <w:jc w:val="center"/>
              <w:rPr>
                <w:rFonts w:cs="Arial"/>
                <w:szCs w:val="16"/>
              </w:rPr>
            </w:pPr>
            <w:r w:rsidRPr="000F6E74">
              <w:rPr>
                <w:rFonts w:cs="Arial"/>
                <w:szCs w:val="16"/>
              </w:rPr>
              <w:t>Grade HS</w:t>
            </w:r>
          </w:p>
        </w:tc>
        <w:tc>
          <w:tcPr>
            <w:tcW w:w="532" w:type="pct"/>
            <w:shd w:val="clear" w:color="auto" w:fill="auto"/>
            <w:vAlign w:val="center"/>
          </w:tcPr>
          <w:p w14:paraId="06826BA4" w14:textId="5829FE90"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14B1D7EC" w14:textId="5E17D245"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05B53368" w14:textId="52EA99DA"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55D2A6D2" w14:textId="0D1D128C"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0D56BAE2" w14:textId="2F5D29E0" w:rsidR="00C362C0" w:rsidRPr="000F6E74" w:rsidRDefault="00C362C0" w:rsidP="000F6E74">
            <w:pPr>
              <w:spacing w:after="0"/>
              <w:jc w:val="center"/>
              <w:rPr>
                <w:rFonts w:cs="Arial"/>
                <w:szCs w:val="16"/>
              </w:rPr>
            </w:pPr>
            <w:r w:rsidRPr="000F6E74">
              <w:rPr>
                <w:rFonts w:cs="Arial"/>
                <w:szCs w:val="16"/>
              </w:rPr>
              <w:t>95.00%</w:t>
            </w:r>
          </w:p>
        </w:tc>
        <w:tc>
          <w:tcPr>
            <w:tcW w:w="528" w:type="pct"/>
            <w:vAlign w:val="center"/>
          </w:tcPr>
          <w:p w14:paraId="051835DE" w14:textId="241C45E0" w:rsidR="00C362C0" w:rsidRPr="000F6E74" w:rsidRDefault="00C362C0" w:rsidP="000F6E74">
            <w:pPr>
              <w:spacing w:after="0"/>
              <w:jc w:val="center"/>
              <w:rPr>
                <w:rFonts w:cs="Arial"/>
                <w:szCs w:val="16"/>
              </w:rPr>
            </w:pPr>
            <w:r w:rsidRPr="000F6E74">
              <w:rPr>
                <w:rFonts w:cs="Arial"/>
                <w:szCs w:val="16"/>
              </w:rPr>
              <w:t>95.00%</w:t>
            </w:r>
          </w:p>
        </w:tc>
      </w:tr>
      <w:tr w:rsidR="000F6E74" w:rsidRPr="000F6E74" w14:paraId="42FB4D55" w14:textId="70E04CC1" w:rsidTr="000E2739">
        <w:trPr>
          <w:trHeight w:val="432"/>
        </w:trPr>
        <w:tc>
          <w:tcPr>
            <w:tcW w:w="748" w:type="pct"/>
            <w:shd w:val="clear" w:color="auto" w:fill="auto"/>
            <w:vAlign w:val="center"/>
          </w:tcPr>
          <w:p w14:paraId="5003C653" w14:textId="77777777" w:rsidR="00C362C0" w:rsidRPr="000F6E74" w:rsidRDefault="00C362C0" w:rsidP="000F6E74">
            <w:pPr>
              <w:spacing w:after="0"/>
              <w:jc w:val="center"/>
              <w:rPr>
                <w:rFonts w:cs="Arial"/>
                <w:szCs w:val="16"/>
              </w:rPr>
            </w:pPr>
            <w:r w:rsidRPr="000F6E74">
              <w:rPr>
                <w:rFonts w:cs="Arial"/>
                <w:szCs w:val="16"/>
              </w:rPr>
              <w:t>Math</w:t>
            </w:r>
          </w:p>
        </w:tc>
        <w:tc>
          <w:tcPr>
            <w:tcW w:w="532" w:type="pct"/>
            <w:shd w:val="clear" w:color="auto" w:fill="auto"/>
            <w:vAlign w:val="center"/>
          </w:tcPr>
          <w:p w14:paraId="3BDC476D" w14:textId="77777777" w:rsidR="00C362C0" w:rsidRPr="000F6E74" w:rsidRDefault="00C362C0" w:rsidP="000F6E74">
            <w:pPr>
              <w:spacing w:after="0"/>
              <w:jc w:val="center"/>
              <w:rPr>
                <w:rFonts w:cs="Arial"/>
                <w:szCs w:val="16"/>
              </w:rPr>
            </w:pPr>
            <w:r w:rsidRPr="000F6E74">
              <w:rPr>
                <w:rFonts w:cs="Arial"/>
                <w:szCs w:val="16"/>
              </w:rPr>
              <w:t>A &gt;=</w:t>
            </w:r>
          </w:p>
        </w:tc>
        <w:tc>
          <w:tcPr>
            <w:tcW w:w="532" w:type="pct"/>
            <w:shd w:val="clear" w:color="auto" w:fill="auto"/>
            <w:vAlign w:val="center"/>
          </w:tcPr>
          <w:p w14:paraId="0CAD024F" w14:textId="139788C5" w:rsidR="00C362C0" w:rsidRPr="000F6E74" w:rsidDel="00DB0A73" w:rsidRDefault="00C362C0" w:rsidP="000F6E74">
            <w:pPr>
              <w:spacing w:after="0"/>
              <w:jc w:val="center"/>
              <w:rPr>
                <w:rFonts w:cs="Arial"/>
                <w:szCs w:val="16"/>
              </w:rPr>
            </w:pPr>
            <w:r w:rsidRPr="000F6E74">
              <w:rPr>
                <w:rFonts w:cs="Arial"/>
                <w:szCs w:val="16"/>
              </w:rPr>
              <w:t>Grade 4</w:t>
            </w:r>
          </w:p>
        </w:tc>
        <w:tc>
          <w:tcPr>
            <w:tcW w:w="532" w:type="pct"/>
            <w:shd w:val="clear" w:color="auto" w:fill="auto"/>
            <w:vAlign w:val="center"/>
          </w:tcPr>
          <w:p w14:paraId="643E3EC7" w14:textId="5E734881"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5C17E435" w14:textId="07B15AE7"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1B9AA205" w14:textId="39F901D2"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4966A75F" w14:textId="20C7AE15"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022FBD29" w14:textId="276E1879" w:rsidR="00C362C0" w:rsidRPr="000F6E74" w:rsidRDefault="00C362C0" w:rsidP="000F6E74">
            <w:pPr>
              <w:spacing w:after="0"/>
              <w:jc w:val="center"/>
              <w:rPr>
                <w:rFonts w:cs="Arial"/>
                <w:szCs w:val="16"/>
              </w:rPr>
            </w:pPr>
            <w:r w:rsidRPr="000F6E74">
              <w:rPr>
                <w:rFonts w:cs="Arial"/>
                <w:szCs w:val="16"/>
              </w:rPr>
              <w:t>95.00%</w:t>
            </w:r>
          </w:p>
        </w:tc>
        <w:tc>
          <w:tcPr>
            <w:tcW w:w="528" w:type="pct"/>
            <w:vAlign w:val="center"/>
          </w:tcPr>
          <w:p w14:paraId="67ED89E3" w14:textId="45ADA051" w:rsidR="00C362C0" w:rsidRPr="000F6E74" w:rsidRDefault="00C362C0" w:rsidP="000F6E74">
            <w:pPr>
              <w:spacing w:after="0"/>
              <w:jc w:val="center"/>
              <w:rPr>
                <w:rFonts w:cs="Arial"/>
                <w:szCs w:val="16"/>
              </w:rPr>
            </w:pPr>
            <w:r w:rsidRPr="000F6E74">
              <w:rPr>
                <w:rFonts w:cs="Arial"/>
                <w:szCs w:val="16"/>
              </w:rPr>
              <w:t>95.00%</w:t>
            </w:r>
          </w:p>
        </w:tc>
      </w:tr>
      <w:tr w:rsidR="000F6E74" w:rsidRPr="000F6E74" w14:paraId="36D735AC" w14:textId="5C55C170" w:rsidTr="000E2739">
        <w:trPr>
          <w:trHeight w:val="432"/>
        </w:trPr>
        <w:tc>
          <w:tcPr>
            <w:tcW w:w="748" w:type="pct"/>
            <w:shd w:val="clear" w:color="auto" w:fill="auto"/>
            <w:vAlign w:val="center"/>
          </w:tcPr>
          <w:p w14:paraId="3DD28514" w14:textId="77777777" w:rsidR="00C362C0" w:rsidRPr="000F6E74" w:rsidRDefault="00C362C0" w:rsidP="000F6E74">
            <w:pPr>
              <w:spacing w:after="0"/>
              <w:jc w:val="center"/>
              <w:rPr>
                <w:rFonts w:cs="Arial"/>
                <w:szCs w:val="16"/>
              </w:rPr>
            </w:pPr>
            <w:r w:rsidRPr="000F6E74">
              <w:rPr>
                <w:rFonts w:cs="Arial"/>
                <w:szCs w:val="16"/>
              </w:rPr>
              <w:t>Math</w:t>
            </w:r>
          </w:p>
        </w:tc>
        <w:tc>
          <w:tcPr>
            <w:tcW w:w="532" w:type="pct"/>
            <w:shd w:val="clear" w:color="auto" w:fill="auto"/>
            <w:vAlign w:val="center"/>
          </w:tcPr>
          <w:p w14:paraId="504829E1" w14:textId="77777777" w:rsidR="00C362C0" w:rsidRPr="000F6E74" w:rsidRDefault="00C362C0" w:rsidP="000F6E74">
            <w:pPr>
              <w:spacing w:after="0"/>
              <w:jc w:val="center"/>
              <w:rPr>
                <w:rFonts w:cs="Arial"/>
                <w:szCs w:val="16"/>
              </w:rPr>
            </w:pPr>
            <w:r w:rsidRPr="000F6E74">
              <w:rPr>
                <w:rFonts w:cs="Arial"/>
                <w:szCs w:val="16"/>
              </w:rPr>
              <w:t>B &gt;=</w:t>
            </w:r>
          </w:p>
        </w:tc>
        <w:tc>
          <w:tcPr>
            <w:tcW w:w="532" w:type="pct"/>
            <w:shd w:val="clear" w:color="auto" w:fill="auto"/>
            <w:vAlign w:val="center"/>
          </w:tcPr>
          <w:p w14:paraId="7B7B7FDD" w14:textId="4EABA9DD" w:rsidR="00C362C0" w:rsidRPr="000F6E74" w:rsidDel="00DB0A73" w:rsidRDefault="00C362C0" w:rsidP="000F6E74">
            <w:pPr>
              <w:spacing w:after="0"/>
              <w:jc w:val="center"/>
              <w:rPr>
                <w:rFonts w:cs="Arial"/>
                <w:szCs w:val="16"/>
              </w:rPr>
            </w:pPr>
            <w:r w:rsidRPr="000F6E74">
              <w:rPr>
                <w:rFonts w:cs="Arial"/>
                <w:szCs w:val="16"/>
              </w:rPr>
              <w:t>Grade 8</w:t>
            </w:r>
          </w:p>
        </w:tc>
        <w:tc>
          <w:tcPr>
            <w:tcW w:w="532" w:type="pct"/>
            <w:shd w:val="clear" w:color="auto" w:fill="auto"/>
            <w:vAlign w:val="center"/>
          </w:tcPr>
          <w:p w14:paraId="4BE54D67" w14:textId="13C82F03"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1113A8B0" w14:textId="01C04123"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3A3B0FBA" w14:textId="478F9449"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789FBACE" w14:textId="6A3893AE"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22CE6700" w14:textId="17865EEB" w:rsidR="00C362C0" w:rsidRPr="000F6E74" w:rsidRDefault="00C362C0" w:rsidP="000F6E74">
            <w:pPr>
              <w:spacing w:after="0"/>
              <w:jc w:val="center"/>
              <w:rPr>
                <w:rFonts w:cs="Arial"/>
                <w:szCs w:val="16"/>
              </w:rPr>
            </w:pPr>
            <w:r w:rsidRPr="000F6E74">
              <w:rPr>
                <w:rFonts w:cs="Arial"/>
                <w:szCs w:val="16"/>
              </w:rPr>
              <w:t>95.00%</w:t>
            </w:r>
          </w:p>
        </w:tc>
        <w:tc>
          <w:tcPr>
            <w:tcW w:w="528" w:type="pct"/>
            <w:vAlign w:val="center"/>
          </w:tcPr>
          <w:p w14:paraId="60EADA93" w14:textId="18F415A5" w:rsidR="00C362C0" w:rsidRPr="000F6E74" w:rsidRDefault="00C362C0" w:rsidP="000F6E74">
            <w:pPr>
              <w:spacing w:after="0"/>
              <w:jc w:val="center"/>
              <w:rPr>
                <w:rFonts w:cs="Arial"/>
                <w:szCs w:val="16"/>
              </w:rPr>
            </w:pPr>
            <w:r w:rsidRPr="000F6E74">
              <w:rPr>
                <w:rFonts w:cs="Arial"/>
                <w:szCs w:val="16"/>
              </w:rPr>
              <w:t>95.00%</w:t>
            </w:r>
          </w:p>
        </w:tc>
      </w:tr>
      <w:tr w:rsidR="000F6E74" w:rsidRPr="000F6E74" w14:paraId="6D5345B6" w14:textId="77468A6F" w:rsidTr="000E2739">
        <w:trPr>
          <w:trHeight w:val="432"/>
        </w:trPr>
        <w:tc>
          <w:tcPr>
            <w:tcW w:w="748" w:type="pct"/>
            <w:shd w:val="clear" w:color="auto" w:fill="auto"/>
            <w:vAlign w:val="center"/>
          </w:tcPr>
          <w:p w14:paraId="7932C55F" w14:textId="77777777" w:rsidR="00C362C0" w:rsidRPr="000F6E74" w:rsidRDefault="00C362C0" w:rsidP="000F6E74">
            <w:pPr>
              <w:spacing w:after="0"/>
              <w:jc w:val="center"/>
              <w:rPr>
                <w:rFonts w:cs="Arial"/>
                <w:szCs w:val="16"/>
              </w:rPr>
            </w:pPr>
            <w:r w:rsidRPr="000F6E74">
              <w:rPr>
                <w:rFonts w:cs="Arial"/>
                <w:szCs w:val="16"/>
              </w:rPr>
              <w:t>Math</w:t>
            </w:r>
          </w:p>
        </w:tc>
        <w:tc>
          <w:tcPr>
            <w:tcW w:w="532" w:type="pct"/>
            <w:shd w:val="clear" w:color="auto" w:fill="auto"/>
            <w:vAlign w:val="center"/>
          </w:tcPr>
          <w:p w14:paraId="2BCACF10" w14:textId="77777777" w:rsidR="00C362C0" w:rsidRPr="000F6E74" w:rsidRDefault="00C362C0" w:rsidP="000F6E74">
            <w:pPr>
              <w:spacing w:after="0"/>
              <w:jc w:val="center"/>
              <w:rPr>
                <w:rFonts w:cs="Arial"/>
                <w:szCs w:val="16"/>
              </w:rPr>
            </w:pPr>
            <w:r w:rsidRPr="000F6E74">
              <w:rPr>
                <w:rFonts w:cs="Arial"/>
                <w:szCs w:val="16"/>
              </w:rPr>
              <w:t>C &gt;=</w:t>
            </w:r>
          </w:p>
        </w:tc>
        <w:tc>
          <w:tcPr>
            <w:tcW w:w="532" w:type="pct"/>
            <w:shd w:val="clear" w:color="auto" w:fill="auto"/>
            <w:vAlign w:val="center"/>
          </w:tcPr>
          <w:p w14:paraId="1E7674E7" w14:textId="620A24D0" w:rsidR="00C362C0" w:rsidRPr="000F6E74" w:rsidDel="00DB0A73" w:rsidRDefault="00C362C0" w:rsidP="000F6E74">
            <w:pPr>
              <w:spacing w:after="0"/>
              <w:jc w:val="center"/>
              <w:rPr>
                <w:rFonts w:cs="Arial"/>
                <w:szCs w:val="16"/>
              </w:rPr>
            </w:pPr>
            <w:r w:rsidRPr="000F6E74">
              <w:rPr>
                <w:rFonts w:cs="Arial"/>
                <w:szCs w:val="16"/>
              </w:rPr>
              <w:t>Grade HS</w:t>
            </w:r>
          </w:p>
        </w:tc>
        <w:tc>
          <w:tcPr>
            <w:tcW w:w="532" w:type="pct"/>
            <w:shd w:val="clear" w:color="auto" w:fill="auto"/>
            <w:vAlign w:val="center"/>
          </w:tcPr>
          <w:p w14:paraId="416F7E76" w14:textId="5B460752"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7ADA18AC" w14:textId="2893C149"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1BF168BC" w14:textId="476AE7F5"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3BB5329F" w14:textId="6B51850F" w:rsidR="00C362C0" w:rsidRPr="000F6E74" w:rsidRDefault="00C362C0" w:rsidP="000F6E74">
            <w:pPr>
              <w:spacing w:after="0"/>
              <w:jc w:val="center"/>
              <w:rPr>
                <w:rFonts w:cs="Arial"/>
                <w:szCs w:val="16"/>
              </w:rPr>
            </w:pPr>
            <w:r w:rsidRPr="000F6E74">
              <w:rPr>
                <w:rFonts w:cs="Arial"/>
                <w:szCs w:val="16"/>
              </w:rPr>
              <w:t>95.00%</w:t>
            </w:r>
          </w:p>
        </w:tc>
        <w:tc>
          <w:tcPr>
            <w:tcW w:w="532" w:type="pct"/>
            <w:vAlign w:val="center"/>
          </w:tcPr>
          <w:p w14:paraId="3163C52B" w14:textId="316A6F3C" w:rsidR="00C362C0" w:rsidRPr="000F6E74" w:rsidRDefault="00C362C0" w:rsidP="000F6E74">
            <w:pPr>
              <w:spacing w:after="0"/>
              <w:jc w:val="center"/>
              <w:rPr>
                <w:rFonts w:cs="Arial"/>
                <w:szCs w:val="16"/>
              </w:rPr>
            </w:pPr>
            <w:r w:rsidRPr="000F6E74">
              <w:rPr>
                <w:rFonts w:cs="Arial"/>
                <w:szCs w:val="16"/>
              </w:rPr>
              <w:t>95.00%</w:t>
            </w:r>
          </w:p>
        </w:tc>
        <w:tc>
          <w:tcPr>
            <w:tcW w:w="528" w:type="pct"/>
            <w:vAlign w:val="center"/>
          </w:tcPr>
          <w:p w14:paraId="6839B11E" w14:textId="5B3A2218" w:rsidR="00C362C0" w:rsidRPr="000F6E74" w:rsidRDefault="00C362C0" w:rsidP="000F6E74">
            <w:pPr>
              <w:spacing w:after="0"/>
              <w:jc w:val="center"/>
              <w:rPr>
                <w:rFonts w:cs="Arial"/>
                <w:szCs w:val="16"/>
              </w:rPr>
            </w:pPr>
            <w:r w:rsidRPr="000F6E74">
              <w:rPr>
                <w:rFonts w:cs="Arial"/>
                <w:szCs w:val="16"/>
              </w:rPr>
              <w:t>95.00%</w:t>
            </w:r>
          </w:p>
        </w:tc>
      </w:tr>
    </w:tbl>
    <w:p w14:paraId="3F503660" w14:textId="21AB51A2" w:rsidR="00480083" w:rsidRPr="000F6E74" w:rsidRDefault="00480083" w:rsidP="0036581E">
      <w:pPr>
        <w:pStyle w:val="Heading4"/>
      </w:pPr>
      <w:r w:rsidRPr="000F6E74">
        <w:t>Targets: Description of Stakeholder Input</w:t>
      </w:r>
    </w:p>
    <w:p w14:paraId="50DC6AAE" w14:textId="77777777" w:rsidR="00DE2CFA" w:rsidRPr="007D6196" w:rsidRDefault="00480083" w:rsidP="00314F94">
      <w:pPr>
        <w:pStyle w:val="ListParagraph"/>
        <w:numPr>
          <w:ilvl w:val="0"/>
          <w:numId w:val="81"/>
        </w:numPr>
        <w:rPr>
          <w:rFonts w:cs="Arial"/>
          <w:szCs w:val="16"/>
        </w:rPr>
      </w:pPr>
      <w:r w:rsidRPr="007D6196">
        <w:rPr>
          <w:rFonts w:cs="Arial"/>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4B8B8032" w14:textId="32F56FBA" w:rsidR="0034094E" w:rsidRPr="000F6E74" w:rsidRDefault="00480083" w:rsidP="004C1EC0">
      <w:pPr>
        <w:ind w:left="720"/>
        <w:rPr>
          <w:rFonts w:cs="Arial"/>
          <w:szCs w:val="16"/>
        </w:rPr>
      </w:pPr>
      <w:r w:rsidRPr="000F6E74">
        <w:rPr>
          <w:rFonts w:cs="Arial"/>
          <w:szCs w:val="16"/>
        </w:rPr>
        <w:t xml:space="preserve">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w:t>
      </w:r>
      <w:r w:rsidRPr="000F6E74">
        <w:rPr>
          <w:rFonts w:cs="Arial"/>
          <w:szCs w:val="16"/>
        </w:rPr>
        <w:lastRenderedPageBreak/>
        <w:t>met regularly to gauge progress, share strategies, and suggestions. In some cases, surveys were administered to ensure all stakeholders have equal opportunity to be heard and have led to additional initiatives and resources.</w:t>
      </w:r>
    </w:p>
    <w:p w14:paraId="185A3541" w14:textId="77777777" w:rsidR="004F4016" w:rsidRPr="000F6E74" w:rsidRDefault="004F4016" w:rsidP="0036581E">
      <w:pPr>
        <w:pStyle w:val="Heading4"/>
      </w:pPr>
      <w:r w:rsidRPr="000F6E74">
        <w:t xml:space="preserve">FFY 2020 Data Disaggregation from </w:t>
      </w:r>
      <w:proofErr w:type="spellStart"/>
      <w:r w:rsidRPr="000F6E74">
        <w:t>EDFacts</w:t>
      </w:r>
      <w:proofErr w:type="spellEnd"/>
    </w:p>
    <w:p w14:paraId="0D09503A" w14:textId="07B2101A" w:rsidR="004F4016" w:rsidRPr="000F6E74" w:rsidRDefault="004F4016" w:rsidP="009E4F1C">
      <w:pPr>
        <w:rPr>
          <w:rFonts w:cs="Arial"/>
          <w:b/>
          <w:szCs w:val="16"/>
        </w:rPr>
      </w:pPr>
      <w:r w:rsidRPr="000F6E74">
        <w:rPr>
          <w:rFonts w:cs="Arial"/>
          <w:b/>
          <w:szCs w:val="16"/>
        </w:rPr>
        <w:t>Data Source:</w:t>
      </w:r>
    </w:p>
    <w:p w14:paraId="395788DA" w14:textId="77777777" w:rsidR="004F4016" w:rsidRPr="007D6196" w:rsidRDefault="004F4016" w:rsidP="00314F94">
      <w:pPr>
        <w:pStyle w:val="ListParagraph"/>
        <w:numPr>
          <w:ilvl w:val="0"/>
          <w:numId w:val="82"/>
        </w:numPr>
        <w:rPr>
          <w:rFonts w:cs="Arial"/>
          <w:szCs w:val="16"/>
        </w:rPr>
      </w:pPr>
      <w:r w:rsidRPr="007D6196">
        <w:rPr>
          <w:rFonts w:cs="Arial"/>
          <w:szCs w:val="16"/>
        </w:rPr>
        <w:t xml:space="preserve">SY 2020-21 Assessment Data Groups - </w:t>
      </w:r>
      <w:proofErr w:type="gramStart"/>
      <w:r w:rsidRPr="007D6196">
        <w:rPr>
          <w:rFonts w:cs="Arial"/>
          <w:szCs w:val="16"/>
        </w:rPr>
        <w:t>Reading  (</w:t>
      </w:r>
      <w:proofErr w:type="spellStart"/>
      <w:proofErr w:type="gramEnd"/>
      <w:r w:rsidRPr="007D6196">
        <w:rPr>
          <w:rFonts w:cs="Arial"/>
          <w:szCs w:val="16"/>
        </w:rPr>
        <w:t>EDFacts</w:t>
      </w:r>
      <w:proofErr w:type="spellEnd"/>
      <w:r w:rsidRPr="007D6196">
        <w:rPr>
          <w:rFonts w:cs="Arial"/>
          <w:szCs w:val="16"/>
        </w:rPr>
        <w:t xml:space="preserve"> file spec FS188; Data Group: 589)</w:t>
      </w:r>
    </w:p>
    <w:p w14:paraId="6E29ED7B" w14:textId="552060AE" w:rsidR="004F4016" w:rsidRPr="000F6E74" w:rsidRDefault="004F4016" w:rsidP="009E4F1C">
      <w:pPr>
        <w:rPr>
          <w:rFonts w:cs="Arial"/>
          <w:b/>
          <w:szCs w:val="16"/>
        </w:rPr>
      </w:pPr>
      <w:r w:rsidRPr="000F6E74">
        <w:rPr>
          <w:rFonts w:cs="Arial"/>
          <w:b/>
          <w:szCs w:val="16"/>
        </w:rPr>
        <w:t>Date:</w:t>
      </w:r>
    </w:p>
    <w:p w14:paraId="5988832A" w14:textId="1DF97247" w:rsidR="004F4016" w:rsidRPr="007D6196" w:rsidRDefault="004F4016" w:rsidP="00314F94">
      <w:pPr>
        <w:pStyle w:val="ListParagraph"/>
        <w:numPr>
          <w:ilvl w:val="0"/>
          <w:numId w:val="83"/>
        </w:numPr>
        <w:rPr>
          <w:rFonts w:cs="Arial"/>
          <w:szCs w:val="16"/>
        </w:rPr>
      </w:pPr>
      <w:r w:rsidRPr="007D6196">
        <w:rPr>
          <w:rFonts w:cs="Arial"/>
          <w:szCs w:val="16"/>
        </w:rPr>
        <w:t>03/30/2022</w:t>
      </w:r>
    </w:p>
    <w:p w14:paraId="04FCCDAC" w14:textId="0E2A3E91" w:rsidR="000E2739" w:rsidRPr="000E2739" w:rsidRDefault="000E2739" w:rsidP="00815ACE">
      <w:pPr>
        <w:pStyle w:val="Caption"/>
      </w:pPr>
      <w:bookmarkStart w:id="11" w:name="_Hlk121842301"/>
      <w:r w:rsidRPr="000E2739">
        <w:t>Reading Assessment Participation Data by Grade (3A)</w:t>
      </w:r>
    </w:p>
    <w:tbl>
      <w:tblPr>
        <w:tblStyle w:val="TableGrid"/>
        <w:tblW w:w="5000" w:type="pct"/>
        <w:tblLayout w:type="fixed"/>
        <w:tblLook w:val="04A0" w:firstRow="1" w:lastRow="0" w:firstColumn="1" w:lastColumn="0" w:noHBand="0" w:noVBand="1"/>
        <w:tblDescription w:val="Table provides reading assessment participation for grades 4, 8, and high school for children with IEPs."/>
      </w:tblPr>
      <w:tblGrid>
        <w:gridCol w:w="3326"/>
        <w:gridCol w:w="2488"/>
        <w:gridCol w:w="2488"/>
        <w:gridCol w:w="2488"/>
      </w:tblGrid>
      <w:tr w:rsidR="000F6E74" w:rsidRPr="000F6E74" w14:paraId="403AD72A" w14:textId="77777777" w:rsidTr="00DE2CFA">
        <w:trPr>
          <w:trHeight w:val="449"/>
          <w:tblHeader/>
        </w:trPr>
        <w:tc>
          <w:tcPr>
            <w:tcW w:w="1541" w:type="pct"/>
            <w:shd w:val="clear" w:color="auto" w:fill="D9D9D9" w:themeFill="background1" w:themeFillShade="D9"/>
            <w:vAlign w:val="center"/>
          </w:tcPr>
          <w:bookmarkEnd w:id="11"/>
          <w:p w14:paraId="1C62C5FF" w14:textId="603ACFA1" w:rsidR="00DD7CEF" w:rsidRPr="000F6E74" w:rsidRDefault="00DD7CEF" w:rsidP="00DE2CFA">
            <w:pPr>
              <w:spacing w:after="0"/>
              <w:jc w:val="center"/>
              <w:rPr>
                <w:rFonts w:cs="Arial"/>
                <w:b/>
                <w:bCs/>
                <w:szCs w:val="16"/>
              </w:rPr>
            </w:pPr>
            <w:r w:rsidRPr="000F6E74">
              <w:rPr>
                <w:rFonts w:cs="Arial"/>
                <w:b/>
                <w:bCs/>
                <w:szCs w:val="16"/>
              </w:rPr>
              <w:t>Group</w:t>
            </w:r>
          </w:p>
        </w:tc>
        <w:tc>
          <w:tcPr>
            <w:tcW w:w="1153" w:type="pct"/>
            <w:shd w:val="clear" w:color="auto" w:fill="D9D9D9" w:themeFill="background1" w:themeFillShade="D9"/>
            <w:vAlign w:val="center"/>
          </w:tcPr>
          <w:p w14:paraId="3BC293C7" w14:textId="23FBE050" w:rsidR="00DD7CEF" w:rsidRPr="000F6E74" w:rsidRDefault="0014778D" w:rsidP="00DE2CFA">
            <w:pPr>
              <w:spacing w:after="0"/>
              <w:jc w:val="center"/>
              <w:rPr>
                <w:rFonts w:cs="Arial"/>
                <w:b/>
                <w:bCs/>
                <w:szCs w:val="16"/>
              </w:rPr>
            </w:pPr>
            <w:r w:rsidRPr="000F6E74">
              <w:rPr>
                <w:rFonts w:cs="Arial"/>
                <w:b/>
                <w:bCs/>
                <w:szCs w:val="16"/>
              </w:rPr>
              <w:t>Grade 4</w:t>
            </w:r>
          </w:p>
        </w:tc>
        <w:tc>
          <w:tcPr>
            <w:tcW w:w="1153" w:type="pct"/>
            <w:shd w:val="clear" w:color="auto" w:fill="D9D9D9" w:themeFill="background1" w:themeFillShade="D9"/>
            <w:vAlign w:val="center"/>
          </w:tcPr>
          <w:p w14:paraId="2B9E34ED" w14:textId="748CD695" w:rsidR="00DD7CEF" w:rsidRPr="000F6E74" w:rsidRDefault="009A58F2" w:rsidP="00DE2CFA">
            <w:pPr>
              <w:spacing w:after="0"/>
              <w:jc w:val="center"/>
              <w:rPr>
                <w:rFonts w:cs="Arial"/>
                <w:b/>
                <w:bCs/>
                <w:szCs w:val="16"/>
              </w:rPr>
            </w:pPr>
            <w:r w:rsidRPr="000F6E74">
              <w:rPr>
                <w:rFonts w:cs="Arial"/>
                <w:b/>
                <w:bCs/>
                <w:szCs w:val="16"/>
              </w:rPr>
              <w:t>Grade 8</w:t>
            </w:r>
          </w:p>
        </w:tc>
        <w:tc>
          <w:tcPr>
            <w:tcW w:w="1153" w:type="pct"/>
            <w:shd w:val="clear" w:color="auto" w:fill="D9D9D9" w:themeFill="background1" w:themeFillShade="D9"/>
            <w:vAlign w:val="center"/>
          </w:tcPr>
          <w:p w14:paraId="1C889EA5" w14:textId="5C3575D5" w:rsidR="00DD7CEF" w:rsidRPr="000F6E74" w:rsidRDefault="00641893" w:rsidP="00DE2CFA">
            <w:pPr>
              <w:spacing w:after="0"/>
              <w:jc w:val="center"/>
              <w:rPr>
                <w:rFonts w:cs="Arial"/>
                <w:b/>
                <w:bCs/>
                <w:szCs w:val="16"/>
              </w:rPr>
            </w:pPr>
            <w:r w:rsidRPr="000F6E74">
              <w:rPr>
                <w:rFonts w:cs="Arial"/>
                <w:b/>
                <w:bCs/>
                <w:szCs w:val="16"/>
              </w:rPr>
              <w:t>Grade HS</w:t>
            </w:r>
          </w:p>
        </w:tc>
      </w:tr>
      <w:tr w:rsidR="000F6E74" w:rsidRPr="000F6E74" w14:paraId="384D4241" w14:textId="77777777" w:rsidTr="00DE2CFA">
        <w:trPr>
          <w:trHeight w:val="521"/>
        </w:trPr>
        <w:tc>
          <w:tcPr>
            <w:tcW w:w="1541" w:type="pct"/>
            <w:shd w:val="clear" w:color="auto" w:fill="auto"/>
            <w:vAlign w:val="center"/>
          </w:tcPr>
          <w:p w14:paraId="2C5D3B14" w14:textId="5B4C7B32" w:rsidR="00DD7CEF" w:rsidRPr="000F6E74" w:rsidRDefault="00DD7CEF" w:rsidP="00DE2CFA">
            <w:pPr>
              <w:spacing w:after="0"/>
              <w:rPr>
                <w:rFonts w:cs="Arial"/>
                <w:szCs w:val="16"/>
              </w:rPr>
            </w:pPr>
            <w:r w:rsidRPr="000F6E74">
              <w:rPr>
                <w:rFonts w:cs="Arial"/>
                <w:szCs w:val="16"/>
              </w:rPr>
              <w:t>a. Children with IEPs</w:t>
            </w:r>
            <w:r w:rsidR="007A0DB8" w:rsidRPr="00572E2A">
              <w:rPr>
                <w:rFonts w:cs="Arial"/>
                <w:szCs w:val="16"/>
              </w:rPr>
              <w:t>*</w:t>
            </w:r>
            <w:r w:rsidR="007A0DB8" w:rsidRPr="00572E2A">
              <w:rPr>
                <w:rStyle w:val="FootnoteReference"/>
                <w:rFonts w:cs="Arial"/>
                <w:szCs w:val="16"/>
              </w:rPr>
              <w:footnoteReference w:id="2"/>
            </w:r>
          </w:p>
        </w:tc>
        <w:tc>
          <w:tcPr>
            <w:tcW w:w="1153" w:type="pct"/>
            <w:shd w:val="clear" w:color="auto" w:fill="auto"/>
            <w:vAlign w:val="center"/>
          </w:tcPr>
          <w:p w14:paraId="76979ED3" w14:textId="29C55693" w:rsidR="00DD7CEF" w:rsidRPr="000F6E74" w:rsidRDefault="00DD7CEF" w:rsidP="00DE2CFA">
            <w:pPr>
              <w:spacing w:after="0"/>
              <w:jc w:val="center"/>
              <w:rPr>
                <w:rFonts w:cs="Arial"/>
                <w:szCs w:val="16"/>
              </w:rPr>
            </w:pPr>
            <w:r w:rsidRPr="000F6E74">
              <w:rPr>
                <w:rFonts w:cs="Arial"/>
                <w:szCs w:val="16"/>
              </w:rPr>
              <w:t>12,006</w:t>
            </w:r>
          </w:p>
        </w:tc>
        <w:tc>
          <w:tcPr>
            <w:tcW w:w="1153" w:type="pct"/>
            <w:shd w:val="clear" w:color="auto" w:fill="auto"/>
            <w:vAlign w:val="center"/>
          </w:tcPr>
          <w:p w14:paraId="35D7BA3B" w14:textId="1A0E2FBE" w:rsidR="00DD7CEF" w:rsidRPr="000F6E74" w:rsidRDefault="00DD7CEF" w:rsidP="00DE2CFA">
            <w:pPr>
              <w:spacing w:after="0"/>
              <w:jc w:val="center"/>
              <w:rPr>
                <w:rFonts w:cs="Arial"/>
                <w:szCs w:val="16"/>
              </w:rPr>
            </w:pPr>
            <w:r w:rsidRPr="000F6E74">
              <w:rPr>
                <w:rFonts w:cs="Arial"/>
                <w:szCs w:val="16"/>
              </w:rPr>
              <w:t>12,488</w:t>
            </w:r>
          </w:p>
        </w:tc>
        <w:tc>
          <w:tcPr>
            <w:tcW w:w="1153" w:type="pct"/>
            <w:shd w:val="clear" w:color="auto" w:fill="auto"/>
            <w:vAlign w:val="center"/>
          </w:tcPr>
          <w:p w14:paraId="052A06A3" w14:textId="4AC6D010" w:rsidR="00DD7CEF" w:rsidRPr="000F6E74" w:rsidRDefault="00DD7CEF" w:rsidP="00DE2CFA">
            <w:pPr>
              <w:spacing w:after="0"/>
              <w:jc w:val="center"/>
              <w:rPr>
                <w:rFonts w:cs="Arial"/>
                <w:szCs w:val="16"/>
              </w:rPr>
            </w:pPr>
            <w:r w:rsidRPr="000F6E74">
              <w:rPr>
                <w:rFonts w:cs="Arial"/>
                <w:szCs w:val="16"/>
              </w:rPr>
              <w:t>11,156</w:t>
            </w:r>
          </w:p>
        </w:tc>
      </w:tr>
      <w:tr w:rsidR="000F6E74" w:rsidRPr="000F6E74" w14:paraId="7B6E221D" w14:textId="77777777" w:rsidTr="00B07804">
        <w:trPr>
          <w:trHeight w:val="1008"/>
        </w:trPr>
        <w:tc>
          <w:tcPr>
            <w:tcW w:w="1541" w:type="pct"/>
            <w:shd w:val="clear" w:color="auto" w:fill="auto"/>
            <w:vAlign w:val="center"/>
          </w:tcPr>
          <w:p w14:paraId="06F38372" w14:textId="7C3FDC42" w:rsidR="00DD7CEF" w:rsidRPr="000F6E74" w:rsidRDefault="00DD7CEF" w:rsidP="00B07804">
            <w:pPr>
              <w:spacing w:after="0" w:line="276" w:lineRule="auto"/>
              <w:rPr>
                <w:rFonts w:cs="Arial"/>
                <w:szCs w:val="16"/>
              </w:rPr>
            </w:pPr>
            <w:r w:rsidRPr="000F6E74">
              <w:rPr>
                <w:rFonts w:cs="Arial"/>
                <w:szCs w:val="16"/>
              </w:rPr>
              <w:t>b. Children with IEPs in regular assessment with no accommodations</w:t>
            </w:r>
          </w:p>
        </w:tc>
        <w:tc>
          <w:tcPr>
            <w:tcW w:w="1153" w:type="pct"/>
            <w:shd w:val="clear" w:color="auto" w:fill="auto"/>
            <w:vAlign w:val="center"/>
          </w:tcPr>
          <w:p w14:paraId="59910B66" w14:textId="372C2375" w:rsidR="00DD7CEF" w:rsidRPr="000F6E74" w:rsidRDefault="00DD7CEF" w:rsidP="00B07804">
            <w:pPr>
              <w:spacing w:after="0" w:line="276" w:lineRule="auto"/>
              <w:jc w:val="center"/>
              <w:rPr>
                <w:rFonts w:cs="Arial"/>
                <w:szCs w:val="16"/>
              </w:rPr>
            </w:pPr>
            <w:r w:rsidRPr="000F6E74">
              <w:rPr>
                <w:rFonts w:cs="Arial"/>
                <w:szCs w:val="16"/>
              </w:rPr>
              <w:t>4,786</w:t>
            </w:r>
          </w:p>
        </w:tc>
        <w:tc>
          <w:tcPr>
            <w:tcW w:w="1153" w:type="pct"/>
            <w:shd w:val="clear" w:color="auto" w:fill="auto"/>
            <w:vAlign w:val="center"/>
          </w:tcPr>
          <w:p w14:paraId="58E61FB0" w14:textId="02C429C4" w:rsidR="00DD7CEF" w:rsidRPr="000F6E74" w:rsidRDefault="00DD7CEF" w:rsidP="00B07804">
            <w:pPr>
              <w:spacing w:after="0" w:line="276" w:lineRule="auto"/>
              <w:jc w:val="center"/>
              <w:rPr>
                <w:rFonts w:cs="Arial"/>
                <w:szCs w:val="16"/>
              </w:rPr>
            </w:pPr>
            <w:r w:rsidRPr="000F6E74">
              <w:rPr>
                <w:rFonts w:cs="Arial"/>
                <w:szCs w:val="16"/>
              </w:rPr>
              <w:t>4,739</w:t>
            </w:r>
          </w:p>
        </w:tc>
        <w:tc>
          <w:tcPr>
            <w:tcW w:w="1153" w:type="pct"/>
            <w:shd w:val="clear" w:color="auto" w:fill="auto"/>
            <w:vAlign w:val="center"/>
          </w:tcPr>
          <w:p w14:paraId="60320EC9" w14:textId="6D87AECE" w:rsidR="00DD7CEF" w:rsidRPr="000F6E74" w:rsidRDefault="00DD7CEF" w:rsidP="00B07804">
            <w:pPr>
              <w:spacing w:after="0" w:line="276" w:lineRule="auto"/>
              <w:jc w:val="center"/>
              <w:rPr>
                <w:rFonts w:cs="Arial"/>
                <w:szCs w:val="16"/>
              </w:rPr>
            </w:pPr>
            <w:r w:rsidRPr="000F6E74">
              <w:rPr>
                <w:rFonts w:cs="Arial"/>
                <w:szCs w:val="16"/>
              </w:rPr>
              <w:t>6,406</w:t>
            </w:r>
          </w:p>
        </w:tc>
      </w:tr>
      <w:tr w:rsidR="000F6E74" w:rsidRPr="000F6E74" w14:paraId="764B5297" w14:textId="77777777" w:rsidTr="00B07804">
        <w:trPr>
          <w:trHeight w:val="1008"/>
        </w:trPr>
        <w:tc>
          <w:tcPr>
            <w:tcW w:w="1541" w:type="pct"/>
            <w:shd w:val="clear" w:color="auto" w:fill="auto"/>
            <w:vAlign w:val="center"/>
          </w:tcPr>
          <w:p w14:paraId="4B1F9E5B" w14:textId="0565B8FB" w:rsidR="00DD7CEF" w:rsidRPr="000F6E74" w:rsidRDefault="00DD7CEF" w:rsidP="00B07804">
            <w:pPr>
              <w:spacing w:after="0" w:line="276" w:lineRule="auto"/>
              <w:rPr>
                <w:rFonts w:cs="Arial"/>
                <w:szCs w:val="16"/>
              </w:rPr>
            </w:pPr>
            <w:r w:rsidRPr="000F6E74">
              <w:rPr>
                <w:rFonts w:cs="Arial"/>
                <w:szCs w:val="16"/>
              </w:rPr>
              <w:t>c. Children with IEPs in regular assessment with accommodations</w:t>
            </w:r>
          </w:p>
        </w:tc>
        <w:tc>
          <w:tcPr>
            <w:tcW w:w="1153" w:type="pct"/>
            <w:shd w:val="clear" w:color="auto" w:fill="auto"/>
            <w:vAlign w:val="center"/>
          </w:tcPr>
          <w:p w14:paraId="19E2C9E2" w14:textId="62074AB9" w:rsidR="00DD7CEF" w:rsidRPr="000F6E74" w:rsidRDefault="00DD7CEF" w:rsidP="00B07804">
            <w:pPr>
              <w:spacing w:after="0" w:line="276" w:lineRule="auto"/>
              <w:jc w:val="center"/>
              <w:rPr>
                <w:rFonts w:cs="Arial"/>
                <w:szCs w:val="16"/>
              </w:rPr>
            </w:pPr>
            <w:r w:rsidRPr="000F6E74">
              <w:rPr>
                <w:rFonts w:cs="Arial"/>
                <w:szCs w:val="16"/>
              </w:rPr>
              <w:t>4,165</w:t>
            </w:r>
          </w:p>
        </w:tc>
        <w:tc>
          <w:tcPr>
            <w:tcW w:w="1153" w:type="pct"/>
            <w:shd w:val="clear" w:color="auto" w:fill="auto"/>
            <w:vAlign w:val="center"/>
          </w:tcPr>
          <w:p w14:paraId="3DB02599" w14:textId="2A0B712D" w:rsidR="00DD7CEF" w:rsidRPr="000F6E74" w:rsidRDefault="00DD7CEF" w:rsidP="00B07804">
            <w:pPr>
              <w:spacing w:after="0" w:line="276" w:lineRule="auto"/>
              <w:jc w:val="center"/>
              <w:rPr>
                <w:rFonts w:cs="Arial"/>
                <w:szCs w:val="16"/>
              </w:rPr>
            </w:pPr>
            <w:r w:rsidRPr="000F6E74">
              <w:rPr>
                <w:rFonts w:cs="Arial"/>
                <w:szCs w:val="16"/>
              </w:rPr>
              <w:t>2,771</w:t>
            </w:r>
          </w:p>
        </w:tc>
        <w:tc>
          <w:tcPr>
            <w:tcW w:w="1153" w:type="pct"/>
            <w:shd w:val="clear" w:color="auto" w:fill="auto"/>
            <w:vAlign w:val="center"/>
          </w:tcPr>
          <w:p w14:paraId="4B5AD287" w14:textId="21E448FD" w:rsidR="00DD7CEF" w:rsidRPr="000F6E74" w:rsidRDefault="00DD7CEF" w:rsidP="00B07804">
            <w:pPr>
              <w:spacing w:after="0" w:line="276" w:lineRule="auto"/>
              <w:jc w:val="center"/>
              <w:rPr>
                <w:rFonts w:cs="Arial"/>
                <w:szCs w:val="16"/>
              </w:rPr>
            </w:pPr>
            <w:r w:rsidRPr="000F6E74">
              <w:rPr>
                <w:rFonts w:cs="Arial"/>
                <w:szCs w:val="16"/>
              </w:rPr>
              <w:t>1,949</w:t>
            </w:r>
          </w:p>
        </w:tc>
      </w:tr>
      <w:tr w:rsidR="000F6E74" w:rsidRPr="000F6E74" w14:paraId="2174424F" w14:textId="77777777" w:rsidTr="00B07804">
        <w:trPr>
          <w:trHeight w:val="1008"/>
        </w:trPr>
        <w:tc>
          <w:tcPr>
            <w:tcW w:w="1541" w:type="pct"/>
            <w:shd w:val="clear" w:color="auto" w:fill="auto"/>
            <w:vAlign w:val="center"/>
          </w:tcPr>
          <w:p w14:paraId="42AC6AFC" w14:textId="5D9B93DA" w:rsidR="00DD7CEF" w:rsidRPr="000F6E74" w:rsidRDefault="00E67387" w:rsidP="00B07804">
            <w:pPr>
              <w:spacing w:after="0" w:line="276" w:lineRule="auto"/>
              <w:rPr>
                <w:rFonts w:cs="Arial"/>
                <w:szCs w:val="16"/>
              </w:rPr>
            </w:pPr>
            <w:r w:rsidRPr="000F6E74">
              <w:rPr>
                <w:rFonts w:cs="Arial"/>
                <w:szCs w:val="16"/>
              </w:rPr>
              <w:t>d. Children with IEPs in alternate assessment against alternate standards</w:t>
            </w:r>
          </w:p>
        </w:tc>
        <w:tc>
          <w:tcPr>
            <w:tcW w:w="1153" w:type="pct"/>
            <w:shd w:val="clear" w:color="auto" w:fill="auto"/>
            <w:vAlign w:val="center"/>
          </w:tcPr>
          <w:p w14:paraId="372F0481" w14:textId="200584A1" w:rsidR="00DD7CEF" w:rsidRPr="000F6E74" w:rsidRDefault="00DD7CEF" w:rsidP="00B07804">
            <w:pPr>
              <w:spacing w:after="0" w:line="276" w:lineRule="auto"/>
              <w:jc w:val="center"/>
              <w:rPr>
                <w:rFonts w:cs="Arial"/>
                <w:szCs w:val="16"/>
              </w:rPr>
            </w:pPr>
            <w:r w:rsidRPr="000F6E74">
              <w:rPr>
                <w:rFonts w:cs="Arial"/>
                <w:szCs w:val="16"/>
              </w:rPr>
              <w:t>856</w:t>
            </w:r>
          </w:p>
        </w:tc>
        <w:tc>
          <w:tcPr>
            <w:tcW w:w="1153" w:type="pct"/>
            <w:shd w:val="clear" w:color="auto" w:fill="auto"/>
            <w:vAlign w:val="center"/>
          </w:tcPr>
          <w:p w14:paraId="74C112C5" w14:textId="5B153323" w:rsidR="00DD7CEF" w:rsidRPr="000F6E74" w:rsidRDefault="00DD7CEF" w:rsidP="00B07804">
            <w:pPr>
              <w:spacing w:after="0" w:line="276" w:lineRule="auto"/>
              <w:jc w:val="center"/>
              <w:rPr>
                <w:rFonts w:cs="Arial"/>
                <w:szCs w:val="16"/>
              </w:rPr>
            </w:pPr>
            <w:r w:rsidRPr="000F6E74">
              <w:rPr>
                <w:rFonts w:cs="Arial"/>
                <w:szCs w:val="16"/>
              </w:rPr>
              <w:t>920</w:t>
            </w:r>
          </w:p>
        </w:tc>
        <w:tc>
          <w:tcPr>
            <w:tcW w:w="1153" w:type="pct"/>
            <w:shd w:val="clear" w:color="auto" w:fill="auto"/>
            <w:vAlign w:val="center"/>
          </w:tcPr>
          <w:p w14:paraId="37AA75C1" w14:textId="6F75A72A" w:rsidR="00DD7CEF" w:rsidRPr="000F6E74" w:rsidRDefault="00DD7CEF" w:rsidP="00B07804">
            <w:pPr>
              <w:spacing w:after="0" w:line="276" w:lineRule="auto"/>
              <w:jc w:val="center"/>
              <w:rPr>
                <w:rFonts w:cs="Arial"/>
                <w:szCs w:val="16"/>
              </w:rPr>
            </w:pPr>
            <w:r w:rsidRPr="000F6E74">
              <w:rPr>
                <w:rFonts w:cs="Arial"/>
                <w:szCs w:val="16"/>
              </w:rPr>
              <w:t>877</w:t>
            </w:r>
          </w:p>
        </w:tc>
      </w:tr>
    </w:tbl>
    <w:p w14:paraId="7180C13A" w14:textId="61AE1661" w:rsidR="004F4016" w:rsidRPr="000F6E74" w:rsidRDefault="004F4016" w:rsidP="00DE2CFA">
      <w:pPr>
        <w:spacing w:before="240"/>
        <w:rPr>
          <w:rFonts w:cs="Arial"/>
          <w:b/>
          <w:szCs w:val="16"/>
        </w:rPr>
      </w:pPr>
      <w:r w:rsidRPr="000F6E74">
        <w:rPr>
          <w:rFonts w:cs="Arial"/>
          <w:b/>
          <w:szCs w:val="16"/>
        </w:rPr>
        <w:t>Data Source:</w:t>
      </w:r>
    </w:p>
    <w:p w14:paraId="7381D1CB" w14:textId="77777777" w:rsidR="004F4016" w:rsidRPr="007D6196" w:rsidRDefault="004F4016" w:rsidP="00314F94">
      <w:pPr>
        <w:pStyle w:val="ListParagraph"/>
        <w:numPr>
          <w:ilvl w:val="0"/>
          <w:numId w:val="84"/>
        </w:numPr>
        <w:rPr>
          <w:rFonts w:cs="Arial"/>
          <w:szCs w:val="16"/>
        </w:rPr>
      </w:pPr>
      <w:r w:rsidRPr="007D6196">
        <w:rPr>
          <w:rFonts w:cs="Arial"/>
          <w:szCs w:val="16"/>
        </w:rPr>
        <w:t xml:space="preserve">SY 2020-21 Assessment Data Groups - </w:t>
      </w:r>
      <w:proofErr w:type="gramStart"/>
      <w:r w:rsidRPr="007D6196">
        <w:rPr>
          <w:rFonts w:cs="Arial"/>
          <w:szCs w:val="16"/>
        </w:rPr>
        <w:t>Math  (</w:t>
      </w:r>
      <w:proofErr w:type="spellStart"/>
      <w:proofErr w:type="gramEnd"/>
      <w:r w:rsidRPr="007D6196">
        <w:rPr>
          <w:rFonts w:cs="Arial"/>
          <w:szCs w:val="16"/>
        </w:rPr>
        <w:t>EDFacts</w:t>
      </w:r>
      <w:proofErr w:type="spellEnd"/>
      <w:r w:rsidRPr="007D6196">
        <w:rPr>
          <w:rFonts w:cs="Arial"/>
          <w:szCs w:val="16"/>
        </w:rPr>
        <w:t xml:space="preserve"> file spec FS185; Data Group: 588)</w:t>
      </w:r>
    </w:p>
    <w:p w14:paraId="565A3F2C" w14:textId="6E9D7E99" w:rsidR="004F4016" w:rsidRPr="000F6E74" w:rsidRDefault="004F4016" w:rsidP="009E4F1C">
      <w:pPr>
        <w:rPr>
          <w:rFonts w:cs="Arial"/>
          <w:b/>
          <w:szCs w:val="16"/>
        </w:rPr>
      </w:pPr>
      <w:r w:rsidRPr="000F6E74">
        <w:rPr>
          <w:rFonts w:cs="Arial"/>
          <w:b/>
          <w:szCs w:val="16"/>
        </w:rPr>
        <w:t>Date:</w:t>
      </w:r>
    </w:p>
    <w:p w14:paraId="44216026" w14:textId="00B372B9" w:rsidR="004F4016" w:rsidRPr="007D6196" w:rsidRDefault="004F4016" w:rsidP="00314F94">
      <w:pPr>
        <w:pStyle w:val="ListParagraph"/>
        <w:numPr>
          <w:ilvl w:val="0"/>
          <w:numId w:val="85"/>
        </w:numPr>
        <w:rPr>
          <w:rFonts w:cs="Arial"/>
          <w:szCs w:val="16"/>
        </w:rPr>
      </w:pPr>
      <w:r w:rsidRPr="007D6196">
        <w:rPr>
          <w:rFonts w:cs="Arial"/>
          <w:szCs w:val="16"/>
        </w:rPr>
        <w:t>03/30/2022</w:t>
      </w:r>
    </w:p>
    <w:p w14:paraId="7B29FEF0" w14:textId="18923F3F" w:rsidR="000E2739" w:rsidRPr="000E2739" w:rsidRDefault="000E2739" w:rsidP="00815ACE">
      <w:pPr>
        <w:pStyle w:val="Caption"/>
      </w:pPr>
      <w:bookmarkStart w:id="12" w:name="_Hlk121842313"/>
      <w:r w:rsidRPr="000E2739">
        <w:t>Math Assessment Participation Data by Grade (3A)</w:t>
      </w:r>
    </w:p>
    <w:tbl>
      <w:tblPr>
        <w:tblStyle w:val="TableGrid"/>
        <w:tblW w:w="5000" w:type="pct"/>
        <w:tblLayout w:type="fixed"/>
        <w:tblLook w:val="04A0" w:firstRow="1" w:lastRow="0" w:firstColumn="1" w:lastColumn="0" w:noHBand="0" w:noVBand="1"/>
        <w:tblDescription w:val="Table provides math assessment participation for grades 4, 8, and high school for children with IEPs."/>
      </w:tblPr>
      <w:tblGrid>
        <w:gridCol w:w="3326"/>
        <w:gridCol w:w="2488"/>
        <w:gridCol w:w="2488"/>
        <w:gridCol w:w="2488"/>
      </w:tblGrid>
      <w:tr w:rsidR="000F6E74" w:rsidRPr="000F6E74" w14:paraId="765286EB" w14:textId="77777777" w:rsidTr="00DE2CFA">
        <w:trPr>
          <w:trHeight w:val="431"/>
          <w:tblHeader/>
        </w:trPr>
        <w:tc>
          <w:tcPr>
            <w:tcW w:w="1541" w:type="pct"/>
            <w:shd w:val="clear" w:color="auto" w:fill="D9D9D9" w:themeFill="background1" w:themeFillShade="D9"/>
            <w:vAlign w:val="center"/>
          </w:tcPr>
          <w:bookmarkEnd w:id="12"/>
          <w:p w14:paraId="74EB9B5A" w14:textId="4038BCD1" w:rsidR="00DE2CFA" w:rsidRPr="000F6E74" w:rsidRDefault="00835EAD" w:rsidP="00DE2CFA">
            <w:pPr>
              <w:spacing w:after="0" w:line="276" w:lineRule="auto"/>
              <w:jc w:val="center"/>
              <w:rPr>
                <w:rFonts w:cs="Arial"/>
                <w:b/>
                <w:bCs/>
                <w:szCs w:val="16"/>
              </w:rPr>
            </w:pPr>
            <w:r w:rsidRPr="000F6E74">
              <w:rPr>
                <w:rFonts w:cs="Arial"/>
                <w:b/>
                <w:bCs/>
                <w:szCs w:val="16"/>
              </w:rPr>
              <w:t>Group</w:t>
            </w:r>
          </w:p>
        </w:tc>
        <w:tc>
          <w:tcPr>
            <w:tcW w:w="1153" w:type="pct"/>
            <w:shd w:val="clear" w:color="auto" w:fill="D9D9D9" w:themeFill="background1" w:themeFillShade="D9"/>
            <w:vAlign w:val="center"/>
          </w:tcPr>
          <w:p w14:paraId="0DB3B187" w14:textId="58265A3B" w:rsidR="00227E23" w:rsidRPr="000F6E74" w:rsidRDefault="00227E23" w:rsidP="00DE2CFA">
            <w:pPr>
              <w:spacing w:after="0" w:line="276" w:lineRule="auto"/>
              <w:jc w:val="center"/>
              <w:rPr>
                <w:rFonts w:cs="Arial"/>
                <w:b/>
                <w:bCs/>
                <w:szCs w:val="16"/>
              </w:rPr>
            </w:pPr>
            <w:r w:rsidRPr="000F6E74">
              <w:rPr>
                <w:rFonts w:cs="Arial"/>
                <w:b/>
                <w:bCs/>
                <w:szCs w:val="16"/>
              </w:rPr>
              <w:t>Grade 4</w:t>
            </w:r>
          </w:p>
        </w:tc>
        <w:tc>
          <w:tcPr>
            <w:tcW w:w="1153" w:type="pct"/>
            <w:shd w:val="clear" w:color="auto" w:fill="D9D9D9" w:themeFill="background1" w:themeFillShade="D9"/>
            <w:vAlign w:val="center"/>
          </w:tcPr>
          <w:p w14:paraId="41AE35D3" w14:textId="574BC069" w:rsidR="00227E23" w:rsidRPr="000F6E74" w:rsidRDefault="00227E23" w:rsidP="00DE2CFA">
            <w:pPr>
              <w:spacing w:after="0" w:line="276" w:lineRule="auto"/>
              <w:jc w:val="center"/>
              <w:rPr>
                <w:rFonts w:cs="Arial"/>
                <w:b/>
                <w:bCs/>
                <w:szCs w:val="16"/>
              </w:rPr>
            </w:pPr>
            <w:r w:rsidRPr="000F6E74">
              <w:rPr>
                <w:rFonts w:cs="Arial"/>
                <w:b/>
                <w:bCs/>
                <w:szCs w:val="16"/>
              </w:rPr>
              <w:t>Grade 8</w:t>
            </w:r>
          </w:p>
        </w:tc>
        <w:tc>
          <w:tcPr>
            <w:tcW w:w="1153" w:type="pct"/>
            <w:shd w:val="clear" w:color="auto" w:fill="D9D9D9" w:themeFill="background1" w:themeFillShade="D9"/>
            <w:vAlign w:val="center"/>
          </w:tcPr>
          <w:p w14:paraId="5353B8D1" w14:textId="6B6DA4E3" w:rsidR="00227E23" w:rsidRPr="000F6E74" w:rsidRDefault="00227E23" w:rsidP="00DE2CFA">
            <w:pPr>
              <w:spacing w:after="0" w:line="276" w:lineRule="auto"/>
              <w:jc w:val="center"/>
              <w:rPr>
                <w:rFonts w:cs="Arial"/>
                <w:b/>
                <w:bCs/>
                <w:szCs w:val="16"/>
              </w:rPr>
            </w:pPr>
            <w:r w:rsidRPr="000F6E74">
              <w:rPr>
                <w:rFonts w:cs="Arial"/>
                <w:b/>
                <w:bCs/>
                <w:szCs w:val="16"/>
              </w:rPr>
              <w:t>Grade HS</w:t>
            </w:r>
          </w:p>
        </w:tc>
      </w:tr>
      <w:tr w:rsidR="000F6E74" w:rsidRPr="000F6E74" w14:paraId="3F5839E5" w14:textId="77777777" w:rsidTr="00B07804">
        <w:trPr>
          <w:trHeight w:val="518"/>
        </w:trPr>
        <w:tc>
          <w:tcPr>
            <w:tcW w:w="1541" w:type="pct"/>
            <w:shd w:val="clear" w:color="auto" w:fill="auto"/>
            <w:vAlign w:val="center"/>
          </w:tcPr>
          <w:p w14:paraId="570ED876" w14:textId="46869901" w:rsidR="00BA0CFF" w:rsidRPr="000F6E74" w:rsidRDefault="00BA0CFF" w:rsidP="00DE2CFA">
            <w:pPr>
              <w:spacing w:after="0" w:line="276" w:lineRule="auto"/>
              <w:rPr>
                <w:rFonts w:cs="Arial"/>
                <w:szCs w:val="16"/>
              </w:rPr>
            </w:pPr>
            <w:r w:rsidRPr="000F6E74">
              <w:rPr>
                <w:rFonts w:cs="Arial"/>
                <w:szCs w:val="16"/>
              </w:rPr>
              <w:t>a. Children with IEPs*</w:t>
            </w:r>
          </w:p>
        </w:tc>
        <w:tc>
          <w:tcPr>
            <w:tcW w:w="1153" w:type="pct"/>
            <w:shd w:val="clear" w:color="auto" w:fill="auto"/>
            <w:vAlign w:val="center"/>
          </w:tcPr>
          <w:p w14:paraId="6F9300B4" w14:textId="685B8914" w:rsidR="00BA0CFF" w:rsidRPr="000F6E74" w:rsidRDefault="00BA0CFF" w:rsidP="00DE2CFA">
            <w:pPr>
              <w:spacing w:after="0" w:line="276" w:lineRule="auto"/>
              <w:jc w:val="center"/>
              <w:rPr>
                <w:rFonts w:cs="Arial"/>
                <w:szCs w:val="16"/>
              </w:rPr>
            </w:pPr>
            <w:r w:rsidRPr="000F6E74">
              <w:rPr>
                <w:rFonts w:cs="Arial"/>
                <w:szCs w:val="16"/>
              </w:rPr>
              <w:t>12,034</w:t>
            </w:r>
          </w:p>
        </w:tc>
        <w:tc>
          <w:tcPr>
            <w:tcW w:w="1153" w:type="pct"/>
            <w:shd w:val="clear" w:color="auto" w:fill="auto"/>
            <w:vAlign w:val="center"/>
          </w:tcPr>
          <w:p w14:paraId="758EF16C" w14:textId="1AA6C4C5" w:rsidR="00BA0CFF" w:rsidRPr="000F6E74" w:rsidRDefault="00BA0CFF" w:rsidP="00DE2CFA">
            <w:pPr>
              <w:spacing w:after="0" w:line="276" w:lineRule="auto"/>
              <w:jc w:val="center"/>
              <w:rPr>
                <w:rFonts w:cs="Arial"/>
                <w:szCs w:val="16"/>
              </w:rPr>
            </w:pPr>
            <w:r w:rsidRPr="000F6E74">
              <w:rPr>
                <w:rFonts w:cs="Arial"/>
                <w:szCs w:val="16"/>
              </w:rPr>
              <w:t>12,559</w:t>
            </w:r>
          </w:p>
        </w:tc>
        <w:tc>
          <w:tcPr>
            <w:tcW w:w="1153" w:type="pct"/>
            <w:shd w:val="clear" w:color="auto" w:fill="auto"/>
            <w:vAlign w:val="center"/>
          </w:tcPr>
          <w:p w14:paraId="07D0BC24" w14:textId="0AD780C0" w:rsidR="00BA0CFF" w:rsidRPr="000F6E74" w:rsidRDefault="00BA0CFF" w:rsidP="00DE2CFA">
            <w:pPr>
              <w:spacing w:after="0" w:line="276" w:lineRule="auto"/>
              <w:jc w:val="center"/>
              <w:rPr>
                <w:rFonts w:cs="Arial"/>
                <w:szCs w:val="16"/>
              </w:rPr>
            </w:pPr>
            <w:r w:rsidRPr="000F6E74">
              <w:rPr>
                <w:rFonts w:cs="Arial"/>
                <w:szCs w:val="16"/>
              </w:rPr>
              <w:t>14,661</w:t>
            </w:r>
          </w:p>
        </w:tc>
      </w:tr>
      <w:tr w:rsidR="000F6E74" w:rsidRPr="000F6E74" w14:paraId="1B3F669C" w14:textId="77777777" w:rsidTr="00B07804">
        <w:trPr>
          <w:trHeight w:val="1008"/>
        </w:trPr>
        <w:tc>
          <w:tcPr>
            <w:tcW w:w="1541" w:type="pct"/>
            <w:shd w:val="clear" w:color="auto" w:fill="auto"/>
            <w:vAlign w:val="center"/>
          </w:tcPr>
          <w:p w14:paraId="36B1CD39" w14:textId="08730EA9" w:rsidR="003A67B1" w:rsidRPr="000F6E74" w:rsidRDefault="003A67B1" w:rsidP="00B07804">
            <w:pPr>
              <w:spacing w:after="0" w:line="276" w:lineRule="auto"/>
              <w:rPr>
                <w:rFonts w:cs="Arial"/>
                <w:szCs w:val="16"/>
              </w:rPr>
            </w:pPr>
            <w:r w:rsidRPr="000F6E74">
              <w:rPr>
                <w:rFonts w:cs="Arial"/>
                <w:szCs w:val="16"/>
              </w:rPr>
              <w:lastRenderedPageBreak/>
              <w:t>b. Children with IEPs in regular assessment with no accommodations</w:t>
            </w:r>
          </w:p>
        </w:tc>
        <w:tc>
          <w:tcPr>
            <w:tcW w:w="1153" w:type="pct"/>
            <w:shd w:val="clear" w:color="auto" w:fill="auto"/>
            <w:vAlign w:val="center"/>
          </w:tcPr>
          <w:p w14:paraId="5E1AE50A" w14:textId="410612C1" w:rsidR="003A67B1" w:rsidRPr="000F6E74" w:rsidRDefault="003A67B1" w:rsidP="00B07804">
            <w:pPr>
              <w:spacing w:after="0" w:line="276" w:lineRule="auto"/>
              <w:jc w:val="center"/>
              <w:rPr>
                <w:rFonts w:cs="Arial"/>
                <w:szCs w:val="16"/>
              </w:rPr>
            </w:pPr>
            <w:r w:rsidRPr="000F6E74">
              <w:rPr>
                <w:rFonts w:cs="Arial"/>
                <w:szCs w:val="16"/>
              </w:rPr>
              <w:t>2,976</w:t>
            </w:r>
          </w:p>
        </w:tc>
        <w:tc>
          <w:tcPr>
            <w:tcW w:w="1153" w:type="pct"/>
            <w:shd w:val="clear" w:color="auto" w:fill="auto"/>
            <w:vAlign w:val="center"/>
          </w:tcPr>
          <w:p w14:paraId="48D18899" w14:textId="210A5A25" w:rsidR="003A67B1" w:rsidRPr="000F6E74" w:rsidRDefault="003A67B1" w:rsidP="00B07804">
            <w:pPr>
              <w:spacing w:after="0" w:line="276" w:lineRule="auto"/>
              <w:jc w:val="center"/>
              <w:rPr>
                <w:rFonts w:cs="Arial"/>
                <w:szCs w:val="16"/>
              </w:rPr>
            </w:pPr>
            <w:r w:rsidRPr="000F6E74">
              <w:rPr>
                <w:rFonts w:cs="Arial"/>
                <w:szCs w:val="16"/>
              </w:rPr>
              <w:t>2,920</w:t>
            </w:r>
          </w:p>
        </w:tc>
        <w:tc>
          <w:tcPr>
            <w:tcW w:w="1153" w:type="pct"/>
            <w:shd w:val="clear" w:color="auto" w:fill="auto"/>
            <w:vAlign w:val="center"/>
          </w:tcPr>
          <w:p w14:paraId="297238DD" w14:textId="253103BA" w:rsidR="003A67B1" w:rsidRPr="000F6E74" w:rsidRDefault="003A67B1" w:rsidP="00B07804">
            <w:pPr>
              <w:spacing w:after="0" w:line="276" w:lineRule="auto"/>
              <w:jc w:val="center"/>
              <w:rPr>
                <w:rFonts w:cs="Arial"/>
                <w:szCs w:val="16"/>
              </w:rPr>
            </w:pPr>
            <w:r w:rsidRPr="000F6E74">
              <w:rPr>
                <w:rFonts w:cs="Arial"/>
                <w:szCs w:val="16"/>
              </w:rPr>
              <w:t>4,642</w:t>
            </w:r>
          </w:p>
        </w:tc>
      </w:tr>
      <w:tr w:rsidR="000F6E74" w:rsidRPr="000F6E74" w14:paraId="206D39D6" w14:textId="77777777" w:rsidTr="00B07804">
        <w:trPr>
          <w:trHeight w:val="1008"/>
        </w:trPr>
        <w:tc>
          <w:tcPr>
            <w:tcW w:w="1541" w:type="pct"/>
            <w:shd w:val="clear" w:color="auto" w:fill="auto"/>
            <w:vAlign w:val="center"/>
          </w:tcPr>
          <w:p w14:paraId="6A501FD3" w14:textId="6468B895" w:rsidR="003A67B1" w:rsidRPr="000F6E74" w:rsidRDefault="003A67B1" w:rsidP="00B07804">
            <w:pPr>
              <w:spacing w:after="0" w:line="276" w:lineRule="auto"/>
              <w:rPr>
                <w:rFonts w:cs="Arial"/>
                <w:szCs w:val="16"/>
              </w:rPr>
            </w:pPr>
            <w:r w:rsidRPr="000F6E74">
              <w:rPr>
                <w:rFonts w:cs="Arial"/>
                <w:szCs w:val="16"/>
              </w:rPr>
              <w:t>c. Children with IEPs in regular assessment with accommodations</w:t>
            </w:r>
          </w:p>
        </w:tc>
        <w:tc>
          <w:tcPr>
            <w:tcW w:w="1153" w:type="pct"/>
            <w:shd w:val="clear" w:color="auto" w:fill="auto"/>
            <w:vAlign w:val="center"/>
          </w:tcPr>
          <w:p w14:paraId="1EE1C17D" w14:textId="207E06F2" w:rsidR="003A67B1" w:rsidRPr="000F6E74" w:rsidRDefault="003A67B1" w:rsidP="00B07804">
            <w:pPr>
              <w:spacing w:after="0" w:line="276" w:lineRule="auto"/>
              <w:jc w:val="center"/>
              <w:rPr>
                <w:rFonts w:cs="Arial"/>
                <w:szCs w:val="16"/>
              </w:rPr>
            </w:pPr>
            <w:r w:rsidRPr="000F6E74">
              <w:rPr>
                <w:rFonts w:cs="Arial"/>
                <w:szCs w:val="16"/>
              </w:rPr>
              <w:t>5,919</w:t>
            </w:r>
          </w:p>
        </w:tc>
        <w:tc>
          <w:tcPr>
            <w:tcW w:w="1153" w:type="pct"/>
            <w:shd w:val="clear" w:color="auto" w:fill="auto"/>
            <w:vAlign w:val="center"/>
          </w:tcPr>
          <w:p w14:paraId="55C89819" w14:textId="1DDD2B16" w:rsidR="003A67B1" w:rsidRPr="000F6E74" w:rsidRDefault="003A67B1" w:rsidP="00B07804">
            <w:pPr>
              <w:spacing w:after="0" w:line="276" w:lineRule="auto"/>
              <w:jc w:val="center"/>
              <w:rPr>
                <w:rFonts w:cs="Arial"/>
                <w:szCs w:val="16"/>
              </w:rPr>
            </w:pPr>
            <w:r w:rsidRPr="000F6E74">
              <w:rPr>
                <w:rFonts w:cs="Arial"/>
                <w:szCs w:val="16"/>
              </w:rPr>
              <w:t>4,762</w:t>
            </w:r>
          </w:p>
        </w:tc>
        <w:tc>
          <w:tcPr>
            <w:tcW w:w="1153" w:type="pct"/>
            <w:shd w:val="clear" w:color="auto" w:fill="auto"/>
            <w:vAlign w:val="center"/>
          </w:tcPr>
          <w:p w14:paraId="0B7FE00F" w14:textId="48CAB52C" w:rsidR="003A67B1" w:rsidRPr="000F6E74" w:rsidRDefault="003A67B1" w:rsidP="00B07804">
            <w:pPr>
              <w:spacing w:after="0" w:line="276" w:lineRule="auto"/>
              <w:jc w:val="center"/>
              <w:rPr>
                <w:rFonts w:cs="Arial"/>
                <w:szCs w:val="16"/>
              </w:rPr>
            </w:pPr>
            <w:r w:rsidRPr="000F6E74">
              <w:rPr>
                <w:rFonts w:cs="Arial"/>
                <w:szCs w:val="16"/>
              </w:rPr>
              <w:t>6,227</w:t>
            </w:r>
          </w:p>
        </w:tc>
      </w:tr>
      <w:tr w:rsidR="000F6E74" w:rsidRPr="000F6E74" w14:paraId="7C657E3A" w14:textId="77777777" w:rsidTr="00B07804">
        <w:trPr>
          <w:trHeight w:val="1008"/>
        </w:trPr>
        <w:tc>
          <w:tcPr>
            <w:tcW w:w="1541" w:type="pct"/>
            <w:shd w:val="clear" w:color="auto" w:fill="auto"/>
            <w:vAlign w:val="center"/>
          </w:tcPr>
          <w:p w14:paraId="19508B28" w14:textId="23952C15" w:rsidR="003A67B1" w:rsidRPr="000F6E74" w:rsidRDefault="003A67B1" w:rsidP="00B07804">
            <w:pPr>
              <w:spacing w:after="0" w:line="276" w:lineRule="auto"/>
              <w:rPr>
                <w:rFonts w:cs="Arial"/>
                <w:szCs w:val="16"/>
              </w:rPr>
            </w:pPr>
            <w:r w:rsidRPr="000F6E74">
              <w:rPr>
                <w:rFonts w:cs="Arial"/>
                <w:szCs w:val="16"/>
              </w:rPr>
              <w:t>d. Children with IEPs in alternate assessment against alternate standards</w:t>
            </w:r>
          </w:p>
        </w:tc>
        <w:tc>
          <w:tcPr>
            <w:tcW w:w="1153" w:type="pct"/>
            <w:shd w:val="clear" w:color="auto" w:fill="auto"/>
            <w:vAlign w:val="center"/>
          </w:tcPr>
          <w:p w14:paraId="41F72ACA" w14:textId="2CC8E5F7" w:rsidR="003A67B1" w:rsidRPr="000F6E74" w:rsidRDefault="003A67B1" w:rsidP="00B07804">
            <w:pPr>
              <w:spacing w:after="0" w:line="276" w:lineRule="auto"/>
              <w:jc w:val="center"/>
              <w:rPr>
                <w:rFonts w:cs="Arial"/>
                <w:szCs w:val="16"/>
              </w:rPr>
            </w:pPr>
            <w:r w:rsidRPr="000F6E74">
              <w:rPr>
                <w:rFonts w:cs="Arial"/>
                <w:szCs w:val="16"/>
              </w:rPr>
              <w:t>859</w:t>
            </w:r>
          </w:p>
        </w:tc>
        <w:tc>
          <w:tcPr>
            <w:tcW w:w="1153" w:type="pct"/>
            <w:shd w:val="clear" w:color="auto" w:fill="auto"/>
            <w:vAlign w:val="center"/>
          </w:tcPr>
          <w:p w14:paraId="42315622" w14:textId="322B0162" w:rsidR="003A67B1" w:rsidRPr="000F6E74" w:rsidRDefault="003A67B1" w:rsidP="00B07804">
            <w:pPr>
              <w:spacing w:after="0" w:line="276" w:lineRule="auto"/>
              <w:jc w:val="center"/>
              <w:rPr>
                <w:rFonts w:cs="Arial"/>
                <w:szCs w:val="16"/>
              </w:rPr>
            </w:pPr>
            <w:r w:rsidRPr="000F6E74">
              <w:rPr>
                <w:rFonts w:cs="Arial"/>
                <w:szCs w:val="16"/>
              </w:rPr>
              <w:t>919</w:t>
            </w:r>
          </w:p>
        </w:tc>
        <w:tc>
          <w:tcPr>
            <w:tcW w:w="1153" w:type="pct"/>
            <w:shd w:val="clear" w:color="auto" w:fill="auto"/>
            <w:vAlign w:val="center"/>
          </w:tcPr>
          <w:p w14:paraId="79C22C84" w14:textId="36E0DF79" w:rsidR="003A67B1" w:rsidRPr="000F6E74" w:rsidRDefault="003A67B1" w:rsidP="00B07804">
            <w:pPr>
              <w:spacing w:after="0" w:line="276" w:lineRule="auto"/>
              <w:jc w:val="center"/>
              <w:rPr>
                <w:rFonts w:cs="Arial"/>
                <w:szCs w:val="16"/>
              </w:rPr>
            </w:pPr>
            <w:r w:rsidRPr="000F6E74">
              <w:rPr>
                <w:rFonts w:cs="Arial"/>
                <w:szCs w:val="16"/>
              </w:rPr>
              <w:t>898</w:t>
            </w:r>
          </w:p>
        </w:tc>
      </w:tr>
    </w:tbl>
    <w:p w14:paraId="7EF3D72A" w14:textId="3EC4BB62" w:rsidR="000E2739" w:rsidRPr="000E2739" w:rsidRDefault="000E2739" w:rsidP="00815ACE">
      <w:pPr>
        <w:pStyle w:val="Caption"/>
      </w:pPr>
      <w:r w:rsidRPr="000E2739">
        <w:t>FFY 2020 SPP/APR Data: Reading Assessment (3A)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1079"/>
        <w:gridCol w:w="1165"/>
        <w:gridCol w:w="1716"/>
        <w:gridCol w:w="1437"/>
        <w:gridCol w:w="1049"/>
        <w:gridCol w:w="1049"/>
        <w:gridCol w:w="1051"/>
        <w:gridCol w:w="988"/>
        <w:gridCol w:w="1256"/>
      </w:tblGrid>
      <w:tr w:rsidR="000F6E74" w:rsidRPr="000F6E74" w14:paraId="3BAF6B00" w14:textId="77777777" w:rsidTr="00DE2CFA">
        <w:trPr>
          <w:tblHeader/>
        </w:trPr>
        <w:tc>
          <w:tcPr>
            <w:tcW w:w="500" w:type="pct"/>
            <w:shd w:val="clear" w:color="auto" w:fill="D9D9D9" w:themeFill="background1" w:themeFillShade="D9"/>
            <w:vAlign w:val="center"/>
          </w:tcPr>
          <w:p w14:paraId="3F94C694" w14:textId="77777777" w:rsidR="00763F84" w:rsidRPr="000F6E74" w:rsidRDefault="00763F84" w:rsidP="00DE2CFA">
            <w:pPr>
              <w:spacing w:after="0"/>
              <w:jc w:val="center"/>
              <w:rPr>
                <w:b/>
              </w:rPr>
            </w:pPr>
            <w:r w:rsidRPr="000F6E74">
              <w:rPr>
                <w:b/>
              </w:rPr>
              <w:t>Group</w:t>
            </w:r>
          </w:p>
        </w:tc>
        <w:tc>
          <w:tcPr>
            <w:tcW w:w="540" w:type="pct"/>
            <w:shd w:val="clear" w:color="auto" w:fill="D9D9D9" w:themeFill="background1" w:themeFillShade="D9"/>
            <w:vAlign w:val="center"/>
          </w:tcPr>
          <w:p w14:paraId="4992F96D" w14:textId="77777777" w:rsidR="00763F84" w:rsidRPr="000F6E74" w:rsidRDefault="00763F84" w:rsidP="00DE2CFA">
            <w:pPr>
              <w:spacing w:after="0"/>
              <w:jc w:val="center"/>
              <w:rPr>
                <w:b/>
              </w:rPr>
            </w:pPr>
            <w:r w:rsidRPr="000F6E74">
              <w:rPr>
                <w:b/>
              </w:rPr>
              <w:t>Group Name</w:t>
            </w:r>
          </w:p>
        </w:tc>
        <w:tc>
          <w:tcPr>
            <w:tcW w:w="795" w:type="pct"/>
            <w:shd w:val="clear" w:color="auto" w:fill="D9D9D9" w:themeFill="background1" w:themeFillShade="D9"/>
            <w:vAlign w:val="center"/>
          </w:tcPr>
          <w:p w14:paraId="2677A663" w14:textId="57D25781" w:rsidR="00763F84" w:rsidRPr="000F6E74" w:rsidRDefault="00763F84" w:rsidP="00DE2CFA">
            <w:pPr>
              <w:spacing w:after="0"/>
              <w:jc w:val="center"/>
              <w:rPr>
                <w:b/>
              </w:rPr>
            </w:pPr>
            <w:r w:rsidRPr="000F6E74">
              <w:rPr>
                <w:b/>
              </w:rPr>
              <w:t>Number of Children with IEPs Participating</w:t>
            </w:r>
          </w:p>
        </w:tc>
        <w:tc>
          <w:tcPr>
            <w:tcW w:w="666" w:type="pct"/>
            <w:shd w:val="clear" w:color="auto" w:fill="D9D9D9" w:themeFill="background1" w:themeFillShade="D9"/>
            <w:vAlign w:val="center"/>
          </w:tcPr>
          <w:p w14:paraId="5736EAFF" w14:textId="26F0F47E" w:rsidR="00763F84" w:rsidRPr="000F6E74" w:rsidRDefault="00763F84" w:rsidP="00DE2CFA">
            <w:pPr>
              <w:spacing w:after="0"/>
              <w:jc w:val="center"/>
              <w:rPr>
                <w:b/>
              </w:rPr>
            </w:pPr>
            <w:r w:rsidRPr="000F6E74">
              <w:rPr>
                <w:b/>
              </w:rPr>
              <w:t>Number of Children with IEPs</w:t>
            </w:r>
          </w:p>
        </w:tc>
        <w:tc>
          <w:tcPr>
            <w:tcW w:w="486" w:type="pct"/>
            <w:shd w:val="clear" w:color="auto" w:fill="D9D9D9" w:themeFill="background1" w:themeFillShade="D9"/>
            <w:vAlign w:val="center"/>
          </w:tcPr>
          <w:p w14:paraId="70E219F7" w14:textId="77777777" w:rsidR="00763F84" w:rsidRPr="000F6E74" w:rsidRDefault="00763F84" w:rsidP="00DE2CFA">
            <w:pPr>
              <w:spacing w:after="0"/>
              <w:jc w:val="center"/>
              <w:rPr>
                <w:b/>
              </w:rPr>
            </w:pPr>
            <w:r w:rsidRPr="000F6E74">
              <w:rPr>
                <w:b/>
              </w:rPr>
              <w:t>FFY 2019 Data</w:t>
            </w:r>
          </w:p>
        </w:tc>
        <w:tc>
          <w:tcPr>
            <w:tcW w:w="486" w:type="pct"/>
            <w:shd w:val="clear" w:color="auto" w:fill="D9D9D9" w:themeFill="background1" w:themeFillShade="D9"/>
            <w:vAlign w:val="center"/>
          </w:tcPr>
          <w:p w14:paraId="2D0B1710" w14:textId="77777777" w:rsidR="00763F84" w:rsidRPr="000F6E74" w:rsidRDefault="00763F84" w:rsidP="00DE2CFA">
            <w:pPr>
              <w:spacing w:after="0"/>
              <w:jc w:val="center"/>
              <w:rPr>
                <w:b/>
              </w:rPr>
            </w:pPr>
            <w:r w:rsidRPr="000F6E74">
              <w:rPr>
                <w:b/>
              </w:rPr>
              <w:t>FFY 2020 Target</w:t>
            </w:r>
          </w:p>
        </w:tc>
        <w:tc>
          <w:tcPr>
            <w:tcW w:w="487" w:type="pct"/>
            <w:shd w:val="clear" w:color="auto" w:fill="D9D9D9" w:themeFill="background1" w:themeFillShade="D9"/>
            <w:vAlign w:val="center"/>
          </w:tcPr>
          <w:p w14:paraId="1D807DE2" w14:textId="77777777" w:rsidR="00763F84" w:rsidRPr="000F6E74" w:rsidRDefault="00763F84" w:rsidP="00DE2CFA">
            <w:pPr>
              <w:spacing w:after="0"/>
              <w:jc w:val="center"/>
              <w:rPr>
                <w:b/>
              </w:rPr>
            </w:pPr>
            <w:r w:rsidRPr="000F6E74">
              <w:rPr>
                <w:b/>
              </w:rPr>
              <w:t>FFY 2020 Data</w:t>
            </w:r>
          </w:p>
        </w:tc>
        <w:tc>
          <w:tcPr>
            <w:tcW w:w="458" w:type="pct"/>
            <w:shd w:val="clear" w:color="auto" w:fill="D9D9D9" w:themeFill="background1" w:themeFillShade="D9"/>
            <w:vAlign w:val="center"/>
          </w:tcPr>
          <w:p w14:paraId="6569FC00" w14:textId="77777777" w:rsidR="00763F84" w:rsidRPr="000F6E74" w:rsidRDefault="00763F84" w:rsidP="00DE2CFA">
            <w:pPr>
              <w:spacing w:after="0"/>
              <w:jc w:val="center"/>
              <w:rPr>
                <w:b/>
              </w:rPr>
            </w:pPr>
            <w:r w:rsidRPr="000F6E74">
              <w:rPr>
                <w:b/>
              </w:rPr>
              <w:t>Status</w:t>
            </w:r>
          </w:p>
        </w:tc>
        <w:tc>
          <w:tcPr>
            <w:tcW w:w="582" w:type="pct"/>
            <w:shd w:val="clear" w:color="auto" w:fill="D9D9D9" w:themeFill="background1" w:themeFillShade="D9"/>
            <w:vAlign w:val="center"/>
          </w:tcPr>
          <w:p w14:paraId="2DF56EFB" w14:textId="77777777" w:rsidR="00763F84" w:rsidRPr="000F6E74" w:rsidRDefault="00763F84" w:rsidP="00DE2CFA">
            <w:pPr>
              <w:spacing w:after="0"/>
              <w:jc w:val="center"/>
              <w:rPr>
                <w:b/>
              </w:rPr>
            </w:pPr>
            <w:r w:rsidRPr="000F6E74">
              <w:rPr>
                <w:b/>
              </w:rPr>
              <w:t>Slippage</w:t>
            </w:r>
          </w:p>
        </w:tc>
      </w:tr>
      <w:tr w:rsidR="000F6E74" w:rsidRPr="000F6E74" w14:paraId="376FC28A" w14:textId="77777777" w:rsidTr="00B07804">
        <w:trPr>
          <w:trHeight w:val="576"/>
        </w:trPr>
        <w:tc>
          <w:tcPr>
            <w:tcW w:w="500" w:type="pct"/>
            <w:shd w:val="clear" w:color="auto" w:fill="auto"/>
            <w:vAlign w:val="center"/>
          </w:tcPr>
          <w:p w14:paraId="53A8B458" w14:textId="77777777" w:rsidR="00892DD7" w:rsidRPr="000F6E74" w:rsidRDefault="00892DD7" w:rsidP="00DE2CFA">
            <w:pPr>
              <w:pStyle w:val="Default"/>
              <w:spacing w:line="276" w:lineRule="auto"/>
              <w:jc w:val="center"/>
              <w:rPr>
                <w:rFonts w:eastAsiaTheme="minorHAnsi"/>
                <w:color w:val="auto"/>
              </w:rPr>
            </w:pPr>
            <w:r w:rsidRPr="000F6E74">
              <w:rPr>
                <w:b/>
                <w:color w:val="auto"/>
              </w:rPr>
              <w:t>A</w:t>
            </w:r>
          </w:p>
        </w:tc>
        <w:tc>
          <w:tcPr>
            <w:tcW w:w="540" w:type="pct"/>
            <w:shd w:val="clear" w:color="auto" w:fill="auto"/>
            <w:vAlign w:val="center"/>
          </w:tcPr>
          <w:p w14:paraId="0A1B698A" w14:textId="5AC06767" w:rsidR="00892DD7" w:rsidRPr="000F6E74" w:rsidDel="00DE5045" w:rsidRDefault="00892DD7" w:rsidP="00DE2CFA">
            <w:pPr>
              <w:spacing w:after="0"/>
              <w:jc w:val="center"/>
              <w:rPr>
                <w:rFonts w:cs="Arial"/>
                <w:szCs w:val="16"/>
              </w:rPr>
            </w:pPr>
            <w:r w:rsidRPr="000F6E74">
              <w:rPr>
                <w:rFonts w:cs="Arial"/>
                <w:szCs w:val="16"/>
              </w:rPr>
              <w:t>Grade 4</w:t>
            </w:r>
          </w:p>
        </w:tc>
        <w:tc>
          <w:tcPr>
            <w:tcW w:w="795" w:type="pct"/>
            <w:shd w:val="clear" w:color="auto" w:fill="auto"/>
            <w:vAlign w:val="center"/>
          </w:tcPr>
          <w:p w14:paraId="58AC973E" w14:textId="3ED347A2" w:rsidR="00892DD7" w:rsidRPr="000F6E74" w:rsidRDefault="00892DD7" w:rsidP="00DE2CFA">
            <w:pPr>
              <w:spacing w:after="0"/>
              <w:jc w:val="center"/>
              <w:rPr>
                <w:rFonts w:cs="Arial"/>
                <w:szCs w:val="16"/>
              </w:rPr>
            </w:pPr>
            <w:r w:rsidRPr="000F6E74">
              <w:rPr>
                <w:rFonts w:cs="Arial"/>
                <w:szCs w:val="16"/>
              </w:rPr>
              <w:t>9,807</w:t>
            </w:r>
          </w:p>
        </w:tc>
        <w:tc>
          <w:tcPr>
            <w:tcW w:w="666" w:type="pct"/>
            <w:shd w:val="clear" w:color="auto" w:fill="auto"/>
            <w:vAlign w:val="center"/>
          </w:tcPr>
          <w:p w14:paraId="703303A1" w14:textId="4183E48D" w:rsidR="00892DD7" w:rsidRPr="000F6E74" w:rsidRDefault="00892DD7" w:rsidP="00DE2CFA">
            <w:pPr>
              <w:spacing w:after="0"/>
              <w:jc w:val="center"/>
              <w:rPr>
                <w:rFonts w:cs="Arial"/>
                <w:szCs w:val="16"/>
              </w:rPr>
            </w:pPr>
            <w:r w:rsidRPr="000F6E74">
              <w:rPr>
                <w:rFonts w:cs="Arial"/>
                <w:szCs w:val="16"/>
              </w:rPr>
              <w:t>12,006</w:t>
            </w:r>
          </w:p>
        </w:tc>
        <w:tc>
          <w:tcPr>
            <w:tcW w:w="486" w:type="pct"/>
            <w:shd w:val="clear" w:color="auto" w:fill="auto"/>
            <w:vAlign w:val="center"/>
          </w:tcPr>
          <w:p w14:paraId="701F3D15" w14:textId="73731BD1" w:rsidR="00892DD7" w:rsidRPr="000F6E74" w:rsidRDefault="0052002E" w:rsidP="00DE2CFA">
            <w:pPr>
              <w:spacing w:after="0"/>
              <w:jc w:val="center"/>
              <w:rPr>
                <w:rFonts w:cs="Arial"/>
                <w:szCs w:val="16"/>
              </w:rPr>
            </w:pPr>
            <w:r w:rsidRPr="000F6E74">
              <w:rPr>
                <w:rFonts w:cs="Arial"/>
                <w:szCs w:val="16"/>
              </w:rPr>
              <w:t>N/A</w:t>
            </w:r>
          </w:p>
        </w:tc>
        <w:tc>
          <w:tcPr>
            <w:tcW w:w="486" w:type="pct"/>
            <w:shd w:val="clear" w:color="auto" w:fill="auto"/>
            <w:vAlign w:val="center"/>
          </w:tcPr>
          <w:p w14:paraId="797749BC" w14:textId="696E92A3" w:rsidR="00892DD7" w:rsidRPr="000F6E74" w:rsidRDefault="00892DD7" w:rsidP="00DE2CFA">
            <w:pPr>
              <w:spacing w:after="0"/>
              <w:jc w:val="center"/>
              <w:rPr>
                <w:rFonts w:cs="Arial"/>
                <w:szCs w:val="16"/>
              </w:rPr>
            </w:pPr>
            <w:r w:rsidRPr="000F6E74">
              <w:rPr>
                <w:rFonts w:cs="Arial"/>
                <w:szCs w:val="16"/>
              </w:rPr>
              <w:t>95.00%</w:t>
            </w:r>
          </w:p>
        </w:tc>
        <w:tc>
          <w:tcPr>
            <w:tcW w:w="487" w:type="pct"/>
            <w:shd w:val="clear" w:color="auto" w:fill="auto"/>
            <w:vAlign w:val="center"/>
          </w:tcPr>
          <w:p w14:paraId="70549BEB" w14:textId="587EEF17" w:rsidR="00892DD7" w:rsidRPr="000F6E74" w:rsidRDefault="00892DD7" w:rsidP="00DE2CFA">
            <w:pPr>
              <w:spacing w:after="0"/>
              <w:jc w:val="center"/>
              <w:rPr>
                <w:rFonts w:cs="Arial"/>
                <w:szCs w:val="16"/>
              </w:rPr>
            </w:pPr>
            <w:r w:rsidRPr="000F6E74">
              <w:rPr>
                <w:rFonts w:cs="Arial"/>
                <w:szCs w:val="16"/>
              </w:rPr>
              <w:t>81.68%</w:t>
            </w:r>
          </w:p>
        </w:tc>
        <w:tc>
          <w:tcPr>
            <w:tcW w:w="458" w:type="pct"/>
            <w:shd w:val="clear" w:color="auto" w:fill="auto"/>
            <w:vAlign w:val="center"/>
          </w:tcPr>
          <w:p w14:paraId="78EE727D" w14:textId="62F0BE75" w:rsidR="00892DD7" w:rsidRPr="000F6E74" w:rsidRDefault="00892DD7" w:rsidP="00DE2CFA">
            <w:pPr>
              <w:spacing w:after="0"/>
              <w:jc w:val="center"/>
              <w:rPr>
                <w:rFonts w:cs="Arial"/>
                <w:szCs w:val="16"/>
              </w:rPr>
            </w:pPr>
            <w:r w:rsidRPr="000F6E74">
              <w:rPr>
                <w:rFonts w:cs="Arial"/>
                <w:szCs w:val="16"/>
              </w:rPr>
              <w:t>N/A</w:t>
            </w:r>
          </w:p>
        </w:tc>
        <w:tc>
          <w:tcPr>
            <w:tcW w:w="582" w:type="pct"/>
            <w:shd w:val="clear" w:color="auto" w:fill="auto"/>
            <w:vAlign w:val="center"/>
          </w:tcPr>
          <w:p w14:paraId="6EAB29CE" w14:textId="27C0C9B3" w:rsidR="00892DD7" w:rsidRPr="000F6E74" w:rsidRDefault="00892DD7" w:rsidP="00DE2CFA">
            <w:pPr>
              <w:spacing w:after="0"/>
              <w:jc w:val="center"/>
              <w:rPr>
                <w:rFonts w:cs="Arial"/>
                <w:szCs w:val="16"/>
              </w:rPr>
            </w:pPr>
            <w:r w:rsidRPr="000F6E74">
              <w:rPr>
                <w:rFonts w:cs="Arial"/>
                <w:szCs w:val="16"/>
              </w:rPr>
              <w:t>N/A</w:t>
            </w:r>
          </w:p>
        </w:tc>
      </w:tr>
      <w:tr w:rsidR="000F6E74" w:rsidRPr="000F6E74" w14:paraId="56F1A9B2" w14:textId="77777777" w:rsidTr="00B07804">
        <w:trPr>
          <w:trHeight w:val="576"/>
        </w:trPr>
        <w:tc>
          <w:tcPr>
            <w:tcW w:w="500" w:type="pct"/>
            <w:shd w:val="clear" w:color="auto" w:fill="auto"/>
            <w:vAlign w:val="center"/>
          </w:tcPr>
          <w:p w14:paraId="558707F7" w14:textId="77777777" w:rsidR="00892DD7" w:rsidRPr="000F6E74" w:rsidRDefault="00892DD7" w:rsidP="00DE2CFA">
            <w:pPr>
              <w:pStyle w:val="Default"/>
              <w:spacing w:line="276" w:lineRule="auto"/>
              <w:jc w:val="center"/>
              <w:rPr>
                <w:rFonts w:eastAsiaTheme="minorHAnsi"/>
                <w:color w:val="auto"/>
              </w:rPr>
            </w:pPr>
            <w:r w:rsidRPr="000F6E74">
              <w:rPr>
                <w:b/>
                <w:color w:val="auto"/>
              </w:rPr>
              <w:t>B</w:t>
            </w:r>
          </w:p>
        </w:tc>
        <w:tc>
          <w:tcPr>
            <w:tcW w:w="540" w:type="pct"/>
            <w:shd w:val="clear" w:color="auto" w:fill="auto"/>
            <w:vAlign w:val="center"/>
          </w:tcPr>
          <w:p w14:paraId="384974C9" w14:textId="0A4570C5" w:rsidR="00892DD7" w:rsidRPr="000F6E74" w:rsidDel="00DE5045" w:rsidRDefault="00892DD7" w:rsidP="00DE2CFA">
            <w:pPr>
              <w:spacing w:after="0"/>
              <w:jc w:val="center"/>
              <w:rPr>
                <w:rFonts w:cs="Arial"/>
                <w:szCs w:val="16"/>
              </w:rPr>
            </w:pPr>
            <w:r w:rsidRPr="000F6E74">
              <w:rPr>
                <w:rFonts w:cs="Arial"/>
                <w:szCs w:val="16"/>
              </w:rPr>
              <w:t>Grade 8</w:t>
            </w:r>
          </w:p>
        </w:tc>
        <w:tc>
          <w:tcPr>
            <w:tcW w:w="795" w:type="pct"/>
            <w:shd w:val="clear" w:color="auto" w:fill="auto"/>
            <w:vAlign w:val="center"/>
          </w:tcPr>
          <w:p w14:paraId="751205A1" w14:textId="2503E0F4" w:rsidR="00892DD7" w:rsidRPr="000F6E74" w:rsidRDefault="00892DD7" w:rsidP="00DE2CFA">
            <w:pPr>
              <w:spacing w:after="0"/>
              <w:jc w:val="center"/>
              <w:rPr>
                <w:rFonts w:cs="Arial"/>
                <w:szCs w:val="16"/>
              </w:rPr>
            </w:pPr>
            <w:r w:rsidRPr="000F6E74">
              <w:rPr>
                <w:rFonts w:cs="Arial"/>
                <w:szCs w:val="16"/>
              </w:rPr>
              <w:t>8,430</w:t>
            </w:r>
          </w:p>
        </w:tc>
        <w:tc>
          <w:tcPr>
            <w:tcW w:w="666" w:type="pct"/>
            <w:shd w:val="clear" w:color="auto" w:fill="auto"/>
            <w:vAlign w:val="center"/>
          </w:tcPr>
          <w:p w14:paraId="4F6EDDAF" w14:textId="20D9AAA3" w:rsidR="00892DD7" w:rsidRPr="000F6E74" w:rsidRDefault="00892DD7" w:rsidP="00DE2CFA">
            <w:pPr>
              <w:spacing w:after="0"/>
              <w:jc w:val="center"/>
              <w:rPr>
                <w:rFonts w:cs="Arial"/>
                <w:szCs w:val="16"/>
              </w:rPr>
            </w:pPr>
            <w:r w:rsidRPr="000F6E74">
              <w:rPr>
                <w:rFonts w:cs="Arial"/>
                <w:szCs w:val="16"/>
              </w:rPr>
              <w:t>12,488</w:t>
            </w:r>
          </w:p>
        </w:tc>
        <w:tc>
          <w:tcPr>
            <w:tcW w:w="486" w:type="pct"/>
            <w:shd w:val="clear" w:color="auto" w:fill="auto"/>
            <w:vAlign w:val="center"/>
          </w:tcPr>
          <w:p w14:paraId="6B3B6780" w14:textId="21FF0422" w:rsidR="00892DD7" w:rsidRPr="000F6E74" w:rsidRDefault="0052002E" w:rsidP="00DE2CFA">
            <w:pPr>
              <w:spacing w:after="0"/>
              <w:jc w:val="center"/>
              <w:rPr>
                <w:rFonts w:cs="Arial"/>
                <w:szCs w:val="16"/>
              </w:rPr>
            </w:pPr>
            <w:r w:rsidRPr="000F6E74">
              <w:rPr>
                <w:rFonts w:cs="Arial"/>
                <w:szCs w:val="16"/>
              </w:rPr>
              <w:t>N/A</w:t>
            </w:r>
          </w:p>
        </w:tc>
        <w:tc>
          <w:tcPr>
            <w:tcW w:w="486" w:type="pct"/>
            <w:shd w:val="clear" w:color="auto" w:fill="auto"/>
            <w:vAlign w:val="center"/>
          </w:tcPr>
          <w:p w14:paraId="60FE8D0A" w14:textId="26748E4B" w:rsidR="00892DD7" w:rsidRPr="000F6E74" w:rsidRDefault="00892DD7" w:rsidP="00DE2CFA">
            <w:pPr>
              <w:spacing w:after="0"/>
              <w:jc w:val="center"/>
              <w:rPr>
                <w:rFonts w:cs="Arial"/>
                <w:szCs w:val="16"/>
              </w:rPr>
            </w:pPr>
            <w:r w:rsidRPr="000F6E74">
              <w:rPr>
                <w:rFonts w:cs="Arial"/>
                <w:szCs w:val="16"/>
              </w:rPr>
              <w:t>95.00%</w:t>
            </w:r>
          </w:p>
        </w:tc>
        <w:tc>
          <w:tcPr>
            <w:tcW w:w="487" w:type="pct"/>
            <w:shd w:val="clear" w:color="auto" w:fill="auto"/>
            <w:vAlign w:val="center"/>
          </w:tcPr>
          <w:p w14:paraId="20759612" w14:textId="360FBC9D" w:rsidR="00892DD7" w:rsidRPr="000F6E74" w:rsidRDefault="00892DD7" w:rsidP="00DE2CFA">
            <w:pPr>
              <w:spacing w:after="0"/>
              <w:jc w:val="center"/>
              <w:rPr>
                <w:rFonts w:cs="Arial"/>
                <w:szCs w:val="16"/>
              </w:rPr>
            </w:pPr>
            <w:r w:rsidRPr="000F6E74">
              <w:rPr>
                <w:rFonts w:cs="Arial"/>
                <w:szCs w:val="16"/>
              </w:rPr>
              <w:t>67.50%</w:t>
            </w:r>
          </w:p>
        </w:tc>
        <w:tc>
          <w:tcPr>
            <w:tcW w:w="458" w:type="pct"/>
            <w:shd w:val="clear" w:color="auto" w:fill="auto"/>
            <w:vAlign w:val="center"/>
          </w:tcPr>
          <w:p w14:paraId="5A0AF76C" w14:textId="316463B4" w:rsidR="00892DD7" w:rsidRPr="000F6E74" w:rsidRDefault="00892DD7" w:rsidP="00DE2CFA">
            <w:pPr>
              <w:spacing w:after="0"/>
              <w:jc w:val="center"/>
              <w:rPr>
                <w:rFonts w:cs="Arial"/>
                <w:szCs w:val="16"/>
              </w:rPr>
            </w:pPr>
            <w:r w:rsidRPr="000F6E74">
              <w:rPr>
                <w:rFonts w:cs="Arial"/>
                <w:szCs w:val="16"/>
              </w:rPr>
              <w:t>N/A</w:t>
            </w:r>
          </w:p>
        </w:tc>
        <w:tc>
          <w:tcPr>
            <w:tcW w:w="582" w:type="pct"/>
            <w:shd w:val="clear" w:color="auto" w:fill="auto"/>
            <w:vAlign w:val="center"/>
          </w:tcPr>
          <w:p w14:paraId="71C2BDA0" w14:textId="22F354AD" w:rsidR="00892DD7" w:rsidRPr="000F6E74" w:rsidRDefault="00892DD7" w:rsidP="00DE2CFA">
            <w:pPr>
              <w:spacing w:after="0"/>
              <w:jc w:val="center"/>
              <w:rPr>
                <w:rFonts w:cs="Arial"/>
                <w:szCs w:val="16"/>
              </w:rPr>
            </w:pPr>
            <w:r w:rsidRPr="000F6E74">
              <w:rPr>
                <w:rFonts w:cs="Arial"/>
                <w:szCs w:val="16"/>
              </w:rPr>
              <w:t>N/A</w:t>
            </w:r>
          </w:p>
        </w:tc>
      </w:tr>
      <w:tr w:rsidR="000F6E74" w:rsidRPr="000F6E74" w14:paraId="7455692E" w14:textId="77777777" w:rsidTr="00B07804">
        <w:trPr>
          <w:trHeight w:val="576"/>
        </w:trPr>
        <w:tc>
          <w:tcPr>
            <w:tcW w:w="500" w:type="pct"/>
            <w:shd w:val="clear" w:color="auto" w:fill="auto"/>
            <w:vAlign w:val="center"/>
          </w:tcPr>
          <w:p w14:paraId="1007F433" w14:textId="77777777" w:rsidR="00892DD7" w:rsidRPr="000F6E74" w:rsidRDefault="00892DD7" w:rsidP="00DE2CFA">
            <w:pPr>
              <w:pStyle w:val="Default"/>
              <w:spacing w:line="276" w:lineRule="auto"/>
              <w:jc w:val="center"/>
              <w:rPr>
                <w:rFonts w:eastAsiaTheme="minorHAnsi"/>
                <w:color w:val="auto"/>
              </w:rPr>
            </w:pPr>
            <w:r w:rsidRPr="000F6E74">
              <w:rPr>
                <w:b/>
                <w:color w:val="auto"/>
              </w:rPr>
              <w:t>C</w:t>
            </w:r>
          </w:p>
        </w:tc>
        <w:tc>
          <w:tcPr>
            <w:tcW w:w="540" w:type="pct"/>
            <w:shd w:val="clear" w:color="auto" w:fill="auto"/>
            <w:vAlign w:val="center"/>
          </w:tcPr>
          <w:p w14:paraId="1C2FF689" w14:textId="7B5617BF" w:rsidR="00892DD7" w:rsidRPr="000F6E74" w:rsidDel="00DE5045" w:rsidRDefault="00892DD7" w:rsidP="00DE2CFA">
            <w:pPr>
              <w:spacing w:after="0"/>
              <w:jc w:val="center"/>
              <w:rPr>
                <w:rFonts w:cs="Arial"/>
                <w:szCs w:val="16"/>
              </w:rPr>
            </w:pPr>
            <w:r w:rsidRPr="000F6E74">
              <w:rPr>
                <w:rFonts w:cs="Arial"/>
                <w:szCs w:val="16"/>
              </w:rPr>
              <w:t>Grade HS</w:t>
            </w:r>
          </w:p>
        </w:tc>
        <w:tc>
          <w:tcPr>
            <w:tcW w:w="795" w:type="pct"/>
            <w:shd w:val="clear" w:color="auto" w:fill="auto"/>
            <w:vAlign w:val="center"/>
          </w:tcPr>
          <w:p w14:paraId="7711AD79" w14:textId="30D9E4B6" w:rsidR="00892DD7" w:rsidRPr="000F6E74" w:rsidRDefault="00892DD7" w:rsidP="00DE2CFA">
            <w:pPr>
              <w:spacing w:after="0"/>
              <w:jc w:val="center"/>
              <w:rPr>
                <w:rFonts w:cs="Arial"/>
                <w:szCs w:val="16"/>
              </w:rPr>
            </w:pPr>
            <w:r w:rsidRPr="000F6E74">
              <w:rPr>
                <w:rFonts w:cs="Arial"/>
                <w:szCs w:val="16"/>
              </w:rPr>
              <w:t>9,232</w:t>
            </w:r>
          </w:p>
        </w:tc>
        <w:tc>
          <w:tcPr>
            <w:tcW w:w="666" w:type="pct"/>
            <w:shd w:val="clear" w:color="auto" w:fill="auto"/>
            <w:vAlign w:val="center"/>
          </w:tcPr>
          <w:p w14:paraId="7C38F4A3" w14:textId="3227EA5E" w:rsidR="00892DD7" w:rsidRPr="000F6E74" w:rsidRDefault="00892DD7" w:rsidP="00DE2CFA">
            <w:pPr>
              <w:spacing w:after="0"/>
              <w:jc w:val="center"/>
              <w:rPr>
                <w:rFonts w:cs="Arial"/>
                <w:szCs w:val="16"/>
              </w:rPr>
            </w:pPr>
            <w:r w:rsidRPr="000F6E74">
              <w:rPr>
                <w:rFonts w:cs="Arial"/>
                <w:szCs w:val="16"/>
              </w:rPr>
              <w:t>11,156</w:t>
            </w:r>
          </w:p>
        </w:tc>
        <w:tc>
          <w:tcPr>
            <w:tcW w:w="486" w:type="pct"/>
            <w:shd w:val="clear" w:color="auto" w:fill="auto"/>
            <w:vAlign w:val="center"/>
          </w:tcPr>
          <w:p w14:paraId="300E10D2" w14:textId="4F4E52B5" w:rsidR="00892DD7" w:rsidRPr="000F6E74" w:rsidRDefault="0052002E" w:rsidP="00DE2CFA">
            <w:pPr>
              <w:spacing w:after="0"/>
              <w:jc w:val="center"/>
              <w:rPr>
                <w:rFonts w:cs="Arial"/>
                <w:szCs w:val="16"/>
              </w:rPr>
            </w:pPr>
            <w:r w:rsidRPr="000F6E74">
              <w:rPr>
                <w:rFonts w:cs="Arial"/>
                <w:szCs w:val="16"/>
              </w:rPr>
              <w:t>N/A</w:t>
            </w:r>
          </w:p>
        </w:tc>
        <w:tc>
          <w:tcPr>
            <w:tcW w:w="486" w:type="pct"/>
            <w:shd w:val="clear" w:color="auto" w:fill="auto"/>
            <w:vAlign w:val="center"/>
          </w:tcPr>
          <w:p w14:paraId="26A808A8" w14:textId="46CE5D7C" w:rsidR="00892DD7" w:rsidRPr="000F6E74" w:rsidRDefault="00892DD7" w:rsidP="00DE2CFA">
            <w:pPr>
              <w:spacing w:after="0"/>
              <w:jc w:val="center"/>
              <w:rPr>
                <w:rFonts w:cs="Arial"/>
                <w:szCs w:val="16"/>
              </w:rPr>
            </w:pPr>
            <w:r w:rsidRPr="000F6E74">
              <w:rPr>
                <w:rFonts w:cs="Arial"/>
                <w:szCs w:val="16"/>
              </w:rPr>
              <w:t>95.00%</w:t>
            </w:r>
          </w:p>
        </w:tc>
        <w:tc>
          <w:tcPr>
            <w:tcW w:w="487" w:type="pct"/>
            <w:shd w:val="clear" w:color="auto" w:fill="auto"/>
            <w:vAlign w:val="center"/>
          </w:tcPr>
          <w:p w14:paraId="1760C9A2" w14:textId="77DCB745" w:rsidR="00892DD7" w:rsidRPr="000F6E74" w:rsidRDefault="00892DD7" w:rsidP="00DE2CFA">
            <w:pPr>
              <w:spacing w:after="0"/>
              <w:jc w:val="center"/>
              <w:rPr>
                <w:rFonts w:cs="Arial"/>
                <w:szCs w:val="16"/>
              </w:rPr>
            </w:pPr>
            <w:r w:rsidRPr="000F6E74">
              <w:rPr>
                <w:rFonts w:cs="Arial"/>
                <w:szCs w:val="16"/>
              </w:rPr>
              <w:t>82.75%</w:t>
            </w:r>
          </w:p>
        </w:tc>
        <w:tc>
          <w:tcPr>
            <w:tcW w:w="458" w:type="pct"/>
            <w:shd w:val="clear" w:color="auto" w:fill="auto"/>
            <w:vAlign w:val="center"/>
          </w:tcPr>
          <w:p w14:paraId="772412F5" w14:textId="7F0E1366" w:rsidR="00892DD7" w:rsidRPr="000F6E74" w:rsidRDefault="00892DD7" w:rsidP="00DE2CFA">
            <w:pPr>
              <w:spacing w:after="0"/>
              <w:jc w:val="center"/>
              <w:rPr>
                <w:rFonts w:cs="Arial"/>
                <w:szCs w:val="16"/>
              </w:rPr>
            </w:pPr>
            <w:r w:rsidRPr="000F6E74">
              <w:rPr>
                <w:rFonts w:cs="Arial"/>
                <w:szCs w:val="16"/>
              </w:rPr>
              <w:t>N/A</w:t>
            </w:r>
          </w:p>
        </w:tc>
        <w:tc>
          <w:tcPr>
            <w:tcW w:w="582" w:type="pct"/>
            <w:shd w:val="clear" w:color="auto" w:fill="auto"/>
            <w:vAlign w:val="center"/>
          </w:tcPr>
          <w:p w14:paraId="3DF8294E" w14:textId="7BA8B5E3" w:rsidR="00892DD7" w:rsidRPr="000F6E74" w:rsidRDefault="00892DD7" w:rsidP="00DE2CFA">
            <w:pPr>
              <w:spacing w:after="0"/>
              <w:jc w:val="center"/>
              <w:rPr>
                <w:rFonts w:cs="Arial"/>
                <w:szCs w:val="16"/>
              </w:rPr>
            </w:pPr>
            <w:r w:rsidRPr="000F6E74">
              <w:rPr>
                <w:rFonts w:cs="Arial"/>
                <w:szCs w:val="16"/>
              </w:rPr>
              <w:t>N/A</w:t>
            </w:r>
          </w:p>
        </w:tc>
      </w:tr>
    </w:tbl>
    <w:p w14:paraId="5957FF31" w14:textId="460E4ACD" w:rsidR="000E2739" w:rsidRPr="000E2739" w:rsidRDefault="000E2739" w:rsidP="00815ACE">
      <w:pPr>
        <w:pStyle w:val="Caption"/>
      </w:pPr>
      <w:r w:rsidRPr="000E2739">
        <w:t>FFY 2020 SPP/APR Data: Math Assessment (3A)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1078"/>
        <w:gridCol w:w="1172"/>
        <w:gridCol w:w="1707"/>
        <w:gridCol w:w="1439"/>
        <w:gridCol w:w="1079"/>
        <w:gridCol w:w="991"/>
        <w:gridCol w:w="1079"/>
        <w:gridCol w:w="991"/>
        <w:gridCol w:w="1254"/>
      </w:tblGrid>
      <w:tr w:rsidR="000F6E74" w:rsidRPr="000F6E74" w14:paraId="681A67CD" w14:textId="77777777" w:rsidTr="0052002E">
        <w:trPr>
          <w:tblHeader/>
        </w:trPr>
        <w:tc>
          <w:tcPr>
            <w:tcW w:w="500" w:type="pct"/>
            <w:shd w:val="clear" w:color="auto" w:fill="D9D9D9" w:themeFill="background1" w:themeFillShade="D9"/>
            <w:vAlign w:val="center"/>
          </w:tcPr>
          <w:p w14:paraId="32EBDF09" w14:textId="77777777" w:rsidR="00F17D5E" w:rsidRPr="000F6E74" w:rsidRDefault="00F17D5E" w:rsidP="00DE2CFA">
            <w:pPr>
              <w:spacing w:after="0"/>
              <w:jc w:val="center"/>
              <w:rPr>
                <w:b/>
              </w:rPr>
            </w:pPr>
            <w:r w:rsidRPr="000F6E74">
              <w:rPr>
                <w:b/>
              </w:rPr>
              <w:t>Group</w:t>
            </w:r>
          </w:p>
        </w:tc>
        <w:tc>
          <w:tcPr>
            <w:tcW w:w="543" w:type="pct"/>
            <w:shd w:val="clear" w:color="auto" w:fill="D9D9D9" w:themeFill="background1" w:themeFillShade="D9"/>
            <w:vAlign w:val="center"/>
          </w:tcPr>
          <w:p w14:paraId="1DD83044" w14:textId="77777777" w:rsidR="00F17D5E" w:rsidRPr="000F6E74" w:rsidRDefault="00F17D5E" w:rsidP="00DE2CFA">
            <w:pPr>
              <w:spacing w:after="0"/>
              <w:jc w:val="center"/>
              <w:rPr>
                <w:b/>
              </w:rPr>
            </w:pPr>
            <w:r w:rsidRPr="000F6E74">
              <w:rPr>
                <w:b/>
              </w:rPr>
              <w:t>Group Name</w:t>
            </w:r>
          </w:p>
        </w:tc>
        <w:tc>
          <w:tcPr>
            <w:tcW w:w="791" w:type="pct"/>
            <w:shd w:val="clear" w:color="auto" w:fill="D9D9D9" w:themeFill="background1" w:themeFillShade="D9"/>
            <w:vAlign w:val="center"/>
          </w:tcPr>
          <w:p w14:paraId="09C06BEF" w14:textId="77777777" w:rsidR="00F17D5E" w:rsidRPr="000F6E74" w:rsidRDefault="00F17D5E" w:rsidP="00DE2CFA">
            <w:pPr>
              <w:spacing w:after="0"/>
              <w:jc w:val="center"/>
              <w:rPr>
                <w:b/>
              </w:rPr>
            </w:pPr>
            <w:r w:rsidRPr="000F6E74">
              <w:rPr>
                <w:b/>
              </w:rPr>
              <w:t>Number of Children with IEPs Participating</w:t>
            </w:r>
          </w:p>
        </w:tc>
        <w:tc>
          <w:tcPr>
            <w:tcW w:w="667" w:type="pct"/>
            <w:shd w:val="clear" w:color="auto" w:fill="D9D9D9" w:themeFill="background1" w:themeFillShade="D9"/>
            <w:vAlign w:val="center"/>
          </w:tcPr>
          <w:p w14:paraId="35F97163" w14:textId="77777777" w:rsidR="00F17D5E" w:rsidRPr="000F6E74" w:rsidRDefault="00F17D5E" w:rsidP="00DE2CFA">
            <w:pPr>
              <w:spacing w:after="0"/>
              <w:jc w:val="center"/>
              <w:rPr>
                <w:b/>
              </w:rPr>
            </w:pPr>
            <w:r w:rsidRPr="000F6E74">
              <w:rPr>
                <w:b/>
              </w:rPr>
              <w:t>Number of Children with IEPs</w:t>
            </w:r>
          </w:p>
        </w:tc>
        <w:tc>
          <w:tcPr>
            <w:tcW w:w="500" w:type="pct"/>
            <w:shd w:val="clear" w:color="auto" w:fill="D9D9D9" w:themeFill="background1" w:themeFillShade="D9"/>
            <w:vAlign w:val="center"/>
          </w:tcPr>
          <w:p w14:paraId="3D7FBA55" w14:textId="77777777" w:rsidR="00F17D5E" w:rsidRPr="000F6E74" w:rsidRDefault="00F17D5E" w:rsidP="00DE2CFA">
            <w:pPr>
              <w:spacing w:after="0"/>
              <w:jc w:val="center"/>
              <w:rPr>
                <w:b/>
              </w:rPr>
            </w:pPr>
            <w:r w:rsidRPr="000F6E74">
              <w:rPr>
                <w:b/>
              </w:rPr>
              <w:t>FFY 2019 Data</w:t>
            </w:r>
          </w:p>
        </w:tc>
        <w:tc>
          <w:tcPr>
            <w:tcW w:w="459" w:type="pct"/>
            <w:shd w:val="clear" w:color="auto" w:fill="D9D9D9" w:themeFill="background1" w:themeFillShade="D9"/>
            <w:vAlign w:val="center"/>
          </w:tcPr>
          <w:p w14:paraId="681C20C6" w14:textId="77777777" w:rsidR="00F17D5E" w:rsidRPr="000F6E74" w:rsidRDefault="00F17D5E" w:rsidP="0052002E">
            <w:pPr>
              <w:spacing w:after="0"/>
              <w:ind w:left="-108" w:right="-102"/>
              <w:jc w:val="center"/>
              <w:rPr>
                <w:b/>
              </w:rPr>
            </w:pPr>
            <w:r w:rsidRPr="000F6E74">
              <w:rPr>
                <w:b/>
              </w:rPr>
              <w:t>FFY 2020 Target</w:t>
            </w:r>
          </w:p>
        </w:tc>
        <w:tc>
          <w:tcPr>
            <w:tcW w:w="500" w:type="pct"/>
            <w:shd w:val="clear" w:color="auto" w:fill="D9D9D9" w:themeFill="background1" w:themeFillShade="D9"/>
            <w:vAlign w:val="center"/>
          </w:tcPr>
          <w:p w14:paraId="1A223A3A" w14:textId="77777777" w:rsidR="00F17D5E" w:rsidRPr="000F6E74" w:rsidRDefault="00F17D5E" w:rsidP="00DE2CFA">
            <w:pPr>
              <w:spacing w:after="0"/>
              <w:jc w:val="center"/>
              <w:rPr>
                <w:b/>
              </w:rPr>
            </w:pPr>
            <w:r w:rsidRPr="000F6E74">
              <w:rPr>
                <w:b/>
              </w:rPr>
              <w:t>FFY 2020 Data</w:t>
            </w:r>
          </w:p>
        </w:tc>
        <w:tc>
          <w:tcPr>
            <w:tcW w:w="459" w:type="pct"/>
            <w:shd w:val="clear" w:color="auto" w:fill="D9D9D9" w:themeFill="background1" w:themeFillShade="D9"/>
            <w:vAlign w:val="center"/>
          </w:tcPr>
          <w:p w14:paraId="2E2084EF" w14:textId="77777777" w:rsidR="00F17D5E" w:rsidRPr="000F6E74" w:rsidRDefault="00F17D5E" w:rsidP="00DE2CFA">
            <w:pPr>
              <w:spacing w:after="0"/>
              <w:jc w:val="center"/>
              <w:rPr>
                <w:b/>
              </w:rPr>
            </w:pPr>
            <w:r w:rsidRPr="000F6E74">
              <w:rPr>
                <w:b/>
              </w:rPr>
              <w:t>Status</w:t>
            </w:r>
          </w:p>
        </w:tc>
        <w:tc>
          <w:tcPr>
            <w:tcW w:w="581" w:type="pct"/>
            <w:shd w:val="clear" w:color="auto" w:fill="D9D9D9" w:themeFill="background1" w:themeFillShade="D9"/>
            <w:vAlign w:val="center"/>
          </w:tcPr>
          <w:p w14:paraId="309891B4" w14:textId="77777777" w:rsidR="00F17D5E" w:rsidRPr="000F6E74" w:rsidRDefault="00F17D5E" w:rsidP="00DE2CFA">
            <w:pPr>
              <w:spacing w:after="0"/>
              <w:jc w:val="center"/>
              <w:rPr>
                <w:b/>
              </w:rPr>
            </w:pPr>
            <w:r w:rsidRPr="000F6E74">
              <w:rPr>
                <w:b/>
              </w:rPr>
              <w:t>Slippage</w:t>
            </w:r>
          </w:p>
        </w:tc>
      </w:tr>
      <w:tr w:rsidR="000F6E74" w:rsidRPr="000F6E74" w14:paraId="1BDE8C09" w14:textId="77777777" w:rsidTr="0052002E">
        <w:trPr>
          <w:trHeight w:val="576"/>
        </w:trPr>
        <w:tc>
          <w:tcPr>
            <w:tcW w:w="500" w:type="pct"/>
            <w:shd w:val="clear" w:color="auto" w:fill="auto"/>
            <w:vAlign w:val="center"/>
          </w:tcPr>
          <w:p w14:paraId="580D1344" w14:textId="77777777" w:rsidR="002C43CF" w:rsidRPr="000F6E74" w:rsidRDefault="002C43CF" w:rsidP="00DE2CFA">
            <w:pPr>
              <w:pStyle w:val="Default"/>
              <w:spacing w:line="276" w:lineRule="auto"/>
              <w:jc w:val="center"/>
              <w:rPr>
                <w:rFonts w:eastAsiaTheme="minorHAnsi"/>
                <w:color w:val="auto"/>
              </w:rPr>
            </w:pPr>
            <w:r w:rsidRPr="000F6E74">
              <w:rPr>
                <w:b/>
                <w:color w:val="auto"/>
              </w:rPr>
              <w:t>A</w:t>
            </w:r>
          </w:p>
        </w:tc>
        <w:tc>
          <w:tcPr>
            <w:tcW w:w="543" w:type="pct"/>
            <w:shd w:val="clear" w:color="auto" w:fill="auto"/>
            <w:vAlign w:val="center"/>
          </w:tcPr>
          <w:p w14:paraId="08A8F1D8" w14:textId="4D1DB180" w:rsidR="002C43CF" w:rsidRPr="000F6E74" w:rsidDel="00DE5045" w:rsidRDefault="002C43CF" w:rsidP="00DE2CFA">
            <w:pPr>
              <w:spacing w:after="0"/>
              <w:jc w:val="center"/>
              <w:rPr>
                <w:rFonts w:cs="Arial"/>
                <w:szCs w:val="16"/>
              </w:rPr>
            </w:pPr>
            <w:r w:rsidRPr="000F6E74">
              <w:rPr>
                <w:rFonts w:cs="Arial"/>
                <w:szCs w:val="16"/>
              </w:rPr>
              <w:t>Grade 4</w:t>
            </w:r>
          </w:p>
        </w:tc>
        <w:tc>
          <w:tcPr>
            <w:tcW w:w="791" w:type="pct"/>
            <w:shd w:val="clear" w:color="auto" w:fill="auto"/>
            <w:vAlign w:val="center"/>
          </w:tcPr>
          <w:p w14:paraId="5452B2A6" w14:textId="0D3478E5" w:rsidR="002C43CF" w:rsidRPr="000F6E74" w:rsidRDefault="002C43CF" w:rsidP="00DE2CFA">
            <w:pPr>
              <w:spacing w:after="0"/>
              <w:jc w:val="center"/>
              <w:rPr>
                <w:rFonts w:cs="Arial"/>
                <w:szCs w:val="16"/>
              </w:rPr>
            </w:pPr>
            <w:r w:rsidRPr="000F6E74">
              <w:rPr>
                <w:rFonts w:cs="Arial"/>
                <w:szCs w:val="16"/>
              </w:rPr>
              <w:t>9,754</w:t>
            </w:r>
          </w:p>
        </w:tc>
        <w:tc>
          <w:tcPr>
            <w:tcW w:w="667" w:type="pct"/>
            <w:shd w:val="clear" w:color="auto" w:fill="auto"/>
            <w:vAlign w:val="center"/>
          </w:tcPr>
          <w:p w14:paraId="039C7994" w14:textId="2644FC1F" w:rsidR="002C43CF" w:rsidRPr="000F6E74" w:rsidRDefault="002C43CF" w:rsidP="00DE2CFA">
            <w:pPr>
              <w:spacing w:after="0"/>
              <w:jc w:val="center"/>
              <w:rPr>
                <w:rFonts w:cs="Arial"/>
                <w:szCs w:val="16"/>
              </w:rPr>
            </w:pPr>
            <w:r w:rsidRPr="000F6E74">
              <w:rPr>
                <w:rFonts w:cs="Arial"/>
                <w:szCs w:val="16"/>
              </w:rPr>
              <w:t>12,034</w:t>
            </w:r>
          </w:p>
        </w:tc>
        <w:tc>
          <w:tcPr>
            <w:tcW w:w="500" w:type="pct"/>
            <w:shd w:val="clear" w:color="auto" w:fill="auto"/>
            <w:vAlign w:val="center"/>
          </w:tcPr>
          <w:p w14:paraId="24F0CC21" w14:textId="0AC7D91A" w:rsidR="002C43CF" w:rsidRPr="000F6E74" w:rsidRDefault="0052002E" w:rsidP="00DE2CFA">
            <w:pPr>
              <w:spacing w:after="0"/>
              <w:jc w:val="center"/>
              <w:rPr>
                <w:rFonts w:cs="Arial"/>
                <w:szCs w:val="16"/>
              </w:rPr>
            </w:pPr>
            <w:r w:rsidRPr="000F6E74">
              <w:rPr>
                <w:rFonts w:cs="Arial"/>
                <w:szCs w:val="16"/>
              </w:rPr>
              <w:t>N/A</w:t>
            </w:r>
          </w:p>
        </w:tc>
        <w:tc>
          <w:tcPr>
            <w:tcW w:w="459" w:type="pct"/>
            <w:shd w:val="clear" w:color="auto" w:fill="auto"/>
            <w:vAlign w:val="center"/>
          </w:tcPr>
          <w:p w14:paraId="44D3CBA8" w14:textId="716B8037" w:rsidR="002C43CF" w:rsidRPr="000F6E74" w:rsidRDefault="002C43CF" w:rsidP="0052002E">
            <w:pPr>
              <w:spacing w:after="0"/>
              <w:ind w:left="-108" w:right="-102"/>
              <w:jc w:val="center"/>
              <w:rPr>
                <w:rFonts w:cs="Arial"/>
                <w:szCs w:val="16"/>
              </w:rPr>
            </w:pPr>
            <w:r w:rsidRPr="000F6E74">
              <w:rPr>
                <w:rFonts w:cs="Arial"/>
                <w:szCs w:val="16"/>
              </w:rPr>
              <w:t>95.00%</w:t>
            </w:r>
          </w:p>
        </w:tc>
        <w:tc>
          <w:tcPr>
            <w:tcW w:w="500" w:type="pct"/>
            <w:shd w:val="clear" w:color="auto" w:fill="auto"/>
            <w:vAlign w:val="center"/>
          </w:tcPr>
          <w:p w14:paraId="0C38B251" w14:textId="6362D41B" w:rsidR="002C43CF" w:rsidRPr="000F6E74" w:rsidRDefault="002C43CF" w:rsidP="00DE2CFA">
            <w:pPr>
              <w:spacing w:after="0"/>
              <w:jc w:val="center"/>
              <w:rPr>
                <w:rFonts w:cs="Arial"/>
                <w:szCs w:val="16"/>
              </w:rPr>
            </w:pPr>
            <w:r w:rsidRPr="000F6E74">
              <w:rPr>
                <w:rFonts w:cs="Arial"/>
                <w:szCs w:val="16"/>
              </w:rPr>
              <w:t>81.05%</w:t>
            </w:r>
          </w:p>
        </w:tc>
        <w:tc>
          <w:tcPr>
            <w:tcW w:w="459" w:type="pct"/>
            <w:shd w:val="clear" w:color="auto" w:fill="auto"/>
            <w:vAlign w:val="center"/>
          </w:tcPr>
          <w:p w14:paraId="761D8F6F" w14:textId="46B9913C" w:rsidR="002C43CF" w:rsidRPr="000F6E74" w:rsidRDefault="002C43CF" w:rsidP="00DE2CFA">
            <w:pPr>
              <w:spacing w:after="0"/>
              <w:jc w:val="center"/>
              <w:rPr>
                <w:rFonts w:cs="Arial"/>
                <w:szCs w:val="16"/>
              </w:rPr>
            </w:pPr>
            <w:r w:rsidRPr="000F6E74">
              <w:rPr>
                <w:rFonts w:cs="Arial"/>
                <w:szCs w:val="16"/>
              </w:rPr>
              <w:t>N/A</w:t>
            </w:r>
          </w:p>
        </w:tc>
        <w:tc>
          <w:tcPr>
            <w:tcW w:w="581" w:type="pct"/>
            <w:shd w:val="clear" w:color="auto" w:fill="auto"/>
            <w:vAlign w:val="center"/>
          </w:tcPr>
          <w:p w14:paraId="67149680" w14:textId="213ADF64" w:rsidR="002C43CF" w:rsidRPr="000F6E74" w:rsidRDefault="002C43CF" w:rsidP="00DE2CFA">
            <w:pPr>
              <w:spacing w:after="0"/>
              <w:jc w:val="center"/>
              <w:rPr>
                <w:rFonts w:cs="Arial"/>
                <w:szCs w:val="16"/>
              </w:rPr>
            </w:pPr>
            <w:r w:rsidRPr="000F6E74">
              <w:rPr>
                <w:rFonts w:cs="Arial"/>
                <w:szCs w:val="16"/>
              </w:rPr>
              <w:t>N/A</w:t>
            </w:r>
          </w:p>
        </w:tc>
      </w:tr>
      <w:tr w:rsidR="000F6E74" w:rsidRPr="000F6E74" w14:paraId="1922D3D8" w14:textId="77777777" w:rsidTr="0052002E">
        <w:trPr>
          <w:trHeight w:val="576"/>
        </w:trPr>
        <w:tc>
          <w:tcPr>
            <w:tcW w:w="500" w:type="pct"/>
            <w:shd w:val="clear" w:color="auto" w:fill="auto"/>
            <w:vAlign w:val="center"/>
          </w:tcPr>
          <w:p w14:paraId="43AEFF73" w14:textId="77777777" w:rsidR="002C43CF" w:rsidRPr="000F6E74" w:rsidRDefault="002C43CF" w:rsidP="00DE2CFA">
            <w:pPr>
              <w:pStyle w:val="Default"/>
              <w:spacing w:line="276" w:lineRule="auto"/>
              <w:jc w:val="center"/>
              <w:rPr>
                <w:rFonts w:eastAsiaTheme="minorHAnsi"/>
                <w:color w:val="auto"/>
              </w:rPr>
            </w:pPr>
            <w:r w:rsidRPr="000F6E74">
              <w:rPr>
                <w:b/>
                <w:color w:val="auto"/>
              </w:rPr>
              <w:t>B</w:t>
            </w:r>
          </w:p>
        </w:tc>
        <w:tc>
          <w:tcPr>
            <w:tcW w:w="543" w:type="pct"/>
            <w:shd w:val="clear" w:color="auto" w:fill="auto"/>
            <w:vAlign w:val="center"/>
          </w:tcPr>
          <w:p w14:paraId="2B8AB1E0" w14:textId="3F093CFB" w:rsidR="002C43CF" w:rsidRPr="000F6E74" w:rsidDel="00DE5045" w:rsidRDefault="002C43CF" w:rsidP="00DE2CFA">
            <w:pPr>
              <w:spacing w:after="0"/>
              <w:jc w:val="center"/>
              <w:rPr>
                <w:rFonts w:cs="Arial"/>
                <w:szCs w:val="16"/>
              </w:rPr>
            </w:pPr>
            <w:r w:rsidRPr="000F6E74">
              <w:rPr>
                <w:rFonts w:cs="Arial"/>
                <w:szCs w:val="16"/>
              </w:rPr>
              <w:t>Grade 8</w:t>
            </w:r>
          </w:p>
        </w:tc>
        <w:tc>
          <w:tcPr>
            <w:tcW w:w="791" w:type="pct"/>
            <w:shd w:val="clear" w:color="auto" w:fill="auto"/>
            <w:vAlign w:val="center"/>
          </w:tcPr>
          <w:p w14:paraId="02D6A2B7" w14:textId="310E9DB8" w:rsidR="002C43CF" w:rsidRPr="000F6E74" w:rsidRDefault="002C43CF" w:rsidP="00DE2CFA">
            <w:pPr>
              <w:spacing w:after="0"/>
              <w:jc w:val="center"/>
              <w:rPr>
                <w:rFonts w:cs="Arial"/>
                <w:szCs w:val="16"/>
              </w:rPr>
            </w:pPr>
            <w:r w:rsidRPr="000F6E74">
              <w:rPr>
                <w:rFonts w:cs="Arial"/>
                <w:szCs w:val="16"/>
              </w:rPr>
              <w:t>8,601</w:t>
            </w:r>
          </w:p>
        </w:tc>
        <w:tc>
          <w:tcPr>
            <w:tcW w:w="667" w:type="pct"/>
            <w:shd w:val="clear" w:color="auto" w:fill="auto"/>
            <w:vAlign w:val="center"/>
          </w:tcPr>
          <w:p w14:paraId="7F2CECC4" w14:textId="3F890748" w:rsidR="002C43CF" w:rsidRPr="000F6E74" w:rsidRDefault="002C43CF" w:rsidP="00DE2CFA">
            <w:pPr>
              <w:spacing w:after="0"/>
              <w:jc w:val="center"/>
              <w:rPr>
                <w:rFonts w:cs="Arial"/>
                <w:szCs w:val="16"/>
              </w:rPr>
            </w:pPr>
            <w:r w:rsidRPr="000F6E74">
              <w:rPr>
                <w:rFonts w:cs="Arial"/>
                <w:szCs w:val="16"/>
              </w:rPr>
              <w:t>12,559</w:t>
            </w:r>
          </w:p>
        </w:tc>
        <w:tc>
          <w:tcPr>
            <w:tcW w:w="500" w:type="pct"/>
            <w:shd w:val="clear" w:color="auto" w:fill="auto"/>
            <w:vAlign w:val="center"/>
          </w:tcPr>
          <w:p w14:paraId="79841470" w14:textId="2FE06AC6" w:rsidR="002C43CF" w:rsidRPr="000F6E74" w:rsidRDefault="0052002E" w:rsidP="00DE2CFA">
            <w:pPr>
              <w:spacing w:after="0"/>
              <w:jc w:val="center"/>
              <w:rPr>
                <w:rFonts w:cs="Arial"/>
                <w:szCs w:val="16"/>
              </w:rPr>
            </w:pPr>
            <w:r w:rsidRPr="000F6E74">
              <w:rPr>
                <w:rFonts w:cs="Arial"/>
                <w:szCs w:val="16"/>
              </w:rPr>
              <w:t>N/A</w:t>
            </w:r>
          </w:p>
        </w:tc>
        <w:tc>
          <w:tcPr>
            <w:tcW w:w="459" w:type="pct"/>
            <w:shd w:val="clear" w:color="auto" w:fill="auto"/>
            <w:vAlign w:val="center"/>
          </w:tcPr>
          <w:p w14:paraId="5B10F98F" w14:textId="77777777" w:rsidR="002C43CF" w:rsidRPr="000F6E74" w:rsidRDefault="002C43CF" w:rsidP="0052002E">
            <w:pPr>
              <w:spacing w:after="0"/>
              <w:ind w:left="-108" w:right="-102"/>
              <w:jc w:val="center"/>
              <w:rPr>
                <w:rFonts w:cs="Arial"/>
                <w:szCs w:val="16"/>
              </w:rPr>
            </w:pPr>
            <w:r w:rsidRPr="000F6E74">
              <w:rPr>
                <w:rFonts w:cs="Arial"/>
                <w:szCs w:val="16"/>
              </w:rPr>
              <w:t>95.00%</w:t>
            </w:r>
          </w:p>
        </w:tc>
        <w:tc>
          <w:tcPr>
            <w:tcW w:w="500" w:type="pct"/>
            <w:shd w:val="clear" w:color="auto" w:fill="auto"/>
            <w:vAlign w:val="center"/>
          </w:tcPr>
          <w:p w14:paraId="3542B9F1" w14:textId="37C83969" w:rsidR="002C43CF" w:rsidRPr="000F6E74" w:rsidRDefault="002C43CF" w:rsidP="00DE2CFA">
            <w:pPr>
              <w:spacing w:after="0"/>
              <w:jc w:val="center"/>
              <w:rPr>
                <w:rFonts w:cs="Arial"/>
                <w:szCs w:val="16"/>
              </w:rPr>
            </w:pPr>
            <w:r w:rsidRPr="000F6E74">
              <w:rPr>
                <w:rFonts w:cs="Arial"/>
                <w:szCs w:val="16"/>
              </w:rPr>
              <w:t>68.48%</w:t>
            </w:r>
          </w:p>
        </w:tc>
        <w:tc>
          <w:tcPr>
            <w:tcW w:w="459" w:type="pct"/>
            <w:shd w:val="clear" w:color="auto" w:fill="auto"/>
            <w:vAlign w:val="center"/>
          </w:tcPr>
          <w:p w14:paraId="5BE427F8" w14:textId="56EB7A82" w:rsidR="002C43CF" w:rsidRPr="000F6E74" w:rsidRDefault="002C43CF" w:rsidP="00DE2CFA">
            <w:pPr>
              <w:spacing w:after="0"/>
              <w:jc w:val="center"/>
              <w:rPr>
                <w:rFonts w:cs="Arial"/>
                <w:szCs w:val="16"/>
              </w:rPr>
            </w:pPr>
            <w:r w:rsidRPr="000F6E74">
              <w:rPr>
                <w:rFonts w:cs="Arial"/>
                <w:szCs w:val="16"/>
              </w:rPr>
              <w:t>N/A</w:t>
            </w:r>
          </w:p>
        </w:tc>
        <w:tc>
          <w:tcPr>
            <w:tcW w:w="581" w:type="pct"/>
            <w:shd w:val="clear" w:color="auto" w:fill="auto"/>
            <w:vAlign w:val="center"/>
          </w:tcPr>
          <w:p w14:paraId="5ADE31A1" w14:textId="6021CBB1" w:rsidR="002C43CF" w:rsidRPr="000F6E74" w:rsidRDefault="002C43CF" w:rsidP="00DE2CFA">
            <w:pPr>
              <w:spacing w:after="0"/>
              <w:jc w:val="center"/>
              <w:rPr>
                <w:rFonts w:cs="Arial"/>
                <w:szCs w:val="16"/>
              </w:rPr>
            </w:pPr>
            <w:r w:rsidRPr="000F6E74">
              <w:rPr>
                <w:rFonts w:cs="Arial"/>
                <w:szCs w:val="16"/>
              </w:rPr>
              <w:t>N/A</w:t>
            </w:r>
          </w:p>
        </w:tc>
      </w:tr>
      <w:tr w:rsidR="000F6E74" w:rsidRPr="000F6E74" w14:paraId="2E1BAFB0" w14:textId="77777777" w:rsidTr="0052002E">
        <w:trPr>
          <w:trHeight w:val="576"/>
        </w:trPr>
        <w:tc>
          <w:tcPr>
            <w:tcW w:w="500" w:type="pct"/>
            <w:shd w:val="clear" w:color="auto" w:fill="auto"/>
            <w:vAlign w:val="center"/>
          </w:tcPr>
          <w:p w14:paraId="6825BD97" w14:textId="77777777" w:rsidR="002C43CF" w:rsidRPr="000F6E74" w:rsidRDefault="002C43CF" w:rsidP="00DE2CFA">
            <w:pPr>
              <w:pStyle w:val="Default"/>
              <w:spacing w:line="276" w:lineRule="auto"/>
              <w:jc w:val="center"/>
              <w:rPr>
                <w:rFonts w:eastAsiaTheme="minorHAnsi"/>
                <w:color w:val="auto"/>
              </w:rPr>
            </w:pPr>
            <w:r w:rsidRPr="000F6E74">
              <w:rPr>
                <w:b/>
                <w:color w:val="auto"/>
              </w:rPr>
              <w:t>C</w:t>
            </w:r>
          </w:p>
        </w:tc>
        <w:tc>
          <w:tcPr>
            <w:tcW w:w="543" w:type="pct"/>
            <w:shd w:val="clear" w:color="auto" w:fill="auto"/>
            <w:vAlign w:val="center"/>
          </w:tcPr>
          <w:p w14:paraId="0AE72592" w14:textId="0F597AAE" w:rsidR="002C43CF" w:rsidRPr="000F6E74" w:rsidDel="00DE5045" w:rsidRDefault="002C43CF" w:rsidP="00DE2CFA">
            <w:pPr>
              <w:spacing w:after="0"/>
              <w:jc w:val="center"/>
              <w:rPr>
                <w:rFonts w:cs="Arial"/>
                <w:szCs w:val="16"/>
              </w:rPr>
            </w:pPr>
            <w:r w:rsidRPr="000F6E74">
              <w:rPr>
                <w:rFonts w:cs="Arial"/>
                <w:szCs w:val="16"/>
              </w:rPr>
              <w:t>Grade HS</w:t>
            </w:r>
          </w:p>
        </w:tc>
        <w:tc>
          <w:tcPr>
            <w:tcW w:w="791" w:type="pct"/>
            <w:shd w:val="clear" w:color="auto" w:fill="auto"/>
            <w:vAlign w:val="center"/>
          </w:tcPr>
          <w:p w14:paraId="6099121A" w14:textId="18C55BFC" w:rsidR="002C43CF" w:rsidRPr="000F6E74" w:rsidRDefault="002C43CF" w:rsidP="00DE2CFA">
            <w:pPr>
              <w:spacing w:after="0"/>
              <w:jc w:val="center"/>
              <w:rPr>
                <w:rFonts w:cs="Arial"/>
                <w:szCs w:val="16"/>
              </w:rPr>
            </w:pPr>
            <w:r w:rsidRPr="000F6E74">
              <w:rPr>
                <w:rFonts w:cs="Arial"/>
                <w:szCs w:val="16"/>
              </w:rPr>
              <w:t>11,767</w:t>
            </w:r>
          </w:p>
        </w:tc>
        <w:tc>
          <w:tcPr>
            <w:tcW w:w="667" w:type="pct"/>
            <w:shd w:val="clear" w:color="auto" w:fill="auto"/>
            <w:vAlign w:val="center"/>
          </w:tcPr>
          <w:p w14:paraId="6B5854E5" w14:textId="06E91CB7" w:rsidR="002C43CF" w:rsidRPr="000F6E74" w:rsidRDefault="002C43CF" w:rsidP="00DE2CFA">
            <w:pPr>
              <w:spacing w:after="0"/>
              <w:jc w:val="center"/>
              <w:rPr>
                <w:rFonts w:cs="Arial"/>
                <w:szCs w:val="16"/>
              </w:rPr>
            </w:pPr>
            <w:r w:rsidRPr="000F6E74">
              <w:rPr>
                <w:rFonts w:cs="Arial"/>
                <w:szCs w:val="16"/>
              </w:rPr>
              <w:t>14,661</w:t>
            </w:r>
          </w:p>
        </w:tc>
        <w:tc>
          <w:tcPr>
            <w:tcW w:w="500" w:type="pct"/>
            <w:shd w:val="clear" w:color="auto" w:fill="auto"/>
            <w:vAlign w:val="center"/>
          </w:tcPr>
          <w:p w14:paraId="36BDD326" w14:textId="4F6D0DD6" w:rsidR="002C43CF" w:rsidRPr="000F6E74" w:rsidRDefault="0052002E" w:rsidP="00DE2CFA">
            <w:pPr>
              <w:spacing w:after="0"/>
              <w:jc w:val="center"/>
              <w:rPr>
                <w:rFonts w:cs="Arial"/>
                <w:szCs w:val="16"/>
              </w:rPr>
            </w:pPr>
            <w:r w:rsidRPr="000F6E74">
              <w:rPr>
                <w:rFonts w:cs="Arial"/>
                <w:szCs w:val="16"/>
              </w:rPr>
              <w:t>N/A</w:t>
            </w:r>
          </w:p>
        </w:tc>
        <w:tc>
          <w:tcPr>
            <w:tcW w:w="459" w:type="pct"/>
            <w:shd w:val="clear" w:color="auto" w:fill="auto"/>
            <w:vAlign w:val="center"/>
          </w:tcPr>
          <w:p w14:paraId="2B5A1952" w14:textId="77777777" w:rsidR="002C43CF" w:rsidRPr="000F6E74" w:rsidRDefault="002C43CF" w:rsidP="0052002E">
            <w:pPr>
              <w:spacing w:after="0"/>
              <w:ind w:left="-108" w:right="-102"/>
              <w:jc w:val="center"/>
              <w:rPr>
                <w:rFonts w:cs="Arial"/>
                <w:szCs w:val="16"/>
              </w:rPr>
            </w:pPr>
            <w:r w:rsidRPr="000F6E74">
              <w:rPr>
                <w:rFonts w:cs="Arial"/>
                <w:szCs w:val="16"/>
              </w:rPr>
              <w:t>95.00%</w:t>
            </w:r>
          </w:p>
        </w:tc>
        <w:tc>
          <w:tcPr>
            <w:tcW w:w="500" w:type="pct"/>
            <w:shd w:val="clear" w:color="auto" w:fill="auto"/>
            <w:vAlign w:val="center"/>
          </w:tcPr>
          <w:p w14:paraId="3A8A2153" w14:textId="350CE279" w:rsidR="002C43CF" w:rsidRPr="000F6E74" w:rsidRDefault="002C43CF" w:rsidP="00DE2CFA">
            <w:pPr>
              <w:spacing w:after="0"/>
              <w:jc w:val="center"/>
              <w:rPr>
                <w:rFonts w:cs="Arial"/>
                <w:szCs w:val="16"/>
              </w:rPr>
            </w:pPr>
            <w:r w:rsidRPr="000F6E74">
              <w:rPr>
                <w:rFonts w:cs="Arial"/>
                <w:szCs w:val="16"/>
              </w:rPr>
              <w:t>80.26%</w:t>
            </w:r>
          </w:p>
        </w:tc>
        <w:tc>
          <w:tcPr>
            <w:tcW w:w="459" w:type="pct"/>
            <w:shd w:val="clear" w:color="auto" w:fill="auto"/>
            <w:vAlign w:val="center"/>
          </w:tcPr>
          <w:p w14:paraId="602D5261" w14:textId="54A65BCD" w:rsidR="002C43CF" w:rsidRPr="000F6E74" w:rsidRDefault="002C43CF" w:rsidP="00DE2CFA">
            <w:pPr>
              <w:spacing w:after="0"/>
              <w:jc w:val="center"/>
              <w:rPr>
                <w:rFonts w:cs="Arial"/>
                <w:szCs w:val="16"/>
              </w:rPr>
            </w:pPr>
            <w:r w:rsidRPr="000F6E74">
              <w:rPr>
                <w:rFonts w:cs="Arial"/>
                <w:szCs w:val="16"/>
              </w:rPr>
              <w:t>N/A</w:t>
            </w:r>
          </w:p>
        </w:tc>
        <w:tc>
          <w:tcPr>
            <w:tcW w:w="581" w:type="pct"/>
            <w:shd w:val="clear" w:color="auto" w:fill="auto"/>
            <w:vAlign w:val="center"/>
          </w:tcPr>
          <w:p w14:paraId="45BE3C4A" w14:textId="1F06447F" w:rsidR="002C43CF" w:rsidRPr="000F6E74" w:rsidRDefault="002C43CF" w:rsidP="00DE2CFA">
            <w:pPr>
              <w:spacing w:after="0"/>
              <w:jc w:val="center"/>
              <w:rPr>
                <w:rFonts w:cs="Arial"/>
                <w:szCs w:val="16"/>
              </w:rPr>
            </w:pPr>
            <w:r w:rsidRPr="000F6E74">
              <w:rPr>
                <w:rFonts w:cs="Arial"/>
                <w:szCs w:val="16"/>
              </w:rPr>
              <w:t>N/A</w:t>
            </w:r>
          </w:p>
        </w:tc>
      </w:tr>
    </w:tbl>
    <w:p w14:paraId="13A59EA6" w14:textId="77777777" w:rsidR="00A134AA" w:rsidRPr="000F6E74" w:rsidRDefault="00A134AA" w:rsidP="0036581E">
      <w:pPr>
        <w:pStyle w:val="Heading4"/>
      </w:pPr>
      <w:r w:rsidRPr="000F6E74">
        <w:t>Regulatory Information</w:t>
      </w:r>
    </w:p>
    <w:p w14:paraId="642DDAF0" w14:textId="762C3BB7" w:rsidR="00B07804" w:rsidRDefault="00A134AA" w:rsidP="00B07804">
      <w:pPr>
        <w:rPr>
          <w:b/>
        </w:rPr>
      </w:pPr>
      <w:r w:rsidRPr="000F6E74">
        <w:rPr>
          <w:rFonts w:cs="Arial"/>
          <w:b/>
          <w:szCs w:val="16"/>
        </w:rPr>
        <w:t xml:space="preserve">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w:t>
      </w:r>
      <w:r w:rsidRPr="000F6E74">
        <w:rPr>
          <w:rFonts w:cs="Arial"/>
          <w:b/>
          <w:szCs w:val="16"/>
        </w:rPr>
        <w:lastRenderedPageBreak/>
        <w:t xml:space="preserve">achievement of all children, including children with disabilities, on those assessments. </w:t>
      </w:r>
      <w:r w:rsidR="00B07804">
        <w:rPr>
          <w:rFonts w:cs="Arial"/>
          <w:b/>
          <w:szCs w:val="16"/>
        </w:rPr>
        <w:br/>
      </w:r>
      <w:r w:rsidRPr="000F6E74">
        <w:rPr>
          <w:rFonts w:cs="Arial"/>
          <w:b/>
          <w:szCs w:val="16"/>
        </w:rPr>
        <w:t>[20 U.S.C. 1412 (a)(16)(D); 34 CFR §300.160(f)]</w:t>
      </w:r>
    </w:p>
    <w:p w14:paraId="44CC67C3" w14:textId="472B5377" w:rsidR="00A134AA" w:rsidRPr="000F6E74" w:rsidRDefault="00A134AA" w:rsidP="0036581E">
      <w:pPr>
        <w:pStyle w:val="Heading4"/>
      </w:pPr>
      <w:r w:rsidRPr="000F6E74">
        <w:t>Public Reporting Information</w:t>
      </w:r>
    </w:p>
    <w:p w14:paraId="70B58518" w14:textId="19FBD5FE" w:rsidR="00A134AA" w:rsidRPr="000F6E74" w:rsidRDefault="00A134AA" w:rsidP="009E4F1C">
      <w:pPr>
        <w:rPr>
          <w:rFonts w:cs="Arial"/>
          <w:b/>
          <w:szCs w:val="16"/>
        </w:rPr>
      </w:pPr>
      <w:r w:rsidRPr="000F6E74">
        <w:rPr>
          <w:rFonts w:cs="Arial"/>
          <w:b/>
          <w:szCs w:val="16"/>
        </w:rPr>
        <w:t>Provide links to the page(s) where you provide public reports of assessment results.</w:t>
      </w:r>
    </w:p>
    <w:p w14:paraId="1837C38D" w14:textId="23BDCFF4" w:rsidR="00400947" w:rsidRPr="000F6E74" w:rsidRDefault="002B5D98" w:rsidP="007D6196">
      <w:pPr>
        <w:pStyle w:val="ListParagraph"/>
        <w:numPr>
          <w:ilvl w:val="0"/>
          <w:numId w:val="7"/>
        </w:numPr>
        <w:contextualSpacing w:val="0"/>
        <w:rPr>
          <w:rFonts w:cs="Arial"/>
          <w:szCs w:val="16"/>
        </w:rPr>
      </w:pPr>
      <w:hyperlink r:id="rId17" w:history="1">
        <w:r w:rsidR="00484EB0" w:rsidRPr="00484EB0">
          <w:rPr>
            <w:rStyle w:val="Hyperlink"/>
            <w:rFonts w:cs="Arial"/>
            <w:szCs w:val="16"/>
          </w:rPr>
          <w:t>Reporting of the Measures of Academic Success data</w:t>
        </w:r>
      </w:hyperlink>
      <w:r w:rsidR="00484EB0">
        <w:rPr>
          <w:rFonts w:cs="Arial"/>
          <w:szCs w:val="16"/>
        </w:rPr>
        <w:t xml:space="preserve"> </w:t>
      </w:r>
      <w:r w:rsidR="00A134AA" w:rsidRPr="000F6E74">
        <w:rPr>
          <w:rFonts w:cs="Arial"/>
          <w:szCs w:val="16"/>
        </w:rPr>
        <w:t xml:space="preserve">in accordance with 34 CFR §300.160(f) can be found at: </w:t>
      </w:r>
      <w:r w:rsidR="009615F9" w:rsidRPr="009615F9">
        <w:rPr>
          <w:rFonts w:cs="Arial"/>
          <w:szCs w:val="16"/>
        </w:rPr>
        <w:t xml:space="preserve">https://www.doe.virginia.gov/?navid=250 </w:t>
      </w:r>
      <w:r w:rsidR="00A134AA" w:rsidRPr="000F6E74">
        <w:rPr>
          <w:rFonts w:cs="Arial"/>
          <w:szCs w:val="16"/>
        </w:rPr>
        <w:t>(scroll to 2020-2021 at bottom of the page)</w:t>
      </w:r>
    </w:p>
    <w:p w14:paraId="3527022A" w14:textId="77777777" w:rsidR="00400947" w:rsidRPr="000F6E74" w:rsidRDefault="00A134AA" w:rsidP="007D6196">
      <w:pPr>
        <w:pStyle w:val="ListParagraph"/>
        <w:numPr>
          <w:ilvl w:val="0"/>
          <w:numId w:val="8"/>
        </w:numPr>
        <w:ind w:left="1440"/>
        <w:contextualSpacing w:val="0"/>
        <w:rPr>
          <w:rFonts w:cs="Arial"/>
          <w:szCs w:val="16"/>
        </w:rPr>
      </w:pPr>
      <w:r w:rsidRPr="000F6E74">
        <w:rPr>
          <w:rFonts w:cs="Arial"/>
          <w:szCs w:val="16"/>
        </w:rPr>
        <w:t>Part B Assessment - Table 6</w:t>
      </w:r>
    </w:p>
    <w:p w14:paraId="7C98A976" w14:textId="77777777" w:rsidR="00484EB0" w:rsidRDefault="00A134AA" w:rsidP="007D6196">
      <w:pPr>
        <w:pStyle w:val="ListParagraph"/>
        <w:numPr>
          <w:ilvl w:val="0"/>
          <w:numId w:val="8"/>
        </w:numPr>
        <w:ind w:left="1440"/>
        <w:contextualSpacing w:val="0"/>
        <w:rPr>
          <w:rFonts w:cs="Arial"/>
          <w:szCs w:val="16"/>
        </w:rPr>
      </w:pPr>
      <w:r w:rsidRPr="000F6E74">
        <w:rPr>
          <w:rFonts w:cs="Arial"/>
          <w:szCs w:val="16"/>
        </w:rPr>
        <w:t>Part B Assessment - State, Division, and School Levels</w:t>
      </w:r>
    </w:p>
    <w:p w14:paraId="384F46BD" w14:textId="14DB5EA9" w:rsidR="00400947" w:rsidRPr="00484EB0" w:rsidRDefault="00A134AA" w:rsidP="007D6196">
      <w:pPr>
        <w:pStyle w:val="ListParagraph"/>
        <w:numPr>
          <w:ilvl w:val="0"/>
          <w:numId w:val="7"/>
        </w:numPr>
        <w:contextualSpacing w:val="0"/>
        <w:rPr>
          <w:rFonts w:cs="Arial"/>
          <w:szCs w:val="16"/>
        </w:rPr>
      </w:pPr>
      <w:r w:rsidRPr="00484EB0">
        <w:rPr>
          <w:rFonts w:cs="Arial"/>
          <w:szCs w:val="16"/>
        </w:rPr>
        <w:t xml:space="preserve">In addition, Virginia’s State Quality Profile provides information about student achievement for all children, including children with disabilities, across all subjects, proficiency levels, and participation rates at </w:t>
      </w:r>
      <w:hyperlink r:id="rId18" w:anchor="desktopTabs-2" w:history="1">
        <w:r w:rsidRPr="00484EB0">
          <w:rPr>
            <w:rStyle w:val="Hyperlink"/>
            <w:rFonts w:cs="Arial"/>
            <w:szCs w:val="16"/>
          </w:rPr>
          <w:t>Student achievement</w:t>
        </w:r>
      </w:hyperlink>
      <w:r w:rsidRPr="00484EB0">
        <w:rPr>
          <w:rFonts w:cs="Arial"/>
          <w:szCs w:val="16"/>
        </w:rPr>
        <w:t xml:space="preserve"> </w:t>
      </w:r>
      <w:r w:rsidR="00484EB0" w:rsidRPr="00484EB0">
        <w:rPr>
          <w:rFonts w:cs="Arial"/>
          <w:szCs w:val="16"/>
        </w:rPr>
        <w:t>http://schoolquality.virginia.gov/virginia-state-quality-profile#desktopTabs-2</w:t>
      </w:r>
      <w:r w:rsidR="00484EB0" w:rsidRPr="00484EB0">
        <w:t xml:space="preserve"> and</w:t>
      </w:r>
      <w:r w:rsidR="00484EB0">
        <w:t xml:space="preserve"> </w:t>
      </w:r>
      <w:hyperlink r:id="rId19" w:anchor="desktopTabs-8" w:history="1">
        <w:r w:rsidR="00484EB0" w:rsidRPr="00484EB0">
          <w:rPr>
            <w:rStyle w:val="Hyperlink"/>
          </w:rPr>
          <w:t>ESSA</w:t>
        </w:r>
      </w:hyperlink>
      <w:r w:rsidR="00484EB0">
        <w:t xml:space="preserve"> - </w:t>
      </w:r>
      <w:r w:rsidR="00400947" w:rsidRPr="00484EB0">
        <w:rPr>
          <w:rFonts w:cs="Arial"/>
          <w:szCs w:val="16"/>
        </w:rPr>
        <w:t>http://schoolquality.virginia.gov/virginia-state-quality-profile#desktopTabs-8</w:t>
      </w:r>
      <w:r w:rsidRPr="00484EB0">
        <w:rPr>
          <w:rFonts w:cs="Arial"/>
          <w:color w:val="000000" w:themeColor="text1"/>
          <w:szCs w:val="16"/>
        </w:rPr>
        <w:t>.</w:t>
      </w:r>
    </w:p>
    <w:p w14:paraId="76257F84" w14:textId="13F8808F" w:rsidR="00400947" w:rsidRPr="000F6E74" w:rsidRDefault="00A134AA" w:rsidP="007D6196">
      <w:pPr>
        <w:pStyle w:val="ListParagraph"/>
        <w:numPr>
          <w:ilvl w:val="0"/>
          <w:numId w:val="7"/>
        </w:numPr>
        <w:spacing w:after="0"/>
        <w:contextualSpacing w:val="0"/>
        <w:rPr>
          <w:rFonts w:cs="Arial"/>
          <w:szCs w:val="16"/>
        </w:rPr>
      </w:pPr>
      <w:r w:rsidRPr="000F6E74">
        <w:rPr>
          <w:rFonts w:cs="Arial"/>
          <w:szCs w:val="16"/>
        </w:rPr>
        <w:t xml:space="preserve">Further disaggregation of the assessment data can be obtained by using the </w:t>
      </w:r>
      <w:hyperlink r:id="rId20" w:history="1">
        <w:r w:rsidRPr="00484EB0">
          <w:rPr>
            <w:rStyle w:val="Hyperlink"/>
            <w:rFonts w:cs="Arial"/>
            <w:szCs w:val="16"/>
          </w:rPr>
          <w:t>Build-A-Table</w:t>
        </w:r>
      </w:hyperlink>
      <w:r w:rsidRPr="000F6E74">
        <w:rPr>
          <w:rFonts w:cs="Arial"/>
          <w:szCs w:val="16"/>
        </w:rPr>
        <w:t xml:space="preserve"> to create reports on student performance by student subgroup (including students with disabilities) taking regular assessments, and alternate assessments based on alternate academic achievement standards at the State, district and school levels.</w:t>
      </w:r>
    </w:p>
    <w:p w14:paraId="7EBFE113" w14:textId="20036E10" w:rsidR="00A134AA" w:rsidRPr="00400947" w:rsidRDefault="00400947" w:rsidP="007D6196">
      <w:pPr>
        <w:pStyle w:val="ListParagraph"/>
        <w:contextualSpacing w:val="0"/>
        <w:rPr>
          <w:rFonts w:cs="Arial"/>
          <w:color w:val="000000" w:themeColor="text1"/>
          <w:szCs w:val="16"/>
        </w:rPr>
      </w:pPr>
      <w:r w:rsidRPr="00484EB0">
        <w:rPr>
          <w:rFonts w:cs="Arial"/>
          <w:szCs w:val="16"/>
        </w:rPr>
        <w:t>https://p1pe.doe.virginia.gov/buildatable/testresults</w:t>
      </w:r>
    </w:p>
    <w:p w14:paraId="222AA3BE" w14:textId="77777777" w:rsidR="00A134AA" w:rsidRPr="00B07804" w:rsidRDefault="00A134AA" w:rsidP="0036581E">
      <w:pPr>
        <w:pStyle w:val="Heading4"/>
      </w:pPr>
      <w:r w:rsidRPr="00B07804">
        <w:t>Provide additional information about this indicator (optional)</w:t>
      </w:r>
    </w:p>
    <w:p w14:paraId="58D88404" w14:textId="4712EC2F" w:rsidR="00A134AA" w:rsidRPr="007D6196" w:rsidRDefault="00A134AA" w:rsidP="00314F94">
      <w:pPr>
        <w:pStyle w:val="ListParagraph"/>
        <w:numPr>
          <w:ilvl w:val="0"/>
          <w:numId w:val="86"/>
        </w:numPr>
        <w:rPr>
          <w:rFonts w:cs="Arial"/>
          <w:szCs w:val="16"/>
        </w:rPr>
      </w:pPr>
      <w:r w:rsidRPr="007D6196">
        <w:rPr>
          <w:rFonts w:cs="Arial"/>
          <w:szCs w:val="16"/>
        </w:rPr>
        <w:t>The baseline data was revised due to a change in the methodology (measurement table) for the indicator that impacts comparability of the data. The new baseline year is FFY 2020.</w:t>
      </w:r>
    </w:p>
    <w:p w14:paraId="3BECD360" w14:textId="5C269016" w:rsidR="00361CFA" w:rsidRPr="00B07804" w:rsidRDefault="00361CFA" w:rsidP="009E4F1C">
      <w:pPr>
        <w:pStyle w:val="Heading3"/>
        <w:rPr>
          <w:color w:val="auto"/>
        </w:rPr>
      </w:pPr>
      <w:r w:rsidRPr="00B07804">
        <w:rPr>
          <w:color w:val="auto"/>
        </w:rPr>
        <w:t>3</w:t>
      </w:r>
      <w:r w:rsidR="00DD4E25" w:rsidRPr="00B07804">
        <w:rPr>
          <w:color w:val="auto"/>
        </w:rPr>
        <w:t>A</w:t>
      </w:r>
      <w:r w:rsidRPr="00B07804">
        <w:rPr>
          <w:color w:val="auto"/>
        </w:rPr>
        <w:t xml:space="preserve"> - Prior FFY Required Actions</w:t>
      </w:r>
    </w:p>
    <w:p w14:paraId="0775D2DC" w14:textId="32AC04CD" w:rsidR="00361CFA" w:rsidRPr="007D6196" w:rsidRDefault="00361CFA" w:rsidP="00314F94">
      <w:pPr>
        <w:pStyle w:val="ListParagraph"/>
        <w:numPr>
          <w:ilvl w:val="0"/>
          <w:numId w:val="87"/>
        </w:numPr>
        <w:rPr>
          <w:rFonts w:cs="Arial"/>
          <w:szCs w:val="16"/>
        </w:rPr>
      </w:pPr>
      <w:r w:rsidRPr="007D6196">
        <w:rPr>
          <w:rFonts w:cs="Arial"/>
          <w:szCs w:val="16"/>
        </w:rPr>
        <w:t>None</w:t>
      </w:r>
    </w:p>
    <w:p w14:paraId="743B5B9F" w14:textId="1841BC80" w:rsidR="00361CFA" w:rsidRPr="00B07804" w:rsidRDefault="00361CFA" w:rsidP="009E4F1C">
      <w:pPr>
        <w:pStyle w:val="Heading3"/>
        <w:rPr>
          <w:color w:val="auto"/>
        </w:rPr>
      </w:pPr>
      <w:r w:rsidRPr="00B07804">
        <w:rPr>
          <w:color w:val="auto"/>
        </w:rPr>
        <w:t>3</w:t>
      </w:r>
      <w:r w:rsidR="00DD4E25" w:rsidRPr="00B07804">
        <w:rPr>
          <w:color w:val="auto"/>
        </w:rPr>
        <w:t>A</w:t>
      </w:r>
      <w:r w:rsidRPr="00B07804">
        <w:rPr>
          <w:color w:val="auto"/>
        </w:rPr>
        <w:t xml:space="preserve"> - OSEP Response</w:t>
      </w:r>
    </w:p>
    <w:p w14:paraId="0A393221" w14:textId="77777777" w:rsidR="000F6E74" w:rsidRPr="007D6196" w:rsidRDefault="00361CFA" w:rsidP="00314F94">
      <w:pPr>
        <w:pStyle w:val="ListParagraph"/>
        <w:numPr>
          <w:ilvl w:val="0"/>
          <w:numId w:val="88"/>
        </w:numPr>
        <w:rPr>
          <w:rFonts w:cs="Arial"/>
          <w:szCs w:val="16"/>
          <w:shd w:val="clear" w:color="auto" w:fill="FFFFFF"/>
        </w:rPr>
      </w:pPr>
      <w:r w:rsidRPr="007D6196">
        <w:rPr>
          <w:rFonts w:cs="Arial"/>
          <w:szCs w:val="16"/>
          <w:shd w:val="clear" w:color="auto" w:fill="FFFFFF"/>
        </w:rPr>
        <w:t>The State has revised the baseline for this indicator, using data from FFY 2020, and OSEP accepts that revision.</w:t>
      </w:r>
    </w:p>
    <w:p w14:paraId="2436D21B" w14:textId="6E032898" w:rsidR="00361CFA" w:rsidRPr="00B07804" w:rsidRDefault="00361CFA" w:rsidP="004C1EC0">
      <w:pPr>
        <w:ind w:left="720"/>
        <w:rPr>
          <w:rFonts w:cs="Arial"/>
          <w:szCs w:val="16"/>
        </w:rPr>
      </w:pPr>
      <w:r w:rsidRPr="00B07804">
        <w:rPr>
          <w:rFonts w:cs="Arial"/>
          <w:szCs w:val="16"/>
          <w:shd w:val="clear" w:color="auto" w:fill="FFFFFF"/>
        </w:rPr>
        <w:t>The State provided targets for FFYs 2020 through 2025 for this indicator, and OSEP accepts those targets.</w:t>
      </w:r>
    </w:p>
    <w:p w14:paraId="66272CA6" w14:textId="0C9AB332" w:rsidR="00361CFA" w:rsidRPr="00B07804" w:rsidRDefault="00361CFA" w:rsidP="009E4F1C">
      <w:pPr>
        <w:pStyle w:val="Heading3"/>
        <w:rPr>
          <w:color w:val="auto"/>
        </w:rPr>
      </w:pPr>
      <w:r w:rsidRPr="00B07804">
        <w:rPr>
          <w:color w:val="auto"/>
        </w:rPr>
        <w:t>3</w:t>
      </w:r>
      <w:r w:rsidR="00DD4E25" w:rsidRPr="00B07804">
        <w:rPr>
          <w:color w:val="auto"/>
        </w:rPr>
        <w:t>A</w:t>
      </w:r>
      <w:r w:rsidRPr="00B07804">
        <w:rPr>
          <w:color w:val="auto"/>
        </w:rPr>
        <w:t xml:space="preserve"> - Required Actions</w:t>
      </w:r>
    </w:p>
    <w:p w14:paraId="70908578" w14:textId="2AAB8914" w:rsidR="00553A47" w:rsidRPr="007D6196" w:rsidRDefault="00400947" w:rsidP="00314F94">
      <w:pPr>
        <w:pStyle w:val="ListParagraph"/>
        <w:numPr>
          <w:ilvl w:val="0"/>
          <w:numId w:val="89"/>
        </w:numPr>
        <w:rPr>
          <w:rFonts w:eastAsiaTheme="majorEastAsia" w:cstheme="majorBidi"/>
          <w:b/>
          <w:bCs/>
          <w:sz w:val="20"/>
          <w:szCs w:val="16"/>
        </w:rPr>
      </w:pPr>
      <w:r w:rsidRPr="007D6196">
        <w:rPr>
          <w:rFonts w:cs="Arial"/>
          <w:szCs w:val="16"/>
        </w:rPr>
        <w:t>Not applicable</w:t>
      </w:r>
      <w:r w:rsidR="00553A47" w:rsidRPr="007D6196">
        <w:rPr>
          <w:szCs w:val="16"/>
        </w:rPr>
        <w:br w:type="page"/>
      </w:r>
    </w:p>
    <w:p w14:paraId="4B525DFA" w14:textId="5D92DD88" w:rsidR="009D378C" w:rsidRPr="00781112" w:rsidRDefault="009D378C" w:rsidP="008143AB">
      <w:pPr>
        <w:pStyle w:val="Heading2"/>
      </w:pPr>
      <w:r w:rsidRPr="00781112">
        <w:lastRenderedPageBreak/>
        <w:t>Indicator 3B: Proficiency for Children with IEPs (Grade Level Academic Achievement Standards)</w:t>
      </w:r>
      <w:bookmarkEnd w:id="8"/>
      <w:bookmarkEnd w:id="9"/>
    </w:p>
    <w:p w14:paraId="66C662B8" w14:textId="77777777" w:rsidR="007C3C89" w:rsidRPr="000F6E74" w:rsidRDefault="007C3C89" w:rsidP="0036581E">
      <w:pPr>
        <w:pStyle w:val="Heading3"/>
        <w:spacing w:before="240"/>
      </w:pPr>
      <w:bookmarkStart w:id="13" w:name="_Toc392159271"/>
      <w:r w:rsidRPr="000F6E74">
        <w:t>Instructions and Measurement</w:t>
      </w:r>
    </w:p>
    <w:p w14:paraId="31EC23C7" w14:textId="5EB5B691" w:rsidR="0085119E" w:rsidRPr="00781112" w:rsidRDefault="0085119E" w:rsidP="000F6E74">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0F6E7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2C03D9FE" w:rsidR="001B1437" w:rsidRPr="000F6E74" w:rsidRDefault="001B1437" w:rsidP="00155DFD">
      <w:pPr>
        <w:pStyle w:val="ListParagraph"/>
        <w:numPr>
          <w:ilvl w:val="0"/>
          <w:numId w:val="9"/>
        </w:numPr>
        <w:contextualSpacing w:val="0"/>
        <w:rPr>
          <w:rFonts w:cs="Arial"/>
          <w:color w:val="000000" w:themeColor="text1"/>
          <w:szCs w:val="16"/>
        </w:rPr>
      </w:pPr>
      <w:r w:rsidRPr="000F6E74">
        <w:rPr>
          <w:rFonts w:cs="Arial"/>
          <w:color w:val="000000" w:themeColor="text1"/>
          <w:szCs w:val="16"/>
        </w:rPr>
        <w:t>Participation rate for children with IEPs.</w:t>
      </w:r>
    </w:p>
    <w:p w14:paraId="5BE34F5D" w14:textId="64A16C6A" w:rsidR="001B1437" w:rsidRPr="000F6E74" w:rsidRDefault="001B1437" w:rsidP="00155DFD">
      <w:pPr>
        <w:pStyle w:val="ListParagraph"/>
        <w:numPr>
          <w:ilvl w:val="0"/>
          <w:numId w:val="9"/>
        </w:numPr>
        <w:contextualSpacing w:val="0"/>
        <w:rPr>
          <w:rFonts w:cs="Arial"/>
          <w:color w:val="000000" w:themeColor="text1"/>
          <w:szCs w:val="16"/>
        </w:rPr>
      </w:pPr>
      <w:r w:rsidRPr="000F6E74">
        <w:rPr>
          <w:rFonts w:cs="Arial"/>
          <w:szCs w:val="16"/>
        </w:rPr>
        <w:t>Proficiency rate for children with IEPs against grade level academic achievement standards.</w:t>
      </w:r>
    </w:p>
    <w:p w14:paraId="3A689820" w14:textId="59EC86A1" w:rsidR="001B1437" w:rsidRPr="000F6E74" w:rsidRDefault="001B1437" w:rsidP="00155DFD">
      <w:pPr>
        <w:pStyle w:val="ListParagraph"/>
        <w:numPr>
          <w:ilvl w:val="0"/>
          <w:numId w:val="9"/>
        </w:numPr>
        <w:contextualSpacing w:val="0"/>
        <w:rPr>
          <w:rFonts w:cs="Arial"/>
          <w:color w:val="000000" w:themeColor="text1"/>
          <w:szCs w:val="16"/>
        </w:rPr>
      </w:pPr>
      <w:r w:rsidRPr="000F6E74">
        <w:rPr>
          <w:rFonts w:cs="Arial"/>
          <w:color w:val="000000" w:themeColor="text1"/>
          <w:szCs w:val="16"/>
        </w:rPr>
        <w:t>Proficiency rate for children with IEPs against alternate academic achievement standards.</w:t>
      </w:r>
    </w:p>
    <w:p w14:paraId="59A0C855" w14:textId="2C2BAC4A" w:rsidR="001B1437" w:rsidRPr="000F6E74" w:rsidRDefault="001B1437" w:rsidP="00155DFD">
      <w:pPr>
        <w:pStyle w:val="ListParagraph"/>
        <w:numPr>
          <w:ilvl w:val="0"/>
          <w:numId w:val="9"/>
        </w:numPr>
        <w:contextualSpacing w:val="0"/>
        <w:rPr>
          <w:rFonts w:cs="Arial"/>
          <w:color w:val="000000" w:themeColor="text1"/>
          <w:szCs w:val="16"/>
        </w:rPr>
      </w:pPr>
      <w:r w:rsidRPr="000F6E74">
        <w:rPr>
          <w:rFonts w:cs="Arial"/>
          <w:szCs w:val="16"/>
        </w:rPr>
        <w:t>Gap in proficiency rates for children with IEPs and all students against grade level academic achievement standards.</w:t>
      </w:r>
    </w:p>
    <w:p w14:paraId="08325460" w14:textId="77777777" w:rsidR="001B1437" w:rsidRPr="00781112" w:rsidRDefault="001B1437" w:rsidP="000F6E74">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36581E">
      <w:pPr>
        <w:pStyle w:val="Heading4"/>
      </w:pPr>
      <w:r w:rsidRPr="00781112">
        <w:t>Data Source</w:t>
      </w:r>
    </w:p>
    <w:p w14:paraId="74E3B0EF" w14:textId="680BE39A" w:rsidR="00A14AEA" w:rsidRPr="0075451F" w:rsidRDefault="00A14AEA" w:rsidP="000F6E74">
      <w:pPr>
        <w:rPr>
          <w:rFonts w:cs="Arial"/>
          <w:szCs w:val="16"/>
        </w:rPr>
      </w:pPr>
      <w:r w:rsidRPr="00781112">
        <w:rPr>
          <w:rFonts w:cs="Arial"/>
          <w:color w:val="000000" w:themeColor="text1"/>
          <w:szCs w:val="16"/>
        </w:rPr>
        <w:t xml:space="preserve">3B. Same data as used for reporting to the Department under Title I of the ESEA, using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36581E">
      <w:pPr>
        <w:pStyle w:val="Heading4"/>
      </w:pPr>
      <w:r w:rsidRPr="00781112">
        <w:t>Measurement</w:t>
      </w:r>
    </w:p>
    <w:p w14:paraId="1B72B9D8" w14:textId="3D1018B6" w:rsidR="00781112" w:rsidRPr="000F6E74" w:rsidRDefault="001B1437" w:rsidP="00155DFD">
      <w:pPr>
        <w:pStyle w:val="ListParagraph"/>
        <w:numPr>
          <w:ilvl w:val="0"/>
          <w:numId w:val="10"/>
        </w:numPr>
        <w:ind w:left="360"/>
        <w:rPr>
          <w:rFonts w:cs="Arial"/>
          <w:szCs w:val="16"/>
        </w:rPr>
      </w:pPr>
      <w:r w:rsidRPr="000F6E74">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0F6E74">
        <w:rPr>
          <w:rFonts w:cs="Arial"/>
          <w:szCs w:val="16"/>
        </w:rPr>
        <w:t>.</w:t>
      </w:r>
    </w:p>
    <w:p w14:paraId="13B81A44" w14:textId="77777777" w:rsidR="005873EB" w:rsidRPr="00781112" w:rsidRDefault="005873EB" w:rsidP="0036581E">
      <w:pPr>
        <w:pStyle w:val="Heading4"/>
      </w:pPr>
      <w:r w:rsidRPr="00781112">
        <w:t>Instructions</w:t>
      </w:r>
    </w:p>
    <w:p w14:paraId="5315B3F5" w14:textId="77777777" w:rsidR="00A14AEA" w:rsidRPr="00781112" w:rsidRDefault="00A14AEA" w:rsidP="000F6E74">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0F6E74">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0F6E74">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0F6E74">
      <w:pPr>
        <w:pStyle w:val="Heading3"/>
      </w:pPr>
      <w:r w:rsidRPr="00781112">
        <w:lastRenderedPageBreak/>
        <w:t>3B</w:t>
      </w:r>
      <w:r w:rsidR="00BB4FD7" w:rsidRPr="00781112">
        <w:t xml:space="preserve"> </w:t>
      </w:r>
      <w:r w:rsidRPr="00781112">
        <w:t xml:space="preserve">- </w:t>
      </w:r>
      <w:r w:rsidR="00677C8C" w:rsidRPr="00781112">
        <w:t>Indicator Data</w:t>
      </w:r>
    </w:p>
    <w:bookmarkEnd w:id="13"/>
    <w:p w14:paraId="50B932F3" w14:textId="02BF29F1" w:rsidR="000E2739" w:rsidRPr="000E2739" w:rsidRDefault="000E2739" w:rsidP="00815ACE">
      <w:pPr>
        <w:pStyle w:val="Caption"/>
      </w:pPr>
      <w:r w:rsidRPr="000E2739">
        <w:t>Historical Data (3B)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baseline year and baseline data for this indicator."/>
      </w:tblPr>
      <w:tblGrid>
        <w:gridCol w:w="2158"/>
        <w:gridCol w:w="2158"/>
        <w:gridCol w:w="2158"/>
        <w:gridCol w:w="2158"/>
        <w:gridCol w:w="2158"/>
      </w:tblGrid>
      <w:tr w:rsidR="00E87854" w:rsidRPr="00781112" w14:paraId="12417720" w14:textId="77777777" w:rsidTr="00322DE8">
        <w:trPr>
          <w:trHeight w:val="494"/>
          <w:tblHeader/>
        </w:trPr>
        <w:tc>
          <w:tcPr>
            <w:tcW w:w="1000" w:type="pct"/>
            <w:tcBorders>
              <w:top w:val="single" w:sz="4" w:space="0" w:color="auto"/>
            </w:tcBorders>
            <w:shd w:val="clear" w:color="auto" w:fill="D9D9D9" w:themeFill="background1" w:themeFillShade="D9"/>
            <w:vAlign w:val="center"/>
          </w:tcPr>
          <w:p w14:paraId="7EC3C39F" w14:textId="77777777" w:rsidR="00E87854" w:rsidRPr="00781112" w:rsidRDefault="00E87854" w:rsidP="000F6E74">
            <w:pPr>
              <w:spacing w:after="0"/>
              <w:jc w:val="center"/>
              <w:rPr>
                <w:rFonts w:cs="Arial"/>
                <w:b/>
                <w:color w:val="000000" w:themeColor="text1"/>
                <w:szCs w:val="16"/>
              </w:rPr>
            </w:pPr>
            <w:r w:rsidRPr="00781112">
              <w:rPr>
                <w:rFonts w:cs="Arial"/>
                <w:b/>
                <w:color w:val="000000" w:themeColor="text1"/>
                <w:szCs w:val="16"/>
              </w:rPr>
              <w:t>Subject</w:t>
            </w:r>
          </w:p>
        </w:tc>
        <w:tc>
          <w:tcPr>
            <w:tcW w:w="1000" w:type="pct"/>
            <w:tcBorders>
              <w:top w:val="single" w:sz="4" w:space="0" w:color="auto"/>
            </w:tcBorders>
            <w:shd w:val="clear" w:color="auto" w:fill="D9D9D9" w:themeFill="background1" w:themeFillShade="D9"/>
            <w:vAlign w:val="center"/>
          </w:tcPr>
          <w:p w14:paraId="3734B12F" w14:textId="77777777" w:rsidR="00E87854" w:rsidRPr="00781112" w:rsidRDefault="00E87854" w:rsidP="000F6E74">
            <w:pPr>
              <w:spacing w:after="0"/>
              <w:jc w:val="center"/>
              <w:rPr>
                <w:rFonts w:cs="Arial"/>
                <w:b/>
                <w:color w:val="000000" w:themeColor="text1"/>
                <w:szCs w:val="16"/>
              </w:rPr>
            </w:pPr>
            <w:r w:rsidRPr="00781112">
              <w:rPr>
                <w:rFonts w:cs="Arial"/>
                <w:b/>
                <w:color w:val="000000" w:themeColor="text1"/>
                <w:szCs w:val="16"/>
              </w:rPr>
              <w:t xml:space="preserve">Group </w:t>
            </w:r>
          </w:p>
        </w:tc>
        <w:tc>
          <w:tcPr>
            <w:tcW w:w="1000" w:type="pct"/>
            <w:tcBorders>
              <w:top w:val="single" w:sz="4" w:space="0" w:color="auto"/>
            </w:tcBorders>
            <w:shd w:val="clear" w:color="auto" w:fill="D9D9D9" w:themeFill="background1" w:themeFillShade="D9"/>
            <w:vAlign w:val="center"/>
          </w:tcPr>
          <w:p w14:paraId="7B7E2CD1" w14:textId="77777777" w:rsidR="00E87854" w:rsidRPr="00781112" w:rsidRDefault="00E87854" w:rsidP="000F6E74">
            <w:pPr>
              <w:spacing w:after="0"/>
              <w:jc w:val="center"/>
              <w:rPr>
                <w:rFonts w:cs="Arial"/>
                <w:b/>
                <w:color w:val="000000" w:themeColor="text1"/>
                <w:szCs w:val="16"/>
              </w:rPr>
            </w:pPr>
            <w:r w:rsidRPr="00781112">
              <w:rPr>
                <w:rFonts w:cs="Arial"/>
                <w:b/>
                <w:color w:val="000000" w:themeColor="text1"/>
                <w:szCs w:val="16"/>
              </w:rPr>
              <w:t xml:space="preserve">Group Name </w:t>
            </w:r>
          </w:p>
        </w:tc>
        <w:tc>
          <w:tcPr>
            <w:tcW w:w="1000" w:type="pct"/>
            <w:tcBorders>
              <w:top w:val="single" w:sz="4" w:space="0" w:color="auto"/>
            </w:tcBorders>
            <w:shd w:val="clear" w:color="auto" w:fill="D9D9D9" w:themeFill="background1" w:themeFillShade="D9"/>
            <w:vAlign w:val="center"/>
          </w:tcPr>
          <w:p w14:paraId="328A387A" w14:textId="77777777" w:rsidR="00E87854" w:rsidRPr="00781112" w:rsidRDefault="00E87854" w:rsidP="000F6E74">
            <w:pPr>
              <w:spacing w:after="0"/>
              <w:jc w:val="center"/>
              <w:rPr>
                <w:rFonts w:cs="Arial"/>
                <w:b/>
                <w:color w:val="000000" w:themeColor="text1"/>
                <w:szCs w:val="16"/>
              </w:rPr>
            </w:pPr>
            <w:r w:rsidRPr="00781112">
              <w:rPr>
                <w:rFonts w:cs="Arial"/>
                <w:b/>
                <w:color w:val="000000" w:themeColor="text1"/>
                <w:szCs w:val="16"/>
              </w:rPr>
              <w:t xml:space="preserve">Baseline Year </w:t>
            </w:r>
          </w:p>
        </w:tc>
        <w:tc>
          <w:tcPr>
            <w:tcW w:w="1000" w:type="pct"/>
            <w:tcBorders>
              <w:top w:val="single" w:sz="4" w:space="0" w:color="auto"/>
            </w:tcBorders>
            <w:shd w:val="clear" w:color="auto" w:fill="D9D9D9" w:themeFill="background1" w:themeFillShade="D9"/>
            <w:vAlign w:val="center"/>
          </w:tcPr>
          <w:p w14:paraId="7BA55F2F" w14:textId="77777777" w:rsidR="00E87854" w:rsidRPr="00781112" w:rsidRDefault="00E87854" w:rsidP="000F6E74">
            <w:pPr>
              <w:spacing w:after="0"/>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22DE8">
        <w:trPr>
          <w:trHeight w:val="432"/>
        </w:trPr>
        <w:tc>
          <w:tcPr>
            <w:tcW w:w="1000" w:type="pct"/>
            <w:vAlign w:val="center"/>
          </w:tcPr>
          <w:p w14:paraId="7483D393" w14:textId="77777777" w:rsidR="00E87854" w:rsidRPr="00781112" w:rsidRDefault="00E87854" w:rsidP="000F6E74">
            <w:pPr>
              <w:spacing w:after="0"/>
              <w:jc w:val="center"/>
              <w:rPr>
                <w:rFonts w:cs="Arial"/>
                <w:b/>
                <w:bCs/>
                <w:color w:val="000000" w:themeColor="text1"/>
                <w:szCs w:val="16"/>
              </w:rPr>
            </w:pPr>
            <w:r w:rsidRPr="00781112">
              <w:rPr>
                <w:rFonts w:cs="Arial"/>
                <w:szCs w:val="16"/>
              </w:rPr>
              <w:t>Reading</w:t>
            </w:r>
          </w:p>
        </w:tc>
        <w:tc>
          <w:tcPr>
            <w:tcW w:w="1000" w:type="pct"/>
            <w:shd w:val="clear" w:color="auto" w:fill="auto"/>
            <w:vAlign w:val="center"/>
          </w:tcPr>
          <w:p w14:paraId="00589D27" w14:textId="77777777"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A</w:t>
            </w:r>
          </w:p>
        </w:tc>
        <w:tc>
          <w:tcPr>
            <w:tcW w:w="1000" w:type="pct"/>
            <w:shd w:val="clear" w:color="auto" w:fill="auto"/>
            <w:vAlign w:val="center"/>
          </w:tcPr>
          <w:p w14:paraId="62918043" w14:textId="606DEBBA"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Grade 4</w:t>
            </w:r>
          </w:p>
        </w:tc>
        <w:tc>
          <w:tcPr>
            <w:tcW w:w="1000" w:type="pct"/>
            <w:shd w:val="clear" w:color="auto" w:fill="auto"/>
            <w:vAlign w:val="center"/>
          </w:tcPr>
          <w:p w14:paraId="02F272CC" w14:textId="71E3B85C"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2020</w:t>
            </w:r>
          </w:p>
        </w:tc>
        <w:tc>
          <w:tcPr>
            <w:tcW w:w="1000" w:type="pct"/>
            <w:vAlign w:val="center"/>
          </w:tcPr>
          <w:p w14:paraId="2A2A9F8D" w14:textId="7B983B8C" w:rsidR="00E87854" w:rsidRPr="00781112" w:rsidRDefault="00E87854" w:rsidP="000F6E74">
            <w:pPr>
              <w:spacing w:after="0"/>
              <w:jc w:val="center"/>
              <w:rPr>
                <w:color w:val="000000" w:themeColor="text1"/>
              </w:rPr>
            </w:pPr>
            <w:r w:rsidRPr="00781112">
              <w:rPr>
                <w:rFonts w:cs="Arial"/>
                <w:color w:val="000000" w:themeColor="text1"/>
                <w:szCs w:val="16"/>
              </w:rPr>
              <w:t>38.05%</w:t>
            </w:r>
          </w:p>
        </w:tc>
      </w:tr>
      <w:tr w:rsidR="00E87854" w:rsidRPr="00781112" w14:paraId="60278D71" w14:textId="77777777" w:rsidTr="00322DE8">
        <w:trPr>
          <w:trHeight w:val="432"/>
        </w:trPr>
        <w:tc>
          <w:tcPr>
            <w:tcW w:w="1000" w:type="pct"/>
            <w:vAlign w:val="center"/>
          </w:tcPr>
          <w:p w14:paraId="3507BA0D" w14:textId="77777777" w:rsidR="00E87854" w:rsidRPr="00781112" w:rsidRDefault="00E87854" w:rsidP="000F6E74">
            <w:pPr>
              <w:spacing w:after="0"/>
              <w:jc w:val="center"/>
              <w:rPr>
                <w:rFonts w:cs="Arial"/>
                <w:b/>
                <w:bCs/>
                <w:color w:val="000000" w:themeColor="text1"/>
                <w:szCs w:val="16"/>
              </w:rPr>
            </w:pPr>
            <w:r w:rsidRPr="00781112">
              <w:rPr>
                <w:rFonts w:cs="Arial"/>
                <w:szCs w:val="16"/>
              </w:rPr>
              <w:t>Reading</w:t>
            </w:r>
          </w:p>
        </w:tc>
        <w:tc>
          <w:tcPr>
            <w:tcW w:w="1000" w:type="pct"/>
            <w:shd w:val="clear" w:color="auto" w:fill="auto"/>
            <w:vAlign w:val="center"/>
          </w:tcPr>
          <w:p w14:paraId="04794670" w14:textId="77777777"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B</w:t>
            </w:r>
          </w:p>
        </w:tc>
        <w:tc>
          <w:tcPr>
            <w:tcW w:w="1000" w:type="pct"/>
            <w:shd w:val="clear" w:color="auto" w:fill="auto"/>
            <w:vAlign w:val="center"/>
          </w:tcPr>
          <w:p w14:paraId="3B8FF5A1" w14:textId="37E21D7F"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Grade 8</w:t>
            </w:r>
          </w:p>
        </w:tc>
        <w:tc>
          <w:tcPr>
            <w:tcW w:w="1000" w:type="pct"/>
            <w:shd w:val="clear" w:color="auto" w:fill="auto"/>
            <w:vAlign w:val="center"/>
          </w:tcPr>
          <w:p w14:paraId="1CCEEB25" w14:textId="1C22E745"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2020</w:t>
            </w:r>
          </w:p>
        </w:tc>
        <w:tc>
          <w:tcPr>
            <w:tcW w:w="1000" w:type="pct"/>
            <w:vAlign w:val="center"/>
          </w:tcPr>
          <w:p w14:paraId="491FB31F" w14:textId="070EC956"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30.68%</w:t>
            </w:r>
          </w:p>
        </w:tc>
      </w:tr>
      <w:tr w:rsidR="00E87854" w:rsidRPr="00781112" w14:paraId="2E17CFEC" w14:textId="77777777" w:rsidTr="00322DE8">
        <w:trPr>
          <w:trHeight w:val="432"/>
        </w:trPr>
        <w:tc>
          <w:tcPr>
            <w:tcW w:w="1000" w:type="pct"/>
            <w:vAlign w:val="center"/>
          </w:tcPr>
          <w:p w14:paraId="686A1871" w14:textId="77777777" w:rsidR="00E87854" w:rsidRPr="00781112" w:rsidRDefault="00E87854" w:rsidP="000F6E74">
            <w:pPr>
              <w:spacing w:after="0"/>
              <w:jc w:val="center"/>
              <w:rPr>
                <w:rFonts w:cs="Arial"/>
                <w:b/>
                <w:bCs/>
                <w:color w:val="000000" w:themeColor="text1"/>
                <w:szCs w:val="16"/>
              </w:rPr>
            </w:pPr>
            <w:r w:rsidRPr="00781112">
              <w:rPr>
                <w:rFonts w:cs="Arial"/>
                <w:szCs w:val="16"/>
              </w:rPr>
              <w:t>Reading</w:t>
            </w:r>
          </w:p>
        </w:tc>
        <w:tc>
          <w:tcPr>
            <w:tcW w:w="1000" w:type="pct"/>
            <w:shd w:val="clear" w:color="auto" w:fill="auto"/>
            <w:vAlign w:val="center"/>
          </w:tcPr>
          <w:p w14:paraId="49389293" w14:textId="77777777"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C</w:t>
            </w:r>
          </w:p>
        </w:tc>
        <w:tc>
          <w:tcPr>
            <w:tcW w:w="1000" w:type="pct"/>
            <w:shd w:val="clear" w:color="auto" w:fill="auto"/>
            <w:vAlign w:val="center"/>
          </w:tcPr>
          <w:p w14:paraId="1A5BDDFB" w14:textId="2058F5F3"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Grade HS</w:t>
            </w:r>
          </w:p>
        </w:tc>
        <w:tc>
          <w:tcPr>
            <w:tcW w:w="1000" w:type="pct"/>
            <w:shd w:val="clear" w:color="auto" w:fill="auto"/>
            <w:vAlign w:val="center"/>
          </w:tcPr>
          <w:p w14:paraId="515FB216" w14:textId="6B3B7253"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2020</w:t>
            </w:r>
          </w:p>
        </w:tc>
        <w:tc>
          <w:tcPr>
            <w:tcW w:w="1000" w:type="pct"/>
            <w:vAlign w:val="center"/>
          </w:tcPr>
          <w:p w14:paraId="5F3FCFE8" w14:textId="7784B726"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47.95%</w:t>
            </w:r>
          </w:p>
        </w:tc>
      </w:tr>
      <w:tr w:rsidR="00E87854" w:rsidRPr="00781112" w14:paraId="2DE181AC" w14:textId="77777777" w:rsidTr="00322DE8">
        <w:trPr>
          <w:trHeight w:val="432"/>
        </w:trPr>
        <w:tc>
          <w:tcPr>
            <w:tcW w:w="1000" w:type="pct"/>
            <w:vAlign w:val="center"/>
          </w:tcPr>
          <w:p w14:paraId="62906600" w14:textId="77777777" w:rsidR="00E87854" w:rsidRPr="00781112" w:rsidRDefault="00E87854" w:rsidP="000F6E74">
            <w:pPr>
              <w:spacing w:after="0"/>
              <w:jc w:val="center"/>
              <w:rPr>
                <w:rFonts w:cs="Arial"/>
                <w:b/>
                <w:bCs/>
                <w:color w:val="000000" w:themeColor="text1"/>
                <w:szCs w:val="16"/>
              </w:rPr>
            </w:pPr>
            <w:r w:rsidRPr="00781112">
              <w:rPr>
                <w:rFonts w:cs="Arial"/>
                <w:szCs w:val="16"/>
              </w:rPr>
              <w:t>Math</w:t>
            </w:r>
          </w:p>
        </w:tc>
        <w:tc>
          <w:tcPr>
            <w:tcW w:w="1000" w:type="pct"/>
            <w:shd w:val="clear" w:color="auto" w:fill="auto"/>
            <w:vAlign w:val="center"/>
          </w:tcPr>
          <w:p w14:paraId="58A602F6" w14:textId="77777777"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A</w:t>
            </w:r>
          </w:p>
        </w:tc>
        <w:tc>
          <w:tcPr>
            <w:tcW w:w="1000" w:type="pct"/>
            <w:shd w:val="clear" w:color="auto" w:fill="auto"/>
            <w:vAlign w:val="center"/>
          </w:tcPr>
          <w:p w14:paraId="73CC85F5" w14:textId="434951B5"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Grade 4</w:t>
            </w:r>
          </w:p>
        </w:tc>
        <w:tc>
          <w:tcPr>
            <w:tcW w:w="1000" w:type="pct"/>
            <w:shd w:val="clear" w:color="auto" w:fill="auto"/>
            <w:vAlign w:val="center"/>
          </w:tcPr>
          <w:p w14:paraId="083C0C1B" w14:textId="1213FD2B"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2020</w:t>
            </w:r>
          </w:p>
        </w:tc>
        <w:tc>
          <w:tcPr>
            <w:tcW w:w="1000" w:type="pct"/>
            <w:vAlign w:val="center"/>
          </w:tcPr>
          <w:p w14:paraId="02A92448" w14:textId="0F5F274D"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27.95%</w:t>
            </w:r>
          </w:p>
        </w:tc>
      </w:tr>
      <w:tr w:rsidR="00E87854" w:rsidRPr="00781112" w14:paraId="15831A3C" w14:textId="77777777" w:rsidTr="00322DE8">
        <w:trPr>
          <w:trHeight w:val="432"/>
        </w:trPr>
        <w:tc>
          <w:tcPr>
            <w:tcW w:w="1000" w:type="pct"/>
            <w:vAlign w:val="center"/>
          </w:tcPr>
          <w:p w14:paraId="3F388113" w14:textId="77777777" w:rsidR="00E87854" w:rsidRPr="00781112" w:rsidRDefault="00E87854" w:rsidP="000F6E74">
            <w:pPr>
              <w:spacing w:after="0"/>
              <w:jc w:val="center"/>
              <w:rPr>
                <w:rFonts w:cs="Arial"/>
                <w:b/>
                <w:bCs/>
                <w:color w:val="000000" w:themeColor="text1"/>
                <w:szCs w:val="16"/>
              </w:rPr>
            </w:pPr>
            <w:r w:rsidRPr="00781112">
              <w:rPr>
                <w:rFonts w:cs="Arial"/>
                <w:szCs w:val="16"/>
              </w:rPr>
              <w:t>Math</w:t>
            </w:r>
          </w:p>
        </w:tc>
        <w:tc>
          <w:tcPr>
            <w:tcW w:w="1000" w:type="pct"/>
            <w:shd w:val="clear" w:color="auto" w:fill="auto"/>
            <w:vAlign w:val="center"/>
          </w:tcPr>
          <w:p w14:paraId="75BC7B5C" w14:textId="77777777"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B</w:t>
            </w:r>
          </w:p>
        </w:tc>
        <w:tc>
          <w:tcPr>
            <w:tcW w:w="1000" w:type="pct"/>
            <w:shd w:val="clear" w:color="auto" w:fill="auto"/>
            <w:vAlign w:val="center"/>
          </w:tcPr>
          <w:p w14:paraId="5AD560DF" w14:textId="6ED06A7D"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Grade 8</w:t>
            </w:r>
          </w:p>
        </w:tc>
        <w:tc>
          <w:tcPr>
            <w:tcW w:w="1000" w:type="pct"/>
            <w:shd w:val="clear" w:color="auto" w:fill="auto"/>
            <w:vAlign w:val="center"/>
          </w:tcPr>
          <w:p w14:paraId="46F22CF1" w14:textId="7783498C"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2020</w:t>
            </w:r>
          </w:p>
        </w:tc>
        <w:tc>
          <w:tcPr>
            <w:tcW w:w="1000" w:type="pct"/>
            <w:vAlign w:val="center"/>
          </w:tcPr>
          <w:p w14:paraId="53B302E6" w14:textId="2F431F68"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21.75%</w:t>
            </w:r>
          </w:p>
        </w:tc>
      </w:tr>
      <w:tr w:rsidR="00E87854" w:rsidRPr="00781112" w14:paraId="5866D3B1" w14:textId="77777777" w:rsidTr="00322DE8">
        <w:trPr>
          <w:trHeight w:val="432"/>
        </w:trPr>
        <w:tc>
          <w:tcPr>
            <w:tcW w:w="1000" w:type="pct"/>
            <w:vAlign w:val="center"/>
          </w:tcPr>
          <w:p w14:paraId="619219C1" w14:textId="77777777" w:rsidR="00E87854" w:rsidRPr="00781112" w:rsidRDefault="00E87854" w:rsidP="000F6E74">
            <w:pPr>
              <w:spacing w:after="0"/>
              <w:jc w:val="center"/>
              <w:rPr>
                <w:rFonts w:cs="Arial"/>
                <w:b/>
                <w:bCs/>
                <w:color w:val="000000" w:themeColor="text1"/>
                <w:szCs w:val="16"/>
              </w:rPr>
            </w:pPr>
            <w:r w:rsidRPr="00781112">
              <w:rPr>
                <w:rFonts w:cs="Arial"/>
                <w:szCs w:val="16"/>
              </w:rPr>
              <w:t>Math</w:t>
            </w:r>
          </w:p>
        </w:tc>
        <w:tc>
          <w:tcPr>
            <w:tcW w:w="1000" w:type="pct"/>
            <w:shd w:val="clear" w:color="auto" w:fill="auto"/>
            <w:vAlign w:val="center"/>
          </w:tcPr>
          <w:p w14:paraId="3CF2F687" w14:textId="77777777"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C</w:t>
            </w:r>
          </w:p>
        </w:tc>
        <w:tc>
          <w:tcPr>
            <w:tcW w:w="1000" w:type="pct"/>
            <w:shd w:val="clear" w:color="auto" w:fill="auto"/>
            <w:vAlign w:val="center"/>
          </w:tcPr>
          <w:p w14:paraId="4FE864B8" w14:textId="002FA991"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Grade HS</w:t>
            </w:r>
          </w:p>
        </w:tc>
        <w:tc>
          <w:tcPr>
            <w:tcW w:w="1000" w:type="pct"/>
            <w:shd w:val="clear" w:color="auto" w:fill="auto"/>
            <w:vAlign w:val="center"/>
          </w:tcPr>
          <w:p w14:paraId="216CD238" w14:textId="75E8822F"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2020</w:t>
            </w:r>
          </w:p>
        </w:tc>
        <w:tc>
          <w:tcPr>
            <w:tcW w:w="1000" w:type="pct"/>
            <w:vAlign w:val="center"/>
          </w:tcPr>
          <w:p w14:paraId="66C96CFB" w14:textId="3BA21F14" w:rsidR="00E87854" w:rsidRPr="00781112" w:rsidRDefault="00E87854" w:rsidP="000F6E74">
            <w:pPr>
              <w:spacing w:after="0"/>
              <w:jc w:val="center"/>
              <w:rPr>
                <w:rFonts w:cs="Arial"/>
                <w:color w:val="000000" w:themeColor="text1"/>
                <w:szCs w:val="16"/>
              </w:rPr>
            </w:pPr>
            <w:r w:rsidRPr="00781112">
              <w:rPr>
                <w:rFonts w:cs="Arial"/>
                <w:color w:val="000000" w:themeColor="text1"/>
                <w:szCs w:val="16"/>
              </w:rPr>
              <w:t>37.60%</w:t>
            </w:r>
          </w:p>
        </w:tc>
      </w:tr>
    </w:tbl>
    <w:p w14:paraId="0F512E5C" w14:textId="3533AC20" w:rsidR="000E2739" w:rsidRPr="000E2739" w:rsidRDefault="000E2739" w:rsidP="00815ACE">
      <w:pPr>
        <w:pStyle w:val="Caption"/>
      </w:pPr>
      <w:r w:rsidRPr="000E2739">
        <w:t>Targets (3B)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255"/>
        <w:gridCol w:w="1529"/>
        <w:gridCol w:w="1079"/>
        <w:gridCol w:w="1155"/>
        <w:gridCol w:w="1155"/>
        <w:gridCol w:w="1155"/>
        <w:gridCol w:w="1155"/>
        <w:gridCol w:w="1155"/>
        <w:gridCol w:w="1152"/>
      </w:tblGrid>
      <w:tr w:rsidR="00536B0B" w:rsidRPr="00781112" w14:paraId="241559C7" w14:textId="3976E689" w:rsidTr="000E2739">
        <w:tc>
          <w:tcPr>
            <w:tcW w:w="582" w:type="pct"/>
            <w:tcBorders>
              <w:bottom w:val="single" w:sz="4" w:space="0" w:color="auto"/>
            </w:tcBorders>
            <w:shd w:val="clear" w:color="auto" w:fill="D9D9D9" w:themeFill="background1" w:themeFillShade="D9"/>
            <w:vAlign w:val="center"/>
          </w:tcPr>
          <w:p w14:paraId="5F6C0247" w14:textId="02A2F5D1" w:rsidR="00536B0B" w:rsidRPr="00781112" w:rsidRDefault="00536B0B" w:rsidP="00B07804">
            <w:pPr>
              <w:spacing w:after="0"/>
              <w:jc w:val="center"/>
              <w:rPr>
                <w:b/>
                <w:color w:val="000000" w:themeColor="text1"/>
              </w:rPr>
            </w:pPr>
            <w:r w:rsidRPr="00781112">
              <w:rPr>
                <w:b/>
                <w:color w:val="000000" w:themeColor="text1"/>
              </w:rPr>
              <w:t>Subject</w:t>
            </w:r>
          </w:p>
        </w:tc>
        <w:tc>
          <w:tcPr>
            <w:tcW w:w="709" w:type="pct"/>
            <w:tcBorders>
              <w:bottom w:val="single" w:sz="4" w:space="0" w:color="auto"/>
            </w:tcBorders>
            <w:shd w:val="clear" w:color="auto" w:fill="D9D9D9" w:themeFill="background1" w:themeFillShade="D9"/>
            <w:vAlign w:val="center"/>
          </w:tcPr>
          <w:p w14:paraId="1318C08B" w14:textId="57349DD9" w:rsidR="00536B0B" w:rsidRPr="00781112" w:rsidRDefault="00536B0B" w:rsidP="00B07804">
            <w:pPr>
              <w:spacing w:after="0"/>
              <w:jc w:val="center"/>
              <w:rPr>
                <w:b/>
                <w:color w:val="000000" w:themeColor="text1"/>
              </w:rPr>
            </w:pPr>
            <w:r w:rsidRPr="00781112">
              <w:rPr>
                <w:b/>
                <w:color w:val="000000" w:themeColor="text1"/>
              </w:rPr>
              <w:t>Group</w:t>
            </w:r>
          </w:p>
        </w:tc>
        <w:tc>
          <w:tcPr>
            <w:tcW w:w="500" w:type="pct"/>
            <w:shd w:val="clear" w:color="auto" w:fill="D9D9D9" w:themeFill="background1" w:themeFillShade="D9"/>
            <w:vAlign w:val="center"/>
          </w:tcPr>
          <w:p w14:paraId="7EAB09FA" w14:textId="030EC418" w:rsidR="00536B0B" w:rsidRPr="00781112" w:rsidDel="008E7B87" w:rsidRDefault="00536B0B" w:rsidP="00B07804">
            <w:pPr>
              <w:spacing w:after="0"/>
              <w:jc w:val="center"/>
              <w:rPr>
                <w:b/>
                <w:color w:val="000000" w:themeColor="text1"/>
              </w:rPr>
            </w:pPr>
            <w:r w:rsidRPr="00781112">
              <w:rPr>
                <w:b/>
                <w:color w:val="000000" w:themeColor="text1"/>
              </w:rPr>
              <w:t>Group Name</w:t>
            </w:r>
          </w:p>
        </w:tc>
        <w:tc>
          <w:tcPr>
            <w:tcW w:w="535" w:type="pct"/>
            <w:shd w:val="clear" w:color="auto" w:fill="D9D9D9" w:themeFill="background1" w:themeFillShade="D9"/>
            <w:vAlign w:val="center"/>
          </w:tcPr>
          <w:p w14:paraId="547F4988" w14:textId="1F981DE2" w:rsidR="00536B0B" w:rsidRPr="00781112" w:rsidRDefault="00536B0B" w:rsidP="00B07804">
            <w:pPr>
              <w:spacing w:after="0"/>
              <w:jc w:val="center"/>
              <w:rPr>
                <w:b/>
                <w:color w:val="000000" w:themeColor="text1"/>
              </w:rPr>
            </w:pPr>
            <w:r w:rsidRPr="00781112">
              <w:rPr>
                <w:b/>
                <w:color w:val="000000" w:themeColor="text1"/>
              </w:rPr>
              <w:t>2020</w:t>
            </w:r>
          </w:p>
        </w:tc>
        <w:tc>
          <w:tcPr>
            <w:tcW w:w="535" w:type="pct"/>
            <w:shd w:val="clear" w:color="auto" w:fill="D9D9D9" w:themeFill="background1" w:themeFillShade="D9"/>
            <w:vAlign w:val="center"/>
          </w:tcPr>
          <w:p w14:paraId="54E0670C" w14:textId="46A8862B" w:rsidR="00536B0B" w:rsidRPr="00781112" w:rsidRDefault="00536B0B" w:rsidP="00B07804">
            <w:pPr>
              <w:spacing w:after="0"/>
              <w:jc w:val="center"/>
              <w:rPr>
                <w:b/>
                <w:color w:val="000000" w:themeColor="text1"/>
              </w:rPr>
            </w:pPr>
            <w:r w:rsidRPr="00781112">
              <w:rPr>
                <w:rFonts w:cs="Arial"/>
                <w:b/>
                <w:color w:val="000000" w:themeColor="text1"/>
                <w:szCs w:val="16"/>
              </w:rPr>
              <w:t>2021</w:t>
            </w:r>
          </w:p>
        </w:tc>
        <w:tc>
          <w:tcPr>
            <w:tcW w:w="535" w:type="pct"/>
            <w:shd w:val="clear" w:color="auto" w:fill="D9D9D9" w:themeFill="background1" w:themeFillShade="D9"/>
            <w:vAlign w:val="center"/>
          </w:tcPr>
          <w:p w14:paraId="0317CAEF" w14:textId="4A2FF736" w:rsidR="00536B0B" w:rsidRPr="00781112" w:rsidRDefault="00536B0B" w:rsidP="00B07804">
            <w:pPr>
              <w:spacing w:after="0"/>
              <w:jc w:val="center"/>
              <w:rPr>
                <w:b/>
                <w:color w:val="000000" w:themeColor="text1"/>
              </w:rPr>
            </w:pPr>
            <w:r w:rsidRPr="00781112">
              <w:rPr>
                <w:rFonts w:cs="Arial"/>
                <w:b/>
                <w:color w:val="000000" w:themeColor="text1"/>
                <w:szCs w:val="16"/>
              </w:rPr>
              <w:t>2022</w:t>
            </w:r>
          </w:p>
        </w:tc>
        <w:tc>
          <w:tcPr>
            <w:tcW w:w="535" w:type="pct"/>
            <w:shd w:val="clear" w:color="auto" w:fill="D9D9D9" w:themeFill="background1" w:themeFillShade="D9"/>
            <w:vAlign w:val="center"/>
          </w:tcPr>
          <w:p w14:paraId="20B86A7A" w14:textId="2D2BB96C" w:rsidR="00536B0B" w:rsidRPr="00781112" w:rsidRDefault="00536B0B" w:rsidP="00B07804">
            <w:pPr>
              <w:spacing w:after="0"/>
              <w:jc w:val="center"/>
              <w:rPr>
                <w:b/>
                <w:color w:val="000000" w:themeColor="text1"/>
              </w:rPr>
            </w:pPr>
            <w:r w:rsidRPr="00781112">
              <w:rPr>
                <w:rFonts w:cs="Arial"/>
                <w:b/>
                <w:color w:val="000000" w:themeColor="text1"/>
                <w:szCs w:val="16"/>
              </w:rPr>
              <w:t>2023</w:t>
            </w:r>
          </w:p>
        </w:tc>
        <w:tc>
          <w:tcPr>
            <w:tcW w:w="535" w:type="pct"/>
            <w:shd w:val="clear" w:color="auto" w:fill="D9D9D9" w:themeFill="background1" w:themeFillShade="D9"/>
            <w:vAlign w:val="center"/>
          </w:tcPr>
          <w:p w14:paraId="076A0812" w14:textId="01751FCE" w:rsidR="00536B0B" w:rsidRPr="00781112" w:rsidRDefault="00536B0B" w:rsidP="00B07804">
            <w:pPr>
              <w:spacing w:after="0"/>
              <w:jc w:val="center"/>
              <w:rPr>
                <w:b/>
                <w:color w:val="000000" w:themeColor="text1"/>
              </w:rPr>
            </w:pPr>
            <w:r w:rsidRPr="00781112">
              <w:rPr>
                <w:rFonts w:cs="Arial"/>
                <w:b/>
                <w:color w:val="000000" w:themeColor="text1"/>
                <w:szCs w:val="16"/>
              </w:rPr>
              <w:t>2024</w:t>
            </w:r>
          </w:p>
        </w:tc>
        <w:tc>
          <w:tcPr>
            <w:tcW w:w="534" w:type="pct"/>
            <w:shd w:val="clear" w:color="auto" w:fill="D9D9D9" w:themeFill="background1" w:themeFillShade="D9"/>
            <w:vAlign w:val="center"/>
          </w:tcPr>
          <w:p w14:paraId="2176D829" w14:textId="0551E4D3" w:rsidR="00536B0B" w:rsidRPr="00781112" w:rsidRDefault="00536B0B" w:rsidP="00B07804">
            <w:pPr>
              <w:spacing w:after="0"/>
              <w:jc w:val="center"/>
              <w:rPr>
                <w:b/>
                <w:color w:val="000000" w:themeColor="text1"/>
              </w:rPr>
            </w:pPr>
            <w:r w:rsidRPr="00781112">
              <w:rPr>
                <w:rFonts w:cs="Arial"/>
                <w:b/>
                <w:color w:val="000000" w:themeColor="text1"/>
                <w:szCs w:val="16"/>
              </w:rPr>
              <w:t>2025</w:t>
            </w:r>
          </w:p>
        </w:tc>
      </w:tr>
      <w:tr w:rsidR="004E5C74" w:rsidRPr="00781112" w14:paraId="6D8B6989" w14:textId="160D0375" w:rsidTr="000E2739">
        <w:tc>
          <w:tcPr>
            <w:tcW w:w="582" w:type="pct"/>
            <w:shd w:val="clear" w:color="auto" w:fill="auto"/>
            <w:vAlign w:val="center"/>
          </w:tcPr>
          <w:p w14:paraId="1B70FAC0" w14:textId="0849CE9C"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Reading</w:t>
            </w:r>
          </w:p>
        </w:tc>
        <w:tc>
          <w:tcPr>
            <w:tcW w:w="709" w:type="pct"/>
            <w:shd w:val="clear" w:color="auto" w:fill="auto"/>
            <w:vAlign w:val="center"/>
          </w:tcPr>
          <w:p w14:paraId="6221F405" w14:textId="189877A2"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A &gt;=</w:t>
            </w:r>
          </w:p>
        </w:tc>
        <w:tc>
          <w:tcPr>
            <w:tcW w:w="500" w:type="pct"/>
            <w:shd w:val="clear" w:color="auto" w:fill="auto"/>
            <w:vAlign w:val="center"/>
          </w:tcPr>
          <w:p w14:paraId="6D2C8AC8" w14:textId="0101FADC" w:rsidR="004E5C74" w:rsidRPr="00781112" w:rsidDel="00DB0A73" w:rsidRDefault="004E5C74" w:rsidP="00B07804">
            <w:pPr>
              <w:spacing w:after="0"/>
              <w:jc w:val="center"/>
              <w:rPr>
                <w:rFonts w:cs="Arial"/>
                <w:color w:val="000000" w:themeColor="text1"/>
                <w:szCs w:val="16"/>
              </w:rPr>
            </w:pPr>
            <w:r w:rsidRPr="00781112">
              <w:rPr>
                <w:rFonts w:cs="Arial"/>
                <w:color w:val="000000" w:themeColor="text1"/>
                <w:szCs w:val="16"/>
              </w:rPr>
              <w:t>Grade 4</w:t>
            </w:r>
          </w:p>
        </w:tc>
        <w:tc>
          <w:tcPr>
            <w:tcW w:w="535" w:type="pct"/>
            <w:shd w:val="clear" w:color="auto" w:fill="auto"/>
            <w:vAlign w:val="center"/>
          </w:tcPr>
          <w:p w14:paraId="1794FDC8" w14:textId="2C32479D"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38.05%</w:t>
            </w:r>
          </w:p>
        </w:tc>
        <w:tc>
          <w:tcPr>
            <w:tcW w:w="535" w:type="pct"/>
            <w:vAlign w:val="center"/>
          </w:tcPr>
          <w:p w14:paraId="609A7D0F" w14:textId="138D9671"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38.55%</w:t>
            </w:r>
          </w:p>
        </w:tc>
        <w:tc>
          <w:tcPr>
            <w:tcW w:w="535" w:type="pct"/>
            <w:vAlign w:val="center"/>
          </w:tcPr>
          <w:p w14:paraId="3DF1FAFA" w14:textId="4C333171"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39.05%</w:t>
            </w:r>
          </w:p>
        </w:tc>
        <w:tc>
          <w:tcPr>
            <w:tcW w:w="535" w:type="pct"/>
            <w:vAlign w:val="center"/>
          </w:tcPr>
          <w:p w14:paraId="77B3DA55" w14:textId="44F9C6DA"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39.55%</w:t>
            </w:r>
          </w:p>
        </w:tc>
        <w:tc>
          <w:tcPr>
            <w:tcW w:w="535" w:type="pct"/>
            <w:vAlign w:val="center"/>
          </w:tcPr>
          <w:p w14:paraId="59DDD0B3" w14:textId="64292362"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40.05%</w:t>
            </w:r>
          </w:p>
        </w:tc>
        <w:tc>
          <w:tcPr>
            <w:tcW w:w="534" w:type="pct"/>
            <w:vAlign w:val="center"/>
          </w:tcPr>
          <w:p w14:paraId="0C4A4D97" w14:textId="38824368"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40.55%</w:t>
            </w:r>
          </w:p>
        </w:tc>
      </w:tr>
      <w:tr w:rsidR="004E5C74" w:rsidRPr="00781112" w14:paraId="6BD665D1" w14:textId="5FDF63E7" w:rsidTr="000E2739">
        <w:tc>
          <w:tcPr>
            <w:tcW w:w="582" w:type="pct"/>
            <w:shd w:val="clear" w:color="auto" w:fill="auto"/>
            <w:vAlign w:val="center"/>
          </w:tcPr>
          <w:p w14:paraId="2A84087F" w14:textId="4E8F4953"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Reading</w:t>
            </w:r>
          </w:p>
        </w:tc>
        <w:tc>
          <w:tcPr>
            <w:tcW w:w="709" w:type="pct"/>
            <w:shd w:val="clear" w:color="auto" w:fill="auto"/>
            <w:vAlign w:val="center"/>
          </w:tcPr>
          <w:p w14:paraId="2646C0D6" w14:textId="23685D27"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B &gt;=</w:t>
            </w:r>
          </w:p>
        </w:tc>
        <w:tc>
          <w:tcPr>
            <w:tcW w:w="500" w:type="pct"/>
            <w:shd w:val="clear" w:color="auto" w:fill="auto"/>
            <w:vAlign w:val="center"/>
          </w:tcPr>
          <w:p w14:paraId="67079A1D" w14:textId="08C9FD02" w:rsidR="004E5C74" w:rsidRPr="00781112" w:rsidDel="00DB0A73" w:rsidRDefault="004E5C74" w:rsidP="00B07804">
            <w:pPr>
              <w:spacing w:after="0"/>
              <w:jc w:val="center"/>
              <w:rPr>
                <w:rFonts w:cs="Arial"/>
                <w:color w:val="000000" w:themeColor="text1"/>
                <w:szCs w:val="16"/>
              </w:rPr>
            </w:pPr>
            <w:r w:rsidRPr="00781112">
              <w:rPr>
                <w:rFonts w:cs="Arial"/>
                <w:color w:val="000000" w:themeColor="text1"/>
                <w:szCs w:val="16"/>
              </w:rPr>
              <w:t>Grade 8</w:t>
            </w:r>
          </w:p>
        </w:tc>
        <w:tc>
          <w:tcPr>
            <w:tcW w:w="535" w:type="pct"/>
            <w:shd w:val="clear" w:color="auto" w:fill="auto"/>
            <w:vAlign w:val="center"/>
          </w:tcPr>
          <w:p w14:paraId="03609D46" w14:textId="75CA57B6"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30.68%</w:t>
            </w:r>
          </w:p>
        </w:tc>
        <w:tc>
          <w:tcPr>
            <w:tcW w:w="535" w:type="pct"/>
            <w:vAlign w:val="center"/>
          </w:tcPr>
          <w:p w14:paraId="08D72C36" w14:textId="2621CBFF"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31.18%</w:t>
            </w:r>
          </w:p>
        </w:tc>
        <w:tc>
          <w:tcPr>
            <w:tcW w:w="535" w:type="pct"/>
            <w:vAlign w:val="center"/>
          </w:tcPr>
          <w:p w14:paraId="60E9FAA2" w14:textId="0E1508C1"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31.68%</w:t>
            </w:r>
          </w:p>
        </w:tc>
        <w:tc>
          <w:tcPr>
            <w:tcW w:w="535" w:type="pct"/>
            <w:vAlign w:val="center"/>
          </w:tcPr>
          <w:p w14:paraId="55ED1028" w14:textId="05411637"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32.18%</w:t>
            </w:r>
          </w:p>
        </w:tc>
        <w:tc>
          <w:tcPr>
            <w:tcW w:w="535" w:type="pct"/>
            <w:vAlign w:val="center"/>
          </w:tcPr>
          <w:p w14:paraId="3D7C28F8" w14:textId="2CE26657"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32.68%</w:t>
            </w:r>
          </w:p>
        </w:tc>
        <w:tc>
          <w:tcPr>
            <w:tcW w:w="534" w:type="pct"/>
            <w:vAlign w:val="center"/>
          </w:tcPr>
          <w:p w14:paraId="1808780D" w14:textId="3285A0E2"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33.18%</w:t>
            </w:r>
          </w:p>
        </w:tc>
      </w:tr>
      <w:tr w:rsidR="004E5C74" w:rsidRPr="00781112" w14:paraId="7A08D372" w14:textId="5FBBCE88" w:rsidTr="000E2739">
        <w:tc>
          <w:tcPr>
            <w:tcW w:w="582" w:type="pct"/>
            <w:shd w:val="clear" w:color="auto" w:fill="auto"/>
            <w:vAlign w:val="center"/>
          </w:tcPr>
          <w:p w14:paraId="3C8DF435" w14:textId="69FCCDF1"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Reading</w:t>
            </w:r>
          </w:p>
        </w:tc>
        <w:tc>
          <w:tcPr>
            <w:tcW w:w="709" w:type="pct"/>
            <w:shd w:val="clear" w:color="auto" w:fill="auto"/>
            <w:vAlign w:val="center"/>
          </w:tcPr>
          <w:p w14:paraId="2CDE7790" w14:textId="3B90C904"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C &gt;=</w:t>
            </w:r>
          </w:p>
        </w:tc>
        <w:tc>
          <w:tcPr>
            <w:tcW w:w="500" w:type="pct"/>
            <w:shd w:val="clear" w:color="auto" w:fill="auto"/>
            <w:vAlign w:val="center"/>
          </w:tcPr>
          <w:p w14:paraId="69727A60" w14:textId="2476755A" w:rsidR="004E5C74" w:rsidRPr="00781112" w:rsidDel="00DB0A73" w:rsidRDefault="004E5C74" w:rsidP="00B07804">
            <w:pPr>
              <w:spacing w:after="0"/>
              <w:jc w:val="center"/>
              <w:rPr>
                <w:rFonts w:cs="Arial"/>
                <w:color w:val="000000" w:themeColor="text1"/>
                <w:szCs w:val="16"/>
              </w:rPr>
            </w:pPr>
            <w:r w:rsidRPr="00781112">
              <w:rPr>
                <w:rFonts w:cs="Arial"/>
                <w:color w:val="000000" w:themeColor="text1"/>
                <w:szCs w:val="16"/>
              </w:rPr>
              <w:t>Grade HS</w:t>
            </w:r>
          </w:p>
        </w:tc>
        <w:tc>
          <w:tcPr>
            <w:tcW w:w="535" w:type="pct"/>
            <w:shd w:val="clear" w:color="auto" w:fill="auto"/>
            <w:vAlign w:val="center"/>
          </w:tcPr>
          <w:p w14:paraId="6D9D8EC6" w14:textId="3C7C8315"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47.95%</w:t>
            </w:r>
          </w:p>
        </w:tc>
        <w:tc>
          <w:tcPr>
            <w:tcW w:w="535" w:type="pct"/>
            <w:vAlign w:val="center"/>
          </w:tcPr>
          <w:p w14:paraId="6F53672D" w14:textId="674E45B1"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48.45%</w:t>
            </w:r>
          </w:p>
        </w:tc>
        <w:tc>
          <w:tcPr>
            <w:tcW w:w="535" w:type="pct"/>
            <w:vAlign w:val="center"/>
          </w:tcPr>
          <w:p w14:paraId="1E839895" w14:textId="3633076A"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48.95%</w:t>
            </w:r>
          </w:p>
        </w:tc>
        <w:tc>
          <w:tcPr>
            <w:tcW w:w="535" w:type="pct"/>
            <w:vAlign w:val="center"/>
          </w:tcPr>
          <w:p w14:paraId="64501470" w14:textId="22292C16"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49.45%</w:t>
            </w:r>
          </w:p>
        </w:tc>
        <w:tc>
          <w:tcPr>
            <w:tcW w:w="535" w:type="pct"/>
            <w:vAlign w:val="center"/>
          </w:tcPr>
          <w:p w14:paraId="0CF7FF79" w14:textId="48B4AF2C"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49.95%</w:t>
            </w:r>
          </w:p>
        </w:tc>
        <w:tc>
          <w:tcPr>
            <w:tcW w:w="534" w:type="pct"/>
            <w:vAlign w:val="center"/>
          </w:tcPr>
          <w:p w14:paraId="42EF1AD6" w14:textId="1D4F7F5D"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50.45%</w:t>
            </w:r>
          </w:p>
        </w:tc>
      </w:tr>
      <w:tr w:rsidR="004E5C74" w:rsidRPr="00781112" w14:paraId="734BCCC4" w14:textId="02B757A8" w:rsidTr="000E2739">
        <w:tc>
          <w:tcPr>
            <w:tcW w:w="582" w:type="pct"/>
            <w:shd w:val="clear" w:color="auto" w:fill="auto"/>
            <w:vAlign w:val="center"/>
          </w:tcPr>
          <w:p w14:paraId="20286AC8" w14:textId="018C9C4D"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Math</w:t>
            </w:r>
          </w:p>
        </w:tc>
        <w:tc>
          <w:tcPr>
            <w:tcW w:w="709" w:type="pct"/>
            <w:shd w:val="clear" w:color="auto" w:fill="auto"/>
            <w:vAlign w:val="center"/>
          </w:tcPr>
          <w:p w14:paraId="185C8DA8" w14:textId="6254892D"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A &gt;=</w:t>
            </w:r>
          </w:p>
        </w:tc>
        <w:tc>
          <w:tcPr>
            <w:tcW w:w="500" w:type="pct"/>
            <w:shd w:val="clear" w:color="auto" w:fill="auto"/>
            <w:vAlign w:val="center"/>
          </w:tcPr>
          <w:p w14:paraId="16FD84A2" w14:textId="1BD2010B" w:rsidR="004E5C74" w:rsidRPr="00781112" w:rsidDel="00DB0A73" w:rsidRDefault="004E5C74" w:rsidP="00B07804">
            <w:pPr>
              <w:spacing w:after="0"/>
              <w:jc w:val="center"/>
              <w:rPr>
                <w:rFonts w:cs="Arial"/>
                <w:color w:val="000000" w:themeColor="text1"/>
                <w:szCs w:val="16"/>
              </w:rPr>
            </w:pPr>
            <w:r w:rsidRPr="00781112">
              <w:rPr>
                <w:rFonts w:cs="Arial"/>
                <w:color w:val="000000" w:themeColor="text1"/>
                <w:szCs w:val="16"/>
              </w:rPr>
              <w:t>Grade 4</w:t>
            </w:r>
          </w:p>
        </w:tc>
        <w:tc>
          <w:tcPr>
            <w:tcW w:w="535" w:type="pct"/>
            <w:shd w:val="clear" w:color="auto" w:fill="auto"/>
            <w:vAlign w:val="center"/>
          </w:tcPr>
          <w:p w14:paraId="0005999A" w14:textId="601F796F"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27.95%</w:t>
            </w:r>
          </w:p>
        </w:tc>
        <w:tc>
          <w:tcPr>
            <w:tcW w:w="535" w:type="pct"/>
            <w:vAlign w:val="center"/>
          </w:tcPr>
          <w:p w14:paraId="2ADA59C0" w14:textId="7F027C54"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28.45%</w:t>
            </w:r>
          </w:p>
        </w:tc>
        <w:tc>
          <w:tcPr>
            <w:tcW w:w="535" w:type="pct"/>
            <w:vAlign w:val="center"/>
          </w:tcPr>
          <w:p w14:paraId="63258519" w14:textId="524B5DC2"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28.95%</w:t>
            </w:r>
          </w:p>
        </w:tc>
        <w:tc>
          <w:tcPr>
            <w:tcW w:w="535" w:type="pct"/>
            <w:vAlign w:val="center"/>
          </w:tcPr>
          <w:p w14:paraId="4B2BD04F" w14:textId="59A32E65"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29.45%</w:t>
            </w:r>
          </w:p>
        </w:tc>
        <w:tc>
          <w:tcPr>
            <w:tcW w:w="535" w:type="pct"/>
            <w:vAlign w:val="center"/>
          </w:tcPr>
          <w:p w14:paraId="2E366D74" w14:textId="47D73C6E"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29.95%</w:t>
            </w:r>
          </w:p>
        </w:tc>
        <w:tc>
          <w:tcPr>
            <w:tcW w:w="534" w:type="pct"/>
            <w:vAlign w:val="center"/>
          </w:tcPr>
          <w:p w14:paraId="4EAA6E8B" w14:textId="65538945"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30.45%</w:t>
            </w:r>
          </w:p>
        </w:tc>
      </w:tr>
      <w:tr w:rsidR="004E5C74" w:rsidRPr="00781112" w14:paraId="26043383" w14:textId="3D057A6F" w:rsidTr="000E2739">
        <w:tc>
          <w:tcPr>
            <w:tcW w:w="582" w:type="pct"/>
            <w:shd w:val="clear" w:color="auto" w:fill="auto"/>
            <w:vAlign w:val="center"/>
          </w:tcPr>
          <w:p w14:paraId="2BCD3006" w14:textId="785241B2"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Math</w:t>
            </w:r>
          </w:p>
        </w:tc>
        <w:tc>
          <w:tcPr>
            <w:tcW w:w="709" w:type="pct"/>
            <w:shd w:val="clear" w:color="auto" w:fill="auto"/>
            <w:vAlign w:val="center"/>
          </w:tcPr>
          <w:p w14:paraId="79B80F0C" w14:textId="52C31857"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B &gt;=</w:t>
            </w:r>
          </w:p>
        </w:tc>
        <w:tc>
          <w:tcPr>
            <w:tcW w:w="500" w:type="pct"/>
            <w:shd w:val="clear" w:color="auto" w:fill="auto"/>
            <w:vAlign w:val="center"/>
          </w:tcPr>
          <w:p w14:paraId="27B1E35D" w14:textId="336183AA" w:rsidR="004E5C74" w:rsidRPr="00781112" w:rsidDel="00DB0A73" w:rsidRDefault="004E5C74" w:rsidP="00B07804">
            <w:pPr>
              <w:spacing w:after="0"/>
              <w:jc w:val="center"/>
              <w:rPr>
                <w:rFonts w:cs="Arial"/>
                <w:color w:val="000000" w:themeColor="text1"/>
                <w:szCs w:val="16"/>
              </w:rPr>
            </w:pPr>
            <w:r w:rsidRPr="00781112">
              <w:rPr>
                <w:rFonts w:cs="Arial"/>
                <w:color w:val="000000" w:themeColor="text1"/>
                <w:szCs w:val="16"/>
              </w:rPr>
              <w:t>Grade 8</w:t>
            </w:r>
          </w:p>
        </w:tc>
        <w:tc>
          <w:tcPr>
            <w:tcW w:w="535" w:type="pct"/>
            <w:shd w:val="clear" w:color="auto" w:fill="auto"/>
            <w:vAlign w:val="center"/>
          </w:tcPr>
          <w:p w14:paraId="25263A65" w14:textId="2189A9FC"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21.75%</w:t>
            </w:r>
          </w:p>
        </w:tc>
        <w:tc>
          <w:tcPr>
            <w:tcW w:w="535" w:type="pct"/>
            <w:vAlign w:val="center"/>
          </w:tcPr>
          <w:p w14:paraId="558D49D9" w14:textId="56776B71"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22.25%</w:t>
            </w:r>
          </w:p>
        </w:tc>
        <w:tc>
          <w:tcPr>
            <w:tcW w:w="535" w:type="pct"/>
            <w:vAlign w:val="center"/>
          </w:tcPr>
          <w:p w14:paraId="529C7F25" w14:textId="45E82B2D"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22.75%</w:t>
            </w:r>
          </w:p>
        </w:tc>
        <w:tc>
          <w:tcPr>
            <w:tcW w:w="535" w:type="pct"/>
            <w:vAlign w:val="center"/>
          </w:tcPr>
          <w:p w14:paraId="0CD7F429" w14:textId="3C743F76"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23.25%</w:t>
            </w:r>
          </w:p>
        </w:tc>
        <w:tc>
          <w:tcPr>
            <w:tcW w:w="535" w:type="pct"/>
            <w:vAlign w:val="center"/>
          </w:tcPr>
          <w:p w14:paraId="32C7804D" w14:textId="4585EF77"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23.75%</w:t>
            </w:r>
          </w:p>
        </w:tc>
        <w:tc>
          <w:tcPr>
            <w:tcW w:w="534" w:type="pct"/>
            <w:vAlign w:val="center"/>
          </w:tcPr>
          <w:p w14:paraId="1636C34D" w14:textId="4A778D79"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24.25%</w:t>
            </w:r>
          </w:p>
        </w:tc>
      </w:tr>
      <w:tr w:rsidR="004E5C74" w:rsidRPr="00781112" w14:paraId="169D5323" w14:textId="1CB4A506" w:rsidTr="000E2739">
        <w:tc>
          <w:tcPr>
            <w:tcW w:w="582" w:type="pct"/>
            <w:shd w:val="clear" w:color="auto" w:fill="auto"/>
            <w:vAlign w:val="center"/>
          </w:tcPr>
          <w:p w14:paraId="21DAE194" w14:textId="06AF539C"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Math</w:t>
            </w:r>
          </w:p>
        </w:tc>
        <w:tc>
          <w:tcPr>
            <w:tcW w:w="709" w:type="pct"/>
            <w:shd w:val="clear" w:color="auto" w:fill="auto"/>
            <w:vAlign w:val="center"/>
          </w:tcPr>
          <w:p w14:paraId="650CB8D7" w14:textId="080D022D"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C &gt;=</w:t>
            </w:r>
          </w:p>
        </w:tc>
        <w:tc>
          <w:tcPr>
            <w:tcW w:w="500" w:type="pct"/>
            <w:shd w:val="clear" w:color="auto" w:fill="auto"/>
            <w:vAlign w:val="center"/>
          </w:tcPr>
          <w:p w14:paraId="45DBFB21" w14:textId="372229DD" w:rsidR="004E5C74" w:rsidRPr="00781112" w:rsidDel="00DB0A73" w:rsidRDefault="004E5C74" w:rsidP="00B07804">
            <w:pPr>
              <w:spacing w:after="0"/>
              <w:jc w:val="center"/>
              <w:rPr>
                <w:rFonts w:cs="Arial"/>
                <w:color w:val="000000" w:themeColor="text1"/>
                <w:szCs w:val="16"/>
              </w:rPr>
            </w:pPr>
            <w:r w:rsidRPr="00781112">
              <w:rPr>
                <w:rFonts w:cs="Arial"/>
                <w:color w:val="000000" w:themeColor="text1"/>
                <w:szCs w:val="16"/>
              </w:rPr>
              <w:t>Grade HS</w:t>
            </w:r>
          </w:p>
        </w:tc>
        <w:tc>
          <w:tcPr>
            <w:tcW w:w="535" w:type="pct"/>
            <w:shd w:val="clear" w:color="auto" w:fill="auto"/>
            <w:vAlign w:val="center"/>
          </w:tcPr>
          <w:p w14:paraId="341BF449" w14:textId="76191C29"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37.60%</w:t>
            </w:r>
          </w:p>
        </w:tc>
        <w:tc>
          <w:tcPr>
            <w:tcW w:w="535" w:type="pct"/>
            <w:vAlign w:val="center"/>
          </w:tcPr>
          <w:p w14:paraId="5424FF66" w14:textId="7AB6DE06"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38.10%</w:t>
            </w:r>
          </w:p>
        </w:tc>
        <w:tc>
          <w:tcPr>
            <w:tcW w:w="535" w:type="pct"/>
            <w:vAlign w:val="center"/>
          </w:tcPr>
          <w:p w14:paraId="552DC3D3" w14:textId="79B2C0C8"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38.60%</w:t>
            </w:r>
          </w:p>
        </w:tc>
        <w:tc>
          <w:tcPr>
            <w:tcW w:w="535" w:type="pct"/>
            <w:vAlign w:val="center"/>
          </w:tcPr>
          <w:p w14:paraId="4ECE9215" w14:textId="1D6B1BD9"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39.10%</w:t>
            </w:r>
          </w:p>
        </w:tc>
        <w:tc>
          <w:tcPr>
            <w:tcW w:w="535" w:type="pct"/>
            <w:vAlign w:val="center"/>
          </w:tcPr>
          <w:p w14:paraId="6E3EC3AC" w14:textId="066F1EBD"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39.60%</w:t>
            </w:r>
          </w:p>
        </w:tc>
        <w:tc>
          <w:tcPr>
            <w:tcW w:w="534" w:type="pct"/>
            <w:vAlign w:val="center"/>
          </w:tcPr>
          <w:p w14:paraId="592B887B" w14:textId="09CB9AAC" w:rsidR="004E5C74" w:rsidRPr="00781112" w:rsidRDefault="004E5C74" w:rsidP="00B07804">
            <w:pPr>
              <w:spacing w:after="0"/>
              <w:jc w:val="center"/>
              <w:rPr>
                <w:rFonts w:cs="Arial"/>
                <w:color w:val="000000" w:themeColor="text1"/>
                <w:szCs w:val="16"/>
              </w:rPr>
            </w:pPr>
            <w:r w:rsidRPr="00781112">
              <w:rPr>
                <w:rFonts w:cs="Arial"/>
                <w:color w:val="000000" w:themeColor="text1"/>
                <w:szCs w:val="16"/>
              </w:rPr>
              <w:t>40.10%</w:t>
            </w:r>
          </w:p>
        </w:tc>
      </w:tr>
    </w:tbl>
    <w:p w14:paraId="102C9294" w14:textId="7583AEF1" w:rsidR="002D145D" w:rsidRPr="00781112" w:rsidRDefault="002D145D" w:rsidP="0036581E">
      <w:pPr>
        <w:pStyle w:val="Heading4"/>
      </w:pPr>
      <w:r w:rsidRPr="00781112">
        <w:t>Targets: Description of Stakeholder Input</w:t>
      </w:r>
    </w:p>
    <w:p w14:paraId="2AC4751F" w14:textId="77777777" w:rsidR="00B07804" w:rsidRPr="007D6196" w:rsidRDefault="002B7490" w:rsidP="00314F94">
      <w:pPr>
        <w:pStyle w:val="ListParagraph"/>
        <w:numPr>
          <w:ilvl w:val="0"/>
          <w:numId w:val="90"/>
        </w:numPr>
        <w:rPr>
          <w:rFonts w:cs="Arial"/>
          <w:color w:val="000000" w:themeColor="text1"/>
          <w:szCs w:val="16"/>
        </w:rPr>
      </w:pPr>
      <w:r w:rsidRPr="007D6196">
        <w:rPr>
          <w:rFonts w:cs="Arial"/>
          <w:color w:val="000000" w:themeColor="text1"/>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2446B7C2" w14:textId="4DCDDE3C" w:rsidR="00F20369" w:rsidRPr="00B07804" w:rsidRDefault="002B7490" w:rsidP="004C1EC0">
      <w:pPr>
        <w:ind w:left="720"/>
        <w:rPr>
          <w:rFonts w:cs="Arial"/>
          <w:color w:val="000000" w:themeColor="text1"/>
          <w:szCs w:val="16"/>
        </w:rPr>
      </w:pPr>
      <w:r w:rsidRPr="00781112">
        <w:rPr>
          <w:rFonts w:cs="Arial"/>
          <w:color w:val="000000" w:themeColor="text1"/>
          <w:szCs w:val="16"/>
        </w:rPr>
        <w:lastRenderedPageBreak/>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bookmarkStart w:id="14" w:name="_Toc392159273"/>
    </w:p>
    <w:p w14:paraId="2F64E7B3" w14:textId="68D4A963" w:rsidR="00344AE0" w:rsidRPr="00781112" w:rsidRDefault="00F6415A" w:rsidP="0036581E">
      <w:pPr>
        <w:pStyle w:val="Heading4"/>
      </w:pPr>
      <w:r w:rsidRPr="00781112">
        <w:t xml:space="preserve">FFY 2020 Data Disaggregation from </w:t>
      </w:r>
      <w:proofErr w:type="spellStart"/>
      <w:r w:rsidRPr="00781112">
        <w:t>EDFacts</w:t>
      </w:r>
      <w:proofErr w:type="spellEnd"/>
    </w:p>
    <w:p w14:paraId="6BDCF123" w14:textId="63B8DCB5" w:rsidR="00C01339" w:rsidRPr="00781112" w:rsidRDefault="00344AE0" w:rsidP="000F6E74">
      <w:pPr>
        <w:rPr>
          <w:rFonts w:cs="Arial"/>
          <w:b/>
          <w:color w:val="000000" w:themeColor="text1"/>
          <w:szCs w:val="16"/>
        </w:rPr>
      </w:pPr>
      <w:r w:rsidRPr="00781112">
        <w:rPr>
          <w:rFonts w:cs="Arial"/>
          <w:b/>
          <w:color w:val="000000" w:themeColor="text1"/>
          <w:szCs w:val="16"/>
        </w:rPr>
        <w:t>Data Source:</w:t>
      </w:r>
    </w:p>
    <w:p w14:paraId="5EBDA348" w14:textId="4BF943DC" w:rsidR="00C470E8" w:rsidRPr="007D6196" w:rsidRDefault="002B7490" w:rsidP="00314F94">
      <w:pPr>
        <w:pStyle w:val="ListParagraph"/>
        <w:numPr>
          <w:ilvl w:val="0"/>
          <w:numId w:val="91"/>
        </w:numPr>
        <w:rPr>
          <w:rFonts w:cs="Arial"/>
          <w:color w:val="000000" w:themeColor="text1"/>
          <w:szCs w:val="16"/>
        </w:rPr>
      </w:pPr>
      <w:r w:rsidRPr="007D6196">
        <w:rPr>
          <w:rFonts w:cs="Arial"/>
          <w:color w:val="000000" w:themeColor="text1"/>
          <w:szCs w:val="16"/>
        </w:rPr>
        <w:t>SY 2020-21 Assessment Data Groups - Reading (</w:t>
      </w:r>
      <w:proofErr w:type="spellStart"/>
      <w:r w:rsidRPr="007D6196">
        <w:rPr>
          <w:rFonts w:cs="Arial"/>
          <w:color w:val="000000" w:themeColor="text1"/>
          <w:szCs w:val="16"/>
        </w:rPr>
        <w:t>EDFacts</w:t>
      </w:r>
      <w:proofErr w:type="spellEnd"/>
      <w:r w:rsidRPr="007D6196">
        <w:rPr>
          <w:rFonts w:cs="Arial"/>
          <w:color w:val="000000" w:themeColor="text1"/>
          <w:szCs w:val="16"/>
        </w:rPr>
        <w:t xml:space="preserve"> file spec FS178; Data Group: 584)</w:t>
      </w:r>
    </w:p>
    <w:p w14:paraId="435988E5" w14:textId="45F7F088" w:rsidR="00C01339" w:rsidRPr="00781112" w:rsidRDefault="00344AE0" w:rsidP="000F6E74">
      <w:pPr>
        <w:rPr>
          <w:rFonts w:cs="Arial"/>
          <w:b/>
          <w:color w:val="000000" w:themeColor="text1"/>
          <w:szCs w:val="16"/>
        </w:rPr>
      </w:pPr>
      <w:r w:rsidRPr="00781112">
        <w:rPr>
          <w:rFonts w:cs="Arial"/>
          <w:b/>
          <w:color w:val="000000" w:themeColor="text1"/>
          <w:szCs w:val="16"/>
        </w:rPr>
        <w:t>Date:</w:t>
      </w:r>
    </w:p>
    <w:p w14:paraId="1E2D8106" w14:textId="34AD25B1" w:rsidR="00344AE0" w:rsidRPr="007D6196" w:rsidRDefault="002B7490" w:rsidP="00314F94">
      <w:pPr>
        <w:pStyle w:val="ListParagraph"/>
        <w:numPr>
          <w:ilvl w:val="0"/>
          <w:numId w:val="92"/>
        </w:numPr>
        <w:rPr>
          <w:rFonts w:cs="Arial"/>
          <w:color w:val="000000" w:themeColor="text1"/>
          <w:szCs w:val="16"/>
        </w:rPr>
      </w:pPr>
      <w:r w:rsidRPr="007D6196">
        <w:rPr>
          <w:rFonts w:cs="Arial"/>
          <w:color w:val="000000" w:themeColor="text1"/>
          <w:szCs w:val="16"/>
        </w:rPr>
        <w:t>03/03/2022</w:t>
      </w:r>
    </w:p>
    <w:p w14:paraId="2BA625D9" w14:textId="1E6792E2" w:rsidR="000E2739" w:rsidRPr="000E2739" w:rsidRDefault="000E2739" w:rsidP="00815ACE">
      <w:pPr>
        <w:pStyle w:val="Caption"/>
      </w:pPr>
      <w:bookmarkStart w:id="15" w:name="_Hlk121842396"/>
      <w:r w:rsidRPr="000E2739">
        <w:t>Reading Assessment Proficiency Data by Grade (3B)</w:t>
      </w:r>
    </w:p>
    <w:tbl>
      <w:tblPr>
        <w:tblStyle w:val="TableGrid"/>
        <w:tblW w:w="5000" w:type="pct"/>
        <w:tblLayout w:type="fixed"/>
        <w:tblLook w:val="04A0" w:firstRow="1" w:lastRow="0" w:firstColumn="1" w:lastColumn="0" w:noHBand="0" w:noVBand="1"/>
        <w:tblDescription w:val="Table provides reading assessment proficiency for grades 4, 8, and high school for children with IEPs."/>
      </w:tblPr>
      <w:tblGrid>
        <w:gridCol w:w="2426"/>
        <w:gridCol w:w="2788"/>
        <w:gridCol w:w="2788"/>
        <w:gridCol w:w="2788"/>
      </w:tblGrid>
      <w:tr w:rsidR="00BB2745" w:rsidRPr="00781112" w14:paraId="35CB1461" w14:textId="77777777" w:rsidTr="00B07804">
        <w:trPr>
          <w:trHeight w:val="485"/>
        </w:trPr>
        <w:tc>
          <w:tcPr>
            <w:tcW w:w="1124" w:type="pct"/>
            <w:shd w:val="clear" w:color="auto" w:fill="D9D9D9" w:themeFill="background1" w:themeFillShade="D9"/>
            <w:vAlign w:val="center"/>
          </w:tcPr>
          <w:bookmarkEnd w:id="15"/>
          <w:p w14:paraId="39D40F16" w14:textId="18178F77" w:rsidR="00BB2745" w:rsidRPr="00781112" w:rsidRDefault="00835EAD" w:rsidP="00B07804">
            <w:pPr>
              <w:spacing w:after="0" w:line="276" w:lineRule="auto"/>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D9D9D9" w:themeFill="background1" w:themeFillShade="D9"/>
            <w:vAlign w:val="center"/>
          </w:tcPr>
          <w:p w14:paraId="17538CC6" w14:textId="5AE78718" w:rsidR="00BB2745" w:rsidRPr="00781112" w:rsidRDefault="00BB2745" w:rsidP="00B07804">
            <w:pPr>
              <w:spacing w:after="0" w:line="276" w:lineRule="auto"/>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D9D9D9" w:themeFill="background1" w:themeFillShade="D9"/>
            <w:vAlign w:val="center"/>
          </w:tcPr>
          <w:p w14:paraId="7B4C40DF" w14:textId="7F368CC4" w:rsidR="00BB2745" w:rsidRPr="00781112" w:rsidRDefault="00BB2745" w:rsidP="00B07804">
            <w:pPr>
              <w:spacing w:after="0" w:line="276" w:lineRule="auto"/>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D9D9D9" w:themeFill="background1" w:themeFillShade="D9"/>
            <w:vAlign w:val="center"/>
          </w:tcPr>
          <w:p w14:paraId="3761AD03" w14:textId="6AC32E5E" w:rsidR="00BB2745" w:rsidRPr="00781112" w:rsidRDefault="00BB2745" w:rsidP="00B07804">
            <w:pPr>
              <w:spacing w:after="0" w:line="276" w:lineRule="auto"/>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B07804">
        <w:trPr>
          <w:trHeight w:val="2141"/>
        </w:trPr>
        <w:tc>
          <w:tcPr>
            <w:tcW w:w="1124" w:type="pct"/>
            <w:shd w:val="clear" w:color="auto" w:fill="auto"/>
            <w:vAlign w:val="center"/>
          </w:tcPr>
          <w:p w14:paraId="4AD99060" w14:textId="5CD6AD07" w:rsidR="003B0C91" w:rsidRPr="00781112" w:rsidRDefault="003B0C91" w:rsidP="00B07804">
            <w:pPr>
              <w:spacing w:after="0" w:line="276" w:lineRule="auto"/>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c>
          <w:tcPr>
            <w:tcW w:w="1292" w:type="pct"/>
            <w:shd w:val="clear" w:color="auto" w:fill="auto"/>
            <w:vAlign w:val="center"/>
          </w:tcPr>
          <w:p w14:paraId="51A72AB5" w14:textId="4469B046"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c>
          <w:tcPr>
            <w:tcW w:w="1292" w:type="pct"/>
            <w:shd w:val="clear" w:color="auto" w:fill="auto"/>
            <w:vAlign w:val="center"/>
          </w:tcPr>
          <w:p w14:paraId="151E318E" w14:textId="46F9C307"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r>
      <w:tr w:rsidR="003B0C91" w:rsidRPr="00781112" w14:paraId="4F287E15" w14:textId="77777777" w:rsidTr="00B07804">
        <w:trPr>
          <w:trHeight w:val="2420"/>
        </w:trPr>
        <w:tc>
          <w:tcPr>
            <w:tcW w:w="1124" w:type="pct"/>
            <w:shd w:val="clear" w:color="auto" w:fill="auto"/>
            <w:vAlign w:val="center"/>
          </w:tcPr>
          <w:p w14:paraId="3423EDAB" w14:textId="76BBADB8" w:rsidR="003B0C91" w:rsidRPr="00781112" w:rsidRDefault="003B0C91" w:rsidP="00B07804">
            <w:pPr>
              <w:spacing w:after="0" w:line="276" w:lineRule="auto"/>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c>
          <w:tcPr>
            <w:tcW w:w="1292" w:type="pct"/>
            <w:shd w:val="clear" w:color="auto" w:fill="auto"/>
            <w:vAlign w:val="center"/>
          </w:tcPr>
          <w:p w14:paraId="74B7B6E9" w14:textId="4E36B377"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c>
          <w:tcPr>
            <w:tcW w:w="1292" w:type="pct"/>
            <w:shd w:val="clear" w:color="auto" w:fill="auto"/>
            <w:vAlign w:val="center"/>
          </w:tcPr>
          <w:p w14:paraId="46F10147" w14:textId="1408D78A"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r>
      <w:tr w:rsidR="003B0C91" w:rsidRPr="00781112" w14:paraId="41239D5E" w14:textId="77777777" w:rsidTr="00B07804">
        <w:trPr>
          <w:trHeight w:val="2420"/>
        </w:trPr>
        <w:tc>
          <w:tcPr>
            <w:tcW w:w="1124" w:type="pct"/>
            <w:shd w:val="clear" w:color="auto" w:fill="auto"/>
            <w:vAlign w:val="center"/>
          </w:tcPr>
          <w:p w14:paraId="5F79CC0F" w14:textId="181C3E67" w:rsidR="003B0C91" w:rsidRPr="00781112" w:rsidRDefault="003B0C91" w:rsidP="00B07804">
            <w:pPr>
              <w:spacing w:after="0" w:line="276" w:lineRule="auto"/>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c>
          <w:tcPr>
            <w:tcW w:w="1292" w:type="pct"/>
            <w:shd w:val="clear" w:color="auto" w:fill="auto"/>
            <w:vAlign w:val="center"/>
          </w:tcPr>
          <w:p w14:paraId="47F69679" w14:textId="3EDB1646"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c>
          <w:tcPr>
            <w:tcW w:w="1292" w:type="pct"/>
            <w:shd w:val="clear" w:color="auto" w:fill="auto"/>
            <w:vAlign w:val="center"/>
          </w:tcPr>
          <w:p w14:paraId="59F768C9" w14:textId="4401EA9F" w:rsidR="003B0C91" w:rsidRPr="00781112" w:rsidRDefault="003B0C91" w:rsidP="00B07804">
            <w:pPr>
              <w:spacing w:after="0" w:line="276" w:lineRule="auto"/>
              <w:jc w:val="center"/>
              <w:rPr>
                <w:rFonts w:cs="Arial"/>
                <w:color w:val="000000" w:themeColor="text1"/>
                <w:szCs w:val="16"/>
              </w:rPr>
            </w:pPr>
            <w:r w:rsidRPr="00781112">
              <w:rPr>
                <w:rFonts w:cs="Arial"/>
                <w:color w:val="000000" w:themeColor="text1"/>
                <w:szCs w:val="16"/>
              </w:rPr>
              <w:t>0</w:t>
            </w:r>
          </w:p>
        </w:tc>
      </w:tr>
    </w:tbl>
    <w:p w14:paraId="1E132F60" w14:textId="77777777" w:rsidR="004C1EC0" w:rsidRDefault="004C1EC0">
      <w:pPr>
        <w:spacing w:after="200"/>
        <w:rPr>
          <w:rFonts w:cs="Arial"/>
          <w:b/>
          <w:color w:val="000000" w:themeColor="text1"/>
          <w:szCs w:val="16"/>
        </w:rPr>
      </w:pPr>
      <w:r>
        <w:rPr>
          <w:rFonts w:cs="Arial"/>
          <w:b/>
          <w:color w:val="000000" w:themeColor="text1"/>
          <w:szCs w:val="16"/>
        </w:rPr>
        <w:br w:type="page"/>
      </w:r>
    </w:p>
    <w:p w14:paraId="6D3557DD" w14:textId="15DB6DE2" w:rsidR="00C01339" w:rsidRPr="00781112" w:rsidRDefault="00382F22" w:rsidP="00B07804">
      <w:pPr>
        <w:spacing w:before="240"/>
        <w:rPr>
          <w:rFonts w:cs="Arial"/>
          <w:b/>
          <w:color w:val="000000" w:themeColor="text1"/>
          <w:szCs w:val="16"/>
        </w:rPr>
      </w:pPr>
      <w:r w:rsidRPr="00781112">
        <w:rPr>
          <w:rFonts w:cs="Arial"/>
          <w:b/>
          <w:color w:val="000000" w:themeColor="text1"/>
          <w:szCs w:val="16"/>
        </w:rPr>
        <w:lastRenderedPageBreak/>
        <w:t>Data Source:</w:t>
      </w:r>
    </w:p>
    <w:p w14:paraId="79888C69" w14:textId="6E22F1EF" w:rsidR="00B07804" w:rsidRPr="007D6196" w:rsidRDefault="002B7490" w:rsidP="00314F94">
      <w:pPr>
        <w:pStyle w:val="ListParagraph"/>
        <w:numPr>
          <w:ilvl w:val="0"/>
          <w:numId w:val="93"/>
        </w:numPr>
        <w:rPr>
          <w:rFonts w:cs="Arial"/>
          <w:b/>
          <w:color w:val="000000" w:themeColor="text1"/>
          <w:szCs w:val="16"/>
        </w:rPr>
      </w:pPr>
      <w:r w:rsidRPr="007D6196">
        <w:rPr>
          <w:rFonts w:cs="Arial"/>
          <w:color w:val="000000" w:themeColor="text1"/>
          <w:szCs w:val="16"/>
        </w:rPr>
        <w:t>SY 2020-21 Assessment Data Groups - Math (</w:t>
      </w:r>
      <w:proofErr w:type="spellStart"/>
      <w:r w:rsidRPr="007D6196">
        <w:rPr>
          <w:rFonts w:cs="Arial"/>
          <w:color w:val="000000" w:themeColor="text1"/>
          <w:szCs w:val="16"/>
        </w:rPr>
        <w:t>EDFacts</w:t>
      </w:r>
      <w:proofErr w:type="spellEnd"/>
      <w:r w:rsidRPr="007D6196">
        <w:rPr>
          <w:rFonts w:cs="Arial"/>
          <w:color w:val="000000" w:themeColor="text1"/>
          <w:szCs w:val="16"/>
        </w:rPr>
        <w:t xml:space="preserve"> file spec FS175; Data Group: 583)</w:t>
      </w:r>
    </w:p>
    <w:p w14:paraId="57CD97A4" w14:textId="70795396" w:rsidR="00C01339" w:rsidRPr="00781112" w:rsidRDefault="00382F22" w:rsidP="000F6E74">
      <w:pPr>
        <w:rPr>
          <w:rFonts w:cs="Arial"/>
          <w:b/>
          <w:color w:val="000000" w:themeColor="text1"/>
          <w:szCs w:val="16"/>
        </w:rPr>
      </w:pPr>
      <w:r w:rsidRPr="00781112">
        <w:rPr>
          <w:rFonts w:cs="Arial"/>
          <w:b/>
          <w:color w:val="000000" w:themeColor="text1"/>
          <w:szCs w:val="16"/>
        </w:rPr>
        <w:t>Date:</w:t>
      </w:r>
    </w:p>
    <w:p w14:paraId="26169998" w14:textId="4F560DE2" w:rsidR="00382F22" w:rsidRPr="007D6196" w:rsidRDefault="002B7490" w:rsidP="00314F94">
      <w:pPr>
        <w:pStyle w:val="ListParagraph"/>
        <w:numPr>
          <w:ilvl w:val="0"/>
          <w:numId w:val="94"/>
        </w:numPr>
        <w:rPr>
          <w:rFonts w:cs="Arial"/>
          <w:color w:val="000000" w:themeColor="text1"/>
          <w:szCs w:val="16"/>
        </w:rPr>
      </w:pPr>
      <w:r w:rsidRPr="007D6196">
        <w:rPr>
          <w:rFonts w:cs="Arial"/>
          <w:color w:val="000000" w:themeColor="text1"/>
          <w:szCs w:val="16"/>
        </w:rPr>
        <w:t>03/03/2022</w:t>
      </w:r>
    </w:p>
    <w:p w14:paraId="535A2ED1" w14:textId="6E08BE3D" w:rsidR="00DE3A05" w:rsidRPr="00DE3A05" w:rsidRDefault="00DE3A05" w:rsidP="00815ACE">
      <w:pPr>
        <w:pStyle w:val="Caption"/>
      </w:pPr>
      <w:bookmarkStart w:id="16" w:name="_Hlk121842411"/>
      <w:r w:rsidRPr="00DE3A05">
        <w:t>Math Assessment Proficiency Data by Grade (3B)</w:t>
      </w:r>
    </w:p>
    <w:tbl>
      <w:tblPr>
        <w:tblStyle w:val="TableGrid"/>
        <w:tblW w:w="4998" w:type="pct"/>
        <w:tblLayout w:type="fixed"/>
        <w:tblLook w:val="04A0" w:firstRow="1" w:lastRow="0" w:firstColumn="1" w:lastColumn="0" w:noHBand="0" w:noVBand="1"/>
        <w:tblDescription w:val="Table provides math assessment proficiency for grades 4, 8, and high school for children with IEPs."/>
      </w:tblPr>
      <w:tblGrid>
        <w:gridCol w:w="2425"/>
        <w:gridCol w:w="2787"/>
        <w:gridCol w:w="2787"/>
        <w:gridCol w:w="2787"/>
      </w:tblGrid>
      <w:tr w:rsidR="00EB6900" w:rsidRPr="00781112" w14:paraId="1F3A5453" w14:textId="77777777" w:rsidTr="00B07804">
        <w:trPr>
          <w:trHeight w:val="476"/>
        </w:trPr>
        <w:tc>
          <w:tcPr>
            <w:tcW w:w="1124" w:type="pct"/>
            <w:shd w:val="clear" w:color="auto" w:fill="D9D9D9" w:themeFill="background1" w:themeFillShade="D9"/>
            <w:vAlign w:val="center"/>
          </w:tcPr>
          <w:bookmarkEnd w:id="16"/>
          <w:p w14:paraId="5BF018F9" w14:textId="6FE6FA6F" w:rsidR="00EB6900" w:rsidRPr="00781112" w:rsidRDefault="00835EAD" w:rsidP="00B07804">
            <w:pPr>
              <w:spacing w:after="0" w:line="276" w:lineRule="auto"/>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D9D9D9" w:themeFill="background1" w:themeFillShade="D9"/>
            <w:vAlign w:val="center"/>
          </w:tcPr>
          <w:p w14:paraId="24FAE140" w14:textId="0B22750E" w:rsidR="00EB6900" w:rsidRPr="00781112" w:rsidRDefault="00EB6900" w:rsidP="00B07804">
            <w:pPr>
              <w:spacing w:after="0" w:line="276" w:lineRule="auto"/>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D9D9D9" w:themeFill="background1" w:themeFillShade="D9"/>
            <w:vAlign w:val="center"/>
          </w:tcPr>
          <w:p w14:paraId="47A01117" w14:textId="43F14FF6" w:rsidR="00EB6900" w:rsidRPr="00781112" w:rsidRDefault="00EB6900" w:rsidP="00B07804">
            <w:pPr>
              <w:spacing w:after="0" w:line="276" w:lineRule="auto"/>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D9D9D9" w:themeFill="background1" w:themeFillShade="D9"/>
            <w:vAlign w:val="center"/>
          </w:tcPr>
          <w:p w14:paraId="62BC8C13" w14:textId="1B955AD9" w:rsidR="00EB6900" w:rsidRPr="00781112" w:rsidRDefault="00EB6900" w:rsidP="00B07804">
            <w:pPr>
              <w:spacing w:after="0" w:line="276" w:lineRule="auto"/>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B07804">
        <w:trPr>
          <w:trHeight w:val="2060"/>
        </w:trPr>
        <w:tc>
          <w:tcPr>
            <w:tcW w:w="1124" w:type="pct"/>
            <w:shd w:val="clear" w:color="auto" w:fill="auto"/>
            <w:vAlign w:val="center"/>
          </w:tcPr>
          <w:p w14:paraId="1BC1C3E1" w14:textId="4BCAFF70" w:rsidR="00EB6900" w:rsidRPr="00781112" w:rsidRDefault="00EB6900" w:rsidP="00B07804">
            <w:pPr>
              <w:spacing w:after="0" w:line="276" w:lineRule="auto"/>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8,895</w:t>
            </w:r>
          </w:p>
        </w:tc>
        <w:tc>
          <w:tcPr>
            <w:tcW w:w="1292" w:type="pct"/>
            <w:shd w:val="clear" w:color="auto" w:fill="auto"/>
            <w:vAlign w:val="center"/>
          </w:tcPr>
          <w:p w14:paraId="3573F811" w14:textId="4BE7EE48"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7,682</w:t>
            </w:r>
          </w:p>
        </w:tc>
        <w:tc>
          <w:tcPr>
            <w:tcW w:w="1292" w:type="pct"/>
            <w:shd w:val="clear" w:color="auto" w:fill="auto"/>
            <w:vAlign w:val="center"/>
          </w:tcPr>
          <w:p w14:paraId="3D006657" w14:textId="5E74B673"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10,869</w:t>
            </w:r>
          </w:p>
        </w:tc>
      </w:tr>
      <w:tr w:rsidR="00EB6900" w:rsidRPr="00781112" w14:paraId="4482EF44" w14:textId="77777777" w:rsidTr="00B07804">
        <w:trPr>
          <w:trHeight w:val="2267"/>
        </w:trPr>
        <w:tc>
          <w:tcPr>
            <w:tcW w:w="1124" w:type="pct"/>
            <w:shd w:val="clear" w:color="auto" w:fill="auto"/>
            <w:vAlign w:val="center"/>
          </w:tcPr>
          <w:p w14:paraId="27BF445B" w14:textId="0D33636A" w:rsidR="00EB6900" w:rsidRPr="00781112" w:rsidRDefault="00EB6900" w:rsidP="00B07804">
            <w:pPr>
              <w:spacing w:after="0" w:line="276" w:lineRule="auto"/>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1,343</w:t>
            </w:r>
          </w:p>
        </w:tc>
        <w:tc>
          <w:tcPr>
            <w:tcW w:w="1292" w:type="pct"/>
            <w:shd w:val="clear" w:color="auto" w:fill="auto"/>
            <w:vAlign w:val="center"/>
          </w:tcPr>
          <w:p w14:paraId="0501C27C" w14:textId="424208A4"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931</w:t>
            </w:r>
          </w:p>
        </w:tc>
        <w:tc>
          <w:tcPr>
            <w:tcW w:w="1292" w:type="pct"/>
            <w:shd w:val="clear" w:color="auto" w:fill="auto"/>
            <w:vAlign w:val="center"/>
          </w:tcPr>
          <w:p w14:paraId="2F8ECC6A" w14:textId="065827BA"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1,932</w:t>
            </w:r>
          </w:p>
        </w:tc>
      </w:tr>
      <w:tr w:rsidR="00EB6900" w:rsidRPr="00781112" w14:paraId="7ED983D3" w14:textId="77777777" w:rsidTr="00B07804">
        <w:trPr>
          <w:trHeight w:val="2303"/>
        </w:trPr>
        <w:tc>
          <w:tcPr>
            <w:tcW w:w="1124" w:type="pct"/>
            <w:shd w:val="clear" w:color="auto" w:fill="auto"/>
            <w:vAlign w:val="center"/>
          </w:tcPr>
          <w:p w14:paraId="6E21D958" w14:textId="7EF8B281" w:rsidR="00EB6900" w:rsidRPr="00781112" w:rsidRDefault="00EB6900" w:rsidP="00B07804">
            <w:pPr>
              <w:spacing w:after="0" w:line="276" w:lineRule="auto"/>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1,143</w:t>
            </w:r>
          </w:p>
        </w:tc>
        <w:tc>
          <w:tcPr>
            <w:tcW w:w="1292" w:type="pct"/>
            <w:shd w:val="clear" w:color="auto" w:fill="auto"/>
            <w:vAlign w:val="center"/>
          </w:tcPr>
          <w:p w14:paraId="3148F449" w14:textId="071E2D42"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740</w:t>
            </w:r>
          </w:p>
        </w:tc>
        <w:tc>
          <w:tcPr>
            <w:tcW w:w="1292" w:type="pct"/>
            <w:shd w:val="clear" w:color="auto" w:fill="auto"/>
            <w:vAlign w:val="center"/>
          </w:tcPr>
          <w:p w14:paraId="56D05BB3" w14:textId="5F6BA567" w:rsidR="00EB6900" w:rsidRPr="00781112" w:rsidRDefault="00EB6900" w:rsidP="00B07804">
            <w:pPr>
              <w:spacing w:after="0" w:line="276" w:lineRule="auto"/>
              <w:jc w:val="center"/>
              <w:rPr>
                <w:rFonts w:cs="Arial"/>
                <w:color w:val="000000" w:themeColor="text1"/>
                <w:szCs w:val="16"/>
              </w:rPr>
            </w:pPr>
            <w:r w:rsidRPr="00781112">
              <w:rPr>
                <w:rFonts w:cs="Arial"/>
                <w:color w:val="000000" w:themeColor="text1"/>
                <w:szCs w:val="16"/>
              </w:rPr>
              <w:t>2,155</w:t>
            </w:r>
          </w:p>
        </w:tc>
      </w:tr>
      <w:bookmarkEnd w:id="14"/>
    </w:tbl>
    <w:p w14:paraId="08D17525" w14:textId="77777777" w:rsidR="004C1EC0" w:rsidRDefault="004C1EC0">
      <w:pPr>
        <w:spacing w:after="200"/>
        <w:rPr>
          <w:b/>
        </w:rPr>
      </w:pPr>
      <w:r>
        <w:br w:type="page"/>
      </w:r>
    </w:p>
    <w:p w14:paraId="4C10DCD3" w14:textId="40E0BD78" w:rsidR="00DE3A05" w:rsidRPr="00DE3A05" w:rsidRDefault="00DE3A05" w:rsidP="00815ACE">
      <w:pPr>
        <w:pStyle w:val="Caption"/>
      </w:pPr>
      <w:r w:rsidRPr="00DE3A05">
        <w:lastRenderedPageBreak/>
        <w:t>FFY 2020 SPP/APR Data: Reading Assessment (3B)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984"/>
        <w:gridCol w:w="991"/>
        <w:gridCol w:w="1890"/>
        <w:gridCol w:w="1800"/>
        <w:gridCol w:w="900"/>
        <w:gridCol w:w="1170"/>
        <w:gridCol w:w="811"/>
        <w:gridCol w:w="988"/>
        <w:gridCol w:w="1256"/>
      </w:tblGrid>
      <w:tr w:rsidR="00B07804" w:rsidRPr="00781112" w14:paraId="52CF9222" w14:textId="5C9FC6C2" w:rsidTr="0052002E">
        <w:trPr>
          <w:tblHeader/>
        </w:trPr>
        <w:tc>
          <w:tcPr>
            <w:tcW w:w="456" w:type="pct"/>
            <w:shd w:val="clear" w:color="auto" w:fill="D9D9D9" w:themeFill="background1" w:themeFillShade="D9"/>
            <w:vAlign w:val="center"/>
          </w:tcPr>
          <w:p w14:paraId="5B0C0A4E" w14:textId="31160362" w:rsidR="000B0DE4" w:rsidRPr="00781112" w:rsidRDefault="000B0DE4" w:rsidP="00B07804">
            <w:pPr>
              <w:spacing w:after="0"/>
              <w:jc w:val="center"/>
              <w:rPr>
                <w:b/>
                <w:color w:val="000000" w:themeColor="text1"/>
              </w:rPr>
            </w:pPr>
            <w:r w:rsidRPr="00781112">
              <w:rPr>
                <w:b/>
                <w:color w:val="000000" w:themeColor="text1"/>
              </w:rPr>
              <w:t>Group</w:t>
            </w:r>
          </w:p>
        </w:tc>
        <w:tc>
          <w:tcPr>
            <w:tcW w:w="459" w:type="pct"/>
            <w:shd w:val="clear" w:color="auto" w:fill="D9D9D9" w:themeFill="background1" w:themeFillShade="D9"/>
            <w:vAlign w:val="center"/>
          </w:tcPr>
          <w:p w14:paraId="08D526E5" w14:textId="4BDB327D" w:rsidR="000B0DE4" w:rsidRPr="00781112" w:rsidRDefault="000B0DE4" w:rsidP="00B07804">
            <w:pPr>
              <w:spacing w:after="0"/>
              <w:jc w:val="center"/>
              <w:rPr>
                <w:b/>
                <w:color w:val="000000" w:themeColor="text1"/>
              </w:rPr>
            </w:pPr>
            <w:r w:rsidRPr="00781112">
              <w:rPr>
                <w:b/>
                <w:color w:val="000000" w:themeColor="text1"/>
              </w:rPr>
              <w:t>Group Name</w:t>
            </w:r>
          </w:p>
        </w:tc>
        <w:tc>
          <w:tcPr>
            <w:tcW w:w="876" w:type="pct"/>
            <w:shd w:val="clear" w:color="auto" w:fill="D9D9D9" w:themeFill="background1" w:themeFillShade="D9"/>
            <w:vAlign w:val="center"/>
          </w:tcPr>
          <w:p w14:paraId="198DD72E" w14:textId="3FB5565B" w:rsidR="000B0DE4" w:rsidRPr="00781112" w:rsidRDefault="000B0DE4" w:rsidP="00B07804">
            <w:pPr>
              <w:spacing w:after="0"/>
              <w:jc w:val="center"/>
              <w:rPr>
                <w:b/>
                <w:bCs/>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834" w:type="pct"/>
            <w:shd w:val="clear" w:color="auto" w:fill="D9D9D9" w:themeFill="background1" w:themeFillShade="D9"/>
            <w:vAlign w:val="center"/>
          </w:tcPr>
          <w:p w14:paraId="43067EB5" w14:textId="1B6A6AEE" w:rsidR="000B0DE4" w:rsidRPr="00781112" w:rsidRDefault="000B0DE4" w:rsidP="00B07804">
            <w:pPr>
              <w:spacing w:after="0"/>
              <w:jc w:val="center"/>
              <w:rPr>
                <w:b/>
                <w:bCs/>
                <w:color w:val="000000" w:themeColor="text1"/>
              </w:rPr>
            </w:pPr>
            <w:r w:rsidRPr="00781112">
              <w:rPr>
                <w:b/>
                <w:bCs/>
              </w:rPr>
              <w:t>Number of Children with IEPs who Received a Valid Score and for whom a Proficiency Level was Assigned for the Regular Assessment</w:t>
            </w:r>
          </w:p>
        </w:tc>
        <w:tc>
          <w:tcPr>
            <w:tcW w:w="417" w:type="pct"/>
            <w:shd w:val="clear" w:color="auto" w:fill="D9D9D9" w:themeFill="background1" w:themeFillShade="D9"/>
            <w:vAlign w:val="center"/>
          </w:tcPr>
          <w:p w14:paraId="18374487" w14:textId="78E61E00" w:rsidR="000B0DE4" w:rsidRPr="00572E2A" w:rsidRDefault="000B0DE4" w:rsidP="00B07804">
            <w:pPr>
              <w:spacing w:after="0"/>
              <w:jc w:val="center"/>
              <w:rPr>
                <w:b/>
                <w:color w:val="000000" w:themeColor="text1"/>
              </w:rPr>
            </w:pPr>
            <w:r w:rsidRPr="00572E2A">
              <w:rPr>
                <w:b/>
                <w:color w:val="000000" w:themeColor="text1"/>
              </w:rPr>
              <w:t>FFY 2019 Data</w:t>
            </w:r>
          </w:p>
        </w:tc>
        <w:tc>
          <w:tcPr>
            <w:tcW w:w="542" w:type="pct"/>
            <w:shd w:val="clear" w:color="auto" w:fill="D9D9D9" w:themeFill="background1" w:themeFillShade="D9"/>
            <w:vAlign w:val="center"/>
          </w:tcPr>
          <w:p w14:paraId="3E51680E" w14:textId="2F19F198" w:rsidR="000B0DE4" w:rsidRPr="00781112" w:rsidRDefault="000B0DE4" w:rsidP="00B07804">
            <w:pPr>
              <w:spacing w:after="0"/>
              <w:jc w:val="center"/>
              <w:rPr>
                <w:b/>
                <w:color w:val="000000" w:themeColor="text1"/>
              </w:rPr>
            </w:pPr>
            <w:r w:rsidRPr="00781112">
              <w:rPr>
                <w:b/>
                <w:color w:val="000000" w:themeColor="text1"/>
              </w:rPr>
              <w:t>FFY 2020 Target</w:t>
            </w:r>
          </w:p>
        </w:tc>
        <w:tc>
          <w:tcPr>
            <w:tcW w:w="376" w:type="pct"/>
            <w:shd w:val="clear" w:color="auto" w:fill="D9D9D9" w:themeFill="background1" w:themeFillShade="D9"/>
            <w:vAlign w:val="center"/>
          </w:tcPr>
          <w:p w14:paraId="29685ECA" w14:textId="115616FC" w:rsidR="000B0DE4" w:rsidRPr="00572E2A" w:rsidRDefault="000B0DE4" w:rsidP="00B07804">
            <w:pPr>
              <w:spacing w:after="0"/>
              <w:jc w:val="center"/>
              <w:rPr>
                <w:b/>
                <w:color w:val="000000" w:themeColor="text1"/>
              </w:rPr>
            </w:pPr>
            <w:r w:rsidRPr="00572E2A">
              <w:rPr>
                <w:b/>
                <w:color w:val="000000" w:themeColor="text1"/>
              </w:rPr>
              <w:t>FFY 2020 Data</w:t>
            </w:r>
          </w:p>
        </w:tc>
        <w:tc>
          <w:tcPr>
            <w:tcW w:w="458" w:type="pct"/>
            <w:shd w:val="clear" w:color="auto" w:fill="D9D9D9" w:themeFill="background1" w:themeFillShade="D9"/>
            <w:vAlign w:val="center"/>
          </w:tcPr>
          <w:p w14:paraId="5E9D6295" w14:textId="7F28EB50" w:rsidR="000B0DE4" w:rsidRPr="00781112" w:rsidRDefault="000B0DE4" w:rsidP="00B07804">
            <w:pPr>
              <w:spacing w:after="0"/>
              <w:jc w:val="center"/>
              <w:rPr>
                <w:b/>
                <w:color w:val="000000" w:themeColor="text1"/>
              </w:rPr>
            </w:pPr>
            <w:r w:rsidRPr="00781112">
              <w:rPr>
                <w:b/>
                <w:color w:val="000000" w:themeColor="text1"/>
              </w:rPr>
              <w:t>Status</w:t>
            </w:r>
          </w:p>
        </w:tc>
        <w:tc>
          <w:tcPr>
            <w:tcW w:w="582" w:type="pct"/>
            <w:shd w:val="clear" w:color="auto" w:fill="D9D9D9" w:themeFill="background1" w:themeFillShade="D9"/>
            <w:vAlign w:val="center"/>
          </w:tcPr>
          <w:p w14:paraId="7898EF38" w14:textId="75DFA010" w:rsidR="000B0DE4" w:rsidRPr="00781112" w:rsidRDefault="000B0DE4" w:rsidP="00B07804">
            <w:pPr>
              <w:spacing w:after="0"/>
              <w:jc w:val="center"/>
              <w:rPr>
                <w:b/>
                <w:color w:val="000000" w:themeColor="text1"/>
              </w:rPr>
            </w:pPr>
            <w:r w:rsidRPr="00781112">
              <w:rPr>
                <w:b/>
                <w:color w:val="000000" w:themeColor="text1"/>
              </w:rPr>
              <w:t>Slippage</w:t>
            </w:r>
          </w:p>
        </w:tc>
      </w:tr>
      <w:tr w:rsidR="00B07804" w:rsidRPr="00781112" w14:paraId="7760B96D" w14:textId="1E1E2305" w:rsidTr="0052002E">
        <w:tc>
          <w:tcPr>
            <w:tcW w:w="456" w:type="pct"/>
            <w:shd w:val="clear" w:color="auto" w:fill="auto"/>
            <w:vAlign w:val="center"/>
          </w:tcPr>
          <w:p w14:paraId="6F54F4BD" w14:textId="3AB2A2E6" w:rsidR="00AD0E97" w:rsidRPr="00B07804" w:rsidRDefault="00AD0E97" w:rsidP="00B07804">
            <w:pPr>
              <w:pStyle w:val="Default"/>
              <w:spacing w:line="276" w:lineRule="auto"/>
              <w:jc w:val="center"/>
              <w:rPr>
                <w:rFonts w:eastAsiaTheme="minorHAnsi"/>
                <w:color w:val="000000" w:themeColor="text1"/>
              </w:rPr>
            </w:pPr>
            <w:r w:rsidRPr="00B07804">
              <w:rPr>
                <w:b/>
                <w:color w:val="000000" w:themeColor="text1"/>
              </w:rPr>
              <w:t>A</w:t>
            </w:r>
          </w:p>
        </w:tc>
        <w:tc>
          <w:tcPr>
            <w:tcW w:w="459" w:type="pct"/>
            <w:shd w:val="clear" w:color="auto" w:fill="auto"/>
            <w:vAlign w:val="center"/>
          </w:tcPr>
          <w:p w14:paraId="1AF12AAB" w14:textId="02722A5C" w:rsidR="00AD0E97" w:rsidRPr="00B07804" w:rsidDel="00DE5045" w:rsidRDefault="00AD0E97" w:rsidP="00B07804">
            <w:pPr>
              <w:spacing w:after="0"/>
              <w:jc w:val="center"/>
              <w:rPr>
                <w:rFonts w:cs="Arial"/>
                <w:color w:val="000000" w:themeColor="text1"/>
                <w:szCs w:val="24"/>
              </w:rPr>
            </w:pPr>
            <w:r w:rsidRPr="00B07804">
              <w:rPr>
                <w:rFonts w:cs="Arial"/>
                <w:color w:val="000000" w:themeColor="text1"/>
                <w:szCs w:val="24"/>
              </w:rPr>
              <w:t>Grade 4</w:t>
            </w:r>
          </w:p>
        </w:tc>
        <w:tc>
          <w:tcPr>
            <w:tcW w:w="876" w:type="pct"/>
            <w:shd w:val="clear" w:color="auto" w:fill="auto"/>
            <w:vAlign w:val="center"/>
          </w:tcPr>
          <w:p w14:paraId="0D75EC1C" w14:textId="5C94E807" w:rsidR="00AD0E97" w:rsidRPr="00B07804" w:rsidRDefault="00AD0E97" w:rsidP="00B07804">
            <w:pPr>
              <w:spacing w:after="0"/>
              <w:jc w:val="center"/>
              <w:rPr>
                <w:rFonts w:cs="Arial"/>
                <w:color w:val="000000" w:themeColor="text1"/>
                <w:szCs w:val="24"/>
              </w:rPr>
            </w:pPr>
            <w:r w:rsidRPr="00B07804">
              <w:rPr>
                <w:rFonts w:cs="Arial"/>
                <w:color w:val="000000"/>
                <w:szCs w:val="24"/>
              </w:rPr>
              <w:t>0</w:t>
            </w:r>
          </w:p>
        </w:tc>
        <w:tc>
          <w:tcPr>
            <w:tcW w:w="834" w:type="pct"/>
            <w:shd w:val="clear" w:color="auto" w:fill="auto"/>
            <w:vAlign w:val="center"/>
          </w:tcPr>
          <w:p w14:paraId="7E6A021B" w14:textId="57963DE4" w:rsidR="00AD0E97" w:rsidRPr="00B07804" w:rsidRDefault="00AD0E97" w:rsidP="00B07804">
            <w:pPr>
              <w:spacing w:after="0"/>
              <w:jc w:val="center"/>
              <w:rPr>
                <w:rFonts w:cs="Arial"/>
                <w:color w:val="000000" w:themeColor="text1"/>
                <w:szCs w:val="24"/>
              </w:rPr>
            </w:pPr>
            <w:r w:rsidRPr="00B07804">
              <w:rPr>
                <w:rFonts w:cs="Arial"/>
                <w:color w:val="000000" w:themeColor="text1"/>
                <w:szCs w:val="24"/>
              </w:rPr>
              <w:t>0</w:t>
            </w:r>
          </w:p>
        </w:tc>
        <w:tc>
          <w:tcPr>
            <w:tcW w:w="417" w:type="pct"/>
            <w:shd w:val="clear" w:color="auto" w:fill="auto"/>
            <w:vAlign w:val="center"/>
          </w:tcPr>
          <w:p w14:paraId="69FD37B5" w14:textId="28197C86" w:rsidR="00AD0E97" w:rsidRPr="00B07804" w:rsidRDefault="00572E2A" w:rsidP="00B07804">
            <w:pPr>
              <w:spacing w:after="0"/>
              <w:jc w:val="center"/>
              <w:rPr>
                <w:rFonts w:cs="Arial"/>
                <w:color w:val="000000" w:themeColor="text1"/>
                <w:szCs w:val="24"/>
              </w:rPr>
            </w:pPr>
            <w:r>
              <w:rPr>
                <w:rFonts w:cs="Arial"/>
                <w:color w:val="000000" w:themeColor="text1"/>
                <w:szCs w:val="24"/>
              </w:rPr>
              <w:t>N/A</w:t>
            </w:r>
          </w:p>
        </w:tc>
        <w:tc>
          <w:tcPr>
            <w:tcW w:w="542" w:type="pct"/>
            <w:shd w:val="clear" w:color="auto" w:fill="auto"/>
            <w:vAlign w:val="center"/>
          </w:tcPr>
          <w:p w14:paraId="482B7D09" w14:textId="62AFAA78" w:rsidR="00AD0E97" w:rsidRPr="00B07804" w:rsidRDefault="00AD0E97" w:rsidP="00B07804">
            <w:pPr>
              <w:spacing w:after="0"/>
              <w:jc w:val="center"/>
              <w:rPr>
                <w:rFonts w:cs="Arial"/>
                <w:color w:val="000000" w:themeColor="text1"/>
                <w:szCs w:val="24"/>
              </w:rPr>
            </w:pPr>
            <w:r w:rsidRPr="00B07804">
              <w:rPr>
                <w:rFonts w:cs="Arial"/>
                <w:color w:val="000000" w:themeColor="text1"/>
                <w:szCs w:val="24"/>
              </w:rPr>
              <w:t>38.05%</w:t>
            </w:r>
          </w:p>
        </w:tc>
        <w:tc>
          <w:tcPr>
            <w:tcW w:w="376" w:type="pct"/>
            <w:shd w:val="clear" w:color="auto" w:fill="auto"/>
            <w:vAlign w:val="center"/>
          </w:tcPr>
          <w:p w14:paraId="120D94C1" w14:textId="56ED1593" w:rsidR="00AD0E97" w:rsidRPr="00B07804" w:rsidRDefault="00572E2A" w:rsidP="00B07804">
            <w:pPr>
              <w:spacing w:after="0"/>
              <w:jc w:val="center"/>
              <w:rPr>
                <w:rFonts w:cs="Arial"/>
                <w:color w:val="000000" w:themeColor="text1"/>
                <w:szCs w:val="24"/>
              </w:rPr>
            </w:pPr>
            <w:r>
              <w:rPr>
                <w:rFonts w:cs="Arial"/>
                <w:color w:val="000000" w:themeColor="text1"/>
                <w:szCs w:val="24"/>
              </w:rPr>
              <w:t>N/A</w:t>
            </w:r>
          </w:p>
        </w:tc>
        <w:tc>
          <w:tcPr>
            <w:tcW w:w="458" w:type="pct"/>
            <w:shd w:val="clear" w:color="auto" w:fill="auto"/>
            <w:vAlign w:val="center"/>
          </w:tcPr>
          <w:p w14:paraId="4C985877" w14:textId="6C415586" w:rsidR="00AD0E97" w:rsidRPr="00B07804" w:rsidRDefault="00AD0E97" w:rsidP="00B07804">
            <w:pPr>
              <w:spacing w:after="0"/>
              <w:jc w:val="center"/>
              <w:rPr>
                <w:rFonts w:cs="Arial"/>
                <w:color w:val="000000" w:themeColor="text1"/>
                <w:szCs w:val="24"/>
              </w:rPr>
            </w:pPr>
            <w:r w:rsidRPr="00B07804">
              <w:rPr>
                <w:rFonts w:cs="Arial"/>
                <w:color w:val="000000" w:themeColor="text1"/>
                <w:szCs w:val="24"/>
              </w:rPr>
              <w:t>N/A</w:t>
            </w:r>
          </w:p>
        </w:tc>
        <w:tc>
          <w:tcPr>
            <w:tcW w:w="582" w:type="pct"/>
            <w:shd w:val="clear" w:color="auto" w:fill="auto"/>
            <w:vAlign w:val="center"/>
          </w:tcPr>
          <w:p w14:paraId="05322B0C" w14:textId="7DA1FCC0" w:rsidR="00AD0E97" w:rsidRPr="00B07804" w:rsidRDefault="00AD0E97" w:rsidP="00B07804">
            <w:pPr>
              <w:spacing w:after="0"/>
              <w:jc w:val="center"/>
              <w:rPr>
                <w:rFonts w:cs="Arial"/>
                <w:color w:val="000000" w:themeColor="text1"/>
                <w:szCs w:val="24"/>
              </w:rPr>
            </w:pPr>
            <w:r w:rsidRPr="00B07804">
              <w:rPr>
                <w:rFonts w:cs="Arial"/>
                <w:color w:val="000000" w:themeColor="text1"/>
                <w:szCs w:val="24"/>
              </w:rPr>
              <w:t>N/A</w:t>
            </w:r>
          </w:p>
        </w:tc>
      </w:tr>
      <w:tr w:rsidR="00572E2A" w:rsidRPr="00781112" w14:paraId="7A5387EE" w14:textId="77777777" w:rsidTr="0052002E">
        <w:tc>
          <w:tcPr>
            <w:tcW w:w="456" w:type="pct"/>
            <w:shd w:val="clear" w:color="auto" w:fill="auto"/>
            <w:vAlign w:val="center"/>
          </w:tcPr>
          <w:p w14:paraId="729AFDF4" w14:textId="72203283" w:rsidR="00572E2A" w:rsidRPr="00B07804" w:rsidRDefault="00572E2A" w:rsidP="00572E2A">
            <w:pPr>
              <w:pStyle w:val="Default"/>
              <w:spacing w:line="276" w:lineRule="auto"/>
              <w:jc w:val="center"/>
              <w:rPr>
                <w:rFonts w:eastAsiaTheme="minorHAnsi"/>
                <w:color w:val="000000" w:themeColor="text1"/>
              </w:rPr>
            </w:pPr>
            <w:r w:rsidRPr="00B07804">
              <w:rPr>
                <w:b/>
                <w:color w:val="000000" w:themeColor="text1"/>
              </w:rPr>
              <w:t>B</w:t>
            </w:r>
          </w:p>
        </w:tc>
        <w:tc>
          <w:tcPr>
            <w:tcW w:w="459" w:type="pct"/>
            <w:shd w:val="clear" w:color="auto" w:fill="auto"/>
            <w:vAlign w:val="center"/>
          </w:tcPr>
          <w:p w14:paraId="33B7C97E" w14:textId="6E25E05B" w:rsidR="00572E2A" w:rsidRPr="00B07804" w:rsidDel="00DE5045" w:rsidRDefault="00572E2A" w:rsidP="00572E2A">
            <w:pPr>
              <w:spacing w:after="0"/>
              <w:jc w:val="center"/>
              <w:rPr>
                <w:rFonts w:cs="Arial"/>
                <w:color w:val="000000" w:themeColor="text1"/>
                <w:szCs w:val="24"/>
              </w:rPr>
            </w:pPr>
            <w:r w:rsidRPr="00B07804">
              <w:rPr>
                <w:rFonts w:cs="Arial"/>
                <w:color w:val="000000" w:themeColor="text1"/>
                <w:szCs w:val="24"/>
              </w:rPr>
              <w:t>Grade 8</w:t>
            </w:r>
          </w:p>
        </w:tc>
        <w:tc>
          <w:tcPr>
            <w:tcW w:w="876" w:type="pct"/>
            <w:shd w:val="clear" w:color="auto" w:fill="auto"/>
            <w:vAlign w:val="center"/>
          </w:tcPr>
          <w:p w14:paraId="3F0D6576" w14:textId="39D13C81" w:rsidR="00572E2A" w:rsidRPr="00B07804" w:rsidRDefault="00572E2A" w:rsidP="00572E2A">
            <w:pPr>
              <w:spacing w:after="0"/>
              <w:jc w:val="center"/>
              <w:rPr>
                <w:rFonts w:cs="Arial"/>
                <w:color w:val="000000" w:themeColor="text1"/>
                <w:szCs w:val="24"/>
              </w:rPr>
            </w:pPr>
            <w:r w:rsidRPr="00B07804">
              <w:rPr>
                <w:rFonts w:cs="Arial"/>
                <w:color w:val="000000"/>
                <w:szCs w:val="24"/>
              </w:rPr>
              <w:t>0</w:t>
            </w:r>
          </w:p>
        </w:tc>
        <w:tc>
          <w:tcPr>
            <w:tcW w:w="834" w:type="pct"/>
            <w:shd w:val="clear" w:color="auto" w:fill="auto"/>
            <w:vAlign w:val="center"/>
          </w:tcPr>
          <w:p w14:paraId="7FFA4863" w14:textId="2B0AF130"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0</w:t>
            </w:r>
          </w:p>
        </w:tc>
        <w:tc>
          <w:tcPr>
            <w:tcW w:w="417" w:type="pct"/>
            <w:shd w:val="clear" w:color="auto" w:fill="auto"/>
            <w:vAlign w:val="center"/>
          </w:tcPr>
          <w:p w14:paraId="3FB80D14" w14:textId="698842EA" w:rsidR="00572E2A" w:rsidRPr="00B07804" w:rsidRDefault="00572E2A" w:rsidP="00572E2A">
            <w:pPr>
              <w:spacing w:after="0"/>
              <w:jc w:val="center"/>
              <w:rPr>
                <w:rFonts w:cs="Arial"/>
                <w:color w:val="000000" w:themeColor="text1"/>
                <w:szCs w:val="24"/>
              </w:rPr>
            </w:pPr>
            <w:r>
              <w:rPr>
                <w:rFonts w:cs="Arial"/>
                <w:color w:val="000000" w:themeColor="text1"/>
                <w:szCs w:val="24"/>
              </w:rPr>
              <w:t>N/A</w:t>
            </w:r>
          </w:p>
        </w:tc>
        <w:tc>
          <w:tcPr>
            <w:tcW w:w="542" w:type="pct"/>
            <w:shd w:val="clear" w:color="auto" w:fill="auto"/>
            <w:vAlign w:val="center"/>
          </w:tcPr>
          <w:p w14:paraId="12DA8FB6" w14:textId="2A9832BB"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30.68%</w:t>
            </w:r>
          </w:p>
        </w:tc>
        <w:tc>
          <w:tcPr>
            <w:tcW w:w="376" w:type="pct"/>
            <w:shd w:val="clear" w:color="auto" w:fill="auto"/>
            <w:vAlign w:val="center"/>
          </w:tcPr>
          <w:p w14:paraId="65C7EB9E" w14:textId="11C674A8" w:rsidR="00572E2A" w:rsidRPr="00B07804" w:rsidRDefault="00572E2A" w:rsidP="00572E2A">
            <w:pPr>
              <w:spacing w:after="0"/>
              <w:jc w:val="center"/>
              <w:rPr>
                <w:rFonts w:cs="Arial"/>
                <w:color w:val="000000" w:themeColor="text1"/>
                <w:szCs w:val="24"/>
              </w:rPr>
            </w:pPr>
            <w:r>
              <w:rPr>
                <w:rFonts w:cs="Arial"/>
                <w:color w:val="000000" w:themeColor="text1"/>
                <w:szCs w:val="24"/>
              </w:rPr>
              <w:t>N/A</w:t>
            </w:r>
          </w:p>
        </w:tc>
        <w:tc>
          <w:tcPr>
            <w:tcW w:w="458" w:type="pct"/>
            <w:shd w:val="clear" w:color="auto" w:fill="auto"/>
            <w:vAlign w:val="center"/>
          </w:tcPr>
          <w:p w14:paraId="41A6F692" w14:textId="65CC6347"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N/A</w:t>
            </w:r>
          </w:p>
        </w:tc>
        <w:tc>
          <w:tcPr>
            <w:tcW w:w="582" w:type="pct"/>
            <w:shd w:val="clear" w:color="auto" w:fill="auto"/>
            <w:vAlign w:val="center"/>
          </w:tcPr>
          <w:p w14:paraId="3D4E27A4" w14:textId="7BDAA77C"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N/A</w:t>
            </w:r>
          </w:p>
        </w:tc>
      </w:tr>
      <w:tr w:rsidR="00572E2A" w:rsidRPr="00781112" w14:paraId="26B346DD" w14:textId="77777777" w:rsidTr="0052002E">
        <w:tc>
          <w:tcPr>
            <w:tcW w:w="456" w:type="pct"/>
            <w:shd w:val="clear" w:color="auto" w:fill="auto"/>
            <w:vAlign w:val="center"/>
          </w:tcPr>
          <w:p w14:paraId="2B13C665" w14:textId="583EB28A" w:rsidR="00572E2A" w:rsidRPr="00B07804" w:rsidRDefault="00572E2A" w:rsidP="00572E2A">
            <w:pPr>
              <w:pStyle w:val="Default"/>
              <w:spacing w:line="276" w:lineRule="auto"/>
              <w:jc w:val="center"/>
              <w:rPr>
                <w:rFonts w:eastAsiaTheme="minorHAnsi"/>
                <w:color w:val="000000" w:themeColor="text1"/>
              </w:rPr>
            </w:pPr>
            <w:r w:rsidRPr="00B07804">
              <w:rPr>
                <w:b/>
                <w:color w:val="000000" w:themeColor="text1"/>
              </w:rPr>
              <w:t>C</w:t>
            </w:r>
          </w:p>
        </w:tc>
        <w:tc>
          <w:tcPr>
            <w:tcW w:w="459" w:type="pct"/>
            <w:shd w:val="clear" w:color="auto" w:fill="auto"/>
            <w:vAlign w:val="center"/>
          </w:tcPr>
          <w:p w14:paraId="6D97D346" w14:textId="75AC25C8" w:rsidR="00572E2A" w:rsidRPr="00B07804" w:rsidDel="00DE5045" w:rsidRDefault="00572E2A" w:rsidP="00572E2A">
            <w:pPr>
              <w:spacing w:after="0"/>
              <w:jc w:val="center"/>
              <w:rPr>
                <w:rFonts w:cs="Arial"/>
                <w:color w:val="000000" w:themeColor="text1"/>
                <w:szCs w:val="24"/>
              </w:rPr>
            </w:pPr>
            <w:r w:rsidRPr="00B07804">
              <w:rPr>
                <w:rFonts w:cs="Arial"/>
                <w:color w:val="000000" w:themeColor="text1"/>
                <w:szCs w:val="24"/>
              </w:rPr>
              <w:t>Grade HS</w:t>
            </w:r>
          </w:p>
        </w:tc>
        <w:tc>
          <w:tcPr>
            <w:tcW w:w="876" w:type="pct"/>
            <w:shd w:val="clear" w:color="auto" w:fill="auto"/>
            <w:vAlign w:val="center"/>
          </w:tcPr>
          <w:p w14:paraId="30AED5C7" w14:textId="5DD38D7C" w:rsidR="00572E2A" w:rsidRPr="00B07804" w:rsidRDefault="00572E2A" w:rsidP="00572E2A">
            <w:pPr>
              <w:spacing w:after="0"/>
              <w:jc w:val="center"/>
              <w:rPr>
                <w:rFonts w:cs="Arial"/>
                <w:color w:val="000000" w:themeColor="text1"/>
                <w:szCs w:val="24"/>
              </w:rPr>
            </w:pPr>
            <w:r w:rsidRPr="00B07804">
              <w:rPr>
                <w:rFonts w:cs="Arial"/>
                <w:color w:val="000000"/>
                <w:szCs w:val="24"/>
              </w:rPr>
              <w:t>0</w:t>
            </w:r>
          </w:p>
        </w:tc>
        <w:tc>
          <w:tcPr>
            <w:tcW w:w="834" w:type="pct"/>
            <w:shd w:val="clear" w:color="auto" w:fill="auto"/>
            <w:vAlign w:val="center"/>
          </w:tcPr>
          <w:p w14:paraId="3E4BF8E7" w14:textId="17E7C017"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0</w:t>
            </w:r>
          </w:p>
        </w:tc>
        <w:tc>
          <w:tcPr>
            <w:tcW w:w="417" w:type="pct"/>
            <w:shd w:val="clear" w:color="auto" w:fill="auto"/>
            <w:vAlign w:val="center"/>
          </w:tcPr>
          <w:p w14:paraId="039885F2" w14:textId="32EB07C1" w:rsidR="00572E2A" w:rsidRPr="00B07804" w:rsidRDefault="00572E2A" w:rsidP="00572E2A">
            <w:pPr>
              <w:spacing w:after="0"/>
              <w:jc w:val="center"/>
              <w:rPr>
                <w:rFonts w:cs="Arial"/>
                <w:color w:val="000000" w:themeColor="text1"/>
                <w:szCs w:val="24"/>
              </w:rPr>
            </w:pPr>
            <w:r>
              <w:rPr>
                <w:rFonts w:cs="Arial"/>
                <w:color w:val="000000" w:themeColor="text1"/>
                <w:szCs w:val="24"/>
              </w:rPr>
              <w:t>N/A</w:t>
            </w:r>
          </w:p>
        </w:tc>
        <w:tc>
          <w:tcPr>
            <w:tcW w:w="542" w:type="pct"/>
            <w:shd w:val="clear" w:color="auto" w:fill="auto"/>
            <w:vAlign w:val="center"/>
          </w:tcPr>
          <w:p w14:paraId="0D574818" w14:textId="0B8E29B8"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47.95%</w:t>
            </w:r>
          </w:p>
        </w:tc>
        <w:tc>
          <w:tcPr>
            <w:tcW w:w="376" w:type="pct"/>
            <w:shd w:val="clear" w:color="auto" w:fill="auto"/>
            <w:vAlign w:val="center"/>
          </w:tcPr>
          <w:p w14:paraId="68757684" w14:textId="521519BA" w:rsidR="00572E2A" w:rsidRPr="00B07804" w:rsidRDefault="00572E2A" w:rsidP="00572E2A">
            <w:pPr>
              <w:spacing w:after="0"/>
              <w:jc w:val="center"/>
              <w:rPr>
                <w:rFonts w:cs="Arial"/>
                <w:color w:val="000000" w:themeColor="text1"/>
                <w:szCs w:val="24"/>
              </w:rPr>
            </w:pPr>
            <w:r>
              <w:rPr>
                <w:rFonts w:cs="Arial"/>
                <w:color w:val="000000" w:themeColor="text1"/>
                <w:szCs w:val="24"/>
              </w:rPr>
              <w:t>N/A</w:t>
            </w:r>
          </w:p>
        </w:tc>
        <w:tc>
          <w:tcPr>
            <w:tcW w:w="458" w:type="pct"/>
            <w:shd w:val="clear" w:color="auto" w:fill="auto"/>
            <w:vAlign w:val="center"/>
          </w:tcPr>
          <w:p w14:paraId="7D508FD3" w14:textId="5052E8AD"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N/A</w:t>
            </w:r>
          </w:p>
        </w:tc>
        <w:tc>
          <w:tcPr>
            <w:tcW w:w="582" w:type="pct"/>
            <w:shd w:val="clear" w:color="auto" w:fill="auto"/>
            <w:vAlign w:val="center"/>
          </w:tcPr>
          <w:p w14:paraId="16AA84BF" w14:textId="66A4BF3F" w:rsidR="00572E2A" w:rsidRPr="00B07804" w:rsidRDefault="00572E2A" w:rsidP="00572E2A">
            <w:pPr>
              <w:spacing w:after="0"/>
              <w:jc w:val="center"/>
              <w:rPr>
                <w:rFonts w:cs="Arial"/>
                <w:color w:val="000000" w:themeColor="text1"/>
                <w:szCs w:val="24"/>
              </w:rPr>
            </w:pPr>
            <w:r w:rsidRPr="00B07804">
              <w:rPr>
                <w:rFonts w:cs="Arial"/>
                <w:color w:val="000000" w:themeColor="text1"/>
                <w:szCs w:val="24"/>
              </w:rPr>
              <w:t>N/A</w:t>
            </w:r>
          </w:p>
        </w:tc>
      </w:tr>
    </w:tbl>
    <w:p w14:paraId="1FC22EC0" w14:textId="1988B4FC" w:rsidR="00DE3A05" w:rsidRPr="00DE3A05" w:rsidRDefault="00DE3A05" w:rsidP="00815ACE">
      <w:pPr>
        <w:pStyle w:val="Caption"/>
      </w:pPr>
      <w:r w:rsidRPr="00DE3A05">
        <w:t>FFY 2020 SPP/APR Data: Math Assessment (3B)</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982"/>
        <w:gridCol w:w="990"/>
        <w:gridCol w:w="1891"/>
        <w:gridCol w:w="1803"/>
        <w:gridCol w:w="899"/>
        <w:gridCol w:w="990"/>
        <w:gridCol w:w="990"/>
        <w:gridCol w:w="990"/>
        <w:gridCol w:w="1246"/>
      </w:tblGrid>
      <w:tr w:rsidR="00C047EE" w:rsidRPr="00781112" w14:paraId="1ECD1184" w14:textId="77777777" w:rsidTr="0052002E">
        <w:trPr>
          <w:tblHeader/>
          <w:jc w:val="center"/>
        </w:trPr>
        <w:tc>
          <w:tcPr>
            <w:tcW w:w="455" w:type="pct"/>
            <w:shd w:val="clear" w:color="auto" w:fill="D9D9D9" w:themeFill="background1" w:themeFillShade="D9"/>
            <w:vAlign w:val="center"/>
          </w:tcPr>
          <w:p w14:paraId="2B938423" w14:textId="01A79B33" w:rsidR="009E6C1A" w:rsidRPr="00781112" w:rsidRDefault="009E6C1A" w:rsidP="00C047EE">
            <w:pPr>
              <w:spacing w:after="0"/>
              <w:jc w:val="center"/>
              <w:rPr>
                <w:b/>
                <w:color w:val="000000" w:themeColor="text1"/>
              </w:rPr>
            </w:pPr>
            <w:r w:rsidRPr="00781112">
              <w:rPr>
                <w:b/>
                <w:color w:val="000000" w:themeColor="text1"/>
              </w:rPr>
              <w:t>Group</w:t>
            </w:r>
          </w:p>
        </w:tc>
        <w:tc>
          <w:tcPr>
            <w:tcW w:w="459" w:type="pct"/>
            <w:shd w:val="clear" w:color="auto" w:fill="D9D9D9" w:themeFill="background1" w:themeFillShade="D9"/>
            <w:vAlign w:val="center"/>
          </w:tcPr>
          <w:p w14:paraId="45BFCF3F" w14:textId="3F4AB58B" w:rsidR="009E6C1A" w:rsidRPr="00781112" w:rsidRDefault="009E6C1A" w:rsidP="00C047EE">
            <w:pPr>
              <w:spacing w:after="0"/>
              <w:jc w:val="center"/>
              <w:rPr>
                <w:b/>
                <w:color w:val="000000" w:themeColor="text1"/>
              </w:rPr>
            </w:pPr>
            <w:r w:rsidRPr="00781112">
              <w:rPr>
                <w:b/>
                <w:color w:val="000000" w:themeColor="text1"/>
              </w:rPr>
              <w:t>Group Name</w:t>
            </w:r>
          </w:p>
        </w:tc>
        <w:tc>
          <w:tcPr>
            <w:tcW w:w="877" w:type="pct"/>
            <w:shd w:val="clear" w:color="auto" w:fill="D9D9D9" w:themeFill="background1" w:themeFillShade="D9"/>
            <w:vAlign w:val="center"/>
          </w:tcPr>
          <w:p w14:paraId="5541073C" w14:textId="30C0F75E" w:rsidR="009E6C1A" w:rsidRPr="00781112" w:rsidRDefault="009E6C1A" w:rsidP="00C047EE">
            <w:pPr>
              <w:spacing w:after="0"/>
              <w:jc w:val="center"/>
              <w:rPr>
                <w:b/>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836" w:type="pct"/>
            <w:shd w:val="clear" w:color="auto" w:fill="D9D9D9" w:themeFill="background1" w:themeFillShade="D9"/>
            <w:vAlign w:val="center"/>
          </w:tcPr>
          <w:p w14:paraId="3ABF5E71" w14:textId="763F0C86" w:rsidR="009E6C1A" w:rsidRPr="00781112" w:rsidRDefault="009E6C1A" w:rsidP="00C047EE">
            <w:pPr>
              <w:spacing w:after="0"/>
              <w:jc w:val="center"/>
              <w:rPr>
                <w:b/>
                <w:color w:val="000000" w:themeColor="text1"/>
              </w:rPr>
            </w:pPr>
            <w:r w:rsidRPr="00781112">
              <w:rPr>
                <w:b/>
                <w:bCs/>
              </w:rPr>
              <w:t>Number of Children with IEPs who Received a Valid Score and for whom a Proficiency Level was Assigned for the Regular Assessment</w:t>
            </w:r>
          </w:p>
        </w:tc>
        <w:tc>
          <w:tcPr>
            <w:tcW w:w="417" w:type="pct"/>
            <w:shd w:val="clear" w:color="auto" w:fill="D9D9D9" w:themeFill="background1" w:themeFillShade="D9"/>
            <w:vAlign w:val="center"/>
          </w:tcPr>
          <w:p w14:paraId="5A96E021" w14:textId="0DF96355" w:rsidR="009E6C1A" w:rsidRPr="00572E2A" w:rsidRDefault="009E6C1A" w:rsidP="00C047EE">
            <w:pPr>
              <w:spacing w:after="0"/>
              <w:jc w:val="center"/>
              <w:rPr>
                <w:b/>
                <w:color w:val="000000" w:themeColor="text1"/>
              </w:rPr>
            </w:pPr>
            <w:r w:rsidRPr="00572E2A">
              <w:rPr>
                <w:b/>
                <w:color w:val="000000" w:themeColor="text1"/>
              </w:rPr>
              <w:t>FFY 2019 Data</w:t>
            </w:r>
          </w:p>
        </w:tc>
        <w:tc>
          <w:tcPr>
            <w:tcW w:w="459" w:type="pct"/>
            <w:shd w:val="clear" w:color="auto" w:fill="D9D9D9" w:themeFill="background1" w:themeFillShade="D9"/>
            <w:vAlign w:val="center"/>
          </w:tcPr>
          <w:p w14:paraId="69212BFA" w14:textId="33645B71" w:rsidR="009E6C1A" w:rsidRPr="00781112" w:rsidRDefault="009E6C1A" w:rsidP="00C047EE">
            <w:pPr>
              <w:spacing w:after="0"/>
              <w:jc w:val="center"/>
              <w:rPr>
                <w:b/>
                <w:color w:val="000000" w:themeColor="text1"/>
              </w:rPr>
            </w:pPr>
            <w:r w:rsidRPr="00781112">
              <w:rPr>
                <w:b/>
                <w:color w:val="000000" w:themeColor="text1"/>
              </w:rPr>
              <w:t>FFY 2020 Target</w:t>
            </w:r>
          </w:p>
        </w:tc>
        <w:tc>
          <w:tcPr>
            <w:tcW w:w="459" w:type="pct"/>
            <w:shd w:val="clear" w:color="auto" w:fill="D9D9D9" w:themeFill="background1" w:themeFillShade="D9"/>
            <w:vAlign w:val="center"/>
          </w:tcPr>
          <w:p w14:paraId="38A0F56E" w14:textId="2C14D44B" w:rsidR="009E6C1A" w:rsidRPr="00781112" w:rsidRDefault="009E6C1A" w:rsidP="00C047EE">
            <w:pPr>
              <w:spacing w:after="0"/>
              <w:jc w:val="center"/>
              <w:rPr>
                <w:b/>
                <w:color w:val="000000" w:themeColor="text1"/>
              </w:rPr>
            </w:pPr>
            <w:r w:rsidRPr="00781112">
              <w:rPr>
                <w:b/>
                <w:color w:val="000000" w:themeColor="text1"/>
              </w:rPr>
              <w:t>FFY 2020 Data</w:t>
            </w:r>
          </w:p>
        </w:tc>
        <w:tc>
          <w:tcPr>
            <w:tcW w:w="459" w:type="pct"/>
            <w:shd w:val="clear" w:color="auto" w:fill="D9D9D9" w:themeFill="background1" w:themeFillShade="D9"/>
            <w:vAlign w:val="center"/>
          </w:tcPr>
          <w:p w14:paraId="11F44E1D" w14:textId="39A61F57" w:rsidR="009E6C1A" w:rsidRPr="00781112" w:rsidRDefault="009E6C1A" w:rsidP="00C047EE">
            <w:pPr>
              <w:spacing w:after="0"/>
              <w:jc w:val="center"/>
              <w:rPr>
                <w:b/>
                <w:color w:val="000000" w:themeColor="text1"/>
              </w:rPr>
            </w:pPr>
            <w:r w:rsidRPr="00781112">
              <w:rPr>
                <w:b/>
                <w:color w:val="000000" w:themeColor="text1"/>
              </w:rPr>
              <w:t>Status</w:t>
            </w:r>
          </w:p>
        </w:tc>
        <w:tc>
          <w:tcPr>
            <w:tcW w:w="578" w:type="pct"/>
            <w:shd w:val="clear" w:color="auto" w:fill="D9D9D9" w:themeFill="background1" w:themeFillShade="D9"/>
            <w:vAlign w:val="center"/>
          </w:tcPr>
          <w:p w14:paraId="64655725" w14:textId="350D326F" w:rsidR="009E6C1A" w:rsidRPr="00781112" w:rsidRDefault="009E6C1A" w:rsidP="00C047EE">
            <w:pPr>
              <w:spacing w:after="0"/>
              <w:jc w:val="center"/>
              <w:rPr>
                <w:b/>
                <w:color w:val="000000" w:themeColor="text1"/>
              </w:rPr>
            </w:pPr>
            <w:r w:rsidRPr="00781112">
              <w:rPr>
                <w:b/>
                <w:color w:val="000000" w:themeColor="text1"/>
              </w:rPr>
              <w:t>Slippage</w:t>
            </w:r>
          </w:p>
        </w:tc>
      </w:tr>
      <w:tr w:rsidR="00572E2A" w:rsidRPr="00781112" w14:paraId="14220C43" w14:textId="77777777" w:rsidTr="0052002E">
        <w:trPr>
          <w:jc w:val="center"/>
        </w:trPr>
        <w:tc>
          <w:tcPr>
            <w:tcW w:w="455" w:type="pct"/>
            <w:shd w:val="clear" w:color="auto" w:fill="auto"/>
            <w:vAlign w:val="center"/>
          </w:tcPr>
          <w:p w14:paraId="16A9CDD2" w14:textId="5DBA3D3A" w:rsidR="00572E2A" w:rsidRPr="00C047EE" w:rsidRDefault="00572E2A" w:rsidP="00572E2A">
            <w:pPr>
              <w:pStyle w:val="Default"/>
              <w:spacing w:line="276" w:lineRule="auto"/>
              <w:jc w:val="center"/>
              <w:rPr>
                <w:b/>
                <w:color w:val="000000" w:themeColor="text1"/>
              </w:rPr>
            </w:pPr>
            <w:r w:rsidRPr="00C047EE">
              <w:rPr>
                <w:rFonts w:eastAsiaTheme="minorHAnsi"/>
                <w:b/>
                <w:color w:val="000000" w:themeColor="text1"/>
              </w:rPr>
              <w:t>A</w:t>
            </w:r>
          </w:p>
        </w:tc>
        <w:tc>
          <w:tcPr>
            <w:tcW w:w="459" w:type="pct"/>
            <w:shd w:val="clear" w:color="auto" w:fill="auto"/>
            <w:vAlign w:val="center"/>
          </w:tcPr>
          <w:p w14:paraId="1392C443" w14:textId="646DC1A9" w:rsidR="00572E2A" w:rsidRPr="00781112" w:rsidDel="00DE5045" w:rsidRDefault="00572E2A" w:rsidP="00572E2A">
            <w:pPr>
              <w:spacing w:after="0"/>
              <w:jc w:val="center"/>
              <w:rPr>
                <w:rFonts w:cs="Arial"/>
                <w:color w:val="000000" w:themeColor="text1"/>
                <w:szCs w:val="16"/>
              </w:rPr>
            </w:pPr>
            <w:r w:rsidRPr="00781112">
              <w:rPr>
                <w:rFonts w:cs="Arial"/>
                <w:color w:val="000000" w:themeColor="text1"/>
                <w:szCs w:val="16"/>
              </w:rPr>
              <w:t>Grade 4</w:t>
            </w:r>
          </w:p>
        </w:tc>
        <w:tc>
          <w:tcPr>
            <w:tcW w:w="877" w:type="pct"/>
            <w:shd w:val="clear" w:color="auto" w:fill="auto"/>
            <w:vAlign w:val="center"/>
          </w:tcPr>
          <w:p w14:paraId="0B49B780" w14:textId="151DA31E"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2,486</w:t>
            </w:r>
          </w:p>
        </w:tc>
        <w:tc>
          <w:tcPr>
            <w:tcW w:w="836" w:type="pct"/>
            <w:shd w:val="clear" w:color="auto" w:fill="auto"/>
            <w:vAlign w:val="center"/>
          </w:tcPr>
          <w:p w14:paraId="2611648C" w14:textId="77D930AD" w:rsidR="00572E2A" w:rsidRPr="00781112" w:rsidRDefault="00572E2A" w:rsidP="00572E2A">
            <w:pPr>
              <w:spacing w:after="0"/>
              <w:jc w:val="center"/>
              <w:rPr>
                <w:rFonts w:cs="Arial"/>
                <w:color w:val="000000" w:themeColor="text1"/>
                <w:szCs w:val="16"/>
              </w:rPr>
            </w:pPr>
            <w:r w:rsidRPr="00242D8A">
              <w:rPr>
                <w:rFonts w:cs="Arial"/>
                <w:color w:val="000000" w:themeColor="text1"/>
                <w:szCs w:val="16"/>
              </w:rPr>
              <w:t>8,895</w:t>
            </w:r>
          </w:p>
        </w:tc>
        <w:tc>
          <w:tcPr>
            <w:tcW w:w="417" w:type="pct"/>
            <w:shd w:val="clear" w:color="auto" w:fill="auto"/>
            <w:vAlign w:val="center"/>
          </w:tcPr>
          <w:p w14:paraId="044B076F" w14:textId="40CF3ACB" w:rsidR="00572E2A" w:rsidRPr="00781112" w:rsidRDefault="00572E2A" w:rsidP="00572E2A">
            <w:pPr>
              <w:spacing w:after="0"/>
              <w:jc w:val="center"/>
              <w:rPr>
                <w:rFonts w:cs="Arial"/>
                <w:color w:val="000000" w:themeColor="text1"/>
                <w:szCs w:val="16"/>
              </w:rPr>
            </w:pPr>
            <w:r>
              <w:rPr>
                <w:rFonts w:cs="Arial"/>
                <w:color w:val="000000" w:themeColor="text1"/>
                <w:szCs w:val="24"/>
              </w:rPr>
              <w:t>N/A</w:t>
            </w:r>
          </w:p>
        </w:tc>
        <w:tc>
          <w:tcPr>
            <w:tcW w:w="459" w:type="pct"/>
            <w:shd w:val="clear" w:color="auto" w:fill="auto"/>
            <w:vAlign w:val="center"/>
          </w:tcPr>
          <w:p w14:paraId="4D68E61F" w14:textId="36DB0B83"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27.95%</w:t>
            </w:r>
          </w:p>
        </w:tc>
        <w:tc>
          <w:tcPr>
            <w:tcW w:w="459" w:type="pct"/>
            <w:shd w:val="clear" w:color="auto" w:fill="auto"/>
            <w:vAlign w:val="center"/>
          </w:tcPr>
          <w:p w14:paraId="4C5100F6" w14:textId="23EB35C9"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27.95%</w:t>
            </w:r>
          </w:p>
        </w:tc>
        <w:tc>
          <w:tcPr>
            <w:tcW w:w="459" w:type="pct"/>
            <w:shd w:val="clear" w:color="auto" w:fill="auto"/>
            <w:vAlign w:val="center"/>
          </w:tcPr>
          <w:p w14:paraId="5A9EC511" w14:textId="6D6B7DF8"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c>
          <w:tcPr>
            <w:tcW w:w="578" w:type="pct"/>
            <w:shd w:val="clear" w:color="auto" w:fill="auto"/>
            <w:vAlign w:val="center"/>
          </w:tcPr>
          <w:p w14:paraId="17FB0601" w14:textId="6AA7FF5B"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r>
      <w:tr w:rsidR="00572E2A" w:rsidRPr="00781112" w14:paraId="33C5CE6C" w14:textId="77777777" w:rsidTr="0052002E">
        <w:trPr>
          <w:jc w:val="center"/>
        </w:trPr>
        <w:tc>
          <w:tcPr>
            <w:tcW w:w="455" w:type="pct"/>
            <w:shd w:val="clear" w:color="auto" w:fill="auto"/>
            <w:vAlign w:val="center"/>
          </w:tcPr>
          <w:p w14:paraId="17123B1B" w14:textId="50BB2C71" w:rsidR="00572E2A" w:rsidRPr="00C047EE" w:rsidRDefault="00572E2A" w:rsidP="00572E2A">
            <w:pPr>
              <w:pStyle w:val="Default"/>
              <w:spacing w:line="276" w:lineRule="auto"/>
              <w:jc w:val="center"/>
              <w:rPr>
                <w:b/>
                <w:color w:val="000000" w:themeColor="text1"/>
              </w:rPr>
            </w:pPr>
            <w:r w:rsidRPr="00C047EE">
              <w:rPr>
                <w:b/>
                <w:color w:val="000000" w:themeColor="text1"/>
              </w:rPr>
              <w:t>B</w:t>
            </w:r>
          </w:p>
        </w:tc>
        <w:tc>
          <w:tcPr>
            <w:tcW w:w="459" w:type="pct"/>
            <w:shd w:val="clear" w:color="auto" w:fill="auto"/>
            <w:vAlign w:val="center"/>
          </w:tcPr>
          <w:p w14:paraId="45DA42B4" w14:textId="04F51E55" w:rsidR="00572E2A" w:rsidRPr="00781112" w:rsidDel="00DE5045" w:rsidRDefault="00572E2A" w:rsidP="00572E2A">
            <w:pPr>
              <w:spacing w:after="0"/>
              <w:jc w:val="center"/>
              <w:rPr>
                <w:rFonts w:cs="Arial"/>
                <w:color w:val="000000" w:themeColor="text1"/>
                <w:szCs w:val="16"/>
              </w:rPr>
            </w:pPr>
            <w:r w:rsidRPr="00781112">
              <w:rPr>
                <w:rFonts w:cs="Arial"/>
                <w:color w:val="000000" w:themeColor="text1"/>
                <w:szCs w:val="16"/>
              </w:rPr>
              <w:t>Grade 8</w:t>
            </w:r>
          </w:p>
        </w:tc>
        <w:tc>
          <w:tcPr>
            <w:tcW w:w="877" w:type="pct"/>
            <w:shd w:val="clear" w:color="auto" w:fill="auto"/>
            <w:vAlign w:val="center"/>
          </w:tcPr>
          <w:p w14:paraId="31722F1C" w14:textId="2D076448"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1,671</w:t>
            </w:r>
          </w:p>
        </w:tc>
        <w:tc>
          <w:tcPr>
            <w:tcW w:w="836" w:type="pct"/>
            <w:shd w:val="clear" w:color="auto" w:fill="auto"/>
            <w:vAlign w:val="center"/>
          </w:tcPr>
          <w:p w14:paraId="048616C6" w14:textId="622D5B53" w:rsidR="00572E2A" w:rsidRPr="00781112" w:rsidRDefault="00572E2A" w:rsidP="00572E2A">
            <w:pPr>
              <w:spacing w:after="0"/>
              <w:jc w:val="center"/>
              <w:rPr>
                <w:rFonts w:cs="Arial"/>
                <w:color w:val="000000" w:themeColor="text1"/>
                <w:szCs w:val="16"/>
              </w:rPr>
            </w:pPr>
            <w:r w:rsidRPr="00242D8A">
              <w:rPr>
                <w:rFonts w:cs="Arial"/>
                <w:color w:val="000000" w:themeColor="text1"/>
                <w:szCs w:val="16"/>
              </w:rPr>
              <w:t>7,682</w:t>
            </w:r>
          </w:p>
        </w:tc>
        <w:tc>
          <w:tcPr>
            <w:tcW w:w="417" w:type="pct"/>
            <w:shd w:val="clear" w:color="auto" w:fill="auto"/>
            <w:vAlign w:val="center"/>
          </w:tcPr>
          <w:p w14:paraId="272455FD" w14:textId="6BC776B0" w:rsidR="00572E2A" w:rsidRPr="00781112" w:rsidRDefault="00572E2A" w:rsidP="00572E2A">
            <w:pPr>
              <w:spacing w:after="0"/>
              <w:jc w:val="center"/>
              <w:rPr>
                <w:rFonts w:cs="Arial"/>
                <w:color w:val="000000" w:themeColor="text1"/>
                <w:szCs w:val="16"/>
              </w:rPr>
            </w:pPr>
            <w:r>
              <w:rPr>
                <w:rFonts w:cs="Arial"/>
                <w:color w:val="000000" w:themeColor="text1"/>
                <w:szCs w:val="24"/>
              </w:rPr>
              <w:t>N/A</w:t>
            </w:r>
          </w:p>
        </w:tc>
        <w:tc>
          <w:tcPr>
            <w:tcW w:w="459" w:type="pct"/>
            <w:shd w:val="clear" w:color="auto" w:fill="auto"/>
            <w:vAlign w:val="center"/>
          </w:tcPr>
          <w:p w14:paraId="38039D42" w14:textId="45468742"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21.75%</w:t>
            </w:r>
          </w:p>
        </w:tc>
        <w:tc>
          <w:tcPr>
            <w:tcW w:w="459" w:type="pct"/>
            <w:shd w:val="clear" w:color="auto" w:fill="auto"/>
            <w:vAlign w:val="center"/>
          </w:tcPr>
          <w:p w14:paraId="7DB4B85A" w14:textId="6DFB205A"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21.75%</w:t>
            </w:r>
          </w:p>
        </w:tc>
        <w:tc>
          <w:tcPr>
            <w:tcW w:w="459" w:type="pct"/>
            <w:shd w:val="clear" w:color="auto" w:fill="auto"/>
            <w:vAlign w:val="center"/>
          </w:tcPr>
          <w:p w14:paraId="19114A8F" w14:textId="4F4B3C10"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c>
          <w:tcPr>
            <w:tcW w:w="578" w:type="pct"/>
            <w:shd w:val="clear" w:color="auto" w:fill="auto"/>
            <w:vAlign w:val="center"/>
          </w:tcPr>
          <w:p w14:paraId="47661F26" w14:textId="727C9546"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r>
      <w:tr w:rsidR="00572E2A" w:rsidRPr="00781112" w14:paraId="573A5711" w14:textId="77777777" w:rsidTr="0052002E">
        <w:trPr>
          <w:jc w:val="center"/>
        </w:trPr>
        <w:tc>
          <w:tcPr>
            <w:tcW w:w="455" w:type="pct"/>
            <w:shd w:val="clear" w:color="auto" w:fill="auto"/>
            <w:vAlign w:val="center"/>
          </w:tcPr>
          <w:p w14:paraId="3C25BE15" w14:textId="77777777" w:rsidR="00572E2A" w:rsidRPr="00C047EE" w:rsidRDefault="00572E2A" w:rsidP="00572E2A">
            <w:pPr>
              <w:pStyle w:val="Default"/>
              <w:spacing w:line="276" w:lineRule="auto"/>
              <w:jc w:val="center"/>
              <w:rPr>
                <w:rFonts w:eastAsiaTheme="minorHAnsi"/>
                <w:color w:val="000000" w:themeColor="text1"/>
              </w:rPr>
            </w:pPr>
            <w:r w:rsidRPr="00C047EE">
              <w:rPr>
                <w:b/>
                <w:color w:val="000000" w:themeColor="text1"/>
              </w:rPr>
              <w:t>C</w:t>
            </w:r>
          </w:p>
        </w:tc>
        <w:tc>
          <w:tcPr>
            <w:tcW w:w="459" w:type="pct"/>
            <w:shd w:val="clear" w:color="auto" w:fill="auto"/>
            <w:vAlign w:val="center"/>
          </w:tcPr>
          <w:p w14:paraId="1B1F6BC3" w14:textId="7816ECC7" w:rsidR="00572E2A" w:rsidRPr="00781112" w:rsidDel="00DE5045" w:rsidRDefault="00572E2A" w:rsidP="00572E2A">
            <w:pPr>
              <w:spacing w:after="0"/>
              <w:jc w:val="center"/>
              <w:rPr>
                <w:rFonts w:cs="Arial"/>
                <w:color w:val="000000" w:themeColor="text1"/>
                <w:szCs w:val="16"/>
              </w:rPr>
            </w:pPr>
            <w:r w:rsidRPr="00781112">
              <w:rPr>
                <w:rFonts w:cs="Arial"/>
                <w:color w:val="000000" w:themeColor="text1"/>
                <w:szCs w:val="16"/>
              </w:rPr>
              <w:t>Grade HS</w:t>
            </w:r>
          </w:p>
        </w:tc>
        <w:tc>
          <w:tcPr>
            <w:tcW w:w="877" w:type="pct"/>
            <w:shd w:val="clear" w:color="auto" w:fill="auto"/>
            <w:vAlign w:val="center"/>
          </w:tcPr>
          <w:p w14:paraId="0EFA1043" w14:textId="0F9EE258"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4,087</w:t>
            </w:r>
          </w:p>
        </w:tc>
        <w:tc>
          <w:tcPr>
            <w:tcW w:w="836" w:type="pct"/>
            <w:shd w:val="clear" w:color="auto" w:fill="auto"/>
            <w:vAlign w:val="center"/>
          </w:tcPr>
          <w:p w14:paraId="2A4E8BA5" w14:textId="01157060" w:rsidR="00572E2A" w:rsidRPr="00781112" w:rsidRDefault="00572E2A" w:rsidP="00572E2A">
            <w:pPr>
              <w:spacing w:after="0"/>
              <w:jc w:val="center"/>
              <w:rPr>
                <w:rFonts w:cs="Arial"/>
                <w:color w:val="000000" w:themeColor="text1"/>
                <w:szCs w:val="16"/>
              </w:rPr>
            </w:pPr>
            <w:r w:rsidRPr="00242D8A">
              <w:rPr>
                <w:rFonts w:cs="Arial"/>
                <w:color w:val="000000" w:themeColor="text1"/>
                <w:szCs w:val="16"/>
              </w:rPr>
              <w:t>10,869</w:t>
            </w:r>
          </w:p>
        </w:tc>
        <w:tc>
          <w:tcPr>
            <w:tcW w:w="417" w:type="pct"/>
            <w:shd w:val="clear" w:color="auto" w:fill="auto"/>
            <w:vAlign w:val="center"/>
          </w:tcPr>
          <w:p w14:paraId="2250005A" w14:textId="5F7A678D" w:rsidR="00572E2A" w:rsidRPr="00781112" w:rsidRDefault="00572E2A" w:rsidP="00572E2A">
            <w:pPr>
              <w:spacing w:after="0"/>
              <w:jc w:val="center"/>
              <w:rPr>
                <w:rFonts w:cs="Arial"/>
                <w:color w:val="000000" w:themeColor="text1"/>
                <w:szCs w:val="16"/>
              </w:rPr>
            </w:pPr>
            <w:r>
              <w:rPr>
                <w:rFonts w:cs="Arial"/>
                <w:color w:val="000000" w:themeColor="text1"/>
                <w:szCs w:val="24"/>
              </w:rPr>
              <w:t>N/A</w:t>
            </w:r>
          </w:p>
        </w:tc>
        <w:tc>
          <w:tcPr>
            <w:tcW w:w="459" w:type="pct"/>
            <w:shd w:val="clear" w:color="auto" w:fill="auto"/>
            <w:vAlign w:val="center"/>
          </w:tcPr>
          <w:p w14:paraId="722A3424" w14:textId="24478E1D"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37.60%</w:t>
            </w:r>
          </w:p>
        </w:tc>
        <w:tc>
          <w:tcPr>
            <w:tcW w:w="459" w:type="pct"/>
            <w:shd w:val="clear" w:color="auto" w:fill="auto"/>
            <w:vAlign w:val="center"/>
          </w:tcPr>
          <w:p w14:paraId="581F32CD" w14:textId="4D615B60"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37.60%</w:t>
            </w:r>
          </w:p>
        </w:tc>
        <w:tc>
          <w:tcPr>
            <w:tcW w:w="459" w:type="pct"/>
            <w:shd w:val="clear" w:color="auto" w:fill="auto"/>
            <w:vAlign w:val="center"/>
          </w:tcPr>
          <w:p w14:paraId="3FECC7B3" w14:textId="2C921A8F"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c>
          <w:tcPr>
            <w:tcW w:w="578" w:type="pct"/>
            <w:shd w:val="clear" w:color="auto" w:fill="auto"/>
            <w:vAlign w:val="center"/>
          </w:tcPr>
          <w:p w14:paraId="79B60713" w14:textId="20FD7180"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r>
    </w:tbl>
    <w:p w14:paraId="3D6382E8" w14:textId="3FF585D4" w:rsidR="00497DE4" w:rsidRPr="00781112" w:rsidRDefault="00497DE4" w:rsidP="0036581E">
      <w:pPr>
        <w:pStyle w:val="Heading4"/>
      </w:pPr>
      <w:r w:rsidRPr="00781112">
        <w:t>Regulatory Information</w:t>
      </w:r>
    </w:p>
    <w:p w14:paraId="3C6B4961" w14:textId="6B542E5A" w:rsidR="00497DE4" w:rsidRPr="00781112" w:rsidRDefault="00A14B5D" w:rsidP="000F6E74">
      <w:pPr>
        <w:rPr>
          <w:rFonts w:cs="Arial"/>
          <w:b/>
          <w:color w:val="000000" w:themeColor="text1"/>
          <w:szCs w:val="16"/>
          <w:shd w:val="clear" w:color="auto" w:fill="FFFFFF"/>
        </w:rPr>
      </w:pPr>
      <w:r w:rsidRPr="00781112">
        <w:rPr>
          <w:rFonts w:cs="Arial"/>
          <w:b/>
          <w:color w:val="000000" w:themeColor="text1"/>
          <w:szCs w:val="16"/>
        </w:rPr>
        <w:t xml:space="preserve">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w:t>
      </w:r>
      <w:r w:rsidRPr="00781112">
        <w:rPr>
          <w:rFonts w:cs="Arial"/>
          <w:b/>
          <w:color w:val="000000" w:themeColor="text1"/>
          <w:szCs w:val="16"/>
        </w:rPr>
        <w:lastRenderedPageBreak/>
        <w:t xml:space="preserve">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w:t>
      </w:r>
      <w:r w:rsidR="00C047EE">
        <w:rPr>
          <w:rFonts w:cs="Arial"/>
          <w:b/>
          <w:color w:val="000000" w:themeColor="text1"/>
          <w:szCs w:val="16"/>
        </w:rPr>
        <w:br/>
      </w:r>
      <w:r w:rsidRPr="00781112">
        <w:rPr>
          <w:rFonts w:cs="Arial"/>
          <w:b/>
          <w:color w:val="000000" w:themeColor="text1"/>
          <w:szCs w:val="16"/>
        </w:rPr>
        <w:t>[20 U.S.C. 1412 (a)(16)(D); 34 CFR §300.160(f)]</w:t>
      </w:r>
    </w:p>
    <w:p w14:paraId="36CE185D" w14:textId="50CA6AD9" w:rsidR="000A5A2E" w:rsidRPr="00781112" w:rsidRDefault="000A5A2E" w:rsidP="0036581E">
      <w:pPr>
        <w:pStyle w:val="Heading4"/>
      </w:pPr>
      <w:r w:rsidRPr="00781112">
        <w:t>Public Reporting Information</w:t>
      </w:r>
    </w:p>
    <w:p w14:paraId="09EDA537" w14:textId="59FB5CD8" w:rsidR="00E539AB" w:rsidRPr="00781112" w:rsidRDefault="00E539AB" w:rsidP="000F6E74">
      <w:pPr>
        <w:rPr>
          <w:rFonts w:cs="Arial"/>
          <w:b/>
          <w:color w:val="000000" w:themeColor="text1"/>
          <w:szCs w:val="16"/>
        </w:rPr>
      </w:pPr>
      <w:r w:rsidRPr="00781112">
        <w:rPr>
          <w:rFonts w:cs="Arial"/>
          <w:b/>
          <w:color w:val="000000" w:themeColor="text1"/>
          <w:szCs w:val="16"/>
        </w:rPr>
        <w:t>Provide links to the page(s) where you provide public reports of assessment results.</w:t>
      </w:r>
    </w:p>
    <w:p w14:paraId="6D4F6CDA" w14:textId="1C4384CB" w:rsidR="00C047EE" w:rsidRPr="00C047EE" w:rsidRDefault="002B7490" w:rsidP="007D6196">
      <w:pPr>
        <w:pStyle w:val="ListParagraph"/>
        <w:numPr>
          <w:ilvl w:val="0"/>
          <w:numId w:val="11"/>
        </w:numPr>
        <w:contextualSpacing w:val="0"/>
        <w:rPr>
          <w:rFonts w:cs="Arial"/>
          <w:color w:val="000000" w:themeColor="text1"/>
          <w:szCs w:val="16"/>
        </w:rPr>
      </w:pPr>
      <w:r w:rsidRPr="00C047EE">
        <w:rPr>
          <w:rFonts w:cs="Arial"/>
          <w:color w:val="000000" w:themeColor="text1"/>
          <w:szCs w:val="16"/>
        </w:rPr>
        <w:t xml:space="preserve">Reporting of the Measures of Academic Success data in accordance with 34 CFR §300.160(f) can be found at: </w:t>
      </w:r>
      <w:r w:rsidR="009615F9" w:rsidRPr="009615F9">
        <w:rPr>
          <w:rFonts w:cs="Arial"/>
          <w:color w:val="000000" w:themeColor="text1"/>
          <w:szCs w:val="16"/>
        </w:rPr>
        <w:t xml:space="preserve">https://www.doe.virginia.gov/?navid=250 </w:t>
      </w:r>
      <w:r w:rsidRPr="00C047EE">
        <w:rPr>
          <w:rFonts w:cs="Arial"/>
          <w:color w:val="000000" w:themeColor="text1"/>
          <w:szCs w:val="16"/>
        </w:rPr>
        <w:t>(scroll to 2020-2021 at bottom of the page)</w:t>
      </w:r>
    </w:p>
    <w:p w14:paraId="422F5C37" w14:textId="41F3E47E" w:rsidR="00C047EE" w:rsidRPr="00C047EE" w:rsidRDefault="002B7490" w:rsidP="007D6196">
      <w:pPr>
        <w:pStyle w:val="ListParagraph"/>
        <w:numPr>
          <w:ilvl w:val="0"/>
          <w:numId w:val="12"/>
        </w:numPr>
        <w:ind w:left="1440"/>
        <w:contextualSpacing w:val="0"/>
        <w:rPr>
          <w:rFonts w:cs="Arial"/>
          <w:color w:val="000000" w:themeColor="text1"/>
          <w:szCs w:val="16"/>
        </w:rPr>
      </w:pPr>
      <w:r w:rsidRPr="00C047EE">
        <w:rPr>
          <w:rFonts w:cs="Arial"/>
          <w:color w:val="000000" w:themeColor="text1"/>
          <w:szCs w:val="16"/>
        </w:rPr>
        <w:t>Part B Assessment - Table 6</w:t>
      </w:r>
    </w:p>
    <w:p w14:paraId="512C39AE" w14:textId="77777777" w:rsidR="004D27CF" w:rsidRDefault="002B7490" w:rsidP="007D6196">
      <w:pPr>
        <w:pStyle w:val="ListParagraph"/>
        <w:numPr>
          <w:ilvl w:val="0"/>
          <w:numId w:val="12"/>
        </w:numPr>
        <w:ind w:left="1440"/>
        <w:contextualSpacing w:val="0"/>
        <w:rPr>
          <w:rFonts w:cs="Arial"/>
          <w:color w:val="000000" w:themeColor="text1"/>
          <w:szCs w:val="16"/>
        </w:rPr>
      </w:pPr>
      <w:r w:rsidRPr="00C047EE">
        <w:rPr>
          <w:rFonts w:cs="Arial"/>
          <w:color w:val="000000" w:themeColor="text1"/>
          <w:szCs w:val="16"/>
        </w:rPr>
        <w:t>Part B Assessment - State, Division, and School Levels</w:t>
      </w:r>
    </w:p>
    <w:p w14:paraId="5D0B68B1" w14:textId="4A238EDB" w:rsidR="00C047EE" w:rsidRPr="004D27CF" w:rsidRDefault="002B7490" w:rsidP="007D6196">
      <w:pPr>
        <w:pStyle w:val="ListParagraph"/>
        <w:numPr>
          <w:ilvl w:val="0"/>
          <w:numId w:val="11"/>
        </w:numPr>
        <w:contextualSpacing w:val="0"/>
        <w:rPr>
          <w:rFonts w:cs="Arial"/>
          <w:color w:val="000000" w:themeColor="text1"/>
          <w:szCs w:val="16"/>
        </w:rPr>
      </w:pPr>
      <w:r w:rsidRPr="004D27CF">
        <w:rPr>
          <w:rFonts w:cs="Arial"/>
          <w:color w:val="000000" w:themeColor="text1"/>
          <w:szCs w:val="16"/>
        </w:rPr>
        <w:t xml:space="preserve">In addition, Virginia’s State Quality Profile provides information about student achievement for all children, including children with disabilities, across all subjects, proficiency levels, and participation rates at Student achievement </w:t>
      </w:r>
      <w:r w:rsidRPr="004D27CF">
        <w:rPr>
          <w:rFonts w:cs="Arial"/>
          <w:szCs w:val="16"/>
        </w:rPr>
        <w:t>http://schoolquality.virginia.gov/virginia-state-quality-profile#desktopTabs-2 and ESSA</w:t>
      </w:r>
      <w:r w:rsidR="004D27CF" w:rsidRPr="004D27CF">
        <w:rPr>
          <w:rFonts w:cs="Arial"/>
          <w:szCs w:val="16"/>
        </w:rPr>
        <w:t xml:space="preserve"> - </w:t>
      </w:r>
      <w:r w:rsidR="00C047EE" w:rsidRPr="004D27CF">
        <w:rPr>
          <w:rFonts w:cs="Arial"/>
          <w:szCs w:val="16"/>
        </w:rPr>
        <w:t>http://schoolquality.virginia.gov/virginia-state-quality-profile#desktopTabs-8</w:t>
      </w:r>
      <w:r w:rsidRPr="004D27CF">
        <w:rPr>
          <w:rFonts w:cs="Arial"/>
          <w:color w:val="000000" w:themeColor="text1"/>
          <w:szCs w:val="16"/>
        </w:rPr>
        <w:t>.</w:t>
      </w:r>
    </w:p>
    <w:p w14:paraId="0D06E330" w14:textId="77777777" w:rsidR="00C047EE" w:rsidRPr="00C047EE" w:rsidRDefault="002B7490" w:rsidP="007D6196">
      <w:pPr>
        <w:pStyle w:val="ListParagraph"/>
        <w:numPr>
          <w:ilvl w:val="0"/>
          <w:numId w:val="11"/>
        </w:numPr>
        <w:spacing w:after="0"/>
        <w:rPr>
          <w:rFonts w:cs="Arial"/>
          <w:color w:val="000000" w:themeColor="text1"/>
          <w:szCs w:val="16"/>
        </w:rPr>
      </w:pPr>
      <w:r w:rsidRPr="00C047EE">
        <w:rPr>
          <w:rFonts w:cs="Arial"/>
          <w:color w:val="000000" w:themeColor="text1"/>
          <w:szCs w:val="16"/>
        </w:rPr>
        <w:t xml:space="preserve">Further disaggregation of the assessment data can be obtained by using the Build-A-Table to create reports on student performance by student subgroup (including students with disabilities) taking regular assessments, and </w:t>
      </w:r>
      <w:proofErr w:type="gramStart"/>
      <w:r w:rsidRPr="00C047EE">
        <w:rPr>
          <w:rFonts w:cs="Arial"/>
          <w:color w:val="000000" w:themeColor="text1"/>
          <w:szCs w:val="16"/>
        </w:rPr>
        <w:t>alternate  assessments</w:t>
      </w:r>
      <w:proofErr w:type="gramEnd"/>
      <w:r w:rsidRPr="00C047EE">
        <w:rPr>
          <w:rFonts w:cs="Arial"/>
          <w:color w:val="000000" w:themeColor="text1"/>
          <w:szCs w:val="16"/>
        </w:rPr>
        <w:t xml:space="preserve"> based on alternate academic achievement standards at the State, district and school levels.</w:t>
      </w:r>
    </w:p>
    <w:p w14:paraId="111DD1A5" w14:textId="4CBEB173" w:rsidR="00A869E9" w:rsidRPr="004D27CF" w:rsidRDefault="00C047EE" w:rsidP="007D6196">
      <w:pPr>
        <w:ind w:left="720"/>
        <w:rPr>
          <w:rFonts w:cs="Arial"/>
          <w:color w:val="000000" w:themeColor="text1"/>
          <w:szCs w:val="16"/>
        </w:rPr>
      </w:pPr>
      <w:r w:rsidRPr="004D27CF">
        <w:rPr>
          <w:rFonts w:cs="Arial"/>
          <w:szCs w:val="16"/>
        </w:rPr>
        <w:t>https://p1pe.doe.virginia.gov/buildatable/testresults</w:t>
      </w:r>
    </w:p>
    <w:p w14:paraId="2BE473B4" w14:textId="77777777" w:rsidR="00053391" w:rsidRPr="00781112" w:rsidRDefault="00053391" w:rsidP="0036581E">
      <w:pPr>
        <w:pStyle w:val="Heading4"/>
      </w:pPr>
      <w:bookmarkStart w:id="17" w:name="_Toc382082367"/>
      <w:bookmarkStart w:id="18" w:name="_Toc392159276"/>
      <w:r w:rsidRPr="00781112">
        <w:t>Provide additional information about this indicator (optional)</w:t>
      </w:r>
    </w:p>
    <w:p w14:paraId="3E9E8793" w14:textId="126D5C73" w:rsidR="00A869E9" w:rsidRPr="007D6196" w:rsidRDefault="002B7490" w:rsidP="00314F94">
      <w:pPr>
        <w:pStyle w:val="ListParagraph"/>
        <w:numPr>
          <w:ilvl w:val="0"/>
          <w:numId w:val="95"/>
        </w:numPr>
        <w:rPr>
          <w:rFonts w:cs="Arial"/>
          <w:color w:val="000000" w:themeColor="text1"/>
          <w:szCs w:val="16"/>
        </w:rPr>
      </w:pPr>
      <w:r w:rsidRPr="007D6196">
        <w:rPr>
          <w:rFonts w:cs="Arial"/>
          <w:color w:val="000000" w:themeColor="text1"/>
          <w:szCs w:val="16"/>
        </w:rPr>
        <w:t>The baseline data was revised due to a change in the methodology (measurement table) for the indicator that impacts comparability of the data. The new baseline year is FFY 2020.</w:t>
      </w:r>
    </w:p>
    <w:p w14:paraId="7E90E47A" w14:textId="1FCF2660" w:rsidR="000A2C83" w:rsidRPr="00781112" w:rsidRDefault="00573F6C" w:rsidP="000F6E74">
      <w:pPr>
        <w:pStyle w:val="Heading3"/>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D6196" w:rsidRDefault="002B7490" w:rsidP="00314F94">
      <w:pPr>
        <w:pStyle w:val="ListParagraph"/>
        <w:numPr>
          <w:ilvl w:val="0"/>
          <w:numId w:val="96"/>
        </w:numPr>
        <w:rPr>
          <w:rFonts w:cs="Arial"/>
          <w:color w:val="000000" w:themeColor="text1"/>
          <w:szCs w:val="16"/>
        </w:rPr>
      </w:pPr>
      <w:r w:rsidRPr="007D6196">
        <w:rPr>
          <w:rFonts w:cs="Arial"/>
          <w:color w:val="000000" w:themeColor="text1"/>
          <w:szCs w:val="16"/>
        </w:rPr>
        <w:t>None</w:t>
      </w:r>
    </w:p>
    <w:p w14:paraId="40E83F51" w14:textId="68FFF50F" w:rsidR="00053391" w:rsidRPr="00781112" w:rsidRDefault="00573F6C" w:rsidP="000F6E74">
      <w:pPr>
        <w:pStyle w:val="Heading3"/>
      </w:pPr>
      <w:r w:rsidRPr="00781112">
        <w:t>3B - OSEP Response</w:t>
      </w:r>
    </w:p>
    <w:p w14:paraId="0AA4B044" w14:textId="77777777" w:rsidR="00C047EE" w:rsidRPr="007D6196" w:rsidRDefault="002B7490" w:rsidP="00314F94">
      <w:pPr>
        <w:pStyle w:val="ListParagraph"/>
        <w:numPr>
          <w:ilvl w:val="0"/>
          <w:numId w:val="97"/>
        </w:numPr>
        <w:rPr>
          <w:rFonts w:cs="Arial"/>
          <w:color w:val="000000" w:themeColor="text1"/>
          <w:szCs w:val="16"/>
          <w:shd w:val="clear" w:color="auto" w:fill="FFFFFF"/>
        </w:rPr>
      </w:pPr>
      <w:r w:rsidRPr="007D6196">
        <w:rPr>
          <w:rFonts w:cs="Arial"/>
          <w:color w:val="000000" w:themeColor="text1"/>
          <w:szCs w:val="16"/>
          <w:shd w:val="clear" w:color="auto" w:fill="FFFFFF"/>
        </w:rPr>
        <w:t>The State has revised the baseline for this indicator, using data from FFY 2020, and OSEP accepts that revision.</w:t>
      </w:r>
    </w:p>
    <w:p w14:paraId="06D67A16" w14:textId="77777777" w:rsidR="00C047EE" w:rsidRDefault="002B7490" w:rsidP="004C1EC0">
      <w:pPr>
        <w:ind w:left="720"/>
        <w:rPr>
          <w:rFonts w:cs="Arial"/>
          <w:color w:val="000000" w:themeColor="text1"/>
          <w:szCs w:val="16"/>
          <w:shd w:val="clear" w:color="auto" w:fill="FFFFFF"/>
        </w:rPr>
      </w:pPr>
      <w:r w:rsidRPr="00781112">
        <w:rPr>
          <w:rFonts w:cs="Arial"/>
          <w:color w:val="000000" w:themeColor="text1"/>
          <w:szCs w:val="16"/>
          <w:shd w:val="clear" w:color="auto" w:fill="FFFFFF"/>
        </w:rPr>
        <w:t>The State provided targets for FFYs 2020 through 2025 for this indicator, and OSEP accepts those targets.</w:t>
      </w:r>
    </w:p>
    <w:p w14:paraId="6F4AB351" w14:textId="34CB2ADC" w:rsidR="00C047EE" w:rsidRDefault="002B7490" w:rsidP="004C1EC0">
      <w:pPr>
        <w:ind w:left="720"/>
        <w:rPr>
          <w:b/>
          <w:color w:val="000000" w:themeColor="text1"/>
          <w:szCs w:val="20"/>
        </w:rPr>
      </w:pPr>
      <w:r w:rsidRPr="00781112">
        <w:rPr>
          <w:rFonts w:cs="Arial"/>
          <w:color w:val="000000" w:themeColor="text1"/>
          <w:szCs w:val="16"/>
          <w:shd w:val="clear" w:color="auto" w:fill="FFFFFF"/>
        </w:rPr>
        <w:lastRenderedPageBreak/>
        <w:t>The State reported that zero children with IEPs received a valid score and a proficiency level for the regular RLA assessment for grades 4, 8, and HS for this indicator. However, the State reported participation rates for these children in Indicator 3A and provided FFY 2020 data in the Historical Table.</w:t>
      </w:r>
    </w:p>
    <w:p w14:paraId="4E98DE68" w14:textId="0E6261B2" w:rsidR="00053391" w:rsidRPr="00781112" w:rsidRDefault="00573F6C" w:rsidP="000F6E74">
      <w:pPr>
        <w:pStyle w:val="Heading3"/>
      </w:pPr>
      <w:r w:rsidRPr="00781112">
        <w:t>3B - Required Actions</w:t>
      </w:r>
    </w:p>
    <w:p w14:paraId="4DBC1CB9" w14:textId="1E7DEE18" w:rsidR="00D37BF0" w:rsidRPr="007D6196" w:rsidRDefault="002B7490" w:rsidP="00314F94">
      <w:pPr>
        <w:pStyle w:val="ListParagraph"/>
        <w:numPr>
          <w:ilvl w:val="0"/>
          <w:numId w:val="98"/>
        </w:numPr>
        <w:rPr>
          <w:rFonts w:eastAsiaTheme="majorEastAsia" w:cs="Arial"/>
          <w:b/>
          <w:bCs/>
          <w:color w:val="000000" w:themeColor="text1"/>
          <w:szCs w:val="16"/>
        </w:rPr>
      </w:pPr>
      <w:r w:rsidRPr="007D6196">
        <w:rPr>
          <w:rFonts w:cs="Arial"/>
          <w:color w:val="000000" w:themeColor="text1"/>
          <w:szCs w:val="16"/>
          <w:shd w:val="clear" w:color="auto" w:fill="FFFFFF"/>
        </w:rPr>
        <w:t>The State reported that zero children with IEPs received a valid score and a proficiency level for the regular RLA assessment for grades 4, 8, and HS for this indicator. However, the State reported participation rates for these children in Indicator 3A and provided FFY 2020 data in the Historical Table. With the FFY 2021 SPP/APR, the State must explain this discrepancy and include accurate data for this indicator.</w:t>
      </w:r>
      <w:r w:rsidR="00D37BF0" w:rsidRPr="007D6196">
        <w:rPr>
          <w:rFonts w:cs="Arial"/>
          <w:color w:val="000000" w:themeColor="text1"/>
          <w:szCs w:val="16"/>
        </w:rPr>
        <w:br w:type="page"/>
      </w:r>
    </w:p>
    <w:p w14:paraId="162E86A4" w14:textId="6BD07048" w:rsidR="009D378C" w:rsidRPr="006E7E84" w:rsidRDefault="009D378C" w:rsidP="008143AB">
      <w:pPr>
        <w:pStyle w:val="Heading2"/>
      </w:pPr>
      <w:r w:rsidRPr="006E7E84">
        <w:lastRenderedPageBreak/>
        <w:t>Indicator 3C: Proficiency for Children with IEPs (Alternate Academic Achievement Standards)</w:t>
      </w:r>
      <w:bookmarkEnd w:id="17"/>
      <w:bookmarkEnd w:id="18"/>
    </w:p>
    <w:p w14:paraId="52EFBCBE" w14:textId="7FF6D1F6" w:rsidR="008878CC" w:rsidRPr="006E7E84" w:rsidRDefault="008878CC" w:rsidP="00D73ABA">
      <w:pPr>
        <w:pStyle w:val="Heading3"/>
        <w:spacing w:before="240"/>
      </w:pPr>
      <w:r w:rsidRPr="006E7E84">
        <w:t>Instructions and Measurement</w:t>
      </w:r>
    </w:p>
    <w:p w14:paraId="241F1C78" w14:textId="77777777" w:rsidR="000A5A2E" w:rsidRPr="006E7E84" w:rsidRDefault="000A5A2E" w:rsidP="00C047EE">
      <w:bookmarkStart w:id="19" w:name="_Toc384383330"/>
      <w:bookmarkStart w:id="20" w:name="_Toc392159282"/>
      <w:bookmarkStart w:id="21" w:name="_Toc382082372"/>
      <w:r w:rsidRPr="006E7E84">
        <w:rPr>
          <w:b/>
        </w:rPr>
        <w:t xml:space="preserve">Monitoring Priority: </w:t>
      </w:r>
      <w:r w:rsidRPr="006E7E84">
        <w:t>FAPE in the LRE</w:t>
      </w:r>
    </w:p>
    <w:p w14:paraId="40B194E0" w14:textId="1AA1580D" w:rsidR="000A5A2E" w:rsidRPr="006E7E84" w:rsidRDefault="000A5A2E" w:rsidP="00C047EE">
      <w:pPr>
        <w:rPr>
          <w:rFonts w:cs="Arial"/>
          <w:szCs w:val="16"/>
        </w:rPr>
      </w:pPr>
      <w:r w:rsidRPr="006E7E84">
        <w:rPr>
          <w:rFonts w:cs="Arial"/>
          <w:b/>
          <w:szCs w:val="16"/>
        </w:rPr>
        <w:t>Results indicator:</w:t>
      </w:r>
      <w:r w:rsidRPr="006E7E84">
        <w:rPr>
          <w:rFonts w:cs="Arial"/>
          <w:szCs w:val="16"/>
        </w:rPr>
        <w:t xml:space="preserve"> Participation and performance </w:t>
      </w:r>
      <w:r w:rsidR="00DA7FAE" w:rsidRPr="006E7E84">
        <w:rPr>
          <w:rFonts w:cs="Arial"/>
          <w:szCs w:val="16"/>
        </w:rPr>
        <w:t xml:space="preserve">of </w:t>
      </w:r>
      <w:r w:rsidRPr="006E7E84">
        <w:rPr>
          <w:rFonts w:cs="Arial"/>
          <w:szCs w:val="16"/>
        </w:rPr>
        <w:t>children with IEPs on statewide assessments:</w:t>
      </w:r>
    </w:p>
    <w:p w14:paraId="7F5EE1FA" w14:textId="281AE664" w:rsidR="00385214" w:rsidRPr="006E7E84" w:rsidRDefault="00385214" w:rsidP="00155DFD">
      <w:pPr>
        <w:pStyle w:val="ListParagraph"/>
        <w:numPr>
          <w:ilvl w:val="0"/>
          <w:numId w:val="13"/>
        </w:numPr>
        <w:contextualSpacing w:val="0"/>
        <w:rPr>
          <w:rFonts w:cs="Arial"/>
          <w:szCs w:val="16"/>
        </w:rPr>
      </w:pPr>
      <w:r w:rsidRPr="006E7E84">
        <w:rPr>
          <w:rFonts w:cs="Arial"/>
          <w:szCs w:val="16"/>
        </w:rPr>
        <w:t>Participation rate for children with IEPs.</w:t>
      </w:r>
    </w:p>
    <w:p w14:paraId="76102D80" w14:textId="6470D369" w:rsidR="00385214" w:rsidRPr="006E7E84" w:rsidRDefault="00385214" w:rsidP="00155DFD">
      <w:pPr>
        <w:pStyle w:val="ListParagraph"/>
        <w:numPr>
          <w:ilvl w:val="0"/>
          <w:numId w:val="13"/>
        </w:numPr>
        <w:contextualSpacing w:val="0"/>
        <w:rPr>
          <w:rFonts w:cs="Arial"/>
          <w:szCs w:val="16"/>
        </w:rPr>
      </w:pPr>
      <w:r w:rsidRPr="006E7E84">
        <w:rPr>
          <w:rFonts w:cs="Arial"/>
          <w:szCs w:val="16"/>
        </w:rPr>
        <w:t>Proficiency rate for children with IEPs against grade level academic achievement standards.</w:t>
      </w:r>
    </w:p>
    <w:p w14:paraId="65AE871A" w14:textId="04CE569B" w:rsidR="00385214" w:rsidRPr="006E7E84" w:rsidRDefault="00385214" w:rsidP="00155DFD">
      <w:pPr>
        <w:pStyle w:val="ListParagraph"/>
        <w:numPr>
          <w:ilvl w:val="0"/>
          <w:numId w:val="13"/>
        </w:numPr>
        <w:contextualSpacing w:val="0"/>
        <w:rPr>
          <w:rFonts w:cs="Arial"/>
          <w:szCs w:val="16"/>
        </w:rPr>
      </w:pPr>
      <w:r w:rsidRPr="006E7E84">
        <w:rPr>
          <w:rFonts w:cs="Arial"/>
          <w:szCs w:val="16"/>
        </w:rPr>
        <w:t>Proficiency rate for children with IEPs against alternate academic achievement standards.</w:t>
      </w:r>
    </w:p>
    <w:p w14:paraId="7381D72B" w14:textId="132CF118" w:rsidR="00385214" w:rsidRPr="006E7E84" w:rsidRDefault="00385214" w:rsidP="00155DFD">
      <w:pPr>
        <w:pStyle w:val="ListParagraph"/>
        <w:numPr>
          <w:ilvl w:val="0"/>
          <w:numId w:val="13"/>
        </w:numPr>
        <w:contextualSpacing w:val="0"/>
        <w:rPr>
          <w:rFonts w:cs="Arial"/>
          <w:szCs w:val="16"/>
        </w:rPr>
      </w:pPr>
      <w:r w:rsidRPr="006E7E84">
        <w:rPr>
          <w:rFonts w:cs="Arial"/>
          <w:szCs w:val="16"/>
        </w:rPr>
        <w:t>Gap in proficiency rates for children with IEPs and all students against grade level academic achievement standards.</w:t>
      </w:r>
    </w:p>
    <w:p w14:paraId="57288DF2" w14:textId="77777777" w:rsidR="00385214" w:rsidRPr="006E7E84" w:rsidRDefault="00385214" w:rsidP="00C047EE">
      <w:pPr>
        <w:rPr>
          <w:rFonts w:cs="Arial"/>
          <w:szCs w:val="16"/>
        </w:rPr>
      </w:pPr>
      <w:r w:rsidRPr="006E7E84">
        <w:rPr>
          <w:rFonts w:cs="Arial"/>
          <w:szCs w:val="16"/>
        </w:rPr>
        <w:t>(20 U.S.C. 1416 (a)(3)(A))</w:t>
      </w:r>
    </w:p>
    <w:p w14:paraId="363AAB3C" w14:textId="77777777" w:rsidR="000A5A2E" w:rsidRPr="006E7E84" w:rsidRDefault="000A5A2E" w:rsidP="00D73ABA">
      <w:pPr>
        <w:pStyle w:val="Heading4"/>
      </w:pPr>
      <w:r w:rsidRPr="006E7E84">
        <w:t>Data Source</w:t>
      </w:r>
    </w:p>
    <w:p w14:paraId="274B140A" w14:textId="3ABBB221" w:rsidR="000A5A2E" w:rsidRPr="006E7E84" w:rsidRDefault="000A5A2E" w:rsidP="00C047EE">
      <w:pPr>
        <w:rPr>
          <w:rFonts w:cs="Arial"/>
          <w:szCs w:val="16"/>
        </w:rPr>
      </w:pPr>
      <w:r w:rsidRPr="006E7E84">
        <w:rPr>
          <w:rFonts w:cs="Arial"/>
          <w:szCs w:val="16"/>
        </w:rPr>
        <w:t xml:space="preserve">3C. Same data as used for reporting to the Department under Title I of the ESEA, using </w:t>
      </w:r>
      <w:proofErr w:type="spellStart"/>
      <w:r w:rsidRPr="006E7E84">
        <w:rPr>
          <w:rFonts w:cs="Arial"/>
          <w:szCs w:val="16"/>
        </w:rPr>
        <w:t>EDFacts</w:t>
      </w:r>
      <w:proofErr w:type="spellEnd"/>
      <w:r w:rsidRPr="006E7E84">
        <w:rPr>
          <w:rFonts w:cs="Arial"/>
          <w:szCs w:val="16"/>
        </w:rPr>
        <w:t xml:space="preserve"> file specifications FS175 and 178.</w:t>
      </w:r>
    </w:p>
    <w:p w14:paraId="064C7F6E" w14:textId="77777777" w:rsidR="000A5A2E" w:rsidRPr="006E7E84" w:rsidRDefault="000A5A2E" w:rsidP="00D73ABA">
      <w:pPr>
        <w:pStyle w:val="Heading4"/>
      </w:pPr>
      <w:r w:rsidRPr="006E7E84">
        <w:t>Measurement</w:t>
      </w:r>
    </w:p>
    <w:p w14:paraId="7639A7B8" w14:textId="2C1CFAEF" w:rsidR="000A5A2E" w:rsidRPr="006E7E84" w:rsidRDefault="00385214" w:rsidP="00155DFD">
      <w:pPr>
        <w:pStyle w:val="ListParagraph"/>
        <w:numPr>
          <w:ilvl w:val="0"/>
          <w:numId w:val="14"/>
        </w:numPr>
        <w:ind w:left="270" w:hanging="270"/>
        <w:rPr>
          <w:rFonts w:cs="Arial"/>
          <w:szCs w:val="16"/>
        </w:rPr>
      </w:pPr>
      <w:r w:rsidRPr="006E7E84">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6E7E84" w:rsidRDefault="000A5A2E" w:rsidP="00D73ABA">
      <w:pPr>
        <w:pStyle w:val="Heading4"/>
      </w:pPr>
      <w:r w:rsidRPr="006E7E84">
        <w:t>Instructions</w:t>
      </w:r>
    </w:p>
    <w:p w14:paraId="79EB3296" w14:textId="77777777" w:rsidR="000A5A2E" w:rsidRPr="006E7E84" w:rsidRDefault="000A5A2E" w:rsidP="00C047EE">
      <w:pPr>
        <w:rPr>
          <w:rFonts w:cs="Arial"/>
          <w:szCs w:val="16"/>
        </w:rPr>
      </w:pPr>
      <w:r w:rsidRPr="006E7E84">
        <w:rPr>
          <w:rFonts w:cs="Arial"/>
          <w:szCs w:val="16"/>
        </w:rPr>
        <w:t>Describe the results of the calculations and compare the results to the targets. Provide the actual numbers used in the calculation.</w:t>
      </w:r>
    </w:p>
    <w:p w14:paraId="4F00AC69" w14:textId="77777777" w:rsidR="000A5A2E" w:rsidRPr="006E7E84" w:rsidRDefault="000A5A2E" w:rsidP="00C047EE">
      <w:pPr>
        <w:rPr>
          <w:rFonts w:cs="Arial"/>
          <w:szCs w:val="16"/>
        </w:rPr>
      </w:pPr>
      <w:r w:rsidRPr="006E7E84">
        <w:rPr>
          <w:rFonts w:cs="Arial"/>
          <w:szCs w:val="16"/>
        </w:rPr>
        <w:t>Include information regarding where to find public reports of assessment participation and performance results, as required by 34 CFR §300.160(f), i.e., a link to the Web site where these data are reported.</w:t>
      </w:r>
    </w:p>
    <w:p w14:paraId="1015A11D" w14:textId="31E44458" w:rsidR="000A5A2E" w:rsidRPr="006E7E84" w:rsidRDefault="000A5A2E" w:rsidP="00C047EE">
      <w:pPr>
        <w:rPr>
          <w:rFonts w:cs="Arial"/>
          <w:szCs w:val="16"/>
        </w:rPr>
      </w:pPr>
      <w:r w:rsidRPr="006E7E84">
        <w:rPr>
          <w:rFonts w:cs="Arial"/>
          <w:szCs w:val="16"/>
        </w:rPr>
        <w:t xml:space="preserve">Indicator 3C: </w:t>
      </w:r>
      <w:r w:rsidR="00385214" w:rsidRPr="006E7E84">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r w:rsidR="00C047EE" w:rsidRPr="006E7E84">
        <w:rPr>
          <w:rFonts w:cs="Arial"/>
          <w:szCs w:val="16"/>
        </w:rPr>
        <w:t xml:space="preserve"> </w:t>
      </w:r>
      <w:r w:rsidR="00385214" w:rsidRPr="006E7E84">
        <w:rPr>
          <w:rFonts w:cs="Arial"/>
          <w:szCs w:val="16"/>
        </w:rPr>
        <w:t>of testing.</w:t>
      </w:r>
    </w:p>
    <w:p w14:paraId="7CE600A3" w14:textId="62D18727" w:rsidR="001B5210" w:rsidRPr="006E7E84" w:rsidRDefault="00573F6C" w:rsidP="00C047EE">
      <w:pPr>
        <w:pStyle w:val="Heading3"/>
        <w:rPr>
          <w:color w:val="auto"/>
        </w:rPr>
      </w:pPr>
      <w:r w:rsidRPr="006E7E84">
        <w:rPr>
          <w:color w:val="auto"/>
        </w:rPr>
        <w:lastRenderedPageBreak/>
        <w:t>3C</w:t>
      </w:r>
      <w:r w:rsidR="00BB4FD7" w:rsidRPr="006E7E84">
        <w:rPr>
          <w:color w:val="auto"/>
        </w:rPr>
        <w:t xml:space="preserve"> </w:t>
      </w:r>
      <w:r w:rsidRPr="006E7E84">
        <w:rPr>
          <w:color w:val="auto"/>
        </w:rPr>
        <w:t xml:space="preserve">- </w:t>
      </w:r>
      <w:r w:rsidR="001B5210" w:rsidRPr="006E7E84">
        <w:rPr>
          <w:color w:val="auto"/>
        </w:rPr>
        <w:t>Indicator Data</w:t>
      </w:r>
    </w:p>
    <w:p w14:paraId="0B1C0DD7" w14:textId="6AD6B01F" w:rsidR="00A10323" w:rsidRPr="00815ACE" w:rsidRDefault="00A10323" w:rsidP="00815ACE">
      <w:pPr>
        <w:pStyle w:val="Caption"/>
      </w:pPr>
      <w:r w:rsidRPr="00815ACE">
        <w:t>Historical Data</w:t>
      </w:r>
      <w:r w:rsidR="0097256F" w:rsidRPr="00815ACE">
        <w:t xml:space="preserve"> (3C)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baseline year and baseline data for this indicator."/>
      </w:tblPr>
      <w:tblGrid>
        <w:gridCol w:w="2158"/>
        <w:gridCol w:w="2158"/>
        <w:gridCol w:w="2158"/>
        <w:gridCol w:w="2158"/>
        <w:gridCol w:w="2158"/>
      </w:tblGrid>
      <w:tr w:rsidR="006E7E84" w:rsidRPr="006E7E84" w14:paraId="5299B4E6" w14:textId="77777777" w:rsidTr="00B90A62">
        <w:trPr>
          <w:trHeight w:val="494"/>
          <w:tblHeader/>
        </w:trPr>
        <w:tc>
          <w:tcPr>
            <w:tcW w:w="1000" w:type="pct"/>
            <w:tcBorders>
              <w:top w:val="single" w:sz="4" w:space="0" w:color="auto"/>
            </w:tcBorders>
            <w:shd w:val="clear" w:color="auto" w:fill="D9D9D9" w:themeFill="background1" w:themeFillShade="D9"/>
            <w:vAlign w:val="center"/>
          </w:tcPr>
          <w:p w14:paraId="43B0649B" w14:textId="77777777" w:rsidR="00537221" w:rsidRPr="006E7E84" w:rsidRDefault="00537221" w:rsidP="00C047EE">
            <w:pPr>
              <w:spacing w:after="0"/>
              <w:jc w:val="center"/>
              <w:rPr>
                <w:rFonts w:cs="Arial"/>
                <w:b/>
                <w:szCs w:val="16"/>
              </w:rPr>
            </w:pPr>
            <w:r w:rsidRPr="006E7E84">
              <w:rPr>
                <w:rFonts w:cs="Arial"/>
                <w:b/>
                <w:szCs w:val="16"/>
              </w:rPr>
              <w:t>Subject</w:t>
            </w:r>
          </w:p>
        </w:tc>
        <w:tc>
          <w:tcPr>
            <w:tcW w:w="1000" w:type="pct"/>
            <w:tcBorders>
              <w:top w:val="single" w:sz="4" w:space="0" w:color="auto"/>
            </w:tcBorders>
            <w:shd w:val="clear" w:color="auto" w:fill="D9D9D9" w:themeFill="background1" w:themeFillShade="D9"/>
            <w:vAlign w:val="center"/>
          </w:tcPr>
          <w:p w14:paraId="611078A1" w14:textId="77777777" w:rsidR="00537221" w:rsidRPr="006E7E84" w:rsidRDefault="00537221" w:rsidP="00C047EE">
            <w:pPr>
              <w:spacing w:after="0"/>
              <w:jc w:val="center"/>
              <w:rPr>
                <w:rFonts w:cs="Arial"/>
                <w:b/>
                <w:szCs w:val="16"/>
              </w:rPr>
            </w:pPr>
            <w:r w:rsidRPr="006E7E84">
              <w:rPr>
                <w:rFonts w:cs="Arial"/>
                <w:b/>
                <w:szCs w:val="16"/>
              </w:rPr>
              <w:t xml:space="preserve">Group </w:t>
            </w:r>
          </w:p>
        </w:tc>
        <w:tc>
          <w:tcPr>
            <w:tcW w:w="1000" w:type="pct"/>
            <w:tcBorders>
              <w:top w:val="single" w:sz="4" w:space="0" w:color="auto"/>
            </w:tcBorders>
            <w:shd w:val="clear" w:color="auto" w:fill="D9D9D9" w:themeFill="background1" w:themeFillShade="D9"/>
            <w:vAlign w:val="center"/>
          </w:tcPr>
          <w:p w14:paraId="4FF0AF06" w14:textId="77777777" w:rsidR="00537221" w:rsidRPr="006E7E84" w:rsidRDefault="00537221" w:rsidP="00C047EE">
            <w:pPr>
              <w:spacing w:after="0"/>
              <w:jc w:val="center"/>
              <w:rPr>
                <w:rFonts w:cs="Arial"/>
                <w:b/>
                <w:szCs w:val="16"/>
              </w:rPr>
            </w:pPr>
            <w:r w:rsidRPr="006E7E84">
              <w:rPr>
                <w:rFonts w:cs="Arial"/>
                <w:b/>
                <w:szCs w:val="16"/>
              </w:rPr>
              <w:t xml:space="preserve">Group Name </w:t>
            </w:r>
          </w:p>
        </w:tc>
        <w:tc>
          <w:tcPr>
            <w:tcW w:w="1000" w:type="pct"/>
            <w:tcBorders>
              <w:top w:val="single" w:sz="4" w:space="0" w:color="auto"/>
            </w:tcBorders>
            <w:shd w:val="clear" w:color="auto" w:fill="D9D9D9" w:themeFill="background1" w:themeFillShade="D9"/>
            <w:vAlign w:val="center"/>
          </w:tcPr>
          <w:p w14:paraId="5F7760A7" w14:textId="77777777" w:rsidR="00537221" w:rsidRPr="006E7E84" w:rsidRDefault="00537221" w:rsidP="00C047EE">
            <w:pPr>
              <w:spacing w:after="0"/>
              <w:jc w:val="center"/>
              <w:rPr>
                <w:rFonts w:cs="Arial"/>
                <w:b/>
                <w:szCs w:val="16"/>
              </w:rPr>
            </w:pPr>
            <w:r w:rsidRPr="006E7E84">
              <w:rPr>
                <w:rFonts w:cs="Arial"/>
                <w:b/>
                <w:szCs w:val="16"/>
              </w:rPr>
              <w:t xml:space="preserve">Baseline Year </w:t>
            </w:r>
          </w:p>
        </w:tc>
        <w:tc>
          <w:tcPr>
            <w:tcW w:w="1000" w:type="pct"/>
            <w:tcBorders>
              <w:top w:val="single" w:sz="4" w:space="0" w:color="auto"/>
            </w:tcBorders>
            <w:shd w:val="clear" w:color="auto" w:fill="D9D9D9" w:themeFill="background1" w:themeFillShade="D9"/>
            <w:vAlign w:val="center"/>
          </w:tcPr>
          <w:p w14:paraId="01C3E0F4" w14:textId="77777777" w:rsidR="00537221" w:rsidRPr="006E7E84" w:rsidRDefault="00537221" w:rsidP="00C047EE">
            <w:pPr>
              <w:spacing w:after="0"/>
              <w:jc w:val="center"/>
              <w:rPr>
                <w:rFonts w:cs="Arial"/>
                <w:b/>
                <w:szCs w:val="16"/>
              </w:rPr>
            </w:pPr>
            <w:r w:rsidRPr="006E7E84">
              <w:rPr>
                <w:rFonts w:cs="Arial"/>
                <w:b/>
                <w:szCs w:val="16"/>
              </w:rPr>
              <w:t>Baseline Data</w:t>
            </w:r>
          </w:p>
        </w:tc>
      </w:tr>
      <w:tr w:rsidR="006E7E84" w:rsidRPr="006E7E84" w14:paraId="62CCD80E" w14:textId="77777777" w:rsidTr="00B90A62">
        <w:trPr>
          <w:trHeight w:val="432"/>
        </w:trPr>
        <w:tc>
          <w:tcPr>
            <w:tcW w:w="1000" w:type="pct"/>
            <w:vAlign w:val="center"/>
          </w:tcPr>
          <w:p w14:paraId="6DBDC79A" w14:textId="77777777" w:rsidR="00537221" w:rsidRPr="006E7E84" w:rsidRDefault="00537221" w:rsidP="00C047EE">
            <w:pPr>
              <w:spacing w:after="0"/>
              <w:jc w:val="center"/>
              <w:rPr>
                <w:rFonts w:cs="Arial"/>
                <w:b/>
                <w:bCs/>
                <w:szCs w:val="16"/>
              </w:rPr>
            </w:pPr>
            <w:r w:rsidRPr="006E7E84">
              <w:rPr>
                <w:rFonts w:cs="Arial"/>
                <w:szCs w:val="16"/>
              </w:rPr>
              <w:t>Reading</w:t>
            </w:r>
          </w:p>
        </w:tc>
        <w:tc>
          <w:tcPr>
            <w:tcW w:w="1000" w:type="pct"/>
            <w:shd w:val="clear" w:color="auto" w:fill="auto"/>
            <w:vAlign w:val="center"/>
          </w:tcPr>
          <w:p w14:paraId="249F4CF1" w14:textId="77777777" w:rsidR="00537221" w:rsidRPr="006E7E84" w:rsidRDefault="00537221" w:rsidP="00C047EE">
            <w:pPr>
              <w:spacing w:after="0"/>
              <w:jc w:val="center"/>
              <w:rPr>
                <w:rFonts w:cs="Arial"/>
                <w:szCs w:val="16"/>
              </w:rPr>
            </w:pPr>
            <w:r w:rsidRPr="006E7E84">
              <w:rPr>
                <w:rFonts w:cs="Arial"/>
                <w:szCs w:val="16"/>
              </w:rPr>
              <w:t>A</w:t>
            </w:r>
          </w:p>
        </w:tc>
        <w:tc>
          <w:tcPr>
            <w:tcW w:w="1000" w:type="pct"/>
            <w:shd w:val="clear" w:color="auto" w:fill="auto"/>
            <w:vAlign w:val="center"/>
          </w:tcPr>
          <w:p w14:paraId="0E5785E8" w14:textId="11F5BAE0" w:rsidR="00537221" w:rsidRPr="006E7E84" w:rsidRDefault="00537221" w:rsidP="00C047EE">
            <w:pPr>
              <w:spacing w:after="0"/>
              <w:jc w:val="center"/>
              <w:rPr>
                <w:rFonts w:cs="Arial"/>
                <w:szCs w:val="16"/>
              </w:rPr>
            </w:pPr>
            <w:r w:rsidRPr="006E7E84">
              <w:rPr>
                <w:rFonts w:cs="Arial"/>
                <w:szCs w:val="16"/>
              </w:rPr>
              <w:t>Grade 4</w:t>
            </w:r>
          </w:p>
        </w:tc>
        <w:tc>
          <w:tcPr>
            <w:tcW w:w="1000" w:type="pct"/>
            <w:shd w:val="clear" w:color="auto" w:fill="auto"/>
            <w:vAlign w:val="center"/>
          </w:tcPr>
          <w:p w14:paraId="4EB8CC47" w14:textId="1B0ED9ED" w:rsidR="00537221" w:rsidRPr="006E7E84" w:rsidRDefault="00537221" w:rsidP="00C047EE">
            <w:pPr>
              <w:spacing w:after="0"/>
              <w:jc w:val="center"/>
              <w:rPr>
                <w:rFonts w:cs="Arial"/>
                <w:szCs w:val="16"/>
              </w:rPr>
            </w:pPr>
            <w:r w:rsidRPr="006E7E84">
              <w:rPr>
                <w:rFonts w:cs="Arial"/>
                <w:szCs w:val="16"/>
              </w:rPr>
              <w:t>2020</w:t>
            </w:r>
          </w:p>
        </w:tc>
        <w:tc>
          <w:tcPr>
            <w:tcW w:w="1000" w:type="pct"/>
            <w:vAlign w:val="center"/>
          </w:tcPr>
          <w:p w14:paraId="2281A612" w14:textId="23CB1591" w:rsidR="00537221" w:rsidRPr="006E7E84" w:rsidRDefault="00537221" w:rsidP="00C047EE">
            <w:pPr>
              <w:spacing w:after="0"/>
              <w:jc w:val="center"/>
            </w:pPr>
            <w:r w:rsidRPr="006E7E84">
              <w:rPr>
                <w:rFonts w:cs="Arial"/>
                <w:szCs w:val="16"/>
              </w:rPr>
              <w:t>86.80%</w:t>
            </w:r>
          </w:p>
        </w:tc>
      </w:tr>
      <w:tr w:rsidR="006E7E84" w:rsidRPr="006E7E84" w14:paraId="1C24E702" w14:textId="77777777" w:rsidTr="00B90A62">
        <w:trPr>
          <w:trHeight w:val="432"/>
        </w:trPr>
        <w:tc>
          <w:tcPr>
            <w:tcW w:w="1000" w:type="pct"/>
            <w:vAlign w:val="center"/>
          </w:tcPr>
          <w:p w14:paraId="678970EB" w14:textId="77777777" w:rsidR="00537221" w:rsidRPr="006E7E84" w:rsidRDefault="00537221" w:rsidP="00C047EE">
            <w:pPr>
              <w:spacing w:after="0"/>
              <w:jc w:val="center"/>
              <w:rPr>
                <w:rFonts w:cs="Arial"/>
                <w:b/>
                <w:bCs/>
                <w:szCs w:val="16"/>
              </w:rPr>
            </w:pPr>
            <w:r w:rsidRPr="006E7E84">
              <w:rPr>
                <w:rFonts w:cs="Arial"/>
                <w:szCs w:val="16"/>
              </w:rPr>
              <w:t>Reading</w:t>
            </w:r>
          </w:p>
        </w:tc>
        <w:tc>
          <w:tcPr>
            <w:tcW w:w="1000" w:type="pct"/>
            <w:shd w:val="clear" w:color="auto" w:fill="auto"/>
            <w:vAlign w:val="center"/>
          </w:tcPr>
          <w:p w14:paraId="1EBDCD6D" w14:textId="77777777" w:rsidR="00537221" w:rsidRPr="006E7E84" w:rsidRDefault="00537221" w:rsidP="00C047EE">
            <w:pPr>
              <w:spacing w:after="0"/>
              <w:jc w:val="center"/>
              <w:rPr>
                <w:rFonts w:cs="Arial"/>
                <w:szCs w:val="16"/>
              </w:rPr>
            </w:pPr>
            <w:r w:rsidRPr="006E7E84">
              <w:rPr>
                <w:rFonts w:cs="Arial"/>
                <w:szCs w:val="16"/>
              </w:rPr>
              <w:t>B</w:t>
            </w:r>
          </w:p>
        </w:tc>
        <w:tc>
          <w:tcPr>
            <w:tcW w:w="1000" w:type="pct"/>
            <w:shd w:val="clear" w:color="auto" w:fill="auto"/>
            <w:vAlign w:val="center"/>
          </w:tcPr>
          <w:p w14:paraId="727E9135" w14:textId="4107258E" w:rsidR="00537221" w:rsidRPr="006E7E84" w:rsidRDefault="00537221" w:rsidP="00C047EE">
            <w:pPr>
              <w:spacing w:after="0"/>
              <w:jc w:val="center"/>
              <w:rPr>
                <w:rFonts w:cs="Arial"/>
                <w:szCs w:val="16"/>
              </w:rPr>
            </w:pPr>
            <w:r w:rsidRPr="006E7E84">
              <w:rPr>
                <w:rFonts w:cs="Arial"/>
                <w:szCs w:val="16"/>
              </w:rPr>
              <w:t>Grade 8</w:t>
            </w:r>
          </w:p>
        </w:tc>
        <w:tc>
          <w:tcPr>
            <w:tcW w:w="1000" w:type="pct"/>
            <w:shd w:val="clear" w:color="auto" w:fill="auto"/>
            <w:vAlign w:val="center"/>
          </w:tcPr>
          <w:p w14:paraId="7C958A72" w14:textId="4A38962C" w:rsidR="00537221" w:rsidRPr="006E7E84" w:rsidRDefault="00537221" w:rsidP="00C047EE">
            <w:pPr>
              <w:spacing w:after="0"/>
              <w:jc w:val="center"/>
              <w:rPr>
                <w:rFonts w:cs="Arial"/>
                <w:szCs w:val="16"/>
              </w:rPr>
            </w:pPr>
            <w:r w:rsidRPr="006E7E84">
              <w:rPr>
                <w:rFonts w:cs="Arial"/>
                <w:szCs w:val="16"/>
              </w:rPr>
              <w:t>2020</w:t>
            </w:r>
          </w:p>
        </w:tc>
        <w:tc>
          <w:tcPr>
            <w:tcW w:w="1000" w:type="pct"/>
            <w:vAlign w:val="center"/>
          </w:tcPr>
          <w:p w14:paraId="0FED42B6" w14:textId="77E5EACD" w:rsidR="00537221" w:rsidRPr="006E7E84" w:rsidRDefault="00537221" w:rsidP="00C047EE">
            <w:pPr>
              <w:spacing w:after="0"/>
              <w:jc w:val="center"/>
              <w:rPr>
                <w:rFonts w:cs="Arial"/>
                <w:szCs w:val="16"/>
              </w:rPr>
            </w:pPr>
            <w:r w:rsidRPr="006E7E84">
              <w:rPr>
                <w:rFonts w:cs="Arial"/>
                <w:szCs w:val="16"/>
              </w:rPr>
              <w:t>81.09%</w:t>
            </w:r>
          </w:p>
        </w:tc>
      </w:tr>
      <w:tr w:rsidR="006E7E84" w:rsidRPr="006E7E84" w14:paraId="59B71803" w14:textId="77777777" w:rsidTr="00B90A62">
        <w:trPr>
          <w:trHeight w:val="432"/>
        </w:trPr>
        <w:tc>
          <w:tcPr>
            <w:tcW w:w="1000" w:type="pct"/>
            <w:vAlign w:val="center"/>
          </w:tcPr>
          <w:p w14:paraId="4EBEF59E" w14:textId="77777777" w:rsidR="00537221" w:rsidRPr="006E7E84" w:rsidRDefault="00537221" w:rsidP="00C047EE">
            <w:pPr>
              <w:spacing w:after="0"/>
              <w:jc w:val="center"/>
              <w:rPr>
                <w:rFonts w:cs="Arial"/>
                <w:b/>
                <w:bCs/>
                <w:szCs w:val="16"/>
              </w:rPr>
            </w:pPr>
            <w:r w:rsidRPr="006E7E84">
              <w:rPr>
                <w:rFonts w:cs="Arial"/>
                <w:szCs w:val="16"/>
              </w:rPr>
              <w:t>Reading</w:t>
            </w:r>
          </w:p>
        </w:tc>
        <w:tc>
          <w:tcPr>
            <w:tcW w:w="1000" w:type="pct"/>
            <w:shd w:val="clear" w:color="auto" w:fill="auto"/>
            <w:vAlign w:val="center"/>
          </w:tcPr>
          <w:p w14:paraId="0EE18997" w14:textId="77777777" w:rsidR="00537221" w:rsidRPr="006E7E84" w:rsidRDefault="00537221" w:rsidP="00C047EE">
            <w:pPr>
              <w:spacing w:after="0"/>
              <w:jc w:val="center"/>
              <w:rPr>
                <w:rFonts w:cs="Arial"/>
                <w:szCs w:val="16"/>
              </w:rPr>
            </w:pPr>
            <w:r w:rsidRPr="006E7E84">
              <w:rPr>
                <w:rFonts w:cs="Arial"/>
                <w:szCs w:val="16"/>
              </w:rPr>
              <w:t>C</w:t>
            </w:r>
          </w:p>
        </w:tc>
        <w:tc>
          <w:tcPr>
            <w:tcW w:w="1000" w:type="pct"/>
            <w:shd w:val="clear" w:color="auto" w:fill="auto"/>
            <w:vAlign w:val="center"/>
          </w:tcPr>
          <w:p w14:paraId="7D681B80" w14:textId="4A6DABFD" w:rsidR="00537221" w:rsidRPr="006E7E84" w:rsidRDefault="00537221" w:rsidP="00C047EE">
            <w:pPr>
              <w:spacing w:after="0"/>
              <w:jc w:val="center"/>
              <w:rPr>
                <w:rFonts w:cs="Arial"/>
                <w:szCs w:val="16"/>
              </w:rPr>
            </w:pPr>
            <w:r w:rsidRPr="006E7E84">
              <w:rPr>
                <w:rFonts w:cs="Arial"/>
                <w:szCs w:val="16"/>
              </w:rPr>
              <w:t>Grade HS</w:t>
            </w:r>
          </w:p>
        </w:tc>
        <w:tc>
          <w:tcPr>
            <w:tcW w:w="1000" w:type="pct"/>
            <w:shd w:val="clear" w:color="auto" w:fill="auto"/>
            <w:vAlign w:val="center"/>
          </w:tcPr>
          <w:p w14:paraId="1DF3FFCD" w14:textId="6C6BE9F1" w:rsidR="00537221" w:rsidRPr="006E7E84" w:rsidRDefault="00537221" w:rsidP="00C047EE">
            <w:pPr>
              <w:spacing w:after="0"/>
              <w:jc w:val="center"/>
              <w:rPr>
                <w:rFonts w:cs="Arial"/>
                <w:szCs w:val="16"/>
              </w:rPr>
            </w:pPr>
            <w:r w:rsidRPr="006E7E84">
              <w:rPr>
                <w:rFonts w:cs="Arial"/>
                <w:szCs w:val="16"/>
              </w:rPr>
              <w:t>2020</w:t>
            </w:r>
          </w:p>
        </w:tc>
        <w:tc>
          <w:tcPr>
            <w:tcW w:w="1000" w:type="pct"/>
            <w:vAlign w:val="center"/>
          </w:tcPr>
          <w:p w14:paraId="34A93084" w14:textId="02FAA503" w:rsidR="00537221" w:rsidRPr="006E7E84" w:rsidRDefault="00537221" w:rsidP="00C047EE">
            <w:pPr>
              <w:spacing w:after="0"/>
              <w:jc w:val="center"/>
              <w:rPr>
                <w:rFonts w:cs="Arial"/>
                <w:szCs w:val="16"/>
              </w:rPr>
            </w:pPr>
            <w:r w:rsidRPr="006E7E84">
              <w:rPr>
                <w:rFonts w:cs="Arial"/>
                <w:szCs w:val="16"/>
              </w:rPr>
              <w:t>81.30%</w:t>
            </w:r>
          </w:p>
        </w:tc>
      </w:tr>
      <w:tr w:rsidR="006E7E84" w:rsidRPr="006E7E84" w14:paraId="05A06BC9" w14:textId="77777777" w:rsidTr="00B90A62">
        <w:trPr>
          <w:trHeight w:val="432"/>
        </w:trPr>
        <w:tc>
          <w:tcPr>
            <w:tcW w:w="1000" w:type="pct"/>
            <w:vAlign w:val="center"/>
          </w:tcPr>
          <w:p w14:paraId="6020FFAF" w14:textId="77777777" w:rsidR="00537221" w:rsidRPr="006E7E84" w:rsidRDefault="00537221" w:rsidP="00C047EE">
            <w:pPr>
              <w:spacing w:after="0"/>
              <w:jc w:val="center"/>
              <w:rPr>
                <w:rFonts w:cs="Arial"/>
                <w:b/>
                <w:bCs/>
                <w:szCs w:val="16"/>
              </w:rPr>
            </w:pPr>
            <w:r w:rsidRPr="006E7E84">
              <w:rPr>
                <w:rFonts w:cs="Arial"/>
                <w:szCs w:val="16"/>
              </w:rPr>
              <w:t>Math</w:t>
            </w:r>
          </w:p>
        </w:tc>
        <w:tc>
          <w:tcPr>
            <w:tcW w:w="1000" w:type="pct"/>
            <w:shd w:val="clear" w:color="auto" w:fill="auto"/>
            <w:vAlign w:val="center"/>
          </w:tcPr>
          <w:p w14:paraId="6CFDB92F" w14:textId="77777777" w:rsidR="00537221" w:rsidRPr="006E7E84" w:rsidRDefault="00537221" w:rsidP="00C047EE">
            <w:pPr>
              <w:spacing w:after="0"/>
              <w:jc w:val="center"/>
              <w:rPr>
                <w:rFonts w:cs="Arial"/>
                <w:szCs w:val="16"/>
              </w:rPr>
            </w:pPr>
            <w:r w:rsidRPr="006E7E84">
              <w:rPr>
                <w:rFonts w:cs="Arial"/>
                <w:szCs w:val="16"/>
              </w:rPr>
              <w:t>A</w:t>
            </w:r>
          </w:p>
        </w:tc>
        <w:tc>
          <w:tcPr>
            <w:tcW w:w="1000" w:type="pct"/>
            <w:shd w:val="clear" w:color="auto" w:fill="auto"/>
            <w:vAlign w:val="center"/>
          </w:tcPr>
          <w:p w14:paraId="5CB62D65" w14:textId="5E527C8F" w:rsidR="00537221" w:rsidRPr="006E7E84" w:rsidRDefault="00537221" w:rsidP="00C047EE">
            <w:pPr>
              <w:spacing w:after="0"/>
              <w:jc w:val="center"/>
              <w:rPr>
                <w:rFonts w:cs="Arial"/>
                <w:szCs w:val="16"/>
              </w:rPr>
            </w:pPr>
            <w:r w:rsidRPr="006E7E84">
              <w:rPr>
                <w:rFonts w:cs="Arial"/>
                <w:szCs w:val="16"/>
              </w:rPr>
              <w:t>Grade 4</w:t>
            </w:r>
          </w:p>
        </w:tc>
        <w:tc>
          <w:tcPr>
            <w:tcW w:w="1000" w:type="pct"/>
            <w:shd w:val="clear" w:color="auto" w:fill="auto"/>
            <w:vAlign w:val="center"/>
          </w:tcPr>
          <w:p w14:paraId="53F85621" w14:textId="1D815BA8" w:rsidR="00537221" w:rsidRPr="006E7E84" w:rsidRDefault="00537221" w:rsidP="00C047EE">
            <w:pPr>
              <w:spacing w:after="0"/>
              <w:jc w:val="center"/>
              <w:rPr>
                <w:rFonts w:cs="Arial"/>
                <w:szCs w:val="16"/>
              </w:rPr>
            </w:pPr>
            <w:r w:rsidRPr="006E7E84">
              <w:rPr>
                <w:rFonts w:cs="Arial"/>
                <w:szCs w:val="16"/>
              </w:rPr>
              <w:t>2020</w:t>
            </w:r>
          </w:p>
        </w:tc>
        <w:tc>
          <w:tcPr>
            <w:tcW w:w="1000" w:type="pct"/>
            <w:vAlign w:val="center"/>
          </w:tcPr>
          <w:p w14:paraId="790D130A" w14:textId="06A6107B" w:rsidR="00537221" w:rsidRPr="006E7E84" w:rsidRDefault="00537221" w:rsidP="00C047EE">
            <w:pPr>
              <w:spacing w:after="0"/>
              <w:jc w:val="center"/>
              <w:rPr>
                <w:rFonts w:cs="Arial"/>
                <w:szCs w:val="16"/>
              </w:rPr>
            </w:pPr>
            <w:r w:rsidRPr="006E7E84">
              <w:rPr>
                <w:rFonts w:cs="Arial"/>
                <w:szCs w:val="16"/>
              </w:rPr>
              <w:t>89.17%</w:t>
            </w:r>
          </w:p>
        </w:tc>
      </w:tr>
      <w:tr w:rsidR="006E7E84" w:rsidRPr="006E7E84" w14:paraId="086B388C" w14:textId="77777777" w:rsidTr="00B90A62">
        <w:trPr>
          <w:trHeight w:val="432"/>
        </w:trPr>
        <w:tc>
          <w:tcPr>
            <w:tcW w:w="1000" w:type="pct"/>
            <w:vAlign w:val="center"/>
          </w:tcPr>
          <w:p w14:paraId="7653A8F3" w14:textId="77777777" w:rsidR="00537221" w:rsidRPr="006E7E84" w:rsidRDefault="00537221" w:rsidP="00C047EE">
            <w:pPr>
              <w:spacing w:after="0"/>
              <w:jc w:val="center"/>
              <w:rPr>
                <w:rFonts w:cs="Arial"/>
                <w:b/>
                <w:bCs/>
                <w:szCs w:val="16"/>
              </w:rPr>
            </w:pPr>
            <w:r w:rsidRPr="006E7E84">
              <w:rPr>
                <w:rFonts w:cs="Arial"/>
                <w:szCs w:val="16"/>
              </w:rPr>
              <w:t>Math</w:t>
            </w:r>
          </w:p>
        </w:tc>
        <w:tc>
          <w:tcPr>
            <w:tcW w:w="1000" w:type="pct"/>
            <w:shd w:val="clear" w:color="auto" w:fill="auto"/>
            <w:vAlign w:val="center"/>
          </w:tcPr>
          <w:p w14:paraId="0285758E" w14:textId="77777777" w:rsidR="00537221" w:rsidRPr="006E7E84" w:rsidRDefault="00537221" w:rsidP="00C047EE">
            <w:pPr>
              <w:spacing w:after="0"/>
              <w:jc w:val="center"/>
              <w:rPr>
                <w:rFonts w:cs="Arial"/>
                <w:szCs w:val="16"/>
              </w:rPr>
            </w:pPr>
            <w:r w:rsidRPr="006E7E84">
              <w:rPr>
                <w:rFonts w:cs="Arial"/>
                <w:szCs w:val="16"/>
              </w:rPr>
              <w:t>B</w:t>
            </w:r>
          </w:p>
        </w:tc>
        <w:tc>
          <w:tcPr>
            <w:tcW w:w="1000" w:type="pct"/>
            <w:shd w:val="clear" w:color="auto" w:fill="auto"/>
            <w:vAlign w:val="center"/>
          </w:tcPr>
          <w:p w14:paraId="54FB850D" w14:textId="54F493D6" w:rsidR="00537221" w:rsidRPr="006E7E84" w:rsidRDefault="00537221" w:rsidP="00C047EE">
            <w:pPr>
              <w:spacing w:after="0"/>
              <w:jc w:val="center"/>
              <w:rPr>
                <w:rFonts w:cs="Arial"/>
                <w:szCs w:val="16"/>
              </w:rPr>
            </w:pPr>
            <w:r w:rsidRPr="006E7E84">
              <w:rPr>
                <w:rFonts w:cs="Arial"/>
                <w:szCs w:val="16"/>
              </w:rPr>
              <w:t>Grade 8</w:t>
            </w:r>
          </w:p>
        </w:tc>
        <w:tc>
          <w:tcPr>
            <w:tcW w:w="1000" w:type="pct"/>
            <w:shd w:val="clear" w:color="auto" w:fill="auto"/>
            <w:vAlign w:val="center"/>
          </w:tcPr>
          <w:p w14:paraId="502C33F8" w14:textId="45D8525B" w:rsidR="00537221" w:rsidRPr="006E7E84" w:rsidRDefault="00537221" w:rsidP="00C047EE">
            <w:pPr>
              <w:spacing w:after="0"/>
              <w:jc w:val="center"/>
              <w:rPr>
                <w:rFonts w:cs="Arial"/>
                <w:szCs w:val="16"/>
              </w:rPr>
            </w:pPr>
            <w:r w:rsidRPr="006E7E84">
              <w:rPr>
                <w:rFonts w:cs="Arial"/>
                <w:szCs w:val="16"/>
              </w:rPr>
              <w:t>2020</w:t>
            </w:r>
          </w:p>
        </w:tc>
        <w:tc>
          <w:tcPr>
            <w:tcW w:w="1000" w:type="pct"/>
            <w:vAlign w:val="center"/>
          </w:tcPr>
          <w:p w14:paraId="4AD27F52" w14:textId="16DC5031" w:rsidR="00537221" w:rsidRPr="006E7E84" w:rsidRDefault="00537221" w:rsidP="00C047EE">
            <w:pPr>
              <w:spacing w:after="0"/>
              <w:jc w:val="center"/>
              <w:rPr>
                <w:rFonts w:cs="Arial"/>
                <w:szCs w:val="16"/>
              </w:rPr>
            </w:pPr>
            <w:r w:rsidRPr="006E7E84">
              <w:rPr>
                <w:rFonts w:cs="Arial"/>
                <w:szCs w:val="16"/>
              </w:rPr>
              <w:t>81.94%</w:t>
            </w:r>
          </w:p>
        </w:tc>
      </w:tr>
      <w:tr w:rsidR="006E7E84" w:rsidRPr="006E7E84" w14:paraId="43D0DD14" w14:textId="77777777" w:rsidTr="00B90A62">
        <w:trPr>
          <w:trHeight w:val="432"/>
        </w:trPr>
        <w:tc>
          <w:tcPr>
            <w:tcW w:w="1000" w:type="pct"/>
            <w:vAlign w:val="center"/>
          </w:tcPr>
          <w:p w14:paraId="1464F87A" w14:textId="77777777" w:rsidR="00537221" w:rsidRPr="006E7E84" w:rsidRDefault="00537221" w:rsidP="00C047EE">
            <w:pPr>
              <w:spacing w:after="0"/>
              <w:jc w:val="center"/>
              <w:rPr>
                <w:rFonts w:cs="Arial"/>
                <w:b/>
                <w:bCs/>
                <w:szCs w:val="16"/>
              </w:rPr>
            </w:pPr>
            <w:r w:rsidRPr="006E7E84">
              <w:rPr>
                <w:rFonts w:cs="Arial"/>
                <w:szCs w:val="16"/>
              </w:rPr>
              <w:t>Math</w:t>
            </w:r>
          </w:p>
        </w:tc>
        <w:tc>
          <w:tcPr>
            <w:tcW w:w="1000" w:type="pct"/>
            <w:shd w:val="clear" w:color="auto" w:fill="auto"/>
            <w:vAlign w:val="center"/>
          </w:tcPr>
          <w:p w14:paraId="009D1AD8" w14:textId="77777777" w:rsidR="00537221" w:rsidRPr="006E7E84" w:rsidRDefault="00537221" w:rsidP="00C047EE">
            <w:pPr>
              <w:spacing w:after="0"/>
              <w:jc w:val="center"/>
              <w:rPr>
                <w:rFonts w:cs="Arial"/>
                <w:szCs w:val="16"/>
              </w:rPr>
            </w:pPr>
            <w:r w:rsidRPr="006E7E84">
              <w:rPr>
                <w:rFonts w:cs="Arial"/>
                <w:szCs w:val="16"/>
              </w:rPr>
              <w:t>C</w:t>
            </w:r>
          </w:p>
        </w:tc>
        <w:tc>
          <w:tcPr>
            <w:tcW w:w="1000" w:type="pct"/>
            <w:shd w:val="clear" w:color="auto" w:fill="auto"/>
            <w:vAlign w:val="center"/>
          </w:tcPr>
          <w:p w14:paraId="261B7EA0" w14:textId="1CFD2731" w:rsidR="00537221" w:rsidRPr="006E7E84" w:rsidRDefault="00537221" w:rsidP="00C047EE">
            <w:pPr>
              <w:spacing w:after="0"/>
              <w:jc w:val="center"/>
              <w:rPr>
                <w:rFonts w:cs="Arial"/>
                <w:szCs w:val="16"/>
              </w:rPr>
            </w:pPr>
            <w:r w:rsidRPr="006E7E84">
              <w:rPr>
                <w:rFonts w:cs="Arial"/>
                <w:szCs w:val="16"/>
              </w:rPr>
              <w:t>Grade HS</w:t>
            </w:r>
          </w:p>
        </w:tc>
        <w:tc>
          <w:tcPr>
            <w:tcW w:w="1000" w:type="pct"/>
            <w:shd w:val="clear" w:color="auto" w:fill="auto"/>
            <w:vAlign w:val="center"/>
          </w:tcPr>
          <w:p w14:paraId="07D595C6" w14:textId="36D54FE7" w:rsidR="00537221" w:rsidRPr="006E7E84" w:rsidRDefault="00537221" w:rsidP="00C047EE">
            <w:pPr>
              <w:spacing w:after="0"/>
              <w:jc w:val="center"/>
              <w:rPr>
                <w:rFonts w:cs="Arial"/>
                <w:szCs w:val="16"/>
              </w:rPr>
            </w:pPr>
            <w:r w:rsidRPr="006E7E84">
              <w:rPr>
                <w:rFonts w:cs="Arial"/>
                <w:szCs w:val="16"/>
              </w:rPr>
              <w:t>2020</w:t>
            </w:r>
          </w:p>
        </w:tc>
        <w:tc>
          <w:tcPr>
            <w:tcW w:w="1000" w:type="pct"/>
            <w:vAlign w:val="center"/>
          </w:tcPr>
          <w:p w14:paraId="27DF7D26" w14:textId="3067273D" w:rsidR="00537221" w:rsidRPr="006E7E84" w:rsidRDefault="00537221" w:rsidP="00C047EE">
            <w:pPr>
              <w:spacing w:after="0"/>
              <w:jc w:val="center"/>
              <w:rPr>
                <w:rFonts w:cs="Arial"/>
                <w:szCs w:val="16"/>
              </w:rPr>
            </w:pPr>
            <w:r w:rsidRPr="006E7E84">
              <w:rPr>
                <w:rFonts w:cs="Arial"/>
                <w:szCs w:val="16"/>
              </w:rPr>
              <w:t>77.51%</w:t>
            </w:r>
          </w:p>
        </w:tc>
      </w:tr>
    </w:tbl>
    <w:p w14:paraId="764C016B" w14:textId="2FB2C3F0" w:rsidR="00A10323" w:rsidRPr="006E7E84" w:rsidRDefault="00A10323" w:rsidP="00815ACE">
      <w:pPr>
        <w:pStyle w:val="Caption"/>
      </w:pPr>
      <w:r w:rsidRPr="006E7E84">
        <w:t>Targets</w:t>
      </w:r>
      <w:r w:rsidR="0097256F">
        <w:t xml:space="preserve"> (3C)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164"/>
        <w:gridCol w:w="1170"/>
        <w:gridCol w:w="1170"/>
        <w:gridCol w:w="1215"/>
        <w:gridCol w:w="1215"/>
        <w:gridCol w:w="1215"/>
        <w:gridCol w:w="1215"/>
        <w:gridCol w:w="1215"/>
        <w:gridCol w:w="1211"/>
      </w:tblGrid>
      <w:tr w:rsidR="006E7E84" w:rsidRPr="006E7E84" w14:paraId="6FE97918" w14:textId="1BF8CF9D" w:rsidTr="00C047EE">
        <w:trPr>
          <w:tblHeader/>
        </w:trPr>
        <w:tc>
          <w:tcPr>
            <w:tcW w:w="540" w:type="pct"/>
            <w:tcBorders>
              <w:bottom w:val="single" w:sz="4" w:space="0" w:color="auto"/>
            </w:tcBorders>
            <w:shd w:val="clear" w:color="auto" w:fill="D9D9D9" w:themeFill="background1" w:themeFillShade="D9"/>
            <w:vAlign w:val="center"/>
          </w:tcPr>
          <w:p w14:paraId="5CDF6985" w14:textId="5342FC63" w:rsidR="00561042" w:rsidRPr="006E7E84" w:rsidRDefault="00561042" w:rsidP="00C047EE">
            <w:pPr>
              <w:spacing w:after="0"/>
              <w:jc w:val="center"/>
              <w:rPr>
                <w:b/>
              </w:rPr>
            </w:pPr>
            <w:r w:rsidRPr="006E7E84">
              <w:rPr>
                <w:b/>
              </w:rPr>
              <w:t>Subject</w:t>
            </w:r>
          </w:p>
        </w:tc>
        <w:tc>
          <w:tcPr>
            <w:tcW w:w="542" w:type="pct"/>
            <w:tcBorders>
              <w:bottom w:val="single" w:sz="4" w:space="0" w:color="auto"/>
            </w:tcBorders>
            <w:shd w:val="clear" w:color="auto" w:fill="D9D9D9" w:themeFill="background1" w:themeFillShade="D9"/>
            <w:vAlign w:val="center"/>
          </w:tcPr>
          <w:p w14:paraId="01DFF2B4" w14:textId="2094C240" w:rsidR="00561042" w:rsidRPr="006E7E84" w:rsidRDefault="00561042" w:rsidP="00C047EE">
            <w:pPr>
              <w:spacing w:after="0"/>
              <w:jc w:val="center"/>
              <w:rPr>
                <w:b/>
              </w:rPr>
            </w:pPr>
            <w:r w:rsidRPr="006E7E84">
              <w:rPr>
                <w:b/>
              </w:rPr>
              <w:t>Group</w:t>
            </w:r>
          </w:p>
        </w:tc>
        <w:tc>
          <w:tcPr>
            <w:tcW w:w="542" w:type="pct"/>
            <w:shd w:val="clear" w:color="auto" w:fill="D9D9D9" w:themeFill="background1" w:themeFillShade="D9"/>
            <w:vAlign w:val="center"/>
          </w:tcPr>
          <w:p w14:paraId="3976F221" w14:textId="32F28582" w:rsidR="00561042" w:rsidRPr="006E7E84" w:rsidDel="008E7B87" w:rsidRDefault="00561042" w:rsidP="00C047EE">
            <w:pPr>
              <w:spacing w:after="0"/>
              <w:jc w:val="center"/>
              <w:rPr>
                <w:b/>
              </w:rPr>
            </w:pPr>
            <w:r w:rsidRPr="006E7E84">
              <w:rPr>
                <w:b/>
              </w:rPr>
              <w:t>Group Name</w:t>
            </w:r>
          </w:p>
        </w:tc>
        <w:tc>
          <w:tcPr>
            <w:tcW w:w="563" w:type="pct"/>
            <w:shd w:val="clear" w:color="auto" w:fill="D9D9D9" w:themeFill="background1" w:themeFillShade="D9"/>
            <w:vAlign w:val="center"/>
          </w:tcPr>
          <w:p w14:paraId="076E9FA3" w14:textId="2BDFEC53" w:rsidR="00561042" w:rsidRPr="006E7E84" w:rsidRDefault="00561042" w:rsidP="00C047EE">
            <w:pPr>
              <w:spacing w:after="0"/>
              <w:jc w:val="center"/>
              <w:rPr>
                <w:b/>
              </w:rPr>
            </w:pPr>
            <w:r w:rsidRPr="006E7E84">
              <w:rPr>
                <w:b/>
              </w:rPr>
              <w:t>2020</w:t>
            </w:r>
          </w:p>
        </w:tc>
        <w:tc>
          <w:tcPr>
            <w:tcW w:w="563" w:type="pct"/>
            <w:shd w:val="clear" w:color="auto" w:fill="D9D9D9" w:themeFill="background1" w:themeFillShade="D9"/>
            <w:vAlign w:val="center"/>
          </w:tcPr>
          <w:p w14:paraId="2A95FA03" w14:textId="46828D1C" w:rsidR="00561042" w:rsidRPr="006E7E84" w:rsidRDefault="00561042" w:rsidP="00C047EE">
            <w:pPr>
              <w:spacing w:after="0"/>
              <w:jc w:val="center"/>
              <w:rPr>
                <w:b/>
              </w:rPr>
            </w:pPr>
            <w:r w:rsidRPr="006E7E84">
              <w:rPr>
                <w:rFonts w:cs="Arial"/>
                <w:b/>
                <w:szCs w:val="16"/>
              </w:rPr>
              <w:t>2021</w:t>
            </w:r>
          </w:p>
        </w:tc>
        <w:tc>
          <w:tcPr>
            <w:tcW w:w="563" w:type="pct"/>
            <w:shd w:val="clear" w:color="auto" w:fill="D9D9D9" w:themeFill="background1" w:themeFillShade="D9"/>
            <w:vAlign w:val="center"/>
          </w:tcPr>
          <w:p w14:paraId="56A4FE1C" w14:textId="196C362E" w:rsidR="00561042" w:rsidRPr="006E7E84" w:rsidRDefault="00561042" w:rsidP="00C047EE">
            <w:pPr>
              <w:spacing w:after="0"/>
              <w:jc w:val="center"/>
              <w:rPr>
                <w:b/>
              </w:rPr>
            </w:pPr>
            <w:r w:rsidRPr="006E7E84">
              <w:rPr>
                <w:rFonts w:cs="Arial"/>
                <w:b/>
                <w:szCs w:val="16"/>
              </w:rPr>
              <w:t>2022</w:t>
            </w:r>
          </w:p>
        </w:tc>
        <w:tc>
          <w:tcPr>
            <w:tcW w:w="563" w:type="pct"/>
            <w:shd w:val="clear" w:color="auto" w:fill="D9D9D9" w:themeFill="background1" w:themeFillShade="D9"/>
            <w:vAlign w:val="center"/>
          </w:tcPr>
          <w:p w14:paraId="6FCB9B7C" w14:textId="67672F5E" w:rsidR="00561042" w:rsidRPr="006E7E84" w:rsidRDefault="00561042" w:rsidP="00C047EE">
            <w:pPr>
              <w:spacing w:after="0"/>
              <w:jc w:val="center"/>
              <w:rPr>
                <w:b/>
              </w:rPr>
            </w:pPr>
            <w:r w:rsidRPr="006E7E84">
              <w:rPr>
                <w:rFonts w:cs="Arial"/>
                <w:b/>
                <w:szCs w:val="16"/>
              </w:rPr>
              <w:t>2023</w:t>
            </w:r>
          </w:p>
        </w:tc>
        <w:tc>
          <w:tcPr>
            <w:tcW w:w="563" w:type="pct"/>
            <w:shd w:val="clear" w:color="auto" w:fill="D9D9D9" w:themeFill="background1" w:themeFillShade="D9"/>
            <w:vAlign w:val="center"/>
          </w:tcPr>
          <w:p w14:paraId="7118C826" w14:textId="7C910CE0" w:rsidR="00561042" w:rsidRPr="006E7E84" w:rsidRDefault="00561042" w:rsidP="00C047EE">
            <w:pPr>
              <w:spacing w:after="0"/>
              <w:jc w:val="center"/>
              <w:rPr>
                <w:b/>
              </w:rPr>
            </w:pPr>
            <w:r w:rsidRPr="006E7E84">
              <w:rPr>
                <w:rFonts w:cs="Arial"/>
                <w:b/>
                <w:szCs w:val="16"/>
              </w:rPr>
              <w:t>2024</w:t>
            </w:r>
          </w:p>
        </w:tc>
        <w:tc>
          <w:tcPr>
            <w:tcW w:w="563" w:type="pct"/>
            <w:shd w:val="clear" w:color="auto" w:fill="D9D9D9" w:themeFill="background1" w:themeFillShade="D9"/>
            <w:vAlign w:val="center"/>
          </w:tcPr>
          <w:p w14:paraId="33416EB6" w14:textId="63A7E482" w:rsidR="00561042" w:rsidRPr="006E7E84" w:rsidRDefault="00561042" w:rsidP="00C047EE">
            <w:pPr>
              <w:spacing w:after="0"/>
              <w:jc w:val="center"/>
              <w:rPr>
                <w:b/>
              </w:rPr>
            </w:pPr>
            <w:r w:rsidRPr="006E7E84">
              <w:rPr>
                <w:rFonts w:cs="Arial"/>
                <w:b/>
                <w:szCs w:val="16"/>
              </w:rPr>
              <w:t>2025</w:t>
            </w:r>
          </w:p>
        </w:tc>
      </w:tr>
      <w:tr w:rsidR="006E7E84" w:rsidRPr="006E7E84" w14:paraId="24016D03" w14:textId="0FC0BA7B" w:rsidTr="00C047EE">
        <w:trPr>
          <w:trHeight w:val="432"/>
        </w:trPr>
        <w:tc>
          <w:tcPr>
            <w:tcW w:w="540" w:type="pct"/>
            <w:shd w:val="clear" w:color="auto" w:fill="auto"/>
            <w:vAlign w:val="center"/>
          </w:tcPr>
          <w:p w14:paraId="6AD78348" w14:textId="77777777" w:rsidR="00D13592" w:rsidRPr="006E7E84" w:rsidRDefault="00D13592" w:rsidP="00C047EE">
            <w:pPr>
              <w:spacing w:after="0"/>
              <w:jc w:val="center"/>
              <w:rPr>
                <w:rFonts w:cs="Arial"/>
                <w:szCs w:val="16"/>
              </w:rPr>
            </w:pPr>
            <w:r w:rsidRPr="006E7E84">
              <w:rPr>
                <w:rFonts w:cs="Arial"/>
                <w:szCs w:val="16"/>
              </w:rPr>
              <w:t>Reading</w:t>
            </w:r>
          </w:p>
        </w:tc>
        <w:tc>
          <w:tcPr>
            <w:tcW w:w="542" w:type="pct"/>
            <w:shd w:val="clear" w:color="auto" w:fill="auto"/>
            <w:vAlign w:val="center"/>
          </w:tcPr>
          <w:p w14:paraId="68D451C5" w14:textId="0D62DF33" w:rsidR="00D13592" w:rsidRPr="006E7E84" w:rsidRDefault="00D13592" w:rsidP="00C047EE">
            <w:pPr>
              <w:spacing w:after="0"/>
              <w:jc w:val="center"/>
              <w:rPr>
                <w:rFonts w:cs="Arial"/>
                <w:szCs w:val="16"/>
              </w:rPr>
            </w:pPr>
            <w:r w:rsidRPr="006E7E84">
              <w:rPr>
                <w:rFonts w:cs="Arial"/>
                <w:szCs w:val="16"/>
              </w:rPr>
              <w:t>A &gt;=</w:t>
            </w:r>
          </w:p>
        </w:tc>
        <w:tc>
          <w:tcPr>
            <w:tcW w:w="542" w:type="pct"/>
            <w:shd w:val="clear" w:color="auto" w:fill="auto"/>
            <w:vAlign w:val="center"/>
          </w:tcPr>
          <w:p w14:paraId="10A86524" w14:textId="5A63BB47" w:rsidR="00D13592" w:rsidRPr="006E7E84" w:rsidDel="00DE5045" w:rsidRDefault="00D13592" w:rsidP="00C047EE">
            <w:pPr>
              <w:spacing w:after="0"/>
              <w:jc w:val="center"/>
              <w:rPr>
                <w:rFonts w:cs="Arial"/>
                <w:szCs w:val="16"/>
              </w:rPr>
            </w:pPr>
            <w:r w:rsidRPr="006E7E84">
              <w:rPr>
                <w:rFonts w:cs="Arial"/>
                <w:szCs w:val="16"/>
              </w:rPr>
              <w:t>Grade 4</w:t>
            </w:r>
          </w:p>
        </w:tc>
        <w:tc>
          <w:tcPr>
            <w:tcW w:w="563" w:type="pct"/>
            <w:shd w:val="clear" w:color="auto" w:fill="auto"/>
            <w:vAlign w:val="center"/>
          </w:tcPr>
          <w:p w14:paraId="3451F312" w14:textId="2295E6F6" w:rsidR="00D13592" w:rsidRPr="006E7E84" w:rsidRDefault="00D13592" w:rsidP="00C047EE">
            <w:pPr>
              <w:spacing w:after="0"/>
              <w:jc w:val="center"/>
              <w:rPr>
                <w:rFonts w:cs="Arial"/>
                <w:szCs w:val="16"/>
              </w:rPr>
            </w:pPr>
            <w:r w:rsidRPr="006E7E84">
              <w:rPr>
                <w:rFonts w:cs="Arial"/>
                <w:szCs w:val="16"/>
              </w:rPr>
              <w:t>86.80%</w:t>
            </w:r>
          </w:p>
        </w:tc>
        <w:tc>
          <w:tcPr>
            <w:tcW w:w="563" w:type="pct"/>
            <w:vAlign w:val="center"/>
          </w:tcPr>
          <w:p w14:paraId="1A23D563" w14:textId="56F68959" w:rsidR="00D13592" w:rsidRPr="006E7E84" w:rsidRDefault="00D13592" w:rsidP="00C047EE">
            <w:pPr>
              <w:spacing w:after="0"/>
              <w:jc w:val="center"/>
              <w:rPr>
                <w:rFonts w:cs="Arial"/>
                <w:szCs w:val="16"/>
              </w:rPr>
            </w:pPr>
            <w:r w:rsidRPr="006E7E84">
              <w:rPr>
                <w:rFonts w:cs="Arial"/>
                <w:szCs w:val="16"/>
              </w:rPr>
              <w:t>87.30%</w:t>
            </w:r>
          </w:p>
        </w:tc>
        <w:tc>
          <w:tcPr>
            <w:tcW w:w="563" w:type="pct"/>
            <w:vAlign w:val="center"/>
          </w:tcPr>
          <w:p w14:paraId="6BBDE651" w14:textId="47B65FE0" w:rsidR="00D13592" w:rsidRPr="006E7E84" w:rsidRDefault="00D13592" w:rsidP="00C047EE">
            <w:pPr>
              <w:spacing w:after="0"/>
              <w:jc w:val="center"/>
              <w:rPr>
                <w:rFonts w:cs="Arial"/>
                <w:szCs w:val="16"/>
              </w:rPr>
            </w:pPr>
            <w:r w:rsidRPr="006E7E84">
              <w:rPr>
                <w:rFonts w:cs="Arial"/>
                <w:szCs w:val="16"/>
              </w:rPr>
              <w:t>87.80%</w:t>
            </w:r>
          </w:p>
        </w:tc>
        <w:tc>
          <w:tcPr>
            <w:tcW w:w="563" w:type="pct"/>
            <w:vAlign w:val="center"/>
          </w:tcPr>
          <w:p w14:paraId="5A275577" w14:textId="6DCA94CB" w:rsidR="00D13592" w:rsidRPr="006E7E84" w:rsidRDefault="00D13592" w:rsidP="00C047EE">
            <w:pPr>
              <w:spacing w:after="0"/>
              <w:jc w:val="center"/>
              <w:rPr>
                <w:rFonts w:cs="Arial"/>
                <w:szCs w:val="16"/>
              </w:rPr>
            </w:pPr>
            <w:r w:rsidRPr="006E7E84">
              <w:rPr>
                <w:rFonts w:cs="Arial"/>
                <w:szCs w:val="16"/>
              </w:rPr>
              <w:t>88.30%</w:t>
            </w:r>
          </w:p>
        </w:tc>
        <w:tc>
          <w:tcPr>
            <w:tcW w:w="563" w:type="pct"/>
            <w:vAlign w:val="center"/>
          </w:tcPr>
          <w:p w14:paraId="3206928B" w14:textId="11EAF098" w:rsidR="00D13592" w:rsidRPr="006E7E84" w:rsidRDefault="00D13592" w:rsidP="00C047EE">
            <w:pPr>
              <w:spacing w:after="0"/>
              <w:jc w:val="center"/>
              <w:rPr>
                <w:rFonts w:cs="Arial"/>
                <w:szCs w:val="16"/>
              </w:rPr>
            </w:pPr>
            <w:r w:rsidRPr="006E7E84">
              <w:rPr>
                <w:rFonts w:cs="Arial"/>
                <w:szCs w:val="16"/>
              </w:rPr>
              <w:t>88.80%</w:t>
            </w:r>
          </w:p>
        </w:tc>
        <w:tc>
          <w:tcPr>
            <w:tcW w:w="563" w:type="pct"/>
            <w:vAlign w:val="center"/>
          </w:tcPr>
          <w:p w14:paraId="6FBEC16B" w14:textId="37B5556C" w:rsidR="00D13592" w:rsidRPr="006E7E84" w:rsidRDefault="00D13592" w:rsidP="00C047EE">
            <w:pPr>
              <w:spacing w:after="0"/>
              <w:jc w:val="center"/>
              <w:rPr>
                <w:rFonts w:cs="Arial"/>
                <w:szCs w:val="16"/>
              </w:rPr>
            </w:pPr>
            <w:r w:rsidRPr="006E7E84">
              <w:rPr>
                <w:rFonts w:cs="Arial"/>
                <w:szCs w:val="16"/>
              </w:rPr>
              <w:t>89.30%</w:t>
            </w:r>
          </w:p>
        </w:tc>
      </w:tr>
      <w:tr w:rsidR="006E7E84" w:rsidRPr="006E7E84" w14:paraId="4229AE62" w14:textId="33381C2A" w:rsidTr="00C047EE">
        <w:trPr>
          <w:trHeight w:val="432"/>
        </w:trPr>
        <w:tc>
          <w:tcPr>
            <w:tcW w:w="540" w:type="pct"/>
            <w:shd w:val="clear" w:color="auto" w:fill="auto"/>
            <w:vAlign w:val="center"/>
          </w:tcPr>
          <w:p w14:paraId="65BFCE1A" w14:textId="0D697A5F" w:rsidR="00D13592" w:rsidRPr="006E7E84" w:rsidRDefault="00D13592" w:rsidP="00C047EE">
            <w:pPr>
              <w:spacing w:after="0"/>
              <w:jc w:val="center"/>
              <w:rPr>
                <w:rFonts w:cs="Arial"/>
                <w:szCs w:val="16"/>
              </w:rPr>
            </w:pPr>
            <w:r w:rsidRPr="006E7E84">
              <w:rPr>
                <w:rFonts w:cs="Arial"/>
                <w:szCs w:val="16"/>
              </w:rPr>
              <w:t>Reading</w:t>
            </w:r>
          </w:p>
        </w:tc>
        <w:tc>
          <w:tcPr>
            <w:tcW w:w="542" w:type="pct"/>
            <w:shd w:val="clear" w:color="auto" w:fill="auto"/>
            <w:vAlign w:val="center"/>
          </w:tcPr>
          <w:p w14:paraId="0A529643" w14:textId="25196352" w:rsidR="00D13592" w:rsidRPr="006E7E84" w:rsidRDefault="00D13592" w:rsidP="00C047EE">
            <w:pPr>
              <w:spacing w:after="0"/>
              <w:jc w:val="center"/>
              <w:rPr>
                <w:rFonts w:cs="Arial"/>
                <w:szCs w:val="16"/>
              </w:rPr>
            </w:pPr>
            <w:r w:rsidRPr="006E7E84">
              <w:rPr>
                <w:rFonts w:cs="Arial"/>
                <w:szCs w:val="16"/>
              </w:rPr>
              <w:t>B &gt;=</w:t>
            </w:r>
          </w:p>
        </w:tc>
        <w:tc>
          <w:tcPr>
            <w:tcW w:w="542" w:type="pct"/>
            <w:shd w:val="clear" w:color="auto" w:fill="auto"/>
            <w:vAlign w:val="center"/>
          </w:tcPr>
          <w:p w14:paraId="62F8D3A7" w14:textId="0DE3112A" w:rsidR="00D13592" w:rsidRPr="006E7E84" w:rsidDel="00DE5045" w:rsidRDefault="00D13592" w:rsidP="00C047EE">
            <w:pPr>
              <w:spacing w:after="0"/>
              <w:jc w:val="center"/>
              <w:rPr>
                <w:rFonts w:cs="Arial"/>
                <w:szCs w:val="16"/>
              </w:rPr>
            </w:pPr>
            <w:r w:rsidRPr="006E7E84">
              <w:rPr>
                <w:rFonts w:cs="Arial"/>
                <w:szCs w:val="16"/>
              </w:rPr>
              <w:t>Grade 8</w:t>
            </w:r>
          </w:p>
        </w:tc>
        <w:tc>
          <w:tcPr>
            <w:tcW w:w="563" w:type="pct"/>
            <w:shd w:val="clear" w:color="auto" w:fill="auto"/>
            <w:vAlign w:val="center"/>
          </w:tcPr>
          <w:p w14:paraId="1D5B4183" w14:textId="1238BC64" w:rsidR="00D13592" w:rsidRPr="006E7E84" w:rsidRDefault="00D13592" w:rsidP="00C047EE">
            <w:pPr>
              <w:spacing w:after="0"/>
              <w:jc w:val="center"/>
              <w:rPr>
                <w:rFonts w:cs="Arial"/>
                <w:szCs w:val="16"/>
              </w:rPr>
            </w:pPr>
            <w:r w:rsidRPr="006E7E84">
              <w:rPr>
                <w:rFonts w:cs="Arial"/>
                <w:szCs w:val="16"/>
              </w:rPr>
              <w:t>81.09%</w:t>
            </w:r>
          </w:p>
        </w:tc>
        <w:tc>
          <w:tcPr>
            <w:tcW w:w="563" w:type="pct"/>
            <w:vAlign w:val="center"/>
          </w:tcPr>
          <w:p w14:paraId="200F306C" w14:textId="40F15380" w:rsidR="00D13592" w:rsidRPr="006E7E84" w:rsidRDefault="00D13592" w:rsidP="00C047EE">
            <w:pPr>
              <w:spacing w:after="0"/>
              <w:jc w:val="center"/>
              <w:rPr>
                <w:rFonts w:cs="Arial"/>
                <w:szCs w:val="16"/>
              </w:rPr>
            </w:pPr>
            <w:r w:rsidRPr="006E7E84">
              <w:rPr>
                <w:rFonts w:cs="Arial"/>
                <w:szCs w:val="16"/>
              </w:rPr>
              <w:t>81.59%</w:t>
            </w:r>
          </w:p>
        </w:tc>
        <w:tc>
          <w:tcPr>
            <w:tcW w:w="563" w:type="pct"/>
            <w:vAlign w:val="center"/>
          </w:tcPr>
          <w:p w14:paraId="01C155DC" w14:textId="32FC3C15" w:rsidR="00D13592" w:rsidRPr="006E7E84" w:rsidRDefault="00D13592" w:rsidP="00C047EE">
            <w:pPr>
              <w:spacing w:after="0"/>
              <w:jc w:val="center"/>
              <w:rPr>
                <w:rFonts w:cs="Arial"/>
                <w:szCs w:val="16"/>
              </w:rPr>
            </w:pPr>
            <w:r w:rsidRPr="006E7E84">
              <w:rPr>
                <w:rFonts w:cs="Arial"/>
                <w:szCs w:val="16"/>
              </w:rPr>
              <w:t>82.09%</w:t>
            </w:r>
          </w:p>
        </w:tc>
        <w:tc>
          <w:tcPr>
            <w:tcW w:w="563" w:type="pct"/>
            <w:vAlign w:val="center"/>
          </w:tcPr>
          <w:p w14:paraId="31A2EE92" w14:textId="183FF0A7" w:rsidR="00D13592" w:rsidRPr="006E7E84" w:rsidRDefault="00D13592" w:rsidP="00C047EE">
            <w:pPr>
              <w:spacing w:after="0"/>
              <w:jc w:val="center"/>
              <w:rPr>
                <w:rFonts w:cs="Arial"/>
                <w:szCs w:val="16"/>
              </w:rPr>
            </w:pPr>
            <w:r w:rsidRPr="006E7E84">
              <w:rPr>
                <w:rFonts w:cs="Arial"/>
                <w:szCs w:val="16"/>
              </w:rPr>
              <w:t>82.59%</w:t>
            </w:r>
          </w:p>
        </w:tc>
        <w:tc>
          <w:tcPr>
            <w:tcW w:w="563" w:type="pct"/>
            <w:vAlign w:val="center"/>
          </w:tcPr>
          <w:p w14:paraId="52A72D95" w14:textId="51822CAD" w:rsidR="00D13592" w:rsidRPr="006E7E84" w:rsidRDefault="00D13592" w:rsidP="00C047EE">
            <w:pPr>
              <w:spacing w:after="0"/>
              <w:jc w:val="center"/>
              <w:rPr>
                <w:rFonts w:cs="Arial"/>
                <w:szCs w:val="16"/>
              </w:rPr>
            </w:pPr>
            <w:r w:rsidRPr="006E7E84">
              <w:rPr>
                <w:rFonts w:cs="Arial"/>
                <w:szCs w:val="16"/>
              </w:rPr>
              <w:t>83.09%</w:t>
            </w:r>
          </w:p>
        </w:tc>
        <w:tc>
          <w:tcPr>
            <w:tcW w:w="563" w:type="pct"/>
            <w:vAlign w:val="center"/>
          </w:tcPr>
          <w:p w14:paraId="0A9D3561" w14:textId="4D0FA131" w:rsidR="00D13592" w:rsidRPr="006E7E84" w:rsidRDefault="00D13592" w:rsidP="00C047EE">
            <w:pPr>
              <w:spacing w:after="0"/>
              <w:jc w:val="center"/>
              <w:rPr>
                <w:rFonts w:cs="Arial"/>
                <w:szCs w:val="16"/>
              </w:rPr>
            </w:pPr>
            <w:r w:rsidRPr="006E7E84">
              <w:rPr>
                <w:rFonts w:cs="Arial"/>
                <w:szCs w:val="16"/>
              </w:rPr>
              <w:t>83.59%</w:t>
            </w:r>
          </w:p>
        </w:tc>
      </w:tr>
      <w:tr w:rsidR="006E7E84" w:rsidRPr="006E7E84" w14:paraId="53D446D4" w14:textId="31EA6E11" w:rsidTr="00C047EE">
        <w:trPr>
          <w:trHeight w:val="432"/>
        </w:trPr>
        <w:tc>
          <w:tcPr>
            <w:tcW w:w="540" w:type="pct"/>
            <w:shd w:val="clear" w:color="auto" w:fill="auto"/>
            <w:vAlign w:val="center"/>
          </w:tcPr>
          <w:p w14:paraId="5413BB65" w14:textId="22884284" w:rsidR="00D13592" w:rsidRPr="006E7E84" w:rsidRDefault="00D13592" w:rsidP="00C047EE">
            <w:pPr>
              <w:spacing w:after="0"/>
              <w:jc w:val="center"/>
              <w:rPr>
                <w:rFonts w:cs="Arial"/>
                <w:szCs w:val="16"/>
              </w:rPr>
            </w:pPr>
            <w:r w:rsidRPr="006E7E84">
              <w:rPr>
                <w:rFonts w:cs="Arial"/>
                <w:szCs w:val="16"/>
              </w:rPr>
              <w:t>Reading</w:t>
            </w:r>
          </w:p>
        </w:tc>
        <w:tc>
          <w:tcPr>
            <w:tcW w:w="542" w:type="pct"/>
            <w:shd w:val="clear" w:color="auto" w:fill="auto"/>
            <w:vAlign w:val="center"/>
          </w:tcPr>
          <w:p w14:paraId="1408EAB6" w14:textId="5A0418AE" w:rsidR="00D13592" w:rsidRPr="006E7E84" w:rsidRDefault="00D13592" w:rsidP="00C047EE">
            <w:pPr>
              <w:spacing w:after="0"/>
              <w:jc w:val="center"/>
              <w:rPr>
                <w:rFonts w:cs="Arial"/>
                <w:szCs w:val="16"/>
              </w:rPr>
            </w:pPr>
            <w:r w:rsidRPr="006E7E84">
              <w:rPr>
                <w:rFonts w:cs="Arial"/>
                <w:szCs w:val="16"/>
              </w:rPr>
              <w:t>C &gt;=</w:t>
            </w:r>
          </w:p>
        </w:tc>
        <w:tc>
          <w:tcPr>
            <w:tcW w:w="542" w:type="pct"/>
            <w:shd w:val="clear" w:color="auto" w:fill="auto"/>
            <w:vAlign w:val="center"/>
          </w:tcPr>
          <w:p w14:paraId="6E4FCBFF" w14:textId="158A4AA0" w:rsidR="00D13592" w:rsidRPr="006E7E84" w:rsidDel="00DE5045" w:rsidRDefault="00D13592" w:rsidP="00C047EE">
            <w:pPr>
              <w:spacing w:after="0"/>
              <w:jc w:val="center"/>
              <w:rPr>
                <w:rFonts w:cs="Arial"/>
                <w:szCs w:val="16"/>
              </w:rPr>
            </w:pPr>
            <w:r w:rsidRPr="006E7E84">
              <w:rPr>
                <w:rFonts w:cs="Arial"/>
                <w:szCs w:val="16"/>
              </w:rPr>
              <w:t>Grade HS</w:t>
            </w:r>
          </w:p>
        </w:tc>
        <w:tc>
          <w:tcPr>
            <w:tcW w:w="563" w:type="pct"/>
            <w:shd w:val="clear" w:color="auto" w:fill="auto"/>
            <w:vAlign w:val="center"/>
          </w:tcPr>
          <w:p w14:paraId="3520F380" w14:textId="38C36219" w:rsidR="00D13592" w:rsidRPr="006E7E84" w:rsidRDefault="00D13592" w:rsidP="00C047EE">
            <w:pPr>
              <w:spacing w:after="0"/>
              <w:jc w:val="center"/>
              <w:rPr>
                <w:rFonts w:cs="Arial"/>
                <w:szCs w:val="16"/>
              </w:rPr>
            </w:pPr>
            <w:r w:rsidRPr="006E7E84">
              <w:rPr>
                <w:rFonts w:cs="Arial"/>
                <w:szCs w:val="16"/>
              </w:rPr>
              <w:t>81.30%</w:t>
            </w:r>
          </w:p>
        </w:tc>
        <w:tc>
          <w:tcPr>
            <w:tcW w:w="563" w:type="pct"/>
            <w:vAlign w:val="center"/>
          </w:tcPr>
          <w:p w14:paraId="3305DD14" w14:textId="4DBBF69C" w:rsidR="00D13592" w:rsidRPr="006E7E84" w:rsidRDefault="00D13592" w:rsidP="00C047EE">
            <w:pPr>
              <w:spacing w:after="0"/>
              <w:jc w:val="center"/>
              <w:rPr>
                <w:rFonts w:cs="Arial"/>
                <w:szCs w:val="16"/>
              </w:rPr>
            </w:pPr>
            <w:r w:rsidRPr="006E7E84">
              <w:rPr>
                <w:rFonts w:cs="Arial"/>
                <w:szCs w:val="16"/>
              </w:rPr>
              <w:t>81.80%</w:t>
            </w:r>
          </w:p>
        </w:tc>
        <w:tc>
          <w:tcPr>
            <w:tcW w:w="563" w:type="pct"/>
            <w:vAlign w:val="center"/>
          </w:tcPr>
          <w:p w14:paraId="02FF2601" w14:textId="545909AE" w:rsidR="00D13592" w:rsidRPr="006E7E84" w:rsidRDefault="00D13592" w:rsidP="00C047EE">
            <w:pPr>
              <w:spacing w:after="0"/>
              <w:jc w:val="center"/>
              <w:rPr>
                <w:rFonts w:cs="Arial"/>
                <w:szCs w:val="16"/>
              </w:rPr>
            </w:pPr>
            <w:r w:rsidRPr="006E7E84">
              <w:rPr>
                <w:rFonts w:cs="Arial"/>
                <w:szCs w:val="16"/>
              </w:rPr>
              <w:t>82.30%</w:t>
            </w:r>
          </w:p>
        </w:tc>
        <w:tc>
          <w:tcPr>
            <w:tcW w:w="563" w:type="pct"/>
            <w:vAlign w:val="center"/>
          </w:tcPr>
          <w:p w14:paraId="607B9906" w14:textId="6058F884" w:rsidR="00D13592" w:rsidRPr="006E7E84" w:rsidRDefault="00D13592" w:rsidP="00C047EE">
            <w:pPr>
              <w:spacing w:after="0"/>
              <w:jc w:val="center"/>
              <w:rPr>
                <w:rFonts w:cs="Arial"/>
                <w:szCs w:val="16"/>
              </w:rPr>
            </w:pPr>
            <w:r w:rsidRPr="006E7E84">
              <w:rPr>
                <w:rFonts w:cs="Arial"/>
                <w:szCs w:val="16"/>
              </w:rPr>
              <w:t>82.80%</w:t>
            </w:r>
          </w:p>
        </w:tc>
        <w:tc>
          <w:tcPr>
            <w:tcW w:w="563" w:type="pct"/>
            <w:vAlign w:val="center"/>
          </w:tcPr>
          <w:p w14:paraId="00AA5B51" w14:textId="2B22FFA4" w:rsidR="00D13592" w:rsidRPr="006E7E84" w:rsidRDefault="00D13592" w:rsidP="00C047EE">
            <w:pPr>
              <w:spacing w:after="0"/>
              <w:jc w:val="center"/>
              <w:rPr>
                <w:rFonts w:cs="Arial"/>
                <w:szCs w:val="16"/>
              </w:rPr>
            </w:pPr>
            <w:r w:rsidRPr="006E7E84">
              <w:rPr>
                <w:rFonts w:cs="Arial"/>
                <w:szCs w:val="16"/>
              </w:rPr>
              <w:t>83.30%</w:t>
            </w:r>
          </w:p>
        </w:tc>
        <w:tc>
          <w:tcPr>
            <w:tcW w:w="563" w:type="pct"/>
            <w:vAlign w:val="center"/>
          </w:tcPr>
          <w:p w14:paraId="098D4CBC" w14:textId="1DF737D1" w:rsidR="00D13592" w:rsidRPr="006E7E84" w:rsidRDefault="00D13592" w:rsidP="00C047EE">
            <w:pPr>
              <w:spacing w:after="0"/>
              <w:jc w:val="center"/>
              <w:rPr>
                <w:rFonts w:cs="Arial"/>
                <w:szCs w:val="16"/>
              </w:rPr>
            </w:pPr>
            <w:r w:rsidRPr="006E7E84">
              <w:rPr>
                <w:rFonts w:cs="Arial"/>
                <w:szCs w:val="16"/>
              </w:rPr>
              <w:t>83.80%</w:t>
            </w:r>
          </w:p>
        </w:tc>
      </w:tr>
      <w:tr w:rsidR="006E7E84" w:rsidRPr="006E7E84" w14:paraId="4D7E1CB4" w14:textId="31C0C80F" w:rsidTr="00C047EE">
        <w:trPr>
          <w:trHeight w:val="432"/>
        </w:trPr>
        <w:tc>
          <w:tcPr>
            <w:tcW w:w="540" w:type="pct"/>
            <w:shd w:val="clear" w:color="auto" w:fill="auto"/>
            <w:vAlign w:val="center"/>
          </w:tcPr>
          <w:p w14:paraId="3E17FC71" w14:textId="77777777" w:rsidR="00D13592" w:rsidRPr="006E7E84" w:rsidRDefault="00D13592" w:rsidP="00C047EE">
            <w:pPr>
              <w:spacing w:after="0"/>
              <w:jc w:val="center"/>
              <w:rPr>
                <w:rFonts w:cs="Arial"/>
                <w:szCs w:val="16"/>
              </w:rPr>
            </w:pPr>
            <w:r w:rsidRPr="006E7E84">
              <w:rPr>
                <w:rFonts w:cs="Arial"/>
                <w:szCs w:val="16"/>
              </w:rPr>
              <w:t>Math</w:t>
            </w:r>
          </w:p>
        </w:tc>
        <w:tc>
          <w:tcPr>
            <w:tcW w:w="542" w:type="pct"/>
            <w:shd w:val="clear" w:color="auto" w:fill="auto"/>
            <w:vAlign w:val="center"/>
          </w:tcPr>
          <w:p w14:paraId="393C59D6" w14:textId="4FA6AC82" w:rsidR="00D13592" w:rsidRPr="006E7E84" w:rsidRDefault="00D13592" w:rsidP="00C047EE">
            <w:pPr>
              <w:spacing w:after="0"/>
              <w:jc w:val="center"/>
              <w:rPr>
                <w:rFonts w:cs="Arial"/>
                <w:szCs w:val="16"/>
              </w:rPr>
            </w:pPr>
            <w:r w:rsidRPr="006E7E84">
              <w:rPr>
                <w:rFonts w:cs="Arial"/>
                <w:szCs w:val="16"/>
              </w:rPr>
              <w:t>A &gt;=</w:t>
            </w:r>
          </w:p>
        </w:tc>
        <w:tc>
          <w:tcPr>
            <w:tcW w:w="542" w:type="pct"/>
            <w:shd w:val="clear" w:color="auto" w:fill="auto"/>
            <w:vAlign w:val="center"/>
          </w:tcPr>
          <w:p w14:paraId="06CBBAA1" w14:textId="25010E97" w:rsidR="00D13592" w:rsidRPr="006E7E84" w:rsidDel="00DE5045" w:rsidRDefault="00D13592" w:rsidP="00C047EE">
            <w:pPr>
              <w:spacing w:after="0"/>
              <w:jc w:val="center"/>
              <w:rPr>
                <w:rFonts w:cs="Arial"/>
                <w:szCs w:val="16"/>
              </w:rPr>
            </w:pPr>
            <w:r w:rsidRPr="006E7E84">
              <w:rPr>
                <w:rFonts w:cs="Arial"/>
                <w:szCs w:val="16"/>
              </w:rPr>
              <w:t>Grade 4</w:t>
            </w:r>
          </w:p>
        </w:tc>
        <w:tc>
          <w:tcPr>
            <w:tcW w:w="563" w:type="pct"/>
            <w:shd w:val="clear" w:color="auto" w:fill="auto"/>
            <w:vAlign w:val="center"/>
          </w:tcPr>
          <w:p w14:paraId="5B4F37F7" w14:textId="0586B65B" w:rsidR="00D13592" w:rsidRPr="006E7E84" w:rsidRDefault="00D13592" w:rsidP="00C047EE">
            <w:pPr>
              <w:spacing w:after="0"/>
              <w:jc w:val="center"/>
              <w:rPr>
                <w:rFonts w:cs="Arial"/>
                <w:szCs w:val="16"/>
              </w:rPr>
            </w:pPr>
            <w:r w:rsidRPr="006E7E84">
              <w:rPr>
                <w:rFonts w:cs="Arial"/>
                <w:szCs w:val="16"/>
              </w:rPr>
              <w:t>89.17%</w:t>
            </w:r>
          </w:p>
        </w:tc>
        <w:tc>
          <w:tcPr>
            <w:tcW w:w="563" w:type="pct"/>
            <w:vAlign w:val="center"/>
          </w:tcPr>
          <w:p w14:paraId="5BCC413B" w14:textId="09A05E02" w:rsidR="00D13592" w:rsidRPr="006E7E84" w:rsidRDefault="00D13592" w:rsidP="00C047EE">
            <w:pPr>
              <w:spacing w:after="0"/>
              <w:jc w:val="center"/>
              <w:rPr>
                <w:rFonts w:cs="Arial"/>
                <w:szCs w:val="16"/>
              </w:rPr>
            </w:pPr>
            <w:r w:rsidRPr="006E7E84">
              <w:rPr>
                <w:rFonts w:cs="Arial"/>
                <w:szCs w:val="16"/>
              </w:rPr>
              <w:t>89.67%</w:t>
            </w:r>
          </w:p>
        </w:tc>
        <w:tc>
          <w:tcPr>
            <w:tcW w:w="563" w:type="pct"/>
            <w:vAlign w:val="center"/>
          </w:tcPr>
          <w:p w14:paraId="45EF5FCE" w14:textId="00D7D29B" w:rsidR="00D13592" w:rsidRPr="006E7E84" w:rsidRDefault="00D13592" w:rsidP="00C047EE">
            <w:pPr>
              <w:spacing w:after="0"/>
              <w:jc w:val="center"/>
              <w:rPr>
                <w:rFonts w:cs="Arial"/>
                <w:szCs w:val="16"/>
              </w:rPr>
            </w:pPr>
            <w:r w:rsidRPr="006E7E84">
              <w:rPr>
                <w:rFonts w:cs="Arial"/>
                <w:szCs w:val="16"/>
              </w:rPr>
              <w:t>90.17%</w:t>
            </w:r>
          </w:p>
        </w:tc>
        <w:tc>
          <w:tcPr>
            <w:tcW w:w="563" w:type="pct"/>
            <w:vAlign w:val="center"/>
          </w:tcPr>
          <w:p w14:paraId="68AE213E" w14:textId="4ECF4085" w:rsidR="00D13592" w:rsidRPr="006E7E84" w:rsidRDefault="00D13592" w:rsidP="00C047EE">
            <w:pPr>
              <w:spacing w:after="0"/>
              <w:jc w:val="center"/>
              <w:rPr>
                <w:rFonts w:cs="Arial"/>
                <w:szCs w:val="16"/>
              </w:rPr>
            </w:pPr>
            <w:r w:rsidRPr="006E7E84">
              <w:rPr>
                <w:rFonts w:cs="Arial"/>
                <w:szCs w:val="16"/>
              </w:rPr>
              <w:t>90.67%</w:t>
            </w:r>
          </w:p>
        </w:tc>
        <w:tc>
          <w:tcPr>
            <w:tcW w:w="563" w:type="pct"/>
            <w:vAlign w:val="center"/>
          </w:tcPr>
          <w:p w14:paraId="7B3E2D7F" w14:textId="73124E34" w:rsidR="00D13592" w:rsidRPr="006E7E84" w:rsidRDefault="00D13592" w:rsidP="00C047EE">
            <w:pPr>
              <w:spacing w:after="0"/>
              <w:jc w:val="center"/>
              <w:rPr>
                <w:rFonts w:cs="Arial"/>
                <w:szCs w:val="16"/>
              </w:rPr>
            </w:pPr>
            <w:r w:rsidRPr="006E7E84">
              <w:rPr>
                <w:rFonts w:cs="Arial"/>
                <w:szCs w:val="16"/>
              </w:rPr>
              <w:t>91.17%</w:t>
            </w:r>
          </w:p>
        </w:tc>
        <w:tc>
          <w:tcPr>
            <w:tcW w:w="563" w:type="pct"/>
            <w:vAlign w:val="center"/>
          </w:tcPr>
          <w:p w14:paraId="4BC7B620" w14:textId="19BD9C5D" w:rsidR="00D13592" w:rsidRPr="006E7E84" w:rsidRDefault="00D13592" w:rsidP="00C047EE">
            <w:pPr>
              <w:spacing w:after="0"/>
              <w:jc w:val="center"/>
              <w:rPr>
                <w:rFonts w:cs="Arial"/>
                <w:szCs w:val="16"/>
              </w:rPr>
            </w:pPr>
            <w:r w:rsidRPr="006E7E84">
              <w:rPr>
                <w:rFonts w:cs="Arial"/>
                <w:szCs w:val="16"/>
              </w:rPr>
              <w:t>91.67%</w:t>
            </w:r>
          </w:p>
        </w:tc>
      </w:tr>
      <w:tr w:rsidR="006E7E84" w:rsidRPr="006E7E84" w14:paraId="6A0B25C6" w14:textId="3CA923D5" w:rsidTr="00C047EE">
        <w:trPr>
          <w:trHeight w:val="432"/>
        </w:trPr>
        <w:tc>
          <w:tcPr>
            <w:tcW w:w="540" w:type="pct"/>
            <w:shd w:val="clear" w:color="auto" w:fill="auto"/>
            <w:vAlign w:val="center"/>
          </w:tcPr>
          <w:p w14:paraId="7A201508" w14:textId="57E216ED" w:rsidR="00D13592" w:rsidRPr="006E7E84" w:rsidRDefault="00D13592" w:rsidP="00C047EE">
            <w:pPr>
              <w:spacing w:after="0"/>
              <w:jc w:val="center"/>
              <w:rPr>
                <w:rFonts w:cs="Arial"/>
                <w:szCs w:val="16"/>
              </w:rPr>
            </w:pPr>
            <w:r w:rsidRPr="006E7E84">
              <w:rPr>
                <w:rFonts w:cs="Arial"/>
                <w:szCs w:val="16"/>
              </w:rPr>
              <w:t>Math</w:t>
            </w:r>
          </w:p>
        </w:tc>
        <w:tc>
          <w:tcPr>
            <w:tcW w:w="542" w:type="pct"/>
            <w:shd w:val="clear" w:color="auto" w:fill="auto"/>
            <w:vAlign w:val="center"/>
          </w:tcPr>
          <w:p w14:paraId="3BD3C679" w14:textId="4834DDCE" w:rsidR="00D13592" w:rsidRPr="006E7E84" w:rsidRDefault="00D13592" w:rsidP="00C047EE">
            <w:pPr>
              <w:spacing w:after="0"/>
              <w:jc w:val="center"/>
              <w:rPr>
                <w:rFonts w:cs="Arial"/>
                <w:szCs w:val="16"/>
              </w:rPr>
            </w:pPr>
            <w:r w:rsidRPr="006E7E84">
              <w:rPr>
                <w:rFonts w:cs="Arial"/>
                <w:szCs w:val="16"/>
              </w:rPr>
              <w:t>B &gt;=</w:t>
            </w:r>
          </w:p>
        </w:tc>
        <w:tc>
          <w:tcPr>
            <w:tcW w:w="542" w:type="pct"/>
            <w:shd w:val="clear" w:color="auto" w:fill="auto"/>
            <w:vAlign w:val="center"/>
          </w:tcPr>
          <w:p w14:paraId="75E8E6D8" w14:textId="7D040B60" w:rsidR="00D13592" w:rsidRPr="006E7E84" w:rsidDel="00DE5045" w:rsidRDefault="00D13592" w:rsidP="00C047EE">
            <w:pPr>
              <w:spacing w:after="0"/>
              <w:jc w:val="center"/>
              <w:rPr>
                <w:rFonts w:cs="Arial"/>
                <w:szCs w:val="16"/>
              </w:rPr>
            </w:pPr>
            <w:r w:rsidRPr="006E7E84">
              <w:rPr>
                <w:rFonts w:cs="Arial"/>
                <w:szCs w:val="16"/>
              </w:rPr>
              <w:t>Grade 8</w:t>
            </w:r>
          </w:p>
        </w:tc>
        <w:tc>
          <w:tcPr>
            <w:tcW w:w="563" w:type="pct"/>
            <w:shd w:val="clear" w:color="auto" w:fill="auto"/>
            <w:vAlign w:val="center"/>
          </w:tcPr>
          <w:p w14:paraId="4671DF75" w14:textId="2CD78B1B" w:rsidR="00D13592" w:rsidRPr="006E7E84" w:rsidRDefault="00D13592" w:rsidP="00C047EE">
            <w:pPr>
              <w:spacing w:after="0"/>
              <w:jc w:val="center"/>
              <w:rPr>
                <w:rFonts w:cs="Arial"/>
                <w:szCs w:val="16"/>
              </w:rPr>
            </w:pPr>
            <w:r w:rsidRPr="006E7E84">
              <w:rPr>
                <w:rFonts w:cs="Arial"/>
                <w:szCs w:val="16"/>
              </w:rPr>
              <w:t>81.94%</w:t>
            </w:r>
          </w:p>
        </w:tc>
        <w:tc>
          <w:tcPr>
            <w:tcW w:w="563" w:type="pct"/>
            <w:vAlign w:val="center"/>
          </w:tcPr>
          <w:p w14:paraId="0BF63C58" w14:textId="72F24C80" w:rsidR="00D13592" w:rsidRPr="006E7E84" w:rsidRDefault="00D13592" w:rsidP="00C047EE">
            <w:pPr>
              <w:spacing w:after="0"/>
              <w:jc w:val="center"/>
              <w:rPr>
                <w:rFonts w:cs="Arial"/>
                <w:szCs w:val="16"/>
              </w:rPr>
            </w:pPr>
            <w:r w:rsidRPr="006E7E84">
              <w:rPr>
                <w:rFonts w:cs="Arial"/>
                <w:szCs w:val="16"/>
              </w:rPr>
              <w:t>82.44%</w:t>
            </w:r>
          </w:p>
        </w:tc>
        <w:tc>
          <w:tcPr>
            <w:tcW w:w="563" w:type="pct"/>
            <w:vAlign w:val="center"/>
          </w:tcPr>
          <w:p w14:paraId="0075BBBD" w14:textId="7AFABF25" w:rsidR="00D13592" w:rsidRPr="006E7E84" w:rsidRDefault="00D13592" w:rsidP="00C047EE">
            <w:pPr>
              <w:spacing w:after="0"/>
              <w:jc w:val="center"/>
              <w:rPr>
                <w:rFonts w:cs="Arial"/>
                <w:szCs w:val="16"/>
              </w:rPr>
            </w:pPr>
            <w:r w:rsidRPr="006E7E84">
              <w:rPr>
                <w:rFonts w:cs="Arial"/>
                <w:szCs w:val="16"/>
              </w:rPr>
              <w:t>82.94%</w:t>
            </w:r>
          </w:p>
        </w:tc>
        <w:tc>
          <w:tcPr>
            <w:tcW w:w="563" w:type="pct"/>
            <w:vAlign w:val="center"/>
          </w:tcPr>
          <w:p w14:paraId="0162408E" w14:textId="763A5CFC" w:rsidR="00D13592" w:rsidRPr="006E7E84" w:rsidRDefault="00D13592" w:rsidP="00C047EE">
            <w:pPr>
              <w:spacing w:after="0"/>
              <w:jc w:val="center"/>
              <w:rPr>
                <w:rFonts w:cs="Arial"/>
                <w:szCs w:val="16"/>
              </w:rPr>
            </w:pPr>
            <w:r w:rsidRPr="006E7E84">
              <w:rPr>
                <w:rFonts w:cs="Arial"/>
                <w:szCs w:val="16"/>
              </w:rPr>
              <w:t>83.44%</w:t>
            </w:r>
          </w:p>
        </w:tc>
        <w:tc>
          <w:tcPr>
            <w:tcW w:w="563" w:type="pct"/>
            <w:vAlign w:val="center"/>
          </w:tcPr>
          <w:p w14:paraId="31533AB0" w14:textId="168489BE" w:rsidR="00D13592" w:rsidRPr="006E7E84" w:rsidRDefault="00D13592" w:rsidP="00C047EE">
            <w:pPr>
              <w:spacing w:after="0"/>
              <w:jc w:val="center"/>
              <w:rPr>
                <w:rFonts w:cs="Arial"/>
                <w:szCs w:val="16"/>
              </w:rPr>
            </w:pPr>
            <w:r w:rsidRPr="006E7E84">
              <w:rPr>
                <w:rFonts w:cs="Arial"/>
                <w:szCs w:val="16"/>
              </w:rPr>
              <w:t>83.94%</w:t>
            </w:r>
          </w:p>
        </w:tc>
        <w:tc>
          <w:tcPr>
            <w:tcW w:w="563" w:type="pct"/>
            <w:vAlign w:val="center"/>
          </w:tcPr>
          <w:p w14:paraId="3FD08822" w14:textId="00C4AF34" w:rsidR="00D13592" w:rsidRPr="006E7E84" w:rsidRDefault="00D13592" w:rsidP="00C047EE">
            <w:pPr>
              <w:spacing w:after="0"/>
              <w:jc w:val="center"/>
              <w:rPr>
                <w:rFonts w:cs="Arial"/>
                <w:szCs w:val="16"/>
              </w:rPr>
            </w:pPr>
            <w:r w:rsidRPr="006E7E84">
              <w:rPr>
                <w:rFonts w:cs="Arial"/>
                <w:szCs w:val="16"/>
              </w:rPr>
              <w:t>84.44%</w:t>
            </w:r>
          </w:p>
        </w:tc>
      </w:tr>
      <w:tr w:rsidR="006E7E84" w:rsidRPr="006E7E84" w14:paraId="72653908" w14:textId="04D938F0" w:rsidTr="00C047EE">
        <w:trPr>
          <w:trHeight w:val="432"/>
        </w:trPr>
        <w:tc>
          <w:tcPr>
            <w:tcW w:w="540" w:type="pct"/>
            <w:shd w:val="clear" w:color="auto" w:fill="auto"/>
            <w:vAlign w:val="center"/>
          </w:tcPr>
          <w:p w14:paraId="48B507DA" w14:textId="179672F1" w:rsidR="00D13592" w:rsidRPr="006E7E84" w:rsidRDefault="00D13592" w:rsidP="00C047EE">
            <w:pPr>
              <w:spacing w:after="0"/>
              <w:jc w:val="center"/>
              <w:rPr>
                <w:rFonts w:cs="Arial"/>
                <w:szCs w:val="16"/>
              </w:rPr>
            </w:pPr>
            <w:r w:rsidRPr="006E7E84">
              <w:rPr>
                <w:rFonts w:cs="Arial"/>
                <w:szCs w:val="16"/>
              </w:rPr>
              <w:t>Math</w:t>
            </w:r>
          </w:p>
        </w:tc>
        <w:tc>
          <w:tcPr>
            <w:tcW w:w="542" w:type="pct"/>
            <w:shd w:val="clear" w:color="auto" w:fill="auto"/>
            <w:vAlign w:val="center"/>
          </w:tcPr>
          <w:p w14:paraId="63FB17C0" w14:textId="2F2DF4DD" w:rsidR="00D13592" w:rsidRPr="006E7E84" w:rsidRDefault="00D13592" w:rsidP="00C047EE">
            <w:pPr>
              <w:spacing w:after="0"/>
              <w:jc w:val="center"/>
              <w:rPr>
                <w:rFonts w:cs="Arial"/>
                <w:szCs w:val="16"/>
              </w:rPr>
            </w:pPr>
            <w:r w:rsidRPr="006E7E84">
              <w:rPr>
                <w:rFonts w:cs="Arial"/>
                <w:szCs w:val="16"/>
              </w:rPr>
              <w:t>C &gt;=</w:t>
            </w:r>
          </w:p>
        </w:tc>
        <w:tc>
          <w:tcPr>
            <w:tcW w:w="542" w:type="pct"/>
            <w:shd w:val="clear" w:color="auto" w:fill="auto"/>
            <w:vAlign w:val="center"/>
          </w:tcPr>
          <w:p w14:paraId="54F8A2F9" w14:textId="5C3A3F72" w:rsidR="00D13592" w:rsidRPr="006E7E84" w:rsidDel="00DE5045" w:rsidRDefault="00D13592" w:rsidP="00C047EE">
            <w:pPr>
              <w:spacing w:after="0"/>
              <w:jc w:val="center"/>
              <w:rPr>
                <w:rFonts w:cs="Arial"/>
                <w:szCs w:val="16"/>
              </w:rPr>
            </w:pPr>
            <w:r w:rsidRPr="006E7E84">
              <w:rPr>
                <w:rFonts w:cs="Arial"/>
                <w:szCs w:val="16"/>
              </w:rPr>
              <w:t>Grade HS</w:t>
            </w:r>
          </w:p>
        </w:tc>
        <w:tc>
          <w:tcPr>
            <w:tcW w:w="563" w:type="pct"/>
            <w:shd w:val="clear" w:color="auto" w:fill="auto"/>
            <w:vAlign w:val="center"/>
          </w:tcPr>
          <w:p w14:paraId="32CB0D9F" w14:textId="65605481" w:rsidR="00D13592" w:rsidRPr="006E7E84" w:rsidRDefault="00D13592" w:rsidP="00C047EE">
            <w:pPr>
              <w:spacing w:after="0"/>
              <w:jc w:val="center"/>
              <w:rPr>
                <w:rFonts w:cs="Arial"/>
                <w:szCs w:val="16"/>
              </w:rPr>
            </w:pPr>
            <w:r w:rsidRPr="006E7E84">
              <w:rPr>
                <w:rFonts w:cs="Arial"/>
                <w:szCs w:val="16"/>
              </w:rPr>
              <w:t>77.51%</w:t>
            </w:r>
          </w:p>
        </w:tc>
        <w:tc>
          <w:tcPr>
            <w:tcW w:w="563" w:type="pct"/>
            <w:vAlign w:val="center"/>
          </w:tcPr>
          <w:p w14:paraId="72012D7E" w14:textId="10B8E7BA" w:rsidR="00D13592" w:rsidRPr="006E7E84" w:rsidRDefault="00D13592" w:rsidP="00C047EE">
            <w:pPr>
              <w:spacing w:after="0"/>
              <w:jc w:val="center"/>
              <w:rPr>
                <w:rFonts w:cs="Arial"/>
                <w:szCs w:val="16"/>
              </w:rPr>
            </w:pPr>
            <w:r w:rsidRPr="006E7E84">
              <w:rPr>
                <w:rFonts w:cs="Arial"/>
                <w:szCs w:val="16"/>
              </w:rPr>
              <w:t>78.01%</w:t>
            </w:r>
          </w:p>
        </w:tc>
        <w:tc>
          <w:tcPr>
            <w:tcW w:w="563" w:type="pct"/>
            <w:vAlign w:val="center"/>
          </w:tcPr>
          <w:p w14:paraId="323B3F79" w14:textId="5FA94A39" w:rsidR="00D13592" w:rsidRPr="006E7E84" w:rsidRDefault="00D13592" w:rsidP="00C047EE">
            <w:pPr>
              <w:spacing w:after="0"/>
              <w:jc w:val="center"/>
              <w:rPr>
                <w:rFonts w:cs="Arial"/>
                <w:szCs w:val="16"/>
              </w:rPr>
            </w:pPr>
            <w:r w:rsidRPr="006E7E84">
              <w:rPr>
                <w:rFonts w:cs="Arial"/>
                <w:szCs w:val="16"/>
              </w:rPr>
              <w:t>78.51%</w:t>
            </w:r>
          </w:p>
        </w:tc>
        <w:tc>
          <w:tcPr>
            <w:tcW w:w="563" w:type="pct"/>
            <w:vAlign w:val="center"/>
          </w:tcPr>
          <w:p w14:paraId="4A1DD032" w14:textId="1316ECD4" w:rsidR="00D13592" w:rsidRPr="006E7E84" w:rsidRDefault="00D13592" w:rsidP="00C047EE">
            <w:pPr>
              <w:spacing w:after="0"/>
              <w:jc w:val="center"/>
              <w:rPr>
                <w:rFonts w:cs="Arial"/>
                <w:szCs w:val="16"/>
              </w:rPr>
            </w:pPr>
            <w:r w:rsidRPr="006E7E84">
              <w:rPr>
                <w:rFonts w:cs="Arial"/>
                <w:szCs w:val="16"/>
              </w:rPr>
              <w:t>79.01%</w:t>
            </w:r>
          </w:p>
        </w:tc>
        <w:tc>
          <w:tcPr>
            <w:tcW w:w="563" w:type="pct"/>
            <w:vAlign w:val="center"/>
          </w:tcPr>
          <w:p w14:paraId="74C8F676" w14:textId="54D72167" w:rsidR="00D13592" w:rsidRPr="006E7E84" w:rsidRDefault="00D13592" w:rsidP="00C047EE">
            <w:pPr>
              <w:spacing w:after="0"/>
              <w:jc w:val="center"/>
              <w:rPr>
                <w:rFonts w:cs="Arial"/>
                <w:szCs w:val="16"/>
              </w:rPr>
            </w:pPr>
            <w:r w:rsidRPr="006E7E84">
              <w:rPr>
                <w:rFonts w:cs="Arial"/>
                <w:szCs w:val="16"/>
              </w:rPr>
              <w:t>79.51%</w:t>
            </w:r>
          </w:p>
        </w:tc>
        <w:tc>
          <w:tcPr>
            <w:tcW w:w="563" w:type="pct"/>
            <w:vAlign w:val="center"/>
          </w:tcPr>
          <w:p w14:paraId="1C6A0417" w14:textId="5A5D31CA" w:rsidR="00D13592" w:rsidRPr="006E7E84" w:rsidRDefault="00D13592" w:rsidP="00C047EE">
            <w:pPr>
              <w:spacing w:after="0"/>
              <w:jc w:val="center"/>
              <w:rPr>
                <w:rFonts w:cs="Arial"/>
                <w:szCs w:val="16"/>
              </w:rPr>
            </w:pPr>
            <w:r w:rsidRPr="006E7E84">
              <w:rPr>
                <w:rFonts w:cs="Arial"/>
                <w:szCs w:val="16"/>
              </w:rPr>
              <w:t>80.01%</w:t>
            </w:r>
          </w:p>
        </w:tc>
      </w:tr>
    </w:tbl>
    <w:p w14:paraId="0A08A514" w14:textId="11B69FC2" w:rsidR="002D145D" w:rsidRPr="006E7E84" w:rsidRDefault="002D145D" w:rsidP="00D73ABA">
      <w:pPr>
        <w:pStyle w:val="Heading4"/>
      </w:pPr>
      <w:r w:rsidRPr="006E7E84">
        <w:t>Targets: Description of Stakeholder Input</w:t>
      </w:r>
    </w:p>
    <w:p w14:paraId="39A36E32" w14:textId="77777777" w:rsidR="00C047EE" w:rsidRPr="007D6196" w:rsidRDefault="002B7490" w:rsidP="00314F94">
      <w:pPr>
        <w:pStyle w:val="ListParagraph"/>
        <w:numPr>
          <w:ilvl w:val="0"/>
          <w:numId w:val="99"/>
        </w:numPr>
        <w:rPr>
          <w:rFonts w:cs="Arial"/>
          <w:szCs w:val="16"/>
        </w:rPr>
      </w:pPr>
      <w:r w:rsidRPr="007D6196">
        <w:rPr>
          <w:rFonts w:cs="Arial"/>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4A15E54A" w14:textId="4DC73773" w:rsidR="00B8751C" w:rsidRPr="006E7E84" w:rsidRDefault="002B7490" w:rsidP="004C1EC0">
      <w:pPr>
        <w:ind w:left="720"/>
        <w:rPr>
          <w:rFonts w:cs="Arial"/>
          <w:szCs w:val="16"/>
        </w:rPr>
      </w:pPr>
      <w:r w:rsidRPr="006E7E84">
        <w:rPr>
          <w:rFonts w:cs="Arial"/>
          <w:szCs w:val="16"/>
        </w:rPr>
        <w:t xml:space="preserve">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w:t>
      </w:r>
      <w:r w:rsidRPr="006E7E84">
        <w:rPr>
          <w:rFonts w:cs="Arial"/>
          <w:szCs w:val="16"/>
        </w:rPr>
        <w:lastRenderedPageBreak/>
        <w:t>met regularly to gauge progress, share strategies, and suggestions. In some cases, surveys were administered to ensure all stakeholders have equal opportunity to be heard and have led to additional initiatives and resources.</w:t>
      </w:r>
    </w:p>
    <w:p w14:paraId="01651096" w14:textId="2F7D8824" w:rsidR="000A5A2E" w:rsidRPr="006E7E84" w:rsidRDefault="00F6415A" w:rsidP="00D73ABA">
      <w:pPr>
        <w:pStyle w:val="Heading4"/>
      </w:pPr>
      <w:r w:rsidRPr="006E7E84">
        <w:t xml:space="preserve">FFY 2020 Data Disaggregation from </w:t>
      </w:r>
      <w:proofErr w:type="spellStart"/>
      <w:r w:rsidRPr="006E7E84">
        <w:t>EDFacts</w:t>
      </w:r>
      <w:proofErr w:type="spellEnd"/>
    </w:p>
    <w:p w14:paraId="42AECFE6" w14:textId="6EA714F6" w:rsidR="00F41DFF" w:rsidRPr="006E7E84" w:rsidRDefault="00A10323" w:rsidP="00C047EE">
      <w:pPr>
        <w:rPr>
          <w:rFonts w:cs="Arial"/>
          <w:b/>
          <w:szCs w:val="16"/>
        </w:rPr>
      </w:pPr>
      <w:r w:rsidRPr="006E7E84">
        <w:rPr>
          <w:rFonts w:cs="Arial"/>
          <w:b/>
          <w:szCs w:val="16"/>
        </w:rPr>
        <w:t>Data Source:</w:t>
      </w:r>
    </w:p>
    <w:p w14:paraId="4E62FCFE" w14:textId="0B9900E2" w:rsidR="00A10323" w:rsidRPr="007D6196" w:rsidRDefault="002B7490" w:rsidP="00314F94">
      <w:pPr>
        <w:pStyle w:val="ListParagraph"/>
        <w:numPr>
          <w:ilvl w:val="0"/>
          <w:numId w:val="100"/>
        </w:numPr>
        <w:rPr>
          <w:rFonts w:cs="Arial"/>
          <w:szCs w:val="16"/>
        </w:rPr>
      </w:pPr>
      <w:r w:rsidRPr="007D6196">
        <w:rPr>
          <w:rFonts w:cs="Arial"/>
          <w:szCs w:val="16"/>
        </w:rPr>
        <w:t>SY 2020-21 Assessment Data Groups - Reading (</w:t>
      </w:r>
      <w:proofErr w:type="spellStart"/>
      <w:r w:rsidRPr="007D6196">
        <w:rPr>
          <w:rFonts w:cs="Arial"/>
          <w:szCs w:val="16"/>
        </w:rPr>
        <w:t>EDFacts</w:t>
      </w:r>
      <w:proofErr w:type="spellEnd"/>
      <w:r w:rsidRPr="007D6196">
        <w:rPr>
          <w:rFonts w:cs="Arial"/>
          <w:szCs w:val="16"/>
        </w:rPr>
        <w:t xml:space="preserve"> file spec FS178; Data Group: 584)</w:t>
      </w:r>
    </w:p>
    <w:p w14:paraId="5E404A07" w14:textId="1ADC0792" w:rsidR="00F41DFF" w:rsidRPr="006E7E84" w:rsidRDefault="00A10323" w:rsidP="00C047EE">
      <w:pPr>
        <w:rPr>
          <w:rFonts w:cs="Arial"/>
          <w:b/>
          <w:szCs w:val="16"/>
        </w:rPr>
      </w:pPr>
      <w:r w:rsidRPr="006E7E84">
        <w:rPr>
          <w:rFonts w:cs="Arial"/>
          <w:b/>
          <w:szCs w:val="16"/>
        </w:rPr>
        <w:t>Date:</w:t>
      </w:r>
    </w:p>
    <w:p w14:paraId="7A786FF9" w14:textId="061B3C97" w:rsidR="00A63347" w:rsidRPr="007D6196" w:rsidRDefault="002B7490" w:rsidP="00314F94">
      <w:pPr>
        <w:pStyle w:val="ListParagraph"/>
        <w:numPr>
          <w:ilvl w:val="0"/>
          <w:numId w:val="101"/>
        </w:numPr>
        <w:rPr>
          <w:rFonts w:cs="Arial"/>
          <w:szCs w:val="16"/>
        </w:rPr>
      </w:pPr>
      <w:r w:rsidRPr="007D6196">
        <w:rPr>
          <w:rFonts w:cs="Arial"/>
          <w:szCs w:val="16"/>
        </w:rPr>
        <w:t>03/03/2022</w:t>
      </w:r>
    </w:p>
    <w:p w14:paraId="603FD8CB" w14:textId="24F5D6ED" w:rsidR="00162F4A" w:rsidRPr="006E7E84" w:rsidRDefault="00162F4A" w:rsidP="00815ACE">
      <w:pPr>
        <w:pStyle w:val="Caption"/>
      </w:pPr>
      <w:r w:rsidRPr="006E7E84">
        <w:t>Reading Assessment Proficiency Data by Grade</w:t>
      </w:r>
      <w:r w:rsidR="0097256F">
        <w:t xml:space="preserve"> (3C)</w:t>
      </w:r>
    </w:p>
    <w:tbl>
      <w:tblPr>
        <w:tblStyle w:val="TableGrid"/>
        <w:tblW w:w="10795" w:type="dxa"/>
        <w:tblLayout w:type="fixed"/>
        <w:tblLook w:val="04A0" w:firstRow="1" w:lastRow="0" w:firstColumn="1" w:lastColumn="0" w:noHBand="0" w:noVBand="1"/>
        <w:tblDescription w:val="Table provides reading assessment proficiency for grades 4, 8, and high school for children with IEPs."/>
      </w:tblPr>
      <w:tblGrid>
        <w:gridCol w:w="2695"/>
        <w:gridCol w:w="2700"/>
        <w:gridCol w:w="2700"/>
        <w:gridCol w:w="2700"/>
      </w:tblGrid>
      <w:tr w:rsidR="006E7E84" w:rsidRPr="006E7E84" w14:paraId="428FB0F7" w14:textId="08DAAE1B" w:rsidTr="00FE7050">
        <w:trPr>
          <w:trHeight w:val="449"/>
        </w:trPr>
        <w:tc>
          <w:tcPr>
            <w:tcW w:w="2695" w:type="dxa"/>
            <w:shd w:val="clear" w:color="auto" w:fill="D9D9D9" w:themeFill="background1" w:themeFillShade="D9"/>
            <w:vAlign w:val="center"/>
          </w:tcPr>
          <w:p w14:paraId="3C2A5B11" w14:textId="73EE4867" w:rsidR="003403B4" w:rsidRPr="006E7E84" w:rsidRDefault="00835EAD" w:rsidP="00FE7050">
            <w:pPr>
              <w:spacing w:after="0" w:line="276" w:lineRule="auto"/>
              <w:jc w:val="center"/>
              <w:rPr>
                <w:b/>
              </w:rPr>
            </w:pPr>
            <w:r w:rsidRPr="006E7E84">
              <w:rPr>
                <w:rFonts w:cs="Arial"/>
                <w:b/>
                <w:bCs/>
                <w:szCs w:val="16"/>
              </w:rPr>
              <w:t>Group</w:t>
            </w:r>
          </w:p>
        </w:tc>
        <w:tc>
          <w:tcPr>
            <w:tcW w:w="2700" w:type="dxa"/>
            <w:shd w:val="clear" w:color="auto" w:fill="D9D9D9" w:themeFill="background1" w:themeFillShade="D9"/>
            <w:vAlign w:val="center"/>
          </w:tcPr>
          <w:p w14:paraId="3FF46CFF" w14:textId="175C9EF7" w:rsidR="003403B4" w:rsidRPr="006E7E84" w:rsidRDefault="003403B4" w:rsidP="00FE7050">
            <w:pPr>
              <w:spacing w:after="0" w:line="276" w:lineRule="auto"/>
              <w:jc w:val="center"/>
              <w:rPr>
                <w:b/>
              </w:rPr>
            </w:pPr>
            <w:r w:rsidRPr="006E7E84">
              <w:rPr>
                <w:rFonts w:cs="Arial"/>
                <w:b/>
                <w:bCs/>
                <w:szCs w:val="16"/>
              </w:rPr>
              <w:t>Grade 4</w:t>
            </w:r>
          </w:p>
        </w:tc>
        <w:tc>
          <w:tcPr>
            <w:tcW w:w="2700" w:type="dxa"/>
            <w:shd w:val="clear" w:color="auto" w:fill="D9D9D9" w:themeFill="background1" w:themeFillShade="D9"/>
            <w:vAlign w:val="center"/>
          </w:tcPr>
          <w:p w14:paraId="1F0659F7" w14:textId="574B33D5" w:rsidR="003403B4" w:rsidRPr="006E7E84" w:rsidRDefault="003403B4" w:rsidP="00FE7050">
            <w:pPr>
              <w:spacing w:after="0" w:line="276" w:lineRule="auto"/>
              <w:jc w:val="center"/>
              <w:rPr>
                <w:b/>
              </w:rPr>
            </w:pPr>
            <w:r w:rsidRPr="006E7E84">
              <w:rPr>
                <w:rFonts w:cs="Arial"/>
                <w:b/>
                <w:bCs/>
                <w:szCs w:val="16"/>
              </w:rPr>
              <w:t>Grade 8</w:t>
            </w:r>
          </w:p>
        </w:tc>
        <w:tc>
          <w:tcPr>
            <w:tcW w:w="2700" w:type="dxa"/>
            <w:shd w:val="clear" w:color="auto" w:fill="D9D9D9" w:themeFill="background1" w:themeFillShade="D9"/>
            <w:vAlign w:val="center"/>
          </w:tcPr>
          <w:p w14:paraId="51B61EB6" w14:textId="7B1064DE" w:rsidR="003403B4" w:rsidRPr="006E7E84" w:rsidRDefault="003403B4" w:rsidP="00FE7050">
            <w:pPr>
              <w:spacing w:after="0" w:line="276" w:lineRule="auto"/>
              <w:jc w:val="center"/>
              <w:rPr>
                <w:b/>
              </w:rPr>
            </w:pPr>
            <w:r w:rsidRPr="006E7E84">
              <w:rPr>
                <w:rFonts w:cs="Arial"/>
                <w:b/>
                <w:bCs/>
                <w:szCs w:val="16"/>
              </w:rPr>
              <w:t>Grade HS</w:t>
            </w:r>
          </w:p>
        </w:tc>
      </w:tr>
      <w:tr w:rsidR="006E7E84" w:rsidRPr="006E7E84" w14:paraId="15C4E2F5" w14:textId="23A18F5A" w:rsidTr="00FE7050">
        <w:trPr>
          <w:trHeight w:val="1961"/>
        </w:trPr>
        <w:tc>
          <w:tcPr>
            <w:tcW w:w="2695" w:type="dxa"/>
            <w:shd w:val="clear" w:color="auto" w:fill="auto"/>
            <w:vAlign w:val="center"/>
          </w:tcPr>
          <w:p w14:paraId="1D84B931" w14:textId="3EFA8778" w:rsidR="005A486A" w:rsidRPr="006E7E84" w:rsidRDefault="005A486A" w:rsidP="00FE7050">
            <w:pPr>
              <w:spacing w:after="0" w:line="276" w:lineRule="auto"/>
              <w:rPr>
                <w:b/>
              </w:rPr>
            </w:pPr>
            <w:r w:rsidRPr="006E7E84">
              <w:rPr>
                <w:rFonts w:cs="Arial"/>
                <w:szCs w:val="16"/>
                <w:shd w:val="clear" w:color="auto" w:fill="FFFFFF"/>
              </w:rPr>
              <w:t xml:space="preserve">a. Children with IEPs who received a valid score and a proficiency level was assigned </w:t>
            </w:r>
            <w:r w:rsidRPr="006E7E84">
              <w:rPr>
                <w:rFonts w:cs="Arial"/>
                <w:szCs w:val="16"/>
              </w:rPr>
              <w:t>for the alternate assessment</w:t>
            </w:r>
          </w:p>
        </w:tc>
        <w:tc>
          <w:tcPr>
            <w:tcW w:w="2700" w:type="dxa"/>
            <w:shd w:val="clear" w:color="auto" w:fill="auto"/>
            <w:vAlign w:val="center"/>
          </w:tcPr>
          <w:p w14:paraId="07C14EE4" w14:textId="28486B47" w:rsidR="005A486A" w:rsidRPr="006E7E84" w:rsidRDefault="005A486A" w:rsidP="00FE7050">
            <w:pPr>
              <w:spacing w:after="0" w:line="276" w:lineRule="auto"/>
              <w:jc w:val="center"/>
              <w:rPr>
                <w:b/>
              </w:rPr>
            </w:pPr>
            <w:r w:rsidRPr="006E7E84">
              <w:t>0</w:t>
            </w:r>
          </w:p>
        </w:tc>
        <w:tc>
          <w:tcPr>
            <w:tcW w:w="2700" w:type="dxa"/>
            <w:shd w:val="clear" w:color="auto" w:fill="auto"/>
            <w:vAlign w:val="center"/>
          </w:tcPr>
          <w:p w14:paraId="1DFC3C40" w14:textId="5833F145" w:rsidR="005A486A" w:rsidRPr="006E7E84" w:rsidRDefault="005A486A" w:rsidP="00FE7050">
            <w:pPr>
              <w:spacing w:after="0" w:line="276" w:lineRule="auto"/>
              <w:jc w:val="center"/>
              <w:rPr>
                <w:b/>
              </w:rPr>
            </w:pPr>
            <w:r w:rsidRPr="006E7E84">
              <w:t>0</w:t>
            </w:r>
          </w:p>
        </w:tc>
        <w:tc>
          <w:tcPr>
            <w:tcW w:w="2700" w:type="dxa"/>
            <w:shd w:val="clear" w:color="auto" w:fill="auto"/>
            <w:vAlign w:val="center"/>
          </w:tcPr>
          <w:p w14:paraId="70A0184C" w14:textId="4D57349B" w:rsidR="005A486A" w:rsidRPr="006E7E84" w:rsidRDefault="005A486A" w:rsidP="00FE7050">
            <w:pPr>
              <w:spacing w:after="0" w:line="276" w:lineRule="auto"/>
              <w:jc w:val="center"/>
              <w:rPr>
                <w:b/>
              </w:rPr>
            </w:pPr>
            <w:r w:rsidRPr="006E7E84">
              <w:t>0</w:t>
            </w:r>
          </w:p>
        </w:tc>
      </w:tr>
      <w:tr w:rsidR="006E7E84" w:rsidRPr="006E7E84" w14:paraId="3BE009FE" w14:textId="48A19AF7" w:rsidTr="00C047EE">
        <w:trPr>
          <w:trHeight w:val="1988"/>
        </w:trPr>
        <w:tc>
          <w:tcPr>
            <w:tcW w:w="2695" w:type="dxa"/>
            <w:shd w:val="clear" w:color="auto" w:fill="auto"/>
            <w:vAlign w:val="center"/>
          </w:tcPr>
          <w:p w14:paraId="3D43994F" w14:textId="3B46415A" w:rsidR="005A486A" w:rsidRPr="006E7E84" w:rsidRDefault="003403B4" w:rsidP="00FE7050">
            <w:pPr>
              <w:spacing w:after="0" w:line="276" w:lineRule="auto"/>
              <w:rPr>
                <w:b/>
              </w:rPr>
            </w:pPr>
            <w:r w:rsidRPr="006E7E84">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6E7E84" w:rsidRDefault="005A486A" w:rsidP="00FE7050">
            <w:pPr>
              <w:spacing w:after="0" w:line="276" w:lineRule="auto"/>
              <w:jc w:val="center"/>
              <w:rPr>
                <w:b/>
              </w:rPr>
            </w:pPr>
            <w:r w:rsidRPr="006E7E84">
              <w:t>0</w:t>
            </w:r>
          </w:p>
        </w:tc>
        <w:tc>
          <w:tcPr>
            <w:tcW w:w="2700" w:type="dxa"/>
            <w:shd w:val="clear" w:color="auto" w:fill="auto"/>
            <w:vAlign w:val="center"/>
          </w:tcPr>
          <w:p w14:paraId="47E25E0D" w14:textId="60D76349" w:rsidR="005A486A" w:rsidRPr="006E7E84" w:rsidRDefault="005A486A" w:rsidP="00FE7050">
            <w:pPr>
              <w:spacing w:after="0" w:line="276" w:lineRule="auto"/>
              <w:jc w:val="center"/>
              <w:rPr>
                <w:b/>
              </w:rPr>
            </w:pPr>
            <w:r w:rsidRPr="006E7E84">
              <w:t>0</w:t>
            </w:r>
          </w:p>
        </w:tc>
        <w:tc>
          <w:tcPr>
            <w:tcW w:w="2700" w:type="dxa"/>
            <w:shd w:val="clear" w:color="auto" w:fill="auto"/>
            <w:vAlign w:val="center"/>
          </w:tcPr>
          <w:p w14:paraId="523F025F" w14:textId="6533B4FD" w:rsidR="005A486A" w:rsidRPr="006E7E84" w:rsidRDefault="005A486A" w:rsidP="00FE7050">
            <w:pPr>
              <w:spacing w:after="0" w:line="276" w:lineRule="auto"/>
              <w:jc w:val="center"/>
              <w:rPr>
                <w:b/>
              </w:rPr>
            </w:pPr>
            <w:r w:rsidRPr="006E7E84">
              <w:t>0</w:t>
            </w:r>
          </w:p>
        </w:tc>
      </w:tr>
    </w:tbl>
    <w:p w14:paraId="31899BDA" w14:textId="6FB4796C" w:rsidR="00F41DFF" w:rsidRPr="006E7E84" w:rsidRDefault="00BD7229" w:rsidP="00C047EE">
      <w:pPr>
        <w:spacing w:before="240"/>
        <w:rPr>
          <w:rFonts w:cs="Arial"/>
          <w:b/>
          <w:szCs w:val="16"/>
        </w:rPr>
      </w:pPr>
      <w:r w:rsidRPr="006E7E84">
        <w:rPr>
          <w:rFonts w:cs="Arial"/>
          <w:b/>
          <w:szCs w:val="16"/>
        </w:rPr>
        <w:t>Data Source:</w:t>
      </w:r>
    </w:p>
    <w:p w14:paraId="6AEE1AE1" w14:textId="785594EB" w:rsidR="00BD7229" w:rsidRPr="007D6196" w:rsidRDefault="002B7490" w:rsidP="00314F94">
      <w:pPr>
        <w:pStyle w:val="ListParagraph"/>
        <w:numPr>
          <w:ilvl w:val="0"/>
          <w:numId w:val="102"/>
        </w:numPr>
        <w:rPr>
          <w:rFonts w:cs="Arial"/>
          <w:szCs w:val="16"/>
        </w:rPr>
      </w:pPr>
      <w:r w:rsidRPr="007D6196">
        <w:rPr>
          <w:rFonts w:cs="Arial"/>
          <w:szCs w:val="16"/>
        </w:rPr>
        <w:t>SY 2020-21 Assessment Data Groups - Math (</w:t>
      </w:r>
      <w:proofErr w:type="spellStart"/>
      <w:r w:rsidRPr="007D6196">
        <w:rPr>
          <w:rFonts w:cs="Arial"/>
          <w:szCs w:val="16"/>
        </w:rPr>
        <w:t>EDFacts</w:t>
      </w:r>
      <w:proofErr w:type="spellEnd"/>
      <w:r w:rsidRPr="007D6196">
        <w:rPr>
          <w:rFonts w:cs="Arial"/>
          <w:szCs w:val="16"/>
        </w:rPr>
        <w:t xml:space="preserve"> file spec FS175; Data Group: 583)</w:t>
      </w:r>
    </w:p>
    <w:p w14:paraId="59F25B6E" w14:textId="61993D17" w:rsidR="00F41DFF" w:rsidRPr="006E7E84" w:rsidRDefault="00BD7229" w:rsidP="00C047EE">
      <w:pPr>
        <w:rPr>
          <w:rFonts w:cs="Arial"/>
          <w:b/>
          <w:szCs w:val="16"/>
        </w:rPr>
      </w:pPr>
      <w:r w:rsidRPr="006E7E84">
        <w:rPr>
          <w:rFonts w:cs="Arial"/>
          <w:b/>
          <w:szCs w:val="16"/>
        </w:rPr>
        <w:t>Date:</w:t>
      </w:r>
    </w:p>
    <w:p w14:paraId="4B8A206D" w14:textId="36B0E5E5" w:rsidR="00BD7229" w:rsidRPr="007D6196" w:rsidRDefault="002B7490" w:rsidP="00314F94">
      <w:pPr>
        <w:pStyle w:val="ListParagraph"/>
        <w:numPr>
          <w:ilvl w:val="0"/>
          <w:numId w:val="103"/>
        </w:numPr>
        <w:rPr>
          <w:rFonts w:cs="Arial"/>
          <w:szCs w:val="16"/>
        </w:rPr>
      </w:pPr>
      <w:r w:rsidRPr="007D6196">
        <w:rPr>
          <w:rFonts w:cs="Arial"/>
          <w:szCs w:val="16"/>
        </w:rPr>
        <w:t>03/03/2022</w:t>
      </w:r>
    </w:p>
    <w:p w14:paraId="3365AF3D" w14:textId="06E1D907" w:rsidR="00162F4A" w:rsidRPr="006E7E84" w:rsidRDefault="00162F4A" w:rsidP="00815ACE">
      <w:pPr>
        <w:pStyle w:val="Caption"/>
      </w:pPr>
      <w:r w:rsidRPr="006E7E84">
        <w:t>Math Assessment Proficiency Data by Grade</w:t>
      </w:r>
      <w:r w:rsidR="0097256F">
        <w:t xml:space="preserve"> (3C)</w:t>
      </w:r>
    </w:p>
    <w:tbl>
      <w:tblPr>
        <w:tblStyle w:val="TableGrid"/>
        <w:tblW w:w="10795" w:type="dxa"/>
        <w:tblLayout w:type="fixed"/>
        <w:tblLook w:val="04A0" w:firstRow="1" w:lastRow="0" w:firstColumn="1" w:lastColumn="0" w:noHBand="0" w:noVBand="1"/>
        <w:tblDescription w:val="Table provides math assessment proficiency for grades 4, 8, and high school for children with IEPs."/>
      </w:tblPr>
      <w:tblGrid>
        <w:gridCol w:w="2695"/>
        <w:gridCol w:w="2700"/>
        <w:gridCol w:w="2700"/>
        <w:gridCol w:w="2700"/>
      </w:tblGrid>
      <w:tr w:rsidR="006E7E84" w:rsidRPr="006E7E84" w14:paraId="62DE1B1F" w14:textId="77777777" w:rsidTr="00C047EE">
        <w:trPr>
          <w:trHeight w:val="432"/>
          <w:tblHeader/>
        </w:trPr>
        <w:tc>
          <w:tcPr>
            <w:tcW w:w="2695" w:type="dxa"/>
            <w:shd w:val="clear" w:color="auto" w:fill="D9D9D9" w:themeFill="background1" w:themeFillShade="D9"/>
            <w:vAlign w:val="center"/>
          </w:tcPr>
          <w:p w14:paraId="190C09EE" w14:textId="0BB3377D" w:rsidR="0084736E" w:rsidRPr="006E7E84" w:rsidRDefault="00835EAD" w:rsidP="00C047EE">
            <w:pPr>
              <w:spacing w:after="0" w:line="276" w:lineRule="auto"/>
              <w:jc w:val="center"/>
              <w:rPr>
                <w:b/>
              </w:rPr>
            </w:pPr>
            <w:r w:rsidRPr="006E7E84">
              <w:rPr>
                <w:rFonts w:cs="Arial"/>
                <w:b/>
                <w:bCs/>
                <w:szCs w:val="16"/>
              </w:rPr>
              <w:t>Group</w:t>
            </w:r>
          </w:p>
        </w:tc>
        <w:tc>
          <w:tcPr>
            <w:tcW w:w="2700" w:type="dxa"/>
            <w:shd w:val="clear" w:color="auto" w:fill="D9D9D9" w:themeFill="background1" w:themeFillShade="D9"/>
            <w:vAlign w:val="center"/>
          </w:tcPr>
          <w:p w14:paraId="7DE5B404" w14:textId="75646743" w:rsidR="0084736E" w:rsidRPr="006E7E84" w:rsidRDefault="0084736E" w:rsidP="00C047EE">
            <w:pPr>
              <w:spacing w:after="0" w:line="276" w:lineRule="auto"/>
              <w:jc w:val="center"/>
              <w:rPr>
                <w:b/>
              </w:rPr>
            </w:pPr>
            <w:r w:rsidRPr="006E7E84">
              <w:rPr>
                <w:rFonts w:cs="Arial"/>
                <w:b/>
                <w:bCs/>
                <w:szCs w:val="16"/>
              </w:rPr>
              <w:t>Grade 4</w:t>
            </w:r>
          </w:p>
        </w:tc>
        <w:tc>
          <w:tcPr>
            <w:tcW w:w="2700" w:type="dxa"/>
            <w:shd w:val="clear" w:color="auto" w:fill="D9D9D9" w:themeFill="background1" w:themeFillShade="D9"/>
            <w:vAlign w:val="center"/>
          </w:tcPr>
          <w:p w14:paraId="7038055F" w14:textId="27DA5FAA" w:rsidR="0084736E" w:rsidRPr="006E7E84" w:rsidRDefault="0084736E" w:rsidP="00C047EE">
            <w:pPr>
              <w:spacing w:after="0" w:line="276" w:lineRule="auto"/>
              <w:jc w:val="center"/>
              <w:rPr>
                <w:b/>
              </w:rPr>
            </w:pPr>
            <w:r w:rsidRPr="006E7E84">
              <w:rPr>
                <w:rFonts w:cs="Arial"/>
                <w:b/>
                <w:bCs/>
                <w:szCs w:val="16"/>
              </w:rPr>
              <w:t>Grade 8</w:t>
            </w:r>
          </w:p>
        </w:tc>
        <w:tc>
          <w:tcPr>
            <w:tcW w:w="2700" w:type="dxa"/>
            <w:shd w:val="clear" w:color="auto" w:fill="D9D9D9" w:themeFill="background1" w:themeFillShade="D9"/>
            <w:vAlign w:val="center"/>
          </w:tcPr>
          <w:p w14:paraId="3032FA89" w14:textId="7F94CD01" w:rsidR="0084736E" w:rsidRPr="006E7E84" w:rsidRDefault="0084736E" w:rsidP="00C047EE">
            <w:pPr>
              <w:spacing w:after="0" w:line="276" w:lineRule="auto"/>
              <w:jc w:val="center"/>
              <w:rPr>
                <w:b/>
              </w:rPr>
            </w:pPr>
            <w:r w:rsidRPr="006E7E84">
              <w:rPr>
                <w:rFonts w:cs="Arial"/>
                <w:b/>
                <w:bCs/>
                <w:szCs w:val="16"/>
              </w:rPr>
              <w:t>Grade HS</w:t>
            </w:r>
          </w:p>
        </w:tc>
      </w:tr>
      <w:tr w:rsidR="006E7E84" w:rsidRPr="006E7E84" w14:paraId="33333988" w14:textId="77777777" w:rsidTr="00C047EE">
        <w:tc>
          <w:tcPr>
            <w:tcW w:w="2695" w:type="dxa"/>
            <w:shd w:val="clear" w:color="auto" w:fill="auto"/>
            <w:vAlign w:val="center"/>
          </w:tcPr>
          <w:p w14:paraId="7DC36ACB" w14:textId="0A898DD0" w:rsidR="00660173" w:rsidRPr="006E7E84" w:rsidRDefault="00660173" w:rsidP="00C047EE">
            <w:pPr>
              <w:spacing w:after="0" w:line="276" w:lineRule="auto"/>
              <w:rPr>
                <w:b/>
              </w:rPr>
            </w:pPr>
            <w:r w:rsidRPr="006E7E84">
              <w:rPr>
                <w:rFonts w:cs="Arial"/>
                <w:szCs w:val="16"/>
                <w:shd w:val="clear" w:color="auto" w:fill="FFFFFF"/>
              </w:rPr>
              <w:t xml:space="preserve">a. Children with IEPs who received a valid score and a proficiency level was assigned </w:t>
            </w:r>
            <w:r w:rsidRPr="006E7E84">
              <w:rPr>
                <w:rFonts w:cs="Arial"/>
                <w:szCs w:val="16"/>
              </w:rPr>
              <w:t xml:space="preserve">for </w:t>
            </w:r>
            <w:r w:rsidRPr="006E7E84">
              <w:rPr>
                <w:rFonts w:cs="Arial"/>
                <w:szCs w:val="16"/>
              </w:rPr>
              <w:lastRenderedPageBreak/>
              <w:t>the alternate assessment</w:t>
            </w:r>
          </w:p>
        </w:tc>
        <w:tc>
          <w:tcPr>
            <w:tcW w:w="2700" w:type="dxa"/>
            <w:shd w:val="clear" w:color="auto" w:fill="auto"/>
            <w:vAlign w:val="center"/>
          </w:tcPr>
          <w:p w14:paraId="4CE4FB96" w14:textId="01B59A61" w:rsidR="00660173" w:rsidRPr="006E7E84" w:rsidRDefault="00660173" w:rsidP="00C047EE">
            <w:pPr>
              <w:spacing w:after="0" w:line="276" w:lineRule="auto"/>
              <w:jc w:val="center"/>
              <w:rPr>
                <w:b/>
              </w:rPr>
            </w:pPr>
            <w:r w:rsidRPr="006E7E84">
              <w:lastRenderedPageBreak/>
              <w:t>859</w:t>
            </w:r>
          </w:p>
        </w:tc>
        <w:tc>
          <w:tcPr>
            <w:tcW w:w="2700" w:type="dxa"/>
            <w:shd w:val="clear" w:color="auto" w:fill="auto"/>
            <w:vAlign w:val="center"/>
          </w:tcPr>
          <w:p w14:paraId="07947D7E" w14:textId="50342908" w:rsidR="00660173" w:rsidRPr="006E7E84" w:rsidRDefault="00660173" w:rsidP="00C047EE">
            <w:pPr>
              <w:spacing w:after="0" w:line="276" w:lineRule="auto"/>
              <w:jc w:val="center"/>
              <w:rPr>
                <w:b/>
              </w:rPr>
            </w:pPr>
            <w:r w:rsidRPr="006E7E84">
              <w:t>919</w:t>
            </w:r>
          </w:p>
        </w:tc>
        <w:tc>
          <w:tcPr>
            <w:tcW w:w="2700" w:type="dxa"/>
            <w:shd w:val="clear" w:color="auto" w:fill="auto"/>
            <w:vAlign w:val="center"/>
          </w:tcPr>
          <w:p w14:paraId="669EEFA3" w14:textId="194786E9" w:rsidR="00660173" w:rsidRPr="006E7E84" w:rsidRDefault="00660173" w:rsidP="00C047EE">
            <w:pPr>
              <w:spacing w:after="0" w:line="276" w:lineRule="auto"/>
              <w:jc w:val="center"/>
              <w:rPr>
                <w:b/>
              </w:rPr>
            </w:pPr>
            <w:r w:rsidRPr="006E7E84">
              <w:t>898</w:t>
            </w:r>
          </w:p>
        </w:tc>
      </w:tr>
      <w:tr w:rsidR="006E7E84" w:rsidRPr="006E7E84" w14:paraId="7E58498F" w14:textId="77777777" w:rsidTr="00C047EE">
        <w:trPr>
          <w:trHeight w:val="1961"/>
        </w:trPr>
        <w:tc>
          <w:tcPr>
            <w:tcW w:w="2695" w:type="dxa"/>
            <w:shd w:val="clear" w:color="auto" w:fill="auto"/>
            <w:vAlign w:val="center"/>
          </w:tcPr>
          <w:p w14:paraId="4F32E0BC" w14:textId="3249207F" w:rsidR="00660173" w:rsidRPr="006E7E84" w:rsidRDefault="00660173" w:rsidP="00C047EE">
            <w:pPr>
              <w:spacing w:after="0" w:line="276" w:lineRule="auto"/>
              <w:rPr>
                <w:b/>
              </w:rPr>
            </w:pPr>
            <w:r w:rsidRPr="006E7E84">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6E7E84" w:rsidRDefault="00660173" w:rsidP="00C047EE">
            <w:pPr>
              <w:spacing w:after="0" w:line="276" w:lineRule="auto"/>
              <w:jc w:val="center"/>
              <w:rPr>
                <w:b/>
              </w:rPr>
            </w:pPr>
            <w:r w:rsidRPr="006E7E84">
              <w:t>766</w:t>
            </w:r>
          </w:p>
        </w:tc>
        <w:tc>
          <w:tcPr>
            <w:tcW w:w="2700" w:type="dxa"/>
            <w:shd w:val="clear" w:color="auto" w:fill="auto"/>
            <w:vAlign w:val="center"/>
          </w:tcPr>
          <w:p w14:paraId="6F4311F8" w14:textId="57481F37" w:rsidR="00660173" w:rsidRPr="006E7E84" w:rsidRDefault="00660173" w:rsidP="00C047EE">
            <w:pPr>
              <w:spacing w:after="0" w:line="276" w:lineRule="auto"/>
              <w:jc w:val="center"/>
              <w:rPr>
                <w:b/>
              </w:rPr>
            </w:pPr>
            <w:r w:rsidRPr="006E7E84">
              <w:t>753</w:t>
            </w:r>
          </w:p>
        </w:tc>
        <w:tc>
          <w:tcPr>
            <w:tcW w:w="2700" w:type="dxa"/>
            <w:shd w:val="clear" w:color="auto" w:fill="auto"/>
            <w:vAlign w:val="center"/>
          </w:tcPr>
          <w:p w14:paraId="7B154B01" w14:textId="7C106CF5" w:rsidR="00660173" w:rsidRPr="006E7E84" w:rsidRDefault="00660173" w:rsidP="00C047EE">
            <w:pPr>
              <w:spacing w:after="0" w:line="276" w:lineRule="auto"/>
              <w:jc w:val="center"/>
              <w:rPr>
                <w:b/>
              </w:rPr>
            </w:pPr>
            <w:r w:rsidRPr="006E7E84">
              <w:t>696</w:t>
            </w:r>
          </w:p>
        </w:tc>
      </w:tr>
    </w:tbl>
    <w:p w14:paraId="0E0A129D" w14:textId="50E2D641" w:rsidR="00BD7229" w:rsidRPr="006E7E84" w:rsidRDefault="00F6415A" w:rsidP="00815ACE">
      <w:pPr>
        <w:pStyle w:val="Caption"/>
      </w:pPr>
      <w:r w:rsidRPr="006E7E84">
        <w:t>FFY 2020 SPP/APR Data: Reading Assessment</w:t>
      </w:r>
      <w:r w:rsidR="00C578AE">
        <w:t xml:space="preserve"> (3C)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939"/>
        <w:gridCol w:w="1126"/>
        <w:gridCol w:w="1890"/>
        <w:gridCol w:w="1890"/>
        <w:gridCol w:w="872"/>
        <w:gridCol w:w="1030"/>
        <w:gridCol w:w="876"/>
        <w:gridCol w:w="950"/>
        <w:gridCol w:w="1217"/>
      </w:tblGrid>
      <w:tr w:rsidR="006E7E84" w:rsidRPr="006E7E84" w14:paraId="73241F59" w14:textId="77777777" w:rsidTr="0023207C">
        <w:trPr>
          <w:tblHeader/>
        </w:trPr>
        <w:tc>
          <w:tcPr>
            <w:tcW w:w="435" w:type="pct"/>
            <w:shd w:val="clear" w:color="auto" w:fill="D9D9D9" w:themeFill="background1" w:themeFillShade="D9"/>
            <w:vAlign w:val="center"/>
          </w:tcPr>
          <w:p w14:paraId="3378C689" w14:textId="77777777" w:rsidR="00C5757B" w:rsidRPr="006E7E84" w:rsidRDefault="00C5757B" w:rsidP="0023207C">
            <w:pPr>
              <w:spacing w:after="0"/>
              <w:jc w:val="center"/>
              <w:rPr>
                <w:b/>
              </w:rPr>
            </w:pPr>
            <w:r w:rsidRPr="006E7E84">
              <w:rPr>
                <w:b/>
              </w:rPr>
              <w:t>Group</w:t>
            </w:r>
          </w:p>
        </w:tc>
        <w:tc>
          <w:tcPr>
            <w:tcW w:w="522" w:type="pct"/>
            <w:shd w:val="clear" w:color="auto" w:fill="D9D9D9" w:themeFill="background1" w:themeFillShade="D9"/>
            <w:vAlign w:val="center"/>
          </w:tcPr>
          <w:p w14:paraId="34B96D6C" w14:textId="2E1BB354" w:rsidR="00C5757B" w:rsidRPr="006E7E84" w:rsidRDefault="00C5757B" w:rsidP="0023207C">
            <w:pPr>
              <w:spacing w:after="0"/>
              <w:jc w:val="center"/>
              <w:rPr>
                <w:b/>
              </w:rPr>
            </w:pPr>
            <w:r w:rsidRPr="006E7E84">
              <w:rPr>
                <w:b/>
              </w:rPr>
              <w:t>Group Name</w:t>
            </w:r>
          </w:p>
        </w:tc>
        <w:tc>
          <w:tcPr>
            <w:tcW w:w="876" w:type="pct"/>
            <w:shd w:val="clear" w:color="auto" w:fill="D9D9D9" w:themeFill="background1" w:themeFillShade="D9"/>
            <w:vAlign w:val="center"/>
          </w:tcPr>
          <w:p w14:paraId="3B6543C5" w14:textId="7737694B" w:rsidR="00C5757B" w:rsidRPr="006E7E84" w:rsidRDefault="00C5757B" w:rsidP="0023207C">
            <w:pPr>
              <w:spacing w:after="0"/>
              <w:jc w:val="center"/>
              <w:rPr>
                <w:b/>
              </w:rPr>
            </w:pPr>
            <w:r w:rsidRPr="006E7E84">
              <w:rPr>
                <w:b/>
              </w:rPr>
              <w:t xml:space="preserve">Number of Children with IEPs Scoring </w:t>
            </w:r>
            <w:proofErr w:type="gramStart"/>
            <w:r w:rsidRPr="006E7E84">
              <w:rPr>
                <w:b/>
              </w:rPr>
              <w:t>At</w:t>
            </w:r>
            <w:proofErr w:type="gramEnd"/>
            <w:r w:rsidRPr="006E7E84">
              <w:rPr>
                <w:b/>
              </w:rPr>
              <w:t xml:space="preserve"> or Above Proficient Against Alternate Academic Achievement Standards</w:t>
            </w:r>
          </w:p>
        </w:tc>
        <w:tc>
          <w:tcPr>
            <w:tcW w:w="876" w:type="pct"/>
            <w:shd w:val="clear" w:color="auto" w:fill="D9D9D9" w:themeFill="background1" w:themeFillShade="D9"/>
            <w:vAlign w:val="center"/>
          </w:tcPr>
          <w:p w14:paraId="36E5B9C7" w14:textId="23CF68D2" w:rsidR="00C5757B" w:rsidRPr="006E7E84" w:rsidRDefault="00C5757B" w:rsidP="0023207C">
            <w:pPr>
              <w:spacing w:after="0"/>
              <w:jc w:val="center"/>
              <w:rPr>
                <w:b/>
              </w:rPr>
            </w:pPr>
            <w:r w:rsidRPr="006E7E84">
              <w:rPr>
                <w:b/>
              </w:rPr>
              <w:t>Number of Children with IEPs who Received a Valid Score and for whom a Proficiency Level was Assigned for the Alternate Assessment</w:t>
            </w:r>
          </w:p>
        </w:tc>
        <w:tc>
          <w:tcPr>
            <w:tcW w:w="404" w:type="pct"/>
            <w:shd w:val="clear" w:color="auto" w:fill="D9D9D9" w:themeFill="background1" w:themeFillShade="D9"/>
            <w:vAlign w:val="center"/>
          </w:tcPr>
          <w:p w14:paraId="2614DFA3" w14:textId="108CEA21" w:rsidR="00C5757B" w:rsidRPr="00572E2A" w:rsidRDefault="00C5757B" w:rsidP="0023207C">
            <w:pPr>
              <w:spacing w:after="0"/>
              <w:jc w:val="center"/>
              <w:rPr>
                <w:b/>
              </w:rPr>
            </w:pPr>
            <w:r w:rsidRPr="00572E2A">
              <w:rPr>
                <w:b/>
              </w:rPr>
              <w:t>FFY 2019 Data</w:t>
            </w:r>
          </w:p>
        </w:tc>
        <w:tc>
          <w:tcPr>
            <w:tcW w:w="477" w:type="pct"/>
            <w:shd w:val="clear" w:color="auto" w:fill="D9D9D9" w:themeFill="background1" w:themeFillShade="D9"/>
            <w:vAlign w:val="center"/>
          </w:tcPr>
          <w:p w14:paraId="09D4299D" w14:textId="08FEB7A7" w:rsidR="00C5757B" w:rsidRPr="00572E2A" w:rsidRDefault="00C5757B" w:rsidP="0023207C">
            <w:pPr>
              <w:spacing w:after="0"/>
              <w:jc w:val="center"/>
              <w:rPr>
                <w:b/>
              </w:rPr>
            </w:pPr>
            <w:r w:rsidRPr="00572E2A">
              <w:rPr>
                <w:b/>
              </w:rPr>
              <w:t>FFY 2020 Target</w:t>
            </w:r>
          </w:p>
        </w:tc>
        <w:tc>
          <w:tcPr>
            <w:tcW w:w="406" w:type="pct"/>
            <w:shd w:val="clear" w:color="auto" w:fill="D9D9D9" w:themeFill="background1" w:themeFillShade="D9"/>
            <w:vAlign w:val="center"/>
          </w:tcPr>
          <w:p w14:paraId="2B4D24C2" w14:textId="2ED835F8" w:rsidR="00C5757B" w:rsidRPr="00572E2A" w:rsidRDefault="00C5757B" w:rsidP="0023207C">
            <w:pPr>
              <w:spacing w:after="0"/>
              <w:jc w:val="center"/>
              <w:rPr>
                <w:b/>
              </w:rPr>
            </w:pPr>
            <w:r w:rsidRPr="00572E2A">
              <w:rPr>
                <w:b/>
              </w:rPr>
              <w:t>FFY 2020 Data</w:t>
            </w:r>
          </w:p>
        </w:tc>
        <w:tc>
          <w:tcPr>
            <w:tcW w:w="440" w:type="pct"/>
            <w:shd w:val="clear" w:color="auto" w:fill="D9D9D9" w:themeFill="background1" w:themeFillShade="D9"/>
            <w:vAlign w:val="center"/>
          </w:tcPr>
          <w:p w14:paraId="4987ED35" w14:textId="77777777" w:rsidR="00C5757B" w:rsidRPr="00572E2A" w:rsidRDefault="00C5757B" w:rsidP="0023207C">
            <w:pPr>
              <w:spacing w:after="0"/>
              <w:jc w:val="center"/>
              <w:rPr>
                <w:b/>
              </w:rPr>
            </w:pPr>
            <w:r w:rsidRPr="00572E2A">
              <w:rPr>
                <w:b/>
              </w:rPr>
              <w:t>Status</w:t>
            </w:r>
          </w:p>
        </w:tc>
        <w:tc>
          <w:tcPr>
            <w:tcW w:w="564" w:type="pct"/>
            <w:shd w:val="clear" w:color="auto" w:fill="D9D9D9" w:themeFill="background1" w:themeFillShade="D9"/>
            <w:vAlign w:val="center"/>
          </w:tcPr>
          <w:p w14:paraId="7EA3F612" w14:textId="77777777" w:rsidR="00C5757B" w:rsidRPr="006E7E84" w:rsidRDefault="00C5757B" w:rsidP="0023207C">
            <w:pPr>
              <w:spacing w:after="0"/>
              <w:jc w:val="center"/>
              <w:rPr>
                <w:b/>
              </w:rPr>
            </w:pPr>
            <w:r w:rsidRPr="006E7E84">
              <w:rPr>
                <w:b/>
              </w:rPr>
              <w:t>Slippage</w:t>
            </w:r>
          </w:p>
        </w:tc>
      </w:tr>
      <w:tr w:rsidR="00572E2A" w:rsidRPr="006E7E84" w14:paraId="318B8AAD" w14:textId="77777777" w:rsidTr="0023207C">
        <w:trPr>
          <w:trHeight w:val="432"/>
        </w:trPr>
        <w:tc>
          <w:tcPr>
            <w:tcW w:w="435" w:type="pct"/>
            <w:shd w:val="clear" w:color="auto" w:fill="auto"/>
            <w:vAlign w:val="center"/>
          </w:tcPr>
          <w:p w14:paraId="4BD3A1A0" w14:textId="77777777" w:rsidR="00572E2A" w:rsidRPr="006E7E84" w:rsidRDefault="00572E2A" w:rsidP="00572E2A">
            <w:pPr>
              <w:pStyle w:val="Default"/>
              <w:spacing w:line="276" w:lineRule="auto"/>
              <w:jc w:val="center"/>
              <w:rPr>
                <w:rFonts w:eastAsiaTheme="minorHAnsi"/>
                <w:color w:val="auto"/>
              </w:rPr>
            </w:pPr>
            <w:r w:rsidRPr="006E7E84">
              <w:rPr>
                <w:b/>
                <w:color w:val="auto"/>
              </w:rPr>
              <w:t>A</w:t>
            </w:r>
          </w:p>
        </w:tc>
        <w:tc>
          <w:tcPr>
            <w:tcW w:w="522" w:type="pct"/>
            <w:shd w:val="clear" w:color="auto" w:fill="auto"/>
            <w:vAlign w:val="center"/>
          </w:tcPr>
          <w:p w14:paraId="2D59B69E" w14:textId="71850FD0" w:rsidR="00572E2A" w:rsidRPr="006E7E84" w:rsidDel="00DE5045" w:rsidRDefault="00572E2A" w:rsidP="00572E2A">
            <w:pPr>
              <w:spacing w:after="0"/>
              <w:jc w:val="center"/>
              <w:rPr>
                <w:rFonts w:cs="Arial"/>
                <w:szCs w:val="16"/>
              </w:rPr>
            </w:pPr>
            <w:r w:rsidRPr="006E7E84">
              <w:rPr>
                <w:rFonts w:cs="Arial"/>
                <w:szCs w:val="16"/>
              </w:rPr>
              <w:t>Grade 4</w:t>
            </w:r>
          </w:p>
        </w:tc>
        <w:tc>
          <w:tcPr>
            <w:tcW w:w="876" w:type="pct"/>
            <w:shd w:val="clear" w:color="auto" w:fill="auto"/>
            <w:vAlign w:val="center"/>
          </w:tcPr>
          <w:p w14:paraId="10EC608D" w14:textId="576E5156" w:rsidR="00572E2A" w:rsidRPr="006E7E84" w:rsidRDefault="00572E2A" w:rsidP="00572E2A">
            <w:pPr>
              <w:spacing w:after="0"/>
              <w:jc w:val="center"/>
              <w:rPr>
                <w:rFonts w:cs="Arial"/>
                <w:szCs w:val="16"/>
              </w:rPr>
            </w:pPr>
            <w:r w:rsidRPr="006E7E84">
              <w:rPr>
                <w:rFonts w:cs="Arial"/>
                <w:szCs w:val="16"/>
              </w:rPr>
              <w:t>0</w:t>
            </w:r>
          </w:p>
        </w:tc>
        <w:tc>
          <w:tcPr>
            <w:tcW w:w="876" w:type="pct"/>
            <w:shd w:val="clear" w:color="auto" w:fill="auto"/>
            <w:vAlign w:val="center"/>
          </w:tcPr>
          <w:p w14:paraId="5740CA80" w14:textId="7FBF02A9" w:rsidR="00572E2A" w:rsidRPr="006E7E84" w:rsidRDefault="00572E2A" w:rsidP="00572E2A">
            <w:pPr>
              <w:spacing w:after="0"/>
              <w:jc w:val="center"/>
              <w:rPr>
                <w:rFonts w:cs="Arial"/>
                <w:szCs w:val="16"/>
              </w:rPr>
            </w:pPr>
            <w:r w:rsidRPr="006E7E84">
              <w:rPr>
                <w:rFonts w:cs="Arial"/>
                <w:szCs w:val="16"/>
              </w:rPr>
              <w:t>0</w:t>
            </w:r>
          </w:p>
        </w:tc>
        <w:tc>
          <w:tcPr>
            <w:tcW w:w="404" w:type="pct"/>
            <w:shd w:val="clear" w:color="auto" w:fill="auto"/>
            <w:vAlign w:val="center"/>
          </w:tcPr>
          <w:p w14:paraId="6BA58310" w14:textId="438374DC" w:rsidR="00572E2A" w:rsidRPr="006E7E84" w:rsidRDefault="00572E2A" w:rsidP="00572E2A">
            <w:pPr>
              <w:spacing w:after="0"/>
              <w:jc w:val="center"/>
              <w:rPr>
                <w:rFonts w:cs="Arial"/>
                <w:szCs w:val="16"/>
              </w:rPr>
            </w:pPr>
            <w:r>
              <w:rPr>
                <w:rFonts w:cs="Arial"/>
                <w:color w:val="000000" w:themeColor="text1"/>
                <w:szCs w:val="24"/>
              </w:rPr>
              <w:t>N/A</w:t>
            </w:r>
          </w:p>
        </w:tc>
        <w:tc>
          <w:tcPr>
            <w:tcW w:w="477" w:type="pct"/>
            <w:shd w:val="clear" w:color="auto" w:fill="auto"/>
            <w:vAlign w:val="center"/>
          </w:tcPr>
          <w:p w14:paraId="47A1F29A" w14:textId="0E923F64" w:rsidR="00572E2A" w:rsidRPr="006E7E84" w:rsidRDefault="00572E2A" w:rsidP="00572E2A">
            <w:pPr>
              <w:spacing w:after="0"/>
              <w:jc w:val="center"/>
              <w:rPr>
                <w:rFonts w:cs="Arial"/>
                <w:szCs w:val="16"/>
              </w:rPr>
            </w:pPr>
            <w:r w:rsidRPr="006E7E84">
              <w:rPr>
                <w:rFonts w:cs="Arial"/>
                <w:szCs w:val="16"/>
              </w:rPr>
              <w:t>86.80%</w:t>
            </w:r>
          </w:p>
        </w:tc>
        <w:tc>
          <w:tcPr>
            <w:tcW w:w="406" w:type="pct"/>
            <w:shd w:val="clear" w:color="auto" w:fill="auto"/>
            <w:vAlign w:val="center"/>
          </w:tcPr>
          <w:p w14:paraId="2AE4C61A" w14:textId="4C07869E" w:rsidR="00572E2A" w:rsidRPr="006E7E84" w:rsidRDefault="00572E2A" w:rsidP="00572E2A">
            <w:pPr>
              <w:spacing w:after="0"/>
              <w:jc w:val="center"/>
              <w:rPr>
                <w:rFonts w:cs="Arial"/>
                <w:szCs w:val="16"/>
              </w:rPr>
            </w:pPr>
            <w:r>
              <w:rPr>
                <w:rFonts w:cs="Arial"/>
                <w:color w:val="000000" w:themeColor="text1"/>
                <w:szCs w:val="24"/>
              </w:rPr>
              <w:t>N/A</w:t>
            </w:r>
          </w:p>
        </w:tc>
        <w:tc>
          <w:tcPr>
            <w:tcW w:w="440" w:type="pct"/>
            <w:shd w:val="clear" w:color="auto" w:fill="auto"/>
            <w:vAlign w:val="center"/>
          </w:tcPr>
          <w:p w14:paraId="2590AA37" w14:textId="2B2E3DAE" w:rsidR="00572E2A" w:rsidRPr="006E7E84" w:rsidRDefault="00572E2A" w:rsidP="00572E2A">
            <w:pPr>
              <w:spacing w:after="0"/>
              <w:jc w:val="center"/>
              <w:rPr>
                <w:rFonts w:cs="Arial"/>
                <w:szCs w:val="16"/>
              </w:rPr>
            </w:pPr>
            <w:r w:rsidRPr="006E7E84">
              <w:rPr>
                <w:rFonts w:cs="Arial"/>
                <w:szCs w:val="16"/>
              </w:rPr>
              <w:t>N/A</w:t>
            </w:r>
          </w:p>
        </w:tc>
        <w:tc>
          <w:tcPr>
            <w:tcW w:w="564" w:type="pct"/>
            <w:shd w:val="clear" w:color="auto" w:fill="auto"/>
            <w:vAlign w:val="center"/>
          </w:tcPr>
          <w:p w14:paraId="39DEC07F" w14:textId="70B28667" w:rsidR="00572E2A" w:rsidRPr="006E7E84" w:rsidRDefault="00572E2A" w:rsidP="00572E2A">
            <w:pPr>
              <w:spacing w:after="0"/>
              <w:jc w:val="center"/>
              <w:rPr>
                <w:rFonts w:cs="Arial"/>
                <w:szCs w:val="16"/>
              </w:rPr>
            </w:pPr>
            <w:r w:rsidRPr="006E7E84">
              <w:rPr>
                <w:rFonts w:cs="Arial"/>
                <w:szCs w:val="16"/>
              </w:rPr>
              <w:t>N/A</w:t>
            </w:r>
          </w:p>
        </w:tc>
      </w:tr>
      <w:tr w:rsidR="00572E2A" w:rsidRPr="006E7E84" w14:paraId="52B173E5" w14:textId="77777777" w:rsidTr="0023207C">
        <w:trPr>
          <w:trHeight w:val="432"/>
        </w:trPr>
        <w:tc>
          <w:tcPr>
            <w:tcW w:w="435" w:type="pct"/>
            <w:shd w:val="clear" w:color="auto" w:fill="auto"/>
            <w:vAlign w:val="center"/>
          </w:tcPr>
          <w:p w14:paraId="5153CDB6" w14:textId="77777777" w:rsidR="00572E2A" w:rsidRPr="006E7E84" w:rsidRDefault="00572E2A" w:rsidP="00572E2A">
            <w:pPr>
              <w:pStyle w:val="Default"/>
              <w:spacing w:line="276" w:lineRule="auto"/>
              <w:jc w:val="center"/>
              <w:rPr>
                <w:rFonts w:eastAsiaTheme="minorHAnsi"/>
                <w:color w:val="auto"/>
              </w:rPr>
            </w:pPr>
            <w:r w:rsidRPr="006E7E84">
              <w:rPr>
                <w:b/>
                <w:color w:val="auto"/>
              </w:rPr>
              <w:t>B</w:t>
            </w:r>
          </w:p>
        </w:tc>
        <w:tc>
          <w:tcPr>
            <w:tcW w:w="522" w:type="pct"/>
            <w:shd w:val="clear" w:color="auto" w:fill="auto"/>
            <w:vAlign w:val="center"/>
          </w:tcPr>
          <w:p w14:paraId="137CEDF6" w14:textId="15D625F4" w:rsidR="00572E2A" w:rsidRPr="006E7E84" w:rsidDel="00DE5045" w:rsidRDefault="00572E2A" w:rsidP="00572E2A">
            <w:pPr>
              <w:spacing w:after="0"/>
              <w:jc w:val="center"/>
              <w:rPr>
                <w:rFonts w:cs="Arial"/>
                <w:szCs w:val="16"/>
              </w:rPr>
            </w:pPr>
            <w:r w:rsidRPr="006E7E84">
              <w:rPr>
                <w:rFonts w:cs="Arial"/>
                <w:szCs w:val="16"/>
              </w:rPr>
              <w:t>Grade 8</w:t>
            </w:r>
          </w:p>
        </w:tc>
        <w:tc>
          <w:tcPr>
            <w:tcW w:w="876" w:type="pct"/>
            <w:shd w:val="clear" w:color="auto" w:fill="auto"/>
            <w:vAlign w:val="center"/>
          </w:tcPr>
          <w:p w14:paraId="1707A82B" w14:textId="3E333A0B" w:rsidR="00572E2A" w:rsidRPr="006E7E84" w:rsidRDefault="00572E2A" w:rsidP="00572E2A">
            <w:pPr>
              <w:spacing w:after="0"/>
              <w:jc w:val="center"/>
              <w:rPr>
                <w:rFonts w:cs="Arial"/>
                <w:szCs w:val="16"/>
              </w:rPr>
            </w:pPr>
            <w:r w:rsidRPr="006E7E84">
              <w:rPr>
                <w:rFonts w:cs="Arial"/>
                <w:szCs w:val="16"/>
              </w:rPr>
              <w:t>0</w:t>
            </w:r>
          </w:p>
        </w:tc>
        <w:tc>
          <w:tcPr>
            <w:tcW w:w="876" w:type="pct"/>
            <w:shd w:val="clear" w:color="auto" w:fill="auto"/>
            <w:vAlign w:val="center"/>
          </w:tcPr>
          <w:p w14:paraId="1BCB466D" w14:textId="5DD60E0B" w:rsidR="00572E2A" w:rsidRPr="006E7E84" w:rsidRDefault="00572E2A" w:rsidP="00572E2A">
            <w:pPr>
              <w:spacing w:after="0"/>
              <w:jc w:val="center"/>
              <w:rPr>
                <w:rFonts w:cs="Arial"/>
                <w:szCs w:val="16"/>
              </w:rPr>
            </w:pPr>
            <w:r w:rsidRPr="006E7E84">
              <w:rPr>
                <w:rFonts w:cs="Arial"/>
                <w:szCs w:val="16"/>
              </w:rPr>
              <w:t>0</w:t>
            </w:r>
          </w:p>
        </w:tc>
        <w:tc>
          <w:tcPr>
            <w:tcW w:w="404" w:type="pct"/>
            <w:shd w:val="clear" w:color="auto" w:fill="auto"/>
            <w:vAlign w:val="center"/>
          </w:tcPr>
          <w:p w14:paraId="60597E0A" w14:textId="0FF7A987" w:rsidR="00572E2A" w:rsidRPr="006E7E84" w:rsidRDefault="00572E2A" w:rsidP="00572E2A">
            <w:pPr>
              <w:spacing w:after="0"/>
              <w:jc w:val="center"/>
              <w:rPr>
                <w:rFonts w:cs="Arial"/>
                <w:szCs w:val="16"/>
              </w:rPr>
            </w:pPr>
            <w:r>
              <w:rPr>
                <w:rFonts w:cs="Arial"/>
                <w:color w:val="000000" w:themeColor="text1"/>
                <w:szCs w:val="24"/>
              </w:rPr>
              <w:t>N/A</w:t>
            </w:r>
          </w:p>
        </w:tc>
        <w:tc>
          <w:tcPr>
            <w:tcW w:w="477" w:type="pct"/>
            <w:shd w:val="clear" w:color="auto" w:fill="auto"/>
            <w:vAlign w:val="center"/>
          </w:tcPr>
          <w:p w14:paraId="6445398C" w14:textId="393A6DFD" w:rsidR="00572E2A" w:rsidRPr="006E7E84" w:rsidRDefault="00572E2A" w:rsidP="00572E2A">
            <w:pPr>
              <w:spacing w:after="0"/>
              <w:jc w:val="center"/>
              <w:rPr>
                <w:rFonts w:cs="Arial"/>
                <w:szCs w:val="16"/>
              </w:rPr>
            </w:pPr>
            <w:r w:rsidRPr="006E7E84">
              <w:rPr>
                <w:rFonts w:cs="Arial"/>
                <w:szCs w:val="16"/>
              </w:rPr>
              <w:t>81.09%</w:t>
            </w:r>
          </w:p>
        </w:tc>
        <w:tc>
          <w:tcPr>
            <w:tcW w:w="406" w:type="pct"/>
            <w:shd w:val="clear" w:color="auto" w:fill="auto"/>
            <w:vAlign w:val="center"/>
          </w:tcPr>
          <w:p w14:paraId="4EBD899F" w14:textId="069968EE" w:rsidR="00572E2A" w:rsidRPr="006E7E84" w:rsidRDefault="00572E2A" w:rsidP="00572E2A">
            <w:pPr>
              <w:spacing w:after="0"/>
              <w:jc w:val="center"/>
              <w:rPr>
                <w:rFonts w:cs="Arial"/>
                <w:szCs w:val="16"/>
              </w:rPr>
            </w:pPr>
            <w:r>
              <w:rPr>
                <w:rFonts w:cs="Arial"/>
                <w:color w:val="000000" w:themeColor="text1"/>
                <w:szCs w:val="24"/>
              </w:rPr>
              <w:t>N/A</w:t>
            </w:r>
          </w:p>
        </w:tc>
        <w:tc>
          <w:tcPr>
            <w:tcW w:w="440" w:type="pct"/>
            <w:shd w:val="clear" w:color="auto" w:fill="auto"/>
            <w:vAlign w:val="center"/>
          </w:tcPr>
          <w:p w14:paraId="585589D4" w14:textId="6C3ED8A0" w:rsidR="00572E2A" w:rsidRPr="006E7E84" w:rsidRDefault="00572E2A" w:rsidP="00572E2A">
            <w:pPr>
              <w:spacing w:after="0"/>
              <w:jc w:val="center"/>
              <w:rPr>
                <w:rFonts w:cs="Arial"/>
                <w:szCs w:val="16"/>
              </w:rPr>
            </w:pPr>
            <w:r w:rsidRPr="006E7E84">
              <w:rPr>
                <w:rFonts w:cs="Arial"/>
                <w:szCs w:val="16"/>
              </w:rPr>
              <w:t>N/A</w:t>
            </w:r>
          </w:p>
        </w:tc>
        <w:tc>
          <w:tcPr>
            <w:tcW w:w="564" w:type="pct"/>
            <w:shd w:val="clear" w:color="auto" w:fill="auto"/>
            <w:vAlign w:val="center"/>
          </w:tcPr>
          <w:p w14:paraId="64956786" w14:textId="4047CECE" w:rsidR="00572E2A" w:rsidRPr="006E7E84" w:rsidRDefault="00572E2A" w:rsidP="00572E2A">
            <w:pPr>
              <w:spacing w:after="0"/>
              <w:jc w:val="center"/>
              <w:rPr>
                <w:rFonts w:cs="Arial"/>
                <w:szCs w:val="16"/>
              </w:rPr>
            </w:pPr>
            <w:r w:rsidRPr="006E7E84">
              <w:rPr>
                <w:rFonts w:cs="Arial"/>
                <w:szCs w:val="16"/>
              </w:rPr>
              <w:t>N/A</w:t>
            </w:r>
          </w:p>
        </w:tc>
      </w:tr>
      <w:tr w:rsidR="00572E2A" w:rsidRPr="006E7E84" w14:paraId="3EA2EA1E" w14:textId="77777777" w:rsidTr="0023207C">
        <w:trPr>
          <w:trHeight w:val="432"/>
        </w:trPr>
        <w:tc>
          <w:tcPr>
            <w:tcW w:w="435" w:type="pct"/>
            <w:shd w:val="clear" w:color="auto" w:fill="auto"/>
            <w:vAlign w:val="center"/>
          </w:tcPr>
          <w:p w14:paraId="7CB7E776" w14:textId="77777777" w:rsidR="00572E2A" w:rsidRPr="006E7E84" w:rsidRDefault="00572E2A" w:rsidP="00572E2A">
            <w:pPr>
              <w:pStyle w:val="Default"/>
              <w:spacing w:line="276" w:lineRule="auto"/>
              <w:jc w:val="center"/>
              <w:rPr>
                <w:rFonts w:eastAsiaTheme="minorHAnsi"/>
                <w:color w:val="auto"/>
              </w:rPr>
            </w:pPr>
            <w:r w:rsidRPr="006E7E84">
              <w:rPr>
                <w:b/>
                <w:color w:val="auto"/>
              </w:rPr>
              <w:t>C</w:t>
            </w:r>
          </w:p>
        </w:tc>
        <w:tc>
          <w:tcPr>
            <w:tcW w:w="522" w:type="pct"/>
            <w:shd w:val="clear" w:color="auto" w:fill="auto"/>
            <w:vAlign w:val="center"/>
          </w:tcPr>
          <w:p w14:paraId="260DAFBC" w14:textId="292387CD" w:rsidR="00572E2A" w:rsidRPr="006E7E84" w:rsidDel="00DE5045" w:rsidRDefault="00572E2A" w:rsidP="00572E2A">
            <w:pPr>
              <w:spacing w:after="0"/>
              <w:jc w:val="center"/>
              <w:rPr>
                <w:rFonts w:cs="Arial"/>
                <w:szCs w:val="16"/>
              </w:rPr>
            </w:pPr>
            <w:r w:rsidRPr="006E7E84">
              <w:rPr>
                <w:rFonts w:cs="Arial"/>
                <w:szCs w:val="16"/>
              </w:rPr>
              <w:t>Grade HS</w:t>
            </w:r>
          </w:p>
        </w:tc>
        <w:tc>
          <w:tcPr>
            <w:tcW w:w="876" w:type="pct"/>
            <w:shd w:val="clear" w:color="auto" w:fill="auto"/>
            <w:vAlign w:val="center"/>
          </w:tcPr>
          <w:p w14:paraId="3637A0D0" w14:textId="4E467DC1" w:rsidR="00572E2A" w:rsidRPr="006E7E84" w:rsidRDefault="00572E2A" w:rsidP="00572E2A">
            <w:pPr>
              <w:spacing w:after="0"/>
              <w:jc w:val="center"/>
              <w:rPr>
                <w:rFonts w:cs="Arial"/>
                <w:szCs w:val="16"/>
              </w:rPr>
            </w:pPr>
            <w:r w:rsidRPr="006E7E84">
              <w:rPr>
                <w:rFonts w:cs="Arial"/>
                <w:szCs w:val="16"/>
              </w:rPr>
              <w:t>0</w:t>
            </w:r>
          </w:p>
        </w:tc>
        <w:tc>
          <w:tcPr>
            <w:tcW w:w="876" w:type="pct"/>
            <w:shd w:val="clear" w:color="auto" w:fill="auto"/>
            <w:vAlign w:val="center"/>
          </w:tcPr>
          <w:p w14:paraId="0F212AA6" w14:textId="77E5B78D" w:rsidR="00572E2A" w:rsidRPr="006E7E84" w:rsidRDefault="00572E2A" w:rsidP="00572E2A">
            <w:pPr>
              <w:spacing w:after="0"/>
              <w:jc w:val="center"/>
              <w:rPr>
                <w:rFonts w:cs="Arial"/>
                <w:szCs w:val="16"/>
              </w:rPr>
            </w:pPr>
            <w:r w:rsidRPr="006E7E84">
              <w:rPr>
                <w:rFonts w:cs="Arial"/>
                <w:szCs w:val="16"/>
              </w:rPr>
              <w:t>0</w:t>
            </w:r>
          </w:p>
        </w:tc>
        <w:tc>
          <w:tcPr>
            <w:tcW w:w="404" w:type="pct"/>
            <w:shd w:val="clear" w:color="auto" w:fill="auto"/>
            <w:vAlign w:val="center"/>
          </w:tcPr>
          <w:p w14:paraId="066DE90A" w14:textId="4058A44C" w:rsidR="00572E2A" w:rsidRPr="006E7E84" w:rsidRDefault="00572E2A" w:rsidP="00572E2A">
            <w:pPr>
              <w:spacing w:after="0"/>
              <w:jc w:val="center"/>
              <w:rPr>
                <w:rFonts w:cs="Arial"/>
                <w:szCs w:val="16"/>
              </w:rPr>
            </w:pPr>
            <w:r>
              <w:rPr>
                <w:rFonts w:cs="Arial"/>
                <w:color w:val="000000" w:themeColor="text1"/>
                <w:szCs w:val="24"/>
              </w:rPr>
              <w:t>N/A</w:t>
            </w:r>
          </w:p>
        </w:tc>
        <w:tc>
          <w:tcPr>
            <w:tcW w:w="477" w:type="pct"/>
            <w:shd w:val="clear" w:color="auto" w:fill="auto"/>
            <w:vAlign w:val="center"/>
          </w:tcPr>
          <w:p w14:paraId="4191EA17" w14:textId="17F82057" w:rsidR="00572E2A" w:rsidRPr="006E7E84" w:rsidRDefault="00572E2A" w:rsidP="00572E2A">
            <w:pPr>
              <w:spacing w:after="0"/>
              <w:jc w:val="center"/>
              <w:rPr>
                <w:rFonts w:cs="Arial"/>
                <w:szCs w:val="16"/>
              </w:rPr>
            </w:pPr>
            <w:r w:rsidRPr="006E7E84">
              <w:rPr>
                <w:rFonts w:cs="Arial"/>
                <w:szCs w:val="16"/>
              </w:rPr>
              <w:t>81.30%</w:t>
            </w:r>
          </w:p>
        </w:tc>
        <w:tc>
          <w:tcPr>
            <w:tcW w:w="406" w:type="pct"/>
            <w:shd w:val="clear" w:color="auto" w:fill="auto"/>
            <w:vAlign w:val="center"/>
          </w:tcPr>
          <w:p w14:paraId="15CE5CCF" w14:textId="0335212C" w:rsidR="00572E2A" w:rsidRPr="006E7E84" w:rsidRDefault="00572E2A" w:rsidP="00572E2A">
            <w:pPr>
              <w:spacing w:after="0"/>
              <w:jc w:val="center"/>
              <w:rPr>
                <w:rFonts w:cs="Arial"/>
                <w:szCs w:val="16"/>
              </w:rPr>
            </w:pPr>
            <w:r>
              <w:rPr>
                <w:rFonts w:cs="Arial"/>
                <w:color w:val="000000" w:themeColor="text1"/>
                <w:szCs w:val="24"/>
              </w:rPr>
              <w:t>N/A</w:t>
            </w:r>
          </w:p>
        </w:tc>
        <w:tc>
          <w:tcPr>
            <w:tcW w:w="440" w:type="pct"/>
            <w:shd w:val="clear" w:color="auto" w:fill="auto"/>
            <w:vAlign w:val="center"/>
          </w:tcPr>
          <w:p w14:paraId="28CB2C9E" w14:textId="4F0EF91A" w:rsidR="00572E2A" w:rsidRPr="006E7E84" w:rsidRDefault="00572E2A" w:rsidP="00572E2A">
            <w:pPr>
              <w:spacing w:after="0"/>
              <w:jc w:val="center"/>
              <w:rPr>
                <w:rFonts w:cs="Arial"/>
                <w:szCs w:val="16"/>
              </w:rPr>
            </w:pPr>
            <w:r w:rsidRPr="006E7E84">
              <w:rPr>
                <w:rFonts w:cs="Arial"/>
                <w:szCs w:val="16"/>
              </w:rPr>
              <w:t>N/A</w:t>
            </w:r>
          </w:p>
        </w:tc>
        <w:tc>
          <w:tcPr>
            <w:tcW w:w="564" w:type="pct"/>
            <w:shd w:val="clear" w:color="auto" w:fill="auto"/>
            <w:vAlign w:val="center"/>
          </w:tcPr>
          <w:p w14:paraId="157B84D0" w14:textId="0B58E631" w:rsidR="00572E2A" w:rsidRPr="006E7E84" w:rsidRDefault="00572E2A" w:rsidP="00572E2A">
            <w:pPr>
              <w:spacing w:after="0"/>
              <w:jc w:val="center"/>
              <w:rPr>
                <w:rFonts w:cs="Arial"/>
                <w:szCs w:val="16"/>
              </w:rPr>
            </w:pPr>
            <w:r w:rsidRPr="006E7E84">
              <w:rPr>
                <w:rFonts w:cs="Arial"/>
                <w:szCs w:val="16"/>
              </w:rPr>
              <w:t>N/A</w:t>
            </w:r>
          </w:p>
        </w:tc>
      </w:tr>
    </w:tbl>
    <w:p w14:paraId="73E73F7F" w14:textId="2CD010AE" w:rsidR="00BD7229" w:rsidRPr="006E7E84" w:rsidRDefault="00F6415A" w:rsidP="00815ACE">
      <w:pPr>
        <w:pStyle w:val="Caption"/>
      </w:pPr>
      <w:r w:rsidRPr="006E7E84">
        <w:t>FFY 2020 SPP/APR Data: Math Assessment</w:t>
      </w:r>
      <w:r w:rsidR="00C578AE">
        <w:t xml:space="preserve"> (3C)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944"/>
        <w:gridCol w:w="1127"/>
        <w:gridCol w:w="1793"/>
        <w:gridCol w:w="1802"/>
        <w:gridCol w:w="904"/>
        <w:gridCol w:w="1029"/>
        <w:gridCol w:w="947"/>
        <w:gridCol w:w="988"/>
        <w:gridCol w:w="1256"/>
      </w:tblGrid>
      <w:tr w:rsidR="006E7E84" w:rsidRPr="006E7E84" w14:paraId="2361B602" w14:textId="77777777" w:rsidTr="0052002E">
        <w:trPr>
          <w:tblHeader/>
        </w:trPr>
        <w:tc>
          <w:tcPr>
            <w:tcW w:w="437" w:type="pct"/>
            <w:shd w:val="clear" w:color="auto" w:fill="D9D9D9" w:themeFill="background1" w:themeFillShade="D9"/>
            <w:vAlign w:val="center"/>
          </w:tcPr>
          <w:p w14:paraId="097BD4DD" w14:textId="77777777" w:rsidR="007D755C" w:rsidRPr="006E7E84" w:rsidRDefault="007D755C" w:rsidP="0023207C">
            <w:pPr>
              <w:spacing w:after="0"/>
              <w:jc w:val="center"/>
              <w:rPr>
                <w:b/>
              </w:rPr>
            </w:pPr>
            <w:r w:rsidRPr="006E7E84">
              <w:rPr>
                <w:b/>
              </w:rPr>
              <w:t>Group</w:t>
            </w:r>
          </w:p>
        </w:tc>
        <w:tc>
          <w:tcPr>
            <w:tcW w:w="522" w:type="pct"/>
            <w:shd w:val="clear" w:color="auto" w:fill="D9D9D9" w:themeFill="background1" w:themeFillShade="D9"/>
            <w:vAlign w:val="center"/>
          </w:tcPr>
          <w:p w14:paraId="221D62AE" w14:textId="46B1DC14" w:rsidR="007D755C" w:rsidRPr="006E7E84" w:rsidRDefault="007D755C" w:rsidP="0023207C">
            <w:pPr>
              <w:spacing w:after="0"/>
              <w:jc w:val="center"/>
              <w:rPr>
                <w:b/>
              </w:rPr>
            </w:pPr>
            <w:r w:rsidRPr="006E7E84">
              <w:rPr>
                <w:b/>
              </w:rPr>
              <w:t>Group Name</w:t>
            </w:r>
          </w:p>
        </w:tc>
        <w:tc>
          <w:tcPr>
            <w:tcW w:w="831" w:type="pct"/>
            <w:shd w:val="clear" w:color="auto" w:fill="D9D9D9" w:themeFill="background1" w:themeFillShade="D9"/>
            <w:vAlign w:val="center"/>
          </w:tcPr>
          <w:p w14:paraId="6EA1E126" w14:textId="66F4FC74" w:rsidR="007D755C" w:rsidRPr="006E7E84" w:rsidRDefault="007D755C" w:rsidP="0023207C">
            <w:pPr>
              <w:spacing w:after="0"/>
              <w:jc w:val="center"/>
              <w:rPr>
                <w:b/>
              </w:rPr>
            </w:pPr>
            <w:r w:rsidRPr="006E7E84">
              <w:rPr>
                <w:b/>
              </w:rPr>
              <w:t xml:space="preserve">Number of Children with IEPs Scoring </w:t>
            </w:r>
            <w:proofErr w:type="gramStart"/>
            <w:r w:rsidRPr="006E7E84">
              <w:rPr>
                <w:b/>
              </w:rPr>
              <w:t>At</w:t>
            </w:r>
            <w:proofErr w:type="gramEnd"/>
            <w:r w:rsidRPr="006E7E84">
              <w:rPr>
                <w:b/>
              </w:rPr>
              <w:t xml:space="preserve"> or Above Proficient Against Alternate Academic Achievement Standards</w:t>
            </w:r>
          </w:p>
        </w:tc>
        <w:tc>
          <w:tcPr>
            <w:tcW w:w="835" w:type="pct"/>
            <w:shd w:val="clear" w:color="auto" w:fill="D9D9D9" w:themeFill="background1" w:themeFillShade="D9"/>
            <w:vAlign w:val="center"/>
          </w:tcPr>
          <w:p w14:paraId="534757DA" w14:textId="5F85E8DF" w:rsidR="007D755C" w:rsidRPr="006E7E84" w:rsidRDefault="007D755C" w:rsidP="0023207C">
            <w:pPr>
              <w:spacing w:after="0"/>
              <w:jc w:val="center"/>
              <w:rPr>
                <w:b/>
              </w:rPr>
            </w:pPr>
            <w:r w:rsidRPr="006E7E84">
              <w:rPr>
                <w:b/>
              </w:rPr>
              <w:t>Number of Children with IEPs who Received a Valid Score and for whom a Proficiency Level was Assigned for the Alternate Assessment</w:t>
            </w:r>
          </w:p>
        </w:tc>
        <w:tc>
          <w:tcPr>
            <w:tcW w:w="419" w:type="pct"/>
            <w:shd w:val="clear" w:color="auto" w:fill="D9D9D9" w:themeFill="background1" w:themeFillShade="D9"/>
            <w:vAlign w:val="center"/>
          </w:tcPr>
          <w:p w14:paraId="73023982" w14:textId="597424B8" w:rsidR="007D755C" w:rsidRPr="00572E2A" w:rsidRDefault="007D755C" w:rsidP="0023207C">
            <w:pPr>
              <w:spacing w:after="0"/>
              <w:jc w:val="center"/>
              <w:rPr>
                <w:b/>
              </w:rPr>
            </w:pPr>
            <w:r w:rsidRPr="00572E2A">
              <w:rPr>
                <w:b/>
              </w:rPr>
              <w:t>FFY 2019 Data</w:t>
            </w:r>
          </w:p>
        </w:tc>
        <w:tc>
          <w:tcPr>
            <w:tcW w:w="477" w:type="pct"/>
            <w:shd w:val="clear" w:color="auto" w:fill="D9D9D9" w:themeFill="background1" w:themeFillShade="D9"/>
            <w:vAlign w:val="center"/>
          </w:tcPr>
          <w:p w14:paraId="37651EF9" w14:textId="57B19F8D" w:rsidR="007D755C" w:rsidRPr="006E7E84" w:rsidRDefault="007D755C" w:rsidP="0023207C">
            <w:pPr>
              <w:spacing w:after="0"/>
              <w:jc w:val="center"/>
              <w:rPr>
                <w:b/>
              </w:rPr>
            </w:pPr>
            <w:r w:rsidRPr="006E7E84">
              <w:rPr>
                <w:b/>
              </w:rPr>
              <w:t>FFY 2020 Target</w:t>
            </w:r>
          </w:p>
        </w:tc>
        <w:tc>
          <w:tcPr>
            <w:tcW w:w="439" w:type="pct"/>
            <w:shd w:val="clear" w:color="auto" w:fill="D9D9D9" w:themeFill="background1" w:themeFillShade="D9"/>
            <w:vAlign w:val="center"/>
          </w:tcPr>
          <w:p w14:paraId="3D61FBEB" w14:textId="5442D5F6" w:rsidR="007D755C" w:rsidRPr="006E7E84" w:rsidRDefault="007D755C" w:rsidP="0023207C">
            <w:pPr>
              <w:spacing w:after="0"/>
              <w:jc w:val="center"/>
              <w:rPr>
                <w:b/>
              </w:rPr>
            </w:pPr>
            <w:r w:rsidRPr="006E7E84">
              <w:rPr>
                <w:b/>
              </w:rPr>
              <w:t>FFY 2020 Data</w:t>
            </w:r>
          </w:p>
        </w:tc>
        <w:tc>
          <w:tcPr>
            <w:tcW w:w="458" w:type="pct"/>
            <w:shd w:val="clear" w:color="auto" w:fill="D9D9D9" w:themeFill="background1" w:themeFillShade="D9"/>
            <w:vAlign w:val="center"/>
          </w:tcPr>
          <w:p w14:paraId="730A2874" w14:textId="77777777" w:rsidR="007D755C" w:rsidRPr="006E7E84" w:rsidRDefault="007D755C" w:rsidP="0023207C">
            <w:pPr>
              <w:spacing w:after="0"/>
              <w:jc w:val="center"/>
              <w:rPr>
                <w:b/>
              </w:rPr>
            </w:pPr>
            <w:r w:rsidRPr="006E7E84">
              <w:rPr>
                <w:b/>
              </w:rPr>
              <w:t>Status</w:t>
            </w:r>
          </w:p>
        </w:tc>
        <w:tc>
          <w:tcPr>
            <w:tcW w:w="582" w:type="pct"/>
            <w:shd w:val="clear" w:color="auto" w:fill="D9D9D9" w:themeFill="background1" w:themeFillShade="D9"/>
            <w:vAlign w:val="center"/>
          </w:tcPr>
          <w:p w14:paraId="67BEF249" w14:textId="77777777" w:rsidR="007D755C" w:rsidRPr="006E7E84" w:rsidRDefault="007D755C" w:rsidP="0023207C">
            <w:pPr>
              <w:spacing w:after="0"/>
              <w:jc w:val="center"/>
              <w:rPr>
                <w:b/>
              </w:rPr>
            </w:pPr>
            <w:r w:rsidRPr="006E7E84">
              <w:rPr>
                <w:b/>
              </w:rPr>
              <w:t>Slippage</w:t>
            </w:r>
          </w:p>
        </w:tc>
      </w:tr>
      <w:tr w:rsidR="00572E2A" w:rsidRPr="006E7E84" w14:paraId="08D65837" w14:textId="77777777" w:rsidTr="0052002E">
        <w:tc>
          <w:tcPr>
            <w:tcW w:w="437" w:type="pct"/>
            <w:shd w:val="clear" w:color="auto" w:fill="auto"/>
            <w:vAlign w:val="center"/>
          </w:tcPr>
          <w:p w14:paraId="76903C3F" w14:textId="77777777" w:rsidR="00572E2A" w:rsidRPr="006E7E84" w:rsidRDefault="00572E2A" w:rsidP="00572E2A">
            <w:pPr>
              <w:pStyle w:val="Default"/>
              <w:spacing w:line="276" w:lineRule="auto"/>
              <w:jc w:val="center"/>
              <w:rPr>
                <w:b/>
                <w:color w:val="auto"/>
              </w:rPr>
            </w:pPr>
            <w:r w:rsidRPr="006E7E84">
              <w:rPr>
                <w:rFonts w:eastAsiaTheme="minorHAnsi"/>
                <w:b/>
                <w:color w:val="auto"/>
              </w:rPr>
              <w:t>A</w:t>
            </w:r>
          </w:p>
        </w:tc>
        <w:tc>
          <w:tcPr>
            <w:tcW w:w="522" w:type="pct"/>
            <w:shd w:val="clear" w:color="auto" w:fill="auto"/>
            <w:vAlign w:val="center"/>
          </w:tcPr>
          <w:p w14:paraId="02026CDE" w14:textId="2E1566AE" w:rsidR="00572E2A" w:rsidRPr="006E7E84" w:rsidDel="00DE5045" w:rsidRDefault="00572E2A" w:rsidP="00572E2A">
            <w:pPr>
              <w:spacing w:after="0"/>
              <w:jc w:val="center"/>
              <w:rPr>
                <w:rFonts w:cs="Arial"/>
                <w:szCs w:val="16"/>
              </w:rPr>
            </w:pPr>
            <w:r w:rsidRPr="006E7E84">
              <w:rPr>
                <w:rFonts w:cs="Arial"/>
                <w:szCs w:val="16"/>
              </w:rPr>
              <w:t>Grade 4</w:t>
            </w:r>
          </w:p>
        </w:tc>
        <w:tc>
          <w:tcPr>
            <w:tcW w:w="831" w:type="pct"/>
            <w:shd w:val="clear" w:color="auto" w:fill="auto"/>
            <w:vAlign w:val="center"/>
          </w:tcPr>
          <w:p w14:paraId="16642EB5" w14:textId="2F43A115" w:rsidR="00572E2A" w:rsidRPr="006E7E84" w:rsidRDefault="00572E2A" w:rsidP="00572E2A">
            <w:pPr>
              <w:spacing w:after="0"/>
              <w:jc w:val="center"/>
              <w:rPr>
                <w:rFonts w:cs="Arial"/>
                <w:szCs w:val="16"/>
              </w:rPr>
            </w:pPr>
            <w:r w:rsidRPr="006E7E84">
              <w:rPr>
                <w:rFonts w:cs="Arial"/>
                <w:szCs w:val="16"/>
              </w:rPr>
              <w:t>766</w:t>
            </w:r>
          </w:p>
        </w:tc>
        <w:tc>
          <w:tcPr>
            <w:tcW w:w="835" w:type="pct"/>
            <w:shd w:val="clear" w:color="auto" w:fill="auto"/>
            <w:vAlign w:val="center"/>
          </w:tcPr>
          <w:p w14:paraId="1C6085EF" w14:textId="508775F3" w:rsidR="00572E2A" w:rsidRPr="006E7E84" w:rsidRDefault="00572E2A" w:rsidP="00572E2A">
            <w:pPr>
              <w:spacing w:after="0"/>
              <w:jc w:val="center"/>
              <w:rPr>
                <w:rFonts w:cs="Arial"/>
                <w:szCs w:val="16"/>
              </w:rPr>
            </w:pPr>
            <w:r w:rsidRPr="006E7E84">
              <w:rPr>
                <w:rFonts w:cs="Arial"/>
                <w:szCs w:val="16"/>
              </w:rPr>
              <w:t>859</w:t>
            </w:r>
          </w:p>
        </w:tc>
        <w:tc>
          <w:tcPr>
            <w:tcW w:w="419" w:type="pct"/>
            <w:shd w:val="clear" w:color="auto" w:fill="auto"/>
            <w:vAlign w:val="center"/>
          </w:tcPr>
          <w:p w14:paraId="3DFEF3CC" w14:textId="3BC9B0A5" w:rsidR="00572E2A" w:rsidRPr="006E7E84" w:rsidRDefault="00572E2A" w:rsidP="00572E2A">
            <w:pPr>
              <w:spacing w:after="0"/>
              <w:jc w:val="center"/>
              <w:rPr>
                <w:rFonts w:cs="Arial"/>
                <w:szCs w:val="16"/>
              </w:rPr>
            </w:pPr>
            <w:r>
              <w:rPr>
                <w:rFonts w:cs="Arial"/>
                <w:color w:val="000000" w:themeColor="text1"/>
                <w:szCs w:val="24"/>
              </w:rPr>
              <w:t>N/A</w:t>
            </w:r>
          </w:p>
        </w:tc>
        <w:tc>
          <w:tcPr>
            <w:tcW w:w="477" w:type="pct"/>
            <w:shd w:val="clear" w:color="auto" w:fill="auto"/>
            <w:vAlign w:val="center"/>
          </w:tcPr>
          <w:p w14:paraId="78DBA801" w14:textId="0BA3B321" w:rsidR="00572E2A" w:rsidRPr="006E7E84" w:rsidRDefault="00572E2A" w:rsidP="00572E2A">
            <w:pPr>
              <w:spacing w:after="0"/>
              <w:jc w:val="center"/>
              <w:rPr>
                <w:rFonts w:cs="Arial"/>
                <w:szCs w:val="16"/>
              </w:rPr>
            </w:pPr>
            <w:r w:rsidRPr="006E7E84">
              <w:rPr>
                <w:rFonts w:cs="Arial"/>
                <w:szCs w:val="16"/>
              </w:rPr>
              <w:t>89.17%</w:t>
            </w:r>
          </w:p>
        </w:tc>
        <w:tc>
          <w:tcPr>
            <w:tcW w:w="439" w:type="pct"/>
            <w:shd w:val="clear" w:color="auto" w:fill="auto"/>
            <w:vAlign w:val="center"/>
          </w:tcPr>
          <w:p w14:paraId="1DC938D5" w14:textId="450CB901" w:rsidR="00572E2A" w:rsidRPr="006E7E84" w:rsidRDefault="00572E2A" w:rsidP="00572E2A">
            <w:pPr>
              <w:spacing w:after="0"/>
              <w:jc w:val="center"/>
              <w:rPr>
                <w:rFonts w:cs="Arial"/>
                <w:szCs w:val="16"/>
              </w:rPr>
            </w:pPr>
            <w:r w:rsidRPr="006E7E84">
              <w:rPr>
                <w:rFonts w:cs="Arial"/>
                <w:szCs w:val="16"/>
              </w:rPr>
              <w:t>89.17%</w:t>
            </w:r>
          </w:p>
        </w:tc>
        <w:tc>
          <w:tcPr>
            <w:tcW w:w="458" w:type="pct"/>
            <w:shd w:val="clear" w:color="auto" w:fill="auto"/>
            <w:vAlign w:val="center"/>
          </w:tcPr>
          <w:p w14:paraId="4B9610A1" w14:textId="71C9791E" w:rsidR="00572E2A" w:rsidRPr="006E7E84" w:rsidRDefault="00572E2A" w:rsidP="00572E2A">
            <w:pPr>
              <w:spacing w:after="0"/>
              <w:jc w:val="center"/>
              <w:rPr>
                <w:rFonts w:cs="Arial"/>
                <w:szCs w:val="16"/>
              </w:rPr>
            </w:pPr>
            <w:r w:rsidRPr="006E7E84">
              <w:rPr>
                <w:rFonts w:cs="Arial"/>
                <w:szCs w:val="16"/>
              </w:rPr>
              <w:t>N/A</w:t>
            </w:r>
          </w:p>
        </w:tc>
        <w:tc>
          <w:tcPr>
            <w:tcW w:w="582" w:type="pct"/>
            <w:shd w:val="clear" w:color="auto" w:fill="auto"/>
            <w:vAlign w:val="center"/>
          </w:tcPr>
          <w:p w14:paraId="5708D4BE" w14:textId="328B6097" w:rsidR="00572E2A" w:rsidRPr="006E7E84" w:rsidRDefault="00572E2A" w:rsidP="00572E2A">
            <w:pPr>
              <w:spacing w:after="0"/>
              <w:jc w:val="center"/>
              <w:rPr>
                <w:rFonts w:cs="Arial"/>
                <w:szCs w:val="16"/>
              </w:rPr>
            </w:pPr>
            <w:r w:rsidRPr="006E7E84">
              <w:rPr>
                <w:rFonts w:cs="Arial"/>
                <w:szCs w:val="16"/>
              </w:rPr>
              <w:t>N/A</w:t>
            </w:r>
          </w:p>
        </w:tc>
      </w:tr>
      <w:tr w:rsidR="00572E2A" w:rsidRPr="006E7E84" w14:paraId="5E0D5724" w14:textId="77777777" w:rsidTr="0052002E">
        <w:tc>
          <w:tcPr>
            <w:tcW w:w="437" w:type="pct"/>
            <w:shd w:val="clear" w:color="auto" w:fill="auto"/>
            <w:vAlign w:val="center"/>
          </w:tcPr>
          <w:p w14:paraId="2202EBA2" w14:textId="77777777" w:rsidR="00572E2A" w:rsidRPr="006E7E84" w:rsidRDefault="00572E2A" w:rsidP="00572E2A">
            <w:pPr>
              <w:pStyle w:val="Default"/>
              <w:spacing w:line="276" w:lineRule="auto"/>
              <w:jc w:val="center"/>
              <w:rPr>
                <w:b/>
                <w:color w:val="auto"/>
              </w:rPr>
            </w:pPr>
            <w:r w:rsidRPr="006E7E84">
              <w:rPr>
                <w:b/>
                <w:color w:val="auto"/>
              </w:rPr>
              <w:lastRenderedPageBreak/>
              <w:t>B</w:t>
            </w:r>
          </w:p>
        </w:tc>
        <w:tc>
          <w:tcPr>
            <w:tcW w:w="522" w:type="pct"/>
            <w:shd w:val="clear" w:color="auto" w:fill="auto"/>
            <w:vAlign w:val="center"/>
          </w:tcPr>
          <w:p w14:paraId="2BE28CC3" w14:textId="5462148F" w:rsidR="00572E2A" w:rsidRPr="006E7E84" w:rsidDel="00DE5045" w:rsidRDefault="00572E2A" w:rsidP="00572E2A">
            <w:pPr>
              <w:spacing w:after="0"/>
              <w:jc w:val="center"/>
              <w:rPr>
                <w:rFonts w:cs="Arial"/>
                <w:szCs w:val="16"/>
              </w:rPr>
            </w:pPr>
            <w:r w:rsidRPr="006E7E84">
              <w:rPr>
                <w:rFonts w:cs="Arial"/>
                <w:szCs w:val="16"/>
              </w:rPr>
              <w:t>Grade 8</w:t>
            </w:r>
          </w:p>
        </w:tc>
        <w:tc>
          <w:tcPr>
            <w:tcW w:w="831" w:type="pct"/>
            <w:shd w:val="clear" w:color="auto" w:fill="auto"/>
            <w:vAlign w:val="center"/>
          </w:tcPr>
          <w:p w14:paraId="65165B6C" w14:textId="77C4C484" w:rsidR="00572E2A" w:rsidRPr="006E7E84" w:rsidRDefault="00572E2A" w:rsidP="00572E2A">
            <w:pPr>
              <w:spacing w:after="0"/>
              <w:jc w:val="center"/>
              <w:rPr>
                <w:rFonts w:cs="Arial"/>
                <w:szCs w:val="16"/>
              </w:rPr>
            </w:pPr>
            <w:r w:rsidRPr="006E7E84">
              <w:rPr>
                <w:rFonts w:cs="Arial"/>
                <w:szCs w:val="16"/>
              </w:rPr>
              <w:t>753</w:t>
            </w:r>
          </w:p>
        </w:tc>
        <w:tc>
          <w:tcPr>
            <w:tcW w:w="835" w:type="pct"/>
            <w:shd w:val="clear" w:color="auto" w:fill="auto"/>
            <w:vAlign w:val="center"/>
          </w:tcPr>
          <w:p w14:paraId="25BE3991" w14:textId="52B3E29B" w:rsidR="00572E2A" w:rsidRPr="006E7E84" w:rsidRDefault="00572E2A" w:rsidP="00572E2A">
            <w:pPr>
              <w:spacing w:after="0"/>
              <w:jc w:val="center"/>
              <w:rPr>
                <w:rFonts w:cs="Arial"/>
                <w:szCs w:val="16"/>
              </w:rPr>
            </w:pPr>
            <w:r w:rsidRPr="006E7E84">
              <w:rPr>
                <w:rFonts w:cs="Arial"/>
                <w:szCs w:val="16"/>
              </w:rPr>
              <w:t>919</w:t>
            </w:r>
          </w:p>
        </w:tc>
        <w:tc>
          <w:tcPr>
            <w:tcW w:w="419" w:type="pct"/>
            <w:shd w:val="clear" w:color="auto" w:fill="auto"/>
            <w:vAlign w:val="center"/>
          </w:tcPr>
          <w:p w14:paraId="0DB348C5" w14:textId="72298172" w:rsidR="00572E2A" w:rsidRPr="006E7E84" w:rsidRDefault="00572E2A" w:rsidP="00572E2A">
            <w:pPr>
              <w:spacing w:after="0"/>
              <w:jc w:val="center"/>
              <w:rPr>
                <w:rFonts w:cs="Arial"/>
                <w:szCs w:val="16"/>
              </w:rPr>
            </w:pPr>
            <w:r>
              <w:rPr>
                <w:rFonts w:cs="Arial"/>
                <w:color w:val="000000" w:themeColor="text1"/>
                <w:szCs w:val="24"/>
              </w:rPr>
              <w:t>N/A</w:t>
            </w:r>
          </w:p>
        </w:tc>
        <w:tc>
          <w:tcPr>
            <w:tcW w:w="477" w:type="pct"/>
            <w:shd w:val="clear" w:color="auto" w:fill="auto"/>
            <w:vAlign w:val="center"/>
          </w:tcPr>
          <w:p w14:paraId="31FB5FEB" w14:textId="4BF20A90" w:rsidR="00572E2A" w:rsidRPr="006E7E84" w:rsidRDefault="00572E2A" w:rsidP="00572E2A">
            <w:pPr>
              <w:spacing w:after="0"/>
              <w:jc w:val="center"/>
              <w:rPr>
                <w:rFonts w:cs="Arial"/>
                <w:szCs w:val="16"/>
              </w:rPr>
            </w:pPr>
            <w:r w:rsidRPr="006E7E84">
              <w:rPr>
                <w:rFonts w:cs="Arial"/>
                <w:szCs w:val="16"/>
              </w:rPr>
              <w:t>81.94%</w:t>
            </w:r>
          </w:p>
        </w:tc>
        <w:tc>
          <w:tcPr>
            <w:tcW w:w="439" w:type="pct"/>
            <w:shd w:val="clear" w:color="auto" w:fill="auto"/>
            <w:vAlign w:val="center"/>
          </w:tcPr>
          <w:p w14:paraId="139B969C" w14:textId="619F4507" w:rsidR="00572E2A" w:rsidRPr="006E7E84" w:rsidRDefault="00572E2A" w:rsidP="00572E2A">
            <w:pPr>
              <w:spacing w:after="0"/>
              <w:jc w:val="center"/>
              <w:rPr>
                <w:rFonts w:cs="Arial"/>
                <w:szCs w:val="16"/>
              </w:rPr>
            </w:pPr>
            <w:r w:rsidRPr="006E7E84">
              <w:rPr>
                <w:rFonts w:cs="Arial"/>
                <w:szCs w:val="16"/>
              </w:rPr>
              <w:t>81.94%</w:t>
            </w:r>
          </w:p>
        </w:tc>
        <w:tc>
          <w:tcPr>
            <w:tcW w:w="458" w:type="pct"/>
            <w:shd w:val="clear" w:color="auto" w:fill="auto"/>
            <w:vAlign w:val="center"/>
          </w:tcPr>
          <w:p w14:paraId="52EDA926" w14:textId="7B797DBA" w:rsidR="00572E2A" w:rsidRPr="006E7E84" w:rsidRDefault="00572E2A" w:rsidP="00572E2A">
            <w:pPr>
              <w:spacing w:after="0"/>
              <w:jc w:val="center"/>
              <w:rPr>
                <w:rFonts w:cs="Arial"/>
                <w:szCs w:val="16"/>
              </w:rPr>
            </w:pPr>
            <w:r w:rsidRPr="006E7E84">
              <w:rPr>
                <w:rFonts w:cs="Arial"/>
                <w:szCs w:val="16"/>
              </w:rPr>
              <w:t>N/A</w:t>
            </w:r>
          </w:p>
        </w:tc>
        <w:tc>
          <w:tcPr>
            <w:tcW w:w="582" w:type="pct"/>
            <w:shd w:val="clear" w:color="auto" w:fill="auto"/>
            <w:vAlign w:val="center"/>
          </w:tcPr>
          <w:p w14:paraId="027F05C7" w14:textId="42C60C06" w:rsidR="00572E2A" w:rsidRPr="006E7E84" w:rsidRDefault="00572E2A" w:rsidP="00572E2A">
            <w:pPr>
              <w:spacing w:after="0"/>
              <w:jc w:val="center"/>
              <w:rPr>
                <w:rFonts w:cs="Arial"/>
                <w:szCs w:val="16"/>
              </w:rPr>
            </w:pPr>
            <w:r w:rsidRPr="006E7E84">
              <w:rPr>
                <w:rFonts w:cs="Arial"/>
                <w:szCs w:val="16"/>
              </w:rPr>
              <w:t>N/A</w:t>
            </w:r>
          </w:p>
        </w:tc>
      </w:tr>
      <w:tr w:rsidR="00572E2A" w:rsidRPr="006E7E84" w14:paraId="6F15E001" w14:textId="77777777" w:rsidTr="0052002E">
        <w:tc>
          <w:tcPr>
            <w:tcW w:w="437" w:type="pct"/>
            <w:shd w:val="clear" w:color="auto" w:fill="auto"/>
            <w:vAlign w:val="center"/>
          </w:tcPr>
          <w:p w14:paraId="40D4F498" w14:textId="77777777" w:rsidR="00572E2A" w:rsidRPr="006E7E84" w:rsidRDefault="00572E2A" w:rsidP="00572E2A">
            <w:pPr>
              <w:pStyle w:val="Default"/>
              <w:spacing w:line="276" w:lineRule="auto"/>
              <w:jc w:val="center"/>
              <w:rPr>
                <w:rFonts w:eastAsiaTheme="minorHAnsi"/>
                <w:color w:val="auto"/>
              </w:rPr>
            </w:pPr>
            <w:r w:rsidRPr="006E7E84">
              <w:rPr>
                <w:b/>
                <w:color w:val="auto"/>
              </w:rPr>
              <w:t>C</w:t>
            </w:r>
          </w:p>
        </w:tc>
        <w:tc>
          <w:tcPr>
            <w:tcW w:w="522" w:type="pct"/>
            <w:shd w:val="clear" w:color="auto" w:fill="auto"/>
            <w:vAlign w:val="center"/>
          </w:tcPr>
          <w:p w14:paraId="200262C5" w14:textId="22AC7908" w:rsidR="00572E2A" w:rsidRPr="006E7E84" w:rsidDel="00DE5045" w:rsidRDefault="00572E2A" w:rsidP="00572E2A">
            <w:pPr>
              <w:spacing w:after="0"/>
              <w:jc w:val="center"/>
              <w:rPr>
                <w:rFonts w:cs="Arial"/>
                <w:szCs w:val="16"/>
              </w:rPr>
            </w:pPr>
            <w:r w:rsidRPr="006E7E84">
              <w:rPr>
                <w:rFonts w:cs="Arial"/>
                <w:szCs w:val="16"/>
              </w:rPr>
              <w:t>Grade HS</w:t>
            </w:r>
          </w:p>
        </w:tc>
        <w:tc>
          <w:tcPr>
            <w:tcW w:w="831" w:type="pct"/>
            <w:shd w:val="clear" w:color="auto" w:fill="auto"/>
            <w:vAlign w:val="center"/>
          </w:tcPr>
          <w:p w14:paraId="44B84702" w14:textId="5A092874" w:rsidR="00572E2A" w:rsidRPr="006E7E84" w:rsidRDefault="00572E2A" w:rsidP="00572E2A">
            <w:pPr>
              <w:spacing w:after="0"/>
              <w:jc w:val="center"/>
              <w:rPr>
                <w:rFonts w:cs="Arial"/>
                <w:szCs w:val="16"/>
              </w:rPr>
            </w:pPr>
            <w:r w:rsidRPr="006E7E84">
              <w:rPr>
                <w:rFonts w:cs="Arial"/>
                <w:szCs w:val="16"/>
              </w:rPr>
              <w:t>696</w:t>
            </w:r>
          </w:p>
        </w:tc>
        <w:tc>
          <w:tcPr>
            <w:tcW w:w="835" w:type="pct"/>
            <w:shd w:val="clear" w:color="auto" w:fill="auto"/>
            <w:vAlign w:val="center"/>
          </w:tcPr>
          <w:p w14:paraId="6C88DEC2" w14:textId="2C61C34F" w:rsidR="00572E2A" w:rsidRPr="006E7E84" w:rsidRDefault="00572E2A" w:rsidP="00572E2A">
            <w:pPr>
              <w:spacing w:after="0"/>
              <w:jc w:val="center"/>
              <w:rPr>
                <w:rFonts w:cs="Arial"/>
                <w:szCs w:val="16"/>
              </w:rPr>
            </w:pPr>
            <w:r w:rsidRPr="006E7E84">
              <w:rPr>
                <w:rFonts w:cs="Arial"/>
                <w:szCs w:val="16"/>
              </w:rPr>
              <w:t>898</w:t>
            </w:r>
          </w:p>
        </w:tc>
        <w:tc>
          <w:tcPr>
            <w:tcW w:w="419" w:type="pct"/>
            <w:shd w:val="clear" w:color="auto" w:fill="auto"/>
            <w:vAlign w:val="center"/>
          </w:tcPr>
          <w:p w14:paraId="59D699CF" w14:textId="6FF91EFD" w:rsidR="00572E2A" w:rsidRPr="006E7E84" w:rsidRDefault="00572E2A" w:rsidP="00572E2A">
            <w:pPr>
              <w:spacing w:after="0"/>
              <w:jc w:val="center"/>
              <w:rPr>
                <w:rFonts w:cs="Arial"/>
                <w:szCs w:val="16"/>
              </w:rPr>
            </w:pPr>
            <w:r>
              <w:rPr>
                <w:rFonts w:cs="Arial"/>
                <w:color w:val="000000" w:themeColor="text1"/>
                <w:szCs w:val="24"/>
              </w:rPr>
              <w:t>N/A</w:t>
            </w:r>
          </w:p>
        </w:tc>
        <w:tc>
          <w:tcPr>
            <w:tcW w:w="477" w:type="pct"/>
            <w:shd w:val="clear" w:color="auto" w:fill="auto"/>
            <w:vAlign w:val="center"/>
          </w:tcPr>
          <w:p w14:paraId="18D7723E" w14:textId="7A443B62" w:rsidR="00572E2A" w:rsidRPr="006E7E84" w:rsidRDefault="00572E2A" w:rsidP="00572E2A">
            <w:pPr>
              <w:spacing w:after="0"/>
              <w:jc w:val="center"/>
              <w:rPr>
                <w:rFonts w:cs="Arial"/>
                <w:szCs w:val="16"/>
              </w:rPr>
            </w:pPr>
            <w:r w:rsidRPr="006E7E84">
              <w:rPr>
                <w:rFonts w:cs="Arial"/>
                <w:szCs w:val="16"/>
              </w:rPr>
              <w:t>77.51%</w:t>
            </w:r>
          </w:p>
        </w:tc>
        <w:tc>
          <w:tcPr>
            <w:tcW w:w="439" w:type="pct"/>
            <w:shd w:val="clear" w:color="auto" w:fill="auto"/>
            <w:vAlign w:val="center"/>
          </w:tcPr>
          <w:p w14:paraId="1C467869" w14:textId="36566B3C" w:rsidR="00572E2A" w:rsidRPr="006E7E84" w:rsidRDefault="00572E2A" w:rsidP="00572E2A">
            <w:pPr>
              <w:spacing w:after="0"/>
              <w:jc w:val="center"/>
              <w:rPr>
                <w:rFonts w:cs="Arial"/>
                <w:szCs w:val="16"/>
              </w:rPr>
            </w:pPr>
            <w:r w:rsidRPr="006E7E84">
              <w:rPr>
                <w:rFonts w:cs="Arial"/>
                <w:szCs w:val="16"/>
              </w:rPr>
              <w:t>77.51%</w:t>
            </w:r>
          </w:p>
        </w:tc>
        <w:tc>
          <w:tcPr>
            <w:tcW w:w="458" w:type="pct"/>
            <w:shd w:val="clear" w:color="auto" w:fill="auto"/>
            <w:vAlign w:val="center"/>
          </w:tcPr>
          <w:p w14:paraId="56861D59" w14:textId="0856E80D" w:rsidR="00572E2A" w:rsidRPr="006E7E84" w:rsidRDefault="00572E2A" w:rsidP="00572E2A">
            <w:pPr>
              <w:spacing w:after="0"/>
              <w:jc w:val="center"/>
              <w:rPr>
                <w:rFonts w:cs="Arial"/>
                <w:szCs w:val="16"/>
              </w:rPr>
            </w:pPr>
            <w:r w:rsidRPr="006E7E84">
              <w:rPr>
                <w:rFonts w:cs="Arial"/>
                <w:szCs w:val="16"/>
              </w:rPr>
              <w:t>N/A</w:t>
            </w:r>
          </w:p>
        </w:tc>
        <w:tc>
          <w:tcPr>
            <w:tcW w:w="582" w:type="pct"/>
            <w:shd w:val="clear" w:color="auto" w:fill="auto"/>
            <w:vAlign w:val="center"/>
          </w:tcPr>
          <w:p w14:paraId="7220CAED" w14:textId="6484F1AC" w:rsidR="00572E2A" w:rsidRPr="006E7E84" w:rsidRDefault="00572E2A" w:rsidP="00572E2A">
            <w:pPr>
              <w:spacing w:after="0"/>
              <w:jc w:val="center"/>
              <w:rPr>
                <w:rFonts w:cs="Arial"/>
                <w:szCs w:val="16"/>
              </w:rPr>
            </w:pPr>
            <w:r w:rsidRPr="006E7E84">
              <w:rPr>
                <w:rFonts w:cs="Arial"/>
                <w:szCs w:val="16"/>
              </w:rPr>
              <w:t>N/A</w:t>
            </w:r>
          </w:p>
        </w:tc>
      </w:tr>
    </w:tbl>
    <w:p w14:paraId="4F8B3B70" w14:textId="05453045" w:rsidR="000A5A2E" w:rsidRPr="006E7E84" w:rsidRDefault="000A5A2E" w:rsidP="0036581E">
      <w:pPr>
        <w:pStyle w:val="Heading4"/>
      </w:pPr>
      <w:r w:rsidRPr="006E7E84">
        <w:t>Regulatory Information</w:t>
      </w:r>
    </w:p>
    <w:p w14:paraId="2B741846" w14:textId="4FD0331F" w:rsidR="000A5A2E" w:rsidRPr="006E7E84" w:rsidRDefault="00A14B5D" w:rsidP="00C047EE">
      <w:pPr>
        <w:rPr>
          <w:rFonts w:cs="Arial"/>
          <w:b/>
          <w:szCs w:val="16"/>
          <w:shd w:val="clear" w:color="auto" w:fill="FFFFFF"/>
        </w:rPr>
      </w:pPr>
      <w:r w:rsidRPr="006E7E84">
        <w:rPr>
          <w:rFonts w:cs="Arial"/>
          <w:b/>
          <w:szCs w:val="16"/>
        </w:rPr>
        <w:t xml:space="preserve">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w:t>
      </w:r>
      <w:r w:rsidR="006E7E84" w:rsidRPr="006E7E84">
        <w:rPr>
          <w:rFonts w:cs="Arial"/>
          <w:b/>
          <w:szCs w:val="16"/>
        </w:rPr>
        <w:br/>
      </w:r>
      <w:r w:rsidRPr="006E7E84">
        <w:rPr>
          <w:rFonts w:cs="Arial"/>
          <w:b/>
          <w:szCs w:val="16"/>
        </w:rPr>
        <w:t>[20 U.S.C. 1412 (a)(16)(D); 34 CFR §300.160(f)]</w:t>
      </w:r>
    </w:p>
    <w:p w14:paraId="1FD3EE14" w14:textId="6446691C" w:rsidR="000A5A2E" w:rsidRPr="006E7E84" w:rsidRDefault="000A5A2E" w:rsidP="0036581E">
      <w:pPr>
        <w:pStyle w:val="Heading4"/>
      </w:pPr>
      <w:r w:rsidRPr="006E7E84">
        <w:t>Public Reporting Information</w:t>
      </w:r>
    </w:p>
    <w:p w14:paraId="20613508" w14:textId="2D143118" w:rsidR="000A5A2E" w:rsidRPr="006E7E84" w:rsidRDefault="000A5A2E" w:rsidP="00C047EE">
      <w:pPr>
        <w:rPr>
          <w:rFonts w:cs="Arial"/>
          <w:b/>
          <w:szCs w:val="16"/>
        </w:rPr>
      </w:pPr>
      <w:r w:rsidRPr="006E7E84">
        <w:rPr>
          <w:rFonts w:cs="Arial"/>
          <w:b/>
          <w:szCs w:val="16"/>
        </w:rPr>
        <w:t>Provide links to the page(s) where you provide public reports of assessment results.</w:t>
      </w:r>
    </w:p>
    <w:p w14:paraId="20B7F7D4" w14:textId="2B9ADAD5" w:rsidR="006E7E84" w:rsidRPr="006E7E84" w:rsidRDefault="00DD3719" w:rsidP="007D6196">
      <w:pPr>
        <w:pStyle w:val="ListParagraph"/>
        <w:numPr>
          <w:ilvl w:val="0"/>
          <w:numId w:val="15"/>
        </w:numPr>
        <w:contextualSpacing w:val="0"/>
        <w:rPr>
          <w:rFonts w:cs="Arial"/>
          <w:szCs w:val="16"/>
          <w:shd w:val="clear" w:color="auto" w:fill="FFFFFF"/>
        </w:rPr>
      </w:pPr>
      <w:r w:rsidRPr="006E7E84">
        <w:rPr>
          <w:rFonts w:cs="Arial"/>
          <w:szCs w:val="16"/>
          <w:shd w:val="clear" w:color="auto" w:fill="FFFFFF"/>
        </w:rPr>
        <w:t xml:space="preserve">Reporting of the Measures of Academic Success data in accordance with 34 CFR §300.160(f) can be found at: </w:t>
      </w:r>
      <w:r w:rsidR="009615F9" w:rsidRPr="009615F9">
        <w:rPr>
          <w:rFonts w:cs="Arial"/>
          <w:szCs w:val="16"/>
        </w:rPr>
        <w:t>https://www.doe.virginia.gov/?navid=250</w:t>
      </w:r>
      <w:r w:rsidRPr="006E7E84">
        <w:rPr>
          <w:rFonts w:cs="Arial"/>
          <w:color w:val="000000" w:themeColor="text1"/>
          <w:szCs w:val="16"/>
          <w:shd w:val="clear" w:color="auto" w:fill="FFFFFF"/>
        </w:rPr>
        <w:t xml:space="preserve"> (scroll to </w:t>
      </w:r>
      <w:r w:rsidRPr="006E7E84">
        <w:rPr>
          <w:rFonts w:cs="Arial"/>
          <w:szCs w:val="16"/>
          <w:shd w:val="clear" w:color="auto" w:fill="FFFFFF"/>
        </w:rPr>
        <w:t>2020-2021 at bottom of the page)</w:t>
      </w:r>
    </w:p>
    <w:p w14:paraId="4E2B0625" w14:textId="400EF735" w:rsidR="006E7E84" w:rsidRPr="006E7E84" w:rsidRDefault="00DD3719" w:rsidP="007D6196">
      <w:pPr>
        <w:pStyle w:val="ListParagraph"/>
        <w:numPr>
          <w:ilvl w:val="0"/>
          <w:numId w:val="16"/>
        </w:numPr>
        <w:ind w:left="1440"/>
        <w:contextualSpacing w:val="0"/>
        <w:rPr>
          <w:rFonts w:cs="Arial"/>
          <w:szCs w:val="16"/>
          <w:shd w:val="clear" w:color="auto" w:fill="FFFFFF"/>
        </w:rPr>
      </w:pPr>
      <w:r w:rsidRPr="006E7E84">
        <w:rPr>
          <w:rFonts w:cs="Arial"/>
          <w:szCs w:val="16"/>
          <w:shd w:val="clear" w:color="auto" w:fill="FFFFFF"/>
        </w:rPr>
        <w:t>Part B Assessment - Table 6</w:t>
      </w:r>
    </w:p>
    <w:p w14:paraId="061C104A" w14:textId="0C032500" w:rsidR="006E7E84" w:rsidRPr="006E7E84" w:rsidRDefault="00DD3719" w:rsidP="007D6196">
      <w:pPr>
        <w:pStyle w:val="ListParagraph"/>
        <w:numPr>
          <w:ilvl w:val="0"/>
          <w:numId w:val="16"/>
        </w:numPr>
        <w:ind w:left="1440"/>
        <w:contextualSpacing w:val="0"/>
        <w:rPr>
          <w:rFonts w:cs="Arial"/>
          <w:szCs w:val="16"/>
          <w:shd w:val="clear" w:color="auto" w:fill="FFFFFF"/>
        </w:rPr>
      </w:pPr>
      <w:r w:rsidRPr="006E7E84">
        <w:rPr>
          <w:rFonts w:cs="Arial"/>
          <w:szCs w:val="16"/>
          <w:shd w:val="clear" w:color="auto" w:fill="FFFFFF"/>
        </w:rPr>
        <w:t>Part B Assessment - State, Division, and School Levels</w:t>
      </w:r>
    </w:p>
    <w:p w14:paraId="518676B9" w14:textId="4E728A74" w:rsidR="006E7E84" w:rsidRPr="004D27CF" w:rsidRDefault="00DD3719" w:rsidP="007D6196">
      <w:pPr>
        <w:pStyle w:val="ListParagraph"/>
        <w:numPr>
          <w:ilvl w:val="0"/>
          <w:numId w:val="15"/>
        </w:numPr>
        <w:contextualSpacing w:val="0"/>
        <w:rPr>
          <w:rFonts w:cs="Arial"/>
          <w:color w:val="000000" w:themeColor="text1"/>
          <w:szCs w:val="16"/>
          <w:shd w:val="clear" w:color="auto" w:fill="FFFFFF"/>
        </w:rPr>
      </w:pPr>
      <w:r w:rsidRPr="004D27CF">
        <w:rPr>
          <w:rFonts w:cs="Arial"/>
          <w:szCs w:val="16"/>
          <w:shd w:val="clear" w:color="auto" w:fill="FFFFFF"/>
        </w:rPr>
        <w:t>In addition, Virginia’s State Quality Profile provides information about student achievement for all children, including children with disabilities, across all subjects, proficiency levels, and participation rates at Student achievement http://schoolquality.virginia.gov/virginia-state-quality-profile#desktopTabs-2 and ESSA</w:t>
      </w:r>
      <w:r w:rsidR="004D27CF" w:rsidRPr="004D27CF">
        <w:rPr>
          <w:rFonts w:cs="Arial"/>
          <w:szCs w:val="16"/>
          <w:shd w:val="clear" w:color="auto" w:fill="FFFFFF"/>
        </w:rPr>
        <w:t xml:space="preserve"> - </w:t>
      </w:r>
      <w:r w:rsidR="006E7E84" w:rsidRPr="004D27CF">
        <w:rPr>
          <w:rFonts w:cs="Arial"/>
          <w:szCs w:val="16"/>
          <w:shd w:val="clear" w:color="auto" w:fill="FFFFFF"/>
        </w:rPr>
        <w:t>http://schoolquality.virginia.gov/virginia-state-quality-profile#desktopTabs-8</w:t>
      </w:r>
      <w:r w:rsidRPr="004D27CF">
        <w:rPr>
          <w:rFonts w:cs="Arial"/>
          <w:color w:val="000000" w:themeColor="text1"/>
          <w:szCs w:val="16"/>
          <w:shd w:val="clear" w:color="auto" w:fill="FFFFFF"/>
        </w:rPr>
        <w:t>.</w:t>
      </w:r>
    </w:p>
    <w:p w14:paraId="55D681D8" w14:textId="77777777" w:rsidR="006E7E84" w:rsidRPr="006E7E84" w:rsidRDefault="00DD3719" w:rsidP="007D6196">
      <w:pPr>
        <w:pStyle w:val="ListParagraph"/>
        <w:numPr>
          <w:ilvl w:val="0"/>
          <w:numId w:val="15"/>
        </w:numPr>
        <w:rPr>
          <w:rFonts w:cs="Arial"/>
          <w:szCs w:val="16"/>
        </w:rPr>
      </w:pPr>
      <w:r w:rsidRPr="006E7E84">
        <w:rPr>
          <w:rFonts w:cs="Arial"/>
          <w:szCs w:val="16"/>
          <w:shd w:val="clear" w:color="auto" w:fill="FFFFFF"/>
        </w:rPr>
        <w:lastRenderedPageBreak/>
        <w:t xml:space="preserve">Further disaggregation of the assessment data can be obtained by using the Build-A-Table to create reports on student performance by student subgroup (including students with disabilities) taking regular assessments, and alternate assessments based on alternate academic achievement standards at the State, </w:t>
      </w:r>
      <w:proofErr w:type="gramStart"/>
      <w:r w:rsidRPr="006E7E84">
        <w:rPr>
          <w:rFonts w:cs="Arial"/>
          <w:szCs w:val="16"/>
          <w:shd w:val="clear" w:color="auto" w:fill="FFFFFF"/>
        </w:rPr>
        <w:t>district</w:t>
      </w:r>
      <w:proofErr w:type="gramEnd"/>
      <w:r w:rsidRPr="006E7E84">
        <w:rPr>
          <w:rFonts w:cs="Arial"/>
          <w:szCs w:val="16"/>
          <w:shd w:val="clear" w:color="auto" w:fill="FFFFFF"/>
        </w:rPr>
        <w:t xml:space="preserve"> and school levels.</w:t>
      </w:r>
    </w:p>
    <w:p w14:paraId="1F0C4C7F" w14:textId="43E8D23F" w:rsidR="00A869E9" w:rsidRPr="006E7E84" w:rsidRDefault="00DD3719" w:rsidP="007D6196">
      <w:pPr>
        <w:pStyle w:val="ListParagraph"/>
        <w:rPr>
          <w:rFonts w:cs="Arial"/>
          <w:szCs w:val="16"/>
        </w:rPr>
      </w:pPr>
      <w:r w:rsidRPr="006E7E84">
        <w:rPr>
          <w:rFonts w:cs="Arial"/>
          <w:szCs w:val="16"/>
          <w:shd w:val="clear" w:color="auto" w:fill="FFFFFF"/>
        </w:rPr>
        <w:t>https://p1pe.doe.virginia.gov/buildatable/testresults</w:t>
      </w:r>
    </w:p>
    <w:p w14:paraId="32BCE51B" w14:textId="77777777" w:rsidR="00796DC0" w:rsidRPr="006E7E84" w:rsidRDefault="00796DC0" w:rsidP="0036581E">
      <w:pPr>
        <w:pStyle w:val="Heading4"/>
      </w:pPr>
      <w:r w:rsidRPr="006E7E84">
        <w:t>Provide additional information about this indicator (optional)</w:t>
      </w:r>
    </w:p>
    <w:p w14:paraId="19728EE3" w14:textId="7FE6C853" w:rsidR="00A869E9" w:rsidRPr="007D6196" w:rsidRDefault="002B7490" w:rsidP="00314F94">
      <w:pPr>
        <w:pStyle w:val="ListParagraph"/>
        <w:numPr>
          <w:ilvl w:val="0"/>
          <w:numId w:val="104"/>
        </w:numPr>
        <w:rPr>
          <w:rFonts w:cs="Arial"/>
          <w:szCs w:val="16"/>
        </w:rPr>
      </w:pPr>
      <w:r w:rsidRPr="007D6196">
        <w:rPr>
          <w:rFonts w:cs="Arial"/>
          <w:szCs w:val="16"/>
          <w:shd w:val="clear" w:color="auto" w:fill="FFFFFF"/>
        </w:rPr>
        <w:t>The baseline data was revised due to a change in the methodology (measurement table) for the indicator that impacts comparability of the data. The new baseline year is FFY 2020.</w:t>
      </w:r>
    </w:p>
    <w:p w14:paraId="1C326C48" w14:textId="1B3ADE94" w:rsidR="000A2C83" w:rsidRPr="006E7E84" w:rsidRDefault="00573F6C" w:rsidP="00C047EE">
      <w:pPr>
        <w:pStyle w:val="Heading3"/>
        <w:rPr>
          <w:color w:val="auto"/>
        </w:rPr>
      </w:pPr>
      <w:r w:rsidRPr="006E7E84">
        <w:rPr>
          <w:color w:val="auto"/>
        </w:rPr>
        <w:t>3C</w:t>
      </w:r>
      <w:r w:rsidR="00BB4FD7" w:rsidRPr="006E7E84">
        <w:rPr>
          <w:color w:val="auto"/>
        </w:rPr>
        <w:t xml:space="preserve"> </w:t>
      </w:r>
      <w:r w:rsidRPr="006E7E84">
        <w:rPr>
          <w:color w:val="auto"/>
        </w:rPr>
        <w:t xml:space="preserve">- </w:t>
      </w:r>
      <w:r w:rsidR="000A2C83" w:rsidRPr="006E7E84">
        <w:rPr>
          <w:color w:val="auto"/>
        </w:rPr>
        <w:t>Prior FFY Required Actions</w:t>
      </w:r>
    </w:p>
    <w:p w14:paraId="0EFAA7F7" w14:textId="69D3CB0A" w:rsidR="00247959" w:rsidRPr="007D6196" w:rsidRDefault="002B7490" w:rsidP="00314F94">
      <w:pPr>
        <w:pStyle w:val="ListParagraph"/>
        <w:numPr>
          <w:ilvl w:val="0"/>
          <w:numId w:val="105"/>
        </w:numPr>
        <w:rPr>
          <w:rFonts w:cs="Arial"/>
          <w:szCs w:val="16"/>
        </w:rPr>
      </w:pPr>
      <w:r w:rsidRPr="007D6196">
        <w:rPr>
          <w:rFonts w:cs="Arial"/>
          <w:szCs w:val="16"/>
        </w:rPr>
        <w:t>None</w:t>
      </w:r>
    </w:p>
    <w:p w14:paraId="1E98E6A2" w14:textId="3C798D76" w:rsidR="00796DC0" w:rsidRPr="006E7E84" w:rsidRDefault="00573F6C" w:rsidP="00C047EE">
      <w:pPr>
        <w:pStyle w:val="Heading3"/>
        <w:rPr>
          <w:color w:val="auto"/>
        </w:rPr>
      </w:pPr>
      <w:r w:rsidRPr="006E7E84">
        <w:rPr>
          <w:color w:val="auto"/>
        </w:rPr>
        <w:t>3C - OSEP Response</w:t>
      </w:r>
    </w:p>
    <w:p w14:paraId="2DB4E738" w14:textId="77777777" w:rsidR="006E7E84" w:rsidRPr="007D6196" w:rsidRDefault="003D7F56" w:rsidP="00314F94">
      <w:pPr>
        <w:pStyle w:val="ListParagraph"/>
        <w:numPr>
          <w:ilvl w:val="0"/>
          <w:numId w:val="106"/>
        </w:numPr>
        <w:rPr>
          <w:rFonts w:cs="Arial"/>
          <w:szCs w:val="16"/>
          <w:shd w:val="clear" w:color="auto" w:fill="FFFFFF"/>
        </w:rPr>
      </w:pPr>
      <w:r w:rsidRPr="007D6196">
        <w:rPr>
          <w:rFonts w:cs="Arial"/>
          <w:szCs w:val="16"/>
          <w:shd w:val="clear" w:color="auto" w:fill="FFFFFF"/>
        </w:rPr>
        <w:t>The State has revised the baseline for this indicator, using data from FFY 2020, and OSEP accepts that revision.</w:t>
      </w:r>
    </w:p>
    <w:p w14:paraId="00F92388" w14:textId="77777777" w:rsidR="006E7E84" w:rsidRPr="006E7E84" w:rsidRDefault="003D7F56" w:rsidP="004C1EC0">
      <w:pPr>
        <w:ind w:left="720"/>
        <w:rPr>
          <w:rFonts w:cs="Arial"/>
          <w:szCs w:val="16"/>
          <w:shd w:val="clear" w:color="auto" w:fill="FFFFFF"/>
        </w:rPr>
      </w:pPr>
      <w:r w:rsidRPr="006E7E84">
        <w:rPr>
          <w:rFonts w:cs="Arial"/>
          <w:szCs w:val="16"/>
          <w:shd w:val="clear" w:color="auto" w:fill="FFFFFF"/>
        </w:rPr>
        <w:t>The State provided targets for FFYs 2020 through 2025 for this indicator, and OSEP accepts those targets.</w:t>
      </w:r>
    </w:p>
    <w:p w14:paraId="742F0548" w14:textId="6CEF450A" w:rsidR="00A869E9" w:rsidRPr="006E7E84" w:rsidRDefault="003D7F56" w:rsidP="004C1EC0">
      <w:pPr>
        <w:ind w:left="720"/>
        <w:rPr>
          <w:rFonts w:cs="Arial"/>
          <w:szCs w:val="16"/>
          <w:shd w:val="clear" w:color="auto" w:fill="FFFFFF"/>
        </w:rPr>
      </w:pPr>
      <w:r w:rsidRPr="006E7E84">
        <w:rPr>
          <w:rFonts w:cs="Arial"/>
          <w:szCs w:val="16"/>
          <w:shd w:val="clear" w:color="auto" w:fill="FFFFFF"/>
        </w:rPr>
        <w:t>The State reported that zero children with IEPs received a valid score and a proficiency level for the alternate RLA assessment for grades 4, 8, and HS for this indicator. However, the State reported participation rates for these children in Indicator 3A and provided FFY 2020 data in the Historical Table.</w:t>
      </w:r>
    </w:p>
    <w:p w14:paraId="0774F476" w14:textId="1E34BC77" w:rsidR="00796DC0" w:rsidRPr="006E7E84" w:rsidRDefault="00573F6C" w:rsidP="00C047EE">
      <w:pPr>
        <w:pStyle w:val="Heading3"/>
        <w:rPr>
          <w:color w:val="auto"/>
        </w:rPr>
      </w:pPr>
      <w:r w:rsidRPr="006E7E84">
        <w:rPr>
          <w:color w:val="auto"/>
        </w:rPr>
        <w:t>3C - Required Actions</w:t>
      </w:r>
    </w:p>
    <w:p w14:paraId="5933CC1B" w14:textId="70D4CAAE" w:rsidR="00A63347" w:rsidRPr="007D6196" w:rsidRDefault="003D7F56" w:rsidP="00314F94">
      <w:pPr>
        <w:pStyle w:val="ListParagraph"/>
        <w:numPr>
          <w:ilvl w:val="0"/>
          <w:numId w:val="107"/>
        </w:numPr>
        <w:rPr>
          <w:rFonts w:cs="Arial"/>
          <w:szCs w:val="16"/>
          <w:shd w:val="clear" w:color="auto" w:fill="FFFFFF"/>
        </w:rPr>
      </w:pPr>
      <w:r w:rsidRPr="007D6196">
        <w:rPr>
          <w:rFonts w:cs="Arial"/>
          <w:szCs w:val="16"/>
          <w:shd w:val="clear" w:color="auto" w:fill="FFFFFF"/>
        </w:rPr>
        <w:t>The State reported that zero children with IEPs received a valid score and a proficiency level for the alternate RLA assessment for grades 4, 8, and HS for this indicator. However, the State reported participation rates for these children in Indicator 3A and provided FFY 2020 data in the Historical Table. With the FFY 2021 SPP/APR, the State must explain this discrepancy and include accurate data for this indicator.</w:t>
      </w:r>
      <w:r w:rsidR="00A63347" w:rsidRPr="007D6196">
        <w:rPr>
          <w:rFonts w:cs="Arial"/>
          <w:szCs w:val="16"/>
          <w:shd w:val="clear" w:color="auto" w:fill="FFFFFF"/>
        </w:rPr>
        <w:br w:type="page"/>
      </w:r>
    </w:p>
    <w:p w14:paraId="04EE5889" w14:textId="73DDCB24" w:rsidR="00764DDE" w:rsidRPr="006E7E84" w:rsidRDefault="00764DDE" w:rsidP="008143AB">
      <w:pPr>
        <w:pStyle w:val="Heading2"/>
      </w:pPr>
      <w:r w:rsidRPr="006E7E84">
        <w:lastRenderedPageBreak/>
        <w:t>Indicator 3D: Gap in Proficiency Rates (Grade Level Academic Achievement Standards)</w:t>
      </w:r>
    </w:p>
    <w:p w14:paraId="46C730FF" w14:textId="77777777" w:rsidR="00764DDE" w:rsidRPr="006E7E84" w:rsidRDefault="00764DDE" w:rsidP="0036581E">
      <w:pPr>
        <w:pStyle w:val="Heading3"/>
        <w:spacing w:before="240"/>
      </w:pPr>
      <w:r w:rsidRPr="006E7E84">
        <w:t>Instructions and Measurement</w:t>
      </w:r>
    </w:p>
    <w:p w14:paraId="62AF8D70" w14:textId="77777777" w:rsidR="00764DDE" w:rsidRPr="006E7E84" w:rsidRDefault="00764DDE" w:rsidP="006E7E84">
      <w:r w:rsidRPr="006E7E84">
        <w:rPr>
          <w:b/>
        </w:rPr>
        <w:t>Monitoring Priority:</w:t>
      </w:r>
      <w:r w:rsidRPr="006E7E84">
        <w:t xml:space="preserve"> FAPE in the LRE</w:t>
      </w:r>
    </w:p>
    <w:p w14:paraId="03D1E39F" w14:textId="77777777" w:rsidR="00764DDE" w:rsidRPr="006E7E84" w:rsidRDefault="00764DDE" w:rsidP="006E7E84">
      <w:pPr>
        <w:rPr>
          <w:rFonts w:cs="Arial"/>
          <w:szCs w:val="16"/>
        </w:rPr>
      </w:pPr>
      <w:r w:rsidRPr="006E7E84">
        <w:rPr>
          <w:rFonts w:cs="Arial"/>
          <w:b/>
          <w:szCs w:val="16"/>
        </w:rPr>
        <w:t>Results indicator</w:t>
      </w:r>
      <w:r w:rsidRPr="006E7E84">
        <w:rPr>
          <w:rFonts w:cs="Arial"/>
          <w:szCs w:val="16"/>
        </w:rPr>
        <w:t>: Participation and performance of children with IEPs on statewide assessments:</w:t>
      </w:r>
    </w:p>
    <w:p w14:paraId="39C0DF3F" w14:textId="5EA18328" w:rsidR="00876D2A" w:rsidRPr="006E7E84" w:rsidRDefault="00876D2A" w:rsidP="00155DFD">
      <w:pPr>
        <w:pStyle w:val="ListParagraph"/>
        <w:numPr>
          <w:ilvl w:val="0"/>
          <w:numId w:val="17"/>
        </w:numPr>
        <w:contextualSpacing w:val="0"/>
        <w:rPr>
          <w:rFonts w:cs="Arial"/>
          <w:szCs w:val="16"/>
        </w:rPr>
      </w:pPr>
      <w:r w:rsidRPr="006E7E84">
        <w:rPr>
          <w:rFonts w:cs="Arial"/>
          <w:szCs w:val="16"/>
        </w:rPr>
        <w:t>Participation rate for children with IEPs.</w:t>
      </w:r>
    </w:p>
    <w:p w14:paraId="37414902" w14:textId="082517AC" w:rsidR="00876D2A" w:rsidRPr="006E7E84" w:rsidRDefault="00876D2A" w:rsidP="00155DFD">
      <w:pPr>
        <w:pStyle w:val="ListParagraph"/>
        <w:numPr>
          <w:ilvl w:val="0"/>
          <w:numId w:val="17"/>
        </w:numPr>
        <w:contextualSpacing w:val="0"/>
        <w:rPr>
          <w:rFonts w:cs="Arial"/>
          <w:szCs w:val="16"/>
        </w:rPr>
      </w:pPr>
      <w:r w:rsidRPr="006E7E84">
        <w:rPr>
          <w:rFonts w:cs="Arial"/>
          <w:szCs w:val="16"/>
        </w:rPr>
        <w:t>Proficiency rate for children with IEPs against grade level academic achievement standards.</w:t>
      </w:r>
    </w:p>
    <w:p w14:paraId="5E9A9263" w14:textId="1209E872" w:rsidR="00876D2A" w:rsidRPr="006E7E84" w:rsidRDefault="00876D2A" w:rsidP="00155DFD">
      <w:pPr>
        <w:pStyle w:val="ListParagraph"/>
        <w:numPr>
          <w:ilvl w:val="0"/>
          <w:numId w:val="17"/>
        </w:numPr>
        <w:contextualSpacing w:val="0"/>
        <w:rPr>
          <w:rFonts w:cs="Arial"/>
          <w:szCs w:val="16"/>
        </w:rPr>
      </w:pPr>
      <w:r w:rsidRPr="006E7E84">
        <w:rPr>
          <w:rFonts w:cs="Arial"/>
          <w:szCs w:val="16"/>
        </w:rPr>
        <w:t>Proficiency rate for children with IEPs against alternate academic achievement standards.</w:t>
      </w:r>
    </w:p>
    <w:p w14:paraId="6AEED6CC" w14:textId="2127116B" w:rsidR="00876D2A" w:rsidRPr="006E7E84" w:rsidRDefault="00876D2A" w:rsidP="00155DFD">
      <w:pPr>
        <w:pStyle w:val="ListParagraph"/>
        <w:numPr>
          <w:ilvl w:val="0"/>
          <w:numId w:val="17"/>
        </w:numPr>
        <w:contextualSpacing w:val="0"/>
        <w:rPr>
          <w:rFonts w:cs="Arial"/>
          <w:szCs w:val="16"/>
        </w:rPr>
      </w:pPr>
      <w:r w:rsidRPr="006E7E84">
        <w:rPr>
          <w:rFonts w:cs="Arial"/>
          <w:szCs w:val="16"/>
        </w:rPr>
        <w:t>Gap in proficiency rates for children with IEPs and all students against grade level academic achievement standards.</w:t>
      </w:r>
    </w:p>
    <w:p w14:paraId="67B35375" w14:textId="77777777" w:rsidR="00876D2A" w:rsidRPr="006E7E84" w:rsidRDefault="00876D2A" w:rsidP="006E7E84">
      <w:pPr>
        <w:rPr>
          <w:rFonts w:cs="Arial"/>
          <w:szCs w:val="16"/>
        </w:rPr>
      </w:pPr>
      <w:r w:rsidRPr="006E7E84">
        <w:rPr>
          <w:rFonts w:cs="Arial"/>
          <w:szCs w:val="16"/>
        </w:rPr>
        <w:t>(20 U.S.C. 1416 (a)(3)(A))</w:t>
      </w:r>
    </w:p>
    <w:p w14:paraId="0BC18EE2" w14:textId="77777777" w:rsidR="00764DDE" w:rsidRPr="006E7E84" w:rsidRDefault="00764DDE" w:rsidP="0036581E">
      <w:pPr>
        <w:pStyle w:val="Heading4"/>
      </w:pPr>
      <w:r w:rsidRPr="006E7E84">
        <w:t>Data Source</w:t>
      </w:r>
    </w:p>
    <w:p w14:paraId="3AB8B5B6" w14:textId="77777777" w:rsidR="00876D2A" w:rsidRPr="006E7E84" w:rsidRDefault="00876D2A" w:rsidP="006E7E84">
      <w:pPr>
        <w:rPr>
          <w:rFonts w:cs="Arial"/>
          <w:szCs w:val="16"/>
        </w:rPr>
      </w:pPr>
      <w:r w:rsidRPr="006E7E84">
        <w:rPr>
          <w:rFonts w:cs="Arial"/>
          <w:szCs w:val="16"/>
        </w:rPr>
        <w:t xml:space="preserve">3D. Same data as used for reporting to the Department under Title I of the ESEA, using </w:t>
      </w:r>
      <w:proofErr w:type="spellStart"/>
      <w:r w:rsidRPr="006E7E84">
        <w:rPr>
          <w:rFonts w:cs="Arial"/>
          <w:szCs w:val="16"/>
        </w:rPr>
        <w:t>EDFacts</w:t>
      </w:r>
      <w:proofErr w:type="spellEnd"/>
      <w:r w:rsidRPr="006E7E84">
        <w:rPr>
          <w:rFonts w:cs="Arial"/>
          <w:szCs w:val="16"/>
        </w:rPr>
        <w:t xml:space="preserve"> file specifications FS175 and 178.</w:t>
      </w:r>
    </w:p>
    <w:p w14:paraId="7A02CC2C" w14:textId="77777777" w:rsidR="00764DDE" w:rsidRPr="006E7E84" w:rsidRDefault="00764DDE" w:rsidP="0036581E">
      <w:pPr>
        <w:pStyle w:val="Heading4"/>
      </w:pPr>
      <w:r w:rsidRPr="006E7E84">
        <w:t>Measurement</w:t>
      </w:r>
    </w:p>
    <w:p w14:paraId="4FEF37F2" w14:textId="5815CC66" w:rsidR="00876D2A" w:rsidRPr="006E7E84" w:rsidRDefault="00876D2A" w:rsidP="00155DFD">
      <w:pPr>
        <w:pStyle w:val="ListParagraph"/>
        <w:numPr>
          <w:ilvl w:val="0"/>
          <w:numId w:val="18"/>
        </w:numPr>
        <w:ind w:left="270" w:hanging="270"/>
        <w:rPr>
          <w:rFonts w:cs="Arial"/>
          <w:szCs w:val="16"/>
        </w:rPr>
      </w:pPr>
      <w:r w:rsidRPr="006E7E84">
        <w:rPr>
          <w:rFonts w:cs="Arial"/>
          <w:szCs w:val="16"/>
        </w:rPr>
        <w:t>Proficiency rate gap = [(proficiency rate for children with IEPs scoring at or above proficient against grade level academic achievement standards for the 2020-2021 school year) subtracted from the (proficiency rate for all students scoring at or above proficient against grade level academic achievement standards for the 2020-2021 school year)]. Calculate separately for reading and math. Calculate separately for grades 4, 8, and high school. The proficiency rate includes all children enrolled for a full academic year and those not enrolled for a full academic year.</w:t>
      </w:r>
    </w:p>
    <w:p w14:paraId="6C84B002" w14:textId="77777777" w:rsidR="006E7E84" w:rsidRPr="006E7E84" w:rsidRDefault="00764DDE" w:rsidP="0036581E">
      <w:pPr>
        <w:pStyle w:val="Heading4"/>
      </w:pPr>
      <w:r w:rsidRPr="006E7E84">
        <w:t>Instructions</w:t>
      </w:r>
    </w:p>
    <w:p w14:paraId="2DA10C4B" w14:textId="77777777" w:rsidR="006E7E84" w:rsidRPr="00867A00" w:rsidRDefault="00876D2A" w:rsidP="00867A00">
      <w:pPr>
        <w:rPr>
          <w:bCs/>
        </w:rPr>
      </w:pPr>
      <w:r w:rsidRPr="00867A00">
        <w:rPr>
          <w:bCs/>
        </w:rPr>
        <w:t>Describe the results of the calculations and compare the results to the targets.  Provide the actual numbers used in the calculation.</w:t>
      </w:r>
    </w:p>
    <w:p w14:paraId="420D378A" w14:textId="77777777" w:rsidR="006E7E84" w:rsidRPr="00867A00" w:rsidRDefault="00876D2A" w:rsidP="00867A00">
      <w:pPr>
        <w:rPr>
          <w:bCs/>
        </w:rPr>
      </w:pPr>
      <w:r w:rsidRPr="00867A00">
        <w:rPr>
          <w:bCs/>
        </w:rPr>
        <w:t xml:space="preserve">Include information regarding where to find public reports of assessment participation and performance results, as required by 34 CFR §300.160(f), </w:t>
      </w:r>
      <w:r w:rsidRPr="00867A00">
        <w:rPr>
          <w:bCs/>
          <w:i/>
        </w:rPr>
        <w:t>i.e.</w:t>
      </w:r>
      <w:r w:rsidRPr="00867A00">
        <w:rPr>
          <w:bCs/>
        </w:rPr>
        <w:t>, a link to the Web site where these data are reported.</w:t>
      </w:r>
    </w:p>
    <w:p w14:paraId="6D783CD1" w14:textId="2EF9D92C" w:rsidR="00876D2A" w:rsidRPr="006E7E84" w:rsidRDefault="00876D2A" w:rsidP="00867A00">
      <w:r w:rsidRPr="00867A00">
        <w:rPr>
          <w:bCs/>
        </w:rPr>
        <w:t xml:space="preserve">Indicator 3D: Gap calculations in this SPP/APR must result in the proficiency rate for children with IEPs were proficient against grade level academic achievement standards for the 2020-2021 school year compared to the proficiency rate for all students who were proficient against grade level academic achievement standards for the 2020-2021 school year. Calculate separately for reading/language arts and math in each of the following grades: 4, 8, and high school, including both </w:t>
      </w:r>
      <w:r w:rsidRPr="00867A00">
        <w:rPr>
          <w:bCs/>
        </w:rPr>
        <w:lastRenderedPageBreak/>
        <w:t>children enrolled for a full academic year and those not enrolled for a full academic year. Only include children with disabilities who had an IEP at the time of testing.</w:t>
      </w:r>
    </w:p>
    <w:p w14:paraId="272DFFEC" w14:textId="493A26BE" w:rsidR="00764DDE" w:rsidRPr="006E7E84" w:rsidRDefault="00764DDE" w:rsidP="006E7E84">
      <w:pPr>
        <w:pStyle w:val="Heading3"/>
        <w:rPr>
          <w:color w:val="auto"/>
        </w:rPr>
      </w:pPr>
      <w:r w:rsidRPr="006E7E84">
        <w:rPr>
          <w:color w:val="auto"/>
        </w:rPr>
        <w:t>3D - Indicator Data</w:t>
      </w:r>
    </w:p>
    <w:p w14:paraId="5E01F354" w14:textId="5347DB7D" w:rsidR="00DD5B7A" w:rsidRPr="006E7E84" w:rsidRDefault="00DD5B7A" w:rsidP="00815ACE">
      <w:pPr>
        <w:pStyle w:val="Caption"/>
      </w:pPr>
      <w:r w:rsidRPr="006E7E84">
        <w:t>Historical Data</w:t>
      </w:r>
      <w:r w:rsidR="0097256F">
        <w:t xml:space="preserve"> (3D)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baseline year and baseline data for this indicator."/>
      </w:tblPr>
      <w:tblGrid>
        <w:gridCol w:w="2158"/>
        <w:gridCol w:w="2158"/>
        <w:gridCol w:w="2158"/>
        <w:gridCol w:w="2158"/>
        <w:gridCol w:w="2158"/>
      </w:tblGrid>
      <w:tr w:rsidR="006E7E84" w:rsidRPr="006E7E84" w14:paraId="65AC4D07" w14:textId="77777777" w:rsidTr="00867A00">
        <w:trPr>
          <w:trHeight w:val="368"/>
          <w:tblHeader/>
        </w:trPr>
        <w:tc>
          <w:tcPr>
            <w:tcW w:w="1000" w:type="pct"/>
            <w:tcBorders>
              <w:top w:val="single" w:sz="4" w:space="0" w:color="auto"/>
            </w:tcBorders>
            <w:shd w:val="clear" w:color="auto" w:fill="D9D9D9" w:themeFill="background1" w:themeFillShade="D9"/>
            <w:vAlign w:val="center"/>
          </w:tcPr>
          <w:p w14:paraId="0BE0D6D4" w14:textId="77777777" w:rsidR="00DD5B7A" w:rsidRPr="006E7E84" w:rsidRDefault="00DD5B7A" w:rsidP="006E7E84">
            <w:pPr>
              <w:spacing w:after="0"/>
              <w:jc w:val="center"/>
              <w:rPr>
                <w:rFonts w:cs="Arial"/>
                <w:b/>
                <w:szCs w:val="16"/>
              </w:rPr>
            </w:pPr>
            <w:r w:rsidRPr="006E7E84">
              <w:rPr>
                <w:rFonts w:cs="Arial"/>
                <w:b/>
                <w:szCs w:val="16"/>
              </w:rPr>
              <w:t>Subject</w:t>
            </w:r>
          </w:p>
        </w:tc>
        <w:tc>
          <w:tcPr>
            <w:tcW w:w="1000" w:type="pct"/>
            <w:tcBorders>
              <w:top w:val="single" w:sz="4" w:space="0" w:color="auto"/>
            </w:tcBorders>
            <w:shd w:val="clear" w:color="auto" w:fill="D9D9D9" w:themeFill="background1" w:themeFillShade="D9"/>
            <w:vAlign w:val="center"/>
          </w:tcPr>
          <w:p w14:paraId="4B9E396A" w14:textId="77777777" w:rsidR="00DD5B7A" w:rsidRPr="006E7E84" w:rsidRDefault="00DD5B7A" w:rsidP="006E7E84">
            <w:pPr>
              <w:spacing w:after="0"/>
              <w:jc w:val="center"/>
              <w:rPr>
                <w:rFonts w:cs="Arial"/>
                <w:b/>
                <w:szCs w:val="16"/>
              </w:rPr>
            </w:pPr>
            <w:r w:rsidRPr="006E7E84">
              <w:rPr>
                <w:rFonts w:cs="Arial"/>
                <w:b/>
                <w:szCs w:val="16"/>
              </w:rPr>
              <w:t xml:space="preserve">Group </w:t>
            </w:r>
          </w:p>
        </w:tc>
        <w:tc>
          <w:tcPr>
            <w:tcW w:w="1000" w:type="pct"/>
            <w:tcBorders>
              <w:top w:val="single" w:sz="4" w:space="0" w:color="auto"/>
            </w:tcBorders>
            <w:shd w:val="clear" w:color="auto" w:fill="D9D9D9" w:themeFill="background1" w:themeFillShade="D9"/>
            <w:vAlign w:val="center"/>
          </w:tcPr>
          <w:p w14:paraId="100D6C68" w14:textId="77777777" w:rsidR="00DD5B7A" w:rsidRPr="006E7E84" w:rsidRDefault="00DD5B7A" w:rsidP="006E7E84">
            <w:pPr>
              <w:spacing w:after="0"/>
              <w:jc w:val="center"/>
              <w:rPr>
                <w:rFonts w:cs="Arial"/>
                <w:b/>
                <w:szCs w:val="16"/>
              </w:rPr>
            </w:pPr>
            <w:r w:rsidRPr="006E7E84">
              <w:rPr>
                <w:rFonts w:cs="Arial"/>
                <w:b/>
                <w:szCs w:val="16"/>
              </w:rPr>
              <w:t xml:space="preserve">Group Name </w:t>
            </w:r>
          </w:p>
        </w:tc>
        <w:tc>
          <w:tcPr>
            <w:tcW w:w="1000" w:type="pct"/>
            <w:tcBorders>
              <w:top w:val="single" w:sz="4" w:space="0" w:color="auto"/>
            </w:tcBorders>
            <w:shd w:val="clear" w:color="auto" w:fill="D9D9D9" w:themeFill="background1" w:themeFillShade="D9"/>
            <w:vAlign w:val="center"/>
          </w:tcPr>
          <w:p w14:paraId="6E047D89" w14:textId="77777777" w:rsidR="00DD5B7A" w:rsidRPr="006E7E84" w:rsidRDefault="00DD5B7A" w:rsidP="006E7E84">
            <w:pPr>
              <w:spacing w:after="0"/>
              <w:jc w:val="center"/>
              <w:rPr>
                <w:rFonts w:cs="Arial"/>
                <w:b/>
                <w:szCs w:val="16"/>
              </w:rPr>
            </w:pPr>
            <w:r w:rsidRPr="006E7E84">
              <w:rPr>
                <w:rFonts w:cs="Arial"/>
                <w:b/>
                <w:szCs w:val="16"/>
              </w:rPr>
              <w:t xml:space="preserve">Baseline Year </w:t>
            </w:r>
          </w:p>
        </w:tc>
        <w:tc>
          <w:tcPr>
            <w:tcW w:w="1000" w:type="pct"/>
            <w:tcBorders>
              <w:top w:val="single" w:sz="4" w:space="0" w:color="auto"/>
            </w:tcBorders>
            <w:shd w:val="clear" w:color="auto" w:fill="D9D9D9" w:themeFill="background1" w:themeFillShade="D9"/>
            <w:vAlign w:val="center"/>
          </w:tcPr>
          <w:p w14:paraId="3D50F3F8" w14:textId="77777777" w:rsidR="00DD5B7A" w:rsidRPr="006E7E84" w:rsidRDefault="00DD5B7A" w:rsidP="006E7E84">
            <w:pPr>
              <w:spacing w:after="0"/>
              <w:jc w:val="center"/>
              <w:rPr>
                <w:rFonts w:cs="Arial"/>
                <w:b/>
                <w:szCs w:val="16"/>
              </w:rPr>
            </w:pPr>
            <w:r w:rsidRPr="006E7E84">
              <w:rPr>
                <w:rFonts w:cs="Arial"/>
                <w:b/>
                <w:szCs w:val="16"/>
              </w:rPr>
              <w:t>Baseline Data</w:t>
            </w:r>
          </w:p>
        </w:tc>
      </w:tr>
      <w:tr w:rsidR="006E7E84" w:rsidRPr="006E7E84" w14:paraId="70B05A32" w14:textId="77777777" w:rsidTr="00867A00">
        <w:trPr>
          <w:trHeight w:val="432"/>
        </w:trPr>
        <w:tc>
          <w:tcPr>
            <w:tcW w:w="1000" w:type="pct"/>
            <w:vAlign w:val="center"/>
          </w:tcPr>
          <w:p w14:paraId="1E1400E1" w14:textId="77777777" w:rsidR="00DD5B7A" w:rsidRPr="006E7E84" w:rsidRDefault="00DD5B7A" w:rsidP="006E7E84">
            <w:pPr>
              <w:spacing w:after="0"/>
              <w:jc w:val="center"/>
              <w:rPr>
                <w:rFonts w:cs="Arial"/>
                <w:b/>
                <w:bCs/>
                <w:szCs w:val="16"/>
              </w:rPr>
            </w:pPr>
            <w:r w:rsidRPr="006E7E84">
              <w:rPr>
                <w:rFonts w:cs="Arial"/>
                <w:szCs w:val="16"/>
              </w:rPr>
              <w:t>Reading</w:t>
            </w:r>
          </w:p>
        </w:tc>
        <w:tc>
          <w:tcPr>
            <w:tcW w:w="1000" w:type="pct"/>
            <w:shd w:val="clear" w:color="auto" w:fill="auto"/>
            <w:vAlign w:val="center"/>
          </w:tcPr>
          <w:p w14:paraId="00726A78" w14:textId="77777777" w:rsidR="00DD5B7A" w:rsidRPr="006E7E84" w:rsidRDefault="00DD5B7A" w:rsidP="006E7E84">
            <w:pPr>
              <w:spacing w:after="0"/>
              <w:jc w:val="center"/>
              <w:rPr>
                <w:rFonts w:cs="Arial"/>
                <w:szCs w:val="16"/>
              </w:rPr>
            </w:pPr>
            <w:r w:rsidRPr="006E7E84">
              <w:rPr>
                <w:rFonts w:cs="Arial"/>
                <w:szCs w:val="16"/>
              </w:rPr>
              <w:t>A</w:t>
            </w:r>
          </w:p>
        </w:tc>
        <w:tc>
          <w:tcPr>
            <w:tcW w:w="1000" w:type="pct"/>
            <w:shd w:val="clear" w:color="auto" w:fill="auto"/>
            <w:vAlign w:val="center"/>
          </w:tcPr>
          <w:p w14:paraId="406B2FF2" w14:textId="0257EDF0" w:rsidR="00DD5B7A" w:rsidRPr="006E7E84" w:rsidRDefault="00DD5B7A" w:rsidP="006E7E84">
            <w:pPr>
              <w:spacing w:after="0"/>
              <w:jc w:val="center"/>
              <w:rPr>
                <w:rFonts w:cs="Arial"/>
                <w:szCs w:val="16"/>
              </w:rPr>
            </w:pPr>
            <w:r w:rsidRPr="006E7E84">
              <w:rPr>
                <w:rFonts w:cs="Arial"/>
                <w:szCs w:val="16"/>
              </w:rPr>
              <w:t>Grade 4</w:t>
            </w:r>
          </w:p>
        </w:tc>
        <w:tc>
          <w:tcPr>
            <w:tcW w:w="1000" w:type="pct"/>
            <w:shd w:val="clear" w:color="auto" w:fill="auto"/>
            <w:vAlign w:val="center"/>
          </w:tcPr>
          <w:p w14:paraId="6B1B3326" w14:textId="475D3617" w:rsidR="00DD5B7A" w:rsidRPr="006E7E84" w:rsidRDefault="00DD5B7A" w:rsidP="006E7E84">
            <w:pPr>
              <w:spacing w:after="0"/>
              <w:jc w:val="center"/>
              <w:rPr>
                <w:rFonts w:cs="Arial"/>
                <w:szCs w:val="16"/>
              </w:rPr>
            </w:pPr>
            <w:r w:rsidRPr="006E7E84">
              <w:rPr>
                <w:rFonts w:cs="Arial"/>
                <w:szCs w:val="16"/>
              </w:rPr>
              <w:t>2020</w:t>
            </w:r>
          </w:p>
        </w:tc>
        <w:tc>
          <w:tcPr>
            <w:tcW w:w="1000" w:type="pct"/>
            <w:vAlign w:val="center"/>
          </w:tcPr>
          <w:p w14:paraId="0D86351D" w14:textId="7DD98963" w:rsidR="00DD5B7A" w:rsidRPr="006E7E84" w:rsidRDefault="00DD5B7A" w:rsidP="006E7E84">
            <w:pPr>
              <w:spacing w:after="0"/>
              <w:jc w:val="center"/>
            </w:pPr>
            <w:r w:rsidRPr="006E7E84">
              <w:rPr>
                <w:rFonts w:cs="Arial"/>
                <w:szCs w:val="16"/>
              </w:rPr>
              <w:t>29.67</w:t>
            </w:r>
          </w:p>
        </w:tc>
      </w:tr>
      <w:tr w:rsidR="006E7E84" w:rsidRPr="006E7E84" w14:paraId="7DB1C775" w14:textId="77777777" w:rsidTr="00867A00">
        <w:trPr>
          <w:trHeight w:val="432"/>
        </w:trPr>
        <w:tc>
          <w:tcPr>
            <w:tcW w:w="1000" w:type="pct"/>
            <w:vAlign w:val="center"/>
          </w:tcPr>
          <w:p w14:paraId="38812700" w14:textId="77777777" w:rsidR="00DD5B7A" w:rsidRPr="006E7E84" w:rsidRDefault="00DD5B7A" w:rsidP="006E7E84">
            <w:pPr>
              <w:spacing w:after="0"/>
              <w:jc w:val="center"/>
              <w:rPr>
                <w:rFonts w:cs="Arial"/>
                <w:b/>
                <w:bCs/>
                <w:szCs w:val="16"/>
              </w:rPr>
            </w:pPr>
            <w:r w:rsidRPr="006E7E84">
              <w:rPr>
                <w:rFonts w:cs="Arial"/>
                <w:szCs w:val="16"/>
              </w:rPr>
              <w:t>Reading</w:t>
            </w:r>
          </w:p>
        </w:tc>
        <w:tc>
          <w:tcPr>
            <w:tcW w:w="1000" w:type="pct"/>
            <w:shd w:val="clear" w:color="auto" w:fill="auto"/>
            <w:vAlign w:val="center"/>
          </w:tcPr>
          <w:p w14:paraId="4DC20823" w14:textId="77777777" w:rsidR="00DD5B7A" w:rsidRPr="006E7E84" w:rsidRDefault="00DD5B7A" w:rsidP="006E7E84">
            <w:pPr>
              <w:spacing w:after="0"/>
              <w:jc w:val="center"/>
              <w:rPr>
                <w:rFonts w:cs="Arial"/>
                <w:szCs w:val="16"/>
              </w:rPr>
            </w:pPr>
            <w:r w:rsidRPr="006E7E84">
              <w:rPr>
                <w:rFonts w:cs="Arial"/>
                <w:szCs w:val="16"/>
              </w:rPr>
              <w:t>B</w:t>
            </w:r>
          </w:p>
        </w:tc>
        <w:tc>
          <w:tcPr>
            <w:tcW w:w="1000" w:type="pct"/>
            <w:shd w:val="clear" w:color="auto" w:fill="auto"/>
            <w:vAlign w:val="center"/>
          </w:tcPr>
          <w:p w14:paraId="27BEF817" w14:textId="375B6CFE" w:rsidR="00DD5B7A" w:rsidRPr="006E7E84" w:rsidRDefault="00DD5B7A" w:rsidP="006E7E84">
            <w:pPr>
              <w:spacing w:after="0"/>
              <w:jc w:val="center"/>
              <w:rPr>
                <w:rFonts w:cs="Arial"/>
                <w:szCs w:val="16"/>
              </w:rPr>
            </w:pPr>
            <w:r w:rsidRPr="006E7E84">
              <w:rPr>
                <w:rFonts w:cs="Arial"/>
                <w:szCs w:val="16"/>
              </w:rPr>
              <w:t>Grade 8</w:t>
            </w:r>
          </w:p>
        </w:tc>
        <w:tc>
          <w:tcPr>
            <w:tcW w:w="1000" w:type="pct"/>
            <w:shd w:val="clear" w:color="auto" w:fill="auto"/>
            <w:vAlign w:val="center"/>
          </w:tcPr>
          <w:p w14:paraId="644047DF" w14:textId="126BB3C2" w:rsidR="00DD5B7A" w:rsidRPr="006E7E84" w:rsidRDefault="00DD5B7A" w:rsidP="006E7E84">
            <w:pPr>
              <w:spacing w:after="0"/>
              <w:jc w:val="center"/>
              <w:rPr>
                <w:rFonts w:cs="Arial"/>
                <w:szCs w:val="16"/>
              </w:rPr>
            </w:pPr>
            <w:r w:rsidRPr="006E7E84">
              <w:rPr>
                <w:rFonts w:cs="Arial"/>
                <w:szCs w:val="16"/>
              </w:rPr>
              <w:t>2020</w:t>
            </w:r>
          </w:p>
        </w:tc>
        <w:tc>
          <w:tcPr>
            <w:tcW w:w="1000" w:type="pct"/>
            <w:vAlign w:val="center"/>
          </w:tcPr>
          <w:p w14:paraId="111214B9" w14:textId="3291E6FA" w:rsidR="00DD5B7A" w:rsidRPr="006E7E84" w:rsidRDefault="00DD5B7A" w:rsidP="006E7E84">
            <w:pPr>
              <w:spacing w:after="0"/>
              <w:jc w:val="center"/>
              <w:rPr>
                <w:rFonts w:cs="Arial"/>
                <w:szCs w:val="16"/>
              </w:rPr>
            </w:pPr>
            <w:r w:rsidRPr="006E7E84">
              <w:rPr>
                <w:rFonts w:cs="Arial"/>
                <w:szCs w:val="16"/>
              </w:rPr>
              <w:t>38.53</w:t>
            </w:r>
          </w:p>
        </w:tc>
      </w:tr>
      <w:tr w:rsidR="006E7E84" w:rsidRPr="006E7E84" w14:paraId="468C5707" w14:textId="77777777" w:rsidTr="00867A00">
        <w:trPr>
          <w:trHeight w:val="432"/>
        </w:trPr>
        <w:tc>
          <w:tcPr>
            <w:tcW w:w="1000" w:type="pct"/>
            <w:vAlign w:val="center"/>
          </w:tcPr>
          <w:p w14:paraId="283DD3EF" w14:textId="77777777" w:rsidR="00DD5B7A" w:rsidRPr="006E7E84" w:rsidRDefault="00DD5B7A" w:rsidP="006E7E84">
            <w:pPr>
              <w:spacing w:after="0"/>
              <w:jc w:val="center"/>
              <w:rPr>
                <w:rFonts w:cs="Arial"/>
                <w:b/>
                <w:bCs/>
                <w:szCs w:val="16"/>
              </w:rPr>
            </w:pPr>
            <w:r w:rsidRPr="006E7E84">
              <w:rPr>
                <w:rFonts w:cs="Arial"/>
                <w:szCs w:val="16"/>
              </w:rPr>
              <w:t>Reading</w:t>
            </w:r>
          </w:p>
        </w:tc>
        <w:tc>
          <w:tcPr>
            <w:tcW w:w="1000" w:type="pct"/>
            <w:shd w:val="clear" w:color="auto" w:fill="auto"/>
            <w:vAlign w:val="center"/>
          </w:tcPr>
          <w:p w14:paraId="66F83830" w14:textId="77777777" w:rsidR="00DD5B7A" w:rsidRPr="006E7E84" w:rsidRDefault="00DD5B7A" w:rsidP="006E7E84">
            <w:pPr>
              <w:spacing w:after="0"/>
              <w:jc w:val="center"/>
              <w:rPr>
                <w:rFonts w:cs="Arial"/>
                <w:szCs w:val="16"/>
              </w:rPr>
            </w:pPr>
            <w:r w:rsidRPr="006E7E84">
              <w:rPr>
                <w:rFonts w:cs="Arial"/>
                <w:szCs w:val="16"/>
              </w:rPr>
              <w:t>C</w:t>
            </w:r>
          </w:p>
        </w:tc>
        <w:tc>
          <w:tcPr>
            <w:tcW w:w="1000" w:type="pct"/>
            <w:shd w:val="clear" w:color="auto" w:fill="auto"/>
            <w:vAlign w:val="center"/>
          </w:tcPr>
          <w:p w14:paraId="5B906466" w14:textId="7AB9DEC7" w:rsidR="00DD5B7A" w:rsidRPr="006E7E84" w:rsidRDefault="00DD5B7A" w:rsidP="006E7E84">
            <w:pPr>
              <w:spacing w:after="0"/>
              <w:jc w:val="center"/>
              <w:rPr>
                <w:rFonts w:cs="Arial"/>
                <w:szCs w:val="16"/>
              </w:rPr>
            </w:pPr>
            <w:r w:rsidRPr="006E7E84">
              <w:rPr>
                <w:rFonts w:cs="Arial"/>
                <w:szCs w:val="16"/>
              </w:rPr>
              <w:t>Grade HS</w:t>
            </w:r>
          </w:p>
        </w:tc>
        <w:tc>
          <w:tcPr>
            <w:tcW w:w="1000" w:type="pct"/>
            <w:shd w:val="clear" w:color="auto" w:fill="auto"/>
            <w:vAlign w:val="center"/>
          </w:tcPr>
          <w:p w14:paraId="4D688A86" w14:textId="0A70602B" w:rsidR="00DD5B7A" w:rsidRPr="006E7E84" w:rsidRDefault="00DD5B7A" w:rsidP="006E7E84">
            <w:pPr>
              <w:spacing w:after="0"/>
              <w:jc w:val="center"/>
              <w:rPr>
                <w:rFonts w:cs="Arial"/>
                <w:szCs w:val="16"/>
              </w:rPr>
            </w:pPr>
            <w:r w:rsidRPr="006E7E84">
              <w:rPr>
                <w:rFonts w:cs="Arial"/>
                <w:szCs w:val="16"/>
              </w:rPr>
              <w:t>2020</w:t>
            </w:r>
          </w:p>
        </w:tc>
        <w:tc>
          <w:tcPr>
            <w:tcW w:w="1000" w:type="pct"/>
            <w:vAlign w:val="center"/>
          </w:tcPr>
          <w:p w14:paraId="3E971EFB" w14:textId="111D0794" w:rsidR="00DD5B7A" w:rsidRPr="006E7E84" w:rsidRDefault="00DD5B7A" w:rsidP="006E7E84">
            <w:pPr>
              <w:spacing w:after="0"/>
              <w:jc w:val="center"/>
              <w:rPr>
                <w:rFonts w:cs="Arial"/>
                <w:szCs w:val="16"/>
              </w:rPr>
            </w:pPr>
            <w:r w:rsidRPr="006E7E84">
              <w:rPr>
                <w:rFonts w:cs="Arial"/>
                <w:szCs w:val="16"/>
              </w:rPr>
              <w:t>33.54</w:t>
            </w:r>
          </w:p>
        </w:tc>
      </w:tr>
      <w:tr w:rsidR="006E7E84" w:rsidRPr="006E7E84" w14:paraId="40BEF17A" w14:textId="77777777" w:rsidTr="00867A00">
        <w:trPr>
          <w:trHeight w:val="432"/>
        </w:trPr>
        <w:tc>
          <w:tcPr>
            <w:tcW w:w="1000" w:type="pct"/>
            <w:vAlign w:val="center"/>
          </w:tcPr>
          <w:p w14:paraId="10F38B33" w14:textId="77777777" w:rsidR="00DD5B7A" w:rsidRPr="006E7E84" w:rsidRDefault="00DD5B7A" w:rsidP="006E7E84">
            <w:pPr>
              <w:spacing w:after="0"/>
              <w:jc w:val="center"/>
              <w:rPr>
                <w:rFonts w:cs="Arial"/>
                <w:b/>
                <w:bCs/>
                <w:szCs w:val="16"/>
              </w:rPr>
            </w:pPr>
            <w:r w:rsidRPr="006E7E84">
              <w:rPr>
                <w:rFonts w:cs="Arial"/>
                <w:szCs w:val="16"/>
              </w:rPr>
              <w:t>Math</w:t>
            </w:r>
          </w:p>
        </w:tc>
        <w:tc>
          <w:tcPr>
            <w:tcW w:w="1000" w:type="pct"/>
            <w:shd w:val="clear" w:color="auto" w:fill="auto"/>
            <w:vAlign w:val="center"/>
          </w:tcPr>
          <w:p w14:paraId="6A2FED54" w14:textId="77777777" w:rsidR="00DD5B7A" w:rsidRPr="006E7E84" w:rsidRDefault="00DD5B7A" w:rsidP="006E7E84">
            <w:pPr>
              <w:spacing w:after="0"/>
              <w:jc w:val="center"/>
              <w:rPr>
                <w:rFonts w:cs="Arial"/>
                <w:szCs w:val="16"/>
              </w:rPr>
            </w:pPr>
            <w:r w:rsidRPr="006E7E84">
              <w:rPr>
                <w:rFonts w:cs="Arial"/>
                <w:szCs w:val="16"/>
              </w:rPr>
              <w:t>A</w:t>
            </w:r>
          </w:p>
        </w:tc>
        <w:tc>
          <w:tcPr>
            <w:tcW w:w="1000" w:type="pct"/>
            <w:shd w:val="clear" w:color="auto" w:fill="auto"/>
            <w:vAlign w:val="center"/>
          </w:tcPr>
          <w:p w14:paraId="4BB0AC7F" w14:textId="3CC5AB81" w:rsidR="00DD5B7A" w:rsidRPr="006E7E84" w:rsidRDefault="00DD5B7A" w:rsidP="006E7E84">
            <w:pPr>
              <w:spacing w:after="0"/>
              <w:jc w:val="center"/>
              <w:rPr>
                <w:rFonts w:cs="Arial"/>
                <w:szCs w:val="16"/>
              </w:rPr>
            </w:pPr>
            <w:r w:rsidRPr="006E7E84">
              <w:rPr>
                <w:rFonts w:cs="Arial"/>
                <w:szCs w:val="16"/>
              </w:rPr>
              <w:t>Grade 4</w:t>
            </w:r>
          </w:p>
        </w:tc>
        <w:tc>
          <w:tcPr>
            <w:tcW w:w="1000" w:type="pct"/>
            <w:shd w:val="clear" w:color="auto" w:fill="auto"/>
            <w:vAlign w:val="center"/>
          </w:tcPr>
          <w:p w14:paraId="53D65D13" w14:textId="770510BC" w:rsidR="00DD5B7A" w:rsidRPr="006E7E84" w:rsidRDefault="00DD5B7A" w:rsidP="006E7E84">
            <w:pPr>
              <w:spacing w:after="0"/>
              <w:jc w:val="center"/>
              <w:rPr>
                <w:rFonts w:cs="Arial"/>
                <w:szCs w:val="16"/>
              </w:rPr>
            </w:pPr>
            <w:r w:rsidRPr="006E7E84">
              <w:rPr>
                <w:rFonts w:cs="Arial"/>
                <w:szCs w:val="16"/>
              </w:rPr>
              <w:t>2020</w:t>
            </w:r>
          </w:p>
        </w:tc>
        <w:tc>
          <w:tcPr>
            <w:tcW w:w="1000" w:type="pct"/>
            <w:vAlign w:val="center"/>
          </w:tcPr>
          <w:p w14:paraId="61BD930B" w14:textId="329DAC52" w:rsidR="00DD5B7A" w:rsidRPr="006E7E84" w:rsidRDefault="00DD5B7A" w:rsidP="006E7E84">
            <w:pPr>
              <w:spacing w:after="0"/>
              <w:jc w:val="center"/>
              <w:rPr>
                <w:rFonts w:cs="Arial"/>
                <w:szCs w:val="16"/>
              </w:rPr>
            </w:pPr>
            <w:r w:rsidRPr="006E7E84">
              <w:rPr>
                <w:rFonts w:cs="Arial"/>
                <w:szCs w:val="16"/>
              </w:rPr>
              <w:t>27.34</w:t>
            </w:r>
          </w:p>
        </w:tc>
      </w:tr>
      <w:tr w:rsidR="006E7E84" w:rsidRPr="006E7E84" w14:paraId="58025947" w14:textId="77777777" w:rsidTr="00867A00">
        <w:trPr>
          <w:trHeight w:val="432"/>
        </w:trPr>
        <w:tc>
          <w:tcPr>
            <w:tcW w:w="1000" w:type="pct"/>
            <w:vAlign w:val="center"/>
          </w:tcPr>
          <w:p w14:paraId="78429F0C" w14:textId="77777777" w:rsidR="00DD5B7A" w:rsidRPr="006E7E84" w:rsidRDefault="00DD5B7A" w:rsidP="006E7E84">
            <w:pPr>
              <w:spacing w:after="0"/>
              <w:jc w:val="center"/>
              <w:rPr>
                <w:rFonts w:cs="Arial"/>
                <w:b/>
                <w:bCs/>
                <w:szCs w:val="16"/>
              </w:rPr>
            </w:pPr>
            <w:r w:rsidRPr="006E7E84">
              <w:rPr>
                <w:rFonts w:cs="Arial"/>
                <w:szCs w:val="16"/>
              </w:rPr>
              <w:t>Math</w:t>
            </w:r>
          </w:p>
        </w:tc>
        <w:tc>
          <w:tcPr>
            <w:tcW w:w="1000" w:type="pct"/>
            <w:shd w:val="clear" w:color="auto" w:fill="auto"/>
            <w:vAlign w:val="center"/>
          </w:tcPr>
          <w:p w14:paraId="2EDC855F" w14:textId="77777777" w:rsidR="00DD5B7A" w:rsidRPr="006E7E84" w:rsidRDefault="00DD5B7A" w:rsidP="006E7E84">
            <w:pPr>
              <w:spacing w:after="0"/>
              <w:jc w:val="center"/>
              <w:rPr>
                <w:rFonts w:cs="Arial"/>
                <w:szCs w:val="16"/>
              </w:rPr>
            </w:pPr>
            <w:r w:rsidRPr="006E7E84">
              <w:rPr>
                <w:rFonts w:cs="Arial"/>
                <w:szCs w:val="16"/>
              </w:rPr>
              <w:t>B</w:t>
            </w:r>
          </w:p>
        </w:tc>
        <w:tc>
          <w:tcPr>
            <w:tcW w:w="1000" w:type="pct"/>
            <w:shd w:val="clear" w:color="auto" w:fill="auto"/>
            <w:vAlign w:val="center"/>
          </w:tcPr>
          <w:p w14:paraId="5CF56AA5" w14:textId="0CC49FE5" w:rsidR="00DD5B7A" w:rsidRPr="006E7E84" w:rsidRDefault="00DD5B7A" w:rsidP="006E7E84">
            <w:pPr>
              <w:spacing w:after="0"/>
              <w:jc w:val="center"/>
              <w:rPr>
                <w:rFonts w:cs="Arial"/>
                <w:szCs w:val="16"/>
              </w:rPr>
            </w:pPr>
            <w:r w:rsidRPr="006E7E84">
              <w:rPr>
                <w:rFonts w:cs="Arial"/>
                <w:szCs w:val="16"/>
              </w:rPr>
              <w:t>Grade 8</w:t>
            </w:r>
          </w:p>
        </w:tc>
        <w:tc>
          <w:tcPr>
            <w:tcW w:w="1000" w:type="pct"/>
            <w:shd w:val="clear" w:color="auto" w:fill="auto"/>
            <w:vAlign w:val="center"/>
          </w:tcPr>
          <w:p w14:paraId="4E0933AD" w14:textId="4526CD59" w:rsidR="00DD5B7A" w:rsidRPr="006E7E84" w:rsidRDefault="00DD5B7A" w:rsidP="006E7E84">
            <w:pPr>
              <w:spacing w:after="0"/>
              <w:jc w:val="center"/>
              <w:rPr>
                <w:rFonts w:cs="Arial"/>
                <w:szCs w:val="16"/>
              </w:rPr>
            </w:pPr>
            <w:r w:rsidRPr="006E7E84">
              <w:rPr>
                <w:rFonts w:cs="Arial"/>
                <w:szCs w:val="16"/>
              </w:rPr>
              <w:t>2020</w:t>
            </w:r>
          </w:p>
        </w:tc>
        <w:tc>
          <w:tcPr>
            <w:tcW w:w="1000" w:type="pct"/>
            <w:vAlign w:val="center"/>
          </w:tcPr>
          <w:p w14:paraId="521057BA" w14:textId="390B5FBA" w:rsidR="00DD5B7A" w:rsidRPr="006E7E84" w:rsidRDefault="00DD5B7A" w:rsidP="006E7E84">
            <w:pPr>
              <w:spacing w:after="0"/>
              <w:jc w:val="center"/>
              <w:rPr>
                <w:rFonts w:cs="Arial"/>
                <w:szCs w:val="16"/>
              </w:rPr>
            </w:pPr>
            <w:r w:rsidRPr="006E7E84">
              <w:rPr>
                <w:rFonts w:cs="Arial"/>
                <w:szCs w:val="16"/>
              </w:rPr>
              <w:t>34.21</w:t>
            </w:r>
          </w:p>
        </w:tc>
      </w:tr>
      <w:tr w:rsidR="006E7E84" w:rsidRPr="006E7E84" w14:paraId="760D00F1" w14:textId="77777777" w:rsidTr="00867A00">
        <w:trPr>
          <w:trHeight w:val="432"/>
        </w:trPr>
        <w:tc>
          <w:tcPr>
            <w:tcW w:w="1000" w:type="pct"/>
            <w:vAlign w:val="center"/>
          </w:tcPr>
          <w:p w14:paraId="6D27E968" w14:textId="77777777" w:rsidR="00DD5B7A" w:rsidRPr="006E7E84" w:rsidRDefault="00DD5B7A" w:rsidP="006E7E84">
            <w:pPr>
              <w:spacing w:after="0"/>
              <w:jc w:val="center"/>
              <w:rPr>
                <w:rFonts w:cs="Arial"/>
                <w:b/>
                <w:bCs/>
                <w:szCs w:val="16"/>
              </w:rPr>
            </w:pPr>
            <w:r w:rsidRPr="006E7E84">
              <w:rPr>
                <w:rFonts w:cs="Arial"/>
                <w:szCs w:val="16"/>
              </w:rPr>
              <w:t>Math</w:t>
            </w:r>
          </w:p>
        </w:tc>
        <w:tc>
          <w:tcPr>
            <w:tcW w:w="1000" w:type="pct"/>
            <w:shd w:val="clear" w:color="auto" w:fill="auto"/>
            <w:vAlign w:val="center"/>
          </w:tcPr>
          <w:p w14:paraId="2F323B36" w14:textId="77777777" w:rsidR="00DD5B7A" w:rsidRPr="006E7E84" w:rsidRDefault="00DD5B7A" w:rsidP="006E7E84">
            <w:pPr>
              <w:spacing w:after="0"/>
              <w:jc w:val="center"/>
              <w:rPr>
                <w:rFonts w:cs="Arial"/>
                <w:szCs w:val="16"/>
              </w:rPr>
            </w:pPr>
            <w:r w:rsidRPr="006E7E84">
              <w:rPr>
                <w:rFonts w:cs="Arial"/>
                <w:szCs w:val="16"/>
              </w:rPr>
              <w:t>C</w:t>
            </w:r>
          </w:p>
        </w:tc>
        <w:tc>
          <w:tcPr>
            <w:tcW w:w="1000" w:type="pct"/>
            <w:shd w:val="clear" w:color="auto" w:fill="auto"/>
            <w:vAlign w:val="center"/>
          </w:tcPr>
          <w:p w14:paraId="351646FB" w14:textId="156B4E70" w:rsidR="00DD5B7A" w:rsidRPr="006E7E84" w:rsidRDefault="00DD5B7A" w:rsidP="006E7E84">
            <w:pPr>
              <w:spacing w:after="0"/>
              <w:jc w:val="center"/>
              <w:rPr>
                <w:rFonts w:cs="Arial"/>
                <w:szCs w:val="16"/>
              </w:rPr>
            </w:pPr>
            <w:r w:rsidRPr="006E7E84">
              <w:rPr>
                <w:rFonts w:cs="Arial"/>
                <w:szCs w:val="16"/>
              </w:rPr>
              <w:t>Grade HS</w:t>
            </w:r>
          </w:p>
        </w:tc>
        <w:tc>
          <w:tcPr>
            <w:tcW w:w="1000" w:type="pct"/>
            <w:shd w:val="clear" w:color="auto" w:fill="auto"/>
            <w:vAlign w:val="center"/>
          </w:tcPr>
          <w:p w14:paraId="32ADE626" w14:textId="141B037F" w:rsidR="00DD5B7A" w:rsidRPr="006E7E84" w:rsidRDefault="00DD5B7A" w:rsidP="006E7E84">
            <w:pPr>
              <w:spacing w:after="0"/>
              <w:jc w:val="center"/>
              <w:rPr>
                <w:rFonts w:cs="Arial"/>
                <w:szCs w:val="16"/>
              </w:rPr>
            </w:pPr>
            <w:r w:rsidRPr="006E7E84">
              <w:rPr>
                <w:rFonts w:cs="Arial"/>
                <w:szCs w:val="16"/>
              </w:rPr>
              <w:t>2020</w:t>
            </w:r>
          </w:p>
        </w:tc>
        <w:tc>
          <w:tcPr>
            <w:tcW w:w="1000" w:type="pct"/>
            <w:vAlign w:val="center"/>
          </w:tcPr>
          <w:p w14:paraId="546306E9" w14:textId="2609FDFB" w:rsidR="00DD5B7A" w:rsidRPr="006E7E84" w:rsidRDefault="00DD5B7A" w:rsidP="006E7E84">
            <w:pPr>
              <w:spacing w:after="0"/>
              <w:jc w:val="center"/>
              <w:rPr>
                <w:rFonts w:cs="Arial"/>
                <w:szCs w:val="16"/>
              </w:rPr>
            </w:pPr>
            <w:r w:rsidRPr="006E7E84">
              <w:rPr>
                <w:rFonts w:cs="Arial"/>
                <w:szCs w:val="16"/>
              </w:rPr>
              <w:t>22.27</w:t>
            </w:r>
          </w:p>
        </w:tc>
      </w:tr>
    </w:tbl>
    <w:p w14:paraId="0E9E5136" w14:textId="06261D1A" w:rsidR="00DD5B7A" w:rsidRPr="006E7E84" w:rsidRDefault="00DD5B7A" w:rsidP="00815ACE">
      <w:pPr>
        <w:pStyle w:val="Caption"/>
      </w:pPr>
      <w:r w:rsidRPr="006E7E84">
        <w:t>Targets</w:t>
      </w:r>
      <w:r w:rsidR="0097256F">
        <w:t xml:space="preserve"> (3D)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164"/>
        <w:gridCol w:w="1082"/>
        <w:gridCol w:w="1080"/>
        <w:gridCol w:w="1244"/>
        <w:gridCol w:w="1244"/>
        <w:gridCol w:w="1244"/>
        <w:gridCol w:w="1244"/>
        <w:gridCol w:w="1244"/>
        <w:gridCol w:w="1244"/>
      </w:tblGrid>
      <w:tr w:rsidR="006E7E84" w:rsidRPr="006E7E84" w14:paraId="32AE1F59" w14:textId="77777777" w:rsidTr="006E7E84">
        <w:tc>
          <w:tcPr>
            <w:tcW w:w="539" w:type="pct"/>
            <w:tcBorders>
              <w:bottom w:val="single" w:sz="4" w:space="0" w:color="auto"/>
            </w:tcBorders>
            <w:shd w:val="clear" w:color="auto" w:fill="D9D9D9" w:themeFill="background1" w:themeFillShade="D9"/>
            <w:vAlign w:val="center"/>
          </w:tcPr>
          <w:p w14:paraId="6A9E2F19" w14:textId="77777777" w:rsidR="00DD5B7A" w:rsidRPr="006E7E84" w:rsidRDefault="00DD5B7A" w:rsidP="006E7E84">
            <w:pPr>
              <w:spacing w:after="0"/>
              <w:jc w:val="center"/>
              <w:rPr>
                <w:b/>
              </w:rPr>
            </w:pPr>
            <w:r w:rsidRPr="006E7E84">
              <w:rPr>
                <w:b/>
              </w:rPr>
              <w:t>Subject</w:t>
            </w:r>
          </w:p>
        </w:tc>
        <w:tc>
          <w:tcPr>
            <w:tcW w:w="501" w:type="pct"/>
            <w:tcBorders>
              <w:bottom w:val="single" w:sz="4" w:space="0" w:color="auto"/>
            </w:tcBorders>
            <w:shd w:val="clear" w:color="auto" w:fill="D9D9D9" w:themeFill="background1" w:themeFillShade="D9"/>
            <w:vAlign w:val="center"/>
          </w:tcPr>
          <w:p w14:paraId="5181D1E9" w14:textId="77777777" w:rsidR="00DD5B7A" w:rsidRPr="006E7E84" w:rsidRDefault="00DD5B7A" w:rsidP="006E7E84">
            <w:pPr>
              <w:spacing w:after="0"/>
              <w:jc w:val="center"/>
              <w:rPr>
                <w:b/>
              </w:rPr>
            </w:pPr>
            <w:r w:rsidRPr="006E7E84">
              <w:rPr>
                <w:b/>
              </w:rPr>
              <w:t>Group</w:t>
            </w:r>
          </w:p>
        </w:tc>
        <w:tc>
          <w:tcPr>
            <w:tcW w:w="500" w:type="pct"/>
            <w:shd w:val="clear" w:color="auto" w:fill="D9D9D9" w:themeFill="background1" w:themeFillShade="D9"/>
            <w:vAlign w:val="center"/>
          </w:tcPr>
          <w:p w14:paraId="7C5EACD6" w14:textId="77777777" w:rsidR="00DD5B7A" w:rsidRPr="006E7E84" w:rsidDel="008E7B87" w:rsidRDefault="00DD5B7A" w:rsidP="006E7E84">
            <w:pPr>
              <w:spacing w:after="0"/>
              <w:jc w:val="center"/>
              <w:rPr>
                <w:b/>
              </w:rPr>
            </w:pPr>
            <w:r w:rsidRPr="006E7E84">
              <w:rPr>
                <w:b/>
              </w:rPr>
              <w:t>Group Name</w:t>
            </w:r>
          </w:p>
        </w:tc>
        <w:tc>
          <w:tcPr>
            <w:tcW w:w="576" w:type="pct"/>
            <w:shd w:val="clear" w:color="auto" w:fill="D9D9D9" w:themeFill="background1" w:themeFillShade="D9"/>
            <w:vAlign w:val="center"/>
          </w:tcPr>
          <w:p w14:paraId="57197BBC" w14:textId="77777777" w:rsidR="00DD5B7A" w:rsidRPr="006E7E84" w:rsidRDefault="00DD5B7A" w:rsidP="006E7E84">
            <w:pPr>
              <w:spacing w:after="0"/>
              <w:jc w:val="center"/>
              <w:rPr>
                <w:b/>
              </w:rPr>
            </w:pPr>
            <w:r w:rsidRPr="006E7E84">
              <w:rPr>
                <w:b/>
              </w:rPr>
              <w:t>2020</w:t>
            </w:r>
          </w:p>
        </w:tc>
        <w:tc>
          <w:tcPr>
            <w:tcW w:w="576" w:type="pct"/>
            <w:shd w:val="clear" w:color="auto" w:fill="D9D9D9" w:themeFill="background1" w:themeFillShade="D9"/>
            <w:vAlign w:val="center"/>
          </w:tcPr>
          <w:p w14:paraId="07ACCE04" w14:textId="77777777" w:rsidR="00DD5B7A" w:rsidRPr="006E7E84" w:rsidRDefault="00DD5B7A" w:rsidP="006E7E84">
            <w:pPr>
              <w:spacing w:after="0"/>
              <w:jc w:val="center"/>
              <w:rPr>
                <w:b/>
              </w:rPr>
            </w:pPr>
            <w:r w:rsidRPr="006E7E84">
              <w:rPr>
                <w:rFonts w:cs="Arial"/>
                <w:b/>
                <w:szCs w:val="16"/>
              </w:rPr>
              <w:t>2021</w:t>
            </w:r>
          </w:p>
        </w:tc>
        <w:tc>
          <w:tcPr>
            <w:tcW w:w="576" w:type="pct"/>
            <w:shd w:val="clear" w:color="auto" w:fill="D9D9D9" w:themeFill="background1" w:themeFillShade="D9"/>
            <w:vAlign w:val="center"/>
          </w:tcPr>
          <w:p w14:paraId="0B682674" w14:textId="77777777" w:rsidR="00DD5B7A" w:rsidRPr="006E7E84" w:rsidRDefault="00DD5B7A" w:rsidP="006E7E84">
            <w:pPr>
              <w:spacing w:after="0"/>
              <w:jc w:val="center"/>
              <w:rPr>
                <w:b/>
              </w:rPr>
            </w:pPr>
            <w:r w:rsidRPr="006E7E84">
              <w:rPr>
                <w:rFonts w:cs="Arial"/>
                <w:b/>
                <w:szCs w:val="16"/>
              </w:rPr>
              <w:t>2022</w:t>
            </w:r>
          </w:p>
        </w:tc>
        <w:tc>
          <w:tcPr>
            <w:tcW w:w="576" w:type="pct"/>
            <w:shd w:val="clear" w:color="auto" w:fill="D9D9D9" w:themeFill="background1" w:themeFillShade="D9"/>
            <w:vAlign w:val="center"/>
          </w:tcPr>
          <w:p w14:paraId="3597F00E" w14:textId="77777777" w:rsidR="00DD5B7A" w:rsidRPr="006E7E84" w:rsidRDefault="00DD5B7A" w:rsidP="006E7E84">
            <w:pPr>
              <w:spacing w:after="0"/>
              <w:jc w:val="center"/>
              <w:rPr>
                <w:b/>
              </w:rPr>
            </w:pPr>
            <w:r w:rsidRPr="006E7E84">
              <w:rPr>
                <w:rFonts w:cs="Arial"/>
                <w:b/>
                <w:szCs w:val="16"/>
              </w:rPr>
              <w:t>2023</w:t>
            </w:r>
          </w:p>
        </w:tc>
        <w:tc>
          <w:tcPr>
            <w:tcW w:w="576" w:type="pct"/>
            <w:shd w:val="clear" w:color="auto" w:fill="D9D9D9" w:themeFill="background1" w:themeFillShade="D9"/>
            <w:vAlign w:val="center"/>
          </w:tcPr>
          <w:p w14:paraId="20E1209B" w14:textId="77777777" w:rsidR="00DD5B7A" w:rsidRPr="006E7E84" w:rsidRDefault="00DD5B7A" w:rsidP="006E7E84">
            <w:pPr>
              <w:spacing w:after="0"/>
              <w:jc w:val="center"/>
              <w:rPr>
                <w:b/>
              </w:rPr>
            </w:pPr>
            <w:r w:rsidRPr="006E7E84">
              <w:rPr>
                <w:rFonts w:cs="Arial"/>
                <w:b/>
                <w:szCs w:val="16"/>
              </w:rPr>
              <w:t>2024</w:t>
            </w:r>
          </w:p>
        </w:tc>
        <w:tc>
          <w:tcPr>
            <w:tcW w:w="576" w:type="pct"/>
            <w:shd w:val="clear" w:color="auto" w:fill="D9D9D9" w:themeFill="background1" w:themeFillShade="D9"/>
            <w:vAlign w:val="center"/>
          </w:tcPr>
          <w:p w14:paraId="77AC93C7" w14:textId="77777777" w:rsidR="00DD5B7A" w:rsidRPr="006E7E84" w:rsidRDefault="00DD5B7A" w:rsidP="006E7E84">
            <w:pPr>
              <w:spacing w:after="0"/>
              <w:jc w:val="center"/>
              <w:rPr>
                <w:b/>
              </w:rPr>
            </w:pPr>
            <w:r w:rsidRPr="006E7E84">
              <w:rPr>
                <w:rFonts w:cs="Arial"/>
                <w:b/>
                <w:szCs w:val="16"/>
              </w:rPr>
              <w:t>2025</w:t>
            </w:r>
          </w:p>
        </w:tc>
      </w:tr>
      <w:tr w:rsidR="006E7E84" w:rsidRPr="006E7E84" w14:paraId="506F660C" w14:textId="77777777" w:rsidTr="006E7E84">
        <w:tc>
          <w:tcPr>
            <w:tcW w:w="539" w:type="pct"/>
            <w:shd w:val="clear" w:color="auto" w:fill="auto"/>
            <w:vAlign w:val="center"/>
          </w:tcPr>
          <w:p w14:paraId="5CF55C17" w14:textId="77777777" w:rsidR="00DD5B7A" w:rsidRPr="006E7E84" w:rsidRDefault="00DD5B7A" w:rsidP="006E7E84">
            <w:pPr>
              <w:spacing w:after="0"/>
              <w:jc w:val="center"/>
              <w:rPr>
                <w:rFonts w:cs="Arial"/>
                <w:szCs w:val="16"/>
              </w:rPr>
            </w:pPr>
            <w:r w:rsidRPr="006E7E84">
              <w:rPr>
                <w:rFonts w:cs="Arial"/>
                <w:szCs w:val="16"/>
              </w:rPr>
              <w:t>Reading</w:t>
            </w:r>
          </w:p>
        </w:tc>
        <w:tc>
          <w:tcPr>
            <w:tcW w:w="501" w:type="pct"/>
            <w:shd w:val="clear" w:color="auto" w:fill="auto"/>
            <w:vAlign w:val="center"/>
          </w:tcPr>
          <w:p w14:paraId="4BDAD87D" w14:textId="77777777" w:rsidR="00DD5B7A" w:rsidRPr="006E7E84" w:rsidRDefault="00DD5B7A" w:rsidP="006E7E84">
            <w:pPr>
              <w:spacing w:after="0"/>
              <w:jc w:val="center"/>
              <w:rPr>
                <w:rFonts w:cs="Arial"/>
                <w:szCs w:val="16"/>
              </w:rPr>
            </w:pPr>
            <w:r w:rsidRPr="006E7E84">
              <w:rPr>
                <w:rFonts w:cs="Arial"/>
                <w:szCs w:val="16"/>
              </w:rPr>
              <w:t>A &lt;=</w:t>
            </w:r>
          </w:p>
        </w:tc>
        <w:tc>
          <w:tcPr>
            <w:tcW w:w="500" w:type="pct"/>
            <w:shd w:val="clear" w:color="auto" w:fill="auto"/>
            <w:vAlign w:val="center"/>
          </w:tcPr>
          <w:p w14:paraId="25B01019" w14:textId="68614C3D" w:rsidR="00DD5B7A" w:rsidRPr="006E7E84" w:rsidDel="00DB0A73" w:rsidRDefault="00DD5B7A" w:rsidP="006E7E84">
            <w:pPr>
              <w:spacing w:after="0"/>
              <w:jc w:val="center"/>
              <w:rPr>
                <w:rFonts w:cs="Arial"/>
                <w:szCs w:val="16"/>
              </w:rPr>
            </w:pPr>
            <w:r w:rsidRPr="006E7E84">
              <w:rPr>
                <w:rFonts w:cs="Arial"/>
                <w:szCs w:val="16"/>
              </w:rPr>
              <w:t>Grade 4</w:t>
            </w:r>
          </w:p>
        </w:tc>
        <w:tc>
          <w:tcPr>
            <w:tcW w:w="576" w:type="pct"/>
            <w:shd w:val="clear" w:color="auto" w:fill="auto"/>
            <w:vAlign w:val="center"/>
          </w:tcPr>
          <w:p w14:paraId="6E665D01" w14:textId="380A2C73" w:rsidR="00DD5B7A" w:rsidRPr="006E7E84" w:rsidRDefault="00DD5B7A" w:rsidP="006E7E84">
            <w:pPr>
              <w:spacing w:after="0"/>
              <w:jc w:val="center"/>
              <w:rPr>
                <w:rFonts w:cs="Arial"/>
                <w:szCs w:val="16"/>
              </w:rPr>
            </w:pPr>
            <w:r w:rsidRPr="006E7E84">
              <w:rPr>
                <w:rFonts w:cs="Arial"/>
                <w:szCs w:val="16"/>
              </w:rPr>
              <w:t>29.67</w:t>
            </w:r>
          </w:p>
        </w:tc>
        <w:tc>
          <w:tcPr>
            <w:tcW w:w="576" w:type="pct"/>
            <w:vAlign w:val="center"/>
          </w:tcPr>
          <w:p w14:paraId="680AEBF8" w14:textId="435AE40D" w:rsidR="00DD5B7A" w:rsidRPr="006E7E84" w:rsidRDefault="00DD5B7A" w:rsidP="006E7E84">
            <w:pPr>
              <w:spacing w:after="0"/>
              <w:jc w:val="center"/>
              <w:rPr>
                <w:rFonts w:cs="Arial"/>
                <w:szCs w:val="16"/>
              </w:rPr>
            </w:pPr>
            <w:r w:rsidRPr="006E7E84">
              <w:rPr>
                <w:rFonts w:cs="Arial"/>
                <w:szCs w:val="16"/>
              </w:rPr>
              <w:t>29.17</w:t>
            </w:r>
            <w:r w:rsidRPr="006E7E84">
              <w:t xml:space="preserve"> </w:t>
            </w:r>
          </w:p>
        </w:tc>
        <w:tc>
          <w:tcPr>
            <w:tcW w:w="576" w:type="pct"/>
            <w:vAlign w:val="center"/>
          </w:tcPr>
          <w:p w14:paraId="060B65A2" w14:textId="3C5E7042" w:rsidR="00DD5B7A" w:rsidRPr="006E7E84" w:rsidRDefault="00DD5B7A" w:rsidP="006E7E84">
            <w:pPr>
              <w:spacing w:after="0"/>
              <w:jc w:val="center"/>
              <w:rPr>
                <w:rFonts w:cs="Arial"/>
                <w:szCs w:val="16"/>
              </w:rPr>
            </w:pPr>
            <w:r w:rsidRPr="006E7E84">
              <w:rPr>
                <w:rFonts w:cs="Arial"/>
                <w:szCs w:val="16"/>
              </w:rPr>
              <w:t>28.67</w:t>
            </w:r>
          </w:p>
        </w:tc>
        <w:tc>
          <w:tcPr>
            <w:tcW w:w="576" w:type="pct"/>
            <w:vAlign w:val="center"/>
          </w:tcPr>
          <w:p w14:paraId="7E46B7D6" w14:textId="00FC807B" w:rsidR="00DD5B7A" w:rsidRPr="006E7E84" w:rsidRDefault="00DD5B7A" w:rsidP="006E7E84">
            <w:pPr>
              <w:spacing w:after="0"/>
              <w:jc w:val="center"/>
              <w:rPr>
                <w:rFonts w:cs="Arial"/>
                <w:szCs w:val="16"/>
              </w:rPr>
            </w:pPr>
            <w:r w:rsidRPr="006E7E84">
              <w:rPr>
                <w:rFonts w:cs="Arial"/>
                <w:szCs w:val="16"/>
              </w:rPr>
              <w:t>28.17</w:t>
            </w:r>
          </w:p>
        </w:tc>
        <w:tc>
          <w:tcPr>
            <w:tcW w:w="576" w:type="pct"/>
            <w:vAlign w:val="center"/>
          </w:tcPr>
          <w:p w14:paraId="7A079196" w14:textId="4665429A" w:rsidR="00DD5B7A" w:rsidRPr="006E7E84" w:rsidRDefault="00DD5B7A" w:rsidP="006E7E84">
            <w:pPr>
              <w:spacing w:after="0"/>
              <w:jc w:val="center"/>
              <w:rPr>
                <w:rFonts w:cs="Arial"/>
                <w:szCs w:val="16"/>
              </w:rPr>
            </w:pPr>
            <w:r w:rsidRPr="006E7E84">
              <w:rPr>
                <w:rFonts w:cs="Arial"/>
                <w:szCs w:val="16"/>
              </w:rPr>
              <w:t>27.67</w:t>
            </w:r>
          </w:p>
        </w:tc>
        <w:tc>
          <w:tcPr>
            <w:tcW w:w="576" w:type="pct"/>
            <w:vAlign w:val="center"/>
          </w:tcPr>
          <w:p w14:paraId="0F6929A5" w14:textId="0FD4F063" w:rsidR="00DD5B7A" w:rsidRPr="006E7E84" w:rsidRDefault="00DD5B7A" w:rsidP="006E7E84">
            <w:pPr>
              <w:spacing w:after="0"/>
              <w:jc w:val="center"/>
              <w:rPr>
                <w:rFonts w:cs="Arial"/>
                <w:szCs w:val="16"/>
              </w:rPr>
            </w:pPr>
            <w:r w:rsidRPr="006E7E84">
              <w:rPr>
                <w:rFonts w:cs="Arial"/>
                <w:szCs w:val="16"/>
              </w:rPr>
              <w:t>27.17</w:t>
            </w:r>
          </w:p>
        </w:tc>
      </w:tr>
      <w:tr w:rsidR="006E7E84" w:rsidRPr="006E7E84" w14:paraId="109FA148" w14:textId="77777777" w:rsidTr="006E7E84">
        <w:tc>
          <w:tcPr>
            <w:tcW w:w="539" w:type="pct"/>
            <w:shd w:val="clear" w:color="auto" w:fill="auto"/>
            <w:vAlign w:val="center"/>
          </w:tcPr>
          <w:p w14:paraId="5CAAC2A8" w14:textId="77777777" w:rsidR="00DD5B7A" w:rsidRPr="006E7E84" w:rsidRDefault="00DD5B7A" w:rsidP="006E7E84">
            <w:pPr>
              <w:spacing w:after="0"/>
              <w:jc w:val="center"/>
              <w:rPr>
                <w:rFonts w:cs="Arial"/>
                <w:szCs w:val="16"/>
              </w:rPr>
            </w:pPr>
            <w:r w:rsidRPr="006E7E84">
              <w:rPr>
                <w:rFonts w:cs="Arial"/>
                <w:szCs w:val="16"/>
              </w:rPr>
              <w:t>Reading</w:t>
            </w:r>
          </w:p>
        </w:tc>
        <w:tc>
          <w:tcPr>
            <w:tcW w:w="501" w:type="pct"/>
            <w:shd w:val="clear" w:color="auto" w:fill="auto"/>
            <w:vAlign w:val="center"/>
          </w:tcPr>
          <w:p w14:paraId="1DFAA13E" w14:textId="77777777" w:rsidR="00DD5B7A" w:rsidRPr="006E7E84" w:rsidRDefault="00DD5B7A" w:rsidP="006E7E84">
            <w:pPr>
              <w:spacing w:after="0"/>
              <w:jc w:val="center"/>
              <w:rPr>
                <w:rFonts w:cs="Arial"/>
                <w:szCs w:val="16"/>
              </w:rPr>
            </w:pPr>
            <w:r w:rsidRPr="006E7E84">
              <w:rPr>
                <w:rFonts w:cs="Arial"/>
                <w:szCs w:val="16"/>
              </w:rPr>
              <w:t>B &lt;=</w:t>
            </w:r>
          </w:p>
        </w:tc>
        <w:tc>
          <w:tcPr>
            <w:tcW w:w="500" w:type="pct"/>
            <w:shd w:val="clear" w:color="auto" w:fill="auto"/>
            <w:vAlign w:val="center"/>
          </w:tcPr>
          <w:p w14:paraId="330884D1" w14:textId="3ED7AA15" w:rsidR="00DD5B7A" w:rsidRPr="006E7E84" w:rsidDel="00DB0A73" w:rsidRDefault="00DD5B7A" w:rsidP="006E7E84">
            <w:pPr>
              <w:spacing w:after="0"/>
              <w:jc w:val="center"/>
              <w:rPr>
                <w:rFonts w:cs="Arial"/>
                <w:szCs w:val="16"/>
              </w:rPr>
            </w:pPr>
            <w:r w:rsidRPr="006E7E84">
              <w:rPr>
                <w:rFonts w:cs="Arial"/>
                <w:szCs w:val="16"/>
              </w:rPr>
              <w:t>Grade 8</w:t>
            </w:r>
          </w:p>
        </w:tc>
        <w:tc>
          <w:tcPr>
            <w:tcW w:w="576" w:type="pct"/>
            <w:shd w:val="clear" w:color="auto" w:fill="auto"/>
            <w:vAlign w:val="center"/>
          </w:tcPr>
          <w:p w14:paraId="68DC0FBA" w14:textId="3776550F" w:rsidR="00DD5B7A" w:rsidRPr="006E7E84" w:rsidRDefault="00DD5B7A" w:rsidP="006E7E84">
            <w:pPr>
              <w:spacing w:after="0"/>
              <w:jc w:val="center"/>
              <w:rPr>
                <w:rFonts w:cs="Arial"/>
                <w:szCs w:val="16"/>
              </w:rPr>
            </w:pPr>
            <w:r w:rsidRPr="006E7E84">
              <w:rPr>
                <w:rFonts w:cs="Arial"/>
                <w:szCs w:val="16"/>
              </w:rPr>
              <w:t>38.53</w:t>
            </w:r>
          </w:p>
        </w:tc>
        <w:tc>
          <w:tcPr>
            <w:tcW w:w="576" w:type="pct"/>
            <w:vAlign w:val="center"/>
          </w:tcPr>
          <w:p w14:paraId="5D544F8D" w14:textId="7D5BE3EF" w:rsidR="00DD5B7A" w:rsidRPr="006E7E84" w:rsidRDefault="00DD5B7A" w:rsidP="006E7E84">
            <w:pPr>
              <w:spacing w:after="0"/>
              <w:jc w:val="center"/>
              <w:rPr>
                <w:rFonts w:cs="Arial"/>
                <w:szCs w:val="16"/>
              </w:rPr>
            </w:pPr>
            <w:r w:rsidRPr="006E7E84">
              <w:rPr>
                <w:rFonts w:cs="Arial"/>
                <w:szCs w:val="16"/>
              </w:rPr>
              <w:t>38.03</w:t>
            </w:r>
          </w:p>
        </w:tc>
        <w:tc>
          <w:tcPr>
            <w:tcW w:w="576" w:type="pct"/>
            <w:vAlign w:val="center"/>
          </w:tcPr>
          <w:p w14:paraId="067CAD2B" w14:textId="5DA2AE3C" w:rsidR="00DD5B7A" w:rsidRPr="006E7E84" w:rsidRDefault="00DD5B7A" w:rsidP="006E7E84">
            <w:pPr>
              <w:spacing w:after="0"/>
              <w:jc w:val="center"/>
              <w:rPr>
                <w:rFonts w:cs="Arial"/>
                <w:szCs w:val="16"/>
              </w:rPr>
            </w:pPr>
            <w:r w:rsidRPr="006E7E84">
              <w:rPr>
                <w:rFonts w:cs="Arial"/>
                <w:szCs w:val="16"/>
              </w:rPr>
              <w:t>37.53</w:t>
            </w:r>
          </w:p>
        </w:tc>
        <w:tc>
          <w:tcPr>
            <w:tcW w:w="576" w:type="pct"/>
            <w:vAlign w:val="center"/>
          </w:tcPr>
          <w:p w14:paraId="780BEF08" w14:textId="2245CB58" w:rsidR="00DD5B7A" w:rsidRPr="006E7E84" w:rsidRDefault="00DD5B7A" w:rsidP="006E7E84">
            <w:pPr>
              <w:spacing w:after="0"/>
              <w:jc w:val="center"/>
              <w:rPr>
                <w:rFonts w:cs="Arial"/>
                <w:szCs w:val="16"/>
              </w:rPr>
            </w:pPr>
            <w:r w:rsidRPr="006E7E84">
              <w:rPr>
                <w:rFonts w:cs="Arial"/>
                <w:szCs w:val="16"/>
              </w:rPr>
              <w:t>37.03</w:t>
            </w:r>
          </w:p>
        </w:tc>
        <w:tc>
          <w:tcPr>
            <w:tcW w:w="576" w:type="pct"/>
            <w:vAlign w:val="center"/>
          </w:tcPr>
          <w:p w14:paraId="7CDE10BF" w14:textId="33273B74" w:rsidR="00DD5B7A" w:rsidRPr="006E7E84" w:rsidRDefault="00DD5B7A" w:rsidP="006E7E84">
            <w:pPr>
              <w:spacing w:after="0"/>
              <w:jc w:val="center"/>
              <w:rPr>
                <w:rFonts w:cs="Arial"/>
                <w:szCs w:val="16"/>
              </w:rPr>
            </w:pPr>
            <w:r w:rsidRPr="006E7E84">
              <w:rPr>
                <w:rFonts w:cs="Arial"/>
                <w:szCs w:val="16"/>
              </w:rPr>
              <w:t>36.53</w:t>
            </w:r>
          </w:p>
        </w:tc>
        <w:tc>
          <w:tcPr>
            <w:tcW w:w="576" w:type="pct"/>
            <w:vAlign w:val="center"/>
          </w:tcPr>
          <w:p w14:paraId="6E355F8D" w14:textId="15BCA2D6" w:rsidR="00DD5B7A" w:rsidRPr="006E7E84" w:rsidRDefault="00DD5B7A" w:rsidP="006E7E84">
            <w:pPr>
              <w:spacing w:after="0"/>
              <w:jc w:val="center"/>
              <w:rPr>
                <w:rFonts w:cs="Arial"/>
                <w:szCs w:val="16"/>
              </w:rPr>
            </w:pPr>
            <w:r w:rsidRPr="006E7E84">
              <w:rPr>
                <w:rFonts w:cs="Arial"/>
                <w:szCs w:val="16"/>
              </w:rPr>
              <w:t>36.03</w:t>
            </w:r>
          </w:p>
        </w:tc>
      </w:tr>
      <w:tr w:rsidR="006E7E84" w:rsidRPr="006E7E84" w14:paraId="736D24EA" w14:textId="77777777" w:rsidTr="006E7E84">
        <w:tc>
          <w:tcPr>
            <w:tcW w:w="539" w:type="pct"/>
            <w:shd w:val="clear" w:color="auto" w:fill="auto"/>
            <w:vAlign w:val="center"/>
          </w:tcPr>
          <w:p w14:paraId="56FB00C6" w14:textId="77777777" w:rsidR="00DD5B7A" w:rsidRPr="006E7E84" w:rsidRDefault="00DD5B7A" w:rsidP="006E7E84">
            <w:pPr>
              <w:spacing w:after="0"/>
              <w:jc w:val="center"/>
              <w:rPr>
                <w:rFonts w:cs="Arial"/>
                <w:szCs w:val="16"/>
              </w:rPr>
            </w:pPr>
            <w:r w:rsidRPr="006E7E84">
              <w:rPr>
                <w:rFonts w:cs="Arial"/>
                <w:szCs w:val="16"/>
              </w:rPr>
              <w:t>Reading</w:t>
            </w:r>
          </w:p>
        </w:tc>
        <w:tc>
          <w:tcPr>
            <w:tcW w:w="501" w:type="pct"/>
            <w:shd w:val="clear" w:color="auto" w:fill="auto"/>
            <w:vAlign w:val="center"/>
          </w:tcPr>
          <w:p w14:paraId="76599FEA" w14:textId="77777777" w:rsidR="00DD5B7A" w:rsidRPr="006E7E84" w:rsidRDefault="00DD5B7A" w:rsidP="006E7E84">
            <w:pPr>
              <w:spacing w:after="0"/>
              <w:jc w:val="center"/>
              <w:rPr>
                <w:rFonts w:cs="Arial"/>
                <w:szCs w:val="16"/>
              </w:rPr>
            </w:pPr>
            <w:r w:rsidRPr="006E7E84">
              <w:rPr>
                <w:rFonts w:cs="Arial"/>
                <w:szCs w:val="16"/>
              </w:rPr>
              <w:t>C &lt;=</w:t>
            </w:r>
          </w:p>
        </w:tc>
        <w:tc>
          <w:tcPr>
            <w:tcW w:w="500" w:type="pct"/>
            <w:shd w:val="clear" w:color="auto" w:fill="auto"/>
            <w:vAlign w:val="center"/>
          </w:tcPr>
          <w:p w14:paraId="6758DB1A" w14:textId="51D63552" w:rsidR="00DD5B7A" w:rsidRPr="006E7E84" w:rsidDel="00DB0A73" w:rsidRDefault="00DD5B7A" w:rsidP="006E7E84">
            <w:pPr>
              <w:spacing w:after="0"/>
              <w:jc w:val="center"/>
              <w:rPr>
                <w:rFonts w:cs="Arial"/>
                <w:szCs w:val="16"/>
              </w:rPr>
            </w:pPr>
            <w:r w:rsidRPr="006E7E84">
              <w:rPr>
                <w:rFonts w:cs="Arial"/>
                <w:szCs w:val="16"/>
              </w:rPr>
              <w:t>Grade HS</w:t>
            </w:r>
          </w:p>
        </w:tc>
        <w:tc>
          <w:tcPr>
            <w:tcW w:w="576" w:type="pct"/>
            <w:shd w:val="clear" w:color="auto" w:fill="auto"/>
            <w:vAlign w:val="center"/>
          </w:tcPr>
          <w:p w14:paraId="56DA6177" w14:textId="20AF4748" w:rsidR="00DD5B7A" w:rsidRPr="006E7E84" w:rsidRDefault="00DD5B7A" w:rsidP="006E7E84">
            <w:pPr>
              <w:spacing w:after="0"/>
              <w:jc w:val="center"/>
              <w:rPr>
                <w:rFonts w:cs="Arial"/>
                <w:szCs w:val="16"/>
              </w:rPr>
            </w:pPr>
            <w:r w:rsidRPr="006E7E84">
              <w:rPr>
                <w:rFonts w:cs="Arial"/>
                <w:szCs w:val="16"/>
              </w:rPr>
              <w:t>33.54</w:t>
            </w:r>
          </w:p>
        </w:tc>
        <w:tc>
          <w:tcPr>
            <w:tcW w:w="576" w:type="pct"/>
            <w:vAlign w:val="center"/>
          </w:tcPr>
          <w:p w14:paraId="12D9F716" w14:textId="7A56543C" w:rsidR="00DD5B7A" w:rsidRPr="006E7E84" w:rsidRDefault="00DD5B7A" w:rsidP="006E7E84">
            <w:pPr>
              <w:spacing w:after="0"/>
              <w:jc w:val="center"/>
              <w:rPr>
                <w:rFonts w:cs="Arial"/>
                <w:szCs w:val="16"/>
              </w:rPr>
            </w:pPr>
            <w:r w:rsidRPr="006E7E84">
              <w:rPr>
                <w:rFonts w:cs="Arial"/>
                <w:szCs w:val="16"/>
              </w:rPr>
              <w:t>33.04</w:t>
            </w:r>
          </w:p>
        </w:tc>
        <w:tc>
          <w:tcPr>
            <w:tcW w:w="576" w:type="pct"/>
            <w:vAlign w:val="center"/>
          </w:tcPr>
          <w:p w14:paraId="4EE8CD33" w14:textId="2A4DD9F9" w:rsidR="00DD5B7A" w:rsidRPr="006E7E84" w:rsidRDefault="00DD5B7A" w:rsidP="006E7E84">
            <w:pPr>
              <w:spacing w:after="0"/>
              <w:jc w:val="center"/>
              <w:rPr>
                <w:rFonts w:cs="Arial"/>
                <w:szCs w:val="16"/>
              </w:rPr>
            </w:pPr>
            <w:r w:rsidRPr="006E7E84">
              <w:rPr>
                <w:rFonts w:cs="Arial"/>
                <w:szCs w:val="16"/>
              </w:rPr>
              <w:t>32.54</w:t>
            </w:r>
          </w:p>
        </w:tc>
        <w:tc>
          <w:tcPr>
            <w:tcW w:w="576" w:type="pct"/>
            <w:vAlign w:val="center"/>
          </w:tcPr>
          <w:p w14:paraId="5414FEEF" w14:textId="05CDB931" w:rsidR="00DD5B7A" w:rsidRPr="006E7E84" w:rsidRDefault="00DD5B7A" w:rsidP="006E7E84">
            <w:pPr>
              <w:spacing w:after="0"/>
              <w:jc w:val="center"/>
              <w:rPr>
                <w:rFonts w:cs="Arial"/>
                <w:szCs w:val="16"/>
              </w:rPr>
            </w:pPr>
            <w:r w:rsidRPr="006E7E84">
              <w:rPr>
                <w:rFonts w:cs="Arial"/>
                <w:szCs w:val="16"/>
              </w:rPr>
              <w:t>32.04</w:t>
            </w:r>
          </w:p>
        </w:tc>
        <w:tc>
          <w:tcPr>
            <w:tcW w:w="576" w:type="pct"/>
            <w:vAlign w:val="center"/>
          </w:tcPr>
          <w:p w14:paraId="4484F5C2" w14:textId="609E66AA" w:rsidR="00DD5B7A" w:rsidRPr="006E7E84" w:rsidRDefault="00DD5B7A" w:rsidP="006E7E84">
            <w:pPr>
              <w:spacing w:after="0"/>
              <w:jc w:val="center"/>
              <w:rPr>
                <w:rFonts w:cs="Arial"/>
                <w:szCs w:val="16"/>
              </w:rPr>
            </w:pPr>
            <w:r w:rsidRPr="006E7E84">
              <w:rPr>
                <w:rFonts w:cs="Arial"/>
                <w:szCs w:val="16"/>
              </w:rPr>
              <w:t>31.54</w:t>
            </w:r>
          </w:p>
        </w:tc>
        <w:tc>
          <w:tcPr>
            <w:tcW w:w="576" w:type="pct"/>
            <w:vAlign w:val="center"/>
          </w:tcPr>
          <w:p w14:paraId="3BD4F2A3" w14:textId="11A34A06" w:rsidR="00DD5B7A" w:rsidRPr="006E7E84" w:rsidRDefault="00DD5B7A" w:rsidP="006E7E84">
            <w:pPr>
              <w:spacing w:after="0"/>
              <w:jc w:val="center"/>
              <w:rPr>
                <w:rFonts w:cs="Arial"/>
                <w:szCs w:val="16"/>
              </w:rPr>
            </w:pPr>
            <w:r w:rsidRPr="006E7E84">
              <w:rPr>
                <w:rFonts w:cs="Arial"/>
                <w:szCs w:val="16"/>
              </w:rPr>
              <w:t>31.04</w:t>
            </w:r>
          </w:p>
        </w:tc>
      </w:tr>
      <w:tr w:rsidR="006E7E84" w:rsidRPr="006E7E84" w14:paraId="311AB0DD" w14:textId="77777777" w:rsidTr="006E7E84">
        <w:tc>
          <w:tcPr>
            <w:tcW w:w="539" w:type="pct"/>
            <w:shd w:val="clear" w:color="auto" w:fill="auto"/>
            <w:vAlign w:val="center"/>
          </w:tcPr>
          <w:p w14:paraId="3D2E0CB6" w14:textId="77777777" w:rsidR="00DD5B7A" w:rsidRPr="006E7E84" w:rsidRDefault="00DD5B7A" w:rsidP="006E7E84">
            <w:pPr>
              <w:spacing w:after="0"/>
              <w:jc w:val="center"/>
              <w:rPr>
                <w:rFonts w:cs="Arial"/>
                <w:szCs w:val="16"/>
              </w:rPr>
            </w:pPr>
            <w:r w:rsidRPr="006E7E84">
              <w:rPr>
                <w:rFonts w:cs="Arial"/>
                <w:szCs w:val="16"/>
              </w:rPr>
              <w:t>Math</w:t>
            </w:r>
          </w:p>
        </w:tc>
        <w:tc>
          <w:tcPr>
            <w:tcW w:w="501" w:type="pct"/>
            <w:shd w:val="clear" w:color="auto" w:fill="auto"/>
            <w:vAlign w:val="center"/>
          </w:tcPr>
          <w:p w14:paraId="2AAA6495" w14:textId="77777777" w:rsidR="00DD5B7A" w:rsidRPr="006E7E84" w:rsidRDefault="00DD5B7A" w:rsidP="006E7E84">
            <w:pPr>
              <w:spacing w:after="0"/>
              <w:jc w:val="center"/>
              <w:rPr>
                <w:rFonts w:cs="Arial"/>
                <w:szCs w:val="16"/>
              </w:rPr>
            </w:pPr>
            <w:r w:rsidRPr="006E7E84">
              <w:rPr>
                <w:rFonts w:cs="Arial"/>
                <w:szCs w:val="16"/>
              </w:rPr>
              <w:t>A &lt;=</w:t>
            </w:r>
          </w:p>
        </w:tc>
        <w:tc>
          <w:tcPr>
            <w:tcW w:w="500" w:type="pct"/>
            <w:shd w:val="clear" w:color="auto" w:fill="auto"/>
            <w:vAlign w:val="center"/>
          </w:tcPr>
          <w:p w14:paraId="65E16006" w14:textId="0FBAD82F" w:rsidR="00DD5B7A" w:rsidRPr="006E7E84" w:rsidDel="00DB0A73" w:rsidRDefault="00DD5B7A" w:rsidP="006E7E84">
            <w:pPr>
              <w:spacing w:after="0"/>
              <w:jc w:val="center"/>
              <w:rPr>
                <w:rFonts w:cs="Arial"/>
                <w:szCs w:val="16"/>
              </w:rPr>
            </w:pPr>
            <w:r w:rsidRPr="006E7E84">
              <w:rPr>
                <w:rFonts w:cs="Arial"/>
                <w:szCs w:val="16"/>
              </w:rPr>
              <w:t>Grade 4</w:t>
            </w:r>
          </w:p>
        </w:tc>
        <w:tc>
          <w:tcPr>
            <w:tcW w:w="576" w:type="pct"/>
            <w:shd w:val="clear" w:color="auto" w:fill="auto"/>
            <w:vAlign w:val="center"/>
          </w:tcPr>
          <w:p w14:paraId="122DB35A" w14:textId="50E48575" w:rsidR="00DD5B7A" w:rsidRPr="006E7E84" w:rsidRDefault="00DD5B7A" w:rsidP="006E7E84">
            <w:pPr>
              <w:spacing w:after="0"/>
              <w:jc w:val="center"/>
              <w:rPr>
                <w:rFonts w:cs="Arial"/>
                <w:szCs w:val="16"/>
              </w:rPr>
            </w:pPr>
            <w:r w:rsidRPr="006E7E84">
              <w:rPr>
                <w:rFonts w:cs="Arial"/>
                <w:szCs w:val="16"/>
              </w:rPr>
              <w:t>27.34</w:t>
            </w:r>
          </w:p>
        </w:tc>
        <w:tc>
          <w:tcPr>
            <w:tcW w:w="576" w:type="pct"/>
            <w:vAlign w:val="center"/>
          </w:tcPr>
          <w:p w14:paraId="7E46501E" w14:textId="6CB1A41D" w:rsidR="00DD5B7A" w:rsidRPr="006E7E84" w:rsidRDefault="00DD5B7A" w:rsidP="006E7E84">
            <w:pPr>
              <w:spacing w:after="0"/>
              <w:jc w:val="center"/>
              <w:rPr>
                <w:rFonts w:cs="Arial"/>
                <w:szCs w:val="16"/>
              </w:rPr>
            </w:pPr>
            <w:r w:rsidRPr="006E7E84">
              <w:rPr>
                <w:rFonts w:cs="Arial"/>
                <w:szCs w:val="16"/>
              </w:rPr>
              <w:t>26.84</w:t>
            </w:r>
          </w:p>
        </w:tc>
        <w:tc>
          <w:tcPr>
            <w:tcW w:w="576" w:type="pct"/>
            <w:vAlign w:val="center"/>
          </w:tcPr>
          <w:p w14:paraId="6A7C9997" w14:textId="58A4736A" w:rsidR="00DD5B7A" w:rsidRPr="006E7E84" w:rsidRDefault="00DD5B7A" w:rsidP="006E7E84">
            <w:pPr>
              <w:spacing w:after="0"/>
              <w:jc w:val="center"/>
              <w:rPr>
                <w:rFonts w:cs="Arial"/>
                <w:szCs w:val="16"/>
              </w:rPr>
            </w:pPr>
            <w:r w:rsidRPr="006E7E84">
              <w:rPr>
                <w:rFonts w:cs="Arial"/>
                <w:szCs w:val="16"/>
              </w:rPr>
              <w:t>26.34</w:t>
            </w:r>
          </w:p>
        </w:tc>
        <w:tc>
          <w:tcPr>
            <w:tcW w:w="576" w:type="pct"/>
            <w:vAlign w:val="center"/>
          </w:tcPr>
          <w:p w14:paraId="491D1816" w14:textId="09E4A313" w:rsidR="00DD5B7A" w:rsidRPr="006E7E84" w:rsidRDefault="00DD5B7A" w:rsidP="006E7E84">
            <w:pPr>
              <w:spacing w:after="0"/>
              <w:jc w:val="center"/>
              <w:rPr>
                <w:rFonts w:cs="Arial"/>
                <w:szCs w:val="16"/>
              </w:rPr>
            </w:pPr>
            <w:r w:rsidRPr="006E7E84">
              <w:rPr>
                <w:rFonts w:cs="Arial"/>
                <w:szCs w:val="16"/>
              </w:rPr>
              <w:t>25.84</w:t>
            </w:r>
          </w:p>
        </w:tc>
        <w:tc>
          <w:tcPr>
            <w:tcW w:w="576" w:type="pct"/>
            <w:vAlign w:val="center"/>
          </w:tcPr>
          <w:p w14:paraId="7C31E2D9" w14:textId="6B280022" w:rsidR="00DD5B7A" w:rsidRPr="006E7E84" w:rsidRDefault="00DD5B7A" w:rsidP="006E7E84">
            <w:pPr>
              <w:spacing w:after="0"/>
              <w:jc w:val="center"/>
              <w:rPr>
                <w:rFonts w:cs="Arial"/>
                <w:szCs w:val="16"/>
              </w:rPr>
            </w:pPr>
            <w:r w:rsidRPr="006E7E84">
              <w:rPr>
                <w:rFonts w:cs="Arial"/>
                <w:szCs w:val="16"/>
              </w:rPr>
              <w:t>25.34</w:t>
            </w:r>
          </w:p>
        </w:tc>
        <w:tc>
          <w:tcPr>
            <w:tcW w:w="576" w:type="pct"/>
            <w:vAlign w:val="center"/>
          </w:tcPr>
          <w:p w14:paraId="20D89D63" w14:textId="498D5E44" w:rsidR="00DD5B7A" w:rsidRPr="006E7E84" w:rsidRDefault="00DD5B7A" w:rsidP="006E7E84">
            <w:pPr>
              <w:spacing w:after="0"/>
              <w:jc w:val="center"/>
              <w:rPr>
                <w:rFonts w:cs="Arial"/>
                <w:szCs w:val="16"/>
              </w:rPr>
            </w:pPr>
            <w:r w:rsidRPr="006E7E84">
              <w:rPr>
                <w:rFonts w:cs="Arial"/>
                <w:szCs w:val="16"/>
              </w:rPr>
              <w:t>24.84</w:t>
            </w:r>
          </w:p>
        </w:tc>
      </w:tr>
      <w:tr w:rsidR="006E7E84" w:rsidRPr="006E7E84" w14:paraId="1F14A6A0" w14:textId="77777777" w:rsidTr="006E7E84">
        <w:tc>
          <w:tcPr>
            <w:tcW w:w="539" w:type="pct"/>
            <w:shd w:val="clear" w:color="auto" w:fill="auto"/>
            <w:vAlign w:val="center"/>
          </w:tcPr>
          <w:p w14:paraId="67FFD637" w14:textId="77777777" w:rsidR="00DD5B7A" w:rsidRPr="006E7E84" w:rsidRDefault="00DD5B7A" w:rsidP="006E7E84">
            <w:pPr>
              <w:spacing w:after="0"/>
              <w:jc w:val="center"/>
              <w:rPr>
                <w:rFonts w:cs="Arial"/>
                <w:szCs w:val="16"/>
              </w:rPr>
            </w:pPr>
            <w:r w:rsidRPr="006E7E84">
              <w:rPr>
                <w:rFonts w:cs="Arial"/>
                <w:szCs w:val="16"/>
              </w:rPr>
              <w:t>Math</w:t>
            </w:r>
          </w:p>
        </w:tc>
        <w:tc>
          <w:tcPr>
            <w:tcW w:w="501" w:type="pct"/>
            <w:shd w:val="clear" w:color="auto" w:fill="auto"/>
            <w:vAlign w:val="center"/>
          </w:tcPr>
          <w:p w14:paraId="5CC9E434" w14:textId="77777777" w:rsidR="00DD5B7A" w:rsidRPr="006E7E84" w:rsidRDefault="00DD5B7A" w:rsidP="006E7E84">
            <w:pPr>
              <w:spacing w:after="0"/>
              <w:jc w:val="center"/>
              <w:rPr>
                <w:rFonts w:cs="Arial"/>
                <w:szCs w:val="16"/>
              </w:rPr>
            </w:pPr>
            <w:r w:rsidRPr="006E7E84">
              <w:rPr>
                <w:rFonts w:cs="Arial"/>
                <w:szCs w:val="16"/>
              </w:rPr>
              <w:t>B &lt;=</w:t>
            </w:r>
          </w:p>
        </w:tc>
        <w:tc>
          <w:tcPr>
            <w:tcW w:w="500" w:type="pct"/>
            <w:shd w:val="clear" w:color="auto" w:fill="auto"/>
            <w:vAlign w:val="center"/>
          </w:tcPr>
          <w:p w14:paraId="48449221" w14:textId="1DE29BDC" w:rsidR="00DD5B7A" w:rsidRPr="006E7E84" w:rsidDel="00DB0A73" w:rsidRDefault="00DD5B7A" w:rsidP="006E7E84">
            <w:pPr>
              <w:spacing w:after="0"/>
              <w:jc w:val="center"/>
              <w:rPr>
                <w:rFonts w:cs="Arial"/>
                <w:szCs w:val="16"/>
              </w:rPr>
            </w:pPr>
            <w:r w:rsidRPr="006E7E84">
              <w:rPr>
                <w:rFonts w:cs="Arial"/>
                <w:szCs w:val="16"/>
              </w:rPr>
              <w:t>Grade 8</w:t>
            </w:r>
          </w:p>
        </w:tc>
        <w:tc>
          <w:tcPr>
            <w:tcW w:w="576" w:type="pct"/>
            <w:shd w:val="clear" w:color="auto" w:fill="auto"/>
            <w:vAlign w:val="center"/>
          </w:tcPr>
          <w:p w14:paraId="09A6E3C5" w14:textId="2E8BFD65" w:rsidR="00DD5B7A" w:rsidRPr="006E7E84" w:rsidRDefault="00DD5B7A" w:rsidP="006E7E84">
            <w:pPr>
              <w:spacing w:after="0"/>
              <w:jc w:val="center"/>
              <w:rPr>
                <w:rFonts w:cs="Arial"/>
                <w:szCs w:val="16"/>
              </w:rPr>
            </w:pPr>
            <w:r w:rsidRPr="006E7E84">
              <w:rPr>
                <w:rFonts w:cs="Arial"/>
                <w:szCs w:val="16"/>
              </w:rPr>
              <w:t>34.21</w:t>
            </w:r>
          </w:p>
        </w:tc>
        <w:tc>
          <w:tcPr>
            <w:tcW w:w="576" w:type="pct"/>
            <w:vAlign w:val="center"/>
          </w:tcPr>
          <w:p w14:paraId="627C9FA2" w14:textId="428379CE" w:rsidR="00DD5B7A" w:rsidRPr="006E7E84" w:rsidRDefault="00DD5B7A" w:rsidP="006E7E84">
            <w:pPr>
              <w:spacing w:after="0"/>
              <w:jc w:val="center"/>
              <w:rPr>
                <w:rFonts w:cs="Arial"/>
                <w:szCs w:val="16"/>
              </w:rPr>
            </w:pPr>
            <w:r w:rsidRPr="006E7E84">
              <w:rPr>
                <w:rFonts w:cs="Arial"/>
                <w:szCs w:val="16"/>
              </w:rPr>
              <w:t>33.71</w:t>
            </w:r>
          </w:p>
        </w:tc>
        <w:tc>
          <w:tcPr>
            <w:tcW w:w="576" w:type="pct"/>
            <w:vAlign w:val="center"/>
          </w:tcPr>
          <w:p w14:paraId="6204E3FD" w14:textId="081B5532" w:rsidR="00DD5B7A" w:rsidRPr="006E7E84" w:rsidRDefault="00DD5B7A" w:rsidP="006E7E84">
            <w:pPr>
              <w:spacing w:after="0"/>
              <w:jc w:val="center"/>
              <w:rPr>
                <w:rFonts w:cs="Arial"/>
                <w:szCs w:val="16"/>
              </w:rPr>
            </w:pPr>
            <w:r w:rsidRPr="006E7E84">
              <w:rPr>
                <w:rFonts w:cs="Arial"/>
                <w:szCs w:val="16"/>
              </w:rPr>
              <w:t>33.21</w:t>
            </w:r>
          </w:p>
        </w:tc>
        <w:tc>
          <w:tcPr>
            <w:tcW w:w="576" w:type="pct"/>
            <w:vAlign w:val="center"/>
          </w:tcPr>
          <w:p w14:paraId="70AB4E74" w14:textId="67486BA0" w:rsidR="00DD5B7A" w:rsidRPr="006E7E84" w:rsidRDefault="00DD5B7A" w:rsidP="006E7E84">
            <w:pPr>
              <w:spacing w:after="0"/>
              <w:jc w:val="center"/>
              <w:rPr>
                <w:rFonts w:cs="Arial"/>
                <w:szCs w:val="16"/>
              </w:rPr>
            </w:pPr>
            <w:r w:rsidRPr="006E7E84">
              <w:rPr>
                <w:rFonts w:cs="Arial"/>
                <w:szCs w:val="16"/>
              </w:rPr>
              <w:t>32.71</w:t>
            </w:r>
          </w:p>
        </w:tc>
        <w:tc>
          <w:tcPr>
            <w:tcW w:w="576" w:type="pct"/>
            <w:vAlign w:val="center"/>
          </w:tcPr>
          <w:p w14:paraId="76EDA768" w14:textId="58627E7B" w:rsidR="00DD5B7A" w:rsidRPr="006E7E84" w:rsidRDefault="00DD5B7A" w:rsidP="006E7E84">
            <w:pPr>
              <w:spacing w:after="0"/>
              <w:jc w:val="center"/>
              <w:rPr>
                <w:rFonts w:cs="Arial"/>
                <w:szCs w:val="16"/>
              </w:rPr>
            </w:pPr>
            <w:r w:rsidRPr="006E7E84">
              <w:rPr>
                <w:rFonts w:cs="Arial"/>
                <w:szCs w:val="16"/>
              </w:rPr>
              <w:t>32.21</w:t>
            </w:r>
          </w:p>
        </w:tc>
        <w:tc>
          <w:tcPr>
            <w:tcW w:w="576" w:type="pct"/>
            <w:vAlign w:val="center"/>
          </w:tcPr>
          <w:p w14:paraId="163C36F2" w14:textId="38E4F837" w:rsidR="00DD5B7A" w:rsidRPr="006E7E84" w:rsidRDefault="00DD5B7A" w:rsidP="006E7E84">
            <w:pPr>
              <w:spacing w:after="0"/>
              <w:jc w:val="center"/>
              <w:rPr>
                <w:rFonts w:cs="Arial"/>
                <w:szCs w:val="16"/>
              </w:rPr>
            </w:pPr>
            <w:r w:rsidRPr="006E7E84">
              <w:rPr>
                <w:rFonts w:cs="Arial"/>
                <w:szCs w:val="16"/>
              </w:rPr>
              <w:t>31.71</w:t>
            </w:r>
          </w:p>
        </w:tc>
      </w:tr>
      <w:tr w:rsidR="006E7E84" w:rsidRPr="006E7E84" w14:paraId="60CD7006" w14:textId="77777777" w:rsidTr="006E7E84">
        <w:tc>
          <w:tcPr>
            <w:tcW w:w="539" w:type="pct"/>
            <w:shd w:val="clear" w:color="auto" w:fill="auto"/>
            <w:vAlign w:val="center"/>
          </w:tcPr>
          <w:p w14:paraId="76491141" w14:textId="77777777" w:rsidR="00DD5B7A" w:rsidRPr="006E7E84" w:rsidRDefault="00DD5B7A" w:rsidP="006E7E84">
            <w:pPr>
              <w:spacing w:after="0"/>
              <w:jc w:val="center"/>
              <w:rPr>
                <w:rFonts w:cs="Arial"/>
                <w:szCs w:val="16"/>
              </w:rPr>
            </w:pPr>
            <w:r w:rsidRPr="006E7E84">
              <w:rPr>
                <w:rFonts w:cs="Arial"/>
                <w:szCs w:val="16"/>
              </w:rPr>
              <w:t>Math</w:t>
            </w:r>
          </w:p>
        </w:tc>
        <w:tc>
          <w:tcPr>
            <w:tcW w:w="501" w:type="pct"/>
            <w:shd w:val="clear" w:color="auto" w:fill="auto"/>
            <w:vAlign w:val="center"/>
          </w:tcPr>
          <w:p w14:paraId="6C27CF3D" w14:textId="77777777" w:rsidR="00DD5B7A" w:rsidRPr="006E7E84" w:rsidRDefault="00DD5B7A" w:rsidP="006E7E84">
            <w:pPr>
              <w:spacing w:after="0"/>
              <w:jc w:val="center"/>
              <w:rPr>
                <w:rFonts w:cs="Arial"/>
                <w:szCs w:val="16"/>
              </w:rPr>
            </w:pPr>
            <w:r w:rsidRPr="006E7E84">
              <w:rPr>
                <w:rFonts w:cs="Arial"/>
                <w:szCs w:val="16"/>
              </w:rPr>
              <w:t>C &lt;=</w:t>
            </w:r>
          </w:p>
        </w:tc>
        <w:tc>
          <w:tcPr>
            <w:tcW w:w="500" w:type="pct"/>
            <w:shd w:val="clear" w:color="auto" w:fill="auto"/>
            <w:vAlign w:val="center"/>
          </w:tcPr>
          <w:p w14:paraId="4E465544" w14:textId="4F893AB5" w:rsidR="00DD5B7A" w:rsidRPr="006E7E84" w:rsidDel="00DB0A73" w:rsidRDefault="00DD5B7A" w:rsidP="006E7E84">
            <w:pPr>
              <w:spacing w:after="0"/>
              <w:jc w:val="center"/>
              <w:rPr>
                <w:rFonts w:cs="Arial"/>
                <w:szCs w:val="16"/>
              </w:rPr>
            </w:pPr>
            <w:r w:rsidRPr="006E7E84">
              <w:rPr>
                <w:rFonts w:cs="Arial"/>
                <w:szCs w:val="16"/>
              </w:rPr>
              <w:t>Grade HS</w:t>
            </w:r>
          </w:p>
        </w:tc>
        <w:tc>
          <w:tcPr>
            <w:tcW w:w="576" w:type="pct"/>
            <w:shd w:val="clear" w:color="auto" w:fill="auto"/>
            <w:vAlign w:val="center"/>
          </w:tcPr>
          <w:p w14:paraId="7B41E026" w14:textId="6E6F2C10" w:rsidR="00DD5B7A" w:rsidRPr="006E7E84" w:rsidRDefault="00DD5B7A" w:rsidP="006E7E84">
            <w:pPr>
              <w:spacing w:after="0"/>
              <w:jc w:val="center"/>
              <w:rPr>
                <w:rFonts w:cs="Arial"/>
                <w:szCs w:val="16"/>
              </w:rPr>
            </w:pPr>
            <w:r w:rsidRPr="006E7E84">
              <w:rPr>
                <w:rFonts w:cs="Arial"/>
                <w:szCs w:val="16"/>
              </w:rPr>
              <w:t>22.27</w:t>
            </w:r>
          </w:p>
        </w:tc>
        <w:tc>
          <w:tcPr>
            <w:tcW w:w="576" w:type="pct"/>
            <w:vAlign w:val="center"/>
          </w:tcPr>
          <w:p w14:paraId="294118D4" w14:textId="54195603" w:rsidR="00DD5B7A" w:rsidRPr="006E7E84" w:rsidRDefault="00DD5B7A" w:rsidP="006E7E84">
            <w:pPr>
              <w:spacing w:after="0"/>
              <w:jc w:val="center"/>
              <w:rPr>
                <w:rFonts w:cs="Arial"/>
                <w:szCs w:val="16"/>
              </w:rPr>
            </w:pPr>
            <w:r w:rsidRPr="006E7E84">
              <w:rPr>
                <w:rFonts w:cs="Arial"/>
                <w:szCs w:val="16"/>
              </w:rPr>
              <w:t>21.77</w:t>
            </w:r>
          </w:p>
        </w:tc>
        <w:tc>
          <w:tcPr>
            <w:tcW w:w="576" w:type="pct"/>
            <w:vAlign w:val="center"/>
          </w:tcPr>
          <w:p w14:paraId="41623CC8" w14:textId="4F75F535" w:rsidR="00DD5B7A" w:rsidRPr="006E7E84" w:rsidRDefault="00DD5B7A" w:rsidP="006E7E84">
            <w:pPr>
              <w:spacing w:after="0"/>
              <w:jc w:val="center"/>
              <w:rPr>
                <w:rFonts w:cs="Arial"/>
                <w:szCs w:val="16"/>
              </w:rPr>
            </w:pPr>
            <w:r w:rsidRPr="006E7E84">
              <w:rPr>
                <w:rFonts w:cs="Arial"/>
                <w:szCs w:val="16"/>
              </w:rPr>
              <w:t>21.27</w:t>
            </w:r>
          </w:p>
        </w:tc>
        <w:tc>
          <w:tcPr>
            <w:tcW w:w="576" w:type="pct"/>
            <w:vAlign w:val="center"/>
          </w:tcPr>
          <w:p w14:paraId="70C28E3C" w14:textId="4F91601C" w:rsidR="00DD5B7A" w:rsidRPr="006E7E84" w:rsidRDefault="00DD5B7A" w:rsidP="006E7E84">
            <w:pPr>
              <w:spacing w:after="0"/>
              <w:jc w:val="center"/>
              <w:rPr>
                <w:rFonts w:cs="Arial"/>
                <w:szCs w:val="16"/>
              </w:rPr>
            </w:pPr>
            <w:r w:rsidRPr="006E7E84">
              <w:rPr>
                <w:rFonts w:cs="Arial"/>
                <w:szCs w:val="16"/>
              </w:rPr>
              <w:t>20.77</w:t>
            </w:r>
          </w:p>
        </w:tc>
        <w:tc>
          <w:tcPr>
            <w:tcW w:w="576" w:type="pct"/>
            <w:vAlign w:val="center"/>
          </w:tcPr>
          <w:p w14:paraId="72D77BDF" w14:textId="662A73D4" w:rsidR="00DD5B7A" w:rsidRPr="006E7E84" w:rsidRDefault="00DD5B7A" w:rsidP="006E7E84">
            <w:pPr>
              <w:spacing w:after="0"/>
              <w:jc w:val="center"/>
              <w:rPr>
                <w:rFonts w:cs="Arial"/>
                <w:szCs w:val="16"/>
              </w:rPr>
            </w:pPr>
            <w:r w:rsidRPr="006E7E84">
              <w:rPr>
                <w:rFonts w:cs="Arial"/>
                <w:szCs w:val="16"/>
              </w:rPr>
              <w:t>20.27</w:t>
            </w:r>
          </w:p>
        </w:tc>
        <w:tc>
          <w:tcPr>
            <w:tcW w:w="576" w:type="pct"/>
            <w:vAlign w:val="center"/>
          </w:tcPr>
          <w:p w14:paraId="4FB7FF64" w14:textId="767C83EF" w:rsidR="00DD5B7A" w:rsidRPr="006E7E84" w:rsidRDefault="00DD5B7A" w:rsidP="006E7E84">
            <w:pPr>
              <w:spacing w:after="0"/>
              <w:jc w:val="center"/>
              <w:rPr>
                <w:rFonts w:cs="Arial"/>
                <w:szCs w:val="16"/>
              </w:rPr>
            </w:pPr>
            <w:r w:rsidRPr="006E7E84">
              <w:rPr>
                <w:rFonts w:cs="Arial"/>
                <w:szCs w:val="16"/>
              </w:rPr>
              <w:t>19.77</w:t>
            </w:r>
          </w:p>
        </w:tc>
      </w:tr>
    </w:tbl>
    <w:p w14:paraId="209349EB" w14:textId="07186CAA" w:rsidR="00DD5B7A" w:rsidRPr="006E7E84" w:rsidRDefault="00DD5B7A" w:rsidP="0036581E">
      <w:pPr>
        <w:pStyle w:val="Heading4"/>
      </w:pPr>
      <w:r w:rsidRPr="006E7E84">
        <w:t>Targets: Description of Stakeholder Input</w:t>
      </w:r>
    </w:p>
    <w:p w14:paraId="0AF7E25C" w14:textId="77777777" w:rsidR="006E7E84" w:rsidRPr="004661FC" w:rsidRDefault="00DD5B7A" w:rsidP="00314F94">
      <w:pPr>
        <w:pStyle w:val="ListParagraph"/>
        <w:numPr>
          <w:ilvl w:val="0"/>
          <w:numId w:val="108"/>
        </w:numPr>
        <w:rPr>
          <w:rFonts w:cs="Arial"/>
          <w:szCs w:val="16"/>
        </w:rPr>
      </w:pPr>
      <w:r w:rsidRPr="004661FC">
        <w:rPr>
          <w:rFonts w:cs="Arial"/>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5EB19DE7" w14:textId="1CEA9BAA" w:rsidR="00DD5B7A" w:rsidRPr="006E7E84" w:rsidRDefault="00DD5B7A" w:rsidP="004C1EC0">
      <w:pPr>
        <w:ind w:left="720"/>
        <w:rPr>
          <w:rFonts w:cs="Arial"/>
          <w:szCs w:val="16"/>
        </w:rPr>
      </w:pPr>
      <w:r w:rsidRPr="006E7E84">
        <w:rPr>
          <w:rFonts w:cs="Arial"/>
          <w:szCs w:val="16"/>
        </w:rPr>
        <w:lastRenderedPageBreak/>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5F03961C" w14:textId="77777777" w:rsidR="00DD5B7A" w:rsidRPr="006E7E84" w:rsidRDefault="00DD5B7A" w:rsidP="0036581E">
      <w:pPr>
        <w:pStyle w:val="Heading4"/>
      </w:pPr>
      <w:r w:rsidRPr="006E7E84">
        <w:t xml:space="preserve">FFY 2020 Data Disaggregation from </w:t>
      </w:r>
      <w:proofErr w:type="spellStart"/>
      <w:r w:rsidRPr="006E7E84">
        <w:t>EDFacts</w:t>
      </w:r>
      <w:proofErr w:type="spellEnd"/>
    </w:p>
    <w:p w14:paraId="27A29F4B" w14:textId="300B5E0E" w:rsidR="00DD5B7A" w:rsidRPr="006E7E84" w:rsidRDefault="00DD5B7A" w:rsidP="006E7E84">
      <w:pPr>
        <w:rPr>
          <w:rFonts w:cs="Arial"/>
          <w:b/>
          <w:szCs w:val="16"/>
        </w:rPr>
      </w:pPr>
      <w:r w:rsidRPr="006E7E84">
        <w:rPr>
          <w:rFonts w:cs="Arial"/>
          <w:b/>
          <w:szCs w:val="16"/>
        </w:rPr>
        <w:t>Data Source:</w:t>
      </w:r>
    </w:p>
    <w:p w14:paraId="24C5C209" w14:textId="7C8C8769" w:rsidR="00DD5B7A" w:rsidRPr="004661FC" w:rsidRDefault="00DD5B7A" w:rsidP="00314F94">
      <w:pPr>
        <w:pStyle w:val="ListParagraph"/>
        <w:numPr>
          <w:ilvl w:val="0"/>
          <w:numId w:val="109"/>
        </w:numPr>
        <w:rPr>
          <w:rFonts w:cs="Arial"/>
          <w:szCs w:val="16"/>
        </w:rPr>
      </w:pPr>
      <w:r w:rsidRPr="004661FC">
        <w:rPr>
          <w:rFonts w:cs="Arial"/>
          <w:szCs w:val="16"/>
        </w:rPr>
        <w:t>SY 2020-21 Assessment Data Groups - Reading (</w:t>
      </w:r>
      <w:proofErr w:type="spellStart"/>
      <w:r w:rsidRPr="004661FC">
        <w:rPr>
          <w:rFonts w:cs="Arial"/>
          <w:szCs w:val="16"/>
        </w:rPr>
        <w:t>EDFacts</w:t>
      </w:r>
      <w:proofErr w:type="spellEnd"/>
      <w:r w:rsidRPr="004661FC">
        <w:rPr>
          <w:rFonts w:cs="Arial"/>
          <w:szCs w:val="16"/>
        </w:rPr>
        <w:t xml:space="preserve"> file spec FS178; Data Group: 584)</w:t>
      </w:r>
    </w:p>
    <w:p w14:paraId="51B1992D" w14:textId="3F241E52" w:rsidR="00DD5B7A" w:rsidRPr="006E7E84" w:rsidRDefault="00DD5B7A" w:rsidP="006E7E84">
      <w:pPr>
        <w:rPr>
          <w:rFonts w:cs="Arial"/>
          <w:b/>
          <w:szCs w:val="16"/>
        </w:rPr>
      </w:pPr>
      <w:r w:rsidRPr="006E7E84">
        <w:rPr>
          <w:rFonts w:cs="Arial"/>
          <w:b/>
          <w:szCs w:val="16"/>
        </w:rPr>
        <w:t>Date:</w:t>
      </w:r>
    </w:p>
    <w:p w14:paraId="254E3F3F" w14:textId="7BE38E1B" w:rsidR="00DD5B7A" w:rsidRPr="004661FC" w:rsidRDefault="00DD5B7A" w:rsidP="00314F94">
      <w:pPr>
        <w:pStyle w:val="ListParagraph"/>
        <w:numPr>
          <w:ilvl w:val="0"/>
          <w:numId w:val="110"/>
        </w:numPr>
        <w:rPr>
          <w:rFonts w:cs="Arial"/>
          <w:szCs w:val="16"/>
        </w:rPr>
      </w:pPr>
      <w:r w:rsidRPr="004661FC">
        <w:rPr>
          <w:rFonts w:cs="Arial"/>
          <w:szCs w:val="16"/>
        </w:rPr>
        <w:t>03/03/2022</w:t>
      </w:r>
    </w:p>
    <w:p w14:paraId="45DD1CF1" w14:textId="3D16387B" w:rsidR="00DD5B7A" w:rsidRPr="006E7E84" w:rsidRDefault="00DD5B7A" w:rsidP="00815ACE">
      <w:pPr>
        <w:pStyle w:val="Caption"/>
      </w:pPr>
      <w:r w:rsidRPr="006E7E84">
        <w:t>Reading Assessment Proficiency Data by Grade</w:t>
      </w:r>
      <w:r w:rsidR="0097256F">
        <w:t xml:space="preserve"> (3D)</w:t>
      </w:r>
    </w:p>
    <w:tbl>
      <w:tblPr>
        <w:tblStyle w:val="TableGrid"/>
        <w:tblW w:w="5000" w:type="pct"/>
        <w:tblLayout w:type="fixed"/>
        <w:tblLook w:val="04A0" w:firstRow="1" w:lastRow="0" w:firstColumn="1" w:lastColumn="0" w:noHBand="0" w:noVBand="1"/>
        <w:tblDescription w:val="Table provides reading assessment proficiency for grades 4, 8, and high school for children with IEPs."/>
      </w:tblPr>
      <w:tblGrid>
        <w:gridCol w:w="3775"/>
        <w:gridCol w:w="2337"/>
        <w:gridCol w:w="2339"/>
        <w:gridCol w:w="2339"/>
      </w:tblGrid>
      <w:tr w:rsidR="006E7E84" w:rsidRPr="006E7E84" w14:paraId="6DA55728" w14:textId="77777777" w:rsidTr="00A0101E">
        <w:trPr>
          <w:trHeight w:val="485"/>
          <w:tblHeader/>
        </w:trPr>
        <w:tc>
          <w:tcPr>
            <w:tcW w:w="1749" w:type="pct"/>
            <w:shd w:val="clear" w:color="auto" w:fill="D9D9D9" w:themeFill="background1" w:themeFillShade="D9"/>
            <w:vAlign w:val="center"/>
          </w:tcPr>
          <w:p w14:paraId="4EAC2736" w14:textId="6924CA80" w:rsidR="00DD5B7A" w:rsidRPr="006E7E84" w:rsidRDefault="00835EAD" w:rsidP="00A0101E">
            <w:pPr>
              <w:spacing w:after="0" w:line="276" w:lineRule="auto"/>
              <w:jc w:val="center"/>
              <w:rPr>
                <w:rFonts w:cs="Arial"/>
                <w:b/>
                <w:bCs/>
                <w:szCs w:val="16"/>
              </w:rPr>
            </w:pPr>
            <w:r w:rsidRPr="006E7E84">
              <w:rPr>
                <w:rFonts w:cs="Arial"/>
                <w:b/>
                <w:bCs/>
                <w:szCs w:val="16"/>
              </w:rPr>
              <w:t>Group</w:t>
            </w:r>
          </w:p>
        </w:tc>
        <w:tc>
          <w:tcPr>
            <w:tcW w:w="1083" w:type="pct"/>
            <w:shd w:val="clear" w:color="auto" w:fill="D9D9D9" w:themeFill="background1" w:themeFillShade="D9"/>
            <w:vAlign w:val="center"/>
          </w:tcPr>
          <w:p w14:paraId="3D691E68" w14:textId="255E6CDB" w:rsidR="00DD5B7A" w:rsidRPr="006E7E84" w:rsidRDefault="00DD5B7A" w:rsidP="00A0101E">
            <w:pPr>
              <w:spacing w:after="0" w:line="276" w:lineRule="auto"/>
              <w:jc w:val="center"/>
              <w:rPr>
                <w:rFonts w:cs="Arial"/>
                <w:b/>
                <w:bCs/>
                <w:szCs w:val="16"/>
              </w:rPr>
            </w:pPr>
            <w:r w:rsidRPr="006E7E84">
              <w:rPr>
                <w:rFonts w:cs="Arial"/>
                <w:b/>
                <w:bCs/>
                <w:szCs w:val="16"/>
              </w:rPr>
              <w:t>Grade 4</w:t>
            </w:r>
          </w:p>
        </w:tc>
        <w:tc>
          <w:tcPr>
            <w:tcW w:w="1084" w:type="pct"/>
            <w:shd w:val="clear" w:color="auto" w:fill="D9D9D9" w:themeFill="background1" w:themeFillShade="D9"/>
            <w:vAlign w:val="center"/>
          </w:tcPr>
          <w:p w14:paraId="04C042D1" w14:textId="5F31110D" w:rsidR="00DD5B7A" w:rsidRPr="006E7E84" w:rsidRDefault="00DD5B7A" w:rsidP="00A0101E">
            <w:pPr>
              <w:spacing w:after="0" w:line="276" w:lineRule="auto"/>
              <w:jc w:val="center"/>
              <w:rPr>
                <w:rFonts w:cs="Arial"/>
                <w:b/>
                <w:bCs/>
                <w:szCs w:val="16"/>
              </w:rPr>
            </w:pPr>
            <w:r w:rsidRPr="006E7E84">
              <w:rPr>
                <w:rFonts w:cs="Arial"/>
                <w:b/>
                <w:bCs/>
                <w:szCs w:val="16"/>
              </w:rPr>
              <w:t>Grade 8</w:t>
            </w:r>
          </w:p>
        </w:tc>
        <w:tc>
          <w:tcPr>
            <w:tcW w:w="1084" w:type="pct"/>
            <w:shd w:val="clear" w:color="auto" w:fill="D9D9D9" w:themeFill="background1" w:themeFillShade="D9"/>
            <w:vAlign w:val="center"/>
          </w:tcPr>
          <w:p w14:paraId="5ED006E5" w14:textId="47B87CAA" w:rsidR="00DD5B7A" w:rsidRPr="006E7E84" w:rsidRDefault="00DD5B7A" w:rsidP="00A0101E">
            <w:pPr>
              <w:spacing w:after="0" w:line="276" w:lineRule="auto"/>
              <w:jc w:val="center"/>
              <w:rPr>
                <w:rFonts w:cs="Arial"/>
                <w:b/>
                <w:bCs/>
                <w:szCs w:val="16"/>
              </w:rPr>
            </w:pPr>
            <w:r w:rsidRPr="006E7E84">
              <w:rPr>
                <w:rFonts w:cs="Arial"/>
                <w:b/>
                <w:bCs/>
                <w:szCs w:val="16"/>
              </w:rPr>
              <w:t>Grade HS</w:t>
            </w:r>
          </w:p>
        </w:tc>
      </w:tr>
      <w:tr w:rsidR="006E7E84" w:rsidRPr="006E7E84" w14:paraId="37D772D8" w14:textId="77777777" w:rsidTr="00A0101E">
        <w:trPr>
          <w:trHeight w:val="1440"/>
        </w:trPr>
        <w:tc>
          <w:tcPr>
            <w:tcW w:w="1749" w:type="pct"/>
            <w:shd w:val="clear" w:color="auto" w:fill="auto"/>
            <w:vAlign w:val="center"/>
          </w:tcPr>
          <w:p w14:paraId="7B0D7CCF" w14:textId="33D6DF72" w:rsidR="002D3EE6" w:rsidRPr="006E7E84" w:rsidRDefault="002D3EE6" w:rsidP="00A0101E">
            <w:pPr>
              <w:spacing w:after="0" w:line="276" w:lineRule="auto"/>
              <w:rPr>
                <w:rFonts w:cs="Arial"/>
                <w:szCs w:val="16"/>
              </w:rPr>
            </w:pPr>
            <w:r w:rsidRPr="006E7E84">
              <w:rPr>
                <w:rFonts w:cs="Arial"/>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171D43A3" w14:textId="2BAB5EF8"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58B877C4" w14:textId="55D5291F" w:rsidR="002D3EE6" w:rsidRPr="006E7E84" w:rsidRDefault="002D3EE6" w:rsidP="00A0101E">
            <w:pPr>
              <w:spacing w:after="0" w:line="276" w:lineRule="auto"/>
              <w:jc w:val="center"/>
              <w:rPr>
                <w:rFonts w:cs="Arial"/>
                <w:szCs w:val="16"/>
              </w:rPr>
            </w:pPr>
            <w:r w:rsidRPr="006E7E84">
              <w:rPr>
                <w:rFonts w:cs="Arial"/>
                <w:szCs w:val="16"/>
              </w:rPr>
              <w:t>0</w:t>
            </w:r>
          </w:p>
        </w:tc>
      </w:tr>
      <w:tr w:rsidR="006E7E84" w:rsidRPr="006E7E84" w14:paraId="6D2048AF" w14:textId="77777777" w:rsidTr="00A0101E">
        <w:trPr>
          <w:trHeight w:val="1440"/>
        </w:trPr>
        <w:tc>
          <w:tcPr>
            <w:tcW w:w="1749" w:type="pct"/>
            <w:shd w:val="clear" w:color="auto" w:fill="auto"/>
            <w:vAlign w:val="center"/>
          </w:tcPr>
          <w:p w14:paraId="5F5D9DBC" w14:textId="3AB6D57C" w:rsidR="002D3EE6" w:rsidRPr="006E7E84" w:rsidRDefault="002D3EE6" w:rsidP="00A0101E">
            <w:pPr>
              <w:spacing w:after="0" w:line="276" w:lineRule="auto"/>
              <w:rPr>
                <w:rFonts w:cs="Arial"/>
                <w:szCs w:val="16"/>
              </w:rPr>
            </w:pPr>
            <w:r w:rsidRPr="006E7E84">
              <w:rPr>
                <w:rFonts w:cs="Arial"/>
                <w:szCs w:val="16"/>
              </w:rPr>
              <w:t xml:space="preserve">b. Children with IEPs who received a valid score and a proficiency was assigned </w:t>
            </w:r>
            <w:r w:rsidRPr="006E7E84">
              <w:rPr>
                <w:rFonts w:cs="Arial"/>
                <w:szCs w:val="16"/>
                <w:shd w:val="clear" w:color="auto" w:fill="FFFFFF"/>
              </w:rPr>
              <w:t>for the regular assessment</w:t>
            </w:r>
          </w:p>
        </w:tc>
        <w:tc>
          <w:tcPr>
            <w:tcW w:w="1083" w:type="pct"/>
            <w:shd w:val="clear" w:color="auto" w:fill="auto"/>
            <w:vAlign w:val="center"/>
          </w:tcPr>
          <w:p w14:paraId="25792A43" w14:textId="636F508C"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34571492" w14:textId="6F3F5797"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0BBD02C7" w14:textId="42EBBF14" w:rsidR="002D3EE6" w:rsidRPr="006E7E84" w:rsidRDefault="002D3EE6" w:rsidP="00A0101E">
            <w:pPr>
              <w:spacing w:after="0" w:line="276" w:lineRule="auto"/>
              <w:jc w:val="center"/>
              <w:rPr>
                <w:rFonts w:cs="Arial"/>
                <w:szCs w:val="16"/>
              </w:rPr>
            </w:pPr>
            <w:r w:rsidRPr="006E7E84">
              <w:rPr>
                <w:rFonts w:cs="Arial"/>
                <w:szCs w:val="16"/>
              </w:rPr>
              <w:t>0</w:t>
            </w:r>
          </w:p>
        </w:tc>
      </w:tr>
      <w:tr w:rsidR="006E7E84" w:rsidRPr="006E7E84" w14:paraId="62D84F5E" w14:textId="77777777" w:rsidTr="00A0101E">
        <w:trPr>
          <w:trHeight w:val="1664"/>
        </w:trPr>
        <w:tc>
          <w:tcPr>
            <w:tcW w:w="1749" w:type="pct"/>
            <w:shd w:val="clear" w:color="auto" w:fill="auto"/>
            <w:vAlign w:val="center"/>
          </w:tcPr>
          <w:p w14:paraId="51DEDF27" w14:textId="69ADBF80" w:rsidR="002D3EE6" w:rsidRPr="006E7E84" w:rsidRDefault="002D3EE6" w:rsidP="00A0101E">
            <w:pPr>
              <w:spacing w:after="0" w:line="276" w:lineRule="auto"/>
              <w:rPr>
                <w:rFonts w:cs="Arial"/>
                <w:szCs w:val="16"/>
              </w:rPr>
            </w:pPr>
            <w:r w:rsidRPr="006E7E84">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6D42641C" w14:textId="63F65487"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27076C73" w14:textId="7C15AF5B" w:rsidR="002D3EE6" w:rsidRPr="006E7E84" w:rsidRDefault="002D3EE6" w:rsidP="00A0101E">
            <w:pPr>
              <w:spacing w:after="0" w:line="276" w:lineRule="auto"/>
              <w:jc w:val="center"/>
              <w:rPr>
                <w:rFonts w:cs="Arial"/>
                <w:szCs w:val="16"/>
              </w:rPr>
            </w:pPr>
            <w:r w:rsidRPr="006E7E84">
              <w:rPr>
                <w:rFonts w:cs="Arial"/>
                <w:szCs w:val="16"/>
              </w:rPr>
              <w:t>0</w:t>
            </w:r>
          </w:p>
        </w:tc>
      </w:tr>
      <w:tr w:rsidR="006E7E84" w:rsidRPr="006E7E84" w14:paraId="058A4E65" w14:textId="77777777" w:rsidTr="00A0101E">
        <w:trPr>
          <w:trHeight w:val="1709"/>
        </w:trPr>
        <w:tc>
          <w:tcPr>
            <w:tcW w:w="1749" w:type="pct"/>
            <w:shd w:val="clear" w:color="auto" w:fill="auto"/>
            <w:vAlign w:val="center"/>
          </w:tcPr>
          <w:p w14:paraId="439EF49E" w14:textId="1EC71838" w:rsidR="002D3EE6" w:rsidRPr="006E7E84" w:rsidRDefault="002D3EE6" w:rsidP="00A0101E">
            <w:pPr>
              <w:spacing w:after="0" w:line="276" w:lineRule="auto"/>
              <w:rPr>
                <w:rFonts w:cs="Arial"/>
                <w:szCs w:val="16"/>
              </w:rPr>
            </w:pPr>
            <w:r w:rsidRPr="006E7E84">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5FB5C795" w14:textId="69CA87AA"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5BB68E9F" w14:textId="19C38497" w:rsidR="002D3EE6" w:rsidRPr="006E7E84" w:rsidRDefault="002D3EE6" w:rsidP="00A0101E">
            <w:pPr>
              <w:spacing w:after="0" w:line="276" w:lineRule="auto"/>
              <w:jc w:val="center"/>
              <w:rPr>
                <w:rFonts w:cs="Arial"/>
                <w:szCs w:val="16"/>
              </w:rPr>
            </w:pPr>
            <w:r w:rsidRPr="006E7E84">
              <w:rPr>
                <w:rFonts w:cs="Arial"/>
                <w:szCs w:val="16"/>
              </w:rPr>
              <w:t>0</w:t>
            </w:r>
          </w:p>
        </w:tc>
      </w:tr>
      <w:tr w:rsidR="006E7E84" w:rsidRPr="006E7E84" w14:paraId="1AC72B75" w14:textId="77777777" w:rsidTr="00A0101E">
        <w:trPr>
          <w:trHeight w:val="1440"/>
        </w:trPr>
        <w:tc>
          <w:tcPr>
            <w:tcW w:w="1749" w:type="pct"/>
            <w:shd w:val="clear" w:color="auto" w:fill="auto"/>
            <w:vAlign w:val="center"/>
          </w:tcPr>
          <w:p w14:paraId="0A914ADA" w14:textId="357C6FCD" w:rsidR="002D3EE6" w:rsidRPr="006E7E84" w:rsidRDefault="002D3EE6" w:rsidP="00A0101E">
            <w:pPr>
              <w:spacing w:after="0" w:line="276" w:lineRule="auto"/>
              <w:rPr>
                <w:rFonts w:cs="Arial"/>
                <w:szCs w:val="16"/>
              </w:rPr>
            </w:pPr>
            <w:r w:rsidRPr="006E7E84">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7D7B8A72" w14:textId="5C0EA0B0"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077B2856" w14:textId="4059237F" w:rsidR="002D3EE6" w:rsidRPr="006E7E84" w:rsidRDefault="002D3EE6" w:rsidP="00A0101E">
            <w:pPr>
              <w:spacing w:after="0" w:line="276" w:lineRule="auto"/>
              <w:jc w:val="center"/>
              <w:rPr>
                <w:rFonts w:cs="Arial"/>
                <w:szCs w:val="16"/>
              </w:rPr>
            </w:pPr>
            <w:r w:rsidRPr="006E7E84">
              <w:rPr>
                <w:rFonts w:cs="Arial"/>
                <w:szCs w:val="16"/>
              </w:rPr>
              <w:t>0</w:t>
            </w:r>
          </w:p>
        </w:tc>
      </w:tr>
      <w:tr w:rsidR="006E7E84" w:rsidRPr="006E7E84" w14:paraId="0F3AF372" w14:textId="77777777" w:rsidTr="00A0101E">
        <w:trPr>
          <w:trHeight w:val="1700"/>
        </w:trPr>
        <w:tc>
          <w:tcPr>
            <w:tcW w:w="1749" w:type="pct"/>
            <w:shd w:val="clear" w:color="auto" w:fill="auto"/>
            <w:vAlign w:val="center"/>
          </w:tcPr>
          <w:p w14:paraId="65DAF487" w14:textId="01D9D6A1" w:rsidR="002D3EE6" w:rsidRPr="006E7E84" w:rsidRDefault="002D3EE6" w:rsidP="00A0101E">
            <w:pPr>
              <w:spacing w:after="0" w:line="276" w:lineRule="auto"/>
              <w:rPr>
                <w:rFonts w:cs="Arial"/>
                <w:szCs w:val="16"/>
              </w:rPr>
            </w:pPr>
            <w:r w:rsidRPr="006E7E84">
              <w:rPr>
                <w:rFonts w:cs="Arial"/>
                <w:szCs w:val="16"/>
                <w:shd w:val="clear" w:color="auto" w:fill="FFFFFF"/>
              </w:rPr>
              <w:lastRenderedPageBreak/>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0E65D7AB" w14:textId="79D914F6" w:rsidR="002D3EE6" w:rsidRPr="006E7E84" w:rsidRDefault="002D3EE6" w:rsidP="00A0101E">
            <w:pPr>
              <w:spacing w:after="0" w:line="276" w:lineRule="auto"/>
              <w:jc w:val="center"/>
              <w:rPr>
                <w:rFonts w:cs="Arial"/>
                <w:szCs w:val="16"/>
              </w:rPr>
            </w:pPr>
            <w:r w:rsidRPr="006E7E84">
              <w:rPr>
                <w:rFonts w:cs="Arial"/>
                <w:szCs w:val="16"/>
              </w:rPr>
              <w:t>0</w:t>
            </w:r>
          </w:p>
        </w:tc>
        <w:tc>
          <w:tcPr>
            <w:tcW w:w="1084" w:type="pct"/>
            <w:shd w:val="clear" w:color="auto" w:fill="auto"/>
            <w:vAlign w:val="center"/>
          </w:tcPr>
          <w:p w14:paraId="740F6FA5" w14:textId="70059958" w:rsidR="002D3EE6" w:rsidRPr="006E7E84" w:rsidRDefault="002D3EE6" w:rsidP="00A0101E">
            <w:pPr>
              <w:spacing w:after="0" w:line="276" w:lineRule="auto"/>
              <w:jc w:val="center"/>
              <w:rPr>
                <w:rFonts w:cs="Arial"/>
                <w:szCs w:val="16"/>
              </w:rPr>
            </w:pPr>
            <w:r w:rsidRPr="006E7E84">
              <w:rPr>
                <w:rFonts w:cs="Arial"/>
                <w:szCs w:val="16"/>
              </w:rPr>
              <w:t>0</w:t>
            </w:r>
          </w:p>
        </w:tc>
      </w:tr>
    </w:tbl>
    <w:p w14:paraId="2B294F6E" w14:textId="4443837C" w:rsidR="00DD5B7A" w:rsidRPr="006E7E84" w:rsidRDefault="00DD5B7A" w:rsidP="006E7E84">
      <w:pPr>
        <w:spacing w:before="240"/>
        <w:rPr>
          <w:rFonts w:cs="Arial"/>
          <w:b/>
          <w:szCs w:val="16"/>
        </w:rPr>
      </w:pPr>
      <w:r w:rsidRPr="006E7E84">
        <w:rPr>
          <w:rFonts w:cs="Arial"/>
          <w:b/>
          <w:szCs w:val="16"/>
        </w:rPr>
        <w:t>Data Source:</w:t>
      </w:r>
    </w:p>
    <w:p w14:paraId="6AD8EFC6" w14:textId="22529744" w:rsidR="00DD5B7A" w:rsidRPr="00F32F95" w:rsidRDefault="00DD5B7A" w:rsidP="00314F94">
      <w:pPr>
        <w:pStyle w:val="ListParagraph"/>
        <w:numPr>
          <w:ilvl w:val="0"/>
          <w:numId w:val="111"/>
        </w:numPr>
        <w:rPr>
          <w:rFonts w:cs="Arial"/>
          <w:szCs w:val="16"/>
        </w:rPr>
      </w:pPr>
      <w:r w:rsidRPr="00F32F95">
        <w:rPr>
          <w:rFonts w:cs="Arial"/>
          <w:szCs w:val="16"/>
        </w:rPr>
        <w:t>SY 2020-21 Assessment Data Groups - Math (</w:t>
      </w:r>
      <w:proofErr w:type="spellStart"/>
      <w:r w:rsidRPr="00F32F95">
        <w:rPr>
          <w:rFonts w:cs="Arial"/>
          <w:szCs w:val="16"/>
        </w:rPr>
        <w:t>EDFacts</w:t>
      </w:r>
      <w:proofErr w:type="spellEnd"/>
      <w:r w:rsidRPr="00F32F95">
        <w:rPr>
          <w:rFonts w:cs="Arial"/>
          <w:szCs w:val="16"/>
        </w:rPr>
        <w:t xml:space="preserve"> file spec FS175; Data Group: 583)</w:t>
      </w:r>
    </w:p>
    <w:p w14:paraId="1F735D57" w14:textId="104BBAA2" w:rsidR="00DD5B7A" w:rsidRPr="006E7E84" w:rsidRDefault="00DD5B7A" w:rsidP="006E7E84">
      <w:pPr>
        <w:rPr>
          <w:rFonts w:cs="Arial"/>
          <w:b/>
          <w:szCs w:val="16"/>
        </w:rPr>
      </w:pPr>
      <w:r w:rsidRPr="006E7E84">
        <w:rPr>
          <w:rFonts w:cs="Arial"/>
          <w:b/>
          <w:szCs w:val="16"/>
        </w:rPr>
        <w:t>Date:</w:t>
      </w:r>
    </w:p>
    <w:p w14:paraId="27D0A75A" w14:textId="6D901961" w:rsidR="00DD5B7A" w:rsidRPr="00F32F95" w:rsidRDefault="00DD5B7A" w:rsidP="00314F94">
      <w:pPr>
        <w:pStyle w:val="ListParagraph"/>
        <w:numPr>
          <w:ilvl w:val="0"/>
          <w:numId w:val="112"/>
        </w:numPr>
        <w:rPr>
          <w:rFonts w:cs="Arial"/>
          <w:szCs w:val="16"/>
        </w:rPr>
      </w:pPr>
      <w:r w:rsidRPr="00F32F95">
        <w:rPr>
          <w:rFonts w:cs="Arial"/>
          <w:szCs w:val="16"/>
        </w:rPr>
        <w:t>03/03/2022</w:t>
      </w:r>
    </w:p>
    <w:p w14:paraId="0AB0EBE2" w14:textId="1F6998A1" w:rsidR="00DD5B7A" w:rsidRPr="006E7E84" w:rsidRDefault="00DD5B7A" w:rsidP="00815ACE">
      <w:pPr>
        <w:pStyle w:val="Caption"/>
      </w:pPr>
      <w:r w:rsidRPr="006E7E84">
        <w:t>Math Assessment Proficiency Data by Grade</w:t>
      </w:r>
      <w:r w:rsidR="0097256F">
        <w:t xml:space="preserve"> (3D)</w:t>
      </w:r>
    </w:p>
    <w:tbl>
      <w:tblPr>
        <w:tblStyle w:val="TableGrid"/>
        <w:tblW w:w="5000" w:type="pct"/>
        <w:tblLayout w:type="fixed"/>
        <w:tblLook w:val="04A0" w:firstRow="1" w:lastRow="0" w:firstColumn="1" w:lastColumn="0" w:noHBand="0" w:noVBand="1"/>
        <w:tblDescription w:val="Table provides math assessment proficiency for grades 4, 8, and high school for children with IEPs."/>
      </w:tblPr>
      <w:tblGrid>
        <w:gridCol w:w="3775"/>
        <w:gridCol w:w="2338"/>
        <w:gridCol w:w="2338"/>
        <w:gridCol w:w="2339"/>
      </w:tblGrid>
      <w:tr w:rsidR="006E7E84" w:rsidRPr="006E7E84" w14:paraId="590774E0" w14:textId="77777777" w:rsidTr="00A0101E">
        <w:trPr>
          <w:trHeight w:val="413"/>
          <w:tblHeader/>
        </w:trPr>
        <w:tc>
          <w:tcPr>
            <w:tcW w:w="1749" w:type="pct"/>
            <w:shd w:val="clear" w:color="auto" w:fill="D9D9D9" w:themeFill="background1" w:themeFillShade="D9"/>
            <w:vAlign w:val="center"/>
          </w:tcPr>
          <w:p w14:paraId="4055FBD1" w14:textId="73E0C6E7" w:rsidR="00DD5B7A" w:rsidRPr="006E7E84" w:rsidRDefault="00835EAD" w:rsidP="00A0101E">
            <w:pPr>
              <w:spacing w:after="0" w:line="276" w:lineRule="auto"/>
              <w:jc w:val="center"/>
              <w:rPr>
                <w:rFonts w:cs="Arial"/>
                <w:b/>
                <w:bCs/>
                <w:szCs w:val="16"/>
              </w:rPr>
            </w:pPr>
            <w:r w:rsidRPr="006E7E84">
              <w:rPr>
                <w:rFonts w:cs="Arial"/>
                <w:b/>
                <w:bCs/>
                <w:szCs w:val="16"/>
              </w:rPr>
              <w:t>Group</w:t>
            </w:r>
          </w:p>
        </w:tc>
        <w:tc>
          <w:tcPr>
            <w:tcW w:w="1083" w:type="pct"/>
            <w:shd w:val="clear" w:color="auto" w:fill="D9D9D9" w:themeFill="background1" w:themeFillShade="D9"/>
            <w:vAlign w:val="center"/>
          </w:tcPr>
          <w:p w14:paraId="3DAA5C0A" w14:textId="35B1C50B" w:rsidR="00DD5B7A" w:rsidRPr="006E7E84" w:rsidRDefault="00DD5B7A" w:rsidP="00A0101E">
            <w:pPr>
              <w:spacing w:after="0" w:line="276" w:lineRule="auto"/>
              <w:jc w:val="center"/>
              <w:rPr>
                <w:rFonts w:cs="Arial"/>
                <w:b/>
                <w:bCs/>
                <w:szCs w:val="16"/>
              </w:rPr>
            </w:pPr>
            <w:r w:rsidRPr="006E7E84">
              <w:rPr>
                <w:rFonts w:cs="Arial"/>
                <w:b/>
                <w:bCs/>
                <w:szCs w:val="16"/>
              </w:rPr>
              <w:t>Grade 4</w:t>
            </w:r>
          </w:p>
        </w:tc>
        <w:tc>
          <w:tcPr>
            <w:tcW w:w="1083" w:type="pct"/>
            <w:shd w:val="clear" w:color="auto" w:fill="D9D9D9" w:themeFill="background1" w:themeFillShade="D9"/>
            <w:vAlign w:val="center"/>
          </w:tcPr>
          <w:p w14:paraId="4B99C0AD" w14:textId="75D46FFE" w:rsidR="00DD5B7A" w:rsidRPr="006E7E84" w:rsidRDefault="00DD5B7A" w:rsidP="00A0101E">
            <w:pPr>
              <w:spacing w:after="0" w:line="276" w:lineRule="auto"/>
              <w:jc w:val="center"/>
              <w:rPr>
                <w:rFonts w:cs="Arial"/>
                <w:b/>
                <w:bCs/>
                <w:szCs w:val="16"/>
              </w:rPr>
            </w:pPr>
            <w:r w:rsidRPr="006E7E84">
              <w:rPr>
                <w:rFonts w:cs="Arial"/>
                <w:b/>
                <w:bCs/>
                <w:szCs w:val="16"/>
              </w:rPr>
              <w:t>Grade 8</w:t>
            </w:r>
          </w:p>
        </w:tc>
        <w:tc>
          <w:tcPr>
            <w:tcW w:w="1084" w:type="pct"/>
            <w:shd w:val="clear" w:color="auto" w:fill="D9D9D9" w:themeFill="background1" w:themeFillShade="D9"/>
            <w:vAlign w:val="center"/>
          </w:tcPr>
          <w:p w14:paraId="64818CE7" w14:textId="3A3D62EA" w:rsidR="00DD5B7A" w:rsidRPr="006E7E84" w:rsidRDefault="00DD5B7A" w:rsidP="00A0101E">
            <w:pPr>
              <w:spacing w:after="0" w:line="276" w:lineRule="auto"/>
              <w:jc w:val="center"/>
              <w:rPr>
                <w:rFonts w:cs="Arial"/>
                <w:b/>
                <w:bCs/>
                <w:szCs w:val="16"/>
              </w:rPr>
            </w:pPr>
            <w:r w:rsidRPr="006E7E84">
              <w:rPr>
                <w:rFonts w:cs="Arial"/>
                <w:b/>
                <w:bCs/>
                <w:szCs w:val="16"/>
              </w:rPr>
              <w:t>Grade HS</w:t>
            </w:r>
          </w:p>
        </w:tc>
      </w:tr>
      <w:tr w:rsidR="006E7E84" w:rsidRPr="006E7E84" w14:paraId="5B127C40" w14:textId="77777777" w:rsidTr="00A0101E">
        <w:trPr>
          <w:trHeight w:val="1349"/>
        </w:trPr>
        <w:tc>
          <w:tcPr>
            <w:tcW w:w="1749" w:type="pct"/>
            <w:shd w:val="clear" w:color="auto" w:fill="auto"/>
            <w:vAlign w:val="center"/>
          </w:tcPr>
          <w:p w14:paraId="0E1B91FD" w14:textId="7C7FA98F" w:rsidR="0039534D" w:rsidRPr="006E7E84" w:rsidRDefault="0039534D" w:rsidP="00A0101E">
            <w:pPr>
              <w:spacing w:after="0" w:line="276" w:lineRule="auto"/>
              <w:rPr>
                <w:rFonts w:cs="Arial"/>
                <w:szCs w:val="16"/>
              </w:rPr>
            </w:pPr>
            <w:r w:rsidRPr="006E7E84">
              <w:rPr>
                <w:rFonts w:cs="Arial"/>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6E7E84" w:rsidRDefault="0039534D" w:rsidP="00A0101E">
            <w:pPr>
              <w:spacing w:after="0" w:line="276" w:lineRule="auto"/>
              <w:jc w:val="center"/>
              <w:rPr>
                <w:rFonts w:cs="Arial"/>
                <w:szCs w:val="16"/>
              </w:rPr>
            </w:pPr>
            <w:r w:rsidRPr="006E7E84">
              <w:rPr>
                <w:rFonts w:cs="Arial"/>
                <w:szCs w:val="16"/>
              </w:rPr>
              <w:t>71,960</w:t>
            </w:r>
          </w:p>
        </w:tc>
        <w:tc>
          <w:tcPr>
            <w:tcW w:w="1083" w:type="pct"/>
            <w:shd w:val="clear" w:color="auto" w:fill="auto"/>
            <w:vAlign w:val="center"/>
          </w:tcPr>
          <w:p w14:paraId="1F69E804" w14:textId="1CF42368" w:rsidR="0039534D" w:rsidRPr="006E7E84" w:rsidRDefault="0039534D" w:rsidP="00A0101E">
            <w:pPr>
              <w:spacing w:after="0" w:line="276" w:lineRule="auto"/>
              <w:jc w:val="center"/>
              <w:rPr>
                <w:rFonts w:cs="Arial"/>
                <w:szCs w:val="16"/>
              </w:rPr>
            </w:pPr>
            <w:r w:rsidRPr="006E7E84">
              <w:rPr>
                <w:rFonts w:cs="Arial"/>
                <w:szCs w:val="16"/>
              </w:rPr>
              <w:t>68,936</w:t>
            </w:r>
          </w:p>
        </w:tc>
        <w:tc>
          <w:tcPr>
            <w:tcW w:w="1084" w:type="pct"/>
            <w:shd w:val="clear" w:color="auto" w:fill="auto"/>
            <w:vAlign w:val="center"/>
          </w:tcPr>
          <w:p w14:paraId="3CF6972D" w14:textId="425CE03D" w:rsidR="0039534D" w:rsidRPr="006E7E84" w:rsidRDefault="0039534D" w:rsidP="00A0101E">
            <w:pPr>
              <w:spacing w:after="0" w:line="276" w:lineRule="auto"/>
              <w:jc w:val="center"/>
              <w:rPr>
                <w:rFonts w:cs="Arial"/>
                <w:szCs w:val="16"/>
              </w:rPr>
            </w:pPr>
            <w:r w:rsidRPr="006E7E84">
              <w:rPr>
                <w:rFonts w:cs="Arial"/>
                <w:szCs w:val="16"/>
              </w:rPr>
              <w:t>86,848</w:t>
            </w:r>
          </w:p>
        </w:tc>
      </w:tr>
      <w:tr w:rsidR="006E7E84" w:rsidRPr="006E7E84" w14:paraId="498D2BC6" w14:textId="77777777" w:rsidTr="00A0101E">
        <w:trPr>
          <w:trHeight w:val="1340"/>
        </w:trPr>
        <w:tc>
          <w:tcPr>
            <w:tcW w:w="1749" w:type="pct"/>
            <w:shd w:val="clear" w:color="auto" w:fill="auto"/>
            <w:vAlign w:val="center"/>
          </w:tcPr>
          <w:p w14:paraId="6F359A75" w14:textId="3CC63A02" w:rsidR="0039534D" w:rsidRPr="006E7E84" w:rsidRDefault="0039534D" w:rsidP="00A0101E">
            <w:pPr>
              <w:spacing w:after="0" w:line="276" w:lineRule="auto"/>
              <w:rPr>
                <w:rFonts w:cs="Arial"/>
                <w:szCs w:val="16"/>
              </w:rPr>
            </w:pPr>
            <w:r w:rsidRPr="006E7E84">
              <w:rPr>
                <w:rFonts w:cs="Arial"/>
                <w:szCs w:val="16"/>
              </w:rPr>
              <w:t xml:space="preserve">b. Children with IEPs who received a valid score and a proficiency was assigned </w:t>
            </w:r>
            <w:r w:rsidRPr="006E7E84">
              <w:rPr>
                <w:rFonts w:cs="Arial"/>
                <w:szCs w:val="16"/>
                <w:shd w:val="clear" w:color="auto" w:fill="FFFFFF"/>
              </w:rPr>
              <w:t>for the regular assessment</w:t>
            </w:r>
          </w:p>
        </w:tc>
        <w:tc>
          <w:tcPr>
            <w:tcW w:w="1083" w:type="pct"/>
            <w:shd w:val="clear" w:color="auto" w:fill="auto"/>
            <w:vAlign w:val="center"/>
          </w:tcPr>
          <w:p w14:paraId="76737A54" w14:textId="7FDF30A1" w:rsidR="0039534D" w:rsidRPr="006E7E84" w:rsidRDefault="0039534D" w:rsidP="00A0101E">
            <w:pPr>
              <w:spacing w:after="0" w:line="276" w:lineRule="auto"/>
              <w:jc w:val="center"/>
              <w:rPr>
                <w:rFonts w:cs="Arial"/>
                <w:szCs w:val="16"/>
              </w:rPr>
            </w:pPr>
            <w:r w:rsidRPr="006E7E84">
              <w:rPr>
                <w:rFonts w:cs="Arial"/>
                <w:szCs w:val="16"/>
              </w:rPr>
              <w:t>8,895</w:t>
            </w:r>
          </w:p>
        </w:tc>
        <w:tc>
          <w:tcPr>
            <w:tcW w:w="1083" w:type="pct"/>
            <w:shd w:val="clear" w:color="auto" w:fill="auto"/>
            <w:vAlign w:val="center"/>
          </w:tcPr>
          <w:p w14:paraId="4728E439" w14:textId="7575A840" w:rsidR="0039534D" w:rsidRPr="006E7E84" w:rsidRDefault="0039534D" w:rsidP="00A0101E">
            <w:pPr>
              <w:spacing w:after="0" w:line="276" w:lineRule="auto"/>
              <w:jc w:val="center"/>
              <w:rPr>
                <w:rFonts w:cs="Arial"/>
                <w:szCs w:val="16"/>
              </w:rPr>
            </w:pPr>
            <w:r w:rsidRPr="006E7E84">
              <w:rPr>
                <w:rFonts w:cs="Arial"/>
                <w:szCs w:val="16"/>
              </w:rPr>
              <w:t>7,682</w:t>
            </w:r>
          </w:p>
        </w:tc>
        <w:tc>
          <w:tcPr>
            <w:tcW w:w="1084" w:type="pct"/>
            <w:shd w:val="clear" w:color="auto" w:fill="auto"/>
            <w:vAlign w:val="center"/>
          </w:tcPr>
          <w:p w14:paraId="06C8345B" w14:textId="39D5A618" w:rsidR="0039534D" w:rsidRPr="006E7E84" w:rsidRDefault="0039534D" w:rsidP="00A0101E">
            <w:pPr>
              <w:spacing w:after="0" w:line="276" w:lineRule="auto"/>
              <w:jc w:val="center"/>
              <w:rPr>
                <w:rFonts w:cs="Arial"/>
                <w:szCs w:val="16"/>
              </w:rPr>
            </w:pPr>
            <w:r w:rsidRPr="006E7E84">
              <w:rPr>
                <w:rFonts w:cs="Arial"/>
                <w:szCs w:val="16"/>
              </w:rPr>
              <w:t>10,869</w:t>
            </w:r>
          </w:p>
        </w:tc>
      </w:tr>
      <w:tr w:rsidR="006E7E84" w:rsidRPr="006E7E84" w14:paraId="3DF51785" w14:textId="77777777" w:rsidTr="00A0101E">
        <w:trPr>
          <w:trHeight w:val="1691"/>
        </w:trPr>
        <w:tc>
          <w:tcPr>
            <w:tcW w:w="1749" w:type="pct"/>
            <w:shd w:val="clear" w:color="auto" w:fill="auto"/>
            <w:vAlign w:val="center"/>
          </w:tcPr>
          <w:p w14:paraId="4795E661" w14:textId="39A6BCFA" w:rsidR="0039534D" w:rsidRPr="006E7E84" w:rsidRDefault="0039534D" w:rsidP="00A0101E">
            <w:pPr>
              <w:spacing w:after="0" w:line="276" w:lineRule="auto"/>
              <w:rPr>
                <w:rFonts w:cs="Arial"/>
                <w:szCs w:val="16"/>
              </w:rPr>
            </w:pPr>
            <w:r w:rsidRPr="006E7E84">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6E7E84" w:rsidRDefault="0039534D" w:rsidP="00A0101E">
            <w:pPr>
              <w:spacing w:after="0" w:line="276" w:lineRule="auto"/>
              <w:jc w:val="center"/>
              <w:rPr>
                <w:rFonts w:cs="Arial"/>
                <w:szCs w:val="16"/>
              </w:rPr>
            </w:pPr>
            <w:r w:rsidRPr="006E7E84">
              <w:rPr>
                <w:rFonts w:cs="Arial"/>
                <w:szCs w:val="16"/>
              </w:rPr>
              <w:t>36,379</w:t>
            </w:r>
          </w:p>
        </w:tc>
        <w:tc>
          <w:tcPr>
            <w:tcW w:w="1083" w:type="pct"/>
            <w:shd w:val="clear" w:color="auto" w:fill="auto"/>
            <w:vAlign w:val="center"/>
          </w:tcPr>
          <w:p w14:paraId="7CCA2E3B" w14:textId="3CD9DE15" w:rsidR="0039534D" w:rsidRPr="006E7E84" w:rsidRDefault="0039534D" w:rsidP="00A0101E">
            <w:pPr>
              <w:spacing w:after="0" w:line="276" w:lineRule="auto"/>
              <w:jc w:val="center"/>
              <w:rPr>
                <w:rFonts w:cs="Arial"/>
                <w:szCs w:val="16"/>
              </w:rPr>
            </w:pPr>
            <w:r w:rsidRPr="006E7E84">
              <w:rPr>
                <w:rFonts w:cs="Arial"/>
                <w:szCs w:val="16"/>
              </w:rPr>
              <w:t>37,380</w:t>
            </w:r>
          </w:p>
        </w:tc>
        <w:tc>
          <w:tcPr>
            <w:tcW w:w="1084" w:type="pct"/>
            <w:shd w:val="clear" w:color="auto" w:fill="auto"/>
            <w:vAlign w:val="center"/>
          </w:tcPr>
          <w:p w14:paraId="735C7B5A" w14:textId="1C3B3FE1" w:rsidR="0039534D" w:rsidRPr="006E7E84" w:rsidRDefault="0039534D" w:rsidP="00A0101E">
            <w:pPr>
              <w:spacing w:after="0" w:line="276" w:lineRule="auto"/>
              <w:jc w:val="center"/>
              <w:rPr>
                <w:rFonts w:cs="Arial"/>
                <w:szCs w:val="16"/>
              </w:rPr>
            </w:pPr>
            <w:r w:rsidRPr="006E7E84">
              <w:rPr>
                <w:rFonts w:cs="Arial"/>
                <w:szCs w:val="16"/>
              </w:rPr>
              <w:t>48,448</w:t>
            </w:r>
          </w:p>
        </w:tc>
      </w:tr>
      <w:tr w:rsidR="006E7E84" w:rsidRPr="006E7E84" w14:paraId="07844546" w14:textId="77777777" w:rsidTr="00A0101E">
        <w:trPr>
          <w:trHeight w:val="1709"/>
        </w:trPr>
        <w:tc>
          <w:tcPr>
            <w:tcW w:w="1749" w:type="pct"/>
            <w:shd w:val="clear" w:color="auto" w:fill="auto"/>
            <w:vAlign w:val="center"/>
          </w:tcPr>
          <w:p w14:paraId="47D524EB" w14:textId="56F8E4CC" w:rsidR="0039534D" w:rsidRPr="006E7E84" w:rsidRDefault="0039534D" w:rsidP="00A0101E">
            <w:pPr>
              <w:spacing w:after="0" w:line="276" w:lineRule="auto"/>
              <w:rPr>
                <w:rFonts w:cs="Arial"/>
                <w:szCs w:val="16"/>
              </w:rPr>
            </w:pPr>
            <w:r w:rsidRPr="006E7E84">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6E7E84" w:rsidRDefault="0039534D" w:rsidP="00A0101E">
            <w:pPr>
              <w:spacing w:after="0" w:line="276" w:lineRule="auto"/>
              <w:jc w:val="center"/>
              <w:rPr>
                <w:rFonts w:cs="Arial"/>
                <w:szCs w:val="16"/>
              </w:rPr>
            </w:pPr>
            <w:r w:rsidRPr="006E7E84">
              <w:rPr>
                <w:rFonts w:cs="Arial"/>
                <w:szCs w:val="16"/>
              </w:rPr>
              <w:t>3,408</w:t>
            </w:r>
          </w:p>
        </w:tc>
        <w:tc>
          <w:tcPr>
            <w:tcW w:w="1083" w:type="pct"/>
            <w:shd w:val="clear" w:color="auto" w:fill="auto"/>
            <w:vAlign w:val="center"/>
          </w:tcPr>
          <w:p w14:paraId="3CDBB055" w14:textId="52A1C13C" w:rsidR="0039534D" w:rsidRPr="006E7E84" w:rsidRDefault="0039534D" w:rsidP="00A0101E">
            <w:pPr>
              <w:spacing w:after="0" w:line="276" w:lineRule="auto"/>
              <w:jc w:val="center"/>
              <w:rPr>
                <w:rFonts w:cs="Arial"/>
                <w:szCs w:val="16"/>
              </w:rPr>
            </w:pPr>
            <w:r w:rsidRPr="006E7E84">
              <w:rPr>
                <w:rFonts w:cs="Arial"/>
                <w:szCs w:val="16"/>
              </w:rPr>
              <w:t>1,195</w:t>
            </w:r>
          </w:p>
        </w:tc>
        <w:tc>
          <w:tcPr>
            <w:tcW w:w="1084" w:type="pct"/>
            <w:shd w:val="clear" w:color="auto" w:fill="auto"/>
            <w:vAlign w:val="center"/>
          </w:tcPr>
          <w:p w14:paraId="53087BDA" w14:textId="7F6FB55C" w:rsidR="0039534D" w:rsidRPr="006E7E84" w:rsidRDefault="0039534D" w:rsidP="00A0101E">
            <w:pPr>
              <w:spacing w:after="0" w:line="276" w:lineRule="auto"/>
              <w:jc w:val="center"/>
              <w:rPr>
                <w:rFonts w:cs="Arial"/>
                <w:szCs w:val="16"/>
              </w:rPr>
            </w:pPr>
            <w:r w:rsidRPr="006E7E84">
              <w:rPr>
                <w:rFonts w:cs="Arial"/>
                <w:szCs w:val="16"/>
              </w:rPr>
              <w:t>3,551</w:t>
            </w:r>
          </w:p>
        </w:tc>
      </w:tr>
      <w:tr w:rsidR="006E7E84" w:rsidRPr="006E7E84" w14:paraId="0A3B43B6" w14:textId="77777777" w:rsidTr="00A0101E">
        <w:trPr>
          <w:trHeight w:val="1728"/>
        </w:trPr>
        <w:tc>
          <w:tcPr>
            <w:tcW w:w="1749" w:type="pct"/>
            <w:shd w:val="clear" w:color="auto" w:fill="auto"/>
            <w:vAlign w:val="center"/>
          </w:tcPr>
          <w:p w14:paraId="78623131" w14:textId="1D0B9916" w:rsidR="0039534D" w:rsidRPr="006E7E84" w:rsidRDefault="0039534D" w:rsidP="00A0101E">
            <w:pPr>
              <w:spacing w:after="0" w:line="276" w:lineRule="auto"/>
              <w:rPr>
                <w:rFonts w:cs="Arial"/>
                <w:szCs w:val="16"/>
              </w:rPr>
            </w:pPr>
            <w:r w:rsidRPr="006E7E84">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6E7E84" w:rsidRDefault="0039534D" w:rsidP="00A0101E">
            <w:pPr>
              <w:spacing w:after="0" w:line="276" w:lineRule="auto"/>
              <w:jc w:val="center"/>
              <w:rPr>
                <w:rFonts w:cs="Arial"/>
                <w:szCs w:val="16"/>
              </w:rPr>
            </w:pPr>
            <w:r w:rsidRPr="006E7E84">
              <w:rPr>
                <w:rFonts w:cs="Arial"/>
                <w:szCs w:val="16"/>
              </w:rPr>
              <w:t>1,343</w:t>
            </w:r>
          </w:p>
        </w:tc>
        <w:tc>
          <w:tcPr>
            <w:tcW w:w="1083" w:type="pct"/>
            <w:shd w:val="clear" w:color="auto" w:fill="auto"/>
            <w:vAlign w:val="center"/>
          </w:tcPr>
          <w:p w14:paraId="0A64567E" w14:textId="2D3B6CBD" w:rsidR="0039534D" w:rsidRPr="006E7E84" w:rsidRDefault="0039534D" w:rsidP="00A0101E">
            <w:pPr>
              <w:spacing w:after="0" w:line="276" w:lineRule="auto"/>
              <w:jc w:val="center"/>
              <w:rPr>
                <w:rFonts w:cs="Arial"/>
                <w:szCs w:val="16"/>
              </w:rPr>
            </w:pPr>
            <w:r w:rsidRPr="006E7E84">
              <w:rPr>
                <w:rFonts w:cs="Arial"/>
                <w:szCs w:val="16"/>
              </w:rPr>
              <w:t>931</w:t>
            </w:r>
          </w:p>
        </w:tc>
        <w:tc>
          <w:tcPr>
            <w:tcW w:w="1084" w:type="pct"/>
            <w:shd w:val="clear" w:color="auto" w:fill="auto"/>
            <w:vAlign w:val="center"/>
          </w:tcPr>
          <w:p w14:paraId="4656C7C9" w14:textId="098CB46F" w:rsidR="0039534D" w:rsidRPr="006E7E84" w:rsidRDefault="0039534D" w:rsidP="00A0101E">
            <w:pPr>
              <w:spacing w:after="0" w:line="276" w:lineRule="auto"/>
              <w:jc w:val="center"/>
              <w:rPr>
                <w:rFonts w:cs="Arial"/>
                <w:szCs w:val="16"/>
              </w:rPr>
            </w:pPr>
            <w:r w:rsidRPr="006E7E84">
              <w:rPr>
                <w:rFonts w:cs="Arial"/>
                <w:szCs w:val="16"/>
              </w:rPr>
              <w:t>1,932</w:t>
            </w:r>
          </w:p>
        </w:tc>
      </w:tr>
      <w:tr w:rsidR="006E7E84" w:rsidRPr="006E7E84" w14:paraId="7854C881" w14:textId="77777777" w:rsidTr="00A0101E">
        <w:trPr>
          <w:trHeight w:val="1610"/>
        </w:trPr>
        <w:tc>
          <w:tcPr>
            <w:tcW w:w="1749" w:type="pct"/>
            <w:shd w:val="clear" w:color="auto" w:fill="auto"/>
            <w:vAlign w:val="center"/>
          </w:tcPr>
          <w:p w14:paraId="11893D61" w14:textId="60FC961E" w:rsidR="0039534D" w:rsidRPr="006E7E84" w:rsidRDefault="0039534D" w:rsidP="00A0101E">
            <w:pPr>
              <w:spacing w:after="0" w:line="276" w:lineRule="auto"/>
              <w:rPr>
                <w:rFonts w:cs="Arial"/>
                <w:szCs w:val="16"/>
              </w:rPr>
            </w:pPr>
            <w:r w:rsidRPr="006E7E84">
              <w:rPr>
                <w:rFonts w:cs="Arial"/>
                <w:szCs w:val="16"/>
                <w:shd w:val="clear" w:color="auto" w:fill="FFFFFF"/>
              </w:rPr>
              <w:lastRenderedPageBreak/>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6E7E84" w:rsidRDefault="0039534D" w:rsidP="00A0101E">
            <w:pPr>
              <w:spacing w:after="0" w:line="276" w:lineRule="auto"/>
              <w:jc w:val="center"/>
              <w:rPr>
                <w:rFonts w:cs="Arial"/>
                <w:szCs w:val="16"/>
              </w:rPr>
            </w:pPr>
            <w:r w:rsidRPr="006E7E84">
              <w:rPr>
                <w:rFonts w:cs="Arial"/>
                <w:szCs w:val="16"/>
              </w:rPr>
              <w:t>1,143</w:t>
            </w:r>
          </w:p>
        </w:tc>
        <w:tc>
          <w:tcPr>
            <w:tcW w:w="1083" w:type="pct"/>
            <w:shd w:val="clear" w:color="auto" w:fill="auto"/>
            <w:vAlign w:val="center"/>
          </w:tcPr>
          <w:p w14:paraId="1A17DFA3" w14:textId="3FCA504B" w:rsidR="0039534D" w:rsidRPr="006E7E84" w:rsidRDefault="0039534D" w:rsidP="00A0101E">
            <w:pPr>
              <w:spacing w:after="0" w:line="276" w:lineRule="auto"/>
              <w:jc w:val="center"/>
              <w:rPr>
                <w:rFonts w:cs="Arial"/>
                <w:szCs w:val="16"/>
              </w:rPr>
            </w:pPr>
            <w:r w:rsidRPr="006E7E84">
              <w:rPr>
                <w:rFonts w:cs="Arial"/>
                <w:szCs w:val="16"/>
              </w:rPr>
              <w:t>740</w:t>
            </w:r>
          </w:p>
        </w:tc>
        <w:tc>
          <w:tcPr>
            <w:tcW w:w="1084" w:type="pct"/>
            <w:shd w:val="clear" w:color="auto" w:fill="auto"/>
            <w:vAlign w:val="center"/>
          </w:tcPr>
          <w:p w14:paraId="20EB2770" w14:textId="2709C0DA" w:rsidR="0039534D" w:rsidRPr="006E7E84" w:rsidRDefault="0039534D" w:rsidP="00A0101E">
            <w:pPr>
              <w:spacing w:after="0" w:line="276" w:lineRule="auto"/>
              <w:jc w:val="center"/>
              <w:rPr>
                <w:rFonts w:cs="Arial"/>
                <w:szCs w:val="16"/>
              </w:rPr>
            </w:pPr>
            <w:r w:rsidRPr="006E7E84">
              <w:rPr>
                <w:rFonts w:cs="Arial"/>
                <w:szCs w:val="16"/>
              </w:rPr>
              <w:t>2,155</w:t>
            </w:r>
          </w:p>
        </w:tc>
      </w:tr>
    </w:tbl>
    <w:p w14:paraId="300D6CD4" w14:textId="1D1C6A35" w:rsidR="00DD5B7A" w:rsidRPr="006E7E84" w:rsidRDefault="00DD5B7A" w:rsidP="00815ACE">
      <w:pPr>
        <w:pStyle w:val="Caption"/>
      </w:pPr>
      <w:r w:rsidRPr="006E7E84">
        <w:t>FFY 2020 SPP/APR Data: Reading Assessment</w:t>
      </w:r>
      <w:r w:rsidR="00C578AE">
        <w:t xml:space="preserve"> (3D)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984"/>
        <w:gridCol w:w="1079"/>
        <w:gridCol w:w="1893"/>
        <w:gridCol w:w="1981"/>
        <w:gridCol w:w="809"/>
        <w:gridCol w:w="991"/>
        <w:gridCol w:w="824"/>
        <w:gridCol w:w="975"/>
        <w:gridCol w:w="1254"/>
      </w:tblGrid>
      <w:tr w:rsidR="00A0101E" w:rsidRPr="006E7E84" w14:paraId="2F7F1DE8" w14:textId="77777777" w:rsidTr="00A0101E">
        <w:trPr>
          <w:tblHeader/>
        </w:trPr>
        <w:tc>
          <w:tcPr>
            <w:tcW w:w="456" w:type="pct"/>
            <w:shd w:val="clear" w:color="auto" w:fill="D9D9D9" w:themeFill="background1" w:themeFillShade="D9"/>
            <w:vAlign w:val="center"/>
          </w:tcPr>
          <w:p w14:paraId="0E14CE7F" w14:textId="77777777" w:rsidR="00C95D2E" w:rsidRPr="006E7E84" w:rsidRDefault="00C95D2E" w:rsidP="00A0101E">
            <w:pPr>
              <w:spacing w:after="0"/>
              <w:jc w:val="center"/>
              <w:rPr>
                <w:b/>
              </w:rPr>
            </w:pPr>
            <w:r w:rsidRPr="006E7E84">
              <w:rPr>
                <w:b/>
              </w:rPr>
              <w:t>Group</w:t>
            </w:r>
          </w:p>
        </w:tc>
        <w:tc>
          <w:tcPr>
            <w:tcW w:w="500" w:type="pct"/>
            <w:shd w:val="clear" w:color="auto" w:fill="D9D9D9" w:themeFill="background1" w:themeFillShade="D9"/>
            <w:vAlign w:val="center"/>
          </w:tcPr>
          <w:p w14:paraId="4F428A92" w14:textId="77777777" w:rsidR="00C95D2E" w:rsidRPr="00C578AE" w:rsidRDefault="00C95D2E" w:rsidP="00A0101E">
            <w:pPr>
              <w:spacing w:after="0"/>
              <w:jc w:val="center"/>
              <w:rPr>
                <w:b/>
              </w:rPr>
            </w:pPr>
            <w:r w:rsidRPr="00C578AE">
              <w:rPr>
                <w:b/>
              </w:rPr>
              <w:t>Group Name</w:t>
            </w:r>
          </w:p>
        </w:tc>
        <w:tc>
          <w:tcPr>
            <w:tcW w:w="877" w:type="pct"/>
            <w:shd w:val="clear" w:color="auto" w:fill="D9D9D9" w:themeFill="background1" w:themeFillShade="D9"/>
            <w:vAlign w:val="center"/>
          </w:tcPr>
          <w:p w14:paraId="46CAD1DD" w14:textId="7A73217C" w:rsidR="00C95D2E" w:rsidRPr="00C578AE" w:rsidRDefault="00C95D2E" w:rsidP="00A0101E">
            <w:pPr>
              <w:spacing w:after="0"/>
              <w:jc w:val="center"/>
              <w:rPr>
                <w:b/>
                <w:bCs/>
              </w:rPr>
            </w:pPr>
            <w:r w:rsidRPr="00C578AE">
              <w:rPr>
                <w:b/>
                <w:bCs/>
              </w:rPr>
              <w:t xml:space="preserve">Proficiency rate for children with IEPs scoring at or above proficient against grade level academic achievement standards </w:t>
            </w:r>
          </w:p>
        </w:tc>
        <w:tc>
          <w:tcPr>
            <w:tcW w:w="918" w:type="pct"/>
            <w:shd w:val="clear" w:color="auto" w:fill="D9D9D9" w:themeFill="background1" w:themeFillShade="D9"/>
            <w:vAlign w:val="center"/>
          </w:tcPr>
          <w:p w14:paraId="6DE1E86B" w14:textId="68DF8E07" w:rsidR="00C95D2E" w:rsidRPr="00C578AE" w:rsidRDefault="00C95D2E" w:rsidP="00A0101E">
            <w:pPr>
              <w:spacing w:after="0"/>
              <w:jc w:val="center"/>
              <w:rPr>
                <w:b/>
                <w:bCs/>
              </w:rPr>
            </w:pPr>
            <w:r w:rsidRPr="00C578AE">
              <w:rPr>
                <w:b/>
                <w:bCs/>
              </w:rPr>
              <w:t xml:space="preserve">Proficiency rate for all students scoring at or above proficient against grade level academic achievement standards </w:t>
            </w:r>
          </w:p>
        </w:tc>
        <w:tc>
          <w:tcPr>
            <w:tcW w:w="375" w:type="pct"/>
            <w:shd w:val="clear" w:color="auto" w:fill="D9D9D9" w:themeFill="background1" w:themeFillShade="D9"/>
            <w:vAlign w:val="center"/>
          </w:tcPr>
          <w:p w14:paraId="0E9E489C" w14:textId="77777777" w:rsidR="00C95D2E" w:rsidRPr="00C578AE" w:rsidRDefault="00C95D2E" w:rsidP="00A0101E">
            <w:pPr>
              <w:spacing w:after="0"/>
              <w:jc w:val="center"/>
              <w:rPr>
                <w:b/>
              </w:rPr>
            </w:pPr>
            <w:r w:rsidRPr="00C578AE">
              <w:rPr>
                <w:b/>
              </w:rPr>
              <w:t>FFY 2019 Data</w:t>
            </w:r>
          </w:p>
        </w:tc>
        <w:tc>
          <w:tcPr>
            <w:tcW w:w="459" w:type="pct"/>
            <w:shd w:val="clear" w:color="auto" w:fill="D9D9D9" w:themeFill="background1" w:themeFillShade="D9"/>
            <w:vAlign w:val="center"/>
          </w:tcPr>
          <w:p w14:paraId="69544656" w14:textId="77777777" w:rsidR="00C95D2E" w:rsidRPr="00C578AE" w:rsidRDefault="00C95D2E" w:rsidP="00A0101E">
            <w:pPr>
              <w:spacing w:after="0"/>
              <w:jc w:val="center"/>
              <w:rPr>
                <w:b/>
              </w:rPr>
            </w:pPr>
            <w:r w:rsidRPr="00C578AE">
              <w:rPr>
                <w:b/>
              </w:rPr>
              <w:t>FFY 2020 Target</w:t>
            </w:r>
          </w:p>
        </w:tc>
        <w:tc>
          <w:tcPr>
            <w:tcW w:w="382" w:type="pct"/>
            <w:shd w:val="clear" w:color="auto" w:fill="D9D9D9" w:themeFill="background1" w:themeFillShade="D9"/>
            <w:vAlign w:val="center"/>
          </w:tcPr>
          <w:p w14:paraId="611B3DE3" w14:textId="77777777" w:rsidR="00C95D2E" w:rsidRPr="00C578AE" w:rsidRDefault="00C95D2E" w:rsidP="00A0101E">
            <w:pPr>
              <w:spacing w:after="0"/>
              <w:jc w:val="center"/>
              <w:rPr>
                <w:b/>
              </w:rPr>
            </w:pPr>
            <w:r w:rsidRPr="00C578AE">
              <w:rPr>
                <w:b/>
              </w:rPr>
              <w:t>FFY 2020 Data</w:t>
            </w:r>
          </w:p>
        </w:tc>
        <w:tc>
          <w:tcPr>
            <w:tcW w:w="452" w:type="pct"/>
            <w:shd w:val="clear" w:color="auto" w:fill="D9D9D9" w:themeFill="background1" w:themeFillShade="D9"/>
            <w:vAlign w:val="center"/>
          </w:tcPr>
          <w:p w14:paraId="6D2215D6" w14:textId="77777777" w:rsidR="00C95D2E" w:rsidRPr="00C578AE" w:rsidRDefault="00C95D2E" w:rsidP="00A0101E">
            <w:pPr>
              <w:spacing w:after="0"/>
              <w:jc w:val="center"/>
              <w:rPr>
                <w:b/>
              </w:rPr>
            </w:pPr>
            <w:r w:rsidRPr="00C578AE">
              <w:rPr>
                <w:b/>
              </w:rPr>
              <w:t>Status</w:t>
            </w:r>
          </w:p>
        </w:tc>
        <w:tc>
          <w:tcPr>
            <w:tcW w:w="582" w:type="pct"/>
            <w:shd w:val="clear" w:color="auto" w:fill="D9D9D9" w:themeFill="background1" w:themeFillShade="D9"/>
            <w:vAlign w:val="center"/>
          </w:tcPr>
          <w:p w14:paraId="4FACB3EB" w14:textId="77777777" w:rsidR="00C95D2E" w:rsidRPr="006E7E84" w:rsidRDefault="00C95D2E" w:rsidP="00A0101E">
            <w:pPr>
              <w:spacing w:after="0"/>
              <w:jc w:val="center"/>
              <w:rPr>
                <w:b/>
              </w:rPr>
            </w:pPr>
            <w:r w:rsidRPr="006E7E84">
              <w:rPr>
                <w:b/>
              </w:rPr>
              <w:t>Slippage</w:t>
            </w:r>
          </w:p>
        </w:tc>
      </w:tr>
      <w:tr w:rsidR="00A0101E" w:rsidRPr="006E7E84" w14:paraId="190DF2EB" w14:textId="77777777" w:rsidTr="00A0101E">
        <w:tc>
          <w:tcPr>
            <w:tcW w:w="456" w:type="pct"/>
            <w:shd w:val="clear" w:color="auto" w:fill="auto"/>
            <w:vAlign w:val="center"/>
          </w:tcPr>
          <w:p w14:paraId="3AAB1776" w14:textId="77777777" w:rsidR="00E22739" w:rsidRPr="00A0101E" w:rsidRDefault="00E22739" w:rsidP="00A0101E">
            <w:pPr>
              <w:pStyle w:val="Default"/>
              <w:spacing w:line="276" w:lineRule="auto"/>
              <w:jc w:val="center"/>
              <w:rPr>
                <w:rFonts w:eastAsiaTheme="minorHAnsi"/>
                <w:color w:val="auto"/>
              </w:rPr>
            </w:pPr>
            <w:r w:rsidRPr="00A0101E">
              <w:rPr>
                <w:b/>
                <w:color w:val="auto"/>
              </w:rPr>
              <w:t>A</w:t>
            </w:r>
          </w:p>
        </w:tc>
        <w:tc>
          <w:tcPr>
            <w:tcW w:w="500" w:type="pct"/>
            <w:shd w:val="clear" w:color="auto" w:fill="auto"/>
            <w:vAlign w:val="center"/>
          </w:tcPr>
          <w:p w14:paraId="50AFDCF6" w14:textId="41D78AC3" w:rsidR="00E22739" w:rsidRPr="006E7E84" w:rsidDel="00DE5045" w:rsidRDefault="00E22739" w:rsidP="00A0101E">
            <w:pPr>
              <w:spacing w:after="0"/>
              <w:jc w:val="center"/>
              <w:rPr>
                <w:rFonts w:cs="Arial"/>
                <w:szCs w:val="16"/>
              </w:rPr>
            </w:pPr>
            <w:r w:rsidRPr="006E7E84">
              <w:rPr>
                <w:rFonts w:cs="Arial"/>
                <w:szCs w:val="16"/>
              </w:rPr>
              <w:t>Grade 4</w:t>
            </w:r>
          </w:p>
        </w:tc>
        <w:tc>
          <w:tcPr>
            <w:tcW w:w="877" w:type="pct"/>
            <w:shd w:val="clear" w:color="auto" w:fill="auto"/>
            <w:vAlign w:val="center"/>
          </w:tcPr>
          <w:p w14:paraId="05BCB412" w14:textId="02964E73" w:rsidR="00E22739" w:rsidRPr="006E7E84" w:rsidRDefault="00C578AE" w:rsidP="00A0101E">
            <w:pPr>
              <w:spacing w:after="0"/>
              <w:jc w:val="center"/>
              <w:rPr>
                <w:rFonts w:cs="Arial"/>
                <w:szCs w:val="16"/>
              </w:rPr>
            </w:pPr>
            <w:r>
              <w:rPr>
                <w:rFonts w:cs="Arial"/>
                <w:szCs w:val="16"/>
              </w:rPr>
              <w:t>N/A</w:t>
            </w:r>
          </w:p>
        </w:tc>
        <w:tc>
          <w:tcPr>
            <w:tcW w:w="918" w:type="pct"/>
            <w:shd w:val="clear" w:color="auto" w:fill="auto"/>
            <w:vAlign w:val="center"/>
          </w:tcPr>
          <w:p w14:paraId="3354BCD4" w14:textId="4ACE24C9" w:rsidR="00E22739" w:rsidRPr="006E7E84" w:rsidRDefault="00C578AE" w:rsidP="00A0101E">
            <w:pPr>
              <w:spacing w:after="0"/>
              <w:jc w:val="center"/>
              <w:rPr>
                <w:rFonts w:cs="Arial"/>
                <w:szCs w:val="16"/>
              </w:rPr>
            </w:pPr>
            <w:r>
              <w:rPr>
                <w:rFonts w:cs="Arial"/>
                <w:szCs w:val="16"/>
              </w:rPr>
              <w:t>N/A</w:t>
            </w:r>
          </w:p>
        </w:tc>
        <w:tc>
          <w:tcPr>
            <w:tcW w:w="375" w:type="pct"/>
            <w:shd w:val="clear" w:color="auto" w:fill="auto"/>
            <w:vAlign w:val="center"/>
          </w:tcPr>
          <w:p w14:paraId="54DCE3E3" w14:textId="616F3932" w:rsidR="00E22739" w:rsidRPr="006E7E84" w:rsidRDefault="00C578AE" w:rsidP="00A0101E">
            <w:pPr>
              <w:spacing w:after="0"/>
              <w:jc w:val="center"/>
              <w:rPr>
                <w:rFonts w:cs="Arial"/>
                <w:szCs w:val="16"/>
              </w:rPr>
            </w:pPr>
            <w:r>
              <w:rPr>
                <w:rFonts w:cs="Arial"/>
                <w:szCs w:val="16"/>
              </w:rPr>
              <w:t>N/A</w:t>
            </w:r>
          </w:p>
        </w:tc>
        <w:tc>
          <w:tcPr>
            <w:tcW w:w="459" w:type="pct"/>
            <w:shd w:val="clear" w:color="auto" w:fill="auto"/>
            <w:vAlign w:val="center"/>
          </w:tcPr>
          <w:p w14:paraId="391F5142" w14:textId="770A7FE0" w:rsidR="00E22739" w:rsidRPr="006E7E84" w:rsidRDefault="00E22739" w:rsidP="00A0101E">
            <w:pPr>
              <w:spacing w:after="0"/>
              <w:jc w:val="center"/>
              <w:rPr>
                <w:rFonts w:cs="Arial"/>
                <w:szCs w:val="16"/>
              </w:rPr>
            </w:pPr>
            <w:r w:rsidRPr="006E7E84">
              <w:rPr>
                <w:rFonts w:cs="Arial"/>
                <w:szCs w:val="16"/>
              </w:rPr>
              <w:t>29.67</w:t>
            </w:r>
          </w:p>
        </w:tc>
        <w:tc>
          <w:tcPr>
            <w:tcW w:w="382" w:type="pct"/>
            <w:shd w:val="clear" w:color="auto" w:fill="auto"/>
            <w:vAlign w:val="center"/>
          </w:tcPr>
          <w:p w14:paraId="017D29FF" w14:textId="1977B899" w:rsidR="00E22739" w:rsidRPr="006E7E84" w:rsidRDefault="00C578AE" w:rsidP="00A0101E">
            <w:pPr>
              <w:spacing w:after="0"/>
              <w:jc w:val="center"/>
              <w:rPr>
                <w:rFonts w:cs="Arial"/>
                <w:szCs w:val="16"/>
              </w:rPr>
            </w:pPr>
            <w:r>
              <w:rPr>
                <w:rFonts w:cs="Arial"/>
                <w:szCs w:val="16"/>
              </w:rPr>
              <w:t>N/A</w:t>
            </w:r>
          </w:p>
        </w:tc>
        <w:tc>
          <w:tcPr>
            <w:tcW w:w="452" w:type="pct"/>
            <w:shd w:val="clear" w:color="auto" w:fill="auto"/>
            <w:vAlign w:val="center"/>
          </w:tcPr>
          <w:p w14:paraId="39C0C705" w14:textId="1211FD2B" w:rsidR="00E22739" w:rsidRPr="006E7E84" w:rsidRDefault="00E22739" w:rsidP="00A0101E">
            <w:pPr>
              <w:spacing w:after="0"/>
              <w:jc w:val="center"/>
              <w:rPr>
                <w:rFonts w:cs="Arial"/>
                <w:szCs w:val="16"/>
              </w:rPr>
            </w:pPr>
            <w:r w:rsidRPr="006E7E84">
              <w:rPr>
                <w:rFonts w:cs="Arial"/>
                <w:szCs w:val="16"/>
              </w:rPr>
              <w:t>N/A</w:t>
            </w:r>
          </w:p>
        </w:tc>
        <w:tc>
          <w:tcPr>
            <w:tcW w:w="582" w:type="pct"/>
            <w:shd w:val="clear" w:color="auto" w:fill="auto"/>
            <w:vAlign w:val="center"/>
          </w:tcPr>
          <w:p w14:paraId="339FEB2D" w14:textId="0223F580" w:rsidR="00E22739" w:rsidRPr="006E7E84" w:rsidRDefault="00E22739" w:rsidP="00A0101E">
            <w:pPr>
              <w:spacing w:after="0"/>
              <w:jc w:val="center"/>
              <w:rPr>
                <w:rFonts w:cs="Arial"/>
                <w:szCs w:val="16"/>
              </w:rPr>
            </w:pPr>
            <w:r w:rsidRPr="006E7E84">
              <w:rPr>
                <w:rFonts w:cs="Arial"/>
                <w:szCs w:val="16"/>
              </w:rPr>
              <w:t>N/A</w:t>
            </w:r>
          </w:p>
        </w:tc>
      </w:tr>
      <w:tr w:rsidR="00A0101E" w:rsidRPr="006E7E84" w14:paraId="4FDDF1FC" w14:textId="77777777" w:rsidTr="00A0101E">
        <w:tc>
          <w:tcPr>
            <w:tcW w:w="456" w:type="pct"/>
            <w:shd w:val="clear" w:color="auto" w:fill="auto"/>
            <w:vAlign w:val="center"/>
          </w:tcPr>
          <w:p w14:paraId="472CE57B" w14:textId="77777777" w:rsidR="00E22739" w:rsidRPr="00A0101E" w:rsidRDefault="00E22739" w:rsidP="00A0101E">
            <w:pPr>
              <w:pStyle w:val="Default"/>
              <w:spacing w:line="276" w:lineRule="auto"/>
              <w:jc w:val="center"/>
              <w:rPr>
                <w:rFonts w:eastAsiaTheme="minorHAnsi"/>
                <w:color w:val="auto"/>
              </w:rPr>
            </w:pPr>
            <w:r w:rsidRPr="00A0101E">
              <w:rPr>
                <w:b/>
                <w:color w:val="auto"/>
              </w:rPr>
              <w:t>B</w:t>
            </w:r>
          </w:p>
        </w:tc>
        <w:tc>
          <w:tcPr>
            <w:tcW w:w="500" w:type="pct"/>
            <w:shd w:val="clear" w:color="auto" w:fill="auto"/>
            <w:vAlign w:val="center"/>
          </w:tcPr>
          <w:p w14:paraId="206C7DCC" w14:textId="37A252FA" w:rsidR="00E22739" w:rsidRPr="006E7E84" w:rsidDel="00DE5045" w:rsidRDefault="00E22739" w:rsidP="00A0101E">
            <w:pPr>
              <w:spacing w:after="0"/>
              <w:jc w:val="center"/>
              <w:rPr>
                <w:rFonts w:cs="Arial"/>
                <w:szCs w:val="16"/>
              </w:rPr>
            </w:pPr>
            <w:r w:rsidRPr="006E7E84">
              <w:rPr>
                <w:rFonts w:cs="Arial"/>
                <w:szCs w:val="16"/>
              </w:rPr>
              <w:t>Grade 8</w:t>
            </w:r>
          </w:p>
        </w:tc>
        <w:tc>
          <w:tcPr>
            <w:tcW w:w="877" w:type="pct"/>
            <w:shd w:val="clear" w:color="auto" w:fill="auto"/>
            <w:vAlign w:val="center"/>
          </w:tcPr>
          <w:p w14:paraId="7D22B3FA" w14:textId="19BBACC3" w:rsidR="00E22739" w:rsidRPr="006E7E84" w:rsidRDefault="00C578AE" w:rsidP="00A0101E">
            <w:pPr>
              <w:spacing w:after="0"/>
              <w:jc w:val="center"/>
              <w:rPr>
                <w:rFonts w:cs="Arial"/>
                <w:szCs w:val="16"/>
              </w:rPr>
            </w:pPr>
            <w:r>
              <w:rPr>
                <w:rFonts w:cs="Arial"/>
                <w:szCs w:val="16"/>
              </w:rPr>
              <w:t>N/A</w:t>
            </w:r>
          </w:p>
        </w:tc>
        <w:tc>
          <w:tcPr>
            <w:tcW w:w="918" w:type="pct"/>
            <w:shd w:val="clear" w:color="auto" w:fill="auto"/>
            <w:vAlign w:val="center"/>
          </w:tcPr>
          <w:p w14:paraId="375F78DA" w14:textId="616604EA" w:rsidR="00E22739" w:rsidRPr="006E7E84" w:rsidRDefault="00C578AE" w:rsidP="00A0101E">
            <w:pPr>
              <w:spacing w:after="0"/>
              <w:jc w:val="center"/>
              <w:rPr>
                <w:rFonts w:cs="Arial"/>
                <w:szCs w:val="16"/>
              </w:rPr>
            </w:pPr>
            <w:r>
              <w:rPr>
                <w:rFonts w:cs="Arial"/>
                <w:szCs w:val="16"/>
              </w:rPr>
              <w:t>N/A</w:t>
            </w:r>
          </w:p>
        </w:tc>
        <w:tc>
          <w:tcPr>
            <w:tcW w:w="375" w:type="pct"/>
            <w:shd w:val="clear" w:color="auto" w:fill="auto"/>
            <w:vAlign w:val="center"/>
          </w:tcPr>
          <w:p w14:paraId="64AC26EC" w14:textId="02F22668" w:rsidR="00E22739" w:rsidRPr="006E7E84" w:rsidRDefault="00C578AE" w:rsidP="00A0101E">
            <w:pPr>
              <w:spacing w:after="0"/>
              <w:jc w:val="center"/>
              <w:rPr>
                <w:rFonts w:cs="Arial"/>
                <w:szCs w:val="16"/>
              </w:rPr>
            </w:pPr>
            <w:r>
              <w:rPr>
                <w:rFonts w:cs="Arial"/>
                <w:szCs w:val="16"/>
              </w:rPr>
              <w:t>N/A</w:t>
            </w:r>
          </w:p>
        </w:tc>
        <w:tc>
          <w:tcPr>
            <w:tcW w:w="459" w:type="pct"/>
            <w:shd w:val="clear" w:color="auto" w:fill="auto"/>
            <w:vAlign w:val="center"/>
          </w:tcPr>
          <w:p w14:paraId="3B5E22DF" w14:textId="033CD131" w:rsidR="00E22739" w:rsidRPr="006E7E84" w:rsidRDefault="00E22739" w:rsidP="00A0101E">
            <w:pPr>
              <w:spacing w:after="0"/>
              <w:jc w:val="center"/>
              <w:rPr>
                <w:rFonts w:cs="Arial"/>
                <w:szCs w:val="16"/>
              </w:rPr>
            </w:pPr>
            <w:r w:rsidRPr="006E7E84">
              <w:rPr>
                <w:rFonts w:cs="Arial"/>
                <w:szCs w:val="16"/>
              </w:rPr>
              <w:t>38.53</w:t>
            </w:r>
          </w:p>
        </w:tc>
        <w:tc>
          <w:tcPr>
            <w:tcW w:w="382" w:type="pct"/>
            <w:shd w:val="clear" w:color="auto" w:fill="auto"/>
            <w:vAlign w:val="center"/>
          </w:tcPr>
          <w:p w14:paraId="256C9782" w14:textId="20F1905D" w:rsidR="00E22739" w:rsidRPr="006E7E84" w:rsidRDefault="00C578AE" w:rsidP="00A0101E">
            <w:pPr>
              <w:spacing w:after="0"/>
              <w:jc w:val="center"/>
              <w:rPr>
                <w:rFonts w:cs="Arial"/>
                <w:szCs w:val="16"/>
              </w:rPr>
            </w:pPr>
            <w:r>
              <w:rPr>
                <w:rFonts w:cs="Arial"/>
                <w:szCs w:val="16"/>
              </w:rPr>
              <w:t>N/A</w:t>
            </w:r>
          </w:p>
        </w:tc>
        <w:tc>
          <w:tcPr>
            <w:tcW w:w="452" w:type="pct"/>
            <w:shd w:val="clear" w:color="auto" w:fill="auto"/>
            <w:vAlign w:val="center"/>
          </w:tcPr>
          <w:p w14:paraId="51FD2F8A" w14:textId="67567519" w:rsidR="00E22739" w:rsidRPr="006E7E84" w:rsidRDefault="00E22739" w:rsidP="00A0101E">
            <w:pPr>
              <w:spacing w:after="0"/>
              <w:jc w:val="center"/>
              <w:rPr>
                <w:rFonts w:cs="Arial"/>
                <w:szCs w:val="16"/>
              </w:rPr>
            </w:pPr>
            <w:r w:rsidRPr="006E7E84">
              <w:rPr>
                <w:rFonts w:cs="Arial"/>
                <w:szCs w:val="16"/>
              </w:rPr>
              <w:t>N/A</w:t>
            </w:r>
          </w:p>
        </w:tc>
        <w:tc>
          <w:tcPr>
            <w:tcW w:w="582" w:type="pct"/>
            <w:shd w:val="clear" w:color="auto" w:fill="auto"/>
            <w:vAlign w:val="center"/>
          </w:tcPr>
          <w:p w14:paraId="7915AEC0" w14:textId="2BE183B0" w:rsidR="00E22739" w:rsidRPr="006E7E84" w:rsidRDefault="00E22739" w:rsidP="00A0101E">
            <w:pPr>
              <w:spacing w:after="0"/>
              <w:jc w:val="center"/>
              <w:rPr>
                <w:rFonts w:cs="Arial"/>
                <w:szCs w:val="16"/>
              </w:rPr>
            </w:pPr>
            <w:r w:rsidRPr="006E7E84">
              <w:rPr>
                <w:rFonts w:cs="Arial"/>
                <w:szCs w:val="16"/>
              </w:rPr>
              <w:t>N/A</w:t>
            </w:r>
          </w:p>
        </w:tc>
      </w:tr>
      <w:tr w:rsidR="00A0101E" w:rsidRPr="006E7E84" w14:paraId="4A60F932" w14:textId="77777777" w:rsidTr="00A0101E">
        <w:tc>
          <w:tcPr>
            <w:tcW w:w="456" w:type="pct"/>
            <w:shd w:val="clear" w:color="auto" w:fill="auto"/>
            <w:vAlign w:val="center"/>
          </w:tcPr>
          <w:p w14:paraId="109942AA" w14:textId="77777777" w:rsidR="00E22739" w:rsidRPr="00A0101E" w:rsidRDefault="00E22739" w:rsidP="00A0101E">
            <w:pPr>
              <w:pStyle w:val="Default"/>
              <w:spacing w:line="276" w:lineRule="auto"/>
              <w:jc w:val="center"/>
              <w:rPr>
                <w:rFonts w:eastAsiaTheme="minorHAnsi"/>
                <w:color w:val="auto"/>
              </w:rPr>
            </w:pPr>
            <w:r w:rsidRPr="00A0101E">
              <w:rPr>
                <w:b/>
                <w:color w:val="auto"/>
              </w:rPr>
              <w:t>C</w:t>
            </w:r>
          </w:p>
        </w:tc>
        <w:tc>
          <w:tcPr>
            <w:tcW w:w="500" w:type="pct"/>
            <w:shd w:val="clear" w:color="auto" w:fill="auto"/>
            <w:vAlign w:val="center"/>
          </w:tcPr>
          <w:p w14:paraId="629F3FBC" w14:textId="78934061" w:rsidR="00E22739" w:rsidRPr="006E7E84" w:rsidDel="00DE5045" w:rsidRDefault="00E22739" w:rsidP="00A0101E">
            <w:pPr>
              <w:spacing w:after="0"/>
              <w:jc w:val="center"/>
              <w:rPr>
                <w:rFonts w:cs="Arial"/>
                <w:szCs w:val="16"/>
              </w:rPr>
            </w:pPr>
            <w:r w:rsidRPr="006E7E84">
              <w:rPr>
                <w:rFonts w:cs="Arial"/>
                <w:szCs w:val="16"/>
              </w:rPr>
              <w:t>Grade HS</w:t>
            </w:r>
          </w:p>
        </w:tc>
        <w:tc>
          <w:tcPr>
            <w:tcW w:w="877" w:type="pct"/>
            <w:shd w:val="clear" w:color="auto" w:fill="auto"/>
            <w:vAlign w:val="center"/>
          </w:tcPr>
          <w:p w14:paraId="125CF02F" w14:textId="4FDF7667" w:rsidR="00E22739" w:rsidRPr="006E7E84" w:rsidRDefault="00C578AE" w:rsidP="00A0101E">
            <w:pPr>
              <w:spacing w:after="0"/>
              <w:jc w:val="center"/>
              <w:rPr>
                <w:rFonts w:cs="Arial"/>
                <w:szCs w:val="16"/>
              </w:rPr>
            </w:pPr>
            <w:r>
              <w:rPr>
                <w:rFonts w:cs="Arial"/>
                <w:szCs w:val="16"/>
              </w:rPr>
              <w:t>N/A</w:t>
            </w:r>
          </w:p>
        </w:tc>
        <w:tc>
          <w:tcPr>
            <w:tcW w:w="918" w:type="pct"/>
            <w:shd w:val="clear" w:color="auto" w:fill="auto"/>
            <w:vAlign w:val="center"/>
          </w:tcPr>
          <w:p w14:paraId="1276E93C" w14:textId="21D7734E" w:rsidR="00E22739" w:rsidRPr="006E7E84" w:rsidRDefault="00C578AE" w:rsidP="00A0101E">
            <w:pPr>
              <w:spacing w:after="0"/>
              <w:jc w:val="center"/>
              <w:rPr>
                <w:rFonts w:cs="Arial"/>
                <w:szCs w:val="16"/>
              </w:rPr>
            </w:pPr>
            <w:r>
              <w:rPr>
                <w:rFonts w:cs="Arial"/>
                <w:szCs w:val="16"/>
              </w:rPr>
              <w:t>N/A</w:t>
            </w:r>
          </w:p>
        </w:tc>
        <w:tc>
          <w:tcPr>
            <w:tcW w:w="375" w:type="pct"/>
            <w:shd w:val="clear" w:color="auto" w:fill="auto"/>
            <w:vAlign w:val="center"/>
          </w:tcPr>
          <w:p w14:paraId="76DE5213" w14:textId="1EB82532" w:rsidR="00E22739" w:rsidRPr="006E7E84" w:rsidRDefault="00C578AE" w:rsidP="00A0101E">
            <w:pPr>
              <w:spacing w:after="0"/>
              <w:jc w:val="center"/>
              <w:rPr>
                <w:rFonts w:cs="Arial"/>
                <w:szCs w:val="16"/>
              </w:rPr>
            </w:pPr>
            <w:r>
              <w:rPr>
                <w:rFonts w:cs="Arial"/>
                <w:szCs w:val="16"/>
              </w:rPr>
              <w:t>N/A</w:t>
            </w:r>
          </w:p>
        </w:tc>
        <w:tc>
          <w:tcPr>
            <w:tcW w:w="459" w:type="pct"/>
            <w:shd w:val="clear" w:color="auto" w:fill="auto"/>
            <w:vAlign w:val="center"/>
          </w:tcPr>
          <w:p w14:paraId="49FF9458" w14:textId="166D5425" w:rsidR="00E22739" w:rsidRPr="006E7E84" w:rsidRDefault="00E22739" w:rsidP="00A0101E">
            <w:pPr>
              <w:spacing w:after="0"/>
              <w:jc w:val="center"/>
              <w:rPr>
                <w:rFonts w:cs="Arial"/>
                <w:szCs w:val="16"/>
              </w:rPr>
            </w:pPr>
            <w:r w:rsidRPr="006E7E84">
              <w:rPr>
                <w:rFonts w:cs="Arial"/>
                <w:szCs w:val="16"/>
              </w:rPr>
              <w:t>33.54</w:t>
            </w:r>
          </w:p>
        </w:tc>
        <w:tc>
          <w:tcPr>
            <w:tcW w:w="382" w:type="pct"/>
            <w:shd w:val="clear" w:color="auto" w:fill="auto"/>
            <w:vAlign w:val="center"/>
          </w:tcPr>
          <w:p w14:paraId="6CEACE1B" w14:textId="6E3BFDE6" w:rsidR="00E22739" w:rsidRPr="006E7E84" w:rsidRDefault="00C578AE" w:rsidP="00A0101E">
            <w:pPr>
              <w:spacing w:after="0"/>
              <w:jc w:val="center"/>
              <w:rPr>
                <w:rFonts w:cs="Arial"/>
                <w:szCs w:val="16"/>
              </w:rPr>
            </w:pPr>
            <w:r>
              <w:rPr>
                <w:rFonts w:cs="Arial"/>
                <w:szCs w:val="16"/>
              </w:rPr>
              <w:t>N/A</w:t>
            </w:r>
          </w:p>
        </w:tc>
        <w:tc>
          <w:tcPr>
            <w:tcW w:w="452" w:type="pct"/>
            <w:shd w:val="clear" w:color="auto" w:fill="auto"/>
            <w:vAlign w:val="center"/>
          </w:tcPr>
          <w:p w14:paraId="06F1CF5C" w14:textId="7AA9C548" w:rsidR="00E22739" w:rsidRPr="006E7E84" w:rsidRDefault="00E22739" w:rsidP="00A0101E">
            <w:pPr>
              <w:spacing w:after="0"/>
              <w:jc w:val="center"/>
              <w:rPr>
                <w:rFonts w:cs="Arial"/>
                <w:szCs w:val="16"/>
              </w:rPr>
            </w:pPr>
            <w:r w:rsidRPr="006E7E84">
              <w:rPr>
                <w:rFonts w:cs="Arial"/>
                <w:szCs w:val="16"/>
              </w:rPr>
              <w:t>N/A</w:t>
            </w:r>
          </w:p>
        </w:tc>
        <w:tc>
          <w:tcPr>
            <w:tcW w:w="582" w:type="pct"/>
            <w:shd w:val="clear" w:color="auto" w:fill="auto"/>
            <w:vAlign w:val="center"/>
          </w:tcPr>
          <w:p w14:paraId="05AC9F1E" w14:textId="1D3DD5BD" w:rsidR="00E22739" w:rsidRPr="006E7E84" w:rsidRDefault="00E22739" w:rsidP="00A0101E">
            <w:pPr>
              <w:spacing w:after="0"/>
              <w:jc w:val="center"/>
              <w:rPr>
                <w:rFonts w:cs="Arial"/>
                <w:szCs w:val="16"/>
              </w:rPr>
            </w:pPr>
            <w:r w:rsidRPr="006E7E84">
              <w:rPr>
                <w:rFonts w:cs="Arial"/>
                <w:szCs w:val="16"/>
              </w:rPr>
              <w:t>N/A</w:t>
            </w:r>
          </w:p>
        </w:tc>
      </w:tr>
    </w:tbl>
    <w:p w14:paraId="2E07CCBD" w14:textId="72318460" w:rsidR="00DD5B7A" w:rsidRPr="006E7E84" w:rsidRDefault="00DD5B7A" w:rsidP="00815ACE">
      <w:pPr>
        <w:pStyle w:val="Caption"/>
      </w:pPr>
      <w:r w:rsidRPr="006E7E84">
        <w:t>FFY 2020 SPP/APR Data: Math Assessment</w:t>
      </w:r>
      <w:r w:rsidR="00C578AE">
        <w:t xml:space="preserve"> (3D)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983"/>
        <w:gridCol w:w="990"/>
        <w:gridCol w:w="1936"/>
        <w:gridCol w:w="1936"/>
        <w:gridCol w:w="809"/>
        <w:gridCol w:w="991"/>
        <w:gridCol w:w="900"/>
        <w:gridCol w:w="991"/>
        <w:gridCol w:w="1254"/>
      </w:tblGrid>
      <w:tr w:rsidR="00A0101E" w:rsidRPr="006E7E84" w14:paraId="6355AB57" w14:textId="77777777" w:rsidTr="00867A00">
        <w:trPr>
          <w:tblHeader/>
        </w:trPr>
        <w:tc>
          <w:tcPr>
            <w:tcW w:w="456" w:type="pct"/>
            <w:shd w:val="clear" w:color="auto" w:fill="D9D9D9" w:themeFill="background1" w:themeFillShade="D9"/>
            <w:vAlign w:val="center"/>
          </w:tcPr>
          <w:p w14:paraId="7C464B0B" w14:textId="77777777" w:rsidR="00C95D2E" w:rsidRPr="006E7E84" w:rsidRDefault="00C95D2E" w:rsidP="00A0101E">
            <w:pPr>
              <w:spacing w:after="0"/>
              <w:jc w:val="center"/>
              <w:rPr>
                <w:b/>
              </w:rPr>
            </w:pPr>
            <w:r w:rsidRPr="006E7E84">
              <w:rPr>
                <w:b/>
              </w:rPr>
              <w:t>Group</w:t>
            </w:r>
          </w:p>
        </w:tc>
        <w:tc>
          <w:tcPr>
            <w:tcW w:w="459" w:type="pct"/>
            <w:shd w:val="clear" w:color="auto" w:fill="D9D9D9" w:themeFill="background1" w:themeFillShade="D9"/>
            <w:vAlign w:val="center"/>
          </w:tcPr>
          <w:p w14:paraId="2FB9EF47" w14:textId="77777777" w:rsidR="00C95D2E" w:rsidRPr="006E7E84" w:rsidRDefault="00C95D2E" w:rsidP="00A0101E">
            <w:pPr>
              <w:spacing w:after="0"/>
              <w:jc w:val="center"/>
              <w:rPr>
                <w:b/>
              </w:rPr>
            </w:pPr>
            <w:r w:rsidRPr="006E7E84">
              <w:rPr>
                <w:b/>
              </w:rPr>
              <w:t>Group Name</w:t>
            </w:r>
          </w:p>
        </w:tc>
        <w:tc>
          <w:tcPr>
            <w:tcW w:w="897" w:type="pct"/>
            <w:shd w:val="clear" w:color="auto" w:fill="D9D9D9" w:themeFill="background1" w:themeFillShade="D9"/>
            <w:vAlign w:val="center"/>
          </w:tcPr>
          <w:p w14:paraId="0B1D45D9" w14:textId="51C28093" w:rsidR="00C95D2E" w:rsidRPr="006E7E84" w:rsidRDefault="00C95D2E" w:rsidP="00A0101E">
            <w:pPr>
              <w:spacing w:after="0"/>
              <w:jc w:val="center"/>
              <w:rPr>
                <w:b/>
                <w:bCs/>
              </w:rPr>
            </w:pPr>
            <w:r w:rsidRPr="006E7E84">
              <w:rPr>
                <w:b/>
                <w:bCs/>
              </w:rPr>
              <w:t xml:space="preserve">Proficiency rate for children with IEPs scoring at or above proficient against grade level academic achievement standards </w:t>
            </w:r>
          </w:p>
        </w:tc>
        <w:tc>
          <w:tcPr>
            <w:tcW w:w="897" w:type="pct"/>
            <w:shd w:val="clear" w:color="auto" w:fill="D9D9D9" w:themeFill="background1" w:themeFillShade="D9"/>
            <w:vAlign w:val="center"/>
          </w:tcPr>
          <w:p w14:paraId="7D0D3B25" w14:textId="708C001A" w:rsidR="00C95D2E" w:rsidRPr="006E7E84" w:rsidRDefault="00C95D2E" w:rsidP="00A0101E">
            <w:pPr>
              <w:spacing w:after="0"/>
              <w:jc w:val="center"/>
              <w:rPr>
                <w:b/>
                <w:bCs/>
              </w:rPr>
            </w:pPr>
            <w:r w:rsidRPr="006E7E84">
              <w:rPr>
                <w:b/>
                <w:bCs/>
              </w:rPr>
              <w:t xml:space="preserve">Proficiency rate for all students scoring at or above proficient against grade level academic achievement standards </w:t>
            </w:r>
          </w:p>
        </w:tc>
        <w:tc>
          <w:tcPr>
            <w:tcW w:w="375" w:type="pct"/>
            <w:shd w:val="clear" w:color="auto" w:fill="D9D9D9" w:themeFill="background1" w:themeFillShade="D9"/>
            <w:vAlign w:val="center"/>
          </w:tcPr>
          <w:p w14:paraId="7FA2E5CF" w14:textId="77777777" w:rsidR="00C95D2E" w:rsidRPr="00867A00" w:rsidRDefault="00C95D2E" w:rsidP="00A0101E">
            <w:pPr>
              <w:spacing w:after="0"/>
              <w:jc w:val="center"/>
              <w:rPr>
                <w:b/>
                <w:highlight w:val="yellow"/>
              </w:rPr>
            </w:pPr>
            <w:r w:rsidRPr="00C578AE">
              <w:rPr>
                <w:b/>
              </w:rPr>
              <w:t>FFY 2019 Data</w:t>
            </w:r>
          </w:p>
        </w:tc>
        <w:tc>
          <w:tcPr>
            <w:tcW w:w="459" w:type="pct"/>
            <w:shd w:val="clear" w:color="auto" w:fill="D9D9D9" w:themeFill="background1" w:themeFillShade="D9"/>
            <w:vAlign w:val="center"/>
          </w:tcPr>
          <w:p w14:paraId="275741A5" w14:textId="77777777" w:rsidR="00C95D2E" w:rsidRPr="006E7E84" w:rsidRDefault="00C95D2E" w:rsidP="00A0101E">
            <w:pPr>
              <w:spacing w:after="0"/>
              <w:jc w:val="center"/>
              <w:rPr>
                <w:b/>
              </w:rPr>
            </w:pPr>
            <w:r w:rsidRPr="006E7E84">
              <w:rPr>
                <w:b/>
              </w:rPr>
              <w:t>FFY 2020 Target</w:t>
            </w:r>
          </w:p>
        </w:tc>
        <w:tc>
          <w:tcPr>
            <w:tcW w:w="417" w:type="pct"/>
            <w:shd w:val="clear" w:color="auto" w:fill="D9D9D9" w:themeFill="background1" w:themeFillShade="D9"/>
            <w:vAlign w:val="center"/>
          </w:tcPr>
          <w:p w14:paraId="597E0BC4" w14:textId="77777777" w:rsidR="00C95D2E" w:rsidRPr="006E7E84" w:rsidRDefault="00C95D2E" w:rsidP="00A0101E">
            <w:pPr>
              <w:spacing w:after="0"/>
              <w:jc w:val="center"/>
              <w:rPr>
                <w:b/>
              </w:rPr>
            </w:pPr>
            <w:r w:rsidRPr="006E7E84">
              <w:rPr>
                <w:b/>
              </w:rPr>
              <w:t>FFY 2020 Data</w:t>
            </w:r>
          </w:p>
        </w:tc>
        <w:tc>
          <w:tcPr>
            <w:tcW w:w="459" w:type="pct"/>
            <w:shd w:val="clear" w:color="auto" w:fill="D9D9D9" w:themeFill="background1" w:themeFillShade="D9"/>
            <w:vAlign w:val="center"/>
          </w:tcPr>
          <w:p w14:paraId="53963A37" w14:textId="77777777" w:rsidR="00C95D2E" w:rsidRPr="006E7E84" w:rsidRDefault="00C95D2E" w:rsidP="00A0101E">
            <w:pPr>
              <w:spacing w:after="0"/>
              <w:jc w:val="center"/>
              <w:rPr>
                <w:b/>
              </w:rPr>
            </w:pPr>
            <w:r w:rsidRPr="006E7E84">
              <w:rPr>
                <w:b/>
              </w:rPr>
              <w:t>Status</w:t>
            </w:r>
          </w:p>
        </w:tc>
        <w:tc>
          <w:tcPr>
            <w:tcW w:w="581" w:type="pct"/>
            <w:shd w:val="clear" w:color="auto" w:fill="D9D9D9" w:themeFill="background1" w:themeFillShade="D9"/>
            <w:vAlign w:val="center"/>
          </w:tcPr>
          <w:p w14:paraId="45442BEB" w14:textId="77777777" w:rsidR="00C95D2E" w:rsidRPr="006E7E84" w:rsidRDefault="00C95D2E" w:rsidP="00A0101E">
            <w:pPr>
              <w:spacing w:after="0"/>
              <w:jc w:val="center"/>
              <w:rPr>
                <w:b/>
              </w:rPr>
            </w:pPr>
            <w:r w:rsidRPr="006E7E84">
              <w:rPr>
                <w:b/>
              </w:rPr>
              <w:t>Slippage</w:t>
            </w:r>
          </w:p>
        </w:tc>
      </w:tr>
      <w:tr w:rsidR="006E7E84" w:rsidRPr="006E7E84" w14:paraId="37123996" w14:textId="77777777" w:rsidTr="00867A00">
        <w:tc>
          <w:tcPr>
            <w:tcW w:w="456" w:type="pct"/>
            <w:shd w:val="clear" w:color="auto" w:fill="auto"/>
            <w:vAlign w:val="center"/>
          </w:tcPr>
          <w:p w14:paraId="689B01B1" w14:textId="77777777" w:rsidR="002A19C8" w:rsidRPr="00A0101E" w:rsidRDefault="002A19C8" w:rsidP="00A0101E">
            <w:pPr>
              <w:pStyle w:val="Default"/>
              <w:spacing w:line="276" w:lineRule="auto"/>
              <w:jc w:val="center"/>
              <w:rPr>
                <w:rFonts w:eastAsiaTheme="minorHAnsi"/>
                <w:color w:val="auto"/>
              </w:rPr>
            </w:pPr>
            <w:r w:rsidRPr="00A0101E">
              <w:rPr>
                <w:b/>
                <w:color w:val="auto"/>
              </w:rPr>
              <w:t>A</w:t>
            </w:r>
          </w:p>
        </w:tc>
        <w:tc>
          <w:tcPr>
            <w:tcW w:w="459" w:type="pct"/>
            <w:shd w:val="clear" w:color="auto" w:fill="auto"/>
            <w:vAlign w:val="center"/>
          </w:tcPr>
          <w:p w14:paraId="1D9CE262" w14:textId="508A4023" w:rsidR="002A19C8" w:rsidRPr="006E7E84" w:rsidDel="00DE5045" w:rsidRDefault="002A19C8" w:rsidP="00A0101E">
            <w:pPr>
              <w:spacing w:after="0"/>
              <w:jc w:val="center"/>
              <w:rPr>
                <w:rFonts w:cs="Arial"/>
                <w:szCs w:val="16"/>
              </w:rPr>
            </w:pPr>
            <w:r w:rsidRPr="006E7E84">
              <w:rPr>
                <w:rFonts w:cs="Arial"/>
                <w:szCs w:val="16"/>
              </w:rPr>
              <w:t>Grade 4</w:t>
            </w:r>
          </w:p>
        </w:tc>
        <w:tc>
          <w:tcPr>
            <w:tcW w:w="897" w:type="pct"/>
            <w:shd w:val="clear" w:color="auto" w:fill="auto"/>
            <w:vAlign w:val="center"/>
          </w:tcPr>
          <w:p w14:paraId="26A57F7A" w14:textId="09E9CA5E" w:rsidR="002A19C8" w:rsidRPr="006E7E84" w:rsidRDefault="002A19C8" w:rsidP="00A0101E">
            <w:pPr>
              <w:spacing w:after="0"/>
              <w:jc w:val="center"/>
              <w:rPr>
                <w:rFonts w:cs="Arial"/>
                <w:szCs w:val="16"/>
              </w:rPr>
            </w:pPr>
            <w:r w:rsidRPr="006E7E84">
              <w:rPr>
                <w:rFonts w:cs="Arial"/>
                <w:szCs w:val="16"/>
              </w:rPr>
              <w:t>27.95%</w:t>
            </w:r>
          </w:p>
        </w:tc>
        <w:tc>
          <w:tcPr>
            <w:tcW w:w="897" w:type="pct"/>
            <w:shd w:val="clear" w:color="auto" w:fill="auto"/>
            <w:vAlign w:val="center"/>
          </w:tcPr>
          <w:p w14:paraId="361835CD" w14:textId="59029D06" w:rsidR="002A19C8" w:rsidRPr="006E7E84" w:rsidRDefault="002A19C8" w:rsidP="00A0101E">
            <w:pPr>
              <w:spacing w:after="0"/>
              <w:jc w:val="center"/>
              <w:rPr>
                <w:rFonts w:cs="Arial"/>
                <w:szCs w:val="16"/>
              </w:rPr>
            </w:pPr>
            <w:r w:rsidRPr="006E7E84">
              <w:rPr>
                <w:rFonts w:cs="Arial"/>
                <w:szCs w:val="16"/>
              </w:rPr>
              <w:t>55.29%</w:t>
            </w:r>
          </w:p>
        </w:tc>
        <w:tc>
          <w:tcPr>
            <w:tcW w:w="375" w:type="pct"/>
            <w:shd w:val="clear" w:color="auto" w:fill="auto"/>
            <w:vAlign w:val="center"/>
          </w:tcPr>
          <w:p w14:paraId="59D4C214" w14:textId="7B0206B4" w:rsidR="002A19C8" w:rsidRPr="006E7E84" w:rsidRDefault="00C578AE" w:rsidP="00A0101E">
            <w:pPr>
              <w:spacing w:after="0"/>
              <w:jc w:val="center"/>
              <w:rPr>
                <w:rFonts w:cs="Arial"/>
                <w:szCs w:val="16"/>
              </w:rPr>
            </w:pPr>
            <w:r>
              <w:rPr>
                <w:rFonts w:cs="Arial"/>
                <w:szCs w:val="16"/>
              </w:rPr>
              <w:t>N/A</w:t>
            </w:r>
          </w:p>
        </w:tc>
        <w:tc>
          <w:tcPr>
            <w:tcW w:w="459" w:type="pct"/>
            <w:shd w:val="clear" w:color="auto" w:fill="auto"/>
            <w:vAlign w:val="center"/>
          </w:tcPr>
          <w:p w14:paraId="5226537A" w14:textId="04AA78B1" w:rsidR="002A19C8" w:rsidRPr="006E7E84" w:rsidRDefault="002A19C8" w:rsidP="00A0101E">
            <w:pPr>
              <w:spacing w:after="0"/>
              <w:jc w:val="center"/>
              <w:rPr>
                <w:rFonts w:cs="Arial"/>
                <w:szCs w:val="16"/>
              </w:rPr>
            </w:pPr>
            <w:r w:rsidRPr="006E7E84">
              <w:rPr>
                <w:rFonts w:cs="Arial"/>
                <w:szCs w:val="16"/>
              </w:rPr>
              <w:t>27.34</w:t>
            </w:r>
          </w:p>
        </w:tc>
        <w:tc>
          <w:tcPr>
            <w:tcW w:w="417" w:type="pct"/>
            <w:shd w:val="clear" w:color="auto" w:fill="auto"/>
            <w:vAlign w:val="center"/>
          </w:tcPr>
          <w:p w14:paraId="235D63D6" w14:textId="6BEC0204" w:rsidR="002A19C8" w:rsidRPr="006E7E84" w:rsidRDefault="002A19C8" w:rsidP="00A0101E">
            <w:pPr>
              <w:spacing w:after="0"/>
              <w:jc w:val="center"/>
              <w:rPr>
                <w:rFonts w:cs="Arial"/>
                <w:szCs w:val="16"/>
              </w:rPr>
            </w:pPr>
            <w:r w:rsidRPr="006E7E84">
              <w:rPr>
                <w:rFonts w:cs="Arial"/>
                <w:szCs w:val="16"/>
              </w:rPr>
              <w:t>27.34</w:t>
            </w:r>
          </w:p>
        </w:tc>
        <w:tc>
          <w:tcPr>
            <w:tcW w:w="459" w:type="pct"/>
            <w:shd w:val="clear" w:color="auto" w:fill="auto"/>
            <w:vAlign w:val="center"/>
          </w:tcPr>
          <w:p w14:paraId="50CBCD87" w14:textId="7E9D9F0C" w:rsidR="002A19C8" w:rsidRPr="006E7E84" w:rsidRDefault="002A19C8" w:rsidP="00A0101E">
            <w:pPr>
              <w:spacing w:after="0"/>
              <w:jc w:val="center"/>
              <w:rPr>
                <w:rFonts w:cs="Arial"/>
                <w:szCs w:val="16"/>
              </w:rPr>
            </w:pPr>
            <w:r w:rsidRPr="006E7E84">
              <w:rPr>
                <w:rFonts w:cs="Arial"/>
                <w:szCs w:val="16"/>
              </w:rPr>
              <w:t>N/A</w:t>
            </w:r>
          </w:p>
        </w:tc>
        <w:tc>
          <w:tcPr>
            <w:tcW w:w="581" w:type="pct"/>
            <w:shd w:val="clear" w:color="auto" w:fill="auto"/>
            <w:vAlign w:val="center"/>
          </w:tcPr>
          <w:p w14:paraId="35988424" w14:textId="54CE90DF" w:rsidR="002A19C8" w:rsidRPr="006E7E84" w:rsidRDefault="002A19C8" w:rsidP="00A0101E">
            <w:pPr>
              <w:spacing w:after="0"/>
              <w:jc w:val="center"/>
              <w:rPr>
                <w:rFonts w:cs="Arial"/>
                <w:szCs w:val="16"/>
              </w:rPr>
            </w:pPr>
            <w:r w:rsidRPr="006E7E84">
              <w:rPr>
                <w:rFonts w:cs="Arial"/>
                <w:szCs w:val="16"/>
              </w:rPr>
              <w:t>N/A</w:t>
            </w:r>
          </w:p>
        </w:tc>
      </w:tr>
      <w:tr w:rsidR="006E7E84" w:rsidRPr="006E7E84" w14:paraId="0DE5EFED" w14:textId="77777777" w:rsidTr="00867A00">
        <w:tc>
          <w:tcPr>
            <w:tcW w:w="456" w:type="pct"/>
            <w:shd w:val="clear" w:color="auto" w:fill="auto"/>
            <w:vAlign w:val="center"/>
          </w:tcPr>
          <w:p w14:paraId="51380788" w14:textId="77777777" w:rsidR="002A19C8" w:rsidRPr="00A0101E" w:rsidRDefault="002A19C8" w:rsidP="00A0101E">
            <w:pPr>
              <w:pStyle w:val="Default"/>
              <w:spacing w:line="276" w:lineRule="auto"/>
              <w:jc w:val="center"/>
              <w:rPr>
                <w:rFonts w:eastAsiaTheme="minorHAnsi"/>
                <w:color w:val="auto"/>
              </w:rPr>
            </w:pPr>
            <w:r w:rsidRPr="00A0101E">
              <w:rPr>
                <w:b/>
                <w:color w:val="auto"/>
              </w:rPr>
              <w:t>B</w:t>
            </w:r>
          </w:p>
        </w:tc>
        <w:tc>
          <w:tcPr>
            <w:tcW w:w="459" w:type="pct"/>
            <w:shd w:val="clear" w:color="auto" w:fill="auto"/>
            <w:vAlign w:val="center"/>
          </w:tcPr>
          <w:p w14:paraId="6D85D6A7" w14:textId="5558F45F" w:rsidR="002A19C8" w:rsidRPr="006E7E84" w:rsidDel="00DE5045" w:rsidRDefault="002A19C8" w:rsidP="00A0101E">
            <w:pPr>
              <w:spacing w:after="0"/>
              <w:jc w:val="center"/>
              <w:rPr>
                <w:rFonts w:cs="Arial"/>
                <w:szCs w:val="16"/>
              </w:rPr>
            </w:pPr>
            <w:r w:rsidRPr="006E7E84">
              <w:rPr>
                <w:rFonts w:cs="Arial"/>
                <w:szCs w:val="16"/>
              </w:rPr>
              <w:t>Grade 8</w:t>
            </w:r>
          </w:p>
        </w:tc>
        <w:tc>
          <w:tcPr>
            <w:tcW w:w="897" w:type="pct"/>
            <w:shd w:val="clear" w:color="auto" w:fill="auto"/>
            <w:vAlign w:val="center"/>
          </w:tcPr>
          <w:p w14:paraId="4288B43D" w14:textId="3B77409B" w:rsidR="002A19C8" w:rsidRPr="006E7E84" w:rsidRDefault="002A19C8" w:rsidP="00A0101E">
            <w:pPr>
              <w:spacing w:after="0"/>
              <w:jc w:val="center"/>
              <w:rPr>
                <w:rFonts w:cs="Arial"/>
                <w:szCs w:val="16"/>
              </w:rPr>
            </w:pPr>
            <w:r w:rsidRPr="006E7E84">
              <w:rPr>
                <w:rFonts w:cs="Arial"/>
                <w:szCs w:val="16"/>
              </w:rPr>
              <w:t>21.75%</w:t>
            </w:r>
          </w:p>
        </w:tc>
        <w:tc>
          <w:tcPr>
            <w:tcW w:w="897" w:type="pct"/>
            <w:shd w:val="clear" w:color="auto" w:fill="auto"/>
            <w:vAlign w:val="center"/>
          </w:tcPr>
          <w:p w14:paraId="11774D79" w14:textId="6519EED1" w:rsidR="002A19C8" w:rsidRPr="006E7E84" w:rsidRDefault="002A19C8" w:rsidP="00A0101E">
            <w:pPr>
              <w:spacing w:after="0"/>
              <w:jc w:val="center"/>
              <w:rPr>
                <w:rFonts w:cs="Arial"/>
                <w:szCs w:val="16"/>
              </w:rPr>
            </w:pPr>
            <w:r w:rsidRPr="006E7E84">
              <w:rPr>
                <w:rFonts w:cs="Arial"/>
                <w:szCs w:val="16"/>
              </w:rPr>
              <w:t>55.96%</w:t>
            </w:r>
          </w:p>
        </w:tc>
        <w:tc>
          <w:tcPr>
            <w:tcW w:w="375" w:type="pct"/>
            <w:shd w:val="clear" w:color="auto" w:fill="auto"/>
            <w:vAlign w:val="center"/>
          </w:tcPr>
          <w:p w14:paraId="28E3CF1C" w14:textId="17C823B3" w:rsidR="002A19C8" w:rsidRPr="006E7E84" w:rsidRDefault="00C578AE" w:rsidP="00A0101E">
            <w:pPr>
              <w:spacing w:after="0"/>
              <w:jc w:val="center"/>
              <w:rPr>
                <w:rFonts w:cs="Arial"/>
                <w:szCs w:val="16"/>
              </w:rPr>
            </w:pPr>
            <w:r>
              <w:rPr>
                <w:rFonts w:cs="Arial"/>
                <w:szCs w:val="16"/>
              </w:rPr>
              <w:t>N/A</w:t>
            </w:r>
          </w:p>
        </w:tc>
        <w:tc>
          <w:tcPr>
            <w:tcW w:w="459" w:type="pct"/>
            <w:shd w:val="clear" w:color="auto" w:fill="auto"/>
            <w:vAlign w:val="center"/>
          </w:tcPr>
          <w:p w14:paraId="468D28D5" w14:textId="3BD9025E" w:rsidR="002A19C8" w:rsidRPr="006E7E84" w:rsidRDefault="002A19C8" w:rsidP="00A0101E">
            <w:pPr>
              <w:spacing w:after="0"/>
              <w:jc w:val="center"/>
              <w:rPr>
                <w:rFonts w:cs="Arial"/>
                <w:szCs w:val="16"/>
              </w:rPr>
            </w:pPr>
            <w:r w:rsidRPr="006E7E84">
              <w:rPr>
                <w:rFonts w:cs="Arial"/>
                <w:szCs w:val="16"/>
              </w:rPr>
              <w:t>34.21</w:t>
            </w:r>
          </w:p>
        </w:tc>
        <w:tc>
          <w:tcPr>
            <w:tcW w:w="417" w:type="pct"/>
            <w:shd w:val="clear" w:color="auto" w:fill="auto"/>
            <w:vAlign w:val="center"/>
          </w:tcPr>
          <w:p w14:paraId="30644E0B" w14:textId="37C215BA" w:rsidR="002A19C8" w:rsidRPr="006E7E84" w:rsidRDefault="002A19C8" w:rsidP="00A0101E">
            <w:pPr>
              <w:spacing w:after="0"/>
              <w:jc w:val="center"/>
              <w:rPr>
                <w:rFonts w:cs="Arial"/>
                <w:szCs w:val="16"/>
              </w:rPr>
            </w:pPr>
            <w:r w:rsidRPr="006E7E84">
              <w:rPr>
                <w:rFonts w:cs="Arial"/>
                <w:szCs w:val="16"/>
              </w:rPr>
              <w:t>34.21</w:t>
            </w:r>
          </w:p>
        </w:tc>
        <w:tc>
          <w:tcPr>
            <w:tcW w:w="459" w:type="pct"/>
            <w:shd w:val="clear" w:color="auto" w:fill="auto"/>
            <w:vAlign w:val="center"/>
          </w:tcPr>
          <w:p w14:paraId="1312CD99" w14:textId="5541B25D" w:rsidR="002A19C8" w:rsidRPr="006E7E84" w:rsidRDefault="002A19C8" w:rsidP="00A0101E">
            <w:pPr>
              <w:spacing w:after="0"/>
              <w:jc w:val="center"/>
              <w:rPr>
                <w:rFonts w:cs="Arial"/>
                <w:szCs w:val="16"/>
              </w:rPr>
            </w:pPr>
            <w:r w:rsidRPr="006E7E84">
              <w:rPr>
                <w:rFonts w:cs="Arial"/>
                <w:szCs w:val="16"/>
              </w:rPr>
              <w:t>N/A</w:t>
            </w:r>
          </w:p>
        </w:tc>
        <w:tc>
          <w:tcPr>
            <w:tcW w:w="581" w:type="pct"/>
            <w:shd w:val="clear" w:color="auto" w:fill="auto"/>
            <w:vAlign w:val="center"/>
          </w:tcPr>
          <w:p w14:paraId="536612A4" w14:textId="60F48CB2" w:rsidR="002A19C8" w:rsidRPr="006E7E84" w:rsidRDefault="002A19C8" w:rsidP="00A0101E">
            <w:pPr>
              <w:spacing w:after="0"/>
              <w:jc w:val="center"/>
              <w:rPr>
                <w:rFonts w:cs="Arial"/>
                <w:szCs w:val="16"/>
              </w:rPr>
            </w:pPr>
            <w:r w:rsidRPr="006E7E84">
              <w:rPr>
                <w:rFonts w:cs="Arial"/>
                <w:szCs w:val="16"/>
              </w:rPr>
              <w:t>N/A</w:t>
            </w:r>
          </w:p>
        </w:tc>
      </w:tr>
      <w:tr w:rsidR="006E7E84" w:rsidRPr="006E7E84" w14:paraId="36AFD504" w14:textId="77777777" w:rsidTr="00867A00">
        <w:tc>
          <w:tcPr>
            <w:tcW w:w="456" w:type="pct"/>
            <w:shd w:val="clear" w:color="auto" w:fill="auto"/>
            <w:vAlign w:val="center"/>
          </w:tcPr>
          <w:p w14:paraId="4932227A" w14:textId="77777777" w:rsidR="002A19C8" w:rsidRPr="00A0101E" w:rsidRDefault="002A19C8" w:rsidP="00A0101E">
            <w:pPr>
              <w:pStyle w:val="Default"/>
              <w:spacing w:line="276" w:lineRule="auto"/>
              <w:jc w:val="center"/>
              <w:rPr>
                <w:rFonts w:eastAsiaTheme="minorHAnsi"/>
                <w:color w:val="auto"/>
              </w:rPr>
            </w:pPr>
            <w:r w:rsidRPr="00A0101E">
              <w:rPr>
                <w:b/>
                <w:color w:val="auto"/>
              </w:rPr>
              <w:t>C</w:t>
            </w:r>
          </w:p>
        </w:tc>
        <w:tc>
          <w:tcPr>
            <w:tcW w:w="459" w:type="pct"/>
            <w:shd w:val="clear" w:color="auto" w:fill="auto"/>
            <w:vAlign w:val="center"/>
          </w:tcPr>
          <w:p w14:paraId="236171D2" w14:textId="335C29F0" w:rsidR="002A19C8" w:rsidRPr="006E7E84" w:rsidDel="00DE5045" w:rsidRDefault="002A19C8" w:rsidP="00A0101E">
            <w:pPr>
              <w:spacing w:after="0"/>
              <w:jc w:val="center"/>
              <w:rPr>
                <w:rFonts w:cs="Arial"/>
                <w:szCs w:val="16"/>
              </w:rPr>
            </w:pPr>
            <w:r w:rsidRPr="006E7E84">
              <w:rPr>
                <w:rFonts w:cs="Arial"/>
                <w:szCs w:val="16"/>
              </w:rPr>
              <w:t>Grade HS</w:t>
            </w:r>
          </w:p>
        </w:tc>
        <w:tc>
          <w:tcPr>
            <w:tcW w:w="897" w:type="pct"/>
            <w:shd w:val="clear" w:color="auto" w:fill="auto"/>
            <w:vAlign w:val="center"/>
          </w:tcPr>
          <w:p w14:paraId="6C585469" w14:textId="27CFD453" w:rsidR="002A19C8" w:rsidRPr="006E7E84" w:rsidRDefault="002A19C8" w:rsidP="00A0101E">
            <w:pPr>
              <w:spacing w:after="0"/>
              <w:jc w:val="center"/>
              <w:rPr>
                <w:rFonts w:cs="Arial"/>
                <w:szCs w:val="16"/>
              </w:rPr>
            </w:pPr>
            <w:r w:rsidRPr="006E7E84">
              <w:rPr>
                <w:rFonts w:cs="Arial"/>
                <w:szCs w:val="16"/>
              </w:rPr>
              <w:t>37.60%</w:t>
            </w:r>
          </w:p>
        </w:tc>
        <w:tc>
          <w:tcPr>
            <w:tcW w:w="897" w:type="pct"/>
            <w:shd w:val="clear" w:color="auto" w:fill="auto"/>
            <w:vAlign w:val="center"/>
          </w:tcPr>
          <w:p w14:paraId="13AB3928" w14:textId="234CBFA8" w:rsidR="002A19C8" w:rsidRPr="006E7E84" w:rsidRDefault="002A19C8" w:rsidP="00A0101E">
            <w:pPr>
              <w:spacing w:after="0"/>
              <w:jc w:val="center"/>
              <w:rPr>
                <w:rFonts w:cs="Arial"/>
                <w:szCs w:val="16"/>
              </w:rPr>
            </w:pPr>
            <w:r w:rsidRPr="006E7E84">
              <w:rPr>
                <w:rFonts w:cs="Arial"/>
                <w:szCs w:val="16"/>
              </w:rPr>
              <w:t>59.87%</w:t>
            </w:r>
          </w:p>
        </w:tc>
        <w:tc>
          <w:tcPr>
            <w:tcW w:w="375" w:type="pct"/>
            <w:shd w:val="clear" w:color="auto" w:fill="auto"/>
            <w:vAlign w:val="center"/>
          </w:tcPr>
          <w:p w14:paraId="2ABC747F" w14:textId="740E4AB0" w:rsidR="002A19C8" w:rsidRPr="006E7E84" w:rsidRDefault="00C578AE" w:rsidP="00A0101E">
            <w:pPr>
              <w:spacing w:after="0"/>
              <w:jc w:val="center"/>
              <w:rPr>
                <w:rFonts w:cs="Arial"/>
                <w:szCs w:val="16"/>
              </w:rPr>
            </w:pPr>
            <w:r>
              <w:rPr>
                <w:rFonts w:cs="Arial"/>
                <w:szCs w:val="16"/>
              </w:rPr>
              <w:t>N/A</w:t>
            </w:r>
          </w:p>
        </w:tc>
        <w:tc>
          <w:tcPr>
            <w:tcW w:w="459" w:type="pct"/>
            <w:shd w:val="clear" w:color="auto" w:fill="auto"/>
            <w:vAlign w:val="center"/>
          </w:tcPr>
          <w:p w14:paraId="1ACDF21F" w14:textId="6248B4E9" w:rsidR="002A19C8" w:rsidRPr="006E7E84" w:rsidRDefault="002A19C8" w:rsidP="00A0101E">
            <w:pPr>
              <w:spacing w:after="0"/>
              <w:jc w:val="center"/>
              <w:rPr>
                <w:rFonts w:cs="Arial"/>
                <w:szCs w:val="16"/>
              </w:rPr>
            </w:pPr>
            <w:r w:rsidRPr="006E7E84">
              <w:rPr>
                <w:rFonts w:cs="Arial"/>
                <w:szCs w:val="16"/>
              </w:rPr>
              <w:t>22.27</w:t>
            </w:r>
          </w:p>
        </w:tc>
        <w:tc>
          <w:tcPr>
            <w:tcW w:w="417" w:type="pct"/>
            <w:shd w:val="clear" w:color="auto" w:fill="auto"/>
            <w:vAlign w:val="center"/>
          </w:tcPr>
          <w:p w14:paraId="69CE5BC3" w14:textId="39D166D6" w:rsidR="002A19C8" w:rsidRPr="006E7E84" w:rsidRDefault="002A19C8" w:rsidP="00A0101E">
            <w:pPr>
              <w:spacing w:after="0"/>
              <w:jc w:val="center"/>
              <w:rPr>
                <w:rFonts w:cs="Arial"/>
                <w:szCs w:val="16"/>
              </w:rPr>
            </w:pPr>
            <w:r w:rsidRPr="006E7E84">
              <w:rPr>
                <w:rFonts w:cs="Arial"/>
                <w:szCs w:val="16"/>
              </w:rPr>
              <w:t>22.27</w:t>
            </w:r>
          </w:p>
        </w:tc>
        <w:tc>
          <w:tcPr>
            <w:tcW w:w="459" w:type="pct"/>
            <w:shd w:val="clear" w:color="auto" w:fill="auto"/>
            <w:vAlign w:val="center"/>
          </w:tcPr>
          <w:p w14:paraId="2CA33323" w14:textId="59FD6DC7" w:rsidR="002A19C8" w:rsidRPr="006E7E84" w:rsidRDefault="002A19C8" w:rsidP="00A0101E">
            <w:pPr>
              <w:spacing w:after="0"/>
              <w:jc w:val="center"/>
              <w:rPr>
                <w:rFonts w:cs="Arial"/>
                <w:szCs w:val="16"/>
              </w:rPr>
            </w:pPr>
            <w:r w:rsidRPr="006E7E84">
              <w:rPr>
                <w:rFonts w:cs="Arial"/>
                <w:szCs w:val="16"/>
              </w:rPr>
              <w:t>N/A</w:t>
            </w:r>
          </w:p>
        </w:tc>
        <w:tc>
          <w:tcPr>
            <w:tcW w:w="581" w:type="pct"/>
            <w:shd w:val="clear" w:color="auto" w:fill="auto"/>
            <w:vAlign w:val="center"/>
          </w:tcPr>
          <w:p w14:paraId="0BEDA3C1" w14:textId="6A01F324" w:rsidR="002A19C8" w:rsidRPr="006E7E84" w:rsidRDefault="002A19C8" w:rsidP="00A0101E">
            <w:pPr>
              <w:spacing w:after="0"/>
              <w:jc w:val="center"/>
              <w:rPr>
                <w:rFonts w:cs="Arial"/>
                <w:szCs w:val="16"/>
              </w:rPr>
            </w:pPr>
            <w:r w:rsidRPr="006E7E84">
              <w:rPr>
                <w:rFonts w:cs="Arial"/>
                <w:szCs w:val="16"/>
              </w:rPr>
              <w:t>N/A</w:t>
            </w:r>
          </w:p>
        </w:tc>
      </w:tr>
    </w:tbl>
    <w:p w14:paraId="2FF851DB" w14:textId="77777777" w:rsidR="00DD5B7A" w:rsidRPr="006E7E84" w:rsidRDefault="00DD5B7A" w:rsidP="0036581E">
      <w:pPr>
        <w:pStyle w:val="Heading4"/>
      </w:pPr>
      <w:r w:rsidRPr="006E7E84">
        <w:lastRenderedPageBreak/>
        <w:t>Provide additional information about this indicator (optional)</w:t>
      </w:r>
    </w:p>
    <w:p w14:paraId="646908D0" w14:textId="2EB40E98" w:rsidR="00DD5B7A" w:rsidRPr="00F32F95" w:rsidRDefault="00DD5B7A" w:rsidP="00314F94">
      <w:pPr>
        <w:pStyle w:val="ListParagraph"/>
        <w:numPr>
          <w:ilvl w:val="0"/>
          <w:numId w:val="113"/>
        </w:numPr>
        <w:rPr>
          <w:rFonts w:cs="Arial"/>
          <w:szCs w:val="16"/>
        </w:rPr>
      </w:pPr>
      <w:r w:rsidRPr="00F32F95">
        <w:rPr>
          <w:rFonts w:cs="Arial"/>
          <w:szCs w:val="16"/>
        </w:rPr>
        <w:t>Indicator B3D is a new indicator requiring initial baseline to be set. The initial baseline year is FFY 2020.</w:t>
      </w:r>
    </w:p>
    <w:p w14:paraId="1CD50F37" w14:textId="6334E2E5" w:rsidR="00764DDE" w:rsidRPr="006E7E84" w:rsidRDefault="00764DDE" w:rsidP="006E7E84">
      <w:pPr>
        <w:pStyle w:val="Heading3"/>
        <w:rPr>
          <w:color w:val="auto"/>
        </w:rPr>
      </w:pPr>
      <w:r w:rsidRPr="006E7E84">
        <w:rPr>
          <w:color w:val="auto"/>
        </w:rPr>
        <w:t>3D - Prior FFY Required Actions</w:t>
      </w:r>
    </w:p>
    <w:p w14:paraId="34B574CB" w14:textId="14B02F6F" w:rsidR="00764DDE" w:rsidRPr="00F32F95" w:rsidRDefault="00764DDE" w:rsidP="00314F94">
      <w:pPr>
        <w:pStyle w:val="ListParagraph"/>
        <w:numPr>
          <w:ilvl w:val="0"/>
          <w:numId w:val="114"/>
        </w:numPr>
        <w:rPr>
          <w:rFonts w:cs="Arial"/>
          <w:szCs w:val="16"/>
        </w:rPr>
      </w:pPr>
      <w:r w:rsidRPr="00F32F95">
        <w:rPr>
          <w:rFonts w:cs="Arial"/>
          <w:szCs w:val="16"/>
        </w:rPr>
        <w:t>None</w:t>
      </w:r>
    </w:p>
    <w:p w14:paraId="02AADAEE" w14:textId="09BE2C66" w:rsidR="00764DDE" w:rsidRPr="006E7E84" w:rsidRDefault="00764DDE" w:rsidP="006E7E84">
      <w:pPr>
        <w:pStyle w:val="Heading3"/>
        <w:rPr>
          <w:color w:val="auto"/>
        </w:rPr>
      </w:pPr>
      <w:r w:rsidRPr="006E7E84">
        <w:rPr>
          <w:color w:val="auto"/>
        </w:rPr>
        <w:t>3D - OSEP Response</w:t>
      </w:r>
    </w:p>
    <w:p w14:paraId="6ADCF12E" w14:textId="77777777" w:rsidR="006E7E84" w:rsidRPr="00F32F95" w:rsidRDefault="00764DDE" w:rsidP="00314F94">
      <w:pPr>
        <w:pStyle w:val="ListParagraph"/>
        <w:numPr>
          <w:ilvl w:val="0"/>
          <w:numId w:val="115"/>
        </w:numPr>
        <w:rPr>
          <w:rFonts w:cs="Arial"/>
          <w:szCs w:val="16"/>
          <w:shd w:val="clear" w:color="auto" w:fill="FFFFFF"/>
        </w:rPr>
      </w:pPr>
      <w:r w:rsidRPr="00F32F95">
        <w:rPr>
          <w:rFonts w:cs="Arial"/>
          <w:szCs w:val="16"/>
          <w:shd w:val="clear" w:color="auto" w:fill="FFFFFF"/>
        </w:rPr>
        <w:t>The State has established the baseline for this indicator, using data from FFY 2020, and OSEP accepts that baseline.</w:t>
      </w:r>
    </w:p>
    <w:p w14:paraId="6F9D8957" w14:textId="4B0DC8CB" w:rsidR="00764DDE" w:rsidRPr="006E7E84" w:rsidRDefault="00764DDE" w:rsidP="004C1EC0">
      <w:pPr>
        <w:ind w:left="720"/>
        <w:rPr>
          <w:rFonts w:cs="Arial"/>
          <w:szCs w:val="16"/>
        </w:rPr>
      </w:pPr>
      <w:r w:rsidRPr="006E7E84">
        <w:rPr>
          <w:rFonts w:cs="Arial"/>
          <w:szCs w:val="16"/>
          <w:shd w:val="clear" w:color="auto" w:fill="FFFFFF"/>
        </w:rPr>
        <w:t>The State provided targets for FFYs 2020 through 2025 for this indicator, and OSEP accepts those targets.</w:t>
      </w:r>
    </w:p>
    <w:p w14:paraId="09AAC73F" w14:textId="7E96F305" w:rsidR="00764DDE" w:rsidRPr="006E7E84" w:rsidRDefault="00764DDE" w:rsidP="006E7E84">
      <w:pPr>
        <w:pStyle w:val="Heading3"/>
        <w:rPr>
          <w:color w:val="auto"/>
        </w:rPr>
      </w:pPr>
      <w:r w:rsidRPr="006E7E84">
        <w:rPr>
          <w:color w:val="auto"/>
        </w:rPr>
        <w:t>3D - Required Actions</w:t>
      </w:r>
    </w:p>
    <w:p w14:paraId="72857535" w14:textId="391D5EF5" w:rsidR="00764DDE" w:rsidRPr="00F32F95" w:rsidRDefault="00764DDE" w:rsidP="00314F94">
      <w:pPr>
        <w:pStyle w:val="ListParagraph"/>
        <w:numPr>
          <w:ilvl w:val="0"/>
          <w:numId w:val="116"/>
        </w:numPr>
        <w:rPr>
          <w:rFonts w:eastAsiaTheme="majorEastAsia" w:cstheme="majorBidi"/>
          <w:b/>
          <w:bCs/>
          <w:sz w:val="22"/>
          <w:szCs w:val="28"/>
        </w:rPr>
      </w:pPr>
      <w:r w:rsidRPr="00F32F95">
        <w:rPr>
          <w:rFonts w:cs="Arial"/>
          <w:szCs w:val="16"/>
          <w:shd w:val="clear" w:color="auto" w:fill="FFFFFF"/>
        </w:rPr>
        <w:t>The State reported that zero children with IEPs received a valid score and a proficiency level for the regular RLA assessment for grades 4, 8, and HS for this indicator and that zero out of all children who took the regular RLA assessment received a valid score and a proficiency level. However, the State reported FFY 2020 data for RLA in the Historical Table. With the FFY 2021 SPP/APR, the State must explain this discrepancy and provide accurate data for this indicator.</w:t>
      </w:r>
      <w:r w:rsidRPr="00F32F95">
        <w:rPr>
          <w:sz w:val="22"/>
        </w:rPr>
        <w:br w:type="page"/>
      </w:r>
    </w:p>
    <w:p w14:paraId="1E2B07DD" w14:textId="7F0EB6BD" w:rsidR="00D03701" w:rsidRPr="00781112" w:rsidRDefault="00D03701" w:rsidP="008143AB">
      <w:pPr>
        <w:pStyle w:val="Heading2"/>
      </w:pPr>
      <w:r w:rsidRPr="00781112">
        <w:lastRenderedPageBreak/>
        <w:t>Indicator 4A: Suspension/Expulsion</w:t>
      </w:r>
      <w:bookmarkEnd w:id="19"/>
      <w:bookmarkEnd w:id="20"/>
    </w:p>
    <w:p w14:paraId="6B24B370" w14:textId="77777777" w:rsidR="006E5AE4" w:rsidRPr="00B51038" w:rsidRDefault="006E5AE4" w:rsidP="0036581E">
      <w:pPr>
        <w:pStyle w:val="Heading3"/>
        <w:spacing w:before="240"/>
      </w:pPr>
      <w:bookmarkStart w:id="22" w:name="_Toc384383331"/>
      <w:bookmarkStart w:id="23" w:name="_Toc392159283"/>
      <w:r w:rsidRPr="00B51038">
        <w:t xml:space="preserve">Instructions and Measurement </w:t>
      </w:r>
    </w:p>
    <w:p w14:paraId="73D979E8" w14:textId="6D1D1338" w:rsidR="00DD1D55" w:rsidRPr="00781112" w:rsidRDefault="00DD1D55" w:rsidP="00B51038">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B51038">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235D0EB2" w:rsidR="000A5A2E" w:rsidRPr="00867A00" w:rsidRDefault="001D5BAF" w:rsidP="00155DFD">
      <w:pPr>
        <w:pStyle w:val="ListParagraph"/>
        <w:numPr>
          <w:ilvl w:val="0"/>
          <w:numId w:val="46"/>
        </w:numPr>
        <w:ind w:left="720" w:hanging="274"/>
        <w:contextualSpacing w:val="0"/>
        <w:rPr>
          <w:color w:val="000000" w:themeColor="text1"/>
        </w:rPr>
      </w:pPr>
      <w:r w:rsidRPr="00867A00">
        <w:rPr>
          <w:rFonts w:cs="Arial"/>
          <w:color w:val="000000" w:themeColor="text1"/>
          <w:szCs w:val="16"/>
        </w:rPr>
        <w:t xml:space="preserve">Percent of </w:t>
      </w:r>
      <w:r w:rsidR="00752D76" w:rsidRPr="00867A00">
        <w:rPr>
          <w:rFonts w:cs="Arial"/>
          <w:szCs w:val="16"/>
        </w:rPr>
        <w:t>local educational agencies (LEA)</w:t>
      </w:r>
      <w:r w:rsidRPr="00867A00">
        <w:rPr>
          <w:rFonts w:cs="Arial"/>
          <w:color w:val="000000" w:themeColor="text1"/>
          <w:szCs w:val="16"/>
        </w:rPr>
        <w:t xml:space="preserve"> that have a significant discrepancy</w:t>
      </w:r>
      <w:r w:rsidR="00F46CC4" w:rsidRPr="00867A00">
        <w:rPr>
          <w:rFonts w:cs="Arial"/>
          <w:szCs w:val="16"/>
        </w:rPr>
        <w:t>, as defined by the State,</w:t>
      </w:r>
      <w:r w:rsidRPr="00867A00">
        <w:rPr>
          <w:rFonts w:cs="Arial"/>
          <w:color w:val="000000" w:themeColor="text1"/>
          <w:szCs w:val="16"/>
        </w:rPr>
        <w:t xml:space="preserve"> in the rate of suspensions and expulsions of greater than 10 days in a school </w:t>
      </w:r>
      <w:r w:rsidR="00DD1D55" w:rsidRPr="00867A00">
        <w:rPr>
          <w:color w:val="000000" w:themeColor="text1"/>
        </w:rPr>
        <w:t xml:space="preserve">year for children with </w:t>
      </w:r>
      <w:proofErr w:type="gramStart"/>
      <w:r w:rsidR="00DD1D55" w:rsidRPr="00867A00">
        <w:rPr>
          <w:color w:val="000000" w:themeColor="text1"/>
        </w:rPr>
        <w:t>IEPs</w:t>
      </w:r>
      <w:r w:rsidR="00E97863" w:rsidRPr="00867A00">
        <w:rPr>
          <w:color w:val="000000" w:themeColor="text1"/>
        </w:rPr>
        <w:t>;</w:t>
      </w:r>
      <w:proofErr w:type="gramEnd"/>
      <w:r w:rsidR="00E97863" w:rsidRPr="00867A00">
        <w:rPr>
          <w:color w:val="000000" w:themeColor="text1"/>
        </w:rPr>
        <w:t xml:space="preserve"> and</w:t>
      </w:r>
    </w:p>
    <w:p w14:paraId="269BA1CE" w14:textId="64F7E8F0" w:rsidR="00E97863" w:rsidRPr="00867A00" w:rsidRDefault="00E97863" w:rsidP="00155DFD">
      <w:pPr>
        <w:pStyle w:val="ListParagraph"/>
        <w:numPr>
          <w:ilvl w:val="0"/>
          <w:numId w:val="46"/>
        </w:numPr>
        <w:ind w:left="720" w:hanging="270"/>
        <w:rPr>
          <w:rFonts w:cs="Arial"/>
          <w:szCs w:val="16"/>
        </w:rPr>
      </w:pPr>
      <w:r w:rsidRPr="00867A00">
        <w:rPr>
          <w:rFonts w:cs="Arial"/>
          <w:szCs w:val="16"/>
        </w:rPr>
        <w:t>Percent of LEAs that have: (a) a significant discrepancy, as defined by the State, by race or ethnicity, in the rate of suspensions and</w:t>
      </w:r>
      <w:r w:rsidR="002529C8" w:rsidRPr="00867A00">
        <w:rPr>
          <w:rFonts w:cs="Arial"/>
          <w:szCs w:val="16"/>
        </w:rPr>
        <w:t xml:space="preserve"> </w:t>
      </w:r>
      <w:r w:rsidRPr="00867A00">
        <w:rPr>
          <w:rFonts w:cs="Arial"/>
          <w:szCs w:val="16"/>
        </w:rPr>
        <w:t>expulsions of greater than 10 days in a school year for</w:t>
      </w:r>
      <w:r w:rsidR="002529C8" w:rsidRPr="00867A00">
        <w:rPr>
          <w:rFonts w:cs="Arial"/>
          <w:szCs w:val="16"/>
        </w:rPr>
        <w:t xml:space="preserve"> </w:t>
      </w:r>
      <w:r w:rsidRPr="00867A00">
        <w:rPr>
          <w:rFonts w:cs="Arial"/>
          <w:szCs w:val="16"/>
        </w:rPr>
        <w:t>children with IEPs; and (b) policies, procedures or practices that contribute to the significant discrepancy, as defined by the State, and do not comply with requirements relating to the development</w:t>
      </w:r>
      <w:r w:rsidR="002529C8" w:rsidRPr="00867A00">
        <w:rPr>
          <w:rFonts w:cs="Arial"/>
          <w:szCs w:val="16"/>
        </w:rPr>
        <w:t xml:space="preserve"> </w:t>
      </w:r>
      <w:r w:rsidRPr="00867A00">
        <w:rPr>
          <w:rFonts w:cs="Arial"/>
          <w:szCs w:val="16"/>
        </w:rPr>
        <w:t>and implementation of IEPs, the use of positive behavioral interventions and supports, and procedural safeguards.</w:t>
      </w:r>
    </w:p>
    <w:p w14:paraId="104900D3" w14:textId="4D6824EB" w:rsidR="0011074D" w:rsidRPr="00781112" w:rsidRDefault="0011074D" w:rsidP="00B51038">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36581E">
      <w:pPr>
        <w:pStyle w:val="Heading4"/>
      </w:pPr>
      <w:r w:rsidRPr="00781112">
        <w:t>Data Source</w:t>
      </w:r>
    </w:p>
    <w:p w14:paraId="06368193" w14:textId="2006ADF5" w:rsidR="000A5A2E" w:rsidRPr="00781112" w:rsidRDefault="000A5A2E" w:rsidP="00B51038">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36581E">
      <w:pPr>
        <w:pStyle w:val="Heading4"/>
      </w:pPr>
      <w:r w:rsidRPr="00781112">
        <w:t>Measurement</w:t>
      </w:r>
    </w:p>
    <w:p w14:paraId="5CD903C0" w14:textId="4C799C0D" w:rsidR="000A5A2E" w:rsidRPr="00781112" w:rsidRDefault="000A5A2E" w:rsidP="00B51038">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B51038">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36581E">
      <w:pPr>
        <w:pStyle w:val="Heading4"/>
      </w:pPr>
      <w:r w:rsidRPr="00781112">
        <w:t>Instructions</w:t>
      </w:r>
    </w:p>
    <w:p w14:paraId="20DD9B9C" w14:textId="57AEB24A" w:rsidR="000A5A2E" w:rsidRPr="00781112" w:rsidRDefault="00636061" w:rsidP="00B51038">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w:t>
      </w:r>
    </w:p>
    <w:p w14:paraId="3AD8FD7E" w14:textId="63FA952D" w:rsidR="00636061" w:rsidRPr="00781112" w:rsidRDefault="00A14B5D" w:rsidP="00B51038">
      <w:pPr>
        <w:spacing w:after="0"/>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2020 SPP/APR, use data from 2019-2020),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w:t>
      </w:r>
      <w:r w:rsidRPr="00781112">
        <w:rPr>
          <w:rFonts w:cs="Arial"/>
          <w:color w:val="000000" w:themeColor="text1"/>
          <w:szCs w:val="16"/>
        </w:rPr>
        <w:lastRenderedPageBreak/>
        <w:t xml:space="preserve">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2A941723" w14:textId="77777777" w:rsidR="00B51038" w:rsidRPr="00B51038" w:rsidRDefault="006279F2" w:rsidP="00155DFD">
      <w:pPr>
        <w:pStyle w:val="ListParagraph"/>
        <w:numPr>
          <w:ilvl w:val="0"/>
          <w:numId w:val="19"/>
        </w:numPr>
        <w:rPr>
          <w:rFonts w:cs="Arial"/>
          <w:color w:val="000000" w:themeColor="text1"/>
          <w:szCs w:val="16"/>
        </w:rPr>
      </w:pPr>
      <w:r w:rsidRPr="00B51038">
        <w:rPr>
          <w:rFonts w:cs="Arial"/>
          <w:color w:val="000000" w:themeColor="text1"/>
          <w:szCs w:val="16"/>
        </w:rPr>
        <w:t>The rates of suspensions and expulsions for children with IEPs among LEAs within the State; or</w:t>
      </w:r>
    </w:p>
    <w:p w14:paraId="671599A1" w14:textId="2FF6CFF1" w:rsidR="00636061" w:rsidRPr="00B51038" w:rsidRDefault="006279F2" w:rsidP="00155DFD">
      <w:pPr>
        <w:pStyle w:val="ListParagraph"/>
        <w:numPr>
          <w:ilvl w:val="0"/>
          <w:numId w:val="19"/>
        </w:numPr>
        <w:rPr>
          <w:rFonts w:cs="Arial"/>
          <w:color w:val="000000" w:themeColor="text1"/>
          <w:szCs w:val="16"/>
        </w:rPr>
      </w:pPr>
      <w:r w:rsidRPr="00B51038">
        <w:rPr>
          <w:rFonts w:cs="Arial"/>
          <w:color w:val="000000" w:themeColor="text1"/>
          <w:szCs w:val="16"/>
        </w:rPr>
        <w:t>The rates of suspensions and expulsions for children with IEPs to nondisabled children within the LEAs</w:t>
      </w:r>
    </w:p>
    <w:p w14:paraId="64CB6014" w14:textId="58F4D965" w:rsidR="00636061" w:rsidRPr="00781112" w:rsidRDefault="00636061" w:rsidP="00B51038">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77777777" w:rsidR="004F019B" w:rsidRPr="00781112" w:rsidRDefault="004F019B" w:rsidP="00B51038">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2CD8E267" w14:textId="0424A1C2" w:rsidR="00636061" w:rsidRPr="00781112" w:rsidRDefault="00636061" w:rsidP="00B51038">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67F0139" w:rsidR="00636061" w:rsidRPr="00781112" w:rsidRDefault="00636061" w:rsidP="00B51038">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6D645554" w14:textId="77E586A8" w:rsidR="00636061" w:rsidRPr="00781112" w:rsidRDefault="00636061" w:rsidP="00B51038">
      <w:pPr>
        <w:rPr>
          <w:rFonts w:cs="Arial"/>
          <w:color w:val="000000" w:themeColor="text1"/>
          <w:szCs w:val="16"/>
        </w:rPr>
      </w:pPr>
      <w:r w:rsidRPr="00781112">
        <w:rPr>
          <w:rFonts w:cs="Arial"/>
          <w:color w:val="000000" w:themeColor="text1"/>
          <w:szCs w:val="16"/>
        </w:rPr>
        <w:t>If</w:t>
      </w:r>
      <w:r w:rsidR="00867A00">
        <w:rPr>
          <w:rFonts w:cs="Arial"/>
          <w:color w:val="000000" w:themeColor="text1"/>
          <w:szCs w:val="16"/>
        </w:rPr>
        <w:t xml:space="preserve"> </w:t>
      </w:r>
      <w:r w:rsidRPr="00781112">
        <w:rPr>
          <w:rFonts w:cs="Arial"/>
          <w:color w:val="000000" w:themeColor="text1"/>
          <w:szCs w:val="16"/>
        </w:rPr>
        <w:t>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7DF00914" w:rsidR="00636061" w:rsidRPr="00781112" w:rsidRDefault="00A14B5D" w:rsidP="00B51038">
      <w:pPr>
        <w:rPr>
          <w:rFonts w:cs="Arial"/>
          <w:color w:val="000000" w:themeColor="text1"/>
          <w:szCs w:val="16"/>
        </w:rPr>
      </w:pPr>
      <w:r w:rsidRPr="00781112">
        <w:rPr>
          <w:rFonts w:cs="Arial"/>
          <w:color w:val="000000" w:themeColor="text1"/>
          <w:szCs w:val="16"/>
        </w:rPr>
        <w:lastRenderedPageBreak/>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6100ED" w14:textId="6483EA1E" w:rsidR="006E5AE4" w:rsidRPr="00781112" w:rsidRDefault="00697434" w:rsidP="00B51038">
      <w:pPr>
        <w:pStyle w:val="Heading3"/>
      </w:pPr>
      <w:bookmarkStart w:id="24" w:name="_Toc384383332"/>
      <w:bookmarkStart w:id="25" w:name="_Toc392159284"/>
      <w:bookmarkEnd w:id="22"/>
      <w:bookmarkEnd w:id="23"/>
      <w:r w:rsidRPr="00781112">
        <w:t>4A</w:t>
      </w:r>
      <w:r w:rsidR="00DA3C7A" w:rsidRPr="00781112">
        <w:t xml:space="preserve"> </w:t>
      </w:r>
      <w:r w:rsidRPr="00781112">
        <w:t xml:space="preserve">- </w:t>
      </w:r>
      <w:r w:rsidR="006E5AE4" w:rsidRPr="00781112">
        <w:t>Indicator Data</w:t>
      </w:r>
    </w:p>
    <w:p w14:paraId="4E76A356" w14:textId="5102658B" w:rsidR="00EC46E4" w:rsidRPr="00781112" w:rsidRDefault="00EC46E4" w:rsidP="00815ACE">
      <w:pPr>
        <w:pStyle w:val="Caption"/>
      </w:pPr>
      <w:r w:rsidRPr="00781112">
        <w:t>Historical Data</w:t>
      </w:r>
      <w:r w:rsidR="0097256F">
        <w:t xml:space="preserve"> (4A)</w:t>
      </w:r>
    </w:p>
    <w:tbl>
      <w:tblPr>
        <w:tblStyle w:val="TableGrid"/>
        <w:tblW w:w="0" w:type="auto"/>
        <w:tblLook w:val="04A0" w:firstRow="1" w:lastRow="0" w:firstColumn="1" w:lastColumn="0" w:noHBand="0" w:noVBand="1"/>
        <w:tblDescription w:val="Table provides baseline year and baseline data for this indicator."/>
      </w:tblPr>
      <w:tblGrid>
        <w:gridCol w:w="2562"/>
        <w:gridCol w:w="2563"/>
      </w:tblGrid>
      <w:tr w:rsidR="002B6965" w:rsidRPr="00781112" w14:paraId="5B1BF1C8" w14:textId="77777777" w:rsidTr="00B51038">
        <w:trPr>
          <w:trHeight w:val="432"/>
          <w:tblHeader/>
        </w:trPr>
        <w:tc>
          <w:tcPr>
            <w:tcW w:w="2562" w:type="dxa"/>
            <w:shd w:val="clear" w:color="auto" w:fill="D9D9D9" w:themeFill="background1" w:themeFillShade="D9"/>
            <w:vAlign w:val="center"/>
          </w:tcPr>
          <w:p w14:paraId="3EC58E83" w14:textId="77777777" w:rsidR="002B6965" w:rsidRPr="00781112" w:rsidRDefault="002B6965" w:rsidP="00B51038">
            <w:pPr>
              <w:spacing w:after="0" w:line="276" w:lineRule="auto"/>
              <w:jc w:val="center"/>
              <w:rPr>
                <w:b/>
                <w:color w:val="000000" w:themeColor="text1"/>
              </w:rPr>
            </w:pPr>
            <w:r w:rsidRPr="00781112">
              <w:rPr>
                <w:rFonts w:cs="Arial"/>
                <w:b/>
                <w:color w:val="000000" w:themeColor="text1"/>
                <w:szCs w:val="16"/>
              </w:rPr>
              <w:t>Baseline Year</w:t>
            </w:r>
          </w:p>
        </w:tc>
        <w:tc>
          <w:tcPr>
            <w:tcW w:w="2563" w:type="dxa"/>
            <w:shd w:val="clear" w:color="auto" w:fill="D9D9D9" w:themeFill="background1" w:themeFillShade="D9"/>
            <w:vAlign w:val="center"/>
          </w:tcPr>
          <w:p w14:paraId="3BF90404" w14:textId="77777777" w:rsidR="002B6965" w:rsidRPr="00781112" w:rsidRDefault="002B6965" w:rsidP="00B51038">
            <w:pPr>
              <w:spacing w:after="0" w:line="276" w:lineRule="auto"/>
              <w:jc w:val="center"/>
              <w:rPr>
                <w:b/>
                <w:color w:val="000000" w:themeColor="text1"/>
              </w:rPr>
            </w:pPr>
            <w:r w:rsidRPr="00781112">
              <w:rPr>
                <w:b/>
                <w:color w:val="000000" w:themeColor="text1"/>
              </w:rPr>
              <w:t>Baseline Data</w:t>
            </w:r>
          </w:p>
        </w:tc>
      </w:tr>
      <w:tr w:rsidR="002B6965" w:rsidRPr="00781112" w14:paraId="5EF83473" w14:textId="77777777" w:rsidTr="00B51038">
        <w:trPr>
          <w:trHeight w:val="432"/>
        </w:trPr>
        <w:tc>
          <w:tcPr>
            <w:tcW w:w="2562" w:type="dxa"/>
            <w:vAlign w:val="center"/>
          </w:tcPr>
          <w:p w14:paraId="5A1767D0" w14:textId="7AC9A457" w:rsidR="002B6965" w:rsidRPr="00781112" w:rsidRDefault="002B6965" w:rsidP="00B51038">
            <w:pPr>
              <w:spacing w:after="0" w:line="276" w:lineRule="auto"/>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B51038">
            <w:pPr>
              <w:spacing w:after="0" w:line="276" w:lineRule="auto"/>
              <w:jc w:val="center"/>
              <w:rPr>
                <w:b/>
                <w:color w:val="000000" w:themeColor="text1"/>
              </w:rPr>
            </w:pPr>
            <w:r w:rsidRPr="00781112">
              <w:rPr>
                <w:rFonts w:cs="Arial"/>
                <w:color w:val="000000" w:themeColor="text1"/>
                <w:szCs w:val="16"/>
              </w:rPr>
              <w:t>46.34%</w:t>
            </w:r>
          </w:p>
        </w:tc>
      </w:tr>
    </w:tbl>
    <w:p w14:paraId="3A410B3F" w14:textId="47E08A72" w:rsidR="00B51038" w:rsidRPr="00781112" w:rsidRDefault="00B51038" w:rsidP="00815ACE">
      <w:pPr>
        <w:pStyle w:val="Caption"/>
      </w:pPr>
      <w:r w:rsidRPr="00572E2A">
        <w:t>Historical Data</w:t>
      </w:r>
      <w:r w:rsidR="004F0EE5" w:rsidRPr="00572E2A">
        <w:t xml:space="preserve"> (FFY)</w:t>
      </w:r>
      <w:r w:rsidR="0097256F">
        <w:t xml:space="preserve"> (4A)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2DAF49AB" w14:textId="32F9B748" w:rsidTr="00B51038">
        <w:trPr>
          <w:trHeight w:val="432"/>
        </w:trPr>
        <w:tc>
          <w:tcPr>
            <w:tcW w:w="833" w:type="pct"/>
            <w:tcBorders>
              <w:bottom w:val="single" w:sz="4" w:space="0" w:color="auto"/>
            </w:tcBorders>
            <w:shd w:val="clear" w:color="auto" w:fill="D9D9D9" w:themeFill="background1" w:themeFillShade="D9"/>
            <w:vAlign w:val="center"/>
          </w:tcPr>
          <w:p w14:paraId="7844FE4C" w14:textId="77777777" w:rsidR="00E4112E" w:rsidRPr="00781112" w:rsidRDefault="00E4112E" w:rsidP="006D0DC2">
            <w:pPr>
              <w:spacing w:after="0"/>
              <w:jc w:val="center"/>
              <w:rPr>
                <w:b/>
                <w:color w:val="000000" w:themeColor="text1"/>
              </w:rPr>
            </w:pPr>
            <w:r w:rsidRPr="00781112">
              <w:rPr>
                <w:b/>
                <w:color w:val="000000" w:themeColor="text1"/>
              </w:rPr>
              <w:t>FFY</w:t>
            </w:r>
          </w:p>
        </w:tc>
        <w:tc>
          <w:tcPr>
            <w:tcW w:w="833" w:type="pct"/>
            <w:shd w:val="clear" w:color="auto" w:fill="D9D9D9" w:themeFill="background1" w:themeFillShade="D9"/>
            <w:vAlign w:val="center"/>
          </w:tcPr>
          <w:p w14:paraId="09DCA0E6" w14:textId="614607D6" w:rsidR="00E4112E" w:rsidRPr="00781112" w:rsidRDefault="002B7490" w:rsidP="00B51038">
            <w:pPr>
              <w:spacing w:after="0"/>
              <w:jc w:val="center"/>
              <w:rPr>
                <w:b/>
                <w:color w:val="000000" w:themeColor="text1"/>
              </w:rPr>
            </w:pPr>
            <w:r w:rsidRPr="00781112">
              <w:rPr>
                <w:b/>
                <w:color w:val="000000" w:themeColor="text1"/>
              </w:rPr>
              <w:t>2015</w:t>
            </w:r>
          </w:p>
        </w:tc>
        <w:tc>
          <w:tcPr>
            <w:tcW w:w="833" w:type="pct"/>
            <w:shd w:val="clear" w:color="auto" w:fill="D9D9D9" w:themeFill="background1" w:themeFillShade="D9"/>
            <w:vAlign w:val="center"/>
          </w:tcPr>
          <w:p w14:paraId="7015519F" w14:textId="3BECE8C5" w:rsidR="00E4112E" w:rsidRPr="00781112" w:rsidRDefault="002B7490" w:rsidP="00B51038">
            <w:pPr>
              <w:spacing w:after="0"/>
              <w:jc w:val="center"/>
              <w:rPr>
                <w:b/>
                <w:color w:val="000000" w:themeColor="text1"/>
              </w:rPr>
            </w:pPr>
            <w:r w:rsidRPr="00781112">
              <w:rPr>
                <w:b/>
                <w:color w:val="000000" w:themeColor="text1"/>
              </w:rPr>
              <w:t>2016</w:t>
            </w:r>
          </w:p>
        </w:tc>
        <w:tc>
          <w:tcPr>
            <w:tcW w:w="833" w:type="pct"/>
            <w:shd w:val="clear" w:color="auto" w:fill="D9D9D9" w:themeFill="background1" w:themeFillShade="D9"/>
            <w:vAlign w:val="center"/>
          </w:tcPr>
          <w:p w14:paraId="7CE93832" w14:textId="3E179BB5" w:rsidR="00E4112E" w:rsidRPr="00781112" w:rsidRDefault="002B7490" w:rsidP="00B51038">
            <w:pPr>
              <w:spacing w:after="0"/>
              <w:jc w:val="center"/>
              <w:rPr>
                <w:b/>
                <w:color w:val="000000" w:themeColor="text1"/>
              </w:rPr>
            </w:pPr>
            <w:r w:rsidRPr="00781112">
              <w:rPr>
                <w:b/>
                <w:color w:val="000000" w:themeColor="text1"/>
              </w:rPr>
              <w:t>2017</w:t>
            </w:r>
          </w:p>
        </w:tc>
        <w:tc>
          <w:tcPr>
            <w:tcW w:w="833" w:type="pct"/>
            <w:shd w:val="clear" w:color="auto" w:fill="D9D9D9" w:themeFill="background1" w:themeFillShade="D9"/>
            <w:vAlign w:val="center"/>
          </w:tcPr>
          <w:p w14:paraId="1A1DC4B0" w14:textId="32B92E1C" w:rsidR="00E4112E" w:rsidRPr="00781112" w:rsidRDefault="002B7490" w:rsidP="00B51038">
            <w:pPr>
              <w:spacing w:after="0"/>
              <w:jc w:val="center"/>
              <w:rPr>
                <w:b/>
                <w:color w:val="000000" w:themeColor="text1"/>
              </w:rPr>
            </w:pPr>
            <w:r w:rsidRPr="00781112">
              <w:rPr>
                <w:b/>
                <w:color w:val="000000" w:themeColor="text1"/>
              </w:rPr>
              <w:t>2018</w:t>
            </w:r>
          </w:p>
        </w:tc>
        <w:tc>
          <w:tcPr>
            <w:tcW w:w="834" w:type="pct"/>
            <w:shd w:val="clear" w:color="auto" w:fill="D9D9D9" w:themeFill="background1" w:themeFillShade="D9"/>
            <w:vAlign w:val="center"/>
          </w:tcPr>
          <w:p w14:paraId="030F446C" w14:textId="279E0CA2" w:rsidR="00E4112E" w:rsidRPr="00781112" w:rsidRDefault="002B7490" w:rsidP="00B51038">
            <w:pPr>
              <w:spacing w:after="0"/>
              <w:jc w:val="center"/>
              <w:rPr>
                <w:b/>
                <w:color w:val="000000" w:themeColor="text1"/>
              </w:rPr>
            </w:pPr>
            <w:r w:rsidRPr="00781112">
              <w:rPr>
                <w:b/>
                <w:color w:val="000000" w:themeColor="text1"/>
              </w:rPr>
              <w:t>2019</w:t>
            </w:r>
          </w:p>
        </w:tc>
      </w:tr>
      <w:tr w:rsidR="005C29F8" w:rsidRPr="00781112" w14:paraId="166D6AFF" w14:textId="0C956946" w:rsidTr="00B51038">
        <w:trPr>
          <w:trHeight w:val="432"/>
        </w:trPr>
        <w:tc>
          <w:tcPr>
            <w:tcW w:w="833" w:type="pct"/>
            <w:shd w:val="clear" w:color="auto" w:fill="auto"/>
            <w:vAlign w:val="center"/>
          </w:tcPr>
          <w:p w14:paraId="38AA0076" w14:textId="731BFD6B" w:rsidR="00BB7BC9" w:rsidRPr="00781112" w:rsidRDefault="00BB7BC9" w:rsidP="006D0DC2">
            <w:pPr>
              <w:spacing w:after="0"/>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B51038">
        <w:trPr>
          <w:trHeight w:val="432"/>
        </w:trPr>
        <w:tc>
          <w:tcPr>
            <w:tcW w:w="833" w:type="pct"/>
            <w:shd w:val="clear" w:color="auto" w:fill="auto"/>
            <w:vAlign w:val="center"/>
          </w:tcPr>
          <w:p w14:paraId="7EAE8715" w14:textId="77777777" w:rsidR="00BB7BC9" w:rsidRPr="00781112" w:rsidRDefault="00BB7BC9" w:rsidP="006D0DC2">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33.33%</w:t>
            </w:r>
          </w:p>
        </w:tc>
        <w:tc>
          <w:tcPr>
            <w:tcW w:w="833" w:type="pct"/>
            <w:shd w:val="clear" w:color="auto" w:fill="auto"/>
            <w:vAlign w:val="center"/>
          </w:tcPr>
          <w:p w14:paraId="6040C16E" w14:textId="1898F821"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46.34%</w:t>
            </w:r>
          </w:p>
        </w:tc>
        <w:tc>
          <w:tcPr>
            <w:tcW w:w="833" w:type="pct"/>
            <w:tcBorders>
              <w:bottom w:val="single" w:sz="4" w:space="0" w:color="auto"/>
            </w:tcBorders>
            <w:shd w:val="clear" w:color="auto" w:fill="auto"/>
            <w:vAlign w:val="center"/>
          </w:tcPr>
          <w:p w14:paraId="2F4988E8" w14:textId="56ECA0F8"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39.13%</w:t>
            </w:r>
          </w:p>
        </w:tc>
        <w:tc>
          <w:tcPr>
            <w:tcW w:w="833" w:type="pct"/>
            <w:tcBorders>
              <w:bottom w:val="single" w:sz="4" w:space="0" w:color="auto"/>
            </w:tcBorders>
            <w:shd w:val="clear" w:color="auto" w:fill="auto"/>
            <w:vAlign w:val="center"/>
          </w:tcPr>
          <w:p w14:paraId="3315EDFF" w14:textId="1943A2C3"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49.37%</w:t>
            </w:r>
          </w:p>
        </w:tc>
        <w:tc>
          <w:tcPr>
            <w:tcW w:w="834" w:type="pct"/>
            <w:tcBorders>
              <w:bottom w:val="single" w:sz="4" w:space="0" w:color="auto"/>
            </w:tcBorders>
            <w:shd w:val="clear" w:color="auto" w:fill="auto"/>
            <w:vAlign w:val="center"/>
          </w:tcPr>
          <w:p w14:paraId="6B580E93" w14:textId="6155D799" w:rsidR="00BB7BC9" w:rsidRPr="00781112" w:rsidRDefault="002B7490" w:rsidP="00B51038">
            <w:pPr>
              <w:spacing w:after="0"/>
              <w:jc w:val="center"/>
              <w:rPr>
                <w:rFonts w:cs="Arial"/>
                <w:color w:val="000000" w:themeColor="text1"/>
                <w:szCs w:val="16"/>
              </w:rPr>
            </w:pPr>
            <w:r w:rsidRPr="00781112">
              <w:rPr>
                <w:rFonts w:cs="Arial"/>
                <w:color w:val="000000" w:themeColor="text1"/>
                <w:szCs w:val="16"/>
              </w:rPr>
              <w:t>41.57%</w:t>
            </w:r>
          </w:p>
        </w:tc>
      </w:tr>
    </w:tbl>
    <w:p w14:paraId="4841771C" w14:textId="461612DC" w:rsidR="00ED5FCE" w:rsidRPr="00781112" w:rsidRDefault="00ED5FCE" w:rsidP="00815ACE">
      <w:pPr>
        <w:pStyle w:val="Caption"/>
      </w:pPr>
      <w:r w:rsidRPr="00781112">
        <w:t>Targets</w:t>
      </w:r>
      <w:r w:rsidR="0097256F">
        <w:t xml:space="preserve"> (4A)</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targets for federal fiscal years 2020-2025 for this indicator."/>
      </w:tblPr>
      <w:tblGrid>
        <w:gridCol w:w="1607"/>
        <w:gridCol w:w="1483"/>
        <w:gridCol w:w="1483"/>
        <w:gridCol w:w="1483"/>
        <w:gridCol w:w="1483"/>
        <w:gridCol w:w="1483"/>
        <w:gridCol w:w="1481"/>
      </w:tblGrid>
      <w:tr w:rsidR="00373F78" w:rsidRPr="00781112" w14:paraId="00255703" w14:textId="57B86D35" w:rsidTr="00226602">
        <w:trPr>
          <w:trHeight w:val="432"/>
        </w:trPr>
        <w:tc>
          <w:tcPr>
            <w:tcW w:w="765" w:type="pct"/>
            <w:tcBorders>
              <w:bottom w:val="single" w:sz="4" w:space="0" w:color="auto"/>
            </w:tcBorders>
            <w:shd w:val="clear" w:color="auto" w:fill="D9D9D9" w:themeFill="background1" w:themeFillShade="D9"/>
            <w:vAlign w:val="center"/>
          </w:tcPr>
          <w:p w14:paraId="12833EEC" w14:textId="77777777" w:rsidR="00373F78" w:rsidRPr="00781112" w:rsidRDefault="00373F78" w:rsidP="00B51038">
            <w:pPr>
              <w:spacing w:after="0"/>
              <w:jc w:val="center"/>
              <w:rPr>
                <w:b/>
                <w:color w:val="000000" w:themeColor="text1"/>
              </w:rPr>
            </w:pPr>
            <w:r w:rsidRPr="00781112">
              <w:rPr>
                <w:b/>
                <w:color w:val="000000" w:themeColor="text1"/>
              </w:rPr>
              <w:t>FFY</w:t>
            </w:r>
          </w:p>
        </w:tc>
        <w:tc>
          <w:tcPr>
            <w:tcW w:w="706" w:type="pct"/>
            <w:shd w:val="clear" w:color="auto" w:fill="D9D9D9" w:themeFill="background1" w:themeFillShade="D9"/>
            <w:vAlign w:val="center"/>
          </w:tcPr>
          <w:p w14:paraId="50119DBA" w14:textId="04DC2A77" w:rsidR="00373F78" w:rsidRPr="00781112" w:rsidRDefault="00373F78" w:rsidP="00B51038">
            <w:pPr>
              <w:spacing w:after="0"/>
              <w:jc w:val="center"/>
              <w:rPr>
                <w:b/>
                <w:color w:val="000000" w:themeColor="text1"/>
              </w:rPr>
            </w:pPr>
            <w:r w:rsidRPr="00781112">
              <w:rPr>
                <w:b/>
                <w:color w:val="000000" w:themeColor="text1"/>
              </w:rPr>
              <w:t>2020</w:t>
            </w:r>
          </w:p>
        </w:tc>
        <w:tc>
          <w:tcPr>
            <w:tcW w:w="706" w:type="pct"/>
            <w:shd w:val="clear" w:color="auto" w:fill="D9D9D9" w:themeFill="background1" w:themeFillShade="D9"/>
            <w:vAlign w:val="center"/>
          </w:tcPr>
          <w:p w14:paraId="59425E52" w14:textId="30A73A95" w:rsidR="00373F78" w:rsidRPr="00781112" w:rsidRDefault="00373F78" w:rsidP="00B51038">
            <w:pPr>
              <w:spacing w:after="0"/>
              <w:jc w:val="center"/>
              <w:rPr>
                <w:b/>
                <w:color w:val="000000" w:themeColor="text1"/>
              </w:rPr>
            </w:pPr>
            <w:r w:rsidRPr="00781112">
              <w:rPr>
                <w:rFonts w:cs="Arial"/>
                <w:b/>
                <w:color w:val="000000" w:themeColor="text1"/>
                <w:szCs w:val="16"/>
              </w:rPr>
              <w:t>2021</w:t>
            </w:r>
          </w:p>
        </w:tc>
        <w:tc>
          <w:tcPr>
            <w:tcW w:w="706" w:type="pct"/>
            <w:shd w:val="clear" w:color="auto" w:fill="D9D9D9" w:themeFill="background1" w:themeFillShade="D9"/>
            <w:vAlign w:val="center"/>
          </w:tcPr>
          <w:p w14:paraId="62296859" w14:textId="1A7F3D46" w:rsidR="00373F78" w:rsidRPr="00781112" w:rsidRDefault="00373F78" w:rsidP="00B51038">
            <w:pPr>
              <w:spacing w:after="0"/>
              <w:jc w:val="center"/>
              <w:rPr>
                <w:b/>
                <w:color w:val="000000" w:themeColor="text1"/>
              </w:rPr>
            </w:pPr>
            <w:r w:rsidRPr="00781112">
              <w:rPr>
                <w:rFonts w:cs="Arial"/>
                <w:b/>
                <w:color w:val="000000" w:themeColor="text1"/>
                <w:szCs w:val="16"/>
              </w:rPr>
              <w:t>2022</w:t>
            </w:r>
          </w:p>
        </w:tc>
        <w:tc>
          <w:tcPr>
            <w:tcW w:w="706" w:type="pct"/>
            <w:shd w:val="clear" w:color="auto" w:fill="D9D9D9" w:themeFill="background1" w:themeFillShade="D9"/>
            <w:vAlign w:val="center"/>
          </w:tcPr>
          <w:p w14:paraId="69950222" w14:textId="1E5E636C" w:rsidR="00373F78" w:rsidRPr="00781112" w:rsidRDefault="00373F78" w:rsidP="00B51038">
            <w:pPr>
              <w:spacing w:after="0"/>
              <w:jc w:val="center"/>
              <w:rPr>
                <w:b/>
                <w:color w:val="000000" w:themeColor="text1"/>
              </w:rPr>
            </w:pPr>
            <w:r w:rsidRPr="00781112">
              <w:rPr>
                <w:rFonts w:cs="Arial"/>
                <w:b/>
                <w:color w:val="000000" w:themeColor="text1"/>
                <w:szCs w:val="16"/>
              </w:rPr>
              <w:t>2023</w:t>
            </w:r>
          </w:p>
        </w:tc>
        <w:tc>
          <w:tcPr>
            <w:tcW w:w="706" w:type="pct"/>
            <w:shd w:val="clear" w:color="auto" w:fill="D9D9D9" w:themeFill="background1" w:themeFillShade="D9"/>
            <w:vAlign w:val="center"/>
          </w:tcPr>
          <w:p w14:paraId="147FD075" w14:textId="2618FA88" w:rsidR="00373F78" w:rsidRPr="00781112" w:rsidRDefault="00373F78" w:rsidP="00B51038">
            <w:pPr>
              <w:spacing w:after="0"/>
              <w:jc w:val="center"/>
              <w:rPr>
                <w:b/>
                <w:color w:val="000000" w:themeColor="text1"/>
              </w:rPr>
            </w:pPr>
            <w:r w:rsidRPr="00781112">
              <w:rPr>
                <w:rFonts w:cs="Arial"/>
                <w:b/>
                <w:color w:val="000000" w:themeColor="text1"/>
                <w:szCs w:val="16"/>
              </w:rPr>
              <w:t>2024</w:t>
            </w:r>
          </w:p>
        </w:tc>
        <w:tc>
          <w:tcPr>
            <w:tcW w:w="706" w:type="pct"/>
            <w:shd w:val="clear" w:color="auto" w:fill="D9D9D9" w:themeFill="background1" w:themeFillShade="D9"/>
            <w:vAlign w:val="center"/>
          </w:tcPr>
          <w:p w14:paraId="066CE6E2" w14:textId="274FF425" w:rsidR="00373F78" w:rsidRPr="00781112" w:rsidRDefault="00373F78" w:rsidP="00B51038">
            <w:pPr>
              <w:spacing w:after="0"/>
              <w:jc w:val="center"/>
              <w:rPr>
                <w:b/>
                <w:color w:val="000000" w:themeColor="text1"/>
              </w:rPr>
            </w:pPr>
            <w:r w:rsidRPr="00781112">
              <w:rPr>
                <w:rFonts w:cs="Arial"/>
                <w:b/>
                <w:color w:val="000000" w:themeColor="text1"/>
                <w:szCs w:val="16"/>
              </w:rPr>
              <w:t>2025</w:t>
            </w:r>
          </w:p>
        </w:tc>
      </w:tr>
      <w:tr w:rsidR="00373F78" w:rsidRPr="00781112" w14:paraId="1ACE760A" w14:textId="1AE21F6E" w:rsidTr="00226602">
        <w:trPr>
          <w:trHeight w:val="432"/>
        </w:trPr>
        <w:tc>
          <w:tcPr>
            <w:tcW w:w="765" w:type="pct"/>
            <w:shd w:val="clear" w:color="auto" w:fill="auto"/>
            <w:vAlign w:val="center"/>
          </w:tcPr>
          <w:p w14:paraId="3387B9B3" w14:textId="0ED5756F" w:rsidR="00373F78" w:rsidRPr="00781112" w:rsidRDefault="00373F78" w:rsidP="00B51038">
            <w:pPr>
              <w:spacing w:after="0"/>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706" w:type="pct"/>
            <w:shd w:val="clear" w:color="auto" w:fill="auto"/>
            <w:vAlign w:val="center"/>
          </w:tcPr>
          <w:p w14:paraId="78EBD6ED" w14:textId="4FA09BBD" w:rsidR="00373F78" w:rsidRPr="00781112" w:rsidRDefault="00373F78" w:rsidP="00B51038">
            <w:pPr>
              <w:spacing w:after="0"/>
              <w:jc w:val="center"/>
              <w:rPr>
                <w:rFonts w:cs="Arial"/>
                <w:color w:val="000000" w:themeColor="text1"/>
                <w:szCs w:val="16"/>
              </w:rPr>
            </w:pPr>
            <w:r w:rsidRPr="00781112">
              <w:rPr>
                <w:rFonts w:cs="Arial"/>
                <w:color w:val="000000" w:themeColor="text1"/>
                <w:szCs w:val="16"/>
              </w:rPr>
              <w:t>0.00%</w:t>
            </w:r>
          </w:p>
        </w:tc>
        <w:tc>
          <w:tcPr>
            <w:tcW w:w="706" w:type="pct"/>
            <w:vAlign w:val="center"/>
          </w:tcPr>
          <w:p w14:paraId="6FDC82B2" w14:textId="0C85D604" w:rsidR="00373F78" w:rsidRPr="00781112" w:rsidRDefault="00373F78" w:rsidP="00B51038">
            <w:pPr>
              <w:spacing w:after="0"/>
              <w:jc w:val="center"/>
              <w:rPr>
                <w:rFonts w:cs="Arial"/>
                <w:color w:val="000000" w:themeColor="text1"/>
                <w:szCs w:val="16"/>
              </w:rPr>
            </w:pPr>
            <w:r w:rsidRPr="00781112">
              <w:rPr>
                <w:color w:val="000000" w:themeColor="text1"/>
                <w:szCs w:val="16"/>
              </w:rPr>
              <w:t>0.00%</w:t>
            </w:r>
          </w:p>
        </w:tc>
        <w:tc>
          <w:tcPr>
            <w:tcW w:w="706" w:type="pct"/>
            <w:vAlign w:val="center"/>
          </w:tcPr>
          <w:p w14:paraId="798EC84B" w14:textId="0E47DBF4" w:rsidR="00373F78" w:rsidRPr="00781112" w:rsidRDefault="00373F78" w:rsidP="00B51038">
            <w:pPr>
              <w:spacing w:after="0"/>
              <w:jc w:val="center"/>
              <w:rPr>
                <w:rFonts w:cs="Arial"/>
                <w:color w:val="000000" w:themeColor="text1"/>
                <w:szCs w:val="16"/>
              </w:rPr>
            </w:pPr>
            <w:r w:rsidRPr="00781112">
              <w:rPr>
                <w:color w:val="000000" w:themeColor="text1"/>
                <w:szCs w:val="16"/>
              </w:rPr>
              <w:t>0.00%</w:t>
            </w:r>
          </w:p>
        </w:tc>
        <w:tc>
          <w:tcPr>
            <w:tcW w:w="706" w:type="pct"/>
            <w:vAlign w:val="center"/>
          </w:tcPr>
          <w:p w14:paraId="75A6D928" w14:textId="791A7001" w:rsidR="00373F78" w:rsidRPr="00781112" w:rsidRDefault="00373F78" w:rsidP="00B51038">
            <w:pPr>
              <w:spacing w:after="0"/>
              <w:jc w:val="center"/>
              <w:rPr>
                <w:rFonts w:cs="Arial"/>
                <w:color w:val="000000" w:themeColor="text1"/>
                <w:szCs w:val="16"/>
              </w:rPr>
            </w:pPr>
            <w:r w:rsidRPr="00781112">
              <w:rPr>
                <w:color w:val="000000" w:themeColor="text1"/>
                <w:szCs w:val="16"/>
              </w:rPr>
              <w:t>0.00%</w:t>
            </w:r>
          </w:p>
        </w:tc>
        <w:tc>
          <w:tcPr>
            <w:tcW w:w="706" w:type="pct"/>
            <w:vAlign w:val="center"/>
          </w:tcPr>
          <w:p w14:paraId="1CE5D3BC" w14:textId="661D574C" w:rsidR="00373F78" w:rsidRPr="00781112" w:rsidRDefault="00373F78" w:rsidP="00B51038">
            <w:pPr>
              <w:spacing w:after="0"/>
              <w:jc w:val="center"/>
              <w:rPr>
                <w:rFonts w:cs="Arial"/>
                <w:color w:val="000000" w:themeColor="text1"/>
                <w:szCs w:val="16"/>
              </w:rPr>
            </w:pPr>
            <w:r w:rsidRPr="00781112">
              <w:rPr>
                <w:color w:val="000000" w:themeColor="text1"/>
                <w:szCs w:val="16"/>
              </w:rPr>
              <w:t>0.00%</w:t>
            </w:r>
          </w:p>
        </w:tc>
        <w:tc>
          <w:tcPr>
            <w:tcW w:w="706" w:type="pct"/>
            <w:vAlign w:val="center"/>
          </w:tcPr>
          <w:p w14:paraId="37F8A50B" w14:textId="6CD51BE5" w:rsidR="00373F78" w:rsidRPr="00781112" w:rsidRDefault="00373F78" w:rsidP="00B51038">
            <w:pPr>
              <w:spacing w:after="0"/>
              <w:jc w:val="center"/>
              <w:rPr>
                <w:rFonts w:cs="Arial"/>
                <w:color w:val="000000" w:themeColor="text1"/>
                <w:szCs w:val="16"/>
              </w:rPr>
            </w:pPr>
            <w:r w:rsidRPr="00781112">
              <w:rPr>
                <w:color w:val="000000" w:themeColor="text1"/>
                <w:szCs w:val="16"/>
              </w:rPr>
              <w:t>0.00%</w:t>
            </w:r>
          </w:p>
        </w:tc>
      </w:tr>
    </w:tbl>
    <w:p w14:paraId="05EA20CB" w14:textId="668519E2" w:rsidR="002D145D" w:rsidRPr="00781112" w:rsidRDefault="002D145D" w:rsidP="0036581E">
      <w:pPr>
        <w:pStyle w:val="Heading4"/>
      </w:pPr>
      <w:r w:rsidRPr="00781112">
        <w:t>Targets: Description of Stakeholder Input</w:t>
      </w:r>
    </w:p>
    <w:p w14:paraId="1A2C3A7B" w14:textId="77777777" w:rsidR="00B51038" w:rsidRPr="00775BF7" w:rsidRDefault="002B7490" w:rsidP="00314F94">
      <w:pPr>
        <w:pStyle w:val="ListParagraph"/>
        <w:numPr>
          <w:ilvl w:val="0"/>
          <w:numId w:val="117"/>
        </w:numPr>
        <w:rPr>
          <w:rFonts w:cs="Arial"/>
          <w:color w:val="000000" w:themeColor="text1"/>
          <w:szCs w:val="16"/>
        </w:rPr>
      </w:pPr>
      <w:r w:rsidRPr="00775BF7">
        <w:rPr>
          <w:rFonts w:cs="Arial"/>
          <w:color w:val="000000" w:themeColor="text1"/>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650FD4D6" w14:textId="2B650995" w:rsidR="00B51038" w:rsidRDefault="002B7490" w:rsidP="004C1EC0">
      <w:pPr>
        <w:ind w:left="720"/>
        <w:rPr>
          <w:rFonts w:cs="Arial"/>
          <w:color w:val="000000" w:themeColor="text1"/>
          <w:szCs w:val="16"/>
        </w:rPr>
      </w:pPr>
      <w:r w:rsidRPr="00781112">
        <w:rPr>
          <w:rFonts w:cs="Arial"/>
          <w:color w:val="000000" w:themeColor="text1"/>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r w:rsidR="00B51038">
        <w:rPr>
          <w:rFonts w:cs="Arial"/>
          <w:color w:val="000000" w:themeColor="text1"/>
          <w:szCs w:val="16"/>
        </w:rPr>
        <w:br w:type="page"/>
      </w:r>
    </w:p>
    <w:p w14:paraId="2E616696" w14:textId="3707C835" w:rsidR="00D03701" w:rsidRPr="00781112" w:rsidRDefault="00F6415A" w:rsidP="0036581E">
      <w:pPr>
        <w:pStyle w:val="Heading4"/>
      </w:pPr>
      <w:r w:rsidRPr="00781112">
        <w:lastRenderedPageBreak/>
        <w:t>FFY 2020 SPP/APR Data</w:t>
      </w:r>
      <w:bookmarkEnd w:id="24"/>
      <w:bookmarkEnd w:id="25"/>
    </w:p>
    <w:p w14:paraId="01DBD317" w14:textId="57913AA7" w:rsidR="009B02BC" w:rsidRPr="00781112" w:rsidRDefault="009B02BC" w:rsidP="00B51038">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47CFA8AF" w:rsidR="009B02BC" w:rsidRPr="00775BF7" w:rsidRDefault="003D75CB" w:rsidP="00314F94">
      <w:pPr>
        <w:pStyle w:val="ListParagraph"/>
        <w:numPr>
          <w:ilvl w:val="0"/>
          <w:numId w:val="118"/>
        </w:numPr>
        <w:rPr>
          <w:rFonts w:cs="Arial"/>
          <w:color w:val="000000" w:themeColor="text1"/>
          <w:szCs w:val="16"/>
        </w:rPr>
      </w:pPr>
      <w:r w:rsidRPr="00775BF7">
        <w:rPr>
          <w:rFonts w:cs="Arial"/>
          <w:color w:val="000000" w:themeColor="text1"/>
          <w:szCs w:val="16"/>
        </w:rPr>
        <w:t>Yes</w:t>
      </w:r>
    </w:p>
    <w:p w14:paraId="1DB615CF" w14:textId="2B2BB733" w:rsidR="009B02BC" w:rsidRPr="00781112" w:rsidRDefault="009B02BC" w:rsidP="00B51038">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LEAs that met the State-established n/cell size. Report the number of LEAs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5F36FA89" w14:textId="7B8DA8B5" w:rsidR="009B02BC" w:rsidRPr="00775BF7" w:rsidRDefault="009B02BC" w:rsidP="00314F94">
      <w:pPr>
        <w:pStyle w:val="ListParagraph"/>
        <w:numPr>
          <w:ilvl w:val="0"/>
          <w:numId w:val="119"/>
        </w:numPr>
        <w:rPr>
          <w:rFonts w:cs="Arial"/>
          <w:color w:val="000000" w:themeColor="text1"/>
          <w:szCs w:val="16"/>
        </w:rPr>
      </w:pPr>
      <w:r w:rsidRPr="00775BF7">
        <w:rPr>
          <w:rFonts w:cs="Arial"/>
          <w:color w:val="000000" w:themeColor="text1"/>
          <w:szCs w:val="16"/>
        </w:rPr>
        <w:t>94</w:t>
      </w:r>
    </w:p>
    <w:p w14:paraId="3BD6C84F" w14:textId="12627DD2" w:rsidR="00FE7050" w:rsidRPr="00781112" w:rsidRDefault="00C578AE" w:rsidP="00815ACE">
      <w:pPr>
        <w:pStyle w:val="Caption"/>
      </w:pPr>
      <w:r w:rsidRPr="00781112">
        <w:t>FFY 2020 SPP/APR Data</w:t>
      </w:r>
      <w:r>
        <w:t xml:space="preserve"> (4A)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1705"/>
        <w:gridCol w:w="1981"/>
        <w:gridCol w:w="1351"/>
        <w:gridCol w:w="1530"/>
        <w:gridCol w:w="1260"/>
        <w:gridCol w:w="1439"/>
        <w:gridCol w:w="1524"/>
      </w:tblGrid>
      <w:tr w:rsidR="005C29F8" w:rsidRPr="00781112" w14:paraId="25961F2E" w14:textId="5D241BED" w:rsidTr="00FE7050">
        <w:trPr>
          <w:trHeight w:val="994"/>
          <w:jc w:val="center"/>
        </w:trPr>
        <w:tc>
          <w:tcPr>
            <w:tcW w:w="790" w:type="pct"/>
            <w:shd w:val="clear" w:color="auto" w:fill="D9D9D9" w:themeFill="background1" w:themeFillShade="D9"/>
            <w:vAlign w:val="center"/>
          </w:tcPr>
          <w:p w14:paraId="1D711F21" w14:textId="471FE8E2" w:rsidR="001D6A0A" w:rsidRPr="00781112" w:rsidRDefault="001D6A0A" w:rsidP="00FE7050">
            <w:pPr>
              <w:spacing w:after="0"/>
              <w:jc w:val="center"/>
              <w:rPr>
                <w:rFonts w:cs="Arial"/>
                <w:b/>
                <w:color w:val="000000" w:themeColor="text1"/>
                <w:szCs w:val="16"/>
              </w:rPr>
            </w:pPr>
            <w:r w:rsidRPr="00781112">
              <w:rPr>
                <w:rFonts w:cs="Arial"/>
                <w:b/>
                <w:color w:val="000000" w:themeColor="text1"/>
                <w:szCs w:val="16"/>
              </w:rPr>
              <w:t>Number of LEAs that have a significant discrepancy</w:t>
            </w:r>
          </w:p>
        </w:tc>
        <w:tc>
          <w:tcPr>
            <w:tcW w:w="918" w:type="pct"/>
            <w:shd w:val="clear" w:color="auto" w:fill="D9D9D9" w:themeFill="background1" w:themeFillShade="D9"/>
            <w:vAlign w:val="center"/>
          </w:tcPr>
          <w:p w14:paraId="196C509D" w14:textId="54B65E72" w:rsidR="001D6A0A" w:rsidRPr="00781112" w:rsidRDefault="00C9488E" w:rsidP="00FE7050">
            <w:pPr>
              <w:spacing w:after="0"/>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626" w:type="pct"/>
            <w:shd w:val="clear" w:color="auto" w:fill="D9D9D9" w:themeFill="background1" w:themeFillShade="D9"/>
            <w:vAlign w:val="center"/>
          </w:tcPr>
          <w:p w14:paraId="20C8255F" w14:textId="1BB42612" w:rsidR="001D6A0A" w:rsidRPr="00781112" w:rsidRDefault="00F6415A" w:rsidP="00FE7050">
            <w:pPr>
              <w:spacing w:after="0"/>
              <w:jc w:val="center"/>
              <w:rPr>
                <w:rFonts w:cs="Arial"/>
                <w:b/>
                <w:color w:val="000000" w:themeColor="text1"/>
                <w:szCs w:val="16"/>
              </w:rPr>
            </w:pPr>
            <w:r w:rsidRPr="00781112">
              <w:rPr>
                <w:rFonts w:cs="Arial"/>
                <w:b/>
                <w:color w:val="000000" w:themeColor="text1"/>
                <w:szCs w:val="16"/>
              </w:rPr>
              <w:t>FFY 2019 Data</w:t>
            </w:r>
          </w:p>
        </w:tc>
        <w:tc>
          <w:tcPr>
            <w:tcW w:w="709" w:type="pct"/>
            <w:shd w:val="clear" w:color="auto" w:fill="D9D9D9" w:themeFill="background1" w:themeFillShade="D9"/>
            <w:vAlign w:val="center"/>
          </w:tcPr>
          <w:p w14:paraId="2298BC2C" w14:textId="69254E16" w:rsidR="001D6A0A" w:rsidRPr="00781112" w:rsidRDefault="00F6415A" w:rsidP="00FE7050">
            <w:pPr>
              <w:spacing w:after="0"/>
              <w:jc w:val="center"/>
              <w:rPr>
                <w:rFonts w:cs="Arial"/>
                <w:b/>
                <w:color w:val="000000" w:themeColor="text1"/>
                <w:szCs w:val="16"/>
              </w:rPr>
            </w:pPr>
            <w:r w:rsidRPr="00781112">
              <w:rPr>
                <w:rFonts w:cs="Arial"/>
                <w:b/>
                <w:color w:val="000000" w:themeColor="text1"/>
                <w:szCs w:val="16"/>
              </w:rPr>
              <w:t>FFY 2020 Target</w:t>
            </w:r>
          </w:p>
        </w:tc>
        <w:tc>
          <w:tcPr>
            <w:tcW w:w="584" w:type="pct"/>
            <w:shd w:val="clear" w:color="auto" w:fill="D9D9D9" w:themeFill="background1" w:themeFillShade="D9"/>
            <w:vAlign w:val="center"/>
          </w:tcPr>
          <w:p w14:paraId="3E9B682A" w14:textId="5731A21E" w:rsidR="001D6A0A" w:rsidRPr="00781112" w:rsidRDefault="00F6415A" w:rsidP="00FE7050">
            <w:pPr>
              <w:spacing w:after="0"/>
              <w:jc w:val="center"/>
              <w:rPr>
                <w:rFonts w:cs="Arial"/>
                <w:b/>
                <w:color w:val="000000" w:themeColor="text1"/>
                <w:szCs w:val="16"/>
              </w:rPr>
            </w:pPr>
            <w:r w:rsidRPr="00781112">
              <w:rPr>
                <w:rFonts w:cs="Arial"/>
                <w:b/>
                <w:color w:val="000000" w:themeColor="text1"/>
                <w:szCs w:val="16"/>
              </w:rPr>
              <w:t>FFY 2020 Data</w:t>
            </w:r>
          </w:p>
        </w:tc>
        <w:tc>
          <w:tcPr>
            <w:tcW w:w="667" w:type="pct"/>
            <w:shd w:val="clear" w:color="auto" w:fill="D9D9D9" w:themeFill="background1" w:themeFillShade="D9"/>
            <w:vAlign w:val="center"/>
          </w:tcPr>
          <w:p w14:paraId="7B5A071B" w14:textId="6C45C0BB" w:rsidR="001D6A0A" w:rsidRPr="00781112" w:rsidRDefault="001D6A0A" w:rsidP="00FE7050">
            <w:pPr>
              <w:spacing w:after="0"/>
              <w:jc w:val="center"/>
              <w:rPr>
                <w:rFonts w:cs="Arial"/>
                <w:b/>
                <w:color w:val="000000" w:themeColor="text1"/>
                <w:szCs w:val="16"/>
              </w:rPr>
            </w:pPr>
            <w:r w:rsidRPr="00781112">
              <w:rPr>
                <w:rFonts w:cs="Arial"/>
                <w:b/>
                <w:color w:val="000000" w:themeColor="text1"/>
                <w:szCs w:val="16"/>
              </w:rPr>
              <w:t>Status</w:t>
            </w:r>
          </w:p>
        </w:tc>
        <w:tc>
          <w:tcPr>
            <w:tcW w:w="706" w:type="pct"/>
            <w:shd w:val="clear" w:color="auto" w:fill="D9D9D9" w:themeFill="background1" w:themeFillShade="D9"/>
            <w:vAlign w:val="center"/>
          </w:tcPr>
          <w:p w14:paraId="4D50491C" w14:textId="7F184394" w:rsidR="001D6A0A" w:rsidRPr="00781112" w:rsidRDefault="001D6A0A" w:rsidP="00FE7050">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FE7050">
        <w:trPr>
          <w:trHeight w:val="710"/>
          <w:jc w:val="center"/>
        </w:trPr>
        <w:tc>
          <w:tcPr>
            <w:tcW w:w="790" w:type="pct"/>
            <w:shd w:val="clear" w:color="auto" w:fill="auto"/>
            <w:vAlign w:val="center"/>
          </w:tcPr>
          <w:p w14:paraId="0B36F15E" w14:textId="239D7181" w:rsidR="00A862C3" w:rsidRPr="00781112" w:rsidRDefault="002B7490" w:rsidP="00FE7050">
            <w:pPr>
              <w:spacing w:after="0"/>
              <w:jc w:val="center"/>
              <w:rPr>
                <w:rFonts w:cs="Arial"/>
                <w:color w:val="000000" w:themeColor="text1"/>
                <w:szCs w:val="16"/>
              </w:rPr>
            </w:pPr>
            <w:r w:rsidRPr="00781112">
              <w:rPr>
                <w:rFonts w:cs="Arial"/>
                <w:color w:val="000000" w:themeColor="text1"/>
                <w:szCs w:val="16"/>
              </w:rPr>
              <w:t>28</w:t>
            </w:r>
          </w:p>
        </w:tc>
        <w:tc>
          <w:tcPr>
            <w:tcW w:w="918" w:type="pct"/>
            <w:shd w:val="clear" w:color="auto" w:fill="auto"/>
            <w:vAlign w:val="center"/>
          </w:tcPr>
          <w:p w14:paraId="77E03427" w14:textId="31D4B2F4" w:rsidR="00A862C3" w:rsidRPr="00781112" w:rsidRDefault="002B7490" w:rsidP="00FE7050">
            <w:pPr>
              <w:spacing w:after="0"/>
              <w:jc w:val="center"/>
              <w:rPr>
                <w:rFonts w:cs="Arial"/>
                <w:color w:val="000000" w:themeColor="text1"/>
                <w:szCs w:val="16"/>
              </w:rPr>
            </w:pPr>
            <w:r w:rsidRPr="00781112">
              <w:rPr>
                <w:rFonts w:cs="Arial"/>
                <w:color w:val="000000" w:themeColor="text1"/>
                <w:szCs w:val="16"/>
              </w:rPr>
              <w:t>38</w:t>
            </w:r>
          </w:p>
        </w:tc>
        <w:tc>
          <w:tcPr>
            <w:tcW w:w="626" w:type="pct"/>
            <w:shd w:val="clear" w:color="auto" w:fill="auto"/>
            <w:vAlign w:val="center"/>
          </w:tcPr>
          <w:p w14:paraId="12EAED8C" w14:textId="23973C25" w:rsidR="00A862C3" w:rsidRPr="00781112" w:rsidRDefault="002B7490" w:rsidP="00FE7050">
            <w:pPr>
              <w:spacing w:after="0"/>
              <w:jc w:val="center"/>
              <w:rPr>
                <w:rFonts w:cs="Arial"/>
                <w:color w:val="000000" w:themeColor="text1"/>
                <w:szCs w:val="16"/>
              </w:rPr>
            </w:pPr>
            <w:r w:rsidRPr="00781112">
              <w:rPr>
                <w:rFonts w:cs="Arial"/>
                <w:color w:val="000000" w:themeColor="text1"/>
                <w:szCs w:val="16"/>
              </w:rPr>
              <w:t>41.57%</w:t>
            </w:r>
          </w:p>
        </w:tc>
        <w:tc>
          <w:tcPr>
            <w:tcW w:w="709" w:type="pct"/>
            <w:shd w:val="clear" w:color="auto" w:fill="auto"/>
            <w:vAlign w:val="center"/>
          </w:tcPr>
          <w:p w14:paraId="0310AC78" w14:textId="48F7D944" w:rsidR="00A862C3" w:rsidRPr="00781112" w:rsidRDefault="002B7490" w:rsidP="00FE7050">
            <w:pPr>
              <w:spacing w:after="0"/>
              <w:jc w:val="center"/>
              <w:rPr>
                <w:rFonts w:cs="Arial"/>
                <w:color w:val="000000" w:themeColor="text1"/>
                <w:szCs w:val="16"/>
              </w:rPr>
            </w:pPr>
            <w:r w:rsidRPr="00781112">
              <w:rPr>
                <w:rFonts w:cs="Arial"/>
                <w:color w:val="000000" w:themeColor="text1"/>
                <w:szCs w:val="16"/>
              </w:rPr>
              <w:t>0.00%</w:t>
            </w:r>
          </w:p>
        </w:tc>
        <w:tc>
          <w:tcPr>
            <w:tcW w:w="584" w:type="pct"/>
            <w:shd w:val="clear" w:color="auto" w:fill="auto"/>
            <w:vAlign w:val="center"/>
          </w:tcPr>
          <w:p w14:paraId="411F4E7C" w14:textId="0AFD7B4B" w:rsidR="00A862C3" w:rsidRPr="00781112" w:rsidRDefault="002B7490" w:rsidP="00FE7050">
            <w:pPr>
              <w:spacing w:after="0"/>
              <w:jc w:val="center"/>
              <w:rPr>
                <w:rFonts w:cs="Arial"/>
                <w:color w:val="000000" w:themeColor="text1"/>
                <w:szCs w:val="16"/>
              </w:rPr>
            </w:pPr>
            <w:r w:rsidRPr="00781112">
              <w:rPr>
                <w:rFonts w:cs="Arial"/>
                <w:color w:val="000000" w:themeColor="text1"/>
                <w:szCs w:val="16"/>
              </w:rPr>
              <w:t>73.68%</w:t>
            </w:r>
          </w:p>
        </w:tc>
        <w:tc>
          <w:tcPr>
            <w:tcW w:w="667" w:type="pct"/>
            <w:shd w:val="clear" w:color="auto" w:fill="auto"/>
            <w:vAlign w:val="center"/>
          </w:tcPr>
          <w:p w14:paraId="000F74CB" w14:textId="0986D493" w:rsidR="00A862C3" w:rsidRPr="00781112" w:rsidRDefault="002B7490" w:rsidP="00FE7050">
            <w:pPr>
              <w:spacing w:after="0"/>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center"/>
          </w:tcPr>
          <w:p w14:paraId="69708C33" w14:textId="1D4517AD" w:rsidR="00A862C3" w:rsidRPr="00781112" w:rsidRDefault="002B7490" w:rsidP="00FE7050">
            <w:pPr>
              <w:spacing w:after="0"/>
              <w:jc w:val="center"/>
              <w:rPr>
                <w:rFonts w:cs="Arial"/>
                <w:color w:val="000000" w:themeColor="text1"/>
                <w:szCs w:val="16"/>
              </w:rPr>
            </w:pPr>
            <w:r w:rsidRPr="00781112">
              <w:rPr>
                <w:rFonts w:cs="Arial"/>
                <w:color w:val="000000" w:themeColor="text1"/>
                <w:szCs w:val="16"/>
              </w:rPr>
              <w:t>Slippage</w:t>
            </w:r>
          </w:p>
        </w:tc>
      </w:tr>
    </w:tbl>
    <w:p w14:paraId="54A3E93D" w14:textId="31CBA8DB" w:rsidR="009E470F" w:rsidRPr="00781112" w:rsidRDefault="00A869E9" w:rsidP="00B51038">
      <w:pPr>
        <w:spacing w:before="240"/>
        <w:rPr>
          <w:b/>
          <w:color w:val="000000" w:themeColor="text1"/>
        </w:rPr>
      </w:pPr>
      <w:r w:rsidRPr="00781112">
        <w:rPr>
          <w:b/>
          <w:color w:val="000000" w:themeColor="text1"/>
        </w:rPr>
        <w:t>Provide reasons for slippage, if applicable</w:t>
      </w:r>
    </w:p>
    <w:p w14:paraId="1EF5B902" w14:textId="12967038" w:rsidR="00A869E9" w:rsidRPr="00775BF7" w:rsidRDefault="002B7490" w:rsidP="00314F94">
      <w:pPr>
        <w:pStyle w:val="ListParagraph"/>
        <w:numPr>
          <w:ilvl w:val="0"/>
          <w:numId w:val="120"/>
        </w:numPr>
        <w:rPr>
          <w:rFonts w:cs="Arial"/>
          <w:color w:val="000000" w:themeColor="text1"/>
          <w:szCs w:val="16"/>
        </w:rPr>
      </w:pPr>
      <w:r w:rsidRPr="00775BF7">
        <w:rPr>
          <w:rFonts w:cs="Arial"/>
          <w:color w:val="000000" w:themeColor="text1"/>
          <w:szCs w:val="16"/>
        </w:rPr>
        <w:t>Virginia schools were closed by executive order during the 2019-2020 school year. Education was offered in a virtual mode, in-person mode, or a hybrid of both. Due to the closing of schools and during the various instructional model offerings, statewide attendance for students with and without disabilities was significantly impacted. Additionally, student enrollment went down significantly due to parents choosing other educational opportunities rather than the public schools. Thus, with fewer students participating in Virginia's hybrid education and fewer students physically attending schools, fewer students were involved in disciplinary infractions, thus causing slippage. The number of districts that had a significant discrepancy for FFY 2020 was fewer (28) when compared to FFY 2019 (37). Additionally, the districts meeting the n/cell size was higher (89) for FFY 2019 when compared to FFY 2020 (38). Thus, mathematically, the rate for suspending or expelling students for more than ten days in a school year would be higher during this fiscal reporting period. Additionally, the number of school districts which met the n/cell size was less than the prior year reporting for multiple reasons.</w:t>
      </w:r>
    </w:p>
    <w:p w14:paraId="278EEC3E" w14:textId="305BBCBB" w:rsidR="006D741F" w:rsidRPr="00781112" w:rsidRDefault="00082667" w:rsidP="00B51038">
      <w:pPr>
        <w:rPr>
          <w:rFonts w:cs="Arial"/>
          <w:b/>
          <w:color w:val="000000" w:themeColor="text1"/>
          <w:szCs w:val="16"/>
        </w:rPr>
      </w:pPr>
      <w:r w:rsidRPr="00781112">
        <w:rPr>
          <w:rFonts w:cs="Arial"/>
          <w:b/>
          <w:color w:val="000000" w:themeColor="text1"/>
          <w:szCs w:val="16"/>
        </w:rPr>
        <w:t>Choose one of the following comparison methodologies to determine whether significant discrepancies are occurring (34 CFR §300.170(a))</w:t>
      </w:r>
    </w:p>
    <w:p w14:paraId="2323C77C" w14:textId="6D7DAEBC" w:rsidR="00E24D09" w:rsidRPr="00775BF7" w:rsidRDefault="002B7490" w:rsidP="00314F94">
      <w:pPr>
        <w:pStyle w:val="ListParagraph"/>
        <w:numPr>
          <w:ilvl w:val="0"/>
          <w:numId w:val="121"/>
        </w:numPr>
        <w:spacing w:after="200"/>
        <w:rPr>
          <w:rFonts w:cs="Arial"/>
          <w:b/>
          <w:color w:val="000000" w:themeColor="text1"/>
          <w:szCs w:val="16"/>
        </w:rPr>
      </w:pPr>
      <w:r w:rsidRPr="00775BF7">
        <w:rPr>
          <w:rFonts w:cs="Arial"/>
          <w:color w:val="000000" w:themeColor="text1"/>
          <w:szCs w:val="16"/>
        </w:rPr>
        <w:t>The rates of suspensions and expulsions of greater than 10 days in a school year for children with IEPs in each LEA compared to the rates for nondisabled children in the same LEA</w:t>
      </w:r>
      <w:r w:rsidR="00E24D09" w:rsidRPr="00775BF7">
        <w:rPr>
          <w:rFonts w:cs="Arial"/>
          <w:b/>
          <w:color w:val="000000" w:themeColor="text1"/>
          <w:szCs w:val="16"/>
        </w:rPr>
        <w:br w:type="page"/>
      </w:r>
    </w:p>
    <w:p w14:paraId="4F94634D" w14:textId="4198EF5E" w:rsidR="00082667" w:rsidRPr="00781112" w:rsidRDefault="00082667" w:rsidP="00B51038">
      <w:pPr>
        <w:rPr>
          <w:rFonts w:cs="Arial"/>
          <w:b/>
          <w:color w:val="000000" w:themeColor="text1"/>
          <w:szCs w:val="16"/>
        </w:rPr>
      </w:pPr>
      <w:r w:rsidRPr="00781112">
        <w:rPr>
          <w:rFonts w:cs="Arial"/>
          <w:b/>
          <w:color w:val="000000" w:themeColor="text1"/>
          <w:szCs w:val="16"/>
        </w:rPr>
        <w:lastRenderedPageBreak/>
        <w:t>State’s definition of “significant discrepancy” and methodology</w:t>
      </w:r>
    </w:p>
    <w:p w14:paraId="37248070" w14:textId="1657C005" w:rsidR="00A869E9" w:rsidRPr="00775BF7" w:rsidRDefault="002B7490" w:rsidP="00314F94">
      <w:pPr>
        <w:pStyle w:val="ListParagraph"/>
        <w:numPr>
          <w:ilvl w:val="0"/>
          <w:numId w:val="122"/>
        </w:numPr>
        <w:rPr>
          <w:rFonts w:cs="Arial"/>
          <w:color w:val="000000" w:themeColor="text1"/>
          <w:szCs w:val="16"/>
        </w:rPr>
      </w:pPr>
      <w:r w:rsidRPr="00775BF7">
        <w:rPr>
          <w:rFonts w:cs="Arial"/>
          <w:color w:val="000000" w:themeColor="text1"/>
          <w:szCs w:val="16"/>
        </w:rPr>
        <w:t>To determine significant discrepancy, the VDOE evaluated the degree to which students with disabilities may or may not be at higher risk for being suspended or expelled compared to students without disabilities by computing risk ratios depicting the proportion of students with disabilities in the rate of suspensions and expulsions greater than ten cumulative days in a school year compared to their non-disabled peers in the same district. Risk ratios were computed for districts with a minimum cell size (numerator) of ten students with disabilities suspended or expelled more than ten cumulative days in a school year, an n-size (denominator) of at least more than ten students with disabilities, and a minimum cell size of at least more than ten students in the comparison group. Districts that met the minimum cell size/n-size with risk ratios 2.0 or greater were deemed to have a significant discrepancy and required to determine if the significant discrepancy was due to policies, procedures, and/or practices related to the development and implementation of individualized education programs (IEPs), the use of positive behavioral interventions and supports, and/or procedural safeguards by completing a self-assessment. (34 CFR §300.170(a))</w:t>
      </w:r>
    </w:p>
    <w:p w14:paraId="47F07052" w14:textId="77777777" w:rsidR="00BB504D" w:rsidRPr="00781112" w:rsidRDefault="00BB504D" w:rsidP="0036581E">
      <w:pPr>
        <w:pStyle w:val="Heading4"/>
      </w:pPr>
      <w:bookmarkStart w:id="26" w:name="_Toc384383334"/>
      <w:bookmarkStart w:id="27" w:name="_Toc392159286"/>
      <w:r w:rsidRPr="00781112">
        <w:t>Provide additional information about this indicator (optional)</w:t>
      </w:r>
    </w:p>
    <w:p w14:paraId="46EB6C88" w14:textId="77777777" w:rsidR="00B51038" w:rsidRPr="00775BF7" w:rsidRDefault="002B7490" w:rsidP="00314F94">
      <w:pPr>
        <w:pStyle w:val="ListParagraph"/>
        <w:numPr>
          <w:ilvl w:val="0"/>
          <w:numId w:val="123"/>
        </w:numPr>
        <w:rPr>
          <w:rFonts w:cs="Arial"/>
          <w:color w:val="000000" w:themeColor="text1"/>
          <w:szCs w:val="16"/>
        </w:rPr>
      </w:pPr>
      <w:r w:rsidRPr="00775BF7">
        <w:rPr>
          <w:rFonts w:cs="Arial"/>
          <w:color w:val="000000" w:themeColor="text1"/>
          <w:szCs w:val="16"/>
        </w:rPr>
        <w:t>The Virginia Department of Education (VDOE) uses a five-year cyclical approach to review special education data for all school districts in the Commonwealth, as recommended by OSEP. In doing so, the VDOE has a process for systematically auditing and validating school districts’ self-determinations of compliance with all Individuals with Disabilities Education Act (IDEA) compliance indicators submitted through its Single Sign-on for Web Systems (SSWS) Special Education Indicators application. The VDOE ensures, per OSEP guidance, all instances of noncompliance are reported as communicated by the LEAs to VDOE consistent with OSEP Memorandum 09-02.</w:t>
      </w:r>
    </w:p>
    <w:p w14:paraId="18A9C56B" w14:textId="77777777" w:rsidR="00B51038" w:rsidRDefault="002B7490" w:rsidP="004C1EC0">
      <w:pPr>
        <w:ind w:left="720"/>
        <w:rPr>
          <w:rFonts w:cs="Arial"/>
          <w:color w:val="000000" w:themeColor="text1"/>
          <w:szCs w:val="16"/>
        </w:rPr>
      </w:pPr>
      <w:r w:rsidRPr="00781112">
        <w:rPr>
          <w:rFonts w:cs="Arial"/>
          <w:color w:val="000000" w:themeColor="text1"/>
          <w:szCs w:val="16"/>
        </w:rPr>
        <w:t>Each year, approximately 20 percent of the school districts in Virginia are selected for data validation of compliance indicators. Specifically, between the months of September and December, the regional VDOE monitor assigned to school districts within that current year’s cohort reviews a random sample of individual student files and specific policies, procedures, and practices to ensure the accuracy of the indicator information submitted to VDOE. The number of files reviewed is based on the number of records submitted for each indicator.</w:t>
      </w:r>
    </w:p>
    <w:p w14:paraId="24C70808" w14:textId="028BD5F4" w:rsidR="00E24D09" w:rsidRDefault="002B7490" w:rsidP="00E24D09">
      <w:pPr>
        <w:ind w:left="720"/>
        <w:rPr>
          <w:b/>
          <w:color w:val="000000" w:themeColor="text1"/>
        </w:rPr>
      </w:pPr>
      <w:r w:rsidRPr="00781112">
        <w:rPr>
          <w:rFonts w:cs="Arial"/>
          <w:color w:val="000000" w:themeColor="text1"/>
          <w:szCs w:val="16"/>
        </w:rPr>
        <w:t xml:space="preserve">Local educational agencies (LEAs) self-reporting less than 100 percent </w:t>
      </w:r>
      <w:proofErr w:type="gramStart"/>
      <w:r w:rsidRPr="00781112">
        <w:rPr>
          <w:rFonts w:cs="Arial"/>
          <w:color w:val="000000" w:themeColor="text1"/>
          <w:szCs w:val="16"/>
        </w:rPr>
        <w:t>receive</w:t>
      </w:r>
      <w:proofErr w:type="gramEnd"/>
      <w:r w:rsidRPr="00781112">
        <w:rPr>
          <w:rFonts w:cs="Arial"/>
          <w:color w:val="000000" w:themeColor="text1"/>
          <w:szCs w:val="16"/>
        </w:rPr>
        <w:t xml:space="preserve"> written notification of noncompliance, develop a corrective action plan (CAP) as determined by the Lead Monitor, and undergo the Prong 1 and Prong 2 process within one year of written notification. If it is determined that LEAs self-reporting 100 percent submitted inaccurate information, the school district is required to resubmit the data accurately. Following data resubmission, the district superintendent receives written notification of noncompliance, a CAP is developed as determined by the Lead Monitor, and the Prong 1 and Prong 2 process is completed within one year of written notification. Closure of indicator corrections is finalized with an email to special education administrators.</w:t>
      </w:r>
      <w:bookmarkEnd w:id="26"/>
      <w:bookmarkEnd w:id="27"/>
      <w:r w:rsidR="00E24D09">
        <w:rPr>
          <w:b/>
          <w:color w:val="000000" w:themeColor="text1"/>
        </w:rPr>
        <w:br w:type="page"/>
      </w:r>
    </w:p>
    <w:p w14:paraId="3F63E777" w14:textId="09A547FA" w:rsidR="00082667" w:rsidRPr="00781112" w:rsidRDefault="00082667" w:rsidP="00B51038">
      <w:pPr>
        <w:rPr>
          <w:color w:val="000000" w:themeColor="text1"/>
        </w:rPr>
      </w:pPr>
      <w:r w:rsidRPr="00781112">
        <w:rPr>
          <w:b/>
          <w:color w:val="000000" w:themeColor="text1"/>
        </w:rPr>
        <w:lastRenderedPageBreak/>
        <w:t>Review of Policies, Procedures, and Practices (completed in FFY 2020 using 2019-2020 data)</w:t>
      </w:r>
    </w:p>
    <w:p w14:paraId="76B39D83" w14:textId="1E1AB613" w:rsidR="00082667" w:rsidRPr="00781112" w:rsidRDefault="00571EAB" w:rsidP="00B51038">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67BF4257" w14:textId="77777777" w:rsidR="00B51038" w:rsidRPr="00775BF7" w:rsidRDefault="002B7490" w:rsidP="00314F94">
      <w:pPr>
        <w:pStyle w:val="ListParagraph"/>
        <w:numPr>
          <w:ilvl w:val="0"/>
          <w:numId w:val="124"/>
        </w:numPr>
        <w:rPr>
          <w:rFonts w:cs="Arial"/>
          <w:color w:val="000000" w:themeColor="text1"/>
          <w:szCs w:val="16"/>
        </w:rPr>
      </w:pPr>
      <w:r w:rsidRPr="00775BF7">
        <w:rPr>
          <w:rFonts w:cs="Arial"/>
          <w:color w:val="000000" w:themeColor="text1"/>
          <w:szCs w:val="16"/>
        </w:rPr>
        <w:t>Using 2019-2020 data, 28 districts were identified as having a significant discrepancy in the rate of suspensions and expulsions of greater than ten days in a school year for students with disabilities in FFY 2020. The VDOE directed each of the 28 districts to create a district-based team and complete a formalized self-assessment. The components of the self-assessment tool required the teams to do the following: 1) examine the reasons for high suspensions by analyzing the root cause of suspensions and expulsions; 2) review the school's use of positive behavior interventions and supports; 3) determine if the school district is developing and implementing appropriate IEPs based on a sampling of IEPs of students who were suspended, or expelled, ten or more days cumulative; 4) assess if policies, procedures, and practices comply with Procedural Safeguards; 5) provide more training for individuals responsible for discipline; and 6) review the disability impact prior to disciplinary action.</w:t>
      </w:r>
    </w:p>
    <w:p w14:paraId="1C3023B2" w14:textId="77777777" w:rsidR="00B51038" w:rsidRDefault="002B7490" w:rsidP="004C1EC0">
      <w:pPr>
        <w:ind w:left="720"/>
        <w:rPr>
          <w:rFonts w:cs="Arial"/>
          <w:color w:val="000000" w:themeColor="text1"/>
          <w:szCs w:val="16"/>
        </w:rPr>
      </w:pPr>
      <w:r w:rsidRPr="00781112">
        <w:rPr>
          <w:rFonts w:cs="Arial"/>
          <w:color w:val="000000" w:themeColor="text1"/>
          <w:szCs w:val="16"/>
        </w:rPr>
        <w:t>The teams also had to determine if specific attention was required to improve the implementation of Functional Behavior Assessments and Behavior Intervention Plans as components of Positive Behavior Interventions and Supports (PBIS). Alternatives to suspension, such as restorative justice practices and Virginia's Tiered Systems of Support, are offered as tools to reduce suspensions and to align with other efforts to improve outcomes for students with disabilities. Culturally responsive practices and school climate are emphasized as a focus when reviewing policies, procedures, and practices.</w:t>
      </w:r>
    </w:p>
    <w:p w14:paraId="47497C41" w14:textId="7DD6279F" w:rsidR="003B64C0" w:rsidRPr="00781112" w:rsidRDefault="002B7490" w:rsidP="004C1EC0">
      <w:pPr>
        <w:ind w:left="720"/>
        <w:rPr>
          <w:rFonts w:cs="Arial"/>
          <w:color w:val="000000" w:themeColor="text1"/>
          <w:szCs w:val="16"/>
        </w:rPr>
      </w:pPr>
      <w:r w:rsidRPr="00781112">
        <w:rPr>
          <w:rFonts w:cs="Arial"/>
          <w:color w:val="000000" w:themeColor="text1"/>
          <w:szCs w:val="16"/>
        </w:rPr>
        <w:t>The VDOE reviewed each self-assessment and concluded that 2 of the 28 districts had noncompliance with one or more of the requirements of 34 CFR §300.170(b).</w:t>
      </w:r>
    </w:p>
    <w:p w14:paraId="38E1E629" w14:textId="1EF02333" w:rsidR="003B64C0" w:rsidRPr="00781112" w:rsidRDefault="003B64C0" w:rsidP="004C1EC0">
      <w:pPr>
        <w:ind w:left="720"/>
        <w:rPr>
          <w:rFonts w:cs="Arial"/>
          <w:color w:val="000000" w:themeColor="text1"/>
          <w:szCs w:val="16"/>
        </w:rPr>
      </w:pPr>
      <w:r w:rsidRPr="00781112">
        <w:rPr>
          <w:rFonts w:cs="Arial"/>
          <w:color w:val="000000" w:themeColor="text1"/>
          <w:szCs w:val="16"/>
        </w:rPr>
        <w:t xml:space="preserve">The State DID identify noncompliance with Part B requirements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the review required by 34 CFR §300.170(b).</w:t>
      </w:r>
    </w:p>
    <w:p w14:paraId="2F8EF51C" w14:textId="56A16050" w:rsidR="00EA1474" w:rsidRPr="00781112" w:rsidRDefault="00EA1474" w:rsidP="00B51038">
      <w:pPr>
        <w:rPr>
          <w:rFonts w:cs="Arial"/>
          <w:color w:val="000000" w:themeColor="text1"/>
          <w:szCs w:val="16"/>
        </w:rPr>
      </w:pPr>
      <w:r w:rsidRPr="00781112">
        <w:rPr>
          <w:rFonts w:cs="Arial"/>
          <w:b/>
          <w:color w:val="000000" w:themeColor="text1"/>
          <w:szCs w:val="16"/>
        </w:rPr>
        <w:t>If YES, select one of the following:</w:t>
      </w:r>
    </w:p>
    <w:p w14:paraId="41D44805" w14:textId="3EC1E585" w:rsidR="000D3273" w:rsidRPr="00775BF7" w:rsidRDefault="003B64C0" w:rsidP="00314F94">
      <w:pPr>
        <w:pStyle w:val="ListParagraph"/>
        <w:numPr>
          <w:ilvl w:val="0"/>
          <w:numId w:val="125"/>
        </w:numPr>
        <w:rPr>
          <w:rFonts w:cs="Arial"/>
          <w:color w:val="000000" w:themeColor="text1"/>
          <w:szCs w:val="16"/>
        </w:rPr>
      </w:pPr>
      <w:r w:rsidRPr="00775BF7">
        <w:rPr>
          <w:rFonts w:cs="Arial"/>
          <w:color w:val="000000" w:themeColor="text1"/>
          <w:szCs w:val="16"/>
        </w:rPr>
        <w:t>The State DID ensure that such policies, procedures, and practices were revised to comply with applicable requirements consistent with OSEP Memorandum 09-02, dated October 17, 2008.</w:t>
      </w:r>
    </w:p>
    <w:p w14:paraId="0179F7BE" w14:textId="17835A19" w:rsidR="002D57DA" w:rsidRPr="00781112" w:rsidRDefault="002D57DA" w:rsidP="00B51038">
      <w:pPr>
        <w:tabs>
          <w:tab w:val="left" w:pos="4068"/>
        </w:tabs>
        <w:rPr>
          <w:rFonts w:cs="Arial"/>
          <w:b/>
          <w:color w:val="000000" w:themeColor="text1"/>
          <w:szCs w:val="16"/>
        </w:rPr>
      </w:pPr>
      <w:r w:rsidRPr="00781112">
        <w:rPr>
          <w:rFonts w:cs="Arial"/>
          <w:b/>
          <w:color w:val="000000" w:themeColor="text1"/>
          <w:szCs w:val="16"/>
        </w:rPr>
        <w:t>Describe how the State ensured that such policies, procedures, and practices were revised to comply with applicable requirements consistent with OSEP Memorandum 09-02, dated October 17, 2008</w:t>
      </w:r>
      <w:r w:rsidRPr="00781112">
        <w:rPr>
          <w:rFonts w:cs="Arial"/>
          <w:b/>
          <w:i/>
          <w:color w:val="000000" w:themeColor="text1"/>
          <w:szCs w:val="16"/>
        </w:rPr>
        <w:t>.</w:t>
      </w:r>
    </w:p>
    <w:p w14:paraId="25B67BA8" w14:textId="14C7F902" w:rsidR="00B51038" w:rsidRPr="00775BF7" w:rsidRDefault="002B7490" w:rsidP="00314F94">
      <w:pPr>
        <w:pStyle w:val="ListParagraph"/>
        <w:numPr>
          <w:ilvl w:val="0"/>
          <w:numId w:val="126"/>
        </w:numPr>
        <w:rPr>
          <w:b/>
          <w:color w:val="000000" w:themeColor="text1"/>
        </w:rPr>
      </w:pPr>
      <w:r w:rsidRPr="00775BF7">
        <w:rPr>
          <w:rFonts w:cs="Arial"/>
          <w:color w:val="000000" w:themeColor="text1"/>
          <w:szCs w:val="16"/>
        </w:rPr>
        <w:t xml:space="preserve">The VDOE directed the districts to revise its policies, procedures, and practices; the use of PBIS; and/or procedural safeguards as soon as possible, but no later than within one year of the date of original notification. The VDOE directed the districts to determine if its policies, procedures, and practices contributed to or had an impact on IEP noncompliance. If required, the district submitted an acceptable corrective action plan (CAP). The VDOE monitoring staff </w:t>
      </w:r>
      <w:r w:rsidRPr="00775BF7">
        <w:rPr>
          <w:rFonts w:cs="Arial"/>
          <w:color w:val="000000" w:themeColor="text1"/>
          <w:szCs w:val="16"/>
        </w:rPr>
        <w:lastRenderedPageBreak/>
        <w:t>members are following up with the districts to ensure the following: 1) they have corrected any individual case of noncompliance, and 2) they are correctly implementing the specific regulatory requirements at 100 percent compliance. The status of compliance will be reported in the next APR report.</w:t>
      </w:r>
      <w:bookmarkStart w:id="28" w:name="_Toc381956335"/>
      <w:bookmarkStart w:id="29" w:name="_Toc384383336"/>
      <w:bookmarkStart w:id="30" w:name="_Toc392159288"/>
    </w:p>
    <w:p w14:paraId="0496594E" w14:textId="077AAAE0" w:rsidR="00B9048A" w:rsidRPr="00781112" w:rsidRDefault="00B9048A" w:rsidP="00815ACE">
      <w:pPr>
        <w:pStyle w:val="Caption"/>
      </w:pPr>
      <w:bookmarkStart w:id="31" w:name="_Hlk121842508"/>
      <w:r w:rsidRPr="00781112">
        <w:t>Correction of Findings of Noncompliance Identified in FFY 2019</w:t>
      </w:r>
      <w:r w:rsidR="007B3230">
        <w:t xml:space="preserve"> (4A)</w:t>
      </w:r>
    </w:p>
    <w:tbl>
      <w:tblPr>
        <w:tblStyle w:val="TableGrid"/>
        <w:tblW w:w="5000" w:type="pct"/>
        <w:tblLook w:val="04A0" w:firstRow="1" w:lastRow="0" w:firstColumn="1" w:lastColumn="0" w:noHBand="0" w:noVBand="1"/>
        <w:tblDescription w:val="Table provides identified, verified as corrected within one year, and subsequently corrected, and not yet verified findings of noncompliance for FFY 2019 for this indicator."/>
      </w:tblPr>
      <w:tblGrid>
        <w:gridCol w:w="2613"/>
        <w:gridCol w:w="2743"/>
        <w:gridCol w:w="2620"/>
        <w:gridCol w:w="2814"/>
      </w:tblGrid>
      <w:tr w:rsidR="005C29F8" w:rsidRPr="00781112" w14:paraId="5E5B522D" w14:textId="77777777" w:rsidTr="00FE7050">
        <w:trPr>
          <w:trHeight w:val="389"/>
          <w:tblHeader/>
        </w:trPr>
        <w:tc>
          <w:tcPr>
            <w:tcW w:w="1211" w:type="pct"/>
            <w:shd w:val="clear" w:color="auto" w:fill="D9D9D9" w:themeFill="background1" w:themeFillShade="D9"/>
            <w:vAlign w:val="center"/>
          </w:tcPr>
          <w:bookmarkEnd w:id="31"/>
          <w:p w14:paraId="16ECB6B7" w14:textId="77777777" w:rsidR="00B9048A" w:rsidRPr="00781112" w:rsidRDefault="00B9048A" w:rsidP="00FE7050">
            <w:pPr>
              <w:spacing w:after="0" w:line="276" w:lineRule="auto"/>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D9D9D9" w:themeFill="background1" w:themeFillShade="D9"/>
            <w:vAlign w:val="center"/>
          </w:tcPr>
          <w:p w14:paraId="122A58DC" w14:textId="77777777" w:rsidR="00B9048A" w:rsidRPr="00781112" w:rsidRDefault="00B9048A" w:rsidP="00FE7050">
            <w:pPr>
              <w:spacing w:after="0" w:line="276" w:lineRule="auto"/>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D9D9D9" w:themeFill="background1" w:themeFillShade="D9"/>
            <w:vAlign w:val="center"/>
          </w:tcPr>
          <w:p w14:paraId="7D9FA33F" w14:textId="77777777" w:rsidR="00B9048A" w:rsidRPr="00781112" w:rsidRDefault="00B9048A" w:rsidP="00FE7050">
            <w:pPr>
              <w:spacing w:after="0" w:line="276" w:lineRule="auto"/>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D9D9D9" w:themeFill="background1" w:themeFillShade="D9"/>
            <w:vAlign w:val="center"/>
          </w:tcPr>
          <w:p w14:paraId="704691FC" w14:textId="77777777" w:rsidR="00B9048A" w:rsidRPr="00781112" w:rsidRDefault="00B9048A" w:rsidP="00FE7050">
            <w:pPr>
              <w:spacing w:after="0" w:line="276" w:lineRule="auto"/>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FE7050">
        <w:trPr>
          <w:trHeight w:val="404"/>
        </w:trPr>
        <w:tc>
          <w:tcPr>
            <w:tcW w:w="1211" w:type="pct"/>
            <w:shd w:val="clear" w:color="auto" w:fill="auto"/>
            <w:vAlign w:val="center"/>
          </w:tcPr>
          <w:p w14:paraId="706C7C42" w14:textId="616D64A9" w:rsidR="00B9048A" w:rsidRPr="00781112" w:rsidRDefault="002B7490" w:rsidP="00FE7050">
            <w:pPr>
              <w:spacing w:after="0" w:line="276" w:lineRule="auto"/>
              <w:jc w:val="center"/>
              <w:rPr>
                <w:rFonts w:cs="Arial"/>
                <w:color w:val="000000" w:themeColor="text1"/>
                <w:szCs w:val="16"/>
              </w:rPr>
            </w:pPr>
            <w:r w:rsidRPr="00781112">
              <w:rPr>
                <w:rFonts w:cs="Arial"/>
                <w:color w:val="000000" w:themeColor="text1"/>
                <w:szCs w:val="16"/>
              </w:rPr>
              <w:t>1</w:t>
            </w:r>
          </w:p>
        </w:tc>
        <w:tc>
          <w:tcPr>
            <w:tcW w:w="1271" w:type="pct"/>
            <w:shd w:val="clear" w:color="auto" w:fill="auto"/>
            <w:vAlign w:val="center"/>
          </w:tcPr>
          <w:p w14:paraId="0CE7F01B" w14:textId="4009BBFE" w:rsidR="00B9048A" w:rsidRPr="00781112" w:rsidRDefault="002B7490" w:rsidP="00FE7050">
            <w:pPr>
              <w:spacing w:after="0" w:line="276" w:lineRule="auto"/>
              <w:jc w:val="center"/>
              <w:rPr>
                <w:rFonts w:cs="Arial"/>
                <w:color w:val="000000" w:themeColor="text1"/>
                <w:szCs w:val="16"/>
              </w:rPr>
            </w:pPr>
            <w:r w:rsidRPr="00781112">
              <w:rPr>
                <w:rFonts w:cs="Arial"/>
                <w:color w:val="000000" w:themeColor="text1"/>
                <w:szCs w:val="16"/>
              </w:rPr>
              <w:t>1</w:t>
            </w:r>
          </w:p>
        </w:tc>
        <w:tc>
          <w:tcPr>
            <w:tcW w:w="1214" w:type="pct"/>
            <w:shd w:val="clear" w:color="auto" w:fill="auto"/>
            <w:vAlign w:val="center"/>
          </w:tcPr>
          <w:p w14:paraId="38F306AA" w14:textId="2CC74FE3" w:rsidR="00B9048A" w:rsidRPr="00781112" w:rsidRDefault="002B7490" w:rsidP="00FE7050">
            <w:pPr>
              <w:spacing w:after="0" w:line="276" w:lineRule="auto"/>
              <w:jc w:val="center"/>
              <w:rPr>
                <w:rFonts w:cs="Arial"/>
                <w:color w:val="000000" w:themeColor="text1"/>
                <w:szCs w:val="16"/>
              </w:rPr>
            </w:pPr>
            <w:r w:rsidRPr="00781112">
              <w:rPr>
                <w:rFonts w:cs="Arial"/>
                <w:color w:val="000000" w:themeColor="text1"/>
                <w:szCs w:val="16"/>
              </w:rPr>
              <w:t>0</w:t>
            </w:r>
          </w:p>
        </w:tc>
        <w:tc>
          <w:tcPr>
            <w:tcW w:w="1304" w:type="pct"/>
            <w:shd w:val="clear" w:color="auto" w:fill="auto"/>
            <w:vAlign w:val="center"/>
          </w:tcPr>
          <w:p w14:paraId="5E536CD7" w14:textId="387A8666" w:rsidR="00B9048A" w:rsidRPr="00781112" w:rsidRDefault="002B7490" w:rsidP="00FE7050">
            <w:pPr>
              <w:spacing w:after="0" w:line="276" w:lineRule="auto"/>
              <w:jc w:val="center"/>
              <w:rPr>
                <w:rFonts w:cs="Arial"/>
                <w:color w:val="000000" w:themeColor="text1"/>
                <w:szCs w:val="16"/>
              </w:rPr>
            </w:pPr>
            <w:r w:rsidRPr="00781112">
              <w:rPr>
                <w:rFonts w:cs="Arial"/>
                <w:color w:val="000000" w:themeColor="text1"/>
                <w:szCs w:val="16"/>
              </w:rPr>
              <w:t>0</w:t>
            </w:r>
          </w:p>
        </w:tc>
      </w:tr>
    </w:tbl>
    <w:p w14:paraId="24A37C77" w14:textId="31047242" w:rsidR="000C7B90" w:rsidRPr="00781112" w:rsidRDefault="00F6415A" w:rsidP="00B51038">
      <w:pPr>
        <w:spacing w:before="240"/>
        <w:rPr>
          <w:color w:val="000000" w:themeColor="text1"/>
        </w:rPr>
      </w:pPr>
      <w:r w:rsidRPr="00781112">
        <w:rPr>
          <w:b/>
          <w:color w:val="000000" w:themeColor="text1"/>
        </w:rPr>
        <w:t>FFY 2019 Findings of Noncompliance Verified as Corrected</w:t>
      </w:r>
    </w:p>
    <w:p w14:paraId="2EEAB142" w14:textId="77777777" w:rsidR="000C7B90" w:rsidRPr="00781112" w:rsidRDefault="000C7B90" w:rsidP="00B51038">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122C88BB" w14:textId="2B7DB81A" w:rsidR="002D57DA" w:rsidRPr="00775BF7" w:rsidRDefault="002B7490" w:rsidP="00314F94">
      <w:pPr>
        <w:pStyle w:val="ListParagraph"/>
        <w:numPr>
          <w:ilvl w:val="0"/>
          <w:numId w:val="127"/>
        </w:numPr>
        <w:rPr>
          <w:rFonts w:cs="Arial"/>
          <w:color w:val="000000" w:themeColor="text1"/>
          <w:szCs w:val="16"/>
        </w:rPr>
      </w:pPr>
      <w:r w:rsidRPr="00775BF7">
        <w:rPr>
          <w:rFonts w:cs="Arial"/>
          <w:color w:val="000000" w:themeColor="text1"/>
          <w:szCs w:val="16"/>
        </w:rPr>
        <w:t xml:space="preserve">The VDOE staff directed the district that reported less than 100 percent compliance to revise its policy, procedures, and practices; the use of positive behavioral interventions and supports; and procedural safeguards, if necessary. Additionally, VDOE staff verified if the failure to have a compliant policy, procedures, and practices resulted in IEP noncompliance. Though the school division was late in meeting the regulatory </w:t>
      </w:r>
      <w:proofErr w:type="gramStart"/>
      <w:r w:rsidRPr="00775BF7">
        <w:rPr>
          <w:rFonts w:cs="Arial"/>
          <w:color w:val="000000" w:themeColor="text1"/>
          <w:szCs w:val="16"/>
        </w:rPr>
        <w:t>timeline,  the</w:t>
      </w:r>
      <w:proofErr w:type="gramEnd"/>
      <w:r w:rsidRPr="00775BF7">
        <w:rPr>
          <w:rFonts w:cs="Arial"/>
          <w:color w:val="000000" w:themeColor="text1"/>
          <w:szCs w:val="16"/>
        </w:rPr>
        <w:t xml:space="preserve"> VDOE verified correction of the individual case of noncompliance (Prong 1) by reassessing the student's record in completing the discipline process.  For Prong 2, the district found no student IEP noncompliance based on the IEP sampling (verified by the VDOE staff member through Prong 2 activities).  The district found student IEP noncompliance based on the IEP sampling (verified by the VDOE staff member through Prong 1 activities). The monitor required the district to submit, in writing, how changes to the policy, procedures, and practices were made. The monitor verified the changes by reviewing the appropriate documents and forms. The VDOE has determined that the district identified as having noncompliance specific to Indicator 4A, identified in FFY 2019, is now correctly implementing the regulatory requirements at 100 percent compliance with OSEP Memorandum 09-02.</w:t>
      </w:r>
    </w:p>
    <w:p w14:paraId="19EA66A5" w14:textId="77777777" w:rsidR="000C7B90" w:rsidRPr="00781112" w:rsidRDefault="000C7B90" w:rsidP="00B51038">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DC3DAFE" w14:textId="77777777" w:rsidR="00AD2A62" w:rsidRPr="00775BF7" w:rsidRDefault="002B7490" w:rsidP="00314F94">
      <w:pPr>
        <w:pStyle w:val="ListParagraph"/>
        <w:numPr>
          <w:ilvl w:val="0"/>
          <w:numId w:val="128"/>
        </w:numPr>
        <w:rPr>
          <w:rFonts w:cs="Arial"/>
          <w:color w:val="000000" w:themeColor="text1"/>
          <w:szCs w:val="16"/>
        </w:rPr>
      </w:pPr>
      <w:r w:rsidRPr="00775BF7">
        <w:rPr>
          <w:rFonts w:cs="Arial"/>
          <w:color w:val="000000" w:themeColor="text1"/>
          <w:szCs w:val="16"/>
        </w:rPr>
        <w:t xml:space="preserve">Specifically, written notification of noncompliance was mailed to the district superintendent, a VDOE monitor was assigned, and a corrective action plan (CAP) was written by the district. The VDOE determined that the school district had individual cases of noncompliance specific to Indicator 4A, identified in FFY2019. To ensure that the revised policy, procedures, and practices had no continued impact on student IEP compliance, student records were reviewed to ensure correction and to meet Prong 1 standards consistent with OSEP Memorandum 09-02. Though the school division was late in meeting the regulatory </w:t>
      </w:r>
      <w:proofErr w:type="gramStart"/>
      <w:r w:rsidRPr="00775BF7">
        <w:rPr>
          <w:rFonts w:cs="Arial"/>
          <w:color w:val="000000" w:themeColor="text1"/>
          <w:szCs w:val="16"/>
        </w:rPr>
        <w:t>timeline,  the</w:t>
      </w:r>
      <w:proofErr w:type="gramEnd"/>
      <w:r w:rsidRPr="00775BF7">
        <w:rPr>
          <w:rFonts w:cs="Arial"/>
          <w:color w:val="000000" w:themeColor="text1"/>
          <w:szCs w:val="16"/>
        </w:rPr>
        <w:t xml:space="preserve"> VDOE verified correction of the individual case of noncompliance (Prong 1) by reassessing the student's record in completing the discipline process.</w:t>
      </w:r>
    </w:p>
    <w:p w14:paraId="28F91843" w14:textId="47A13039" w:rsidR="002D57DA" w:rsidRPr="00781112" w:rsidRDefault="002B7490" w:rsidP="004C1EC0">
      <w:pPr>
        <w:ind w:left="720"/>
        <w:rPr>
          <w:rFonts w:cs="Arial"/>
          <w:color w:val="000000" w:themeColor="text1"/>
          <w:szCs w:val="16"/>
        </w:rPr>
      </w:pPr>
      <w:r w:rsidRPr="00781112">
        <w:rPr>
          <w:rFonts w:cs="Arial"/>
          <w:color w:val="000000" w:themeColor="text1"/>
          <w:szCs w:val="16"/>
        </w:rPr>
        <w:lastRenderedPageBreak/>
        <w:t>For Prong 2, the district found no student IEP noncompliance based on the IEP sampling (verified by the VDOE staff member through Prong 2 activities).  To satisfy Prong 2 standards consistent with OSEP Memorandum 09-02, the district revised its policy, procedures, and practices (e.g., documentation of trainings, meetings, handbook updates, guidance documents) that had been implemented since noncompliance was identified. The VDOE monitor then randomly selected new student files for review that were completed following changes to policies, procedures, and practices reviewing for evidence of corrections in the part or parts of the process that could cause noncompliance. All tracking activities and reviews of student records were compliant with Discipline Procedures 8VAC20-81-160. Prong 2, Set 1 resulted in 100 percent compliance with the district. Additional corrective steps were not required by the district. All steps in the monitoring process took place within one calendar year of the date the district was notified of noncompliance.</w:t>
      </w:r>
    </w:p>
    <w:p w14:paraId="21AE82C7" w14:textId="33B9781C" w:rsidR="004E2151" w:rsidRPr="00781112" w:rsidRDefault="00697434" w:rsidP="00FE7050">
      <w:pPr>
        <w:pStyle w:val="Heading3"/>
        <w:spacing w:before="240"/>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75BF7" w:rsidRDefault="002B7490" w:rsidP="00314F94">
      <w:pPr>
        <w:pStyle w:val="ListParagraph"/>
        <w:numPr>
          <w:ilvl w:val="0"/>
          <w:numId w:val="129"/>
        </w:numPr>
        <w:rPr>
          <w:rFonts w:cs="Arial"/>
          <w:color w:val="000000" w:themeColor="text1"/>
          <w:szCs w:val="16"/>
        </w:rPr>
      </w:pPr>
      <w:r w:rsidRPr="00775BF7">
        <w:rPr>
          <w:rFonts w:cs="Arial"/>
          <w:color w:val="000000" w:themeColor="text1"/>
          <w:szCs w:val="16"/>
        </w:rPr>
        <w:t xml:space="preserve">The State must report, in the FFY 2020 SPP/APR, on the correction of noncompliance that the State identified in FFY 2019 </w:t>
      </w:r>
      <w:proofErr w:type="gramStart"/>
      <w:r w:rsidRPr="00775BF7">
        <w:rPr>
          <w:rFonts w:cs="Arial"/>
          <w:color w:val="000000" w:themeColor="text1"/>
          <w:szCs w:val="16"/>
        </w:rPr>
        <w:t>as a result of</w:t>
      </w:r>
      <w:proofErr w:type="gramEnd"/>
      <w:r w:rsidRPr="00775BF7">
        <w:rPr>
          <w:rFonts w:cs="Arial"/>
          <w:color w:val="000000" w:themeColor="text1"/>
          <w:szCs w:val="16"/>
        </w:rPr>
        <w:t xml:space="preserve"> the review it conducted pursuant to 34 C.F.R. § 300.170(b). When reporting on the correction of this noncompliance, the State must report that it has verified that each district with noncompliance identified by the State: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2020 SPP/APR, the State must describe the specific actions that were taken to verify the correction.</w:t>
      </w:r>
    </w:p>
    <w:p w14:paraId="0FF6D321" w14:textId="71120D91" w:rsidR="004E2151" w:rsidRDefault="004E2151" w:rsidP="00D73ABA">
      <w:pPr>
        <w:pStyle w:val="Heading4"/>
      </w:pPr>
      <w:r w:rsidRPr="00781112">
        <w:t>Response to actions required in FFY 2019 SPP/APR</w:t>
      </w:r>
    </w:p>
    <w:p w14:paraId="5C9F583A" w14:textId="6383A1A2" w:rsidR="00DB1BCB" w:rsidRPr="00775BF7" w:rsidRDefault="00DB1BCB" w:rsidP="00314F94">
      <w:pPr>
        <w:pStyle w:val="ListParagraph"/>
        <w:numPr>
          <w:ilvl w:val="0"/>
          <w:numId w:val="130"/>
        </w:numPr>
        <w:rPr>
          <w:bCs/>
          <w:color w:val="000000" w:themeColor="text1"/>
        </w:rPr>
      </w:pPr>
      <w:r w:rsidRPr="00775BF7">
        <w:rPr>
          <w:bCs/>
          <w:color w:val="000000" w:themeColor="text1"/>
        </w:rPr>
        <w:t>None</w:t>
      </w:r>
    </w:p>
    <w:p w14:paraId="537673C8" w14:textId="6D41A3A2" w:rsidR="005115D6" w:rsidRPr="00781112" w:rsidRDefault="001E2193" w:rsidP="00B51038">
      <w:pPr>
        <w:pStyle w:val="Heading3"/>
      </w:pPr>
      <w:r w:rsidRPr="00781112">
        <w:t>4A - OSEP Response</w:t>
      </w:r>
    </w:p>
    <w:p w14:paraId="6408916F" w14:textId="3F57CD94" w:rsidR="002D57DA" w:rsidRPr="00775BF7" w:rsidRDefault="00FE7050" w:rsidP="00314F94">
      <w:pPr>
        <w:pStyle w:val="ListParagraph"/>
        <w:numPr>
          <w:ilvl w:val="0"/>
          <w:numId w:val="131"/>
        </w:numPr>
        <w:rPr>
          <w:rFonts w:cs="Arial"/>
          <w:color w:val="000000" w:themeColor="text1"/>
          <w:szCs w:val="16"/>
        </w:rPr>
      </w:pPr>
      <w:r w:rsidRPr="00775BF7">
        <w:rPr>
          <w:rFonts w:cs="Arial"/>
          <w:color w:val="000000" w:themeColor="text1"/>
          <w:szCs w:val="16"/>
        </w:rPr>
        <w:t>Not applicable</w:t>
      </w:r>
    </w:p>
    <w:p w14:paraId="146BDB91" w14:textId="0A2F7969" w:rsidR="005115D6" w:rsidRPr="00781112" w:rsidRDefault="00697434" w:rsidP="00B51038">
      <w:pPr>
        <w:pStyle w:val="Heading3"/>
      </w:pPr>
      <w:r w:rsidRPr="00781112">
        <w:t>4A - Required Actions</w:t>
      </w:r>
    </w:p>
    <w:p w14:paraId="5E6ED969" w14:textId="4D0A8045" w:rsidR="00600E15" w:rsidRPr="00775BF7" w:rsidRDefault="002B7490" w:rsidP="00314F94">
      <w:pPr>
        <w:pStyle w:val="ListParagraph"/>
        <w:numPr>
          <w:ilvl w:val="0"/>
          <w:numId w:val="132"/>
        </w:numPr>
        <w:rPr>
          <w:rFonts w:eastAsiaTheme="majorEastAsia" w:cs="Arial"/>
          <w:b/>
          <w:bCs/>
          <w:color w:val="000000" w:themeColor="text1"/>
          <w:szCs w:val="16"/>
        </w:rPr>
      </w:pPr>
      <w:r w:rsidRPr="00775BF7">
        <w:rPr>
          <w:rFonts w:cs="Arial"/>
          <w:color w:val="000000" w:themeColor="text1"/>
          <w:szCs w:val="16"/>
        </w:rPr>
        <w:t xml:space="preserve">The State must report, in the FFY 2021 SPP/APR, on the correction of noncompliance that the State identified in FFY 2020 </w:t>
      </w:r>
      <w:proofErr w:type="gramStart"/>
      <w:r w:rsidRPr="00775BF7">
        <w:rPr>
          <w:rFonts w:cs="Arial"/>
          <w:color w:val="000000" w:themeColor="text1"/>
          <w:szCs w:val="16"/>
        </w:rPr>
        <w:t>as a result of</w:t>
      </w:r>
      <w:proofErr w:type="gramEnd"/>
      <w:r w:rsidRPr="00775BF7">
        <w:rPr>
          <w:rFonts w:cs="Arial"/>
          <w:color w:val="000000" w:themeColor="text1"/>
          <w:szCs w:val="16"/>
        </w:rPr>
        <w:t xml:space="preserve"> the review it conducted pursuant to 34 C.F.R. § 300.170(b). When reporting on the correction of this noncompliance, the State must report that it has verified that each district with noncompliance identified by the State: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2021 SPP/APR, the State must describe the specific actions that were taken to verify the correction.</w:t>
      </w:r>
      <w:r w:rsidR="00600E15" w:rsidRPr="00775BF7">
        <w:rPr>
          <w:rFonts w:cs="Arial"/>
          <w:color w:val="000000" w:themeColor="text1"/>
          <w:szCs w:val="16"/>
        </w:rPr>
        <w:br w:type="page"/>
      </w:r>
    </w:p>
    <w:p w14:paraId="658544B7" w14:textId="204E8DB3" w:rsidR="00D03701" w:rsidRPr="00781112" w:rsidRDefault="00D03701" w:rsidP="008143AB">
      <w:pPr>
        <w:pStyle w:val="Heading2"/>
      </w:pPr>
      <w:r w:rsidRPr="00781112">
        <w:lastRenderedPageBreak/>
        <w:t>Indicator 4B: Suspension/Expulsion</w:t>
      </w:r>
      <w:bookmarkEnd w:id="28"/>
      <w:bookmarkEnd w:id="29"/>
      <w:bookmarkEnd w:id="30"/>
    </w:p>
    <w:p w14:paraId="1BA30D93" w14:textId="77777777" w:rsidR="008637F8" w:rsidRPr="0077428D" w:rsidRDefault="008637F8" w:rsidP="0036581E">
      <w:pPr>
        <w:pStyle w:val="Heading3"/>
        <w:spacing w:before="240"/>
      </w:pPr>
      <w:bookmarkStart w:id="32" w:name="_Toc384383338"/>
      <w:bookmarkStart w:id="33" w:name="_Toc392159290"/>
      <w:r w:rsidRPr="0077428D">
        <w:t xml:space="preserve">Instructions and Measurement </w:t>
      </w:r>
    </w:p>
    <w:p w14:paraId="0904D95C" w14:textId="6ABD6544" w:rsidR="00413366" w:rsidRPr="00781112" w:rsidRDefault="00413366" w:rsidP="0077428D">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77428D">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29752C3E" w14:textId="5A8D4F49" w:rsidR="0077428D" w:rsidRPr="0077428D" w:rsidRDefault="00B01978" w:rsidP="00155DFD">
      <w:pPr>
        <w:pStyle w:val="ListParagraph"/>
        <w:numPr>
          <w:ilvl w:val="0"/>
          <w:numId w:val="20"/>
        </w:numPr>
        <w:ind w:hanging="270"/>
        <w:rPr>
          <w:rFonts w:cs="Arial"/>
          <w:szCs w:val="16"/>
        </w:rPr>
      </w:pPr>
      <w:r w:rsidRPr="0077428D">
        <w:rPr>
          <w:rFonts w:cs="Arial"/>
          <w:szCs w:val="16"/>
        </w:rPr>
        <w:t xml:space="preserve">Percent of local educational agencies (LEA) that have a significant discrepancy, as defined by the State, in the rate of suspensions and expulsions of greater than 10 days in a school year for children with </w:t>
      </w:r>
      <w:proofErr w:type="gramStart"/>
      <w:r w:rsidRPr="0077428D">
        <w:rPr>
          <w:rFonts w:cs="Arial"/>
          <w:szCs w:val="16"/>
        </w:rPr>
        <w:t>IEPs;</w:t>
      </w:r>
      <w:proofErr w:type="gramEnd"/>
      <w:r w:rsidRPr="0077428D">
        <w:rPr>
          <w:rFonts w:cs="Arial"/>
          <w:szCs w:val="16"/>
        </w:rPr>
        <w:t xml:space="preserve"> and</w:t>
      </w:r>
    </w:p>
    <w:p w14:paraId="021F68CD" w14:textId="547E5481" w:rsidR="00413366" w:rsidRPr="0077428D" w:rsidRDefault="001D5BAF" w:rsidP="00155DFD">
      <w:pPr>
        <w:pStyle w:val="ListParagraph"/>
        <w:numPr>
          <w:ilvl w:val="0"/>
          <w:numId w:val="20"/>
        </w:numPr>
        <w:ind w:hanging="270"/>
        <w:rPr>
          <w:rFonts w:cs="Arial"/>
          <w:szCs w:val="16"/>
        </w:rPr>
      </w:pPr>
      <w:r w:rsidRPr="0077428D">
        <w:rPr>
          <w:rFonts w:cs="Arial"/>
          <w:color w:val="000000" w:themeColor="text1"/>
          <w:szCs w:val="16"/>
        </w:rPr>
        <w:t>Percent of LEAs that have: (a) a significant discrepancy,</w:t>
      </w:r>
      <w:r w:rsidR="007F1D12" w:rsidRPr="0077428D">
        <w:rPr>
          <w:rFonts w:cs="Arial"/>
          <w:szCs w:val="16"/>
        </w:rPr>
        <w:t xml:space="preserve"> as defined by the State, </w:t>
      </w:r>
      <w:r w:rsidRPr="0077428D">
        <w:rPr>
          <w:rFonts w:cs="Arial"/>
          <w:color w:val="000000" w:themeColor="text1"/>
          <w:szCs w:val="16"/>
        </w:rPr>
        <w:t>by race or ethnicity</w:t>
      </w:r>
      <w:r w:rsidR="00413366" w:rsidRPr="0077428D">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7428D">
        <w:rPr>
          <w:rFonts w:cs="Arial"/>
          <w:bCs/>
          <w:color w:val="000000" w:themeColor="text1"/>
          <w:szCs w:val="16"/>
          <w:shd w:val="clear" w:color="auto" w:fill="FFFFFF"/>
        </w:rPr>
        <w:t xml:space="preserve">, </w:t>
      </w:r>
      <w:r w:rsidR="000C0565" w:rsidRPr="0077428D">
        <w:rPr>
          <w:rFonts w:cs="Arial"/>
          <w:szCs w:val="16"/>
        </w:rPr>
        <w:t xml:space="preserve">as defined by the State, </w:t>
      </w:r>
      <w:r w:rsidR="00413366" w:rsidRPr="0077428D">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77428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36581E">
      <w:pPr>
        <w:pStyle w:val="Heading4"/>
      </w:pPr>
      <w:r w:rsidRPr="00781112">
        <w:t>Data Source</w:t>
      </w:r>
    </w:p>
    <w:p w14:paraId="5BDC9967" w14:textId="77777777" w:rsidR="00413366" w:rsidRPr="00781112" w:rsidRDefault="00413366" w:rsidP="0077428D">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36581E">
      <w:pPr>
        <w:pStyle w:val="Heading4"/>
      </w:pPr>
      <w:r w:rsidRPr="00781112">
        <w:t>Measurement</w:t>
      </w:r>
    </w:p>
    <w:p w14:paraId="509BF292" w14:textId="47666D05" w:rsidR="00413366" w:rsidRPr="00781112" w:rsidRDefault="00413366" w:rsidP="0077428D">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77428D">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36581E">
      <w:pPr>
        <w:pStyle w:val="Heading4"/>
      </w:pPr>
      <w:r w:rsidRPr="00781112">
        <w:t>Instructions</w:t>
      </w:r>
    </w:p>
    <w:p w14:paraId="516DD2DE" w14:textId="74244F0A" w:rsidR="00413366" w:rsidRPr="00781112" w:rsidRDefault="00413366" w:rsidP="0077428D">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w:t>
      </w:r>
    </w:p>
    <w:p w14:paraId="7D3F6556" w14:textId="2FF91624" w:rsidR="00413366" w:rsidRPr="00781112" w:rsidRDefault="0016730D" w:rsidP="0077428D">
      <w:pPr>
        <w:spacing w:after="0"/>
        <w:rPr>
          <w:rFonts w:cs="Arial"/>
          <w:color w:val="000000" w:themeColor="text1"/>
          <w:szCs w:val="16"/>
        </w:rPr>
      </w:pPr>
      <w:r w:rsidRPr="00781112">
        <w:rPr>
          <w:rFonts w:cs="Arial"/>
          <w:color w:val="000000" w:themeColor="text1"/>
          <w:szCs w:val="16"/>
        </w:rPr>
        <w:lastRenderedPageBreak/>
        <w:t xml:space="preserve">Describe the results of the State’s examination of the data for the year before the reporting year (e.g., for the FFY 2020 SPP/APR, use data from 2019-2020),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5E5E72CD" w:rsidR="00413366" w:rsidRPr="0077428D" w:rsidRDefault="00515E61" w:rsidP="00155DFD">
      <w:pPr>
        <w:pStyle w:val="ListParagraph"/>
        <w:numPr>
          <w:ilvl w:val="0"/>
          <w:numId w:val="21"/>
        </w:numPr>
        <w:rPr>
          <w:rFonts w:cs="Arial"/>
          <w:color w:val="000000" w:themeColor="text1"/>
          <w:szCs w:val="16"/>
        </w:rPr>
      </w:pPr>
      <w:r w:rsidRPr="0077428D">
        <w:rPr>
          <w:rFonts w:cs="Arial"/>
          <w:color w:val="000000" w:themeColor="text1"/>
          <w:szCs w:val="16"/>
        </w:rPr>
        <w:t>The rates of suspensions and expulsions for children with IEPs among LEAs within the State; or</w:t>
      </w:r>
    </w:p>
    <w:p w14:paraId="4B77809C" w14:textId="5293F31A" w:rsidR="00413366" w:rsidRPr="0077428D" w:rsidRDefault="00515E61" w:rsidP="00155DFD">
      <w:pPr>
        <w:pStyle w:val="ListParagraph"/>
        <w:numPr>
          <w:ilvl w:val="0"/>
          <w:numId w:val="21"/>
        </w:numPr>
        <w:rPr>
          <w:rFonts w:cs="Arial"/>
          <w:color w:val="000000" w:themeColor="text1"/>
          <w:szCs w:val="16"/>
        </w:rPr>
      </w:pPr>
      <w:r w:rsidRPr="0077428D">
        <w:rPr>
          <w:rFonts w:cs="Arial"/>
          <w:color w:val="000000" w:themeColor="text1"/>
          <w:szCs w:val="16"/>
        </w:rPr>
        <w:t>The rates of suspensions and expulsions for children with IEPs to nondisabled children within the LEAs</w:t>
      </w:r>
    </w:p>
    <w:p w14:paraId="428DC587" w14:textId="18ECA0E1" w:rsidR="00413366" w:rsidRPr="00781112" w:rsidRDefault="00413366" w:rsidP="0077428D">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77777777" w:rsidR="00474DB4" w:rsidRPr="00781112" w:rsidRDefault="00474DB4" w:rsidP="0077428D">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42FA82A8" w14:textId="776B256B" w:rsidR="00413366" w:rsidRPr="00781112" w:rsidRDefault="00413366" w:rsidP="0077428D">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014486D4" w:rsidR="00413366" w:rsidRPr="00781112" w:rsidRDefault="00413366" w:rsidP="0077428D">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244FF3E4" w14:textId="77777777" w:rsidR="00413366" w:rsidRPr="00781112" w:rsidRDefault="00413366" w:rsidP="0077428D">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4219B809" w:rsidR="00413366" w:rsidRPr="00781112" w:rsidRDefault="0016730D" w:rsidP="0077428D">
      <w:pPr>
        <w:rPr>
          <w:rFonts w:cs="Arial"/>
          <w:color w:val="000000" w:themeColor="text1"/>
          <w:szCs w:val="16"/>
        </w:rPr>
      </w:pPr>
      <w:r w:rsidRPr="00781112">
        <w:rPr>
          <w:rFonts w:cs="Arial"/>
          <w:color w:val="000000" w:themeColor="text1"/>
          <w:szCs w:val="16"/>
        </w:rPr>
        <w:lastRenderedPageBreak/>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A2E05BE" w14:textId="77777777" w:rsidR="00413366" w:rsidRPr="00781112" w:rsidRDefault="00413366" w:rsidP="0077428D">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77428D">
      <w:pPr>
        <w:pStyle w:val="Heading3"/>
      </w:pPr>
      <w:r w:rsidRPr="00781112">
        <w:t>4B</w:t>
      </w:r>
      <w:r w:rsidR="00E90DE9" w:rsidRPr="00781112">
        <w:t xml:space="preserve"> </w:t>
      </w:r>
      <w:r w:rsidRPr="00781112">
        <w:t xml:space="preserve">- </w:t>
      </w:r>
      <w:r w:rsidR="00D90B7C" w:rsidRPr="00781112">
        <w:t>Indicator Data</w:t>
      </w:r>
    </w:p>
    <w:p w14:paraId="113E64CF" w14:textId="211F5300" w:rsidR="00CA0009" w:rsidRPr="008B1972" w:rsidRDefault="0091098C" w:rsidP="00314F94">
      <w:pPr>
        <w:pStyle w:val="ListParagraph"/>
        <w:numPr>
          <w:ilvl w:val="0"/>
          <w:numId w:val="133"/>
        </w:numPr>
        <w:rPr>
          <w:bCs/>
          <w:color w:val="000000" w:themeColor="text1"/>
        </w:rPr>
      </w:pPr>
      <w:r w:rsidRPr="008B1972">
        <w:rPr>
          <w:bCs/>
          <w:color w:val="000000" w:themeColor="text1"/>
        </w:rPr>
        <w:t xml:space="preserve">Not </w:t>
      </w:r>
      <w:r w:rsidR="0077428D" w:rsidRPr="008B1972">
        <w:rPr>
          <w:bCs/>
          <w:color w:val="000000" w:themeColor="text1"/>
        </w:rPr>
        <w:t>a</w:t>
      </w:r>
      <w:r w:rsidRPr="008B1972">
        <w:rPr>
          <w:bCs/>
          <w:color w:val="000000" w:themeColor="text1"/>
        </w:rPr>
        <w:t>pplicable</w:t>
      </w:r>
    </w:p>
    <w:p w14:paraId="01A6DC15" w14:textId="244F6F21" w:rsidR="00F9524E" w:rsidRPr="00781112" w:rsidRDefault="00C144E3" w:rsidP="0077428D">
      <w:pPr>
        <w:rPr>
          <w:b/>
          <w:color w:val="000000" w:themeColor="text1"/>
        </w:rPr>
      </w:pPr>
      <w:r w:rsidRPr="00781112">
        <w:rPr>
          <w:b/>
          <w:color w:val="000000" w:themeColor="text1"/>
        </w:rPr>
        <w:t>Select yes if this indicator is not applicable.</w:t>
      </w:r>
    </w:p>
    <w:p w14:paraId="2A73B0E0" w14:textId="58859637" w:rsidR="00CF0A73" w:rsidRPr="008B1972" w:rsidRDefault="003D75CB" w:rsidP="00314F94">
      <w:pPr>
        <w:pStyle w:val="ListParagraph"/>
        <w:numPr>
          <w:ilvl w:val="0"/>
          <w:numId w:val="134"/>
        </w:numPr>
        <w:rPr>
          <w:rFonts w:cs="Arial"/>
          <w:color w:val="000000" w:themeColor="text1"/>
          <w:szCs w:val="16"/>
        </w:rPr>
      </w:pPr>
      <w:r w:rsidRPr="008B1972">
        <w:rPr>
          <w:rFonts w:cs="Arial"/>
          <w:color w:val="000000" w:themeColor="text1"/>
          <w:szCs w:val="16"/>
        </w:rPr>
        <w:t>No</w:t>
      </w:r>
    </w:p>
    <w:p w14:paraId="069D75E9" w14:textId="295D06A5" w:rsidR="00BB7BC9" w:rsidRPr="00781112" w:rsidRDefault="00BB7BC9" w:rsidP="00815ACE">
      <w:pPr>
        <w:pStyle w:val="Caption"/>
      </w:pPr>
      <w:r w:rsidRPr="00781112">
        <w:t>Historical Data</w:t>
      </w:r>
      <w:r w:rsidR="0097256F">
        <w:t xml:space="preserve"> (4B)</w:t>
      </w:r>
    </w:p>
    <w:tbl>
      <w:tblPr>
        <w:tblStyle w:val="TableGrid"/>
        <w:tblW w:w="0" w:type="auto"/>
        <w:tblLook w:val="04A0" w:firstRow="1" w:lastRow="0" w:firstColumn="1" w:lastColumn="0" w:noHBand="0" w:noVBand="1"/>
        <w:tblDescription w:val="Table provides baseline year and baseline data for this indicator."/>
      </w:tblPr>
      <w:tblGrid>
        <w:gridCol w:w="2562"/>
        <w:gridCol w:w="2563"/>
      </w:tblGrid>
      <w:tr w:rsidR="001F64DB" w:rsidRPr="00781112" w14:paraId="79576181" w14:textId="77777777" w:rsidTr="0077428D">
        <w:trPr>
          <w:trHeight w:val="432"/>
          <w:tblHeader/>
        </w:trPr>
        <w:tc>
          <w:tcPr>
            <w:tcW w:w="2562" w:type="dxa"/>
            <w:shd w:val="clear" w:color="auto" w:fill="D9D9D9" w:themeFill="background1" w:themeFillShade="D9"/>
            <w:vAlign w:val="center"/>
          </w:tcPr>
          <w:p w14:paraId="3F975A24" w14:textId="77777777" w:rsidR="001F64DB" w:rsidRPr="00781112" w:rsidRDefault="001F64DB" w:rsidP="0077428D">
            <w:pPr>
              <w:spacing w:after="0" w:line="276" w:lineRule="auto"/>
              <w:jc w:val="center"/>
              <w:rPr>
                <w:b/>
                <w:color w:val="000000" w:themeColor="text1"/>
              </w:rPr>
            </w:pPr>
            <w:r w:rsidRPr="00781112">
              <w:rPr>
                <w:rFonts w:cs="Arial"/>
                <w:b/>
                <w:color w:val="000000" w:themeColor="text1"/>
                <w:szCs w:val="16"/>
              </w:rPr>
              <w:t>Baseline Year</w:t>
            </w:r>
          </w:p>
        </w:tc>
        <w:tc>
          <w:tcPr>
            <w:tcW w:w="2563" w:type="dxa"/>
            <w:shd w:val="clear" w:color="auto" w:fill="D9D9D9" w:themeFill="background1" w:themeFillShade="D9"/>
            <w:vAlign w:val="center"/>
          </w:tcPr>
          <w:p w14:paraId="2C69FE8E" w14:textId="77777777" w:rsidR="001F64DB" w:rsidRPr="00781112" w:rsidRDefault="001F64DB" w:rsidP="0077428D">
            <w:pPr>
              <w:spacing w:after="0" w:line="276" w:lineRule="auto"/>
              <w:jc w:val="center"/>
              <w:rPr>
                <w:b/>
                <w:color w:val="000000" w:themeColor="text1"/>
              </w:rPr>
            </w:pPr>
            <w:r w:rsidRPr="00781112">
              <w:rPr>
                <w:b/>
                <w:color w:val="000000" w:themeColor="text1"/>
              </w:rPr>
              <w:t>Baseline Data</w:t>
            </w:r>
          </w:p>
        </w:tc>
      </w:tr>
      <w:tr w:rsidR="001F64DB" w:rsidRPr="00781112" w14:paraId="53FC8895" w14:textId="77777777" w:rsidTr="0077428D">
        <w:trPr>
          <w:trHeight w:val="432"/>
        </w:trPr>
        <w:tc>
          <w:tcPr>
            <w:tcW w:w="2562" w:type="dxa"/>
            <w:vAlign w:val="center"/>
          </w:tcPr>
          <w:p w14:paraId="28447C7D" w14:textId="6D0F8050" w:rsidR="001F64DB" w:rsidRPr="00781112" w:rsidRDefault="001F64DB" w:rsidP="0077428D">
            <w:pPr>
              <w:spacing w:after="0" w:line="276" w:lineRule="auto"/>
              <w:jc w:val="center"/>
              <w:rPr>
                <w:b/>
                <w:color w:val="000000" w:themeColor="text1"/>
              </w:rPr>
            </w:pPr>
            <w:r w:rsidRPr="00781112">
              <w:rPr>
                <w:rFonts w:cs="Arial"/>
                <w:color w:val="000000" w:themeColor="text1"/>
                <w:szCs w:val="16"/>
              </w:rPr>
              <w:t>2016</w:t>
            </w:r>
          </w:p>
        </w:tc>
        <w:tc>
          <w:tcPr>
            <w:tcW w:w="2563" w:type="dxa"/>
            <w:vAlign w:val="center"/>
          </w:tcPr>
          <w:p w14:paraId="66688D2B" w14:textId="7F6A1027" w:rsidR="001F64DB" w:rsidRPr="00781112" w:rsidRDefault="001F64DB" w:rsidP="0077428D">
            <w:pPr>
              <w:spacing w:after="0" w:line="276" w:lineRule="auto"/>
              <w:jc w:val="center"/>
              <w:rPr>
                <w:b/>
                <w:color w:val="000000" w:themeColor="text1"/>
              </w:rPr>
            </w:pPr>
            <w:r w:rsidRPr="00781112">
              <w:rPr>
                <w:rFonts w:cs="Arial"/>
                <w:color w:val="000000" w:themeColor="text1"/>
                <w:szCs w:val="16"/>
              </w:rPr>
              <w:t>0.76%</w:t>
            </w:r>
          </w:p>
        </w:tc>
      </w:tr>
    </w:tbl>
    <w:p w14:paraId="5B271C5C" w14:textId="788DBDDC" w:rsidR="001F64DB" w:rsidRPr="0077428D" w:rsidRDefault="0077428D" w:rsidP="00815ACE">
      <w:pPr>
        <w:pStyle w:val="Caption"/>
      </w:pPr>
      <w:r w:rsidRPr="00572E2A">
        <w:t>Historical Data (FFY)</w:t>
      </w:r>
      <w:r w:rsidR="0097256F">
        <w:t xml:space="preserve"> (4B)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6E379028" w14:textId="77777777" w:rsidTr="0077428D">
        <w:trPr>
          <w:trHeight w:val="432"/>
          <w:tblHeader/>
        </w:trPr>
        <w:tc>
          <w:tcPr>
            <w:tcW w:w="833" w:type="pct"/>
            <w:tcBorders>
              <w:bottom w:val="single" w:sz="4" w:space="0" w:color="auto"/>
            </w:tcBorders>
            <w:shd w:val="clear" w:color="auto" w:fill="D9D9D9" w:themeFill="background1" w:themeFillShade="D9"/>
            <w:vAlign w:val="center"/>
          </w:tcPr>
          <w:p w14:paraId="23D7B707" w14:textId="77777777" w:rsidR="00BB7BC9" w:rsidRPr="00781112" w:rsidRDefault="00BB7BC9" w:rsidP="006D0DC2">
            <w:pPr>
              <w:spacing w:after="0"/>
              <w:jc w:val="center"/>
              <w:rPr>
                <w:b/>
                <w:color w:val="000000" w:themeColor="text1"/>
              </w:rPr>
            </w:pPr>
            <w:r w:rsidRPr="00781112">
              <w:rPr>
                <w:b/>
                <w:color w:val="000000" w:themeColor="text1"/>
              </w:rPr>
              <w:t>FFY</w:t>
            </w:r>
          </w:p>
        </w:tc>
        <w:tc>
          <w:tcPr>
            <w:tcW w:w="833" w:type="pct"/>
            <w:shd w:val="clear" w:color="auto" w:fill="D9D9D9" w:themeFill="background1" w:themeFillShade="D9"/>
            <w:vAlign w:val="center"/>
          </w:tcPr>
          <w:p w14:paraId="25954044" w14:textId="160ED41F" w:rsidR="00BB7BC9" w:rsidRPr="00781112" w:rsidRDefault="002B7490" w:rsidP="0077428D">
            <w:pPr>
              <w:spacing w:after="0"/>
              <w:jc w:val="center"/>
              <w:rPr>
                <w:b/>
                <w:color w:val="000000" w:themeColor="text1"/>
              </w:rPr>
            </w:pPr>
            <w:r w:rsidRPr="00781112">
              <w:rPr>
                <w:b/>
                <w:color w:val="000000" w:themeColor="text1"/>
              </w:rPr>
              <w:t>2015</w:t>
            </w:r>
          </w:p>
        </w:tc>
        <w:tc>
          <w:tcPr>
            <w:tcW w:w="833" w:type="pct"/>
            <w:shd w:val="clear" w:color="auto" w:fill="D9D9D9" w:themeFill="background1" w:themeFillShade="D9"/>
            <w:vAlign w:val="center"/>
          </w:tcPr>
          <w:p w14:paraId="69CF376F" w14:textId="7375A3F7" w:rsidR="00BB7BC9" w:rsidRPr="00781112" w:rsidRDefault="002B7490" w:rsidP="0077428D">
            <w:pPr>
              <w:spacing w:after="0"/>
              <w:jc w:val="center"/>
              <w:rPr>
                <w:b/>
                <w:color w:val="000000" w:themeColor="text1"/>
              </w:rPr>
            </w:pPr>
            <w:r w:rsidRPr="00781112">
              <w:rPr>
                <w:b/>
                <w:color w:val="000000" w:themeColor="text1"/>
              </w:rPr>
              <w:t>2016</w:t>
            </w:r>
          </w:p>
        </w:tc>
        <w:tc>
          <w:tcPr>
            <w:tcW w:w="833" w:type="pct"/>
            <w:shd w:val="clear" w:color="auto" w:fill="D9D9D9" w:themeFill="background1" w:themeFillShade="D9"/>
            <w:vAlign w:val="center"/>
          </w:tcPr>
          <w:p w14:paraId="4D8E8925" w14:textId="689058A4" w:rsidR="00BB7BC9" w:rsidRPr="00781112" w:rsidRDefault="002B7490" w:rsidP="0077428D">
            <w:pPr>
              <w:spacing w:after="0"/>
              <w:jc w:val="center"/>
              <w:rPr>
                <w:b/>
                <w:color w:val="000000" w:themeColor="text1"/>
              </w:rPr>
            </w:pPr>
            <w:r w:rsidRPr="00781112">
              <w:rPr>
                <w:b/>
                <w:color w:val="000000" w:themeColor="text1"/>
              </w:rPr>
              <w:t>2017</w:t>
            </w:r>
          </w:p>
        </w:tc>
        <w:tc>
          <w:tcPr>
            <w:tcW w:w="833" w:type="pct"/>
            <w:shd w:val="clear" w:color="auto" w:fill="D9D9D9" w:themeFill="background1" w:themeFillShade="D9"/>
            <w:vAlign w:val="center"/>
          </w:tcPr>
          <w:p w14:paraId="703038E4" w14:textId="1BE5FB5A" w:rsidR="00BB7BC9" w:rsidRPr="00781112" w:rsidRDefault="002B7490" w:rsidP="0077428D">
            <w:pPr>
              <w:spacing w:after="0"/>
              <w:jc w:val="center"/>
              <w:rPr>
                <w:b/>
                <w:color w:val="000000" w:themeColor="text1"/>
              </w:rPr>
            </w:pPr>
            <w:r w:rsidRPr="00781112">
              <w:rPr>
                <w:b/>
                <w:color w:val="000000" w:themeColor="text1"/>
              </w:rPr>
              <w:t>2018</w:t>
            </w:r>
          </w:p>
        </w:tc>
        <w:tc>
          <w:tcPr>
            <w:tcW w:w="834" w:type="pct"/>
            <w:shd w:val="clear" w:color="auto" w:fill="D9D9D9" w:themeFill="background1" w:themeFillShade="D9"/>
            <w:vAlign w:val="center"/>
          </w:tcPr>
          <w:p w14:paraId="0503649D" w14:textId="176B5064" w:rsidR="00BB7BC9" w:rsidRPr="00781112" w:rsidRDefault="002B7490" w:rsidP="0077428D">
            <w:pPr>
              <w:spacing w:after="0"/>
              <w:jc w:val="center"/>
              <w:rPr>
                <w:b/>
                <w:color w:val="000000" w:themeColor="text1"/>
              </w:rPr>
            </w:pPr>
            <w:r w:rsidRPr="00781112">
              <w:rPr>
                <w:b/>
                <w:color w:val="000000" w:themeColor="text1"/>
              </w:rPr>
              <w:t>2019</w:t>
            </w:r>
          </w:p>
        </w:tc>
      </w:tr>
      <w:tr w:rsidR="005C29F8" w:rsidRPr="00781112" w14:paraId="39522776" w14:textId="77777777" w:rsidTr="0077428D">
        <w:trPr>
          <w:trHeight w:val="432"/>
        </w:trPr>
        <w:tc>
          <w:tcPr>
            <w:tcW w:w="833" w:type="pct"/>
            <w:shd w:val="clear" w:color="auto" w:fill="auto"/>
            <w:vAlign w:val="center"/>
          </w:tcPr>
          <w:p w14:paraId="64A2466A" w14:textId="3DCD7D97" w:rsidR="00BB7BC9" w:rsidRPr="00781112" w:rsidRDefault="00BB7BC9" w:rsidP="006D0DC2">
            <w:pPr>
              <w:spacing w:after="0"/>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rsidP="0077428D">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rsidP="0077428D">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rsidP="0077428D">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rsidP="0077428D">
            <w:pPr>
              <w:spacing w:after="0"/>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rsidP="0077428D">
            <w:pPr>
              <w:spacing w:after="0"/>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77428D">
        <w:trPr>
          <w:trHeight w:val="432"/>
        </w:trPr>
        <w:tc>
          <w:tcPr>
            <w:tcW w:w="833" w:type="pct"/>
            <w:shd w:val="clear" w:color="auto" w:fill="auto"/>
            <w:vAlign w:val="center"/>
          </w:tcPr>
          <w:p w14:paraId="1FC0AC5E" w14:textId="77777777" w:rsidR="00BB7BC9" w:rsidRPr="00781112" w:rsidRDefault="00BB7BC9" w:rsidP="006D0DC2">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77428D">
            <w:pPr>
              <w:spacing w:after="0"/>
              <w:jc w:val="center"/>
              <w:rPr>
                <w:rFonts w:cs="Arial"/>
                <w:color w:val="000000" w:themeColor="text1"/>
                <w:szCs w:val="16"/>
              </w:rPr>
            </w:pPr>
            <w:r w:rsidRPr="00781112">
              <w:rPr>
                <w:rFonts w:cs="Arial"/>
                <w:color w:val="000000" w:themeColor="text1"/>
                <w:szCs w:val="16"/>
              </w:rPr>
              <w:t>1.52%</w:t>
            </w:r>
          </w:p>
        </w:tc>
        <w:tc>
          <w:tcPr>
            <w:tcW w:w="833" w:type="pct"/>
            <w:shd w:val="clear" w:color="auto" w:fill="auto"/>
            <w:vAlign w:val="center"/>
          </w:tcPr>
          <w:p w14:paraId="6EE4BDB3" w14:textId="2442769C" w:rsidR="00BB7BC9" w:rsidRPr="00781112" w:rsidRDefault="002B7490" w:rsidP="0077428D">
            <w:pPr>
              <w:spacing w:after="0"/>
              <w:jc w:val="center"/>
              <w:rPr>
                <w:rFonts w:cs="Arial"/>
                <w:color w:val="000000" w:themeColor="text1"/>
                <w:szCs w:val="16"/>
              </w:rPr>
            </w:pPr>
            <w:r w:rsidRPr="00781112">
              <w:rPr>
                <w:rFonts w:cs="Arial"/>
                <w:color w:val="000000" w:themeColor="text1"/>
                <w:szCs w:val="16"/>
              </w:rPr>
              <w:t>0.76%</w:t>
            </w:r>
          </w:p>
        </w:tc>
        <w:tc>
          <w:tcPr>
            <w:tcW w:w="833" w:type="pct"/>
            <w:tcBorders>
              <w:bottom w:val="single" w:sz="4" w:space="0" w:color="auto"/>
            </w:tcBorders>
            <w:shd w:val="clear" w:color="auto" w:fill="auto"/>
            <w:vAlign w:val="center"/>
          </w:tcPr>
          <w:p w14:paraId="584E7243" w14:textId="6DD2B85E" w:rsidR="00BB7BC9" w:rsidRPr="00781112" w:rsidRDefault="002B7490" w:rsidP="0077428D">
            <w:pPr>
              <w:spacing w:after="0"/>
              <w:jc w:val="center"/>
              <w:rPr>
                <w:rFonts w:cs="Arial"/>
                <w:color w:val="000000" w:themeColor="text1"/>
                <w:szCs w:val="16"/>
              </w:rPr>
            </w:pPr>
            <w:r w:rsidRPr="00781112">
              <w:rPr>
                <w:rFonts w:cs="Arial"/>
                <w:color w:val="000000" w:themeColor="text1"/>
                <w:szCs w:val="16"/>
              </w:rPr>
              <w:t>0.76%</w:t>
            </w:r>
          </w:p>
        </w:tc>
        <w:tc>
          <w:tcPr>
            <w:tcW w:w="833" w:type="pct"/>
            <w:tcBorders>
              <w:bottom w:val="single" w:sz="4" w:space="0" w:color="auto"/>
            </w:tcBorders>
            <w:shd w:val="clear" w:color="auto" w:fill="auto"/>
            <w:vAlign w:val="center"/>
          </w:tcPr>
          <w:p w14:paraId="54826674" w14:textId="13F0F281" w:rsidR="00BB7BC9" w:rsidRPr="00781112" w:rsidRDefault="002B7490" w:rsidP="0077428D">
            <w:pPr>
              <w:spacing w:after="0"/>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77428D">
            <w:pPr>
              <w:spacing w:after="0"/>
              <w:jc w:val="center"/>
              <w:rPr>
                <w:rFonts w:cs="Arial"/>
                <w:color w:val="000000" w:themeColor="text1"/>
                <w:szCs w:val="16"/>
              </w:rPr>
            </w:pPr>
            <w:r w:rsidRPr="00781112">
              <w:rPr>
                <w:rFonts w:cs="Arial"/>
                <w:color w:val="000000" w:themeColor="text1"/>
                <w:szCs w:val="16"/>
              </w:rPr>
              <w:t>0.00%</w:t>
            </w:r>
          </w:p>
        </w:tc>
      </w:tr>
    </w:tbl>
    <w:p w14:paraId="31722FA9" w14:textId="168E852E" w:rsidR="0016730D" w:rsidRPr="00781112" w:rsidRDefault="0016730D" w:rsidP="00815ACE">
      <w:pPr>
        <w:pStyle w:val="Caption"/>
      </w:pPr>
      <w:r w:rsidRPr="00781112">
        <w:t>Targets</w:t>
      </w:r>
      <w:r w:rsidR="0097256F">
        <w:t xml:space="preserve"> (4B)</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targets for federal fiscal years 2020-2025 for this indicator."/>
      </w:tblPr>
      <w:tblGrid>
        <w:gridCol w:w="1074"/>
        <w:gridCol w:w="1566"/>
        <w:gridCol w:w="1567"/>
        <w:gridCol w:w="1567"/>
        <w:gridCol w:w="1567"/>
        <w:gridCol w:w="1567"/>
        <w:gridCol w:w="1565"/>
      </w:tblGrid>
      <w:tr w:rsidR="00D62058" w:rsidRPr="00781112" w14:paraId="1019C6DC" w14:textId="17898954" w:rsidTr="0077428D">
        <w:trPr>
          <w:trHeight w:val="432"/>
          <w:tblHeader/>
        </w:trPr>
        <w:tc>
          <w:tcPr>
            <w:tcW w:w="513" w:type="pct"/>
            <w:tcBorders>
              <w:bottom w:val="single" w:sz="4" w:space="0" w:color="auto"/>
            </w:tcBorders>
            <w:shd w:val="clear" w:color="auto" w:fill="D9D9D9" w:themeFill="background1" w:themeFillShade="D9"/>
            <w:vAlign w:val="center"/>
          </w:tcPr>
          <w:p w14:paraId="049B323A" w14:textId="77777777" w:rsidR="00D62058" w:rsidRPr="00781112" w:rsidRDefault="00D62058" w:rsidP="0077428D">
            <w:pPr>
              <w:spacing w:after="0"/>
              <w:jc w:val="center"/>
              <w:rPr>
                <w:b/>
                <w:color w:val="000000" w:themeColor="text1"/>
              </w:rPr>
            </w:pPr>
            <w:r w:rsidRPr="00781112">
              <w:rPr>
                <w:b/>
                <w:color w:val="000000" w:themeColor="text1"/>
              </w:rPr>
              <w:t>FFY</w:t>
            </w:r>
          </w:p>
        </w:tc>
        <w:tc>
          <w:tcPr>
            <w:tcW w:w="748" w:type="pct"/>
            <w:shd w:val="clear" w:color="auto" w:fill="D9D9D9" w:themeFill="background1" w:themeFillShade="D9"/>
            <w:vAlign w:val="center"/>
          </w:tcPr>
          <w:p w14:paraId="50E287A7" w14:textId="77777777" w:rsidR="00D62058" w:rsidRPr="00781112" w:rsidRDefault="00D62058" w:rsidP="0077428D">
            <w:pPr>
              <w:spacing w:after="0"/>
              <w:jc w:val="center"/>
              <w:rPr>
                <w:b/>
                <w:color w:val="000000" w:themeColor="text1"/>
              </w:rPr>
            </w:pPr>
            <w:r w:rsidRPr="00781112">
              <w:rPr>
                <w:b/>
                <w:color w:val="000000" w:themeColor="text1"/>
              </w:rPr>
              <w:t>2020</w:t>
            </w:r>
          </w:p>
        </w:tc>
        <w:tc>
          <w:tcPr>
            <w:tcW w:w="748" w:type="pct"/>
            <w:shd w:val="clear" w:color="auto" w:fill="D9D9D9" w:themeFill="background1" w:themeFillShade="D9"/>
            <w:vAlign w:val="center"/>
          </w:tcPr>
          <w:p w14:paraId="126623D3" w14:textId="402F1C62" w:rsidR="00D62058" w:rsidRPr="00781112" w:rsidRDefault="00D62058" w:rsidP="0077428D">
            <w:pPr>
              <w:spacing w:after="0"/>
              <w:jc w:val="center"/>
              <w:rPr>
                <w:b/>
                <w:color w:val="000000" w:themeColor="text1"/>
              </w:rPr>
            </w:pPr>
            <w:r w:rsidRPr="00781112">
              <w:rPr>
                <w:rFonts w:cs="Arial"/>
                <w:b/>
                <w:color w:val="000000" w:themeColor="text1"/>
                <w:szCs w:val="16"/>
              </w:rPr>
              <w:t>2021</w:t>
            </w:r>
          </w:p>
        </w:tc>
        <w:tc>
          <w:tcPr>
            <w:tcW w:w="748" w:type="pct"/>
            <w:shd w:val="clear" w:color="auto" w:fill="D9D9D9" w:themeFill="background1" w:themeFillShade="D9"/>
            <w:vAlign w:val="center"/>
          </w:tcPr>
          <w:p w14:paraId="737913FD" w14:textId="6A609FDC" w:rsidR="00D62058" w:rsidRPr="00781112" w:rsidRDefault="00D62058" w:rsidP="0077428D">
            <w:pPr>
              <w:spacing w:after="0"/>
              <w:jc w:val="center"/>
              <w:rPr>
                <w:b/>
                <w:color w:val="000000" w:themeColor="text1"/>
              </w:rPr>
            </w:pPr>
            <w:r w:rsidRPr="00781112">
              <w:rPr>
                <w:rFonts w:cs="Arial"/>
                <w:b/>
                <w:color w:val="000000" w:themeColor="text1"/>
                <w:szCs w:val="16"/>
              </w:rPr>
              <w:t>2022</w:t>
            </w:r>
          </w:p>
        </w:tc>
        <w:tc>
          <w:tcPr>
            <w:tcW w:w="748" w:type="pct"/>
            <w:shd w:val="clear" w:color="auto" w:fill="D9D9D9" w:themeFill="background1" w:themeFillShade="D9"/>
            <w:vAlign w:val="center"/>
          </w:tcPr>
          <w:p w14:paraId="0700D5E9" w14:textId="17E1A6F9" w:rsidR="00D62058" w:rsidRPr="00781112" w:rsidRDefault="00D62058" w:rsidP="0077428D">
            <w:pPr>
              <w:spacing w:after="0"/>
              <w:jc w:val="center"/>
              <w:rPr>
                <w:b/>
                <w:color w:val="000000" w:themeColor="text1"/>
              </w:rPr>
            </w:pPr>
            <w:r w:rsidRPr="00781112">
              <w:rPr>
                <w:rFonts w:cs="Arial"/>
                <w:b/>
                <w:color w:val="000000" w:themeColor="text1"/>
                <w:szCs w:val="16"/>
              </w:rPr>
              <w:t>2023</w:t>
            </w:r>
          </w:p>
        </w:tc>
        <w:tc>
          <w:tcPr>
            <w:tcW w:w="748" w:type="pct"/>
            <w:shd w:val="clear" w:color="auto" w:fill="D9D9D9" w:themeFill="background1" w:themeFillShade="D9"/>
            <w:vAlign w:val="center"/>
          </w:tcPr>
          <w:p w14:paraId="461B0F01" w14:textId="46CF4F16" w:rsidR="00D62058" w:rsidRPr="00781112" w:rsidRDefault="00D62058" w:rsidP="0077428D">
            <w:pPr>
              <w:spacing w:after="0"/>
              <w:jc w:val="center"/>
              <w:rPr>
                <w:b/>
                <w:color w:val="000000" w:themeColor="text1"/>
              </w:rPr>
            </w:pPr>
            <w:r w:rsidRPr="00781112">
              <w:rPr>
                <w:rFonts w:cs="Arial"/>
                <w:b/>
                <w:color w:val="000000" w:themeColor="text1"/>
                <w:szCs w:val="16"/>
              </w:rPr>
              <w:t>2024</w:t>
            </w:r>
          </w:p>
        </w:tc>
        <w:tc>
          <w:tcPr>
            <w:tcW w:w="748" w:type="pct"/>
            <w:shd w:val="clear" w:color="auto" w:fill="D9D9D9" w:themeFill="background1" w:themeFillShade="D9"/>
            <w:vAlign w:val="center"/>
          </w:tcPr>
          <w:p w14:paraId="171B7E85" w14:textId="1A19D46A" w:rsidR="00D62058" w:rsidRPr="00781112" w:rsidRDefault="00D62058" w:rsidP="0077428D">
            <w:pPr>
              <w:spacing w:after="0"/>
              <w:jc w:val="center"/>
              <w:rPr>
                <w:b/>
                <w:color w:val="000000" w:themeColor="text1"/>
              </w:rPr>
            </w:pPr>
            <w:r w:rsidRPr="00781112">
              <w:rPr>
                <w:rFonts w:cs="Arial"/>
                <w:b/>
                <w:color w:val="000000" w:themeColor="text1"/>
                <w:szCs w:val="16"/>
              </w:rPr>
              <w:t>2025</w:t>
            </w:r>
          </w:p>
        </w:tc>
      </w:tr>
      <w:tr w:rsidR="00D62058" w:rsidRPr="00781112" w14:paraId="090BA5B6" w14:textId="14D1700A" w:rsidTr="0077428D">
        <w:trPr>
          <w:trHeight w:val="432"/>
        </w:trPr>
        <w:tc>
          <w:tcPr>
            <w:tcW w:w="513" w:type="pct"/>
            <w:shd w:val="clear" w:color="auto" w:fill="auto"/>
            <w:vAlign w:val="center"/>
          </w:tcPr>
          <w:p w14:paraId="47EE91AE" w14:textId="1203380B" w:rsidR="00D62058" w:rsidRPr="00781112" w:rsidRDefault="00D62058" w:rsidP="0077428D">
            <w:pPr>
              <w:spacing w:after="0"/>
              <w:rPr>
                <w:rFonts w:cs="Arial"/>
                <w:color w:val="000000" w:themeColor="text1"/>
                <w:szCs w:val="16"/>
              </w:rPr>
            </w:pPr>
            <w:r w:rsidRPr="00781112">
              <w:rPr>
                <w:rFonts w:cs="Arial"/>
                <w:color w:val="000000" w:themeColor="text1"/>
                <w:szCs w:val="16"/>
              </w:rPr>
              <w:t xml:space="preserve">Target </w:t>
            </w:r>
          </w:p>
        </w:tc>
        <w:tc>
          <w:tcPr>
            <w:tcW w:w="748" w:type="pct"/>
            <w:shd w:val="clear" w:color="auto" w:fill="auto"/>
            <w:vAlign w:val="center"/>
          </w:tcPr>
          <w:p w14:paraId="26579D0D" w14:textId="55868DD1" w:rsidR="00D62058" w:rsidRPr="00781112" w:rsidRDefault="00D62058" w:rsidP="0077428D">
            <w:pPr>
              <w:spacing w:after="0"/>
              <w:jc w:val="center"/>
              <w:rPr>
                <w:rFonts w:cs="Arial"/>
                <w:color w:val="000000" w:themeColor="text1"/>
                <w:szCs w:val="16"/>
              </w:rPr>
            </w:pPr>
            <w:r w:rsidRPr="00781112">
              <w:rPr>
                <w:rFonts w:cs="Arial"/>
                <w:color w:val="000000" w:themeColor="text1"/>
                <w:szCs w:val="16"/>
              </w:rPr>
              <w:t>0%</w:t>
            </w:r>
          </w:p>
        </w:tc>
        <w:tc>
          <w:tcPr>
            <w:tcW w:w="748" w:type="pct"/>
            <w:vAlign w:val="center"/>
          </w:tcPr>
          <w:p w14:paraId="41C3DA31" w14:textId="175676CA" w:rsidR="00D62058" w:rsidRPr="00781112" w:rsidRDefault="00D62058" w:rsidP="0077428D">
            <w:pPr>
              <w:spacing w:after="0"/>
              <w:jc w:val="center"/>
              <w:rPr>
                <w:rFonts w:cs="Arial"/>
                <w:color w:val="000000" w:themeColor="text1"/>
                <w:szCs w:val="16"/>
              </w:rPr>
            </w:pPr>
            <w:r w:rsidRPr="00781112">
              <w:rPr>
                <w:color w:val="000000" w:themeColor="text1"/>
                <w:szCs w:val="16"/>
              </w:rPr>
              <w:t>0%</w:t>
            </w:r>
          </w:p>
        </w:tc>
        <w:tc>
          <w:tcPr>
            <w:tcW w:w="748" w:type="pct"/>
            <w:vAlign w:val="center"/>
          </w:tcPr>
          <w:p w14:paraId="11966A3D" w14:textId="65AB7EFF" w:rsidR="00D62058" w:rsidRPr="00781112" w:rsidRDefault="00D62058" w:rsidP="0077428D">
            <w:pPr>
              <w:spacing w:after="0"/>
              <w:jc w:val="center"/>
              <w:rPr>
                <w:rFonts w:cs="Arial"/>
                <w:color w:val="000000" w:themeColor="text1"/>
                <w:szCs w:val="16"/>
              </w:rPr>
            </w:pPr>
            <w:r w:rsidRPr="00781112">
              <w:rPr>
                <w:color w:val="000000" w:themeColor="text1"/>
                <w:szCs w:val="16"/>
              </w:rPr>
              <w:t>0%</w:t>
            </w:r>
          </w:p>
        </w:tc>
        <w:tc>
          <w:tcPr>
            <w:tcW w:w="748" w:type="pct"/>
            <w:vAlign w:val="center"/>
          </w:tcPr>
          <w:p w14:paraId="527650DE" w14:textId="33C5B6E9" w:rsidR="00D62058" w:rsidRPr="00781112" w:rsidRDefault="00D62058" w:rsidP="0077428D">
            <w:pPr>
              <w:spacing w:after="0"/>
              <w:jc w:val="center"/>
              <w:rPr>
                <w:rFonts w:cs="Arial"/>
                <w:color w:val="000000" w:themeColor="text1"/>
                <w:szCs w:val="16"/>
              </w:rPr>
            </w:pPr>
            <w:r w:rsidRPr="00781112">
              <w:rPr>
                <w:color w:val="000000" w:themeColor="text1"/>
                <w:szCs w:val="16"/>
              </w:rPr>
              <w:t>0%</w:t>
            </w:r>
          </w:p>
        </w:tc>
        <w:tc>
          <w:tcPr>
            <w:tcW w:w="748" w:type="pct"/>
            <w:vAlign w:val="center"/>
          </w:tcPr>
          <w:p w14:paraId="20094305" w14:textId="5B15EE13" w:rsidR="00D62058" w:rsidRPr="00781112" w:rsidRDefault="00D62058" w:rsidP="0077428D">
            <w:pPr>
              <w:spacing w:after="0"/>
              <w:jc w:val="center"/>
              <w:rPr>
                <w:rFonts w:cs="Arial"/>
                <w:color w:val="000000" w:themeColor="text1"/>
                <w:szCs w:val="16"/>
              </w:rPr>
            </w:pPr>
            <w:r w:rsidRPr="00781112">
              <w:rPr>
                <w:color w:val="000000" w:themeColor="text1"/>
                <w:szCs w:val="16"/>
              </w:rPr>
              <w:t>0%</w:t>
            </w:r>
          </w:p>
        </w:tc>
        <w:tc>
          <w:tcPr>
            <w:tcW w:w="748" w:type="pct"/>
            <w:vAlign w:val="center"/>
          </w:tcPr>
          <w:p w14:paraId="1E5CDFA6" w14:textId="4D1CE5C4" w:rsidR="00D62058" w:rsidRPr="00781112" w:rsidRDefault="00D62058" w:rsidP="0077428D">
            <w:pPr>
              <w:spacing w:after="0"/>
              <w:jc w:val="center"/>
              <w:rPr>
                <w:rFonts w:cs="Arial"/>
                <w:color w:val="000000" w:themeColor="text1"/>
                <w:szCs w:val="16"/>
              </w:rPr>
            </w:pPr>
            <w:r w:rsidRPr="00781112">
              <w:rPr>
                <w:color w:val="000000" w:themeColor="text1"/>
                <w:szCs w:val="16"/>
              </w:rPr>
              <w:t>0%</w:t>
            </w:r>
          </w:p>
        </w:tc>
      </w:tr>
    </w:tbl>
    <w:p w14:paraId="6C217ADA" w14:textId="6FB60C61" w:rsidR="00D03701" w:rsidRPr="00781112" w:rsidRDefault="00F6415A" w:rsidP="00447D0B">
      <w:pPr>
        <w:pStyle w:val="Heading4"/>
      </w:pPr>
      <w:r w:rsidRPr="00781112">
        <w:t>FFY 2020 SPP/APR Data</w:t>
      </w:r>
      <w:bookmarkEnd w:id="32"/>
      <w:bookmarkEnd w:id="33"/>
    </w:p>
    <w:p w14:paraId="51C79687" w14:textId="260CFDAD" w:rsidR="00F9524E" w:rsidRPr="00781112" w:rsidRDefault="00F9524E" w:rsidP="0077428D">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32008C09" w:rsidR="00F9524E" w:rsidRPr="008B1972" w:rsidRDefault="003D75CB" w:rsidP="00314F94">
      <w:pPr>
        <w:pStyle w:val="ListParagraph"/>
        <w:numPr>
          <w:ilvl w:val="0"/>
          <w:numId w:val="135"/>
        </w:numPr>
        <w:rPr>
          <w:rFonts w:cs="Arial"/>
          <w:color w:val="000000" w:themeColor="text1"/>
          <w:szCs w:val="16"/>
        </w:rPr>
      </w:pPr>
      <w:r w:rsidRPr="008B1972">
        <w:rPr>
          <w:rFonts w:cs="Arial"/>
          <w:color w:val="000000" w:themeColor="text1"/>
          <w:szCs w:val="16"/>
        </w:rPr>
        <w:t>Yes</w:t>
      </w:r>
    </w:p>
    <w:p w14:paraId="69A72720" w14:textId="20C4A4A0" w:rsidR="00F9524E" w:rsidRPr="00781112" w:rsidRDefault="00F9524E" w:rsidP="0077428D">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LEAs that met the State-established n/cell size. Report the number of LEAs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2B2EA26E" w14:textId="371A1BCC" w:rsidR="0077428D" w:rsidRPr="008B1972" w:rsidRDefault="00F9524E" w:rsidP="00314F94">
      <w:pPr>
        <w:pStyle w:val="ListParagraph"/>
        <w:numPr>
          <w:ilvl w:val="0"/>
          <w:numId w:val="136"/>
        </w:numPr>
        <w:rPr>
          <w:b/>
          <w:color w:val="000000" w:themeColor="text1"/>
        </w:rPr>
      </w:pPr>
      <w:r w:rsidRPr="008B1972">
        <w:rPr>
          <w:rFonts w:cs="Arial"/>
          <w:color w:val="000000" w:themeColor="text1"/>
          <w:szCs w:val="16"/>
        </w:rPr>
        <w:t>118</w:t>
      </w:r>
      <w:r w:rsidR="0077428D" w:rsidRPr="008B1972">
        <w:rPr>
          <w:b/>
          <w:color w:val="000000" w:themeColor="text1"/>
        </w:rPr>
        <w:br w:type="page"/>
      </w:r>
    </w:p>
    <w:p w14:paraId="7528C759" w14:textId="4A0255F5" w:rsidR="00C578AE" w:rsidRPr="00781112" w:rsidRDefault="00C578AE" w:rsidP="00815ACE">
      <w:pPr>
        <w:pStyle w:val="Caption"/>
      </w:pPr>
      <w:r w:rsidRPr="00781112">
        <w:lastRenderedPageBreak/>
        <w:t>FFY 2020 SPP/APR Data</w:t>
      </w:r>
      <w:r>
        <w:t xml:space="preserve"> (4B)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1795"/>
        <w:gridCol w:w="2070"/>
        <w:gridCol w:w="1709"/>
        <w:gridCol w:w="991"/>
        <w:gridCol w:w="1079"/>
        <w:gridCol w:w="902"/>
        <w:gridCol w:w="1027"/>
        <w:gridCol w:w="1217"/>
      </w:tblGrid>
      <w:tr w:rsidR="004F0EE5" w:rsidRPr="00781112" w14:paraId="38B0A91A" w14:textId="77777777" w:rsidTr="004F0EE5">
        <w:trPr>
          <w:trHeight w:val="994"/>
          <w:jc w:val="center"/>
        </w:trPr>
        <w:tc>
          <w:tcPr>
            <w:tcW w:w="832" w:type="pct"/>
            <w:shd w:val="clear" w:color="auto" w:fill="D9D9D9" w:themeFill="background1" w:themeFillShade="D9"/>
            <w:vAlign w:val="center"/>
          </w:tcPr>
          <w:p w14:paraId="7B29D1BD" w14:textId="32EC5502" w:rsidR="00DE45AB" w:rsidRPr="00781112" w:rsidRDefault="00DE45AB" w:rsidP="004F0EE5">
            <w:pPr>
              <w:spacing w:after="0"/>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959" w:type="pct"/>
            <w:shd w:val="clear" w:color="auto" w:fill="D9D9D9" w:themeFill="background1" w:themeFillShade="D9"/>
            <w:vAlign w:val="center"/>
          </w:tcPr>
          <w:p w14:paraId="5F8F5A3F" w14:textId="0F9AAB60" w:rsidR="00DE45AB" w:rsidRPr="00781112" w:rsidRDefault="00DE45AB" w:rsidP="004F0EE5">
            <w:pPr>
              <w:spacing w:after="0"/>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792" w:type="pct"/>
            <w:shd w:val="clear" w:color="auto" w:fill="D9D9D9" w:themeFill="background1" w:themeFillShade="D9"/>
            <w:vAlign w:val="center"/>
          </w:tcPr>
          <w:p w14:paraId="198605CB" w14:textId="35586744" w:rsidR="00DE45AB" w:rsidRPr="00781112" w:rsidRDefault="004B2A77" w:rsidP="004F0EE5">
            <w:pPr>
              <w:spacing w:after="0"/>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459" w:type="pct"/>
            <w:shd w:val="clear" w:color="auto" w:fill="D9D9D9" w:themeFill="background1" w:themeFillShade="D9"/>
            <w:vAlign w:val="center"/>
          </w:tcPr>
          <w:p w14:paraId="45990D98" w14:textId="3605E0A5" w:rsidR="00DE45AB" w:rsidRPr="00781112" w:rsidRDefault="00F6415A" w:rsidP="004F0EE5">
            <w:pPr>
              <w:spacing w:after="0"/>
              <w:jc w:val="center"/>
              <w:rPr>
                <w:rFonts w:cs="Arial"/>
                <w:b/>
                <w:color w:val="000000" w:themeColor="text1"/>
                <w:szCs w:val="16"/>
              </w:rPr>
            </w:pPr>
            <w:r w:rsidRPr="00781112">
              <w:rPr>
                <w:rFonts w:cs="Arial"/>
                <w:b/>
                <w:color w:val="000000" w:themeColor="text1"/>
                <w:szCs w:val="16"/>
              </w:rPr>
              <w:t>FFY 2019 Data</w:t>
            </w:r>
          </w:p>
        </w:tc>
        <w:tc>
          <w:tcPr>
            <w:tcW w:w="500" w:type="pct"/>
            <w:shd w:val="clear" w:color="auto" w:fill="D9D9D9" w:themeFill="background1" w:themeFillShade="D9"/>
            <w:vAlign w:val="center"/>
          </w:tcPr>
          <w:p w14:paraId="1BAB59B0" w14:textId="1A87FA14" w:rsidR="00DE45AB" w:rsidRPr="00781112" w:rsidRDefault="00F6415A" w:rsidP="004F0EE5">
            <w:pPr>
              <w:spacing w:after="0"/>
              <w:jc w:val="center"/>
              <w:rPr>
                <w:rFonts w:cs="Arial"/>
                <w:b/>
                <w:color w:val="000000" w:themeColor="text1"/>
                <w:szCs w:val="16"/>
              </w:rPr>
            </w:pPr>
            <w:r w:rsidRPr="00781112">
              <w:rPr>
                <w:rFonts w:cs="Arial"/>
                <w:b/>
                <w:color w:val="000000" w:themeColor="text1"/>
                <w:szCs w:val="16"/>
              </w:rPr>
              <w:t>FFY 2020 Target</w:t>
            </w:r>
          </w:p>
        </w:tc>
        <w:tc>
          <w:tcPr>
            <w:tcW w:w="418" w:type="pct"/>
            <w:shd w:val="clear" w:color="auto" w:fill="D9D9D9" w:themeFill="background1" w:themeFillShade="D9"/>
            <w:vAlign w:val="center"/>
          </w:tcPr>
          <w:p w14:paraId="179C63C5" w14:textId="6D918676" w:rsidR="00DE45AB" w:rsidRPr="00781112" w:rsidRDefault="00F6415A" w:rsidP="004F0EE5">
            <w:pPr>
              <w:spacing w:after="0"/>
              <w:jc w:val="center"/>
              <w:rPr>
                <w:rFonts w:cs="Arial"/>
                <w:b/>
                <w:color w:val="000000" w:themeColor="text1"/>
                <w:szCs w:val="16"/>
              </w:rPr>
            </w:pPr>
            <w:r w:rsidRPr="00781112">
              <w:rPr>
                <w:rFonts w:cs="Arial"/>
                <w:b/>
                <w:color w:val="000000" w:themeColor="text1"/>
                <w:szCs w:val="16"/>
              </w:rPr>
              <w:t>FFY 2020 Data</w:t>
            </w:r>
          </w:p>
        </w:tc>
        <w:tc>
          <w:tcPr>
            <w:tcW w:w="476" w:type="pct"/>
            <w:shd w:val="clear" w:color="auto" w:fill="D9D9D9" w:themeFill="background1" w:themeFillShade="D9"/>
            <w:vAlign w:val="center"/>
          </w:tcPr>
          <w:p w14:paraId="65AC4432" w14:textId="77777777" w:rsidR="00DE45AB" w:rsidRPr="00781112" w:rsidRDefault="00DE45AB" w:rsidP="004F0EE5">
            <w:pPr>
              <w:spacing w:after="0"/>
              <w:jc w:val="center"/>
              <w:rPr>
                <w:rFonts w:cs="Arial"/>
                <w:b/>
                <w:color w:val="000000" w:themeColor="text1"/>
                <w:szCs w:val="16"/>
              </w:rPr>
            </w:pPr>
            <w:r w:rsidRPr="00781112">
              <w:rPr>
                <w:rFonts w:cs="Arial"/>
                <w:b/>
                <w:color w:val="000000" w:themeColor="text1"/>
                <w:szCs w:val="16"/>
              </w:rPr>
              <w:t>Status</w:t>
            </w:r>
          </w:p>
        </w:tc>
        <w:tc>
          <w:tcPr>
            <w:tcW w:w="564" w:type="pct"/>
            <w:shd w:val="clear" w:color="auto" w:fill="D9D9D9" w:themeFill="background1" w:themeFillShade="D9"/>
            <w:vAlign w:val="center"/>
          </w:tcPr>
          <w:p w14:paraId="1CC124E2" w14:textId="77777777" w:rsidR="00DE45AB" w:rsidRPr="00781112" w:rsidRDefault="00DE45AB" w:rsidP="004F0EE5">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4F0EE5">
        <w:trPr>
          <w:trHeight w:val="233"/>
          <w:jc w:val="center"/>
        </w:trPr>
        <w:tc>
          <w:tcPr>
            <w:tcW w:w="832" w:type="pct"/>
            <w:shd w:val="clear" w:color="auto" w:fill="auto"/>
            <w:vAlign w:val="center"/>
          </w:tcPr>
          <w:p w14:paraId="1BBB876A" w14:textId="743343A5" w:rsidR="00DE45AB" w:rsidRPr="00781112" w:rsidRDefault="002B7490" w:rsidP="004F0EE5">
            <w:pPr>
              <w:spacing w:after="0"/>
              <w:jc w:val="center"/>
              <w:rPr>
                <w:rFonts w:cs="Arial"/>
                <w:color w:val="000000" w:themeColor="text1"/>
                <w:szCs w:val="16"/>
              </w:rPr>
            </w:pPr>
            <w:r w:rsidRPr="00781112">
              <w:rPr>
                <w:rFonts w:cs="Arial"/>
                <w:color w:val="000000" w:themeColor="text1"/>
                <w:szCs w:val="16"/>
              </w:rPr>
              <w:t>10</w:t>
            </w:r>
          </w:p>
        </w:tc>
        <w:tc>
          <w:tcPr>
            <w:tcW w:w="959" w:type="pct"/>
            <w:shd w:val="clear" w:color="auto" w:fill="auto"/>
            <w:vAlign w:val="center"/>
          </w:tcPr>
          <w:p w14:paraId="6C540A5B" w14:textId="472541D0" w:rsidR="00DE45AB" w:rsidRPr="00781112" w:rsidRDefault="002B7490" w:rsidP="004F0EE5">
            <w:pPr>
              <w:spacing w:after="0"/>
              <w:jc w:val="center"/>
              <w:rPr>
                <w:rFonts w:cs="Arial"/>
                <w:color w:val="000000" w:themeColor="text1"/>
                <w:szCs w:val="16"/>
              </w:rPr>
            </w:pPr>
            <w:r w:rsidRPr="00781112">
              <w:rPr>
                <w:rFonts w:cs="Arial"/>
                <w:color w:val="000000" w:themeColor="text1"/>
                <w:szCs w:val="16"/>
              </w:rPr>
              <w:t>0</w:t>
            </w:r>
          </w:p>
        </w:tc>
        <w:tc>
          <w:tcPr>
            <w:tcW w:w="792" w:type="pct"/>
            <w:shd w:val="clear" w:color="auto" w:fill="auto"/>
            <w:vAlign w:val="center"/>
          </w:tcPr>
          <w:p w14:paraId="6F1E42F0" w14:textId="4B631704" w:rsidR="00DE45AB" w:rsidRPr="00781112" w:rsidRDefault="002B7490" w:rsidP="004F0EE5">
            <w:pPr>
              <w:spacing w:after="0"/>
              <w:jc w:val="center"/>
              <w:rPr>
                <w:rFonts w:cs="Arial"/>
                <w:color w:val="000000" w:themeColor="text1"/>
                <w:szCs w:val="16"/>
              </w:rPr>
            </w:pPr>
            <w:r w:rsidRPr="00781112">
              <w:rPr>
                <w:rFonts w:cs="Arial"/>
                <w:color w:val="000000" w:themeColor="text1"/>
                <w:szCs w:val="16"/>
              </w:rPr>
              <w:t>14</w:t>
            </w:r>
          </w:p>
        </w:tc>
        <w:tc>
          <w:tcPr>
            <w:tcW w:w="459" w:type="pct"/>
            <w:shd w:val="clear" w:color="auto" w:fill="auto"/>
            <w:vAlign w:val="center"/>
          </w:tcPr>
          <w:p w14:paraId="76FAD105" w14:textId="6054175F" w:rsidR="00DE45AB" w:rsidRPr="00781112" w:rsidRDefault="002B7490" w:rsidP="004F0EE5">
            <w:pPr>
              <w:spacing w:after="0"/>
              <w:jc w:val="center"/>
              <w:rPr>
                <w:rFonts w:cs="Arial"/>
                <w:color w:val="000000" w:themeColor="text1"/>
                <w:szCs w:val="16"/>
              </w:rPr>
            </w:pPr>
            <w:r w:rsidRPr="00781112">
              <w:rPr>
                <w:rFonts w:cs="Arial"/>
                <w:color w:val="000000" w:themeColor="text1"/>
                <w:szCs w:val="16"/>
              </w:rPr>
              <w:t>0.00%</w:t>
            </w:r>
          </w:p>
        </w:tc>
        <w:tc>
          <w:tcPr>
            <w:tcW w:w="500" w:type="pct"/>
            <w:shd w:val="clear" w:color="auto" w:fill="auto"/>
            <w:vAlign w:val="center"/>
          </w:tcPr>
          <w:p w14:paraId="0F3192F2" w14:textId="289113AF" w:rsidR="00DE45AB" w:rsidRPr="00781112" w:rsidRDefault="00BA56C8" w:rsidP="004F0EE5">
            <w:pPr>
              <w:spacing w:after="0"/>
              <w:jc w:val="center"/>
              <w:rPr>
                <w:rFonts w:cs="Arial"/>
                <w:color w:val="000000" w:themeColor="text1"/>
                <w:szCs w:val="16"/>
              </w:rPr>
            </w:pPr>
            <w:r w:rsidRPr="00781112">
              <w:rPr>
                <w:rFonts w:cs="Arial"/>
                <w:color w:val="000000" w:themeColor="text1"/>
                <w:szCs w:val="16"/>
              </w:rPr>
              <w:t>0%</w:t>
            </w:r>
          </w:p>
        </w:tc>
        <w:tc>
          <w:tcPr>
            <w:tcW w:w="418" w:type="pct"/>
            <w:shd w:val="clear" w:color="auto" w:fill="auto"/>
            <w:vAlign w:val="center"/>
          </w:tcPr>
          <w:p w14:paraId="7BDF1791" w14:textId="2192A561" w:rsidR="00DE45AB" w:rsidRPr="00781112" w:rsidRDefault="002B7490" w:rsidP="004F0EE5">
            <w:pPr>
              <w:spacing w:after="0"/>
              <w:jc w:val="center"/>
              <w:rPr>
                <w:rFonts w:cs="Arial"/>
                <w:color w:val="000000" w:themeColor="text1"/>
                <w:szCs w:val="16"/>
              </w:rPr>
            </w:pPr>
            <w:r w:rsidRPr="00781112">
              <w:rPr>
                <w:rFonts w:cs="Arial"/>
                <w:color w:val="000000" w:themeColor="text1"/>
                <w:szCs w:val="16"/>
              </w:rPr>
              <w:t>0.00%</w:t>
            </w:r>
          </w:p>
        </w:tc>
        <w:tc>
          <w:tcPr>
            <w:tcW w:w="476" w:type="pct"/>
            <w:shd w:val="clear" w:color="auto" w:fill="auto"/>
            <w:vAlign w:val="center"/>
          </w:tcPr>
          <w:p w14:paraId="389804B8" w14:textId="23C75A7D" w:rsidR="00DE45AB" w:rsidRPr="00781112" w:rsidRDefault="002B7490" w:rsidP="004F0EE5">
            <w:pPr>
              <w:spacing w:after="0"/>
              <w:jc w:val="center"/>
              <w:rPr>
                <w:rFonts w:cs="Arial"/>
                <w:color w:val="000000" w:themeColor="text1"/>
                <w:szCs w:val="16"/>
              </w:rPr>
            </w:pPr>
            <w:r w:rsidRPr="00781112">
              <w:rPr>
                <w:rFonts w:cs="Arial"/>
                <w:color w:val="000000" w:themeColor="text1"/>
                <w:szCs w:val="16"/>
              </w:rPr>
              <w:t>Met target</w:t>
            </w:r>
          </w:p>
        </w:tc>
        <w:tc>
          <w:tcPr>
            <w:tcW w:w="564" w:type="pct"/>
            <w:shd w:val="clear" w:color="auto" w:fill="auto"/>
            <w:vAlign w:val="center"/>
          </w:tcPr>
          <w:p w14:paraId="3AF9E82D" w14:textId="6AA616AB" w:rsidR="00DE45AB" w:rsidRPr="00781112" w:rsidRDefault="002B7490" w:rsidP="004F0EE5">
            <w:pPr>
              <w:spacing w:after="0"/>
              <w:jc w:val="center"/>
              <w:rPr>
                <w:rFonts w:cs="Arial"/>
                <w:color w:val="000000" w:themeColor="text1"/>
                <w:szCs w:val="16"/>
              </w:rPr>
            </w:pPr>
            <w:r w:rsidRPr="00781112">
              <w:rPr>
                <w:rFonts w:cs="Arial"/>
                <w:color w:val="000000" w:themeColor="text1"/>
                <w:szCs w:val="16"/>
              </w:rPr>
              <w:t>No Slippage</w:t>
            </w:r>
          </w:p>
        </w:tc>
      </w:tr>
    </w:tbl>
    <w:p w14:paraId="40DD3F41" w14:textId="454A5060" w:rsidR="00F9524E" w:rsidRPr="00781112" w:rsidRDefault="004B3E74" w:rsidP="004F0EE5">
      <w:pPr>
        <w:spacing w:before="240"/>
        <w:rPr>
          <w:rFonts w:cs="Arial"/>
          <w:b/>
          <w:color w:val="000000" w:themeColor="text1"/>
          <w:szCs w:val="16"/>
        </w:rPr>
      </w:pPr>
      <w:r w:rsidRPr="00781112">
        <w:rPr>
          <w:rFonts w:cs="Arial"/>
          <w:b/>
          <w:color w:val="000000" w:themeColor="text1"/>
          <w:szCs w:val="16"/>
        </w:rPr>
        <w:t>Were all races and ethnicities included in the review?</w:t>
      </w:r>
    </w:p>
    <w:p w14:paraId="1F24C674" w14:textId="4B7FC864" w:rsidR="00F9524E" w:rsidRPr="008B1972" w:rsidRDefault="003D75CB" w:rsidP="00314F94">
      <w:pPr>
        <w:pStyle w:val="ListParagraph"/>
        <w:numPr>
          <w:ilvl w:val="0"/>
          <w:numId w:val="137"/>
        </w:numPr>
        <w:rPr>
          <w:rFonts w:cs="Arial"/>
          <w:color w:val="000000" w:themeColor="text1"/>
          <w:szCs w:val="16"/>
        </w:rPr>
      </w:pPr>
      <w:r w:rsidRPr="008B1972">
        <w:rPr>
          <w:rFonts w:cs="Arial"/>
          <w:color w:val="000000" w:themeColor="text1"/>
          <w:szCs w:val="16"/>
        </w:rPr>
        <w:t>Yes</w:t>
      </w:r>
    </w:p>
    <w:p w14:paraId="6DB014CF" w14:textId="6C5A068F" w:rsidR="001F6A28" w:rsidRPr="00781112" w:rsidRDefault="001F6A28" w:rsidP="0077428D">
      <w:pPr>
        <w:rPr>
          <w:rFonts w:cs="Arial"/>
          <w:b/>
          <w:color w:val="000000" w:themeColor="text1"/>
          <w:szCs w:val="16"/>
        </w:rPr>
      </w:pPr>
      <w:bookmarkStart w:id="34" w:name="_Toc392159294"/>
      <w:r w:rsidRPr="00781112">
        <w:rPr>
          <w:rFonts w:cs="Arial"/>
          <w:b/>
          <w:color w:val="000000" w:themeColor="text1"/>
          <w:szCs w:val="16"/>
        </w:rPr>
        <w:t>State’s definition of “significant discrepancy” and methodology</w:t>
      </w:r>
    </w:p>
    <w:p w14:paraId="2AB91FB0" w14:textId="77777777" w:rsidR="004F0EE5" w:rsidRPr="008B1972" w:rsidRDefault="002B7490" w:rsidP="00314F94">
      <w:pPr>
        <w:pStyle w:val="ListParagraph"/>
        <w:numPr>
          <w:ilvl w:val="0"/>
          <w:numId w:val="138"/>
        </w:numPr>
        <w:rPr>
          <w:rFonts w:cs="Arial"/>
          <w:color w:val="000000" w:themeColor="text1"/>
          <w:szCs w:val="16"/>
        </w:rPr>
      </w:pPr>
      <w:r w:rsidRPr="008B1972">
        <w:rPr>
          <w:rFonts w:cs="Arial"/>
          <w:color w:val="000000" w:themeColor="text1"/>
          <w:szCs w:val="16"/>
        </w:rPr>
        <w:t>To determine significant discrepancy, the VDOE evaluated the degree to which students with disabilities in specific racial/ethnic groups may or may not be at higher risk for being suspended or expelled compared to their peers with disabilities in all other racial/ethnic groups by computing risk ratios depicting the proportion of students with disabilities in specific racial/ethnic groups in the rate of suspensions and expulsions greater than ten cumulative days in a school year compared to their peers with disabilities in all other racial/ethnic groups in the same school district. Risk ratios were computed for districts with a minimum cell size (numerator) of more than ten students with disabilities in specific racial/ethnic groups suspended or expelled more than ten cumulative days in a school year, an n-size (denominator) of at least more than ten students with disabilities in the racial/ethnic groups, and a minimum cell size of at least more than ten students in the comparison racial/ethnic groups. Districts that met the minimum cell size/n-size with risk ratios greater than 2.0 were deemed to have a significant discrepancy and required to determine if the significant discrepancy was due to policies, procedures, and practices related to the development and implementation of individualized education programs (IEPs), the use of positive behavioral interventions and supports, and/or procedural safeguards by completing a self-assessment. (34 CFR §300.170(a)).</w:t>
      </w:r>
    </w:p>
    <w:p w14:paraId="4868CB5B" w14:textId="774E2C03" w:rsidR="00E24D09" w:rsidRDefault="002B7490" w:rsidP="00E24D09">
      <w:pPr>
        <w:ind w:left="630"/>
        <w:rPr>
          <w:b/>
          <w:color w:val="000000" w:themeColor="text1"/>
        </w:rPr>
      </w:pPr>
      <w:r w:rsidRPr="00781112">
        <w:rPr>
          <w:rFonts w:cs="Arial"/>
          <w:color w:val="000000" w:themeColor="text1"/>
          <w:szCs w:val="16"/>
        </w:rPr>
        <w:t>One hundred eighteen (118) districts were totally excluded from the significant discrepancy calculation because they did not meet the minimum cell size/n-size for students with disabilities, by race/ethnicity, suspended or expelled greater than ten days in a school year in all racial/ethnic areas.</w:t>
      </w:r>
      <w:r w:rsidR="00E24D09">
        <w:rPr>
          <w:b/>
          <w:color w:val="000000" w:themeColor="text1"/>
        </w:rPr>
        <w:br w:type="page"/>
      </w:r>
    </w:p>
    <w:p w14:paraId="3EC3FBFA" w14:textId="33A1272D" w:rsidR="006C575D" w:rsidRPr="00781112" w:rsidRDefault="006C575D" w:rsidP="00447D0B">
      <w:pPr>
        <w:pStyle w:val="Heading4"/>
      </w:pPr>
      <w:r w:rsidRPr="00781112">
        <w:lastRenderedPageBreak/>
        <w:t>Provide additional information about this indicator (optional)</w:t>
      </w:r>
    </w:p>
    <w:p w14:paraId="0528F88F" w14:textId="77777777" w:rsidR="004F0EE5" w:rsidRPr="008B1972" w:rsidRDefault="002B7490" w:rsidP="00314F94">
      <w:pPr>
        <w:pStyle w:val="ListParagraph"/>
        <w:numPr>
          <w:ilvl w:val="0"/>
          <w:numId w:val="139"/>
        </w:numPr>
        <w:rPr>
          <w:rFonts w:cs="Arial"/>
          <w:color w:val="000000" w:themeColor="text1"/>
          <w:szCs w:val="16"/>
        </w:rPr>
      </w:pPr>
      <w:r w:rsidRPr="008B1972">
        <w:rPr>
          <w:rFonts w:cs="Arial"/>
          <w:color w:val="000000" w:themeColor="text1"/>
          <w:szCs w:val="16"/>
        </w:rPr>
        <w:t>The VDOE uses a five-year cyclical approach to review special education data for all school districts in the Commonwealth, as recommended by OSEP. In doing so, the VDOE has a process for systematically auditing and validating school districts’ self-determinations of compliance with all Individuals with Disabilities Education Act (IDEA) compliance indicators submitted through its Single Sign-on for Web Systems (SSWS) Special Education Indicators application. The VDOE ensures, per OSEP guidance, all instances of noncompliance are reported as communicated by the LEAs to VDOE consistent with OSEP Memorandum 09-02.</w:t>
      </w:r>
    </w:p>
    <w:p w14:paraId="1D98B5CF" w14:textId="77777777" w:rsidR="004F0EE5" w:rsidRDefault="002B7490" w:rsidP="004C1EC0">
      <w:pPr>
        <w:ind w:left="720"/>
        <w:rPr>
          <w:rFonts w:cs="Arial"/>
          <w:color w:val="000000" w:themeColor="text1"/>
          <w:szCs w:val="16"/>
        </w:rPr>
      </w:pPr>
      <w:r w:rsidRPr="00781112">
        <w:rPr>
          <w:rFonts w:cs="Arial"/>
          <w:color w:val="000000" w:themeColor="text1"/>
          <w:szCs w:val="16"/>
        </w:rPr>
        <w:t>Each year, approximately 20 percent of the school districts in Virginia are selected for data validation of compliance indicators. Specifically, between the months of September and December, the regional VDOE monitor assigned to school districts within that current year’s cohort reviews a random sample of individual student files and specific policies, procedures, and practices to ensure the accuracy of the indicator information submitted to VDOE. The number of files reviewed is based on the number of records submitted for each indicator.</w:t>
      </w:r>
    </w:p>
    <w:p w14:paraId="4B905245" w14:textId="0683969A" w:rsidR="005E2440" w:rsidRPr="004F0EE5" w:rsidRDefault="002B7490" w:rsidP="004C1EC0">
      <w:pPr>
        <w:ind w:left="720"/>
        <w:rPr>
          <w:rFonts w:cs="Arial"/>
          <w:color w:val="000000" w:themeColor="text1"/>
          <w:szCs w:val="16"/>
        </w:rPr>
      </w:pPr>
      <w:r w:rsidRPr="00781112">
        <w:rPr>
          <w:rFonts w:cs="Arial"/>
          <w:color w:val="000000" w:themeColor="text1"/>
          <w:szCs w:val="16"/>
        </w:rPr>
        <w:t xml:space="preserve">Local educational agencies (LEAs) self-reporting less than 100 percent </w:t>
      </w:r>
      <w:proofErr w:type="gramStart"/>
      <w:r w:rsidRPr="00781112">
        <w:rPr>
          <w:rFonts w:cs="Arial"/>
          <w:color w:val="000000" w:themeColor="text1"/>
          <w:szCs w:val="16"/>
        </w:rPr>
        <w:t>receive</w:t>
      </w:r>
      <w:proofErr w:type="gramEnd"/>
      <w:r w:rsidRPr="00781112">
        <w:rPr>
          <w:rFonts w:cs="Arial"/>
          <w:color w:val="000000" w:themeColor="text1"/>
          <w:szCs w:val="16"/>
        </w:rPr>
        <w:t xml:space="preserve"> written notification of noncompliance, develop a corrective action plan (CAP) as determined by the Lead Monitor, and undergo the Prong 1 and Prong 2 process within one year of written notification. If it is determined that LEAs self-reporting 100 percent submitted inaccurate information, the school district is required to resubmit accurately. Following data resubmission, the district superintendent receives written notification of noncompliance, a CAP is developed as determined by the Lead Monitor, and the Prong 1 and Prong 2 process is completed within one year of written notification. Closure of indicator corrections is finalized with an email to special education administrators.</w:t>
      </w:r>
    </w:p>
    <w:p w14:paraId="248087F7" w14:textId="463157D9" w:rsidR="001F6A28" w:rsidRPr="00781112" w:rsidRDefault="001F6A28" w:rsidP="00447D0B">
      <w:pPr>
        <w:pStyle w:val="Heading4"/>
      </w:pPr>
      <w:r w:rsidRPr="00781112">
        <w:t>Review of Policies, Procedures, and Practices (completed in FFY 2020 using 2019-2020 data)</w:t>
      </w:r>
    </w:p>
    <w:p w14:paraId="71ECDBC1" w14:textId="77777777" w:rsidR="001F6A28" w:rsidRPr="00781112" w:rsidRDefault="001F6A28" w:rsidP="0077428D">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8B1972" w:rsidRDefault="002B7490" w:rsidP="00314F94">
      <w:pPr>
        <w:pStyle w:val="ListParagraph"/>
        <w:numPr>
          <w:ilvl w:val="0"/>
          <w:numId w:val="140"/>
        </w:numPr>
        <w:rPr>
          <w:rFonts w:cs="Arial"/>
          <w:color w:val="000000" w:themeColor="text1"/>
          <w:szCs w:val="16"/>
        </w:rPr>
      </w:pPr>
      <w:r w:rsidRPr="008B1972">
        <w:rPr>
          <w:rFonts w:cs="Arial"/>
          <w:color w:val="000000" w:themeColor="text1"/>
          <w:szCs w:val="16"/>
        </w:rPr>
        <w:t xml:space="preserve">Using 2019-2020 data, ten districts were identified as having a significant discrepancy, by race or ethnicity, in the rates of suspensions and expulsions of greater than ten days in a school year for students with disabilities in FFY 2020. The VDOE directed each of the ten districts to create a school-based team and complete a formalized self-assessment. The components of the self-assessment tool required each team to do the following: 1) examine the reasons for high suspensions by analyzing the root cause of suspensions and expulsions; 2) review the school's use of positive behavior interventions and supports; 3) determine if the school district is developing and implementing appropriate IEPs based on a sampling of IEPs of students who were suspended or expelled ten or more days cumulative; 4) assess if policies, procedures, and practices comply with Procedural Safeguards; 5) provide more training for individuals responsible for discipline; and 6) review the disability impact prior to disciplinary action. The teams also had to determine if specific attention was required to improve the implementation of Functional Behavior Assessments and Behavior Intervention Plans as </w:t>
      </w:r>
      <w:r w:rsidRPr="008B1972">
        <w:rPr>
          <w:rFonts w:cs="Arial"/>
          <w:color w:val="000000" w:themeColor="text1"/>
          <w:szCs w:val="16"/>
        </w:rPr>
        <w:lastRenderedPageBreak/>
        <w:t>components of positive behavioral interventions and supports (PBIS). Alternatives to suspension, such as restorative justice practices and Virginia's Tiered Systems of Support, are offered as tools to reduce suspensions and to align with other efforts to improve outcomes for students with disabilities. Culturally responsive practices and school climate are emphasized as a focus when reviewing policies, procedures, and practices. The VDOE reviewed each self-assessment and concluded that none of the ten districts had noncompliance with one or more of the requirements of 34 CFR 300.170(b).</w:t>
      </w:r>
    </w:p>
    <w:p w14:paraId="3A779219" w14:textId="0135419B" w:rsidR="00F9524E" w:rsidRPr="004F0EE5" w:rsidRDefault="00616510" w:rsidP="004C1EC0">
      <w:pPr>
        <w:ind w:left="720"/>
        <w:rPr>
          <w:rFonts w:cs="Arial"/>
          <w:color w:val="000000" w:themeColor="text1"/>
          <w:szCs w:val="16"/>
        </w:rPr>
      </w:pPr>
      <w:r w:rsidRPr="00781112">
        <w:rPr>
          <w:rFonts w:cs="Arial"/>
          <w:color w:val="000000" w:themeColor="text1"/>
          <w:szCs w:val="16"/>
        </w:rPr>
        <w:t xml:space="preserve">The State DID NOT identify noncompliance with Part B requirements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the review required by 34 CFR §300.170(b)</w:t>
      </w:r>
    </w:p>
    <w:p w14:paraId="54A274E0" w14:textId="09868FF8" w:rsidR="009A755E" w:rsidRPr="00781112" w:rsidRDefault="009A755E" w:rsidP="00815ACE">
      <w:pPr>
        <w:pStyle w:val="Caption"/>
      </w:pPr>
      <w:r w:rsidRPr="00781112">
        <w:t>Correction of Findings of Noncompliance Identified in FFY 2019</w:t>
      </w:r>
      <w:r w:rsidR="007B3230">
        <w:t xml:space="preserve"> (4B)</w:t>
      </w:r>
    </w:p>
    <w:tbl>
      <w:tblPr>
        <w:tblStyle w:val="TableGrid"/>
        <w:tblW w:w="5000" w:type="pct"/>
        <w:tblLook w:val="04A0" w:firstRow="1" w:lastRow="0" w:firstColumn="1" w:lastColumn="0" w:noHBand="0" w:noVBand="1"/>
        <w:tblDescription w:val="Table provides identified, verified as corrected within one year, and subsequently corrected, and not yet verified findings of noncompliance for FFY 2019 for this indicator."/>
      </w:tblPr>
      <w:tblGrid>
        <w:gridCol w:w="2613"/>
        <w:gridCol w:w="2743"/>
        <w:gridCol w:w="2620"/>
        <w:gridCol w:w="2814"/>
      </w:tblGrid>
      <w:tr w:rsidR="005C29F8" w:rsidRPr="00781112" w14:paraId="114A5055" w14:textId="77777777" w:rsidTr="005A380E">
        <w:trPr>
          <w:trHeight w:val="389"/>
          <w:tblHeader/>
        </w:trPr>
        <w:tc>
          <w:tcPr>
            <w:tcW w:w="1211" w:type="pct"/>
            <w:shd w:val="clear" w:color="auto" w:fill="D9D9D9" w:themeFill="background1" w:themeFillShade="D9"/>
            <w:vAlign w:val="center"/>
          </w:tcPr>
          <w:p w14:paraId="776A9C2C" w14:textId="77777777" w:rsidR="009A755E" w:rsidRPr="00781112" w:rsidRDefault="009A755E" w:rsidP="004F0EE5">
            <w:pPr>
              <w:spacing w:after="0" w:line="276" w:lineRule="auto"/>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D9D9D9" w:themeFill="background1" w:themeFillShade="D9"/>
            <w:vAlign w:val="center"/>
          </w:tcPr>
          <w:p w14:paraId="4FF64C47" w14:textId="77777777" w:rsidR="009A755E" w:rsidRPr="00781112" w:rsidRDefault="009A755E" w:rsidP="004F0EE5">
            <w:pPr>
              <w:spacing w:after="0" w:line="276" w:lineRule="auto"/>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D9D9D9" w:themeFill="background1" w:themeFillShade="D9"/>
            <w:vAlign w:val="center"/>
          </w:tcPr>
          <w:p w14:paraId="36D92938" w14:textId="77777777" w:rsidR="009A755E" w:rsidRPr="00781112" w:rsidRDefault="009A755E" w:rsidP="004F0EE5">
            <w:pPr>
              <w:spacing w:after="0" w:line="276" w:lineRule="auto"/>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D9D9D9" w:themeFill="background1" w:themeFillShade="D9"/>
            <w:vAlign w:val="center"/>
          </w:tcPr>
          <w:p w14:paraId="440F12A0" w14:textId="77777777" w:rsidR="009A755E" w:rsidRPr="00781112" w:rsidRDefault="009A755E" w:rsidP="004F0EE5">
            <w:pPr>
              <w:spacing w:after="0" w:line="276" w:lineRule="auto"/>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5A380E">
        <w:trPr>
          <w:trHeight w:val="440"/>
        </w:trPr>
        <w:tc>
          <w:tcPr>
            <w:tcW w:w="1211" w:type="pct"/>
            <w:shd w:val="clear" w:color="auto" w:fill="auto"/>
            <w:vAlign w:val="center"/>
          </w:tcPr>
          <w:p w14:paraId="6AF875F0" w14:textId="0FD8621B" w:rsidR="009A755E" w:rsidRPr="00781112" w:rsidRDefault="002B7490" w:rsidP="004F0EE5">
            <w:pPr>
              <w:spacing w:after="0" w:line="276" w:lineRule="auto"/>
              <w:jc w:val="center"/>
              <w:rPr>
                <w:rFonts w:cs="Arial"/>
                <w:color w:val="000000" w:themeColor="text1"/>
                <w:szCs w:val="16"/>
              </w:rPr>
            </w:pPr>
            <w:r w:rsidRPr="00781112">
              <w:rPr>
                <w:rFonts w:cs="Arial"/>
                <w:color w:val="000000" w:themeColor="text1"/>
                <w:szCs w:val="16"/>
              </w:rPr>
              <w:t>0</w:t>
            </w:r>
          </w:p>
        </w:tc>
        <w:tc>
          <w:tcPr>
            <w:tcW w:w="1271" w:type="pct"/>
            <w:shd w:val="clear" w:color="auto" w:fill="auto"/>
            <w:vAlign w:val="center"/>
          </w:tcPr>
          <w:p w14:paraId="58D166B5" w14:textId="6ADFFC16" w:rsidR="009A755E" w:rsidRPr="00781112" w:rsidRDefault="002B7490" w:rsidP="004F0EE5">
            <w:pPr>
              <w:spacing w:after="0" w:line="276" w:lineRule="auto"/>
              <w:jc w:val="center"/>
              <w:rPr>
                <w:rFonts w:cs="Arial"/>
                <w:color w:val="000000" w:themeColor="text1"/>
                <w:szCs w:val="16"/>
              </w:rPr>
            </w:pPr>
            <w:r w:rsidRPr="00781112">
              <w:rPr>
                <w:rFonts w:cs="Arial"/>
                <w:color w:val="000000" w:themeColor="text1"/>
                <w:szCs w:val="16"/>
              </w:rPr>
              <w:t>0</w:t>
            </w:r>
          </w:p>
        </w:tc>
        <w:tc>
          <w:tcPr>
            <w:tcW w:w="1214" w:type="pct"/>
            <w:shd w:val="clear" w:color="auto" w:fill="auto"/>
            <w:vAlign w:val="center"/>
          </w:tcPr>
          <w:p w14:paraId="745E0498" w14:textId="77F90D3F" w:rsidR="009A755E" w:rsidRPr="00781112" w:rsidRDefault="002B7490" w:rsidP="004F0EE5">
            <w:pPr>
              <w:spacing w:after="0" w:line="276" w:lineRule="auto"/>
              <w:jc w:val="center"/>
              <w:rPr>
                <w:rFonts w:cs="Arial"/>
                <w:color w:val="000000" w:themeColor="text1"/>
                <w:szCs w:val="16"/>
              </w:rPr>
            </w:pPr>
            <w:r w:rsidRPr="00781112">
              <w:rPr>
                <w:rFonts w:cs="Arial"/>
                <w:color w:val="000000" w:themeColor="text1"/>
                <w:szCs w:val="16"/>
              </w:rPr>
              <w:t>0</w:t>
            </w:r>
          </w:p>
        </w:tc>
        <w:tc>
          <w:tcPr>
            <w:tcW w:w="1304" w:type="pct"/>
            <w:shd w:val="clear" w:color="auto" w:fill="auto"/>
            <w:vAlign w:val="center"/>
          </w:tcPr>
          <w:p w14:paraId="55E32910" w14:textId="7F6FD668" w:rsidR="009A755E" w:rsidRPr="00781112" w:rsidRDefault="002B7490" w:rsidP="004F0EE5">
            <w:pPr>
              <w:spacing w:after="0" w:line="276" w:lineRule="auto"/>
              <w:jc w:val="center"/>
              <w:rPr>
                <w:rFonts w:cs="Arial"/>
                <w:color w:val="000000" w:themeColor="text1"/>
                <w:szCs w:val="16"/>
              </w:rPr>
            </w:pPr>
            <w:r w:rsidRPr="00781112">
              <w:rPr>
                <w:rFonts w:cs="Arial"/>
                <w:color w:val="000000" w:themeColor="text1"/>
                <w:szCs w:val="16"/>
              </w:rPr>
              <w:t>0</w:t>
            </w:r>
          </w:p>
        </w:tc>
      </w:tr>
    </w:tbl>
    <w:p w14:paraId="7BCEF85B" w14:textId="62F9E93D" w:rsidR="004E2151" w:rsidRPr="00781112" w:rsidRDefault="00D11730" w:rsidP="004F0EE5">
      <w:pPr>
        <w:pStyle w:val="Heading3"/>
        <w:spacing w:before="240"/>
      </w:pPr>
      <w:r w:rsidRPr="00781112">
        <w:t>4B</w:t>
      </w:r>
      <w:r w:rsidR="00E90DE9" w:rsidRPr="00781112">
        <w:t xml:space="preserve"> </w:t>
      </w:r>
      <w:r w:rsidRPr="00781112">
        <w:t xml:space="preserve">- </w:t>
      </w:r>
      <w:r w:rsidR="004E2151" w:rsidRPr="00781112">
        <w:t>Prior FFY Required Actions</w:t>
      </w:r>
    </w:p>
    <w:p w14:paraId="60DC97B4" w14:textId="67376465" w:rsidR="009B02BC" w:rsidRPr="008B1972" w:rsidRDefault="002B7490" w:rsidP="00314F94">
      <w:pPr>
        <w:pStyle w:val="ListParagraph"/>
        <w:numPr>
          <w:ilvl w:val="0"/>
          <w:numId w:val="141"/>
        </w:numPr>
        <w:rPr>
          <w:rFonts w:cs="Arial"/>
          <w:color w:val="000000" w:themeColor="text1"/>
          <w:szCs w:val="16"/>
        </w:rPr>
      </w:pPr>
      <w:r w:rsidRPr="008B1972">
        <w:rPr>
          <w:rFonts w:cs="Arial"/>
          <w:color w:val="000000" w:themeColor="text1"/>
          <w:szCs w:val="16"/>
        </w:rPr>
        <w:t>None</w:t>
      </w:r>
    </w:p>
    <w:p w14:paraId="7562BCA8" w14:textId="2875B1E9" w:rsidR="005115D6" w:rsidRPr="00781112" w:rsidRDefault="00D11730" w:rsidP="0077428D">
      <w:pPr>
        <w:pStyle w:val="Heading3"/>
      </w:pPr>
      <w:r w:rsidRPr="00781112">
        <w:t>4B - OSEP Response</w:t>
      </w:r>
    </w:p>
    <w:p w14:paraId="489BF62D" w14:textId="4D5C32D9" w:rsidR="003C308E" w:rsidRPr="008B1972" w:rsidRDefault="004F0EE5" w:rsidP="00314F94">
      <w:pPr>
        <w:pStyle w:val="ListParagraph"/>
        <w:numPr>
          <w:ilvl w:val="0"/>
          <w:numId w:val="142"/>
        </w:numPr>
        <w:rPr>
          <w:rFonts w:cs="Arial"/>
          <w:color w:val="000000" w:themeColor="text1"/>
          <w:szCs w:val="16"/>
        </w:rPr>
      </w:pPr>
      <w:r w:rsidRPr="008B1972">
        <w:rPr>
          <w:rFonts w:cs="Arial"/>
          <w:color w:val="000000" w:themeColor="text1"/>
          <w:szCs w:val="16"/>
        </w:rPr>
        <w:t>Not applicable</w:t>
      </w:r>
    </w:p>
    <w:p w14:paraId="4D6C35B1" w14:textId="16E26788" w:rsidR="005115D6" w:rsidRPr="00781112" w:rsidRDefault="00D11730" w:rsidP="0077428D">
      <w:pPr>
        <w:pStyle w:val="Heading3"/>
      </w:pPr>
      <w:r w:rsidRPr="00781112">
        <w:t>4B- Required Actions</w:t>
      </w:r>
    </w:p>
    <w:p w14:paraId="4C9312F8" w14:textId="74A1B130" w:rsidR="00600E15" w:rsidRPr="008B1972" w:rsidRDefault="004F0EE5" w:rsidP="00314F94">
      <w:pPr>
        <w:pStyle w:val="ListParagraph"/>
        <w:numPr>
          <w:ilvl w:val="0"/>
          <w:numId w:val="143"/>
        </w:numPr>
        <w:rPr>
          <w:rFonts w:eastAsiaTheme="majorEastAsia" w:cs="Arial"/>
          <w:b/>
          <w:bCs/>
          <w:color w:val="000000" w:themeColor="text1"/>
          <w:szCs w:val="16"/>
        </w:rPr>
      </w:pPr>
      <w:r w:rsidRPr="008B1972">
        <w:rPr>
          <w:rFonts w:cs="Arial"/>
          <w:color w:val="000000" w:themeColor="text1"/>
          <w:szCs w:val="16"/>
        </w:rPr>
        <w:t>Not applicable</w:t>
      </w:r>
      <w:r w:rsidR="00600E15" w:rsidRPr="008B1972">
        <w:rPr>
          <w:rFonts w:cs="Arial"/>
          <w:color w:val="000000" w:themeColor="text1"/>
          <w:szCs w:val="16"/>
        </w:rPr>
        <w:br w:type="page"/>
      </w:r>
    </w:p>
    <w:p w14:paraId="4F968F36" w14:textId="7BBFC11E" w:rsidR="00D21EAA" w:rsidRPr="00781112" w:rsidRDefault="00D21EAA" w:rsidP="008143AB">
      <w:pPr>
        <w:pStyle w:val="Heading2"/>
      </w:pPr>
      <w:r w:rsidRPr="00781112">
        <w:lastRenderedPageBreak/>
        <w:t xml:space="preserve">Indicator 5: </w:t>
      </w:r>
      <w:bookmarkEnd w:id="10"/>
      <w:r w:rsidRPr="00781112">
        <w:t xml:space="preserve">Education Environments (children </w:t>
      </w:r>
      <w:r w:rsidR="00D35A49" w:rsidRPr="00781112">
        <w:t xml:space="preserve">5 (Kindergarten) </w:t>
      </w:r>
      <w:r w:rsidRPr="00781112">
        <w:t>-</w:t>
      </w:r>
      <w:r w:rsidR="00D35A49" w:rsidRPr="00781112">
        <w:t xml:space="preserve"> </w:t>
      </w:r>
      <w:r w:rsidRPr="00781112">
        <w:t>21)</w:t>
      </w:r>
      <w:bookmarkEnd w:id="21"/>
      <w:bookmarkEnd w:id="34"/>
    </w:p>
    <w:p w14:paraId="52AD89A1" w14:textId="01D92642" w:rsidR="00775845" w:rsidRPr="005A380E" w:rsidRDefault="00775845" w:rsidP="00447D0B">
      <w:pPr>
        <w:pStyle w:val="Heading3"/>
        <w:spacing w:before="240"/>
      </w:pPr>
      <w:bookmarkStart w:id="35" w:name="_Toc392159295"/>
      <w:r w:rsidRPr="005A380E">
        <w:t>Instructions and Measurement</w:t>
      </w:r>
    </w:p>
    <w:p w14:paraId="5E00F17E" w14:textId="149CBFE3" w:rsidR="00CC634E" w:rsidRPr="00781112" w:rsidRDefault="00CC634E" w:rsidP="005A380E">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5A380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4E0D9C32" w:rsidR="00CC634E" w:rsidRPr="005A380E" w:rsidRDefault="00B9739D" w:rsidP="00155DFD">
      <w:pPr>
        <w:pStyle w:val="ListParagraph"/>
        <w:numPr>
          <w:ilvl w:val="0"/>
          <w:numId w:val="22"/>
        </w:numPr>
        <w:contextualSpacing w:val="0"/>
        <w:rPr>
          <w:rFonts w:cs="Arial"/>
          <w:color w:val="000000" w:themeColor="text1"/>
          <w:szCs w:val="16"/>
        </w:rPr>
      </w:pPr>
      <w:r w:rsidRPr="005A380E">
        <w:rPr>
          <w:rFonts w:cs="Arial"/>
          <w:color w:val="000000" w:themeColor="text1"/>
          <w:szCs w:val="16"/>
        </w:rPr>
        <w:t xml:space="preserve">Inside the regular class 80% or more of the </w:t>
      </w:r>
      <w:proofErr w:type="gramStart"/>
      <w:r w:rsidRPr="005A380E">
        <w:rPr>
          <w:rFonts w:cs="Arial"/>
          <w:color w:val="000000" w:themeColor="text1"/>
          <w:szCs w:val="16"/>
        </w:rPr>
        <w:t>day;</w:t>
      </w:r>
      <w:proofErr w:type="gramEnd"/>
    </w:p>
    <w:p w14:paraId="64FA9D2A" w14:textId="13510142" w:rsidR="00CC634E" w:rsidRPr="005A380E" w:rsidRDefault="00B9739D" w:rsidP="00155DFD">
      <w:pPr>
        <w:pStyle w:val="ListParagraph"/>
        <w:numPr>
          <w:ilvl w:val="0"/>
          <w:numId w:val="22"/>
        </w:numPr>
        <w:contextualSpacing w:val="0"/>
        <w:rPr>
          <w:rFonts w:cs="Arial"/>
          <w:color w:val="000000" w:themeColor="text1"/>
          <w:szCs w:val="16"/>
        </w:rPr>
      </w:pPr>
      <w:r w:rsidRPr="005A380E">
        <w:rPr>
          <w:rFonts w:cs="Arial"/>
          <w:color w:val="000000" w:themeColor="text1"/>
          <w:szCs w:val="16"/>
        </w:rPr>
        <w:t>Inside the regular class less than 40% of the day; and</w:t>
      </w:r>
    </w:p>
    <w:p w14:paraId="7D6C4792" w14:textId="7DEEDFE2" w:rsidR="00CC634E" w:rsidRPr="005A380E" w:rsidRDefault="00B9739D" w:rsidP="00155DFD">
      <w:pPr>
        <w:pStyle w:val="ListParagraph"/>
        <w:numPr>
          <w:ilvl w:val="0"/>
          <w:numId w:val="22"/>
        </w:numPr>
        <w:contextualSpacing w:val="0"/>
        <w:rPr>
          <w:rFonts w:cs="Arial"/>
          <w:color w:val="000000" w:themeColor="text1"/>
          <w:szCs w:val="16"/>
        </w:rPr>
      </w:pPr>
      <w:r w:rsidRPr="005A380E">
        <w:rPr>
          <w:rFonts w:cs="Arial"/>
          <w:color w:val="000000" w:themeColor="text1"/>
          <w:szCs w:val="16"/>
        </w:rPr>
        <w:t>In separate schools, residential facilities, or homebound/hospital placements.</w:t>
      </w:r>
    </w:p>
    <w:p w14:paraId="7086FA15" w14:textId="47C5B9E3" w:rsidR="0011074D" w:rsidRPr="00781112" w:rsidRDefault="0011074D" w:rsidP="005A380E">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47D0B">
      <w:pPr>
        <w:pStyle w:val="Heading4"/>
      </w:pPr>
      <w:r w:rsidRPr="00781112">
        <w:t>Data Source</w:t>
      </w:r>
    </w:p>
    <w:p w14:paraId="27A12343" w14:textId="1C2938A9" w:rsidR="001F6A28" w:rsidRPr="00781112" w:rsidRDefault="001F6A28" w:rsidP="005A380E">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47D0B">
      <w:pPr>
        <w:pStyle w:val="Heading4"/>
      </w:pPr>
      <w:r w:rsidRPr="00781112">
        <w:t>Measurement</w:t>
      </w:r>
    </w:p>
    <w:p w14:paraId="29361C11" w14:textId="7B485D6E" w:rsidR="001F6A28" w:rsidRPr="005A380E" w:rsidRDefault="001E6A41" w:rsidP="00155DFD">
      <w:pPr>
        <w:pStyle w:val="ListParagraph"/>
        <w:numPr>
          <w:ilvl w:val="0"/>
          <w:numId w:val="23"/>
        </w:numPr>
        <w:rPr>
          <w:rFonts w:cs="Arial"/>
          <w:color w:val="000000" w:themeColor="text1"/>
          <w:szCs w:val="16"/>
        </w:rPr>
      </w:pPr>
      <w:r w:rsidRPr="005A380E">
        <w:rPr>
          <w:rFonts w:cs="Arial"/>
          <w:color w:val="000000" w:themeColor="text1"/>
          <w:szCs w:val="16"/>
        </w:rPr>
        <w:t>Percent</w:t>
      </w:r>
      <w:r w:rsidR="001F6A28" w:rsidRPr="005A380E">
        <w:rPr>
          <w:rFonts w:cs="Arial"/>
          <w:color w:val="000000" w:themeColor="text1"/>
          <w:szCs w:val="16"/>
          <w:shd w:val="clear" w:color="auto" w:fill="FFFFFF"/>
        </w:rPr>
        <w:t xml:space="preserve"> = </w:t>
      </w:r>
      <w:r w:rsidR="00A33668" w:rsidRPr="005A380E">
        <w:rPr>
          <w:rFonts w:cs="Arial"/>
          <w:color w:val="000000" w:themeColor="text1"/>
          <w:szCs w:val="16"/>
          <w:shd w:val="clear" w:color="auto" w:fill="FFFFFF"/>
        </w:rPr>
        <w:t xml:space="preserve">[(# </w:t>
      </w:r>
      <w:r w:rsidR="001F6A28" w:rsidRPr="005A380E">
        <w:rPr>
          <w:rFonts w:cs="Arial"/>
          <w:color w:val="000000" w:themeColor="text1"/>
          <w:szCs w:val="16"/>
          <w:shd w:val="clear" w:color="auto" w:fill="FFFFFF"/>
        </w:rPr>
        <w:t xml:space="preserve">of children with IEPs aged </w:t>
      </w:r>
      <w:r w:rsidR="00E97CD6" w:rsidRPr="005A380E">
        <w:rPr>
          <w:rFonts w:cs="Arial"/>
          <w:szCs w:val="16"/>
        </w:rPr>
        <w:t xml:space="preserve">5 who are enrolled in kindergarten and aged </w:t>
      </w:r>
      <w:r w:rsidR="001F6A28" w:rsidRPr="005A380E">
        <w:rPr>
          <w:rFonts w:cs="Arial"/>
          <w:color w:val="000000" w:themeColor="text1"/>
          <w:szCs w:val="16"/>
          <w:shd w:val="clear" w:color="auto" w:fill="FFFFFF"/>
        </w:rPr>
        <w:t xml:space="preserve">6 through 21 served inside the regular class 80% or more of the day) divided by the (total # of students aged </w:t>
      </w:r>
      <w:r w:rsidR="00633044" w:rsidRPr="005A380E">
        <w:rPr>
          <w:rFonts w:cs="Arial"/>
          <w:szCs w:val="16"/>
        </w:rPr>
        <w:t xml:space="preserve">5 who are enrolled in kindergarten and aged </w:t>
      </w:r>
      <w:r w:rsidR="001F6A28" w:rsidRPr="005A380E">
        <w:rPr>
          <w:rFonts w:cs="Arial"/>
          <w:color w:val="000000" w:themeColor="text1"/>
          <w:szCs w:val="16"/>
          <w:shd w:val="clear" w:color="auto" w:fill="FFFFFF"/>
        </w:rPr>
        <w:t>6 through 21 with IEPs</w:t>
      </w:r>
      <w:r w:rsidR="00A33668" w:rsidRPr="005A380E">
        <w:rPr>
          <w:rFonts w:cs="Arial"/>
          <w:color w:val="000000" w:themeColor="text1"/>
          <w:szCs w:val="16"/>
          <w:shd w:val="clear" w:color="auto" w:fill="FFFFFF"/>
        </w:rPr>
        <w:t xml:space="preserve">)] </w:t>
      </w:r>
      <w:r w:rsidR="001F6A28" w:rsidRPr="005A380E">
        <w:rPr>
          <w:rFonts w:cs="Arial"/>
          <w:color w:val="000000" w:themeColor="text1"/>
          <w:szCs w:val="16"/>
          <w:shd w:val="clear" w:color="auto" w:fill="FFFFFF"/>
        </w:rPr>
        <w:t>times 100.</w:t>
      </w:r>
    </w:p>
    <w:p w14:paraId="1AC31DB2" w14:textId="22354E9B" w:rsidR="001F6A28" w:rsidRPr="005A380E" w:rsidRDefault="001E6A41" w:rsidP="00155DFD">
      <w:pPr>
        <w:pStyle w:val="ListParagraph"/>
        <w:numPr>
          <w:ilvl w:val="0"/>
          <w:numId w:val="23"/>
        </w:numPr>
        <w:rPr>
          <w:rFonts w:cs="Arial"/>
          <w:color w:val="000000" w:themeColor="text1"/>
          <w:szCs w:val="16"/>
        </w:rPr>
      </w:pPr>
      <w:r w:rsidRPr="005A380E">
        <w:rPr>
          <w:rFonts w:cs="Arial"/>
          <w:color w:val="000000" w:themeColor="text1"/>
          <w:szCs w:val="16"/>
        </w:rPr>
        <w:t xml:space="preserve">Percent </w:t>
      </w:r>
      <w:r w:rsidR="00DB1150" w:rsidRPr="005A380E">
        <w:rPr>
          <w:rFonts w:cs="Arial"/>
          <w:color w:val="000000" w:themeColor="text1"/>
          <w:szCs w:val="16"/>
          <w:shd w:val="clear" w:color="auto" w:fill="FFFFFF"/>
        </w:rPr>
        <w:t>=</w:t>
      </w:r>
      <w:r w:rsidR="001F6A28" w:rsidRPr="005A380E">
        <w:rPr>
          <w:rFonts w:cs="Arial"/>
          <w:color w:val="000000" w:themeColor="text1"/>
          <w:szCs w:val="16"/>
          <w:shd w:val="clear" w:color="auto" w:fill="FFFFFF"/>
        </w:rPr>
        <w:t xml:space="preserve"> </w:t>
      </w:r>
      <w:r w:rsidR="00A33668" w:rsidRPr="005A380E">
        <w:rPr>
          <w:rFonts w:cs="Arial"/>
          <w:color w:val="000000" w:themeColor="text1"/>
          <w:szCs w:val="16"/>
          <w:shd w:val="clear" w:color="auto" w:fill="FFFFFF"/>
        </w:rPr>
        <w:t xml:space="preserve">[(# </w:t>
      </w:r>
      <w:r w:rsidR="001F6A28" w:rsidRPr="005A380E">
        <w:rPr>
          <w:rFonts w:cs="Arial"/>
          <w:color w:val="000000" w:themeColor="text1"/>
          <w:szCs w:val="16"/>
          <w:shd w:val="clear" w:color="auto" w:fill="FFFFFF"/>
        </w:rPr>
        <w:t>of children with IEPs aged</w:t>
      </w:r>
      <w:r w:rsidR="00E97CD6" w:rsidRPr="005A380E">
        <w:rPr>
          <w:rFonts w:cs="Arial"/>
          <w:color w:val="000000" w:themeColor="text1"/>
          <w:szCs w:val="16"/>
          <w:shd w:val="clear" w:color="auto" w:fill="FFFFFF"/>
        </w:rPr>
        <w:t xml:space="preserve"> </w:t>
      </w:r>
      <w:r w:rsidR="00E97CD6" w:rsidRPr="005A380E">
        <w:rPr>
          <w:rFonts w:cs="Arial"/>
          <w:szCs w:val="16"/>
        </w:rPr>
        <w:t>5 who are enrolled in kindergarten and aged</w:t>
      </w:r>
      <w:r w:rsidR="001F6A28" w:rsidRPr="005A380E">
        <w:rPr>
          <w:rFonts w:cs="Arial"/>
          <w:color w:val="000000" w:themeColor="text1"/>
          <w:szCs w:val="16"/>
          <w:shd w:val="clear" w:color="auto" w:fill="FFFFFF"/>
        </w:rPr>
        <w:t xml:space="preserve"> 6 through 21 served inside the regular class less than 40% of the day) divided by the (total # of students aged </w:t>
      </w:r>
      <w:r w:rsidR="00633044" w:rsidRPr="005A380E">
        <w:rPr>
          <w:rFonts w:cs="Arial"/>
          <w:szCs w:val="16"/>
        </w:rPr>
        <w:t xml:space="preserve">5 who are enrolled in kindergarten and aged </w:t>
      </w:r>
      <w:r w:rsidR="001F6A28" w:rsidRPr="005A380E">
        <w:rPr>
          <w:rFonts w:cs="Arial"/>
          <w:color w:val="000000" w:themeColor="text1"/>
          <w:szCs w:val="16"/>
          <w:shd w:val="clear" w:color="auto" w:fill="FFFFFF"/>
        </w:rPr>
        <w:t>6 through 21 with IEPs</w:t>
      </w:r>
      <w:r w:rsidR="00A33668" w:rsidRPr="005A380E">
        <w:rPr>
          <w:rFonts w:cs="Arial"/>
          <w:color w:val="000000" w:themeColor="text1"/>
          <w:szCs w:val="16"/>
          <w:shd w:val="clear" w:color="auto" w:fill="FFFFFF"/>
        </w:rPr>
        <w:t xml:space="preserve">)] </w:t>
      </w:r>
      <w:r w:rsidR="001F6A28" w:rsidRPr="005A380E">
        <w:rPr>
          <w:rFonts w:cs="Arial"/>
          <w:color w:val="000000" w:themeColor="text1"/>
          <w:szCs w:val="16"/>
          <w:shd w:val="clear" w:color="auto" w:fill="FFFFFF"/>
        </w:rPr>
        <w:t>times 100.</w:t>
      </w:r>
    </w:p>
    <w:p w14:paraId="32E65458" w14:textId="72155DB5" w:rsidR="001F6A28" w:rsidRPr="005A380E" w:rsidRDefault="001E6A41" w:rsidP="00155DFD">
      <w:pPr>
        <w:pStyle w:val="ListParagraph"/>
        <w:numPr>
          <w:ilvl w:val="0"/>
          <w:numId w:val="23"/>
        </w:numPr>
        <w:rPr>
          <w:rFonts w:cs="Arial"/>
          <w:color w:val="000000" w:themeColor="text1"/>
          <w:szCs w:val="16"/>
        </w:rPr>
      </w:pPr>
      <w:r w:rsidRPr="005A380E">
        <w:rPr>
          <w:rFonts w:cs="Arial"/>
          <w:color w:val="000000" w:themeColor="text1"/>
          <w:szCs w:val="16"/>
        </w:rPr>
        <w:t>P</w:t>
      </w:r>
      <w:r w:rsidR="001F6A28" w:rsidRPr="005A380E">
        <w:rPr>
          <w:rFonts w:cs="Arial"/>
          <w:color w:val="000000" w:themeColor="text1"/>
          <w:szCs w:val="16"/>
          <w:shd w:val="clear" w:color="auto" w:fill="FFFFFF"/>
        </w:rPr>
        <w:t xml:space="preserve">ercent = </w:t>
      </w:r>
      <w:r w:rsidR="00A33668" w:rsidRPr="005A380E">
        <w:rPr>
          <w:rFonts w:cs="Arial"/>
          <w:color w:val="000000" w:themeColor="text1"/>
          <w:szCs w:val="16"/>
          <w:shd w:val="clear" w:color="auto" w:fill="FFFFFF"/>
        </w:rPr>
        <w:t xml:space="preserve">[(# </w:t>
      </w:r>
      <w:r w:rsidR="001F6A28" w:rsidRPr="005A380E">
        <w:rPr>
          <w:rFonts w:cs="Arial"/>
          <w:color w:val="000000" w:themeColor="text1"/>
          <w:szCs w:val="16"/>
          <w:shd w:val="clear" w:color="auto" w:fill="FFFFFF"/>
        </w:rPr>
        <w:t xml:space="preserve">of children with IEPs aged </w:t>
      </w:r>
      <w:r w:rsidR="00E97CD6" w:rsidRPr="005A380E">
        <w:rPr>
          <w:rFonts w:cs="Arial"/>
          <w:szCs w:val="16"/>
        </w:rPr>
        <w:t xml:space="preserve">5 who are enrolled in kindergarten and aged </w:t>
      </w:r>
      <w:r w:rsidR="001F6A28" w:rsidRPr="005A380E">
        <w:rPr>
          <w:rFonts w:cs="Arial"/>
          <w:color w:val="000000" w:themeColor="text1"/>
          <w:szCs w:val="16"/>
          <w:shd w:val="clear" w:color="auto" w:fill="FFFFFF"/>
        </w:rPr>
        <w:t xml:space="preserve">6 through 21 served in separate schools, residential facilities, or homebound/hospital placements) divided by the (total # of students aged </w:t>
      </w:r>
      <w:r w:rsidR="00633044" w:rsidRPr="005A380E">
        <w:rPr>
          <w:rFonts w:cs="Arial"/>
          <w:szCs w:val="16"/>
        </w:rPr>
        <w:t xml:space="preserve">5 who are enrolled in kindergarten and aged </w:t>
      </w:r>
      <w:r w:rsidR="001F6A28" w:rsidRPr="005A380E">
        <w:rPr>
          <w:rFonts w:cs="Arial"/>
          <w:color w:val="000000" w:themeColor="text1"/>
          <w:szCs w:val="16"/>
          <w:shd w:val="clear" w:color="auto" w:fill="FFFFFF"/>
        </w:rPr>
        <w:t>6 through</w:t>
      </w:r>
      <w:r w:rsidR="005A380E">
        <w:rPr>
          <w:rFonts w:cs="Arial"/>
          <w:color w:val="000000" w:themeColor="text1"/>
          <w:szCs w:val="16"/>
          <w:shd w:val="clear" w:color="auto" w:fill="FFFFFF"/>
        </w:rPr>
        <w:t xml:space="preserve"> </w:t>
      </w:r>
      <w:r w:rsidR="001F6A28" w:rsidRPr="005A380E">
        <w:rPr>
          <w:rFonts w:cs="Arial"/>
          <w:color w:val="000000" w:themeColor="text1"/>
          <w:szCs w:val="16"/>
          <w:shd w:val="clear" w:color="auto" w:fill="FFFFFF"/>
        </w:rPr>
        <w:t>21 with IEPs</w:t>
      </w:r>
      <w:proofErr w:type="gramStart"/>
      <w:r w:rsidR="00A33668" w:rsidRPr="005A380E">
        <w:rPr>
          <w:rFonts w:cs="Arial"/>
          <w:color w:val="000000" w:themeColor="text1"/>
          <w:szCs w:val="16"/>
          <w:shd w:val="clear" w:color="auto" w:fill="FFFFFF"/>
        </w:rPr>
        <w:t>)]</w:t>
      </w:r>
      <w:r w:rsidR="001F6A28" w:rsidRPr="005A380E">
        <w:rPr>
          <w:rFonts w:cs="Arial"/>
          <w:color w:val="000000" w:themeColor="text1"/>
          <w:szCs w:val="16"/>
          <w:shd w:val="clear" w:color="auto" w:fill="FFFFFF"/>
        </w:rPr>
        <w:t>times</w:t>
      </w:r>
      <w:proofErr w:type="gramEnd"/>
      <w:r w:rsidR="001F6A28" w:rsidRPr="005A380E">
        <w:rPr>
          <w:rFonts w:cs="Arial"/>
          <w:color w:val="000000" w:themeColor="text1"/>
          <w:szCs w:val="16"/>
          <w:shd w:val="clear" w:color="auto" w:fill="FFFFFF"/>
        </w:rPr>
        <w:t xml:space="preserve"> 100.</w:t>
      </w:r>
    </w:p>
    <w:p w14:paraId="06AD540D" w14:textId="77777777" w:rsidR="001F6A28" w:rsidRPr="00781112" w:rsidRDefault="001F6A28" w:rsidP="00447D0B">
      <w:pPr>
        <w:pStyle w:val="Heading4"/>
      </w:pPr>
      <w:r w:rsidRPr="00781112">
        <w:t>Instructions</w:t>
      </w:r>
    </w:p>
    <w:p w14:paraId="37FC98B2" w14:textId="35D136AD" w:rsidR="001F6A28" w:rsidRPr="00781112" w:rsidRDefault="001F6A28" w:rsidP="005A380E">
      <w:pPr>
        <w:rPr>
          <w:rFonts w:cs="Arial"/>
          <w:i/>
          <w:iCs/>
          <w:color w:val="000000" w:themeColor="text1"/>
          <w:szCs w:val="16"/>
        </w:rPr>
      </w:pPr>
      <w:r w:rsidRPr="00781112">
        <w:rPr>
          <w:rFonts w:cs="Arial"/>
          <w:i/>
          <w:iCs/>
          <w:color w:val="000000" w:themeColor="text1"/>
          <w:szCs w:val="16"/>
        </w:rPr>
        <w:t>Sampling from the State’s 618 data is not allowed.</w:t>
      </w:r>
    </w:p>
    <w:p w14:paraId="707ABAC1" w14:textId="68EE8BDF" w:rsidR="001F6A28" w:rsidRPr="00781112" w:rsidRDefault="007072DC" w:rsidP="005A380E">
      <w:pPr>
        <w:rPr>
          <w:rFonts w:cs="Arial"/>
          <w:color w:val="000000" w:themeColor="text1"/>
          <w:szCs w:val="16"/>
        </w:rPr>
      </w:pPr>
      <w:r w:rsidRPr="00781112">
        <w:rPr>
          <w:rFonts w:cs="Arial"/>
          <w:szCs w:val="16"/>
        </w:rPr>
        <w:t xml:space="preserve">States must report five-year-old children with disabilities who are enrolled in kindergarten in this indicator. Five-year-old children with disabilities who are enrolled in preschool programs are included in Indicator </w:t>
      </w:r>
      <w:proofErr w:type="gramStart"/>
      <w:r w:rsidRPr="00781112">
        <w:rPr>
          <w:rFonts w:cs="Arial"/>
          <w:szCs w:val="16"/>
        </w:rPr>
        <w:t>6.</w:t>
      </w:r>
      <w:r w:rsidR="001F6A28" w:rsidRPr="00781112">
        <w:rPr>
          <w:rFonts w:cs="Arial"/>
          <w:color w:val="000000" w:themeColor="text1"/>
          <w:szCs w:val="16"/>
        </w:rPr>
        <w:t>Describe</w:t>
      </w:r>
      <w:proofErr w:type="gramEnd"/>
      <w:r w:rsidR="001F6A28" w:rsidRPr="00781112">
        <w:rPr>
          <w:rFonts w:cs="Arial"/>
          <w:color w:val="000000" w:themeColor="text1"/>
          <w:szCs w:val="16"/>
        </w:rPr>
        <w:t xml:space="preserve"> the results of the calculations and compare the results to the target.</w:t>
      </w:r>
    </w:p>
    <w:p w14:paraId="26B448DD" w14:textId="6D5BFCAE" w:rsidR="005A380E" w:rsidRDefault="001F6A28" w:rsidP="005A380E">
      <w:pPr>
        <w:rPr>
          <w:b/>
          <w:color w:val="000000" w:themeColor="text1"/>
          <w:szCs w:val="20"/>
        </w:rPr>
      </w:pPr>
      <w:r w:rsidRPr="00781112">
        <w:rPr>
          <w:rFonts w:cs="Arial"/>
          <w:color w:val="000000" w:themeColor="text1"/>
          <w:szCs w:val="16"/>
        </w:rPr>
        <w:t>If the data reported in this indicator are not the same as the State’s data reported under section 618 of the IDEA, explain.</w:t>
      </w:r>
      <w:r w:rsidR="005A380E">
        <w:br w:type="page"/>
      </w:r>
    </w:p>
    <w:p w14:paraId="782EB5F0" w14:textId="318C10F5" w:rsidR="00476EA2" w:rsidRPr="00781112" w:rsidRDefault="007B5383" w:rsidP="005A380E">
      <w:pPr>
        <w:pStyle w:val="Heading3"/>
      </w:pPr>
      <w:r w:rsidRPr="00781112">
        <w:lastRenderedPageBreak/>
        <w:t>5</w:t>
      </w:r>
      <w:r w:rsidR="002203FA" w:rsidRPr="00781112">
        <w:t xml:space="preserve"> </w:t>
      </w:r>
      <w:r w:rsidRPr="00781112">
        <w:t xml:space="preserve">- </w:t>
      </w:r>
      <w:r w:rsidR="00A44506" w:rsidRPr="00781112">
        <w:t>Indicator Data</w:t>
      </w:r>
    </w:p>
    <w:bookmarkEnd w:id="35"/>
    <w:p w14:paraId="5DFCDD59" w14:textId="6482429B" w:rsidR="00CC634E" w:rsidRPr="00781112" w:rsidRDefault="00CC634E" w:rsidP="00815ACE">
      <w:pPr>
        <w:pStyle w:val="Caption"/>
      </w:pPr>
      <w:r w:rsidRPr="00781112">
        <w:t>Historical Data</w:t>
      </w:r>
      <w:r w:rsidR="0097256F">
        <w:t xml:space="preserve">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provides baseline year and baseline data for this indicator."/>
      </w:tblPr>
      <w:tblGrid>
        <w:gridCol w:w="806"/>
        <w:gridCol w:w="1440"/>
        <w:gridCol w:w="1440"/>
        <w:gridCol w:w="1421"/>
        <w:gridCol w:w="1421"/>
        <w:gridCol w:w="1421"/>
        <w:gridCol w:w="1421"/>
        <w:gridCol w:w="1420"/>
      </w:tblGrid>
      <w:tr w:rsidR="00483ABB" w:rsidRPr="00781112" w14:paraId="630BF46A" w14:textId="12CF291C" w:rsidTr="005A380E">
        <w:trPr>
          <w:trHeight w:val="432"/>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47ABF" w14:textId="5FDE6273" w:rsidR="00E4112E" w:rsidRPr="00781112" w:rsidRDefault="001F64DB" w:rsidP="005A380E">
            <w:pPr>
              <w:spacing w:after="0"/>
              <w:jc w:val="center"/>
              <w:rPr>
                <w:rFonts w:cs="Arial"/>
                <w:b/>
                <w:color w:val="000000" w:themeColor="text1"/>
                <w:szCs w:val="16"/>
              </w:rPr>
            </w:pPr>
            <w:r w:rsidRPr="00781112">
              <w:rPr>
                <w:rFonts w:cs="Arial"/>
                <w:b/>
                <w:color w:val="000000" w:themeColor="text1"/>
                <w:szCs w:val="16"/>
              </w:rPr>
              <w:t>Part</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BBF1" w14:textId="21EFE08D" w:rsidR="00E4112E" w:rsidRPr="00781112" w:rsidRDefault="00E4112E" w:rsidP="005A380E">
            <w:pPr>
              <w:spacing w:after="0"/>
              <w:jc w:val="center"/>
              <w:rPr>
                <w:rFonts w:cs="Arial"/>
                <w:b/>
                <w:color w:val="000000" w:themeColor="text1"/>
                <w:szCs w:val="16"/>
              </w:rPr>
            </w:pPr>
            <w:r w:rsidRPr="00781112">
              <w:rPr>
                <w:rFonts w:cs="Arial"/>
                <w:b/>
                <w:color w:val="000000" w:themeColor="text1"/>
                <w:szCs w:val="16"/>
              </w:rPr>
              <w:t xml:space="preserve">Baseline </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7DC20" w14:textId="77777777" w:rsidR="00E4112E" w:rsidRPr="00781112" w:rsidRDefault="00E4112E" w:rsidP="005A380E">
            <w:pPr>
              <w:spacing w:after="0"/>
              <w:jc w:val="center"/>
              <w:rPr>
                <w:rFonts w:cs="Arial"/>
                <w:b/>
                <w:color w:val="000000" w:themeColor="text1"/>
                <w:szCs w:val="16"/>
              </w:rPr>
            </w:pPr>
            <w:r w:rsidRPr="00781112">
              <w:rPr>
                <w:rFonts w:cs="Arial"/>
                <w:b/>
                <w:color w:val="000000" w:themeColor="text1"/>
                <w:szCs w:val="16"/>
              </w:rPr>
              <w:t>FFY</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48DB7" w14:textId="31324C26" w:rsidR="00E4112E" w:rsidRPr="00781112" w:rsidRDefault="002B7490" w:rsidP="005A380E">
            <w:pPr>
              <w:spacing w:after="0"/>
              <w:jc w:val="center"/>
              <w:rPr>
                <w:rFonts w:cs="Arial"/>
                <w:b/>
                <w:color w:val="000000" w:themeColor="text1"/>
                <w:szCs w:val="16"/>
              </w:rPr>
            </w:pPr>
            <w:r w:rsidRPr="00781112">
              <w:rPr>
                <w:rFonts w:cs="Arial"/>
                <w:b/>
                <w:color w:val="000000" w:themeColor="text1"/>
                <w:szCs w:val="16"/>
              </w:rPr>
              <w:t>2015</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D9A5E" w14:textId="1AFF80C5" w:rsidR="00E4112E" w:rsidRPr="00781112" w:rsidRDefault="002B7490" w:rsidP="005A380E">
            <w:pPr>
              <w:spacing w:after="0"/>
              <w:jc w:val="center"/>
              <w:rPr>
                <w:rFonts w:cs="Arial"/>
                <w:b/>
                <w:color w:val="000000" w:themeColor="text1"/>
                <w:szCs w:val="16"/>
              </w:rPr>
            </w:pPr>
            <w:r w:rsidRPr="00781112">
              <w:rPr>
                <w:rFonts w:cs="Arial"/>
                <w:b/>
                <w:color w:val="000000" w:themeColor="text1"/>
                <w:szCs w:val="16"/>
              </w:rPr>
              <w:t>2016</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EFC5" w14:textId="1BB8AC30" w:rsidR="00E4112E" w:rsidRPr="00781112" w:rsidRDefault="002B7490" w:rsidP="005A380E">
            <w:pPr>
              <w:spacing w:after="0"/>
              <w:jc w:val="center"/>
              <w:rPr>
                <w:rFonts w:cs="Arial"/>
                <w:b/>
                <w:color w:val="000000" w:themeColor="text1"/>
                <w:szCs w:val="16"/>
              </w:rPr>
            </w:pPr>
            <w:r w:rsidRPr="00781112">
              <w:rPr>
                <w:rFonts w:cs="Arial"/>
                <w:b/>
                <w:color w:val="000000" w:themeColor="text1"/>
                <w:szCs w:val="16"/>
              </w:rPr>
              <w:t>2017</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660DD" w14:textId="4387DAEB" w:rsidR="00E4112E" w:rsidRPr="00781112" w:rsidRDefault="002B7490" w:rsidP="005A380E">
            <w:pPr>
              <w:spacing w:after="0"/>
              <w:jc w:val="center"/>
              <w:rPr>
                <w:rFonts w:cs="Arial"/>
                <w:b/>
                <w:color w:val="000000" w:themeColor="text1"/>
                <w:szCs w:val="16"/>
              </w:rPr>
            </w:pPr>
            <w:r w:rsidRPr="00781112">
              <w:rPr>
                <w:rFonts w:cs="Arial"/>
                <w:b/>
                <w:color w:val="000000" w:themeColor="text1"/>
                <w:szCs w:val="16"/>
              </w:rPr>
              <w:t>2018</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EC159" w14:textId="109E90CD" w:rsidR="00E4112E" w:rsidRPr="00781112" w:rsidRDefault="002B7490" w:rsidP="005A380E">
            <w:pPr>
              <w:spacing w:after="0"/>
              <w:jc w:val="center"/>
              <w:rPr>
                <w:rFonts w:cs="Arial"/>
                <w:b/>
                <w:color w:val="000000" w:themeColor="text1"/>
                <w:szCs w:val="16"/>
              </w:rPr>
            </w:pPr>
            <w:r w:rsidRPr="00781112">
              <w:rPr>
                <w:rFonts w:cs="Arial"/>
                <w:b/>
                <w:color w:val="000000" w:themeColor="text1"/>
                <w:szCs w:val="16"/>
              </w:rPr>
              <w:t>2019</w:t>
            </w:r>
          </w:p>
        </w:tc>
      </w:tr>
      <w:tr w:rsidR="005F0D3B" w:rsidRPr="00781112" w14:paraId="692E70F6" w14:textId="3E9D9AB4" w:rsidTr="005A380E">
        <w:trPr>
          <w:trHeight w:val="432"/>
        </w:trPr>
        <w:tc>
          <w:tcPr>
            <w:tcW w:w="373"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5A380E">
            <w:pPr>
              <w:spacing w:after="0"/>
              <w:jc w:val="center"/>
              <w:rPr>
                <w:rFonts w:cs="Arial"/>
                <w:color w:val="000000" w:themeColor="text1"/>
                <w:szCs w:val="16"/>
              </w:rPr>
            </w:pPr>
            <w:r w:rsidRPr="00781112">
              <w:rPr>
                <w:rFonts w:cs="Arial"/>
                <w:color w:val="000000" w:themeColor="text1"/>
                <w:szCs w:val="16"/>
              </w:rPr>
              <w:t>A</w:t>
            </w:r>
          </w:p>
        </w:tc>
        <w:tc>
          <w:tcPr>
            <w:tcW w:w="667"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2020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5A380E">
            <w:pPr>
              <w:spacing w:after="0"/>
              <w:rPr>
                <w:rFonts w:cs="Arial"/>
                <w:color w:val="000000" w:themeColor="text1"/>
                <w:szCs w:val="16"/>
              </w:rPr>
            </w:pPr>
            <w:r w:rsidRPr="00781112">
              <w:rPr>
                <w:rFonts w:cs="Arial"/>
                <w:color w:val="000000" w:themeColor="text1"/>
                <w:szCs w:val="16"/>
              </w:rPr>
              <w:t>Target &gt;=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69.00%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69.00%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70.00%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70.00%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70.00%</w:t>
            </w:r>
          </w:p>
        </w:tc>
      </w:tr>
      <w:tr w:rsidR="005F0D3B" w:rsidRPr="00781112" w14:paraId="79D81D10" w14:textId="49DC964C" w:rsidTr="005A380E">
        <w:trPr>
          <w:trHeight w:val="432"/>
        </w:trPr>
        <w:tc>
          <w:tcPr>
            <w:tcW w:w="373" w:type="pct"/>
            <w:tcBorders>
              <w:left w:val="single" w:sz="4" w:space="0" w:color="auto"/>
              <w:right w:val="single" w:sz="4" w:space="0" w:color="auto"/>
            </w:tcBorders>
            <w:shd w:val="clear" w:color="auto" w:fill="auto"/>
            <w:vAlign w:val="center"/>
          </w:tcPr>
          <w:p w14:paraId="35B07658" w14:textId="008DA9F0" w:rsidR="00BB7BC9" w:rsidRPr="00781112" w:rsidRDefault="001474EC" w:rsidP="005A380E">
            <w:pPr>
              <w:spacing w:after="0"/>
              <w:jc w:val="center"/>
              <w:rPr>
                <w:rFonts w:cs="Arial"/>
                <w:color w:val="000000" w:themeColor="text1"/>
                <w:szCs w:val="16"/>
              </w:rPr>
            </w:pPr>
            <w:r w:rsidRPr="00781112">
              <w:rPr>
                <w:rFonts w:cs="Arial"/>
                <w:color w:val="000000" w:themeColor="text1"/>
                <w:szCs w:val="16"/>
              </w:rPr>
              <w:t>A</w:t>
            </w:r>
          </w:p>
        </w:tc>
        <w:tc>
          <w:tcPr>
            <w:tcW w:w="667" w:type="pct"/>
            <w:tcBorders>
              <w:left w:val="single" w:sz="4" w:space="0" w:color="auto"/>
              <w:right w:val="single" w:sz="4" w:space="0" w:color="auto"/>
            </w:tcBorders>
            <w:shd w:val="clear" w:color="auto" w:fill="auto"/>
            <w:vAlign w:val="center"/>
          </w:tcPr>
          <w:p w14:paraId="4DB8D3CD" w14:textId="0227B1FD"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71.60%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5A380E">
            <w:pPr>
              <w:spacing w:after="0"/>
              <w:rPr>
                <w:rFonts w:cs="Arial"/>
                <w:color w:val="000000" w:themeColor="text1"/>
                <w:szCs w:val="16"/>
              </w:rPr>
            </w:pPr>
            <w:r w:rsidRPr="00781112">
              <w:rPr>
                <w:rFonts w:cs="Arial"/>
                <w:color w:val="000000" w:themeColor="text1"/>
                <w:szCs w:val="16"/>
              </w:rPr>
              <w:t>Data</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63.36%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64.01%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65.07%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67.60%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67.78%</w:t>
            </w:r>
          </w:p>
        </w:tc>
      </w:tr>
      <w:tr w:rsidR="005F0D3B" w:rsidRPr="00781112" w14:paraId="7EE51EBD" w14:textId="513FE18C" w:rsidTr="005A380E">
        <w:trPr>
          <w:trHeight w:val="432"/>
        </w:trPr>
        <w:tc>
          <w:tcPr>
            <w:tcW w:w="373"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5A380E">
            <w:pPr>
              <w:spacing w:after="0"/>
              <w:jc w:val="center"/>
              <w:rPr>
                <w:rFonts w:cs="Arial"/>
                <w:color w:val="000000" w:themeColor="text1"/>
                <w:szCs w:val="16"/>
              </w:rPr>
            </w:pPr>
            <w:r w:rsidRPr="00781112">
              <w:rPr>
                <w:rFonts w:cs="Arial"/>
                <w:color w:val="000000" w:themeColor="text1"/>
                <w:szCs w:val="16"/>
              </w:rPr>
              <w:t>B</w:t>
            </w:r>
          </w:p>
        </w:tc>
        <w:tc>
          <w:tcPr>
            <w:tcW w:w="667"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2020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5A380E">
            <w:pPr>
              <w:spacing w:after="0"/>
              <w:rPr>
                <w:rFonts w:cs="Arial"/>
                <w:color w:val="000000" w:themeColor="text1"/>
                <w:szCs w:val="16"/>
              </w:rPr>
            </w:pPr>
            <w:r w:rsidRPr="00781112">
              <w:rPr>
                <w:rFonts w:cs="Arial"/>
                <w:color w:val="000000" w:themeColor="text1"/>
                <w:szCs w:val="16"/>
              </w:rPr>
              <w:t>Target &lt;=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10.00%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10.00%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8.00%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8.00%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8.00%</w:t>
            </w:r>
          </w:p>
        </w:tc>
      </w:tr>
      <w:tr w:rsidR="005F0D3B" w:rsidRPr="00781112" w14:paraId="78E6E13B" w14:textId="52E2E705" w:rsidTr="005A380E">
        <w:trPr>
          <w:trHeight w:val="432"/>
        </w:trPr>
        <w:tc>
          <w:tcPr>
            <w:tcW w:w="373" w:type="pct"/>
            <w:tcBorders>
              <w:left w:val="single" w:sz="4" w:space="0" w:color="auto"/>
              <w:right w:val="single" w:sz="4" w:space="0" w:color="auto"/>
            </w:tcBorders>
            <w:shd w:val="clear" w:color="auto" w:fill="auto"/>
            <w:vAlign w:val="center"/>
          </w:tcPr>
          <w:p w14:paraId="36D93B90" w14:textId="2EF21745" w:rsidR="00BB7BC9" w:rsidRPr="00781112" w:rsidRDefault="001474EC" w:rsidP="005A380E">
            <w:pPr>
              <w:spacing w:after="0"/>
              <w:jc w:val="center"/>
              <w:rPr>
                <w:rFonts w:cs="Arial"/>
                <w:color w:val="000000" w:themeColor="text1"/>
                <w:szCs w:val="16"/>
              </w:rPr>
            </w:pPr>
            <w:r w:rsidRPr="00781112">
              <w:rPr>
                <w:rFonts w:cs="Arial"/>
                <w:color w:val="000000" w:themeColor="text1"/>
                <w:szCs w:val="16"/>
              </w:rPr>
              <w:t>B</w:t>
            </w:r>
          </w:p>
        </w:tc>
        <w:tc>
          <w:tcPr>
            <w:tcW w:w="667" w:type="pct"/>
            <w:tcBorders>
              <w:left w:val="single" w:sz="4" w:space="0" w:color="auto"/>
              <w:right w:val="single" w:sz="4" w:space="0" w:color="auto"/>
            </w:tcBorders>
            <w:shd w:val="clear" w:color="auto" w:fill="auto"/>
            <w:vAlign w:val="center"/>
          </w:tcPr>
          <w:p w14:paraId="46CEC360" w14:textId="3F201206"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8.40%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5A380E">
            <w:pPr>
              <w:spacing w:after="0"/>
              <w:rPr>
                <w:rFonts w:cs="Arial"/>
                <w:color w:val="000000" w:themeColor="text1"/>
                <w:szCs w:val="16"/>
              </w:rPr>
            </w:pPr>
            <w:r w:rsidRPr="00781112">
              <w:rPr>
                <w:rFonts w:cs="Arial"/>
                <w:color w:val="000000" w:themeColor="text1"/>
                <w:szCs w:val="16"/>
              </w:rPr>
              <w:t>Data</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11.15%</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10.87%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10.16%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9.30%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9.15%</w:t>
            </w:r>
          </w:p>
        </w:tc>
      </w:tr>
      <w:tr w:rsidR="005F0D3B" w:rsidRPr="00781112" w14:paraId="37C91828" w14:textId="68984F02" w:rsidTr="005A380E">
        <w:trPr>
          <w:trHeight w:val="432"/>
        </w:trPr>
        <w:tc>
          <w:tcPr>
            <w:tcW w:w="373"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5A380E">
            <w:pPr>
              <w:spacing w:after="0"/>
              <w:jc w:val="center"/>
              <w:rPr>
                <w:rFonts w:cs="Arial"/>
                <w:color w:val="000000" w:themeColor="text1"/>
                <w:szCs w:val="16"/>
              </w:rPr>
            </w:pPr>
            <w:r w:rsidRPr="00781112">
              <w:rPr>
                <w:rFonts w:cs="Arial"/>
                <w:color w:val="000000" w:themeColor="text1"/>
                <w:szCs w:val="16"/>
              </w:rPr>
              <w:t>C</w:t>
            </w:r>
          </w:p>
        </w:tc>
        <w:tc>
          <w:tcPr>
            <w:tcW w:w="667"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2020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5A380E">
            <w:pPr>
              <w:spacing w:after="0"/>
              <w:rPr>
                <w:rFonts w:cs="Arial"/>
                <w:color w:val="000000" w:themeColor="text1"/>
                <w:szCs w:val="16"/>
              </w:rPr>
            </w:pPr>
            <w:r w:rsidRPr="00781112">
              <w:rPr>
                <w:rFonts w:cs="Arial"/>
                <w:color w:val="000000" w:themeColor="text1"/>
                <w:szCs w:val="16"/>
              </w:rPr>
              <w:t>Target &lt;=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3.00%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3.00%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2.50%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2.50%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2.50%</w:t>
            </w:r>
          </w:p>
        </w:tc>
      </w:tr>
      <w:tr w:rsidR="005F0D3B" w:rsidRPr="00781112" w14:paraId="64BAB70F" w14:textId="676A8AD8" w:rsidTr="005A380E">
        <w:trPr>
          <w:trHeight w:val="432"/>
        </w:trPr>
        <w:tc>
          <w:tcPr>
            <w:tcW w:w="373" w:type="pct"/>
            <w:tcBorders>
              <w:left w:val="single" w:sz="4" w:space="0" w:color="auto"/>
              <w:right w:val="single" w:sz="4" w:space="0" w:color="auto"/>
            </w:tcBorders>
            <w:shd w:val="clear" w:color="auto" w:fill="auto"/>
            <w:vAlign w:val="center"/>
          </w:tcPr>
          <w:p w14:paraId="38B08CB3" w14:textId="5CD30D2F" w:rsidR="00BB7BC9" w:rsidRPr="00781112" w:rsidRDefault="001474EC" w:rsidP="005A380E">
            <w:pPr>
              <w:spacing w:after="0"/>
              <w:jc w:val="center"/>
              <w:rPr>
                <w:rFonts w:cs="Arial"/>
                <w:color w:val="000000" w:themeColor="text1"/>
                <w:szCs w:val="16"/>
              </w:rPr>
            </w:pPr>
            <w:r w:rsidRPr="00781112">
              <w:rPr>
                <w:rFonts w:cs="Arial"/>
                <w:color w:val="000000" w:themeColor="text1"/>
                <w:szCs w:val="16"/>
              </w:rPr>
              <w:t>C</w:t>
            </w:r>
          </w:p>
        </w:tc>
        <w:tc>
          <w:tcPr>
            <w:tcW w:w="667" w:type="pct"/>
            <w:tcBorders>
              <w:left w:val="single" w:sz="4" w:space="0" w:color="auto"/>
              <w:right w:val="single" w:sz="4" w:space="0" w:color="auto"/>
            </w:tcBorders>
            <w:shd w:val="clear" w:color="auto" w:fill="auto"/>
            <w:vAlign w:val="center"/>
          </w:tcPr>
          <w:p w14:paraId="68128485" w14:textId="059E5B6B"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3.91%</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5A380E">
            <w:pPr>
              <w:spacing w:after="0"/>
              <w:rPr>
                <w:rFonts w:cs="Arial"/>
                <w:color w:val="000000" w:themeColor="text1"/>
                <w:szCs w:val="16"/>
              </w:rPr>
            </w:pPr>
            <w:r w:rsidRPr="00781112">
              <w:rPr>
                <w:rFonts w:cs="Arial"/>
                <w:color w:val="000000" w:themeColor="text1"/>
                <w:szCs w:val="16"/>
              </w:rPr>
              <w:t>Data</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4.16%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4.26%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4.32%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4.39%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rsidP="005A380E">
            <w:pPr>
              <w:spacing w:after="0"/>
              <w:jc w:val="center"/>
              <w:rPr>
                <w:rFonts w:cs="Arial"/>
                <w:color w:val="000000" w:themeColor="text1"/>
                <w:szCs w:val="16"/>
              </w:rPr>
            </w:pPr>
            <w:r w:rsidRPr="00781112">
              <w:rPr>
                <w:rFonts w:cs="Arial"/>
                <w:color w:val="000000" w:themeColor="text1"/>
                <w:szCs w:val="16"/>
              </w:rPr>
              <w:t>4.51%</w:t>
            </w:r>
          </w:p>
        </w:tc>
      </w:tr>
    </w:tbl>
    <w:p w14:paraId="4B421711" w14:textId="3B7B9AA3" w:rsidR="002C207A" w:rsidRPr="00781112" w:rsidRDefault="002C207A" w:rsidP="00815ACE">
      <w:pPr>
        <w:pStyle w:val="Caption"/>
      </w:pPr>
      <w:r w:rsidRPr="00781112">
        <w:t>Targets</w:t>
      </w:r>
      <w:r w:rsidR="0097256F">
        <w:t xml:space="preserve"> (5)</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615"/>
        <w:gridCol w:w="1535"/>
        <w:gridCol w:w="1534"/>
        <w:gridCol w:w="1534"/>
        <w:gridCol w:w="1534"/>
        <w:gridCol w:w="1534"/>
        <w:gridCol w:w="1534"/>
      </w:tblGrid>
      <w:tr w:rsidR="00D62058" w:rsidRPr="00781112" w14:paraId="67121B7A" w14:textId="6B1EA8E0" w:rsidTr="005A380E">
        <w:trPr>
          <w:trHeight w:val="432"/>
        </w:trPr>
        <w:tc>
          <w:tcPr>
            <w:tcW w:w="746" w:type="pct"/>
            <w:tcBorders>
              <w:bottom w:val="single" w:sz="4" w:space="0" w:color="auto"/>
            </w:tcBorders>
            <w:shd w:val="clear" w:color="auto" w:fill="D9D9D9" w:themeFill="background1" w:themeFillShade="D9"/>
            <w:vAlign w:val="center"/>
          </w:tcPr>
          <w:p w14:paraId="417BC1C4" w14:textId="77777777" w:rsidR="00D62058" w:rsidRPr="00781112" w:rsidRDefault="00D62058" w:rsidP="005A380E">
            <w:pPr>
              <w:spacing w:after="0"/>
              <w:jc w:val="center"/>
              <w:rPr>
                <w:b/>
                <w:color w:val="000000" w:themeColor="text1"/>
              </w:rPr>
            </w:pPr>
            <w:r w:rsidRPr="00781112">
              <w:rPr>
                <w:b/>
                <w:color w:val="000000" w:themeColor="text1"/>
              </w:rPr>
              <w:t>FFY</w:t>
            </w:r>
          </w:p>
        </w:tc>
        <w:tc>
          <w:tcPr>
            <w:tcW w:w="709" w:type="pct"/>
            <w:shd w:val="clear" w:color="auto" w:fill="D9D9D9" w:themeFill="background1" w:themeFillShade="D9"/>
            <w:vAlign w:val="center"/>
          </w:tcPr>
          <w:p w14:paraId="43C546D5" w14:textId="7A1B1AB1" w:rsidR="00D62058" w:rsidRPr="00781112" w:rsidRDefault="00D62058" w:rsidP="005A380E">
            <w:pPr>
              <w:spacing w:after="0"/>
              <w:jc w:val="center"/>
              <w:rPr>
                <w:b/>
                <w:color w:val="000000" w:themeColor="text1"/>
              </w:rPr>
            </w:pPr>
            <w:r w:rsidRPr="00781112">
              <w:rPr>
                <w:b/>
                <w:color w:val="000000" w:themeColor="text1"/>
              </w:rPr>
              <w:t>2020</w:t>
            </w:r>
          </w:p>
        </w:tc>
        <w:tc>
          <w:tcPr>
            <w:tcW w:w="709" w:type="pct"/>
            <w:shd w:val="clear" w:color="auto" w:fill="D9D9D9" w:themeFill="background1" w:themeFillShade="D9"/>
            <w:vAlign w:val="center"/>
          </w:tcPr>
          <w:p w14:paraId="12417F21" w14:textId="04859FD1" w:rsidR="00D62058" w:rsidRPr="00781112" w:rsidRDefault="00D62058" w:rsidP="005A380E">
            <w:pPr>
              <w:spacing w:after="0"/>
              <w:jc w:val="center"/>
              <w:rPr>
                <w:b/>
                <w:color w:val="000000" w:themeColor="text1"/>
              </w:rPr>
            </w:pPr>
            <w:r w:rsidRPr="00781112">
              <w:rPr>
                <w:rFonts w:cs="Arial"/>
                <w:b/>
                <w:color w:val="000000" w:themeColor="text1"/>
                <w:szCs w:val="16"/>
              </w:rPr>
              <w:t>2021</w:t>
            </w:r>
          </w:p>
        </w:tc>
        <w:tc>
          <w:tcPr>
            <w:tcW w:w="709" w:type="pct"/>
            <w:shd w:val="clear" w:color="auto" w:fill="D9D9D9" w:themeFill="background1" w:themeFillShade="D9"/>
            <w:vAlign w:val="center"/>
          </w:tcPr>
          <w:p w14:paraId="75B6E23D" w14:textId="1550C183" w:rsidR="00D62058" w:rsidRPr="00781112" w:rsidRDefault="00D62058" w:rsidP="005A380E">
            <w:pPr>
              <w:spacing w:after="0"/>
              <w:jc w:val="center"/>
              <w:rPr>
                <w:b/>
                <w:color w:val="000000" w:themeColor="text1"/>
              </w:rPr>
            </w:pPr>
            <w:r w:rsidRPr="00781112">
              <w:rPr>
                <w:rFonts w:cs="Arial"/>
                <w:b/>
                <w:color w:val="000000" w:themeColor="text1"/>
                <w:szCs w:val="16"/>
              </w:rPr>
              <w:t>2022</w:t>
            </w:r>
          </w:p>
        </w:tc>
        <w:tc>
          <w:tcPr>
            <w:tcW w:w="709" w:type="pct"/>
            <w:shd w:val="clear" w:color="auto" w:fill="D9D9D9" w:themeFill="background1" w:themeFillShade="D9"/>
            <w:vAlign w:val="center"/>
          </w:tcPr>
          <w:p w14:paraId="0412226B" w14:textId="561C74FD" w:rsidR="00D62058" w:rsidRPr="00781112" w:rsidRDefault="00D62058" w:rsidP="005A380E">
            <w:pPr>
              <w:spacing w:after="0"/>
              <w:jc w:val="center"/>
              <w:rPr>
                <w:b/>
                <w:color w:val="000000" w:themeColor="text1"/>
              </w:rPr>
            </w:pPr>
            <w:r w:rsidRPr="00781112">
              <w:rPr>
                <w:rFonts w:cs="Arial"/>
                <w:b/>
                <w:color w:val="000000" w:themeColor="text1"/>
                <w:szCs w:val="16"/>
              </w:rPr>
              <w:t>2023</w:t>
            </w:r>
          </w:p>
        </w:tc>
        <w:tc>
          <w:tcPr>
            <w:tcW w:w="709" w:type="pct"/>
            <w:shd w:val="clear" w:color="auto" w:fill="D9D9D9" w:themeFill="background1" w:themeFillShade="D9"/>
            <w:vAlign w:val="center"/>
          </w:tcPr>
          <w:p w14:paraId="46BF17D8" w14:textId="1CC0E2CE" w:rsidR="00D62058" w:rsidRPr="00781112" w:rsidRDefault="00D62058" w:rsidP="005A380E">
            <w:pPr>
              <w:spacing w:after="0"/>
              <w:jc w:val="center"/>
              <w:rPr>
                <w:b/>
                <w:color w:val="000000" w:themeColor="text1"/>
              </w:rPr>
            </w:pPr>
            <w:r w:rsidRPr="00781112">
              <w:rPr>
                <w:rFonts w:cs="Arial"/>
                <w:b/>
                <w:color w:val="000000" w:themeColor="text1"/>
                <w:szCs w:val="16"/>
              </w:rPr>
              <w:t>2024</w:t>
            </w:r>
          </w:p>
        </w:tc>
        <w:tc>
          <w:tcPr>
            <w:tcW w:w="709" w:type="pct"/>
            <w:shd w:val="clear" w:color="auto" w:fill="D9D9D9" w:themeFill="background1" w:themeFillShade="D9"/>
            <w:vAlign w:val="center"/>
          </w:tcPr>
          <w:p w14:paraId="2C02A36B" w14:textId="2EC9CAF5" w:rsidR="00D62058" w:rsidRPr="00781112" w:rsidRDefault="00D62058" w:rsidP="005A380E">
            <w:pPr>
              <w:spacing w:after="0"/>
              <w:jc w:val="center"/>
              <w:rPr>
                <w:b/>
                <w:color w:val="000000" w:themeColor="text1"/>
              </w:rPr>
            </w:pPr>
            <w:r w:rsidRPr="00781112">
              <w:rPr>
                <w:rFonts w:cs="Arial"/>
                <w:b/>
                <w:color w:val="000000" w:themeColor="text1"/>
                <w:szCs w:val="16"/>
              </w:rPr>
              <w:t>2025</w:t>
            </w:r>
          </w:p>
        </w:tc>
      </w:tr>
      <w:tr w:rsidR="00D62058" w:rsidRPr="00781112" w14:paraId="0E725BBE" w14:textId="7C441390" w:rsidTr="005A380E">
        <w:trPr>
          <w:trHeight w:val="432"/>
        </w:trPr>
        <w:tc>
          <w:tcPr>
            <w:tcW w:w="746" w:type="pct"/>
            <w:shd w:val="clear" w:color="auto" w:fill="auto"/>
            <w:vAlign w:val="center"/>
          </w:tcPr>
          <w:p w14:paraId="3CB4FC66" w14:textId="21A33A6B" w:rsidR="00D62058" w:rsidRPr="00781112" w:rsidRDefault="00D62058" w:rsidP="005A380E">
            <w:pPr>
              <w:spacing w:after="0"/>
              <w:rPr>
                <w:rFonts w:cs="Arial"/>
                <w:color w:val="000000" w:themeColor="text1"/>
                <w:szCs w:val="16"/>
              </w:rPr>
            </w:pPr>
            <w:r w:rsidRPr="00781112">
              <w:rPr>
                <w:rFonts w:cs="Arial"/>
                <w:color w:val="000000" w:themeColor="text1"/>
                <w:szCs w:val="16"/>
              </w:rPr>
              <w:t>Target A &gt;=</w:t>
            </w:r>
          </w:p>
        </w:tc>
        <w:tc>
          <w:tcPr>
            <w:tcW w:w="709" w:type="pct"/>
            <w:shd w:val="clear" w:color="auto" w:fill="auto"/>
            <w:vAlign w:val="center"/>
          </w:tcPr>
          <w:p w14:paraId="0643B02C" w14:textId="7613B373" w:rsidR="00D62058" w:rsidRPr="00781112" w:rsidRDefault="00D62058" w:rsidP="005A380E">
            <w:pPr>
              <w:spacing w:after="0"/>
              <w:jc w:val="center"/>
              <w:rPr>
                <w:rFonts w:cs="Arial"/>
                <w:color w:val="000000" w:themeColor="text1"/>
                <w:szCs w:val="16"/>
              </w:rPr>
            </w:pPr>
            <w:r w:rsidRPr="00781112">
              <w:rPr>
                <w:rFonts w:cs="Arial"/>
                <w:color w:val="000000" w:themeColor="text1"/>
                <w:szCs w:val="16"/>
              </w:rPr>
              <w:t>71.60%</w:t>
            </w:r>
          </w:p>
        </w:tc>
        <w:tc>
          <w:tcPr>
            <w:tcW w:w="709" w:type="pct"/>
            <w:vAlign w:val="center"/>
          </w:tcPr>
          <w:p w14:paraId="5AAF7764" w14:textId="6CE24C23" w:rsidR="00D62058" w:rsidRPr="00781112" w:rsidRDefault="00D62058" w:rsidP="005A380E">
            <w:pPr>
              <w:spacing w:after="0"/>
              <w:jc w:val="center"/>
              <w:rPr>
                <w:rFonts w:cs="Arial"/>
                <w:color w:val="000000" w:themeColor="text1"/>
                <w:szCs w:val="16"/>
              </w:rPr>
            </w:pPr>
            <w:r w:rsidRPr="00781112">
              <w:rPr>
                <w:color w:val="000000" w:themeColor="text1"/>
                <w:szCs w:val="16"/>
              </w:rPr>
              <w:t>72.10%</w:t>
            </w:r>
          </w:p>
        </w:tc>
        <w:tc>
          <w:tcPr>
            <w:tcW w:w="709" w:type="pct"/>
            <w:vAlign w:val="center"/>
          </w:tcPr>
          <w:p w14:paraId="18842FBE" w14:textId="34C8AABC" w:rsidR="00D62058" w:rsidRPr="00781112" w:rsidRDefault="00D62058" w:rsidP="005A380E">
            <w:pPr>
              <w:spacing w:after="0"/>
              <w:jc w:val="center"/>
              <w:rPr>
                <w:rFonts w:cs="Arial"/>
                <w:color w:val="000000" w:themeColor="text1"/>
                <w:szCs w:val="16"/>
              </w:rPr>
            </w:pPr>
            <w:r w:rsidRPr="00781112">
              <w:rPr>
                <w:color w:val="000000" w:themeColor="text1"/>
                <w:szCs w:val="16"/>
              </w:rPr>
              <w:t>72.60%</w:t>
            </w:r>
          </w:p>
        </w:tc>
        <w:tc>
          <w:tcPr>
            <w:tcW w:w="709" w:type="pct"/>
            <w:vAlign w:val="center"/>
          </w:tcPr>
          <w:p w14:paraId="22283B88" w14:textId="78C8081B" w:rsidR="00D62058" w:rsidRPr="00781112" w:rsidRDefault="00D62058" w:rsidP="005A380E">
            <w:pPr>
              <w:spacing w:after="0"/>
              <w:jc w:val="center"/>
              <w:rPr>
                <w:rFonts w:cs="Arial"/>
                <w:color w:val="000000" w:themeColor="text1"/>
                <w:szCs w:val="16"/>
              </w:rPr>
            </w:pPr>
            <w:r w:rsidRPr="00781112">
              <w:rPr>
                <w:color w:val="000000" w:themeColor="text1"/>
                <w:szCs w:val="16"/>
              </w:rPr>
              <w:t>73.10%</w:t>
            </w:r>
          </w:p>
        </w:tc>
        <w:tc>
          <w:tcPr>
            <w:tcW w:w="709" w:type="pct"/>
            <w:vAlign w:val="center"/>
          </w:tcPr>
          <w:p w14:paraId="7C808A06" w14:textId="70D7E176" w:rsidR="00D62058" w:rsidRPr="00781112" w:rsidRDefault="00D62058" w:rsidP="005A380E">
            <w:pPr>
              <w:spacing w:after="0"/>
              <w:jc w:val="center"/>
              <w:rPr>
                <w:rFonts w:cs="Arial"/>
                <w:color w:val="000000" w:themeColor="text1"/>
                <w:szCs w:val="16"/>
              </w:rPr>
            </w:pPr>
            <w:r w:rsidRPr="00781112">
              <w:rPr>
                <w:color w:val="000000" w:themeColor="text1"/>
                <w:szCs w:val="16"/>
              </w:rPr>
              <w:t>73.60%</w:t>
            </w:r>
          </w:p>
        </w:tc>
        <w:tc>
          <w:tcPr>
            <w:tcW w:w="709" w:type="pct"/>
            <w:vAlign w:val="center"/>
          </w:tcPr>
          <w:p w14:paraId="6A3BFC2B" w14:textId="59F48114" w:rsidR="00D62058" w:rsidRPr="00781112" w:rsidRDefault="00D62058" w:rsidP="005A380E">
            <w:pPr>
              <w:spacing w:after="0"/>
              <w:jc w:val="center"/>
              <w:rPr>
                <w:rFonts w:cs="Arial"/>
                <w:color w:val="000000" w:themeColor="text1"/>
                <w:szCs w:val="16"/>
              </w:rPr>
            </w:pPr>
            <w:r w:rsidRPr="00781112">
              <w:rPr>
                <w:color w:val="000000" w:themeColor="text1"/>
                <w:szCs w:val="16"/>
              </w:rPr>
              <w:t>74.10%</w:t>
            </w:r>
          </w:p>
        </w:tc>
      </w:tr>
      <w:tr w:rsidR="00D62058" w:rsidRPr="00781112" w14:paraId="17C12050" w14:textId="1A45DE5B" w:rsidTr="005A380E">
        <w:trPr>
          <w:trHeight w:val="432"/>
        </w:trPr>
        <w:tc>
          <w:tcPr>
            <w:tcW w:w="746" w:type="pct"/>
            <w:shd w:val="clear" w:color="auto" w:fill="auto"/>
            <w:vAlign w:val="center"/>
          </w:tcPr>
          <w:p w14:paraId="5FF4BE45" w14:textId="3D057CF2" w:rsidR="00D62058" w:rsidRPr="00781112" w:rsidRDefault="00D62058" w:rsidP="005A380E">
            <w:pPr>
              <w:spacing w:after="0"/>
              <w:rPr>
                <w:rFonts w:cs="Arial"/>
                <w:color w:val="000000" w:themeColor="text1"/>
                <w:szCs w:val="16"/>
              </w:rPr>
            </w:pPr>
            <w:r w:rsidRPr="00781112">
              <w:rPr>
                <w:rFonts w:cs="Arial"/>
                <w:color w:val="000000" w:themeColor="text1"/>
                <w:szCs w:val="16"/>
              </w:rPr>
              <w:t>Target B &lt;=</w:t>
            </w:r>
          </w:p>
        </w:tc>
        <w:tc>
          <w:tcPr>
            <w:tcW w:w="709" w:type="pct"/>
            <w:shd w:val="clear" w:color="auto" w:fill="auto"/>
            <w:vAlign w:val="center"/>
          </w:tcPr>
          <w:p w14:paraId="4B344C1C" w14:textId="2108066A" w:rsidR="00D62058" w:rsidRPr="00781112" w:rsidRDefault="00D62058" w:rsidP="005A380E">
            <w:pPr>
              <w:spacing w:after="0"/>
              <w:jc w:val="center"/>
              <w:rPr>
                <w:rFonts w:cs="Arial"/>
                <w:color w:val="000000" w:themeColor="text1"/>
                <w:szCs w:val="16"/>
              </w:rPr>
            </w:pPr>
            <w:r w:rsidRPr="00781112">
              <w:rPr>
                <w:rFonts w:cs="Arial"/>
                <w:color w:val="000000" w:themeColor="text1"/>
                <w:szCs w:val="16"/>
              </w:rPr>
              <w:t>8.40%</w:t>
            </w:r>
          </w:p>
        </w:tc>
        <w:tc>
          <w:tcPr>
            <w:tcW w:w="709" w:type="pct"/>
            <w:vAlign w:val="center"/>
          </w:tcPr>
          <w:p w14:paraId="05700FA5" w14:textId="5CCD345F" w:rsidR="00D62058" w:rsidRPr="00781112" w:rsidRDefault="00D62058" w:rsidP="005A380E">
            <w:pPr>
              <w:spacing w:after="0"/>
              <w:jc w:val="center"/>
              <w:rPr>
                <w:rFonts w:cs="Arial"/>
                <w:color w:val="000000" w:themeColor="text1"/>
                <w:szCs w:val="16"/>
              </w:rPr>
            </w:pPr>
            <w:r w:rsidRPr="00781112">
              <w:rPr>
                <w:color w:val="000000" w:themeColor="text1"/>
                <w:szCs w:val="16"/>
              </w:rPr>
              <w:t>8.15%</w:t>
            </w:r>
          </w:p>
        </w:tc>
        <w:tc>
          <w:tcPr>
            <w:tcW w:w="709" w:type="pct"/>
            <w:vAlign w:val="center"/>
          </w:tcPr>
          <w:p w14:paraId="3714E477" w14:textId="7A435890" w:rsidR="00D62058" w:rsidRPr="00781112" w:rsidRDefault="00D62058" w:rsidP="005A380E">
            <w:pPr>
              <w:spacing w:after="0"/>
              <w:jc w:val="center"/>
              <w:rPr>
                <w:rFonts w:cs="Arial"/>
                <w:color w:val="000000" w:themeColor="text1"/>
                <w:szCs w:val="16"/>
              </w:rPr>
            </w:pPr>
            <w:r w:rsidRPr="00781112">
              <w:rPr>
                <w:color w:val="000000" w:themeColor="text1"/>
                <w:szCs w:val="16"/>
              </w:rPr>
              <w:t>7.90%</w:t>
            </w:r>
          </w:p>
        </w:tc>
        <w:tc>
          <w:tcPr>
            <w:tcW w:w="709" w:type="pct"/>
            <w:vAlign w:val="center"/>
          </w:tcPr>
          <w:p w14:paraId="378D738F" w14:textId="779494DE" w:rsidR="00D62058" w:rsidRPr="00781112" w:rsidRDefault="00D62058" w:rsidP="005A380E">
            <w:pPr>
              <w:spacing w:after="0"/>
              <w:jc w:val="center"/>
              <w:rPr>
                <w:rFonts w:cs="Arial"/>
                <w:color w:val="000000" w:themeColor="text1"/>
                <w:szCs w:val="16"/>
              </w:rPr>
            </w:pPr>
            <w:r w:rsidRPr="00781112">
              <w:rPr>
                <w:color w:val="000000" w:themeColor="text1"/>
                <w:szCs w:val="16"/>
              </w:rPr>
              <w:t>7.65%</w:t>
            </w:r>
          </w:p>
        </w:tc>
        <w:tc>
          <w:tcPr>
            <w:tcW w:w="709" w:type="pct"/>
            <w:vAlign w:val="center"/>
          </w:tcPr>
          <w:p w14:paraId="489715FB" w14:textId="57B31F87" w:rsidR="00D62058" w:rsidRPr="00781112" w:rsidRDefault="00D62058" w:rsidP="005A380E">
            <w:pPr>
              <w:spacing w:after="0"/>
              <w:jc w:val="center"/>
              <w:rPr>
                <w:rFonts w:cs="Arial"/>
                <w:color w:val="000000" w:themeColor="text1"/>
                <w:szCs w:val="16"/>
              </w:rPr>
            </w:pPr>
            <w:r w:rsidRPr="00781112">
              <w:rPr>
                <w:color w:val="000000" w:themeColor="text1"/>
                <w:szCs w:val="16"/>
              </w:rPr>
              <w:t>7.40%</w:t>
            </w:r>
          </w:p>
        </w:tc>
        <w:tc>
          <w:tcPr>
            <w:tcW w:w="709" w:type="pct"/>
            <w:vAlign w:val="center"/>
          </w:tcPr>
          <w:p w14:paraId="673320A3" w14:textId="050E59BF" w:rsidR="00D62058" w:rsidRPr="00781112" w:rsidRDefault="00D62058" w:rsidP="005A380E">
            <w:pPr>
              <w:spacing w:after="0"/>
              <w:jc w:val="center"/>
              <w:rPr>
                <w:rFonts w:cs="Arial"/>
                <w:color w:val="000000" w:themeColor="text1"/>
                <w:szCs w:val="16"/>
              </w:rPr>
            </w:pPr>
            <w:r w:rsidRPr="00781112">
              <w:rPr>
                <w:color w:val="000000" w:themeColor="text1"/>
                <w:szCs w:val="16"/>
              </w:rPr>
              <w:t>7.15%</w:t>
            </w:r>
          </w:p>
        </w:tc>
      </w:tr>
      <w:tr w:rsidR="00D62058" w:rsidRPr="00781112" w14:paraId="1C671552" w14:textId="2F7800FB" w:rsidTr="005A380E">
        <w:trPr>
          <w:trHeight w:val="432"/>
        </w:trPr>
        <w:tc>
          <w:tcPr>
            <w:tcW w:w="746" w:type="pct"/>
            <w:shd w:val="clear" w:color="auto" w:fill="auto"/>
            <w:vAlign w:val="center"/>
          </w:tcPr>
          <w:p w14:paraId="5D979A7F" w14:textId="57DEB4C1" w:rsidR="00D62058" w:rsidRPr="00781112" w:rsidRDefault="00D62058" w:rsidP="005A380E">
            <w:pPr>
              <w:spacing w:after="0"/>
              <w:rPr>
                <w:rFonts w:cs="Arial"/>
                <w:color w:val="000000" w:themeColor="text1"/>
                <w:szCs w:val="16"/>
              </w:rPr>
            </w:pPr>
            <w:r w:rsidRPr="00781112">
              <w:rPr>
                <w:rFonts w:cs="Arial"/>
                <w:color w:val="000000" w:themeColor="text1"/>
                <w:szCs w:val="16"/>
              </w:rPr>
              <w:t>Target C &lt;=</w:t>
            </w:r>
          </w:p>
        </w:tc>
        <w:tc>
          <w:tcPr>
            <w:tcW w:w="709" w:type="pct"/>
            <w:shd w:val="clear" w:color="auto" w:fill="auto"/>
            <w:vAlign w:val="center"/>
          </w:tcPr>
          <w:p w14:paraId="1C0EF441" w14:textId="373B29D8" w:rsidR="00D62058" w:rsidRPr="00781112" w:rsidRDefault="00D62058" w:rsidP="005A380E">
            <w:pPr>
              <w:spacing w:after="0"/>
              <w:jc w:val="center"/>
              <w:rPr>
                <w:rFonts w:cs="Arial"/>
                <w:color w:val="000000" w:themeColor="text1"/>
                <w:szCs w:val="16"/>
              </w:rPr>
            </w:pPr>
            <w:r w:rsidRPr="00781112">
              <w:rPr>
                <w:rFonts w:cs="Arial"/>
                <w:color w:val="000000" w:themeColor="text1"/>
                <w:szCs w:val="16"/>
              </w:rPr>
              <w:t>3.91%</w:t>
            </w:r>
          </w:p>
        </w:tc>
        <w:tc>
          <w:tcPr>
            <w:tcW w:w="709" w:type="pct"/>
            <w:vAlign w:val="center"/>
          </w:tcPr>
          <w:p w14:paraId="29CA6903" w14:textId="7D992541" w:rsidR="00D62058" w:rsidRPr="00781112" w:rsidRDefault="00D62058" w:rsidP="005A380E">
            <w:pPr>
              <w:spacing w:after="0"/>
              <w:jc w:val="center"/>
              <w:rPr>
                <w:rFonts w:cs="Arial"/>
                <w:color w:val="000000" w:themeColor="text1"/>
                <w:szCs w:val="16"/>
              </w:rPr>
            </w:pPr>
            <w:r w:rsidRPr="00781112">
              <w:rPr>
                <w:color w:val="000000" w:themeColor="text1"/>
                <w:szCs w:val="16"/>
              </w:rPr>
              <w:t>3.81%</w:t>
            </w:r>
          </w:p>
        </w:tc>
        <w:tc>
          <w:tcPr>
            <w:tcW w:w="709" w:type="pct"/>
            <w:vAlign w:val="center"/>
          </w:tcPr>
          <w:p w14:paraId="552B6B09" w14:textId="511FB8CF" w:rsidR="00D62058" w:rsidRPr="00781112" w:rsidRDefault="00D62058" w:rsidP="005A380E">
            <w:pPr>
              <w:spacing w:after="0"/>
              <w:jc w:val="center"/>
              <w:rPr>
                <w:rFonts w:cs="Arial"/>
                <w:color w:val="000000" w:themeColor="text1"/>
                <w:szCs w:val="16"/>
              </w:rPr>
            </w:pPr>
            <w:r w:rsidRPr="00781112">
              <w:rPr>
                <w:color w:val="000000" w:themeColor="text1"/>
                <w:szCs w:val="16"/>
              </w:rPr>
              <w:t>3.71%</w:t>
            </w:r>
          </w:p>
        </w:tc>
        <w:tc>
          <w:tcPr>
            <w:tcW w:w="709" w:type="pct"/>
            <w:vAlign w:val="center"/>
          </w:tcPr>
          <w:p w14:paraId="7DB61507" w14:textId="60C3D8B8" w:rsidR="00D62058" w:rsidRPr="00781112" w:rsidRDefault="00D62058" w:rsidP="005A380E">
            <w:pPr>
              <w:spacing w:after="0"/>
              <w:jc w:val="center"/>
              <w:rPr>
                <w:rFonts w:cs="Arial"/>
                <w:color w:val="000000" w:themeColor="text1"/>
                <w:szCs w:val="16"/>
              </w:rPr>
            </w:pPr>
            <w:r w:rsidRPr="00781112">
              <w:rPr>
                <w:color w:val="000000" w:themeColor="text1"/>
                <w:szCs w:val="16"/>
              </w:rPr>
              <w:t>3.61%</w:t>
            </w:r>
          </w:p>
        </w:tc>
        <w:tc>
          <w:tcPr>
            <w:tcW w:w="709" w:type="pct"/>
            <w:vAlign w:val="center"/>
          </w:tcPr>
          <w:p w14:paraId="4D51A8CD" w14:textId="32D58B55" w:rsidR="00D62058" w:rsidRPr="00781112" w:rsidRDefault="00D62058" w:rsidP="005A380E">
            <w:pPr>
              <w:spacing w:after="0"/>
              <w:jc w:val="center"/>
              <w:rPr>
                <w:rFonts w:cs="Arial"/>
                <w:color w:val="000000" w:themeColor="text1"/>
                <w:szCs w:val="16"/>
              </w:rPr>
            </w:pPr>
            <w:r w:rsidRPr="00781112">
              <w:rPr>
                <w:color w:val="000000" w:themeColor="text1"/>
                <w:szCs w:val="16"/>
              </w:rPr>
              <w:t>3.51%</w:t>
            </w:r>
          </w:p>
        </w:tc>
        <w:tc>
          <w:tcPr>
            <w:tcW w:w="709" w:type="pct"/>
            <w:vAlign w:val="center"/>
          </w:tcPr>
          <w:p w14:paraId="50C592AB" w14:textId="02D0AA40" w:rsidR="00D62058" w:rsidRPr="00781112" w:rsidRDefault="00D62058" w:rsidP="005A380E">
            <w:pPr>
              <w:spacing w:after="0"/>
              <w:jc w:val="center"/>
              <w:rPr>
                <w:rFonts w:cs="Arial"/>
                <w:color w:val="000000" w:themeColor="text1"/>
                <w:szCs w:val="16"/>
              </w:rPr>
            </w:pPr>
            <w:r w:rsidRPr="00781112">
              <w:rPr>
                <w:color w:val="000000" w:themeColor="text1"/>
                <w:szCs w:val="16"/>
              </w:rPr>
              <w:t>3.41%</w:t>
            </w:r>
          </w:p>
        </w:tc>
      </w:tr>
    </w:tbl>
    <w:p w14:paraId="7C8EA9A0" w14:textId="657365C9" w:rsidR="002D145D" w:rsidRPr="00781112" w:rsidRDefault="002D145D" w:rsidP="00447D0B">
      <w:pPr>
        <w:pStyle w:val="Heading4"/>
      </w:pPr>
      <w:r w:rsidRPr="00781112">
        <w:t>Targets: Description of Stakeholder Input</w:t>
      </w:r>
    </w:p>
    <w:p w14:paraId="59787CCC" w14:textId="77777777" w:rsidR="005A380E" w:rsidRPr="00D4769B" w:rsidRDefault="00D60B5F" w:rsidP="00314F94">
      <w:pPr>
        <w:pStyle w:val="ListParagraph"/>
        <w:numPr>
          <w:ilvl w:val="0"/>
          <w:numId w:val="144"/>
        </w:numPr>
        <w:rPr>
          <w:rFonts w:cs="Arial"/>
          <w:color w:val="000000" w:themeColor="text1"/>
          <w:szCs w:val="16"/>
        </w:rPr>
      </w:pPr>
      <w:r w:rsidRPr="00D4769B">
        <w:rPr>
          <w:rFonts w:cs="Arial"/>
          <w:color w:val="000000" w:themeColor="text1"/>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080E6720" w14:textId="5BF4CD65" w:rsidR="002D145D" w:rsidRPr="00781112" w:rsidRDefault="00D60B5F" w:rsidP="004C1EC0">
      <w:pPr>
        <w:ind w:left="720"/>
        <w:rPr>
          <w:rFonts w:cs="Arial"/>
          <w:color w:val="000000" w:themeColor="text1"/>
          <w:szCs w:val="16"/>
        </w:rPr>
      </w:pPr>
      <w:r w:rsidRPr="00781112">
        <w:rPr>
          <w:rFonts w:cs="Arial"/>
          <w:color w:val="000000" w:themeColor="text1"/>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5251E1B0" w14:textId="7E588788" w:rsidR="004A4803" w:rsidRPr="005A380E" w:rsidRDefault="00D60B5F" w:rsidP="004C1EC0">
      <w:pPr>
        <w:ind w:left="720"/>
        <w:rPr>
          <w:rFonts w:cs="Arial"/>
          <w:color w:val="000000" w:themeColor="text1"/>
          <w:szCs w:val="16"/>
        </w:rPr>
      </w:pPr>
      <w:r w:rsidRPr="00781112">
        <w:rPr>
          <w:rFonts w:cs="Arial"/>
          <w:color w:val="000000" w:themeColor="text1"/>
          <w:szCs w:val="16"/>
        </w:rPr>
        <w:t xml:space="preserve">Finally, to ensure that stakeholders, including special education and general education teachers were aware of the current data and trends for specific indicators, such as indicator 5, </w:t>
      </w:r>
      <w:r w:rsidRPr="00781112">
        <w:rPr>
          <w:rFonts w:cs="Arial"/>
          <w:color w:val="000000" w:themeColor="text1"/>
          <w:szCs w:val="16"/>
        </w:rPr>
        <w:lastRenderedPageBreak/>
        <w:t xml:space="preserve">data was shared at several statewide professional development conferences and </w:t>
      </w:r>
      <w:proofErr w:type="gramStart"/>
      <w:r w:rsidRPr="00781112">
        <w:rPr>
          <w:rFonts w:cs="Arial"/>
          <w:color w:val="000000" w:themeColor="text1"/>
          <w:szCs w:val="16"/>
        </w:rPr>
        <w:t>the  attending</w:t>
      </w:r>
      <w:proofErr w:type="gramEnd"/>
      <w:r w:rsidRPr="00781112">
        <w:rPr>
          <w:rFonts w:cs="Arial"/>
          <w:color w:val="000000" w:themeColor="text1"/>
          <w:szCs w:val="16"/>
        </w:rPr>
        <w:t xml:space="preserve"> teachers were given an opportunity to have input into the target setting process.</w:t>
      </w:r>
    </w:p>
    <w:p w14:paraId="4D7BF763" w14:textId="23C4AEF5" w:rsidR="00931A25" w:rsidRPr="00781112" w:rsidRDefault="00931A25" w:rsidP="00815ACE">
      <w:pPr>
        <w:pStyle w:val="Caption"/>
      </w:pPr>
      <w:r w:rsidRPr="00781112">
        <w:t>Prepopulated Data</w:t>
      </w:r>
      <w:r w:rsidR="0097256F">
        <w:t xml:space="preserve">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numbers of youth with IEPs exiting special education, by various explanations, for this indicator. Data source provided for each."/>
      </w:tblPr>
      <w:tblGrid>
        <w:gridCol w:w="3235"/>
        <w:gridCol w:w="2339"/>
        <w:gridCol w:w="3332"/>
        <w:gridCol w:w="1884"/>
      </w:tblGrid>
      <w:tr w:rsidR="005C29F8" w:rsidRPr="00781112" w14:paraId="7DC625CA" w14:textId="77777777" w:rsidTr="006D0DC2">
        <w:trPr>
          <w:trHeight w:val="372"/>
          <w:tblHeader/>
        </w:trPr>
        <w:tc>
          <w:tcPr>
            <w:tcW w:w="1499" w:type="pct"/>
            <w:shd w:val="clear" w:color="auto" w:fill="D9D9D9" w:themeFill="background1" w:themeFillShade="D9"/>
            <w:vAlign w:val="center"/>
          </w:tcPr>
          <w:p w14:paraId="27CE7D2A" w14:textId="77777777" w:rsidR="001C6C30" w:rsidRPr="00781112" w:rsidRDefault="001C6C30" w:rsidP="005A380E">
            <w:pPr>
              <w:spacing w:after="0"/>
              <w:jc w:val="center"/>
              <w:rPr>
                <w:rFonts w:cs="Arial"/>
                <w:b/>
                <w:color w:val="000000" w:themeColor="text1"/>
                <w:szCs w:val="16"/>
              </w:rPr>
            </w:pPr>
            <w:r w:rsidRPr="00781112">
              <w:rPr>
                <w:rFonts w:cs="Arial"/>
                <w:b/>
                <w:color w:val="000000" w:themeColor="text1"/>
                <w:szCs w:val="16"/>
              </w:rPr>
              <w:t>Source</w:t>
            </w:r>
          </w:p>
        </w:tc>
        <w:tc>
          <w:tcPr>
            <w:tcW w:w="1084" w:type="pct"/>
            <w:shd w:val="clear" w:color="auto" w:fill="D9D9D9" w:themeFill="background1" w:themeFillShade="D9"/>
            <w:vAlign w:val="center"/>
          </w:tcPr>
          <w:p w14:paraId="37A472D3" w14:textId="77777777" w:rsidR="001C6C30" w:rsidRPr="00781112" w:rsidRDefault="001C6C30" w:rsidP="005A380E">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D9D9D9" w:themeFill="background1" w:themeFillShade="D9"/>
            <w:vAlign w:val="center"/>
          </w:tcPr>
          <w:p w14:paraId="3AD5D5D4" w14:textId="77777777" w:rsidR="001C6C30" w:rsidRPr="00781112" w:rsidRDefault="001C6C30" w:rsidP="005A380E">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D9D9D9" w:themeFill="background1" w:themeFillShade="D9"/>
            <w:vAlign w:val="center"/>
          </w:tcPr>
          <w:p w14:paraId="3879034D" w14:textId="77777777" w:rsidR="001C6C30" w:rsidRPr="00781112" w:rsidRDefault="001C6C30" w:rsidP="005A380E">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6D0DC2">
        <w:trPr>
          <w:trHeight w:val="2051"/>
        </w:trPr>
        <w:tc>
          <w:tcPr>
            <w:tcW w:w="1499" w:type="pct"/>
            <w:shd w:val="clear" w:color="auto" w:fill="auto"/>
            <w:vAlign w:val="center"/>
          </w:tcPr>
          <w:p w14:paraId="35A4BC35" w14:textId="73E52F94" w:rsidR="003C1852" w:rsidRPr="00781112" w:rsidRDefault="002B7490" w:rsidP="005A380E">
            <w:pPr>
              <w:spacing w:after="0"/>
              <w:jc w:val="center"/>
              <w:rPr>
                <w:rFonts w:cs="Arial"/>
                <w:color w:val="000000" w:themeColor="text1"/>
                <w:szCs w:val="16"/>
              </w:rPr>
            </w:pPr>
            <w:r w:rsidRPr="00781112">
              <w:rPr>
                <w:rFonts w:cs="Arial"/>
                <w:color w:val="000000" w:themeColor="text1"/>
                <w:szCs w:val="16"/>
              </w:rPr>
              <w:t>SY 2020-21 Child Count/Educational Environment Data Groups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file spec FS002; Data group 74)</w:t>
            </w:r>
          </w:p>
        </w:tc>
        <w:tc>
          <w:tcPr>
            <w:tcW w:w="1084" w:type="pct"/>
            <w:shd w:val="clear" w:color="auto" w:fill="auto"/>
            <w:vAlign w:val="center"/>
          </w:tcPr>
          <w:p w14:paraId="0BD5009E" w14:textId="3A5F2E3D" w:rsidR="003C1852" w:rsidRPr="00781112" w:rsidRDefault="00FB785D" w:rsidP="005A380E">
            <w:pPr>
              <w:spacing w:after="0"/>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5856C31" w14:textId="605373FB" w:rsidR="003C1852" w:rsidRPr="00781112" w:rsidRDefault="003C1852" w:rsidP="005A380E">
            <w:pPr>
              <w:spacing w:after="0"/>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5A380E">
            <w:pPr>
              <w:spacing w:after="0"/>
              <w:jc w:val="center"/>
              <w:rPr>
                <w:rFonts w:cs="Arial"/>
                <w:color w:val="000000" w:themeColor="text1"/>
                <w:szCs w:val="16"/>
              </w:rPr>
            </w:pPr>
            <w:r w:rsidRPr="00781112">
              <w:rPr>
                <w:rFonts w:cs="Arial"/>
                <w:color w:val="000000" w:themeColor="text1"/>
                <w:szCs w:val="16"/>
              </w:rPr>
              <w:t>163,459</w:t>
            </w:r>
          </w:p>
        </w:tc>
      </w:tr>
      <w:tr w:rsidR="005C29F8" w:rsidRPr="00781112" w14:paraId="774B0393" w14:textId="77777777" w:rsidTr="006D0DC2">
        <w:trPr>
          <w:trHeight w:val="2060"/>
        </w:trPr>
        <w:tc>
          <w:tcPr>
            <w:tcW w:w="1499" w:type="pct"/>
            <w:shd w:val="clear" w:color="auto" w:fill="auto"/>
            <w:vAlign w:val="center"/>
          </w:tcPr>
          <w:p w14:paraId="41118E4B" w14:textId="707D9C2B"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SY 2020-21 Child Count/Educational Environment Data Groups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file spec FS002; Data group 74)</w:t>
            </w:r>
          </w:p>
        </w:tc>
        <w:tc>
          <w:tcPr>
            <w:tcW w:w="1084" w:type="pct"/>
            <w:shd w:val="clear" w:color="auto" w:fill="auto"/>
            <w:vAlign w:val="center"/>
          </w:tcPr>
          <w:p w14:paraId="598C9B67" w14:textId="1DDD1ECD"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2329530" w14:textId="7C955459" w:rsidR="008A3DC6" w:rsidRPr="00781112" w:rsidRDefault="008A3DC6" w:rsidP="005A380E">
            <w:pPr>
              <w:spacing w:after="0"/>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5A380E">
            <w:pPr>
              <w:spacing w:after="0"/>
              <w:jc w:val="center"/>
              <w:rPr>
                <w:rFonts w:cs="Arial"/>
                <w:color w:val="000000" w:themeColor="text1"/>
                <w:szCs w:val="16"/>
              </w:rPr>
            </w:pPr>
            <w:r w:rsidRPr="00781112">
              <w:rPr>
                <w:rFonts w:cs="Arial"/>
                <w:color w:val="000000" w:themeColor="text1"/>
                <w:szCs w:val="16"/>
              </w:rPr>
              <w:t>117,040</w:t>
            </w:r>
          </w:p>
        </w:tc>
      </w:tr>
      <w:tr w:rsidR="005C29F8" w:rsidRPr="00781112" w14:paraId="1BE24412" w14:textId="77777777" w:rsidTr="006D0DC2">
        <w:trPr>
          <w:trHeight w:val="2060"/>
        </w:trPr>
        <w:tc>
          <w:tcPr>
            <w:tcW w:w="1499" w:type="pct"/>
            <w:shd w:val="clear" w:color="auto" w:fill="auto"/>
            <w:vAlign w:val="center"/>
          </w:tcPr>
          <w:p w14:paraId="13D524C0" w14:textId="46F357A5"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SY 2020-21 Child Count/Educational Environment Data Groups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file spec FS002; Data group 74)</w:t>
            </w:r>
          </w:p>
        </w:tc>
        <w:tc>
          <w:tcPr>
            <w:tcW w:w="1084" w:type="pct"/>
            <w:shd w:val="clear" w:color="auto" w:fill="auto"/>
            <w:vAlign w:val="center"/>
          </w:tcPr>
          <w:p w14:paraId="72EFA773" w14:textId="00761F20"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6EF7CE7A" w14:textId="07D1D751" w:rsidR="008A3DC6" w:rsidRPr="00781112" w:rsidRDefault="008A3DC6" w:rsidP="005A380E">
            <w:pPr>
              <w:spacing w:after="0"/>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5A380E">
            <w:pPr>
              <w:spacing w:after="0"/>
              <w:jc w:val="center"/>
              <w:rPr>
                <w:rFonts w:cs="Arial"/>
                <w:color w:val="000000" w:themeColor="text1"/>
                <w:szCs w:val="16"/>
              </w:rPr>
            </w:pPr>
            <w:r w:rsidRPr="00781112">
              <w:rPr>
                <w:rFonts w:cs="Arial"/>
                <w:color w:val="000000" w:themeColor="text1"/>
                <w:szCs w:val="16"/>
              </w:rPr>
              <w:t>13,730</w:t>
            </w:r>
          </w:p>
        </w:tc>
      </w:tr>
      <w:tr w:rsidR="005C29F8" w:rsidRPr="00781112" w14:paraId="17A5A2B3" w14:textId="77777777" w:rsidTr="006D0DC2">
        <w:trPr>
          <w:trHeight w:val="2051"/>
        </w:trPr>
        <w:tc>
          <w:tcPr>
            <w:tcW w:w="1499" w:type="pct"/>
            <w:shd w:val="clear" w:color="auto" w:fill="auto"/>
            <w:vAlign w:val="center"/>
          </w:tcPr>
          <w:p w14:paraId="525A2ED8" w14:textId="4E94BB5B"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SY 2020-21 Child Count/Educational Environment Data Groups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file spec FS002; Data group 74)</w:t>
            </w:r>
          </w:p>
        </w:tc>
        <w:tc>
          <w:tcPr>
            <w:tcW w:w="1084" w:type="pct"/>
            <w:shd w:val="clear" w:color="auto" w:fill="auto"/>
            <w:vAlign w:val="center"/>
          </w:tcPr>
          <w:p w14:paraId="68C3F92C" w14:textId="3AE47CC2"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413AEB9E" w14:textId="1B537E25" w:rsidR="008A3DC6" w:rsidRPr="00781112" w:rsidRDefault="008A3DC6" w:rsidP="005A380E">
            <w:pPr>
              <w:spacing w:after="0"/>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5A380E">
            <w:pPr>
              <w:spacing w:after="0"/>
              <w:jc w:val="center"/>
              <w:rPr>
                <w:rFonts w:cs="Arial"/>
                <w:color w:val="000000" w:themeColor="text1"/>
                <w:szCs w:val="16"/>
              </w:rPr>
            </w:pPr>
            <w:r w:rsidRPr="00781112">
              <w:rPr>
                <w:rFonts w:cs="Arial"/>
                <w:color w:val="000000" w:themeColor="text1"/>
                <w:szCs w:val="16"/>
              </w:rPr>
              <w:t>5,190</w:t>
            </w:r>
          </w:p>
        </w:tc>
      </w:tr>
      <w:tr w:rsidR="005C29F8" w:rsidRPr="00781112" w14:paraId="7C327020" w14:textId="77777777" w:rsidTr="006D0DC2">
        <w:trPr>
          <w:trHeight w:val="2078"/>
        </w:trPr>
        <w:tc>
          <w:tcPr>
            <w:tcW w:w="1499" w:type="pct"/>
            <w:shd w:val="clear" w:color="auto" w:fill="auto"/>
            <w:vAlign w:val="center"/>
          </w:tcPr>
          <w:p w14:paraId="485F7D93" w14:textId="6A92F697"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SY 2020-21 Child Count/Educational Environment Data Groups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file spec FS002; Data group 74)</w:t>
            </w:r>
          </w:p>
        </w:tc>
        <w:tc>
          <w:tcPr>
            <w:tcW w:w="1084" w:type="pct"/>
            <w:shd w:val="clear" w:color="auto" w:fill="auto"/>
            <w:vAlign w:val="center"/>
          </w:tcPr>
          <w:p w14:paraId="1261545C" w14:textId="230AF013"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3AEE0CBD" w14:textId="6D1B0F8E" w:rsidR="008A3DC6" w:rsidRPr="00781112" w:rsidRDefault="008A3DC6" w:rsidP="005A380E">
            <w:pPr>
              <w:spacing w:after="0"/>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5A380E">
            <w:pPr>
              <w:spacing w:after="0"/>
              <w:jc w:val="center"/>
              <w:rPr>
                <w:rFonts w:cs="Arial"/>
                <w:color w:val="000000" w:themeColor="text1"/>
                <w:szCs w:val="16"/>
              </w:rPr>
            </w:pPr>
            <w:r w:rsidRPr="00781112">
              <w:rPr>
                <w:rFonts w:cs="Arial"/>
                <w:color w:val="000000" w:themeColor="text1"/>
                <w:szCs w:val="16"/>
              </w:rPr>
              <w:t>548</w:t>
            </w:r>
          </w:p>
        </w:tc>
      </w:tr>
      <w:tr w:rsidR="005C29F8" w:rsidRPr="00781112" w14:paraId="16FD0FC0" w14:textId="77777777" w:rsidTr="006D0DC2">
        <w:trPr>
          <w:trHeight w:val="2051"/>
        </w:trPr>
        <w:tc>
          <w:tcPr>
            <w:tcW w:w="1499" w:type="pct"/>
            <w:shd w:val="clear" w:color="auto" w:fill="auto"/>
            <w:vAlign w:val="center"/>
          </w:tcPr>
          <w:p w14:paraId="59885F77" w14:textId="75A8CDFC"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SY 2020-21 Child Count/Educational Environment Data Groups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file spec FS002; Data group 74)</w:t>
            </w:r>
          </w:p>
        </w:tc>
        <w:tc>
          <w:tcPr>
            <w:tcW w:w="1084" w:type="pct"/>
            <w:shd w:val="clear" w:color="auto" w:fill="auto"/>
            <w:vAlign w:val="center"/>
          </w:tcPr>
          <w:p w14:paraId="5FC32D0C" w14:textId="67F32884" w:rsidR="008A3DC6" w:rsidRPr="00781112" w:rsidRDefault="00FB785D" w:rsidP="005A380E">
            <w:pPr>
              <w:spacing w:after="0"/>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5DA416E0" w14:textId="4230AAAE" w:rsidR="008A3DC6" w:rsidRPr="00781112" w:rsidRDefault="008A3DC6" w:rsidP="005A380E">
            <w:pPr>
              <w:spacing w:after="0"/>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5A380E">
            <w:pPr>
              <w:spacing w:after="0"/>
              <w:jc w:val="center"/>
              <w:rPr>
                <w:rFonts w:cs="Arial"/>
                <w:color w:val="000000" w:themeColor="text1"/>
                <w:szCs w:val="16"/>
              </w:rPr>
            </w:pPr>
            <w:r w:rsidRPr="00781112">
              <w:rPr>
                <w:rFonts w:cs="Arial"/>
                <w:color w:val="000000" w:themeColor="text1"/>
                <w:szCs w:val="16"/>
              </w:rPr>
              <w:t>652</w:t>
            </w:r>
          </w:p>
        </w:tc>
      </w:tr>
    </w:tbl>
    <w:p w14:paraId="47A0647A" w14:textId="20BD9700" w:rsidR="00D60B5F" w:rsidRPr="00781112" w:rsidRDefault="00055C7A" w:rsidP="005A380E">
      <w:pPr>
        <w:spacing w:before="240"/>
        <w:rPr>
          <w:b/>
          <w:color w:val="000000" w:themeColor="text1"/>
        </w:rPr>
      </w:pPr>
      <w:r w:rsidRPr="00781112">
        <w:rPr>
          <w:b/>
          <w:color w:val="000000" w:themeColor="text1"/>
        </w:rPr>
        <w:lastRenderedPageBreak/>
        <w:t>Select yes if the data reported in this indicator are not the same as the State’s data reported under section 618 of the IDEA.</w:t>
      </w:r>
    </w:p>
    <w:p w14:paraId="14F4B2C8" w14:textId="05E2A8CF" w:rsidR="0037431B" w:rsidRPr="00D4769B" w:rsidRDefault="004C1EC0" w:rsidP="00314F94">
      <w:pPr>
        <w:pStyle w:val="ListParagraph"/>
        <w:numPr>
          <w:ilvl w:val="0"/>
          <w:numId w:val="145"/>
        </w:numPr>
        <w:rPr>
          <w:color w:val="000000" w:themeColor="text1"/>
        </w:rPr>
      </w:pPr>
      <w:r w:rsidRPr="00D4769B">
        <w:rPr>
          <w:color w:val="000000" w:themeColor="text1"/>
        </w:rPr>
        <w:t>No</w:t>
      </w:r>
    </w:p>
    <w:p w14:paraId="7EFB6535" w14:textId="1854EF6F" w:rsidR="00805DD3" w:rsidRPr="00781112" w:rsidRDefault="00F6415A" w:rsidP="00815ACE">
      <w:pPr>
        <w:pStyle w:val="Caption"/>
      </w:pPr>
      <w:r w:rsidRPr="00781112">
        <w:t>FFY 2020 SPP/APR Data</w:t>
      </w:r>
      <w:r w:rsidR="007C4549">
        <w:t xml:space="preserve"> (</w:t>
      </w:r>
      <w:r w:rsidR="00C578AE">
        <w:t>5</w:t>
      </w:r>
      <w:r w:rsidR="007C454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1975"/>
        <w:gridCol w:w="1621"/>
        <w:gridCol w:w="1711"/>
        <w:gridCol w:w="1109"/>
        <w:gridCol w:w="1109"/>
        <w:gridCol w:w="1109"/>
        <w:gridCol w:w="991"/>
        <w:gridCol w:w="1165"/>
      </w:tblGrid>
      <w:tr w:rsidR="005A380E" w:rsidRPr="00781112" w14:paraId="0324DF77" w14:textId="01438934" w:rsidTr="005A380E">
        <w:trPr>
          <w:trHeight w:val="440"/>
          <w:tblHeader/>
        </w:trPr>
        <w:tc>
          <w:tcPr>
            <w:tcW w:w="915" w:type="pct"/>
            <w:shd w:val="clear" w:color="auto" w:fill="D9D9D9" w:themeFill="background1" w:themeFillShade="D9"/>
            <w:vAlign w:val="center"/>
          </w:tcPr>
          <w:p w14:paraId="0D668D1B" w14:textId="6BB38C6B" w:rsidR="00931A25" w:rsidRPr="00781112" w:rsidRDefault="001F64DB" w:rsidP="005A380E">
            <w:pPr>
              <w:spacing w:after="0"/>
              <w:jc w:val="center"/>
              <w:rPr>
                <w:b/>
                <w:color w:val="000000" w:themeColor="text1"/>
              </w:rPr>
            </w:pPr>
            <w:r w:rsidRPr="00781112">
              <w:rPr>
                <w:b/>
                <w:color w:val="000000" w:themeColor="text1"/>
              </w:rPr>
              <w:t>Education Environments</w:t>
            </w:r>
          </w:p>
        </w:tc>
        <w:tc>
          <w:tcPr>
            <w:tcW w:w="751" w:type="pct"/>
            <w:shd w:val="clear" w:color="auto" w:fill="D9D9D9" w:themeFill="background1" w:themeFillShade="D9"/>
            <w:vAlign w:val="center"/>
          </w:tcPr>
          <w:p w14:paraId="323FF92F" w14:textId="6010A4DC" w:rsidR="00931A25" w:rsidRPr="00781112" w:rsidRDefault="00931A25" w:rsidP="005A380E">
            <w:pPr>
              <w:spacing w:after="0"/>
              <w:ind w:left="-108" w:right="-114"/>
              <w:jc w:val="center"/>
              <w:rPr>
                <w:b/>
                <w:color w:val="000000" w:themeColor="text1"/>
              </w:rPr>
            </w:pPr>
            <w:r w:rsidRPr="00781112">
              <w:rPr>
                <w:b/>
                <w:color w:val="000000" w:themeColor="text1"/>
              </w:rPr>
              <w:t xml:space="preserve">Number of children with IEPs aged </w:t>
            </w:r>
            <w:r w:rsidR="00134567" w:rsidRPr="00781112">
              <w:rPr>
                <w:rFonts w:cs="Arial"/>
                <w:b/>
                <w:bCs/>
                <w:szCs w:val="16"/>
              </w:rPr>
              <w:t>5 (kindergarten)</w:t>
            </w:r>
            <w:r w:rsidRPr="00781112">
              <w:rPr>
                <w:b/>
                <w:color w:val="000000" w:themeColor="text1"/>
              </w:rPr>
              <w:t xml:space="preserve"> through 21 served</w:t>
            </w:r>
          </w:p>
        </w:tc>
        <w:tc>
          <w:tcPr>
            <w:tcW w:w="793" w:type="pct"/>
            <w:shd w:val="clear" w:color="auto" w:fill="D9D9D9" w:themeFill="background1" w:themeFillShade="D9"/>
            <w:vAlign w:val="center"/>
          </w:tcPr>
          <w:p w14:paraId="5B4758A3" w14:textId="799168FB" w:rsidR="00931A25" w:rsidRPr="00781112" w:rsidRDefault="00931A25" w:rsidP="005A380E">
            <w:pPr>
              <w:spacing w:after="0"/>
              <w:ind w:left="-60" w:right="-103"/>
              <w:jc w:val="center"/>
              <w:rPr>
                <w:b/>
                <w:color w:val="000000" w:themeColor="text1"/>
              </w:rPr>
            </w:pPr>
            <w:r w:rsidRPr="00781112">
              <w:rPr>
                <w:b/>
                <w:color w:val="000000" w:themeColor="text1"/>
              </w:rPr>
              <w:t xml:space="preserve">Total number of children with IEPs aged </w:t>
            </w:r>
            <w:r w:rsidR="00134567" w:rsidRPr="00781112">
              <w:rPr>
                <w:rFonts w:cs="Arial"/>
                <w:b/>
                <w:bCs/>
                <w:szCs w:val="16"/>
              </w:rPr>
              <w:t>5 (kindergarten)</w:t>
            </w:r>
            <w:r w:rsidRPr="00781112">
              <w:rPr>
                <w:b/>
                <w:color w:val="000000" w:themeColor="text1"/>
              </w:rPr>
              <w:t xml:space="preserve"> through 21</w:t>
            </w:r>
          </w:p>
        </w:tc>
        <w:tc>
          <w:tcPr>
            <w:tcW w:w="514" w:type="pct"/>
            <w:shd w:val="clear" w:color="auto" w:fill="D9D9D9" w:themeFill="background1" w:themeFillShade="D9"/>
            <w:vAlign w:val="center"/>
          </w:tcPr>
          <w:p w14:paraId="5B2059E0" w14:textId="55887AEB" w:rsidR="00931A25" w:rsidRPr="00781112" w:rsidRDefault="00F6415A" w:rsidP="005A380E">
            <w:pPr>
              <w:spacing w:after="0"/>
              <w:jc w:val="center"/>
              <w:rPr>
                <w:b/>
                <w:color w:val="000000" w:themeColor="text1"/>
              </w:rPr>
            </w:pPr>
            <w:r w:rsidRPr="00781112">
              <w:rPr>
                <w:b/>
                <w:color w:val="000000" w:themeColor="text1"/>
              </w:rPr>
              <w:t>FFY 2019 Data</w:t>
            </w:r>
          </w:p>
        </w:tc>
        <w:tc>
          <w:tcPr>
            <w:tcW w:w="514" w:type="pct"/>
            <w:shd w:val="clear" w:color="auto" w:fill="D9D9D9" w:themeFill="background1" w:themeFillShade="D9"/>
            <w:vAlign w:val="center"/>
          </w:tcPr>
          <w:p w14:paraId="320127EA" w14:textId="6FE065AE" w:rsidR="00931A25" w:rsidRPr="00781112" w:rsidRDefault="00F6415A" w:rsidP="005A380E">
            <w:pPr>
              <w:spacing w:after="0"/>
              <w:jc w:val="center"/>
              <w:rPr>
                <w:b/>
                <w:color w:val="000000" w:themeColor="text1"/>
              </w:rPr>
            </w:pPr>
            <w:r w:rsidRPr="00781112">
              <w:rPr>
                <w:b/>
                <w:color w:val="000000" w:themeColor="text1"/>
              </w:rPr>
              <w:t>FFY 2020 Target</w:t>
            </w:r>
          </w:p>
        </w:tc>
        <w:tc>
          <w:tcPr>
            <w:tcW w:w="514" w:type="pct"/>
            <w:shd w:val="clear" w:color="auto" w:fill="D9D9D9" w:themeFill="background1" w:themeFillShade="D9"/>
            <w:vAlign w:val="center"/>
          </w:tcPr>
          <w:p w14:paraId="150C2675" w14:textId="0EA9BC06" w:rsidR="00931A25" w:rsidRPr="00781112" w:rsidRDefault="00F6415A" w:rsidP="005A380E">
            <w:pPr>
              <w:spacing w:after="0"/>
              <w:jc w:val="center"/>
              <w:rPr>
                <w:b/>
                <w:color w:val="000000" w:themeColor="text1"/>
              </w:rPr>
            </w:pPr>
            <w:r w:rsidRPr="00781112">
              <w:rPr>
                <w:b/>
                <w:color w:val="000000" w:themeColor="text1"/>
              </w:rPr>
              <w:t>FFY 2020 Data</w:t>
            </w:r>
          </w:p>
        </w:tc>
        <w:tc>
          <w:tcPr>
            <w:tcW w:w="459" w:type="pct"/>
            <w:shd w:val="clear" w:color="auto" w:fill="D9D9D9" w:themeFill="background1" w:themeFillShade="D9"/>
            <w:vAlign w:val="center"/>
          </w:tcPr>
          <w:p w14:paraId="08F715E4" w14:textId="7BB096AF" w:rsidR="00931A25" w:rsidRPr="00781112" w:rsidRDefault="00931A25" w:rsidP="005A380E">
            <w:pPr>
              <w:spacing w:after="0"/>
              <w:jc w:val="center"/>
              <w:rPr>
                <w:b/>
                <w:color w:val="000000" w:themeColor="text1"/>
              </w:rPr>
            </w:pPr>
            <w:r w:rsidRPr="00781112">
              <w:rPr>
                <w:b/>
                <w:color w:val="000000" w:themeColor="text1"/>
              </w:rPr>
              <w:t>Status</w:t>
            </w:r>
          </w:p>
        </w:tc>
        <w:tc>
          <w:tcPr>
            <w:tcW w:w="540" w:type="pct"/>
            <w:shd w:val="clear" w:color="auto" w:fill="D9D9D9" w:themeFill="background1" w:themeFillShade="D9"/>
            <w:vAlign w:val="center"/>
          </w:tcPr>
          <w:p w14:paraId="16F336C8" w14:textId="693FB9B1" w:rsidR="00931A25" w:rsidRPr="00781112" w:rsidRDefault="00931A25" w:rsidP="005A380E">
            <w:pPr>
              <w:spacing w:after="0"/>
              <w:ind w:left="-106" w:right="-109"/>
              <w:jc w:val="center"/>
              <w:rPr>
                <w:b/>
                <w:color w:val="000000" w:themeColor="text1"/>
              </w:rPr>
            </w:pPr>
            <w:r w:rsidRPr="00781112">
              <w:rPr>
                <w:b/>
                <w:color w:val="000000" w:themeColor="text1"/>
              </w:rPr>
              <w:t>Slippage</w:t>
            </w:r>
          </w:p>
        </w:tc>
      </w:tr>
      <w:tr w:rsidR="005A380E" w:rsidRPr="00781112" w14:paraId="0CF0446C" w14:textId="0B89548D" w:rsidTr="005A380E">
        <w:trPr>
          <w:trHeight w:val="3023"/>
        </w:trPr>
        <w:tc>
          <w:tcPr>
            <w:tcW w:w="915" w:type="pct"/>
            <w:shd w:val="clear" w:color="auto" w:fill="auto"/>
            <w:vAlign w:val="center"/>
          </w:tcPr>
          <w:p w14:paraId="389D79B9" w14:textId="5A7555F3" w:rsidR="00631963" w:rsidRPr="00781112" w:rsidRDefault="00631963" w:rsidP="005A380E">
            <w:pPr>
              <w:spacing w:after="0"/>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751" w:type="pct"/>
            <w:shd w:val="clear" w:color="auto" w:fill="auto"/>
            <w:vAlign w:val="center"/>
          </w:tcPr>
          <w:p w14:paraId="0C538F78" w14:textId="211A39AD" w:rsidR="00631963" w:rsidRPr="00781112" w:rsidRDefault="002B7490" w:rsidP="005A380E">
            <w:pPr>
              <w:spacing w:after="0"/>
              <w:ind w:left="-108" w:right="-114"/>
              <w:jc w:val="center"/>
              <w:rPr>
                <w:rFonts w:cs="Arial"/>
                <w:color w:val="000000" w:themeColor="text1"/>
                <w:szCs w:val="16"/>
              </w:rPr>
            </w:pPr>
            <w:r w:rsidRPr="00781112">
              <w:rPr>
                <w:rFonts w:cs="Arial"/>
                <w:color w:val="000000" w:themeColor="text1"/>
                <w:szCs w:val="16"/>
              </w:rPr>
              <w:t>117,040</w:t>
            </w:r>
          </w:p>
        </w:tc>
        <w:tc>
          <w:tcPr>
            <w:tcW w:w="793" w:type="pct"/>
            <w:shd w:val="clear" w:color="auto" w:fill="auto"/>
            <w:vAlign w:val="center"/>
          </w:tcPr>
          <w:p w14:paraId="7CB3B03A" w14:textId="4A5E294F" w:rsidR="00631963" w:rsidRPr="00781112" w:rsidRDefault="002B7490" w:rsidP="005A380E">
            <w:pPr>
              <w:spacing w:after="0"/>
              <w:ind w:left="-60" w:right="-103"/>
              <w:jc w:val="center"/>
              <w:rPr>
                <w:rFonts w:cs="Arial"/>
                <w:color w:val="000000" w:themeColor="text1"/>
                <w:szCs w:val="16"/>
              </w:rPr>
            </w:pPr>
            <w:r w:rsidRPr="00781112">
              <w:rPr>
                <w:rFonts w:cs="Arial"/>
                <w:color w:val="000000" w:themeColor="text1"/>
                <w:szCs w:val="16"/>
              </w:rPr>
              <w:t>163,459</w:t>
            </w:r>
          </w:p>
        </w:tc>
        <w:tc>
          <w:tcPr>
            <w:tcW w:w="514" w:type="pct"/>
            <w:shd w:val="clear" w:color="auto" w:fill="auto"/>
            <w:vAlign w:val="center"/>
          </w:tcPr>
          <w:p w14:paraId="147CA5C5" w14:textId="139C91CB"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67.78%</w:t>
            </w:r>
          </w:p>
        </w:tc>
        <w:tc>
          <w:tcPr>
            <w:tcW w:w="514" w:type="pct"/>
            <w:shd w:val="clear" w:color="auto" w:fill="auto"/>
            <w:vAlign w:val="center"/>
          </w:tcPr>
          <w:p w14:paraId="497D8B9F" w14:textId="585C0A39"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71.60%</w:t>
            </w:r>
          </w:p>
        </w:tc>
        <w:tc>
          <w:tcPr>
            <w:tcW w:w="514" w:type="pct"/>
            <w:shd w:val="clear" w:color="auto" w:fill="auto"/>
            <w:vAlign w:val="center"/>
          </w:tcPr>
          <w:p w14:paraId="4B6AC9A3" w14:textId="0D7F6AEF"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71.60%</w:t>
            </w:r>
          </w:p>
        </w:tc>
        <w:tc>
          <w:tcPr>
            <w:tcW w:w="459" w:type="pct"/>
            <w:shd w:val="clear" w:color="auto" w:fill="auto"/>
            <w:vAlign w:val="center"/>
          </w:tcPr>
          <w:p w14:paraId="0D12A1DA" w14:textId="6C35FF67"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N/A</w:t>
            </w:r>
          </w:p>
        </w:tc>
        <w:tc>
          <w:tcPr>
            <w:tcW w:w="540" w:type="pct"/>
            <w:shd w:val="clear" w:color="auto" w:fill="auto"/>
            <w:vAlign w:val="center"/>
          </w:tcPr>
          <w:p w14:paraId="2E7D658D" w14:textId="6E94158A" w:rsidR="00631963" w:rsidRPr="00781112" w:rsidRDefault="002B7490" w:rsidP="005A380E">
            <w:pPr>
              <w:spacing w:after="0"/>
              <w:ind w:left="-106" w:right="-109"/>
              <w:jc w:val="center"/>
              <w:rPr>
                <w:rFonts w:cs="Arial"/>
                <w:color w:val="000000" w:themeColor="text1"/>
                <w:szCs w:val="16"/>
              </w:rPr>
            </w:pPr>
            <w:r w:rsidRPr="00781112">
              <w:rPr>
                <w:rFonts w:cs="Arial"/>
                <w:color w:val="000000" w:themeColor="text1"/>
                <w:szCs w:val="16"/>
              </w:rPr>
              <w:t>N/A</w:t>
            </w:r>
          </w:p>
        </w:tc>
      </w:tr>
      <w:tr w:rsidR="005A380E" w:rsidRPr="00781112" w14:paraId="0FEF5E26" w14:textId="1BAD9686" w:rsidTr="005A380E">
        <w:trPr>
          <w:trHeight w:val="3122"/>
        </w:trPr>
        <w:tc>
          <w:tcPr>
            <w:tcW w:w="915" w:type="pct"/>
            <w:shd w:val="clear" w:color="auto" w:fill="auto"/>
            <w:vAlign w:val="center"/>
          </w:tcPr>
          <w:p w14:paraId="787D8C24" w14:textId="626F335A" w:rsidR="00631963" w:rsidRPr="00781112" w:rsidRDefault="00631963" w:rsidP="005A380E">
            <w:pPr>
              <w:spacing w:after="0"/>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751" w:type="pct"/>
            <w:shd w:val="clear" w:color="auto" w:fill="auto"/>
            <w:vAlign w:val="center"/>
          </w:tcPr>
          <w:p w14:paraId="03764807" w14:textId="322EE6A5" w:rsidR="00631963" w:rsidRPr="00781112" w:rsidRDefault="002B7490" w:rsidP="005A380E">
            <w:pPr>
              <w:spacing w:after="0"/>
              <w:ind w:left="-108" w:right="-114"/>
              <w:jc w:val="center"/>
              <w:rPr>
                <w:rFonts w:cs="Arial"/>
                <w:color w:val="000000" w:themeColor="text1"/>
                <w:szCs w:val="16"/>
              </w:rPr>
            </w:pPr>
            <w:r w:rsidRPr="00781112">
              <w:rPr>
                <w:rFonts w:cs="Arial"/>
                <w:color w:val="000000" w:themeColor="text1"/>
                <w:szCs w:val="16"/>
              </w:rPr>
              <w:t>13,730</w:t>
            </w:r>
          </w:p>
        </w:tc>
        <w:tc>
          <w:tcPr>
            <w:tcW w:w="793" w:type="pct"/>
            <w:shd w:val="clear" w:color="auto" w:fill="auto"/>
            <w:vAlign w:val="center"/>
          </w:tcPr>
          <w:p w14:paraId="6BB5ED43" w14:textId="72BAFF29" w:rsidR="00631963" w:rsidRPr="00781112" w:rsidRDefault="002B7490" w:rsidP="005A380E">
            <w:pPr>
              <w:spacing w:after="0"/>
              <w:ind w:left="-60" w:right="-103"/>
              <w:jc w:val="center"/>
              <w:rPr>
                <w:rFonts w:cs="Arial"/>
                <w:color w:val="000000" w:themeColor="text1"/>
                <w:szCs w:val="16"/>
              </w:rPr>
            </w:pPr>
            <w:r w:rsidRPr="00781112">
              <w:rPr>
                <w:rFonts w:cs="Arial"/>
                <w:color w:val="000000" w:themeColor="text1"/>
                <w:szCs w:val="16"/>
              </w:rPr>
              <w:t>163,459</w:t>
            </w:r>
          </w:p>
        </w:tc>
        <w:tc>
          <w:tcPr>
            <w:tcW w:w="514" w:type="pct"/>
            <w:shd w:val="clear" w:color="auto" w:fill="auto"/>
            <w:vAlign w:val="center"/>
          </w:tcPr>
          <w:p w14:paraId="3D5C1070" w14:textId="57DABC44"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9.15%</w:t>
            </w:r>
          </w:p>
        </w:tc>
        <w:tc>
          <w:tcPr>
            <w:tcW w:w="514" w:type="pct"/>
            <w:shd w:val="clear" w:color="auto" w:fill="auto"/>
            <w:vAlign w:val="center"/>
          </w:tcPr>
          <w:p w14:paraId="02F3CF00" w14:textId="6A81B00C"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8.40%</w:t>
            </w:r>
          </w:p>
        </w:tc>
        <w:tc>
          <w:tcPr>
            <w:tcW w:w="514" w:type="pct"/>
            <w:shd w:val="clear" w:color="auto" w:fill="auto"/>
            <w:vAlign w:val="center"/>
          </w:tcPr>
          <w:p w14:paraId="07434586" w14:textId="19522680"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8.40%</w:t>
            </w:r>
          </w:p>
        </w:tc>
        <w:tc>
          <w:tcPr>
            <w:tcW w:w="459" w:type="pct"/>
            <w:shd w:val="clear" w:color="auto" w:fill="auto"/>
            <w:vAlign w:val="center"/>
          </w:tcPr>
          <w:p w14:paraId="59BFCAE8" w14:textId="7F9BACFA"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N/A</w:t>
            </w:r>
          </w:p>
        </w:tc>
        <w:tc>
          <w:tcPr>
            <w:tcW w:w="540" w:type="pct"/>
            <w:shd w:val="clear" w:color="auto" w:fill="auto"/>
            <w:vAlign w:val="center"/>
          </w:tcPr>
          <w:p w14:paraId="6D7448AA" w14:textId="1247E0AB" w:rsidR="00631963" w:rsidRPr="00781112" w:rsidRDefault="002B7490" w:rsidP="005A380E">
            <w:pPr>
              <w:spacing w:after="0"/>
              <w:ind w:left="-106" w:right="-109"/>
              <w:jc w:val="center"/>
              <w:rPr>
                <w:rFonts w:cs="Arial"/>
                <w:color w:val="000000" w:themeColor="text1"/>
                <w:szCs w:val="16"/>
              </w:rPr>
            </w:pPr>
            <w:r w:rsidRPr="00781112">
              <w:rPr>
                <w:rFonts w:cs="Arial"/>
                <w:color w:val="000000" w:themeColor="text1"/>
                <w:szCs w:val="16"/>
              </w:rPr>
              <w:t>N/A</w:t>
            </w:r>
          </w:p>
        </w:tc>
      </w:tr>
      <w:tr w:rsidR="005A380E" w:rsidRPr="00781112" w14:paraId="18A60D9F" w14:textId="211489DF" w:rsidTr="005A380E">
        <w:trPr>
          <w:trHeight w:val="4040"/>
        </w:trPr>
        <w:tc>
          <w:tcPr>
            <w:tcW w:w="915" w:type="pct"/>
            <w:shd w:val="clear" w:color="auto" w:fill="auto"/>
            <w:vAlign w:val="center"/>
          </w:tcPr>
          <w:p w14:paraId="0B4BA19D" w14:textId="5F11E8FF" w:rsidR="00631963" w:rsidRPr="00781112" w:rsidRDefault="00631963" w:rsidP="005A380E">
            <w:pPr>
              <w:pStyle w:val="Explanation"/>
              <w:spacing w:after="0"/>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751" w:type="pct"/>
            <w:shd w:val="clear" w:color="auto" w:fill="auto"/>
            <w:vAlign w:val="center"/>
          </w:tcPr>
          <w:p w14:paraId="6F83B928" w14:textId="3C12179B" w:rsidR="00631963" w:rsidRPr="00781112" w:rsidRDefault="002B7490" w:rsidP="005A380E">
            <w:pPr>
              <w:spacing w:after="0"/>
              <w:ind w:left="-108" w:right="-114"/>
              <w:jc w:val="center"/>
              <w:rPr>
                <w:rFonts w:cs="Arial"/>
                <w:color w:val="000000" w:themeColor="text1"/>
                <w:szCs w:val="16"/>
              </w:rPr>
            </w:pPr>
            <w:r w:rsidRPr="00781112">
              <w:rPr>
                <w:rFonts w:cs="Arial"/>
                <w:color w:val="000000" w:themeColor="text1"/>
                <w:szCs w:val="16"/>
              </w:rPr>
              <w:t>6,390</w:t>
            </w:r>
          </w:p>
        </w:tc>
        <w:tc>
          <w:tcPr>
            <w:tcW w:w="793" w:type="pct"/>
            <w:shd w:val="clear" w:color="auto" w:fill="auto"/>
            <w:vAlign w:val="center"/>
          </w:tcPr>
          <w:p w14:paraId="2B632B6B" w14:textId="0ADBABA1" w:rsidR="00631963" w:rsidRPr="00781112" w:rsidRDefault="002B7490" w:rsidP="005A380E">
            <w:pPr>
              <w:spacing w:after="0"/>
              <w:ind w:left="-60" w:right="-103"/>
              <w:jc w:val="center"/>
              <w:rPr>
                <w:rFonts w:cs="Arial"/>
                <w:color w:val="000000" w:themeColor="text1"/>
                <w:szCs w:val="16"/>
              </w:rPr>
            </w:pPr>
            <w:r w:rsidRPr="00781112">
              <w:rPr>
                <w:rFonts w:cs="Arial"/>
                <w:color w:val="000000" w:themeColor="text1"/>
                <w:szCs w:val="16"/>
              </w:rPr>
              <w:t>163,459</w:t>
            </w:r>
          </w:p>
        </w:tc>
        <w:tc>
          <w:tcPr>
            <w:tcW w:w="514" w:type="pct"/>
            <w:shd w:val="clear" w:color="auto" w:fill="auto"/>
            <w:vAlign w:val="center"/>
          </w:tcPr>
          <w:p w14:paraId="16857354" w14:textId="17E80039"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4.51%</w:t>
            </w:r>
          </w:p>
        </w:tc>
        <w:tc>
          <w:tcPr>
            <w:tcW w:w="514" w:type="pct"/>
            <w:shd w:val="clear" w:color="auto" w:fill="auto"/>
            <w:vAlign w:val="center"/>
          </w:tcPr>
          <w:p w14:paraId="10D1478E" w14:textId="0F36466F"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3.91%</w:t>
            </w:r>
          </w:p>
        </w:tc>
        <w:tc>
          <w:tcPr>
            <w:tcW w:w="514" w:type="pct"/>
            <w:shd w:val="clear" w:color="auto" w:fill="auto"/>
            <w:vAlign w:val="center"/>
          </w:tcPr>
          <w:p w14:paraId="2E9E2BFC" w14:textId="26FEF90C"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3.91%</w:t>
            </w:r>
          </w:p>
        </w:tc>
        <w:tc>
          <w:tcPr>
            <w:tcW w:w="459" w:type="pct"/>
            <w:shd w:val="clear" w:color="auto" w:fill="auto"/>
            <w:vAlign w:val="center"/>
          </w:tcPr>
          <w:p w14:paraId="5321D014" w14:textId="1EA51894" w:rsidR="00631963" w:rsidRPr="00781112" w:rsidRDefault="002B7490" w:rsidP="005A380E">
            <w:pPr>
              <w:spacing w:after="0"/>
              <w:jc w:val="center"/>
              <w:rPr>
                <w:rFonts w:cs="Arial"/>
                <w:color w:val="000000" w:themeColor="text1"/>
                <w:szCs w:val="16"/>
              </w:rPr>
            </w:pPr>
            <w:r w:rsidRPr="00781112">
              <w:rPr>
                <w:rFonts w:cs="Arial"/>
                <w:color w:val="000000" w:themeColor="text1"/>
                <w:szCs w:val="16"/>
              </w:rPr>
              <w:t>N/A</w:t>
            </w:r>
          </w:p>
        </w:tc>
        <w:tc>
          <w:tcPr>
            <w:tcW w:w="540" w:type="pct"/>
            <w:shd w:val="clear" w:color="auto" w:fill="auto"/>
            <w:vAlign w:val="center"/>
          </w:tcPr>
          <w:p w14:paraId="2BFA05A8" w14:textId="3EACA9BA" w:rsidR="00631963" w:rsidRPr="00781112" w:rsidRDefault="002B7490" w:rsidP="005A380E">
            <w:pPr>
              <w:spacing w:after="0"/>
              <w:ind w:left="-106" w:right="-109"/>
              <w:jc w:val="center"/>
              <w:rPr>
                <w:rFonts w:cs="Arial"/>
                <w:color w:val="000000" w:themeColor="text1"/>
                <w:szCs w:val="16"/>
              </w:rPr>
            </w:pPr>
            <w:r w:rsidRPr="00781112">
              <w:rPr>
                <w:rFonts w:cs="Arial"/>
                <w:color w:val="000000" w:themeColor="text1"/>
                <w:szCs w:val="16"/>
              </w:rPr>
              <w:t>N/A</w:t>
            </w:r>
          </w:p>
        </w:tc>
      </w:tr>
    </w:tbl>
    <w:p w14:paraId="073B208C" w14:textId="4B79EDF3" w:rsidR="006C575D" w:rsidRPr="00781112" w:rsidRDefault="006C575D" w:rsidP="00447D0B">
      <w:pPr>
        <w:pStyle w:val="Heading4"/>
      </w:pPr>
      <w:r w:rsidRPr="00781112">
        <w:lastRenderedPageBreak/>
        <w:t>Provide additional information about this indicator (optional)</w:t>
      </w:r>
    </w:p>
    <w:p w14:paraId="2F810D98" w14:textId="08328771" w:rsidR="003C308E" w:rsidRPr="00D4769B" w:rsidRDefault="002B7490" w:rsidP="00314F94">
      <w:pPr>
        <w:pStyle w:val="ListParagraph"/>
        <w:numPr>
          <w:ilvl w:val="0"/>
          <w:numId w:val="146"/>
        </w:numPr>
        <w:rPr>
          <w:rFonts w:cs="Arial"/>
          <w:color w:val="000000" w:themeColor="text1"/>
          <w:szCs w:val="16"/>
        </w:rPr>
      </w:pPr>
      <w:r w:rsidRPr="00D4769B">
        <w:rPr>
          <w:rFonts w:cs="Arial"/>
          <w:color w:val="000000" w:themeColor="text1"/>
          <w:szCs w:val="16"/>
        </w:rPr>
        <w:t>The baseline data was revised due to a change in the methodology (measurement table) for the indicator that impacts comparability of the data. Specifically, the addition of children with IEPs aged 5 (kindergarten) included in the calculation. The new baseline year is FFY2020.</w:t>
      </w:r>
    </w:p>
    <w:p w14:paraId="68DA7415" w14:textId="0FE711BA" w:rsidR="000A2C83" w:rsidRPr="00781112" w:rsidRDefault="007B5383" w:rsidP="005A380E">
      <w:pPr>
        <w:pStyle w:val="Heading3"/>
      </w:pPr>
      <w:r w:rsidRPr="00781112">
        <w:t>5</w:t>
      </w:r>
      <w:r w:rsidR="002203FA" w:rsidRPr="00781112">
        <w:t xml:space="preserve"> </w:t>
      </w:r>
      <w:r w:rsidRPr="00781112">
        <w:t xml:space="preserve">- </w:t>
      </w:r>
      <w:r w:rsidR="000A2C83" w:rsidRPr="00781112">
        <w:t>Prior FFY Required Actions</w:t>
      </w:r>
    </w:p>
    <w:p w14:paraId="2C73DADD" w14:textId="6039179B" w:rsidR="00163FA7" w:rsidRPr="00D4769B" w:rsidRDefault="002B7490" w:rsidP="00314F94">
      <w:pPr>
        <w:pStyle w:val="ListParagraph"/>
        <w:numPr>
          <w:ilvl w:val="0"/>
          <w:numId w:val="147"/>
        </w:numPr>
        <w:rPr>
          <w:rFonts w:cs="Arial"/>
          <w:color w:val="000000" w:themeColor="text1"/>
          <w:szCs w:val="16"/>
        </w:rPr>
      </w:pPr>
      <w:r w:rsidRPr="00D4769B">
        <w:rPr>
          <w:rFonts w:cs="Arial"/>
          <w:color w:val="000000" w:themeColor="text1"/>
          <w:szCs w:val="16"/>
        </w:rPr>
        <w:t>None</w:t>
      </w:r>
    </w:p>
    <w:p w14:paraId="30448C87" w14:textId="2E9FCBE3" w:rsidR="006C575D" w:rsidRPr="00781112" w:rsidRDefault="007B5383" w:rsidP="005A380E">
      <w:pPr>
        <w:pStyle w:val="Heading3"/>
      </w:pPr>
      <w:r w:rsidRPr="00781112">
        <w:t>5 - OSEP Response</w:t>
      </w:r>
    </w:p>
    <w:p w14:paraId="7E1F6B1A" w14:textId="77777777" w:rsidR="005A380E" w:rsidRPr="00D4769B" w:rsidRDefault="002B7490" w:rsidP="00314F94">
      <w:pPr>
        <w:pStyle w:val="ListParagraph"/>
        <w:numPr>
          <w:ilvl w:val="0"/>
          <w:numId w:val="148"/>
        </w:numPr>
        <w:rPr>
          <w:rFonts w:cs="Arial"/>
          <w:color w:val="000000" w:themeColor="text1"/>
          <w:szCs w:val="16"/>
        </w:rPr>
      </w:pPr>
      <w:r w:rsidRPr="00D4769B">
        <w:rPr>
          <w:rFonts w:cs="Arial"/>
          <w:color w:val="000000" w:themeColor="text1"/>
          <w:szCs w:val="16"/>
        </w:rPr>
        <w:t>The State has revised the baseline for this indicator, using data from FFY 2020, and OSEP accepts that revision.</w:t>
      </w:r>
    </w:p>
    <w:p w14:paraId="63E8B575" w14:textId="57449BF2" w:rsidR="003C308E" w:rsidRPr="00781112" w:rsidRDefault="002B7490" w:rsidP="004C1EC0">
      <w:pPr>
        <w:ind w:left="720"/>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66CCD9C9" w14:textId="435D8999" w:rsidR="006C575D" w:rsidRPr="00781112" w:rsidRDefault="007B5383" w:rsidP="005A380E">
      <w:pPr>
        <w:pStyle w:val="Heading3"/>
      </w:pPr>
      <w:r w:rsidRPr="00781112">
        <w:t>5 - Required Actions</w:t>
      </w:r>
    </w:p>
    <w:p w14:paraId="0AFF9CFF" w14:textId="16602383" w:rsidR="00600E15" w:rsidRPr="00D4769B" w:rsidRDefault="005A380E" w:rsidP="00314F94">
      <w:pPr>
        <w:pStyle w:val="ListParagraph"/>
        <w:numPr>
          <w:ilvl w:val="0"/>
          <w:numId w:val="149"/>
        </w:numPr>
        <w:rPr>
          <w:rFonts w:eastAsiaTheme="majorEastAsia" w:cs="Arial"/>
          <w:b/>
          <w:bCs/>
          <w:color w:val="000000" w:themeColor="text1"/>
          <w:szCs w:val="16"/>
        </w:rPr>
      </w:pPr>
      <w:r w:rsidRPr="00D4769B">
        <w:rPr>
          <w:rFonts w:cs="Arial"/>
          <w:color w:val="000000" w:themeColor="text1"/>
          <w:szCs w:val="16"/>
        </w:rPr>
        <w:t>Not applicable</w:t>
      </w:r>
      <w:r w:rsidR="00600E15" w:rsidRPr="00D4769B">
        <w:rPr>
          <w:rFonts w:cs="Arial"/>
          <w:color w:val="000000" w:themeColor="text1"/>
          <w:szCs w:val="16"/>
        </w:rPr>
        <w:br w:type="page"/>
      </w:r>
    </w:p>
    <w:p w14:paraId="35527AAE" w14:textId="2D7C47BF" w:rsidR="00D21EAA" w:rsidRPr="00781112" w:rsidRDefault="00D21EAA" w:rsidP="008143AB">
      <w:pPr>
        <w:pStyle w:val="Heading2"/>
      </w:pPr>
      <w:r w:rsidRPr="00781112">
        <w:lastRenderedPageBreak/>
        <w:t>Indicator 6: Preschool Environments</w:t>
      </w:r>
    </w:p>
    <w:p w14:paraId="0EEB38B7" w14:textId="59C9FCA0" w:rsidR="00897094" w:rsidRPr="00A22EB9" w:rsidRDefault="00897094" w:rsidP="00447D0B">
      <w:pPr>
        <w:pStyle w:val="Heading3"/>
        <w:spacing w:before="240"/>
      </w:pPr>
      <w:bookmarkStart w:id="36" w:name="_Toc392159299"/>
      <w:r w:rsidRPr="00A22EB9">
        <w:t>Instructions and Measurement</w:t>
      </w:r>
    </w:p>
    <w:p w14:paraId="38394246" w14:textId="27FF79AA" w:rsidR="00CC634E" w:rsidRPr="00781112" w:rsidRDefault="00CC634E" w:rsidP="00A22EB9">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A22EB9">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358293B5" w:rsidR="00CC634E" w:rsidRPr="00A22EB9" w:rsidRDefault="005F3399" w:rsidP="00155DFD">
      <w:pPr>
        <w:pStyle w:val="ListParagraph"/>
        <w:numPr>
          <w:ilvl w:val="0"/>
          <w:numId w:val="24"/>
        </w:numPr>
        <w:contextualSpacing w:val="0"/>
        <w:rPr>
          <w:rFonts w:cs="Arial"/>
          <w:color w:val="000000" w:themeColor="text1"/>
          <w:szCs w:val="16"/>
        </w:rPr>
      </w:pPr>
      <w:r w:rsidRPr="00A22EB9">
        <w:rPr>
          <w:rFonts w:cs="Arial"/>
          <w:color w:val="000000" w:themeColor="text1"/>
          <w:szCs w:val="16"/>
        </w:rPr>
        <w:t xml:space="preserve">Regular early childhood program and receiving </w:t>
      </w:r>
      <w:proofErr w:type="gramStart"/>
      <w:r w:rsidRPr="00A22EB9">
        <w:rPr>
          <w:rFonts w:cs="Arial"/>
          <w:color w:val="000000" w:themeColor="text1"/>
          <w:szCs w:val="16"/>
        </w:rPr>
        <w:t>the majority of</w:t>
      </w:r>
      <w:proofErr w:type="gramEnd"/>
      <w:r w:rsidRPr="00A22EB9">
        <w:rPr>
          <w:rFonts w:cs="Arial"/>
          <w:color w:val="000000" w:themeColor="text1"/>
          <w:szCs w:val="16"/>
        </w:rPr>
        <w:t xml:space="preserve"> special education and related services in the regular early childhood program; and</w:t>
      </w:r>
    </w:p>
    <w:p w14:paraId="4A161793" w14:textId="343C5A67" w:rsidR="00CC634E" w:rsidRPr="00A22EB9" w:rsidRDefault="005F3399" w:rsidP="00155DFD">
      <w:pPr>
        <w:pStyle w:val="ListParagraph"/>
        <w:numPr>
          <w:ilvl w:val="0"/>
          <w:numId w:val="24"/>
        </w:numPr>
        <w:contextualSpacing w:val="0"/>
        <w:rPr>
          <w:rFonts w:cs="Arial"/>
          <w:color w:val="000000" w:themeColor="text1"/>
          <w:szCs w:val="16"/>
        </w:rPr>
      </w:pPr>
      <w:r w:rsidRPr="00A22EB9">
        <w:rPr>
          <w:rFonts w:cs="Arial"/>
          <w:color w:val="000000" w:themeColor="text1"/>
          <w:szCs w:val="16"/>
        </w:rPr>
        <w:t xml:space="preserve">Separate special education class, separate </w:t>
      </w:r>
      <w:proofErr w:type="gramStart"/>
      <w:r w:rsidRPr="00A22EB9">
        <w:rPr>
          <w:rFonts w:cs="Arial"/>
          <w:color w:val="000000" w:themeColor="text1"/>
          <w:szCs w:val="16"/>
        </w:rPr>
        <w:t>school</w:t>
      </w:r>
      <w:proofErr w:type="gramEnd"/>
      <w:r w:rsidRPr="00A22EB9">
        <w:rPr>
          <w:rFonts w:cs="Arial"/>
          <w:color w:val="000000" w:themeColor="text1"/>
          <w:szCs w:val="16"/>
        </w:rPr>
        <w:t xml:space="preserve"> or residential facility.</w:t>
      </w:r>
    </w:p>
    <w:p w14:paraId="797114DB" w14:textId="42BF5E07" w:rsidR="003608F9" w:rsidRPr="00A22EB9" w:rsidRDefault="003608F9" w:rsidP="00155DFD">
      <w:pPr>
        <w:pStyle w:val="ListParagraph"/>
        <w:numPr>
          <w:ilvl w:val="0"/>
          <w:numId w:val="24"/>
        </w:numPr>
        <w:contextualSpacing w:val="0"/>
        <w:rPr>
          <w:rFonts w:cs="Arial"/>
          <w:szCs w:val="16"/>
        </w:rPr>
      </w:pPr>
      <w:r w:rsidRPr="00A22EB9">
        <w:rPr>
          <w:rFonts w:cs="Arial"/>
          <w:szCs w:val="16"/>
        </w:rPr>
        <w:t>Receiving special education and related services in the home.</w:t>
      </w:r>
    </w:p>
    <w:p w14:paraId="1AC955CF" w14:textId="38EDB6BF" w:rsidR="0011074D" w:rsidRPr="00781112" w:rsidRDefault="0011074D" w:rsidP="00A22EB9">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47D0B">
      <w:pPr>
        <w:pStyle w:val="Heading4"/>
      </w:pPr>
      <w:r w:rsidRPr="00781112">
        <w:t>Data Source</w:t>
      </w:r>
    </w:p>
    <w:p w14:paraId="7412FE19" w14:textId="736BCFC9" w:rsidR="005322B8" w:rsidRPr="00781112" w:rsidRDefault="005322B8" w:rsidP="00A22EB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26847D43" w14:textId="77777777" w:rsidR="00A22EB9" w:rsidRDefault="005322B8" w:rsidP="00447D0B">
      <w:pPr>
        <w:pStyle w:val="Heading4"/>
      </w:pPr>
      <w:r w:rsidRPr="00781112">
        <w:t>Measurement</w:t>
      </w:r>
    </w:p>
    <w:p w14:paraId="14C60C6A" w14:textId="76EE20C7" w:rsidR="005322B8" w:rsidRPr="00A22EB9" w:rsidRDefault="00724BCB" w:rsidP="00155DFD">
      <w:pPr>
        <w:pStyle w:val="ListParagraph"/>
        <w:numPr>
          <w:ilvl w:val="0"/>
          <w:numId w:val="25"/>
        </w:numPr>
        <w:rPr>
          <w:color w:val="000000" w:themeColor="text1"/>
        </w:rPr>
      </w:pPr>
      <w:r w:rsidRPr="00A22EB9">
        <w:rPr>
          <w:rFonts w:cs="Arial"/>
          <w:color w:val="000000" w:themeColor="text1"/>
          <w:szCs w:val="16"/>
        </w:rPr>
        <w:t>Percent</w:t>
      </w:r>
      <w:r w:rsidR="00A22EB9" w:rsidRPr="00A22EB9">
        <w:rPr>
          <w:rFonts w:cs="Arial"/>
          <w:color w:val="000000" w:themeColor="text1"/>
          <w:szCs w:val="16"/>
          <w:shd w:val="clear" w:color="auto" w:fill="FFFFFF"/>
        </w:rPr>
        <w:t xml:space="preserve"> </w:t>
      </w:r>
      <w:r w:rsidR="005322B8" w:rsidRPr="00A22EB9">
        <w:rPr>
          <w:rFonts w:cs="Arial"/>
          <w:color w:val="000000" w:themeColor="text1"/>
          <w:szCs w:val="16"/>
          <w:shd w:val="clear" w:color="auto" w:fill="FFFFFF"/>
        </w:rPr>
        <w:t xml:space="preserve">= </w:t>
      </w:r>
      <w:r w:rsidR="00B2497F" w:rsidRPr="00A22EB9">
        <w:rPr>
          <w:rFonts w:cs="Arial"/>
          <w:color w:val="000000" w:themeColor="text1"/>
          <w:szCs w:val="16"/>
          <w:shd w:val="clear" w:color="auto" w:fill="FFFFFF"/>
        </w:rPr>
        <w:t xml:space="preserve">[(# </w:t>
      </w:r>
      <w:r w:rsidR="005322B8" w:rsidRPr="00A22EB9">
        <w:rPr>
          <w:rFonts w:cs="Arial"/>
          <w:color w:val="000000" w:themeColor="text1"/>
          <w:szCs w:val="16"/>
          <w:shd w:val="clear" w:color="auto" w:fill="FFFFFF"/>
        </w:rPr>
        <w:t>of children age</w:t>
      </w:r>
      <w:r w:rsidRPr="00A22EB9">
        <w:rPr>
          <w:rFonts w:cs="Arial"/>
          <w:color w:val="000000" w:themeColor="text1"/>
          <w:szCs w:val="16"/>
          <w:shd w:val="clear" w:color="auto" w:fill="FFFFFF"/>
        </w:rPr>
        <w:t>s</w:t>
      </w:r>
      <w:r w:rsidR="005322B8" w:rsidRPr="00A22EB9">
        <w:rPr>
          <w:rFonts w:cs="Arial"/>
          <w:color w:val="000000" w:themeColor="text1"/>
          <w:szCs w:val="16"/>
          <w:shd w:val="clear" w:color="auto" w:fill="FFFFFF"/>
        </w:rPr>
        <w:t xml:space="preserve"> 3</w:t>
      </w:r>
      <w:r w:rsidRPr="00A22EB9">
        <w:rPr>
          <w:rFonts w:cs="Arial"/>
          <w:color w:val="000000" w:themeColor="text1"/>
          <w:szCs w:val="16"/>
          <w:shd w:val="clear" w:color="auto" w:fill="FFFFFF"/>
        </w:rPr>
        <w:t>, 4, and</w:t>
      </w:r>
      <w:r w:rsidR="005322B8" w:rsidRPr="00A22EB9">
        <w:rPr>
          <w:rFonts w:cs="Arial"/>
          <w:color w:val="000000" w:themeColor="text1"/>
          <w:szCs w:val="16"/>
          <w:shd w:val="clear" w:color="auto" w:fill="FFFFFF"/>
        </w:rPr>
        <w:t xml:space="preserve"> 5 with IEPs attending a regular early childhood program and receiving </w:t>
      </w:r>
      <w:proofErr w:type="gramStart"/>
      <w:r w:rsidR="005322B8" w:rsidRPr="00A22EB9">
        <w:rPr>
          <w:rFonts w:cs="Arial"/>
          <w:color w:val="000000" w:themeColor="text1"/>
          <w:szCs w:val="16"/>
          <w:shd w:val="clear" w:color="auto" w:fill="FFFFFF"/>
        </w:rPr>
        <w:t>the majority of</w:t>
      </w:r>
      <w:proofErr w:type="gramEnd"/>
      <w:r w:rsidR="005322B8" w:rsidRPr="00A22EB9">
        <w:rPr>
          <w:rFonts w:cs="Arial"/>
          <w:color w:val="000000" w:themeColor="text1"/>
          <w:szCs w:val="16"/>
          <w:shd w:val="clear" w:color="auto" w:fill="FFFFFF"/>
        </w:rPr>
        <w:t xml:space="preserve"> special education and related services in the regular early childhood program) divided by the (total # of children age</w:t>
      </w:r>
      <w:r w:rsidR="00774DE0" w:rsidRPr="00A22EB9">
        <w:rPr>
          <w:rFonts w:cs="Arial"/>
          <w:color w:val="000000" w:themeColor="text1"/>
          <w:szCs w:val="16"/>
          <w:shd w:val="clear" w:color="auto" w:fill="FFFFFF"/>
        </w:rPr>
        <w:t>s</w:t>
      </w:r>
      <w:r w:rsidR="005322B8" w:rsidRPr="00A22EB9">
        <w:rPr>
          <w:rFonts w:cs="Arial"/>
          <w:color w:val="000000" w:themeColor="text1"/>
          <w:szCs w:val="16"/>
          <w:shd w:val="clear" w:color="auto" w:fill="FFFFFF"/>
        </w:rPr>
        <w:t xml:space="preserve"> 3</w:t>
      </w:r>
      <w:r w:rsidR="00774DE0" w:rsidRPr="00A22EB9">
        <w:rPr>
          <w:rFonts w:cs="Arial"/>
          <w:color w:val="000000" w:themeColor="text1"/>
          <w:szCs w:val="16"/>
          <w:shd w:val="clear" w:color="auto" w:fill="FFFFFF"/>
        </w:rPr>
        <w:t>, 4, and</w:t>
      </w:r>
      <w:r w:rsidR="005322B8" w:rsidRPr="00A22EB9">
        <w:rPr>
          <w:rFonts w:cs="Arial"/>
          <w:color w:val="000000" w:themeColor="text1"/>
          <w:szCs w:val="16"/>
          <w:shd w:val="clear" w:color="auto" w:fill="FFFFFF"/>
        </w:rPr>
        <w:t xml:space="preserve"> 5 with IEPs)</w:t>
      </w:r>
      <w:r w:rsidR="00B2497F" w:rsidRPr="00A22EB9">
        <w:rPr>
          <w:rFonts w:cs="Arial"/>
          <w:color w:val="000000" w:themeColor="text1"/>
          <w:szCs w:val="16"/>
          <w:shd w:val="clear" w:color="auto" w:fill="FFFFFF"/>
        </w:rPr>
        <w:t>]</w:t>
      </w:r>
      <w:r w:rsidR="005322B8" w:rsidRPr="00A22EB9">
        <w:rPr>
          <w:rFonts w:cs="Arial"/>
          <w:color w:val="000000" w:themeColor="text1"/>
          <w:szCs w:val="16"/>
          <w:shd w:val="clear" w:color="auto" w:fill="FFFFFF"/>
        </w:rPr>
        <w:t xml:space="preserve"> times 100.</w:t>
      </w:r>
    </w:p>
    <w:p w14:paraId="0CD6EF84" w14:textId="286C7AF7" w:rsidR="005322B8" w:rsidRPr="00A22EB9" w:rsidRDefault="00774DE0" w:rsidP="00155DFD">
      <w:pPr>
        <w:pStyle w:val="ListParagraph"/>
        <w:numPr>
          <w:ilvl w:val="0"/>
          <w:numId w:val="25"/>
        </w:numPr>
        <w:rPr>
          <w:rFonts w:cs="Arial"/>
          <w:color w:val="000000" w:themeColor="text1"/>
          <w:szCs w:val="16"/>
          <w:shd w:val="clear" w:color="auto" w:fill="FFFFFF"/>
        </w:rPr>
      </w:pPr>
      <w:r w:rsidRPr="00A22EB9">
        <w:rPr>
          <w:rFonts w:cs="Arial"/>
          <w:color w:val="000000" w:themeColor="text1"/>
          <w:szCs w:val="16"/>
        </w:rPr>
        <w:t xml:space="preserve">Percent </w:t>
      </w:r>
      <w:r w:rsidR="00DB1150" w:rsidRPr="00A22EB9">
        <w:rPr>
          <w:rFonts w:cs="Arial"/>
          <w:color w:val="000000" w:themeColor="text1"/>
          <w:szCs w:val="16"/>
          <w:shd w:val="clear" w:color="auto" w:fill="FFFFFF"/>
        </w:rPr>
        <w:t>=</w:t>
      </w:r>
      <w:r w:rsidR="005322B8" w:rsidRPr="00A22EB9">
        <w:rPr>
          <w:rFonts w:cs="Arial"/>
          <w:color w:val="000000" w:themeColor="text1"/>
          <w:szCs w:val="16"/>
          <w:shd w:val="clear" w:color="auto" w:fill="FFFFFF"/>
        </w:rPr>
        <w:t xml:space="preserve"> </w:t>
      </w:r>
      <w:r w:rsidR="00B2497F" w:rsidRPr="00A22EB9">
        <w:rPr>
          <w:rFonts w:cs="Arial"/>
          <w:color w:val="000000" w:themeColor="text1"/>
          <w:szCs w:val="16"/>
          <w:shd w:val="clear" w:color="auto" w:fill="FFFFFF"/>
        </w:rPr>
        <w:t>[</w:t>
      </w:r>
      <w:r w:rsidR="005322B8" w:rsidRPr="00A22EB9">
        <w:rPr>
          <w:rFonts w:cs="Arial"/>
          <w:color w:val="000000" w:themeColor="text1"/>
          <w:szCs w:val="16"/>
          <w:shd w:val="clear" w:color="auto" w:fill="FFFFFF"/>
        </w:rPr>
        <w:t>(# of children age</w:t>
      </w:r>
      <w:r w:rsidR="00633044" w:rsidRPr="00A22EB9">
        <w:rPr>
          <w:rFonts w:cs="Arial"/>
          <w:color w:val="000000" w:themeColor="text1"/>
          <w:szCs w:val="16"/>
          <w:shd w:val="clear" w:color="auto" w:fill="FFFFFF"/>
        </w:rPr>
        <w:t>s</w:t>
      </w:r>
      <w:r w:rsidR="005322B8" w:rsidRPr="00A22EB9">
        <w:rPr>
          <w:rFonts w:cs="Arial"/>
          <w:color w:val="000000" w:themeColor="text1"/>
          <w:szCs w:val="16"/>
          <w:shd w:val="clear" w:color="auto" w:fill="FFFFFF"/>
        </w:rPr>
        <w:t xml:space="preserve"> 3</w:t>
      </w:r>
      <w:r w:rsidR="00633044" w:rsidRPr="00A22EB9">
        <w:rPr>
          <w:rFonts w:cs="Arial"/>
          <w:color w:val="000000" w:themeColor="text1"/>
          <w:szCs w:val="16"/>
          <w:shd w:val="clear" w:color="auto" w:fill="FFFFFF"/>
        </w:rPr>
        <w:t>, 4, and</w:t>
      </w:r>
      <w:r w:rsidR="005322B8" w:rsidRPr="00A22EB9">
        <w:rPr>
          <w:rFonts w:cs="Arial"/>
          <w:color w:val="000000" w:themeColor="text1"/>
          <w:szCs w:val="16"/>
          <w:shd w:val="clear" w:color="auto" w:fill="FFFFFF"/>
        </w:rPr>
        <w:t xml:space="preserve"> 5 with IEPs attending a separate special education class, separate </w:t>
      </w:r>
      <w:proofErr w:type="gramStart"/>
      <w:r w:rsidR="005322B8" w:rsidRPr="00A22EB9">
        <w:rPr>
          <w:rFonts w:cs="Arial"/>
          <w:color w:val="000000" w:themeColor="text1"/>
          <w:szCs w:val="16"/>
          <w:shd w:val="clear" w:color="auto" w:fill="FFFFFF"/>
        </w:rPr>
        <w:t>school</w:t>
      </w:r>
      <w:proofErr w:type="gramEnd"/>
      <w:r w:rsidR="005322B8" w:rsidRPr="00A22EB9">
        <w:rPr>
          <w:rFonts w:cs="Arial"/>
          <w:color w:val="000000" w:themeColor="text1"/>
          <w:szCs w:val="16"/>
          <w:shd w:val="clear" w:color="auto" w:fill="FFFFFF"/>
        </w:rPr>
        <w:t xml:space="preserve"> or residential facility) divided by the (total # of children age</w:t>
      </w:r>
      <w:r w:rsidR="00633044" w:rsidRPr="00A22EB9">
        <w:rPr>
          <w:rFonts w:cs="Arial"/>
          <w:color w:val="000000" w:themeColor="text1"/>
          <w:szCs w:val="16"/>
          <w:shd w:val="clear" w:color="auto" w:fill="FFFFFF"/>
        </w:rPr>
        <w:t>s</w:t>
      </w:r>
      <w:r w:rsidR="005322B8" w:rsidRPr="00A22EB9">
        <w:rPr>
          <w:rFonts w:cs="Arial"/>
          <w:color w:val="000000" w:themeColor="text1"/>
          <w:szCs w:val="16"/>
          <w:shd w:val="clear" w:color="auto" w:fill="FFFFFF"/>
        </w:rPr>
        <w:t xml:space="preserve"> 3</w:t>
      </w:r>
      <w:r w:rsidR="00633044" w:rsidRPr="00A22EB9">
        <w:rPr>
          <w:rFonts w:cs="Arial"/>
          <w:color w:val="000000" w:themeColor="text1"/>
          <w:szCs w:val="16"/>
          <w:shd w:val="clear" w:color="auto" w:fill="FFFFFF"/>
        </w:rPr>
        <w:t>, 4, and</w:t>
      </w:r>
      <w:r w:rsidR="005322B8" w:rsidRPr="00A22EB9">
        <w:rPr>
          <w:rFonts w:cs="Arial"/>
          <w:color w:val="000000" w:themeColor="text1"/>
          <w:szCs w:val="16"/>
          <w:shd w:val="clear" w:color="auto" w:fill="FFFFFF"/>
        </w:rPr>
        <w:t xml:space="preserve"> 5 with IEPs)</w:t>
      </w:r>
      <w:r w:rsidR="00B2497F" w:rsidRPr="00A22EB9">
        <w:rPr>
          <w:rFonts w:cs="Arial"/>
          <w:color w:val="000000" w:themeColor="text1"/>
          <w:szCs w:val="16"/>
          <w:shd w:val="clear" w:color="auto" w:fill="FFFFFF"/>
        </w:rPr>
        <w:t>]</w:t>
      </w:r>
      <w:r w:rsidR="005322B8" w:rsidRPr="00A22EB9">
        <w:rPr>
          <w:rFonts w:cs="Arial"/>
          <w:color w:val="000000" w:themeColor="text1"/>
          <w:szCs w:val="16"/>
          <w:shd w:val="clear" w:color="auto" w:fill="FFFFFF"/>
        </w:rPr>
        <w:t xml:space="preserve"> times 100.</w:t>
      </w:r>
    </w:p>
    <w:p w14:paraId="48F03EFA" w14:textId="1D52E3B6" w:rsidR="00774DE0" w:rsidRPr="00A22EB9" w:rsidRDefault="002C5A1B" w:rsidP="00155DFD">
      <w:pPr>
        <w:pStyle w:val="ListParagraph"/>
        <w:numPr>
          <w:ilvl w:val="0"/>
          <w:numId w:val="25"/>
        </w:numPr>
        <w:rPr>
          <w:rFonts w:cs="Arial"/>
          <w:szCs w:val="16"/>
        </w:rPr>
      </w:pPr>
      <w:r w:rsidRPr="00A22EB9">
        <w:rPr>
          <w:rFonts w:cs="Arial"/>
          <w:szCs w:val="16"/>
        </w:rPr>
        <w:t xml:space="preserve">Percent = [(# of children ages 3, 4, and 5 with IEPs receiving special education and related services in the home) divided by the (total # of </w:t>
      </w:r>
      <w:r w:rsidRPr="00A22EB9">
        <w:rPr>
          <w:rFonts w:cs="Arial"/>
          <w:szCs w:val="16"/>
        </w:rPr>
        <w:tab/>
        <w:t>children ages 3, 4, and 5 with IEPs)] times 100.</w:t>
      </w:r>
    </w:p>
    <w:p w14:paraId="2CAF467D" w14:textId="77777777" w:rsidR="005322B8" w:rsidRPr="00781112" w:rsidRDefault="005322B8" w:rsidP="00447D0B">
      <w:pPr>
        <w:pStyle w:val="Heading4"/>
      </w:pPr>
      <w:r w:rsidRPr="00781112">
        <w:t>Instructions</w:t>
      </w:r>
    </w:p>
    <w:p w14:paraId="5B2FF157" w14:textId="6FABC6E7" w:rsidR="005322B8" w:rsidRPr="00781112" w:rsidRDefault="005322B8" w:rsidP="00A22EB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A22EB9">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A22EB9">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A22EB9">
      <w:pPr>
        <w:rPr>
          <w:rFonts w:cs="Arial"/>
          <w:szCs w:val="16"/>
        </w:rPr>
      </w:pPr>
      <w:r w:rsidRPr="00781112">
        <w:rPr>
          <w:rFonts w:cs="Arial"/>
          <w:szCs w:val="16"/>
        </w:rPr>
        <w:t xml:space="preserve">For Indicator 6C: States are not required to establish a baseline or targets if the number of children receiving special education and related services in the home is less than 10, regardless of whether </w:t>
      </w:r>
      <w:r w:rsidRPr="00781112">
        <w:rPr>
          <w:rFonts w:cs="Arial"/>
          <w:szCs w:val="16"/>
        </w:rPr>
        <w:lastRenderedPageBreak/>
        <w:t>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594A7ED4" w14:textId="41F6D87D" w:rsidR="005322B8" w:rsidRPr="00781112" w:rsidRDefault="00633044" w:rsidP="00A22EB9">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roofErr w:type="gramStart"/>
      <w:r w:rsidRPr="00781112">
        <w:rPr>
          <w:rFonts w:cs="Arial"/>
          <w:iCs/>
          <w:szCs w:val="16"/>
        </w:rPr>
        <w:t>).</w:t>
      </w:r>
      <w:r w:rsidR="005322B8" w:rsidRPr="00781112">
        <w:rPr>
          <w:rFonts w:cs="Arial"/>
          <w:color w:val="000000" w:themeColor="text1"/>
          <w:szCs w:val="16"/>
        </w:rPr>
        <w:t>Describe</w:t>
      </w:r>
      <w:proofErr w:type="gramEnd"/>
      <w:r w:rsidR="005322B8" w:rsidRPr="00781112">
        <w:rPr>
          <w:rFonts w:cs="Arial"/>
          <w:color w:val="000000" w:themeColor="text1"/>
          <w:szCs w:val="16"/>
        </w:rPr>
        <w:t xml:space="preserve"> the results of the calculations and compare the results to the target.</w:t>
      </w:r>
    </w:p>
    <w:p w14:paraId="19F07E42" w14:textId="35DC1378" w:rsidR="005322B8" w:rsidRPr="00781112" w:rsidRDefault="005322B8" w:rsidP="00A22EB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6"/>
    <w:p w14:paraId="1489816D" w14:textId="2F10D57A" w:rsidR="008D3484" w:rsidRPr="00781112" w:rsidRDefault="00C96236" w:rsidP="00A22EB9">
      <w:pPr>
        <w:pStyle w:val="Heading3"/>
      </w:pPr>
      <w:r w:rsidRPr="00781112">
        <w:t>6</w:t>
      </w:r>
      <w:r w:rsidR="00C91B94" w:rsidRPr="00781112">
        <w:t xml:space="preserve"> </w:t>
      </w:r>
      <w:r w:rsidRPr="00781112">
        <w:t xml:space="preserve">- </w:t>
      </w:r>
      <w:r w:rsidR="008D3484" w:rsidRPr="00781112">
        <w:t>Indicator Data</w:t>
      </w:r>
    </w:p>
    <w:p w14:paraId="625E607A" w14:textId="77777777" w:rsidR="0091098C" w:rsidRPr="00D4769B" w:rsidRDefault="0091098C" w:rsidP="00314F94">
      <w:pPr>
        <w:pStyle w:val="ListParagraph"/>
        <w:numPr>
          <w:ilvl w:val="0"/>
          <w:numId w:val="150"/>
        </w:numPr>
        <w:rPr>
          <w:bCs/>
          <w:color w:val="000000" w:themeColor="text1"/>
        </w:rPr>
      </w:pPr>
      <w:r w:rsidRPr="00D4769B">
        <w:rPr>
          <w:bCs/>
          <w:color w:val="000000" w:themeColor="text1"/>
        </w:rPr>
        <w:t>Not Applicable</w:t>
      </w:r>
    </w:p>
    <w:p w14:paraId="5333465D" w14:textId="3DB31AB7" w:rsidR="004B75EC" w:rsidRPr="00781112" w:rsidRDefault="003229FA" w:rsidP="00A22EB9">
      <w:pPr>
        <w:rPr>
          <w:b/>
          <w:color w:val="000000" w:themeColor="text1"/>
        </w:rPr>
      </w:pPr>
      <w:r w:rsidRPr="00781112">
        <w:rPr>
          <w:b/>
          <w:color w:val="000000" w:themeColor="text1"/>
        </w:rPr>
        <w:t>Select yes if this indicator is not applicable.</w:t>
      </w:r>
    </w:p>
    <w:p w14:paraId="6D4C5D02" w14:textId="71BEE58A" w:rsidR="002441FF" w:rsidRPr="00D4769B" w:rsidRDefault="004C1EC0" w:rsidP="00314F94">
      <w:pPr>
        <w:pStyle w:val="ListParagraph"/>
        <w:numPr>
          <w:ilvl w:val="0"/>
          <w:numId w:val="151"/>
        </w:numPr>
        <w:rPr>
          <w:rFonts w:cs="Arial"/>
          <w:color w:val="000000" w:themeColor="text1"/>
          <w:szCs w:val="16"/>
        </w:rPr>
      </w:pPr>
      <w:r w:rsidRPr="00D4769B">
        <w:rPr>
          <w:rFonts w:cs="Arial"/>
          <w:color w:val="000000" w:themeColor="text1"/>
          <w:szCs w:val="16"/>
        </w:rPr>
        <w:t>No</w:t>
      </w:r>
    </w:p>
    <w:p w14:paraId="2DFC3658" w14:textId="20467DA4" w:rsidR="006309D0" w:rsidRPr="00781112" w:rsidRDefault="006309D0" w:rsidP="00815ACE">
      <w:pPr>
        <w:pStyle w:val="Caption"/>
      </w:pPr>
      <w:r w:rsidRPr="00781112">
        <w:t>Historical Data – 6A, 6B</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provides baseline year and baseline data for this indicator."/>
      </w:tblPr>
      <w:tblGrid>
        <w:gridCol w:w="895"/>
        <w:gridCol w:w="1350"/>
        <w:gridCol w:w="1501"/>
        <w:gridCol w:w="1502"/>
        <w:gridCol w:w="1502"/>
        <w:gridCol w:w="1502"/>
        <w:gridCol w:w="1502"/>
      </w:tblGrid>
      <w:tr w:rsidR="001F2C34" w:rsidRPr="00781112" w14:paraId="10B8D4E0" w14:textId="65C4ABC5" w:rsidTr="00357C0D">
        <w:trPr>
          <w:trHeight w:val="432"/>
        </w:trPr>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DFCFC" w14:textId="199152DC" w:rsidR="001F2C34" w:rsidRPr="00781112" w:rsidRDefault="001F2C34" w:rsidP="00357C0D">
            <w:pPr>
              <w:spacing w:after="0"/>
              <w:jc w:val="center"/>
              <w:rPr>
                <w:rFonts w:cs="Arial"/>
                <w:b/>
                <w:color w:val="000000" w:themeColor="text1"/>
                <w:szCs w:val="16"/>
              </w:rPr>
            </w:pPr>
            <w:r w:rsidRPr="00781112">
              <w:rPr>
                <w:rFonts w:cs="Arial"/>
                <w:b/>
                <w:color w:val="000000" w:themeColor="text1"/>
                <w:szCs w:val="16"/>
              </w:rPr>
              <w:t>Part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5DB54" w14:textId="77777777" w:rsidR="001F2C34" w:rsidRPr="00781112" w:rsidRDefault="001F2C34" w:rsidP="00357C0D">
            <w:pPr>
              <w:spacing w:after="0"/>
              <w:jc w:val="center"/>
              <w:rPr>
                <w:rFonts w:cs="Arial"/>
                <w:b/>
                <w:color w:val="000000" w:themeColor="text1"/>
                <w:szCs w:val="16"/>
              </w:rPr>
            </w:pPr>
            <w:r w:rsidRPr="00781112">
              <w:rPr>
                <w:rFonts w:cs="Arial"/>
                <w:b/>
                <w:color w:val="000000" w:themeColor="text1"/>
                <w:szCs w:val="16"/>
              </w:rPr>
              <w:t>FFY</w:t>
            </w:r>
          </w:p>
        </w:tc>
        <w:tc>
          <w:tcPr>
            <w:tcW w:w="1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BD013" w14:textId="2E725702" w:rsidR="001F2C34" w:rsidRPr="00781112" w:rsidRDefault="001F2C34" w:rsidP="00357C0D">
            <w:pPr>
              <w:spacing w:after="0"/>
              <w:jc w:val="center"/>
              <w:rPr>
                <w:rFonts w:cs="Arial"/>
                <w:b/>
                <w:color w:val="000000" w:themeColor="text1"/>
                <w:szCs w:val="16"/>
              </w:rPr>
            </w:pPr>
            <w:r w:rsidRPr="00781112">
              <w:rPr>
                <w:rFonts w:cs="Arial"/>
                <w:b/>
                <w:color w:val="000000" w:themeColor="text1"/>
                <w:szCs w:val="16"/>
              </w:rPr>
              <w:t>2015</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A4955" w14:textId="7857A3E8" w:rsidR="001F2C34" w:rsidRPr="00781112" w:rsidRDefault="001F2C34" w:rsidP="00357C0D">
            <w:pPr>
              <w:spacing w:after="0"/>
              <w:jc w:val="center"/>
              <w:rPr>
                <w:rFonts w:cs="Arial"/>
                <w:b/>
                <w:color w:val="000000" w:themeColor="text1"/>
                <w:szCs w:val="16"/>
              </w:rPr>
            </w:pPr>
            <w:r w:rsidRPr="00781112">
              <w:rPr>
                <w:rFonts w:cs="Arial"/>
                <w:b/>
                <w:color w:val="000000" w:themeColor="text1"/>
                <w:szCs w:val="16"/>
              </w:rPr>
              <w:t>2016</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C44EE" w14:textId="0FBA6B8E" w:rsidR="001F2C34" w:rsidRPr="00781112" w:rsidRDefault="001F2C34" w:rsidP="00357C0D">
            <w:pPr>
              <w:spacing w:after="0"/>
              <w:jc w:val="center"/>
              <w:rPr>
                <w:rFonts w:cs="Arial"/>
                <w:b/>
                <w:color w:val="000000" w:themeColor="text1"/>
                <w:szCs w:val="16"/>
              </w:rPr>
            </w:pPr>
            <w:r w:rsidRPr="00781112">
              <w:rPr>
                <w:rFonts w:cs="Arial"/>
                <w:b/>
                <w:color w:val="000000" w:themeColor="text1"/>
                <w:szCs w:val="16"/>
              </w:rPr>
              <w:t>2017</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D2C75" w14:textId="09B12609" w:rsidR="001F2C34" w:rsidRPr="00781112" w:rsidRDefault="001F2C34" w:rsidP="00357C0D">
            <w:pPr>
              <w:spacing w:after="0"/>
              <w:jc w:val="center"/>
              <w:rPr>
                <w:rFonts w:cs="Arial"/>
                <w:b/>
                <w:color w:val="000000" w:themeColor="text1"/>
                <w:szCs w:val="16"/>
              </w:rPr>
            </w:pPr>
            <w:r w:rsidRPr="00781112">
              <w:rPr>
                <w:rFonts w:cs="Arial"/>
                <w:b/>
                <w:color w:val="000000" w:themeColor="text1"/>
                <w:szCs w:val="16"/>
              </w:rPr>
              <w:t>2018</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F8815" w14:textId="0E900FD9" w:rsidR="001F2C34" w:rsidRPr="00781112" w:rsidRDefault="001F2C34" w:rsidP="00357C0D">
            <w:pPr>
              <w:spacing w:after="0"/>
              <w:jc w:val="center"/>
              <w:rPr>
                <w:rFonts w:cs="Arial"/>
                <w:b/>
                <w:color w:val="000000" w:themeColor="text1"/>
                <w:szCs w:val="16"/>
              </w:rPr>
            </w:pPr>
            <w:r w:rsidRPr="00781112">
              <w:rPr>
                <w:rFonts w:cs="Arial"/>
                <w:b/>
                <w:color w:val="000000" w:themeColor="text1"/>
                <w:szCs w:val="16"/>
              </w:rPr>
              <w:t>2019</w:t>
            </w:r>
          </w:p>
        </w:tc>
      </w:tr>
      <w:tr w:rsidR="001F2C34" w:rsidRPr="00781112" w14:paraId="12643853" w14:textId="714409A9" w:rsidTr="00357C0D">
        <w:trPr>
          <w:trHeight w:val="432"/>
        </w:trPr>
        <w:tc>
          <w:tcPr>
            <w:tcW w:w="89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rsidP="00357C0D">
            <w:pPr>
              <w:spacing w:after="0"/>
              <w:jc w:val="center"/>
              <w:rPr>
                <w:rFonts w:cs="Arial"/>
                <w:b/>
                <w:bCs/>
                <w:color w:val="000000" w:themeColor="text1"/>
                <w:szCs w:val="16"/>
              </w:rPr>
            </w:pPr>
            <w:r w:rsidRPr="00781112">
              <w:rPr>
                <w:rFonts w:cs="Arial"/>
                <w:b/>
                <w:bCs/>
                <w:color w:val="000000" w:themeColor="text1"/>
                <w:szCs w:val="1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357C0D">
            <w:pPr>
              <w:spacing w:after="0"/>
              <w:rPr>
                <w:rFonts w:cs="Arial"/>
                <w:color w:val="000000" w:themeColor="text1"/>
                <w:szCs w:val="16"/>
              </w:rPr>
            </w:pPr>
            <w:r w:rsidRPr="00781112">
              <w:rPr>
                <w:rFonts w:cs="Arial"/>
                <w:color w:val="000000" w:themeColor="text1"/>
                <w:szCs w:val="16"/>
              </w:rPr>
              <w:t>Target &gt;=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32.00%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33.00%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34.00%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35.00%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34.00%</w:t>
            </w:r>
          </w:p>
        </w:tc>
      </w:tr>
      <w:tr w:rsidR="001F2C34" w:rsidRPr="00781112" w14:paraId="24AB409F" w14:textId="3963C8DA" w:rsidTr="00357C0D">
        <w:trPr>
          <w:trHeight w:val="432"/>
        </w:trPr>
        <w:tc>
          <w:tcPr>
            <w:tcW w:w="895" w:type="dxa"/>
            <w:tcBorders>
              <w:left w:val="single" w:sz="4" w:space="0" w:color="auto"/>
              <w:right w:val="single" w:sz="4" w:space="0" w:color="auto"/>
            </w:tcBorders>
            <w:shd w:val="clear" w:color="auto" w:fill="auto"/>
            <w:vAlign w:val="center"/>
          </w:tcPr>
          <w:p w14:paraId="29D181B3" w14:textId="5F8E2E42" w:rsidR="001F2C34" w:rsidRPr="00781112" w:rsidRDefault="001F2C34" w:rsidP="00357C0D">
            <w:pPr>
              <w:spacing w:after="0"/>
              <w:jc w:val="center"/>
              <w:rPr>
                <w:rFonts w:cs="Arial"/>
                <w:b/>
                <w:bCs/>
                <w:color w:val="000000" w:themeColor="text1"/>
                <w:szCs w:val="16"/>
              </w:rPr>
            </w:pPr>
            <w:r w:rsidRPr="00781112">
              <w:rPr>
                <w:rFonts w:cs="Arial"/>
                <w:b/>
                <w:bCs/>
                <w:color w:val="000000" w:themeColor="text1"/>
                <w:szCs w:val="1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357C0D">
            <w:pPr>
              <w:spacing w:after="0"/>
              <w:rPr>
                <w:rFonts w:cs="Arial"/>
                <w:color w:val="000000" w:themeColor="text1"/>
                <w:szCs w:val="16"/>
              </w:rPr>
            </w:pPr>
            <w:r w:rsidRPr="00781112">
              <w:rPr>
                <w:rFonts w:cs="Arial"/>
                <w:color w:val="000000" w:themeColor="text1"/>
                <w:szCs w:val="16"/>
              </w:rPr>
              <w:t>Data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26.79%</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32.14%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34.48%</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31.44%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33.95%</w:t>
            </w:r>
          </w:p>
        </w:tc>
      </w:tr>
      <w:tr w:rsidR="001F2C34" w:rsidRPr="00781112" w14:paraId="734556E7" w14:textId="7880148D" w:rsidTr="00357C0D">
        <w:trPr>
          <w:trHeight w:val="432"/>
        </w:trPr>
        <w:tc>
          <w:tcPr>
            <w:tcW w:w="89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rsidP="00357C0D">
            <w:pPr>
              <w:spacing w:after="0"/>
              <w:jc w:val="center"/>
              <w:rPr>
                <w:rFonts w:cs="Arial"/>
                <w:b/>
                <w:bCs/>
                <w:color w:val="000000" w:themeColor="text1"/>
                <w:szCs w:val="16"/>
              </w:rPr>
            </w:pPr>
            <w:r w:rsidRPr="00781112">
              <w:rPr>
                <w:rFonts w:cs="Arial"/>
                <w:b/>
                <w:bCs/>
                <w:color w:val="000000" w:themeColor="text1"/>
                <w:szCs w:val="16"/>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357C0D">
            <w:pPr>
              <w:spacing w:after="0"/>
              <w:rPr>
                <w:rFonts w:cs="Arial"/>
                <w:color w:val="000000" w:themeColor="text1"/>
                <w:szCs w:val="16"/>
              </w:rPr>
            </w:pPr>
            <w:r w:rsidRPr="00781112">
              <w:rPr>
                <w:rFonts w:cs="Arial"/>
                <w:color w:val="000000" w:themeColor="text1"/>
                <w:szCs w:val="16"/>
              </w:rPr>
              <w:t>Target &lt;=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23.00%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21.00%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19.00%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rsidP="00357C0D">
            <w:pPr>
              <w:spacing w:after="0"/>
              <w:jc w:val="center"/>
              <w:rPr>
                <w:color w:val="000000" w:themeColor="text1"/>
              </w:rPr>
            </w:pPr>
            <w:r w:rsidRPr="00781112">
              <w:rPr>
                <w:color w:val="000000" w:themeColor="text1"/>
              </w:rPr>
              <w:t>17.00%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26.00%</w:t>
            </w:r>
          </w:p>
        </w:tc>
      </w:tr>
      <w:tr w:rsidR="001F2C34" w:rsidRPr="00781112" w14:paraId="3B42BE2A" w14:textId="601B062F" w:rsidTr="00357C0D">
        <w:trPr>
          <w:trHeight w:val="432"/>
        </w:trPr>
        <w:tc>
          <w:tcPr>
            <w:tcW w:w="895" w:type="dxa"/>
            <w:tcBorders>
              <w:left w:val="single" w:sz="4" w:space="0" w:color="auto"/>
              <w:right w:val="single" w:sz="4" w:space="0" w:color="auto"/>
            </w:tcBorders>
            <w:shd w:val="clear" w:color="auto" w:fill="auto"/>
            <w:vAlign w:val="center"/>
          </w:tcPr>
          <w:p w14:paraId="4623D633" w14:textId="276C317C" w:rsidR="001F2C34" w:rsidRPr="00781112" w:rsidRDefault="001F2C34" w:rsidP="00357C0D">
            <w:pPr>
              <w:spacing w:after="0"/>
              <w:jc w:val="center"/>
              <w:rPr>
                <w:rFonts w:cs="Arial"/>
                <w:b/>
                <w:bCs/>
                <w:color w:val="000000" w:themeColor="text1"/>
                <w:szCs w:val="16"/>
              </w:rPr>
            </w:pPr>
            <w:r w:rsidRPr="00781112">
              <w:rPr>
                <w:rFonts w:cs="Arial"/>
                <w:b/>
                <w:bCs/>
                <w:color w:val="000000" w:themeColor="text1"/>
                <w:szCs w:val="16"/>
              </w:rPr>
              <w:t>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357C0D">
            <w:pPr>
              <w:spacing w:after="0"/>
              <w:rPr>
                <w:rFonts w:cs="Arial"/>
                <w:color w:val="000000" w:themeColor="text1"/>
                <w:szCs w:val="16"/>
              </w:rPr>
            </w:pPr>
            <w:r w:rsidRPr="00781112">
              <w:rPr>
                <w:rFonts w:cs="Arial"/>
                <w:color w:val="000000" w:themeColor="text1"/>
                <w:szCs w:val="16"/>
              </w:rPr>
              <w:t>Data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29.30%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26.93%</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25.43%</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29.34%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357C0D">
            <w:pPr>
              <w:spacing w:after="0"/>
              <w:jc w:val="center"/>
              <w:rPr>
                <w:rFonts w:cs="Arial"/>
                <w:color w:val="000000" w:themeColor="text1"/>
                <w:szCs w:val="16"/>
              </w:rPr>
            </w:pPr>
            <w:r w:rsidRPr="00781112">
              <w:rPr>
                <w:rFonts w:cs="Arial"/>
                <w:color w:val="000000" w:themeColor="text1"/>
                <w:szCs w:val="16"/>
              </w:rPr>
              <w:t>28.92%</w:t>
            </w:r>
          </w:p>
        </w:tc>
      </w:tr>
    </w:tbl>
    <w:p w14:paraId="34B0E047" w14:textId="77777777" w:rsidR="0059735F" w:rsidRPr="00781112" w:rsidRDefault="0059735F" w:rsidP="00447D0B">
      <w:pPr>
        <w:pStyle w:val="Heading4"/>
      </w:pPr>
      <w:r w:rsidRPr="00781112">
        <w:t xml:space="preserve">Targets: Description of Stakeholder Input </w:t>
      </w:r>
    </w:p>
    <w:p w14:paraId="405DD0F9" w14:textId="77777777" w:rsidR="00357C0D" w:rsidRPr="00D4769B" w:rsidRDefault="0059735F" w:rsidP="00314F94">
      <w:pPr>
        <w:pStyle w:val="ListParagraph"/>
        <w:numPr>
          <w:ilvl w:val="0"/>
          <w:numId w:val="152"/>
        </w:numPr>
        <w:rPr>
          <w:rFonts w:cs="Arial"/>
          <w:color w:val="000000" w:themeColor="text1"/>
          <w:szCs w:val="16"/>
        </w:rPr>
      </w:pPr>
      <w:r w:rsidRPr="00D4769B">
        <w:rPr>
          <w:rFonts w:cs="Arial"/>
          <w:color w:val="000000" w:themeColor="text1"/>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02A3CB3A" w14:textId="401D554A" w:rsidR="0059735F" w:rsidRPr="00781112" w:rsidRDefault="0059735F" w:rsidP="004C1EC0">
      <w:pPr>
        <w:ind w:left="720"/>
        <w:rPr>
          <w:rFonts w:cs="Arial"/>
          <w:color w:val="000000" w:themeColor="text1"/>
          <w:szCs w:val="16"/>
        </w:rPr>
      </w:pPr>
      <w:r w:rsidRPr="00781112">
        <w:rPr>
          <w:rFonts w:cs="Arial"/>
          <w:color w:val="000000" w:themeColor="text1"/>
          <w:szCs w:val="16"/>
        </w:rPr>
        <w:t xml:space="preserve">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t>
      </w:r>
      <w:r w:rsidRPr="00781112">
        <w:rPr>
          <w:rFonts w:cs="Arial"/>
          <w:color w:val="000000" w:themeColor="text1"/>
          <w:szCs w:val="16"/>
        </w:rPr>
        <w:lastRenderedPageBreak/>
        <w:t>were administered to ensure all stakeholders have equal opportunity to be heard and have led to additional initiatives and resources.</w:t>
      </w:r>
    </w:p>
    <w:p w14:paraId="5CC249BC" w14:textId="12B8F79F" w:rsidR="00AA04BD" w:rsidRPr="00781112" w:rsidRDefault="00AA04BD" w:rsidP="00447D0B">
      <w:pPr>
        <w:pStyle w:val="Heading4"/>
      </w:pPr>
      <w:r w:rsidRPr="00781112">
        <w:t>Targets</w:t>
      </w:r>
    </w:p>
    <w:p w14:paraId="1C259A9C" w14:textId="1B14BF71" w:rsidR="001C2B29" w:rsidRPr="001C443D" w:rsidRDefault="007F67C7" w:rsidP="00A22EB9">
      <w:pPr>
        <w:rPr>
          <w:b/>
          <w:bCs/>
        </w:rPr>
      </w:pPr>
      <w:r w:rsidRPr="001C443D">
        <w:rPr>
          <w:b/>
          <w:bCs/>
        </w:rPr>
        <w:t>Please select if the State wants to set baseline and targets based on individual age ranges (</w:t>
      </w:r>
      <w:proofErr w:type="gramStart"/>
      <w:r w:rsidRPr="001C443D">
        <w:rPr>
          <w:b/>
          <w:bCs/>
        </w:rPr>
        <w:t>i.e.</w:t>
      </w:r>
      <w:proofErr w:type="gramEnd"/>
      <w:r w:rsidRPr="001C443D">
        <w:rPr>
          <w:b/>
          <w:bCs/>
        </w:rPr>
        <w:t xml:space="preserve"> separate baseline and targets for each age), or inclusive of all children ages 3, 4, and 5.</w:t>
      </w:r>
    </w:p>
    <w:p w14:paraId="0237921B" w14:textId="17150ECF" w:rsidR="00794672" w:rsidRPr="00D4769B" w:rsidRDefault="00794672" w:rsidP="00314F94">
      <w:pPr>
        <w:pStyle w:val="ListParagraph"/>
        <w:numPr>
          <w:ilvl w:val="0"/>
          <w:numId w:val="153"/>
        </w:numPr>
        <w:rPr>
          <w:color w:val="000000" w:themeColor="text1"/>
        </w:rPr>
      </w:pPr>
      <w:r w:rsidRPr="00D4769B">
        <w:rPr>
          <w:rFonts w:cs="Arial"/>
          <w:color w:val="000000" w:themeColor="text1"/>
          <w:szCs w:val="16"/>
        </w:rPr>
        <w:t>Inclusive Targets</w:t>
      </w:r>
    </w:p>
    <w:p w14:paraId="647A8A68" w14:textId="7712D124" w:rsidR="00794672" w:rsidRPr="001C443D" w:rsidRDefault="00E20E93" w:rsidP="00A22EB9">
      <w:pPr>
        <w:rPr>
          <w:b/>
          <w:bCs/>
        </w:rPr>
      </w:pPr>
      <w:r w:rsidRPr="001C443D">
        <w:rPr>
          <w:b/>
          <w:bCs/>
        </w:rPr>
        <w:t>Please select if the State wants to use target ranges for 6C.</w:t>
      </w:r>
    </w:p>
    <w:p w14:paraId="770D6443" w14:textId="6A26B92B" w:rsidR="004D796B" w:rsidRPr="00D4769B" w:rsidRDefault="00794672" w:rsidP="00314F94">
      <w:pPr>
        <w:pStyle w:val="ListParagraph"/>
        <w:numPr>
          <w:ilvl w:val="0"/>
          <w:numId w:val="154"/>
        </w:numPr>
        <w:rPr>
          <w:rFonts w:cs="Arial"/>
          <w:color w:val="000000" w:themeColor="text1"/>
          <w:szCs w:val="16"/>
        </w:rPr>
      </w:pPr>
      <w:r w:rsidRPr="00D4769B">
        <w:rPr>
          <w:rFonts w:cs="Arial"/>
          <w:color w:val="000000" w:themeColor="text1"/>
          <w:szCs w:val="16"/>
        </w:rPr>
        <w:t>Target Range not used</w:t>
      </w:r>
    </w:p>
    <w:p w14:paraId="7D77C5FC" w14:textId="77777777" w:rsidR="008C34A2" w:rsidRPr="0075451F" w:rsidRDefault="008C34A2" w:rsidP="00815ACE">
      <w:pPr>
        <w:pStyle w:val="Caption"/>
      </w:pPr>
      <w:bookmarkStart w:id="37" w:name="_Hlk121843176"/>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provides baseline year and data for each indicator part."/>
      </w:tblPr>
      <w:tblGrid>
        <w:gridCol w:w="1436"/>
        <w:gridCol w:w="2025"/>
        <w:gridCol w:w="2025"/>
      </w:tblGrid>
      <w:tr w:rsidR="008C34A2" w:rsidRPr="00781112" w14:paraId="76A746DF" w14:textId="77777777" w:rsidTr="00357C0D">
        <w:trPr>
          <w:trHeight w:val="432"/>
          <w:tblHeader/>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37"/>
          <w:p w14:paraId="76F354AC" w14:textId="77777777" w:rsidR="008C34A2" w:rsidRPr="00781112" w:rsidRDefault="008C34A2" w:rsidP="00357C0D">
            <w:pPr>
              <w:spacing w:after="0"/>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43BB3" w14:textId="4BF88DB9" w:rsidR="008C34A2" w:rsidRPr="00781112" w:rsidRDefault="008C34A2" w:rsidP="00357C0D">
            <w:pPr>
              <w:spacing w:after="0"/>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32D8C" w14:textId="77777777" w:rsidR="008C34A2" w:rsidRPr="00781112" w:rsidRDefault="008C34A2" w:rsidP="00357C0D">
            <w:pPr>
              <w:spacing w:after="0"/>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357C0D">
        <w:trPr>
          <w:trHeight w:val="432"/>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357C0D">
            <w:pPr>
              <w:spacing w:after="0"/>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vAlign w:val="center"/>
          </w:tcPr>
          <w:p w14:paraId="3FCF70A0" w14:textId="77777777" w:rsidR="008C34A2" w:rsidRPr="00781112" w:rsidRDefault="008C34A2" w:rsidP="00357C0D">
            <w:pPr>
              <w:spacing w:after="0"/>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vAlign w:val="center"/>
          </w:tcPr>
          <w:p w14:paraId="142085FD" w14:textId="77777777" w:rsidR="008C34A2" w:rsidRPr="00781112" w:rsidRDefault="008C34A2" w:rsidP="00357C0D">
            <w:pPr>
              <w:spacing w:after="0"/>
              <w:jc w:val="center"/>
              <w:rPr>
                <w:rFonts w:cs="Arial"/>
                <w:color w:val="000000" w:themeColor="text1"/>
                <w:szCs w:val="16"/>
              </w:rPr>
            </w:pPr>
            <w:r w:rsidRPr="00781112">
              <w:rPr>
                <w:rFonts w:cs="Arial"/>
                <w:color w:val="000000" w:themeColor="text1"/>
                <w:szCs w:val="16"/>
              </w:rPr>
              <w:t>24.65%</w:t>
            </w:r>
          </w:p>
        </w:tc>
      </w:tr>
      <w:tr w:rsidR="008C34A2" w:rsidRPr="00781112" w14:paraId="6C0A9325" w14:textId="77777777" w:rsidTr="00357C0D">
        <w:trPr>
          <w:trHeight w:val="432"/>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357C0D">
            <w:pPr>
              <w:spacing w:after="0"/>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vAlign w:val="center"/>
          </w:tcPr>
          <w:p w14:paraId="538A3CE6" w14:textId="77777777" w:rsidR="008C34A2" w:rsidRPr="00781112" w:rsidRDefault="008C34A2" w:rsidP="00357C0D">
            <w:pPr>
              <w:spacing w:after="0"/>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vAlign w:val="center"/>
          </w:tcPr>
          <w:p w14:paraId="794F234F" w14:textId="77777777" w:rsidR="008C34A2" w:rsidRPr="00781112" w:rsidRDefault="008C34A2" w:rsidP="00357C0D">
            <w:pPr>
              <w:spacing w:after="0"/>
              <w:jc w:val="center"/>
              <w:rPr>
                <w:rFonts w:cs="Arial"/>
                <w:color w:val="000000" w:themeColor="text1"/>
                <w:szCs w:val="16"/>
              </w:rPr>
            </w:pPr>
            <w:r w:rsidRPr="00781112">
              <w:rPr>
                <w:rFonts w:cs="Arial"/>
                <w:color w:val="000000" w:themeColor="text1"/>
                <w:szCs w:val="16"/>
              </w:rPr>
              <w:t>38.85%</w:t>
            </w:r>
          </w:p>
        </w:tc>
      </w:tr>
      <w:tr w:rsidR="008C34A2" w:rsidRPr="00781112" w14:paraId="2DFA9728" w14:textId="77777777" w:rsidTr="00357C0D">
        <w:trPr>
          <w:trHeight w:val="432"/>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357C0D">
            <w:pPr>
              <w:spacing w:after="0"/>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vAlign w:val="center"/>
          </w:tcPr>
          <w:p w14:paraId="7E7E5689" w14:textId="77777777" w:rsidR="008C34A2" w:rsidRPr="00781112" w:rsidRDefault="008C34A2" w:rsidP="00357C0D">
            <w:pPr>
              <w:spacing w:after="0"/>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vAlign w:val="center"/>
          </w:tcPr>
          <w:p w14:paraId="4FCAB124" w14:textId="77777777" w:rsidR="008C34A2" w:rsidRPr="00781112" w:rsidRDefault="008C34A2" w:rsidP="00357C0D">
            <w:pPr>
              <w:spacing w:after="0"/>
              <w:jc w:val="center"/>
              <w:rPr>
                <w:rFonts w:cs="Arial"/>
                <w:color w:val="000000" w:themeColor="text1"/>
                <w:szCs w:val="16"/>
              </w:rPr>
            </w:pPr>
            <w:r w:rsidRPr="00781112">
              <w:rPr>
                <w:rFonts w:cs="Arial"/>
                <w:color w:val="000000" w:themeColor="text1"/>
                <w:szCs w:val="16"/>
              </w:rPr>
              <w:t>6.27%</w:t>
            </w:r>
          </w:p>
        </w:tc>
      </w:tr>
    </w:tbl>
    <w:p w14:paraId="47A40AAD" w14:textId="088A53BD" w:rsidR="0059735F" w:rsidRPr="00781112" w:rsidRDefault="0059735F" w:rsidP="00815ACE">
      <w:pPr>
        <w:pStyle w:val="Caption"/>
        <w:rPr>
          <w:color w:val="000000" w:themeColor="text1"/>
        </w:rPr>
      </w:pPr>
      <w:bookmarkStart w:id="38" w:name="_Hlk121843222"/>
      <w:r w:rsidRPr="00781112">
        <w:t>Inclusive Targets – 6A, 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parts A and B of this indicator."/>
      </w:tblPr>
      <w:tblGrid>
        <w:gridCol w:w="1704"/>
        <w:gridCol w:w="1515"/>
        <w:gridCol w:w="1515"/>
        <w:gridCol w:w="1515"/>
        <w:gridCol w:w="1515"/>
        <w:gridCol w:w="1515"/>
        <w:gridCol w:w="1511"/>
      </w:tblGrid>
      <w:tr w:rsidR="00D62058" w:rsidRPr="00781112" w14:paraId="502A05CF" w14:textId="31F34C5E" w:rsidTr="00357C0D">
        <w:trPr>
          <w:trHeight w:val="432"/>
        </w:trPr>
        <w:tc>
          <w:tcPr>
            <w:tcW w:w="790" w:type="pct"/>
            <w:tcBorders>
              <w:bottom w:val="single" w:sz="4" w:space="0" w:color="auto"/>
            </w:tcBorders>
            <w:shd w:val="clear" w:color="auto" w:fill="D9D9D9" w:themeFill="background1" w:themeFillShade="D9"/>
            <w:vAlign w:val="center"/>
          </w:tcPr>
          <w:bookmarkEnd w:id="38"/>
          <w:p w14:paraId="24938C30" w14:textId="77777777" w:rsidR="00D62058" w:rsidRPr="00781112" w:rsidRDefault="00D62058" w:rsidP="00357C0D">
            <w:pPr>
              <w:spacing w:after="0"/>
              <w:jc w:val="center"/>
              <w:rPr>
                <w:b/>
                <w:color w:val="000000" w:themeColor="text1"/>
              </w:rPr>
            </w:pPr>
            <w:r w:rsidRPr="00781112">
              <w:rPr>
                <w:b/>
                <w:color w:val="000000" w:themeColor="text1"/>
              </w:rPr>
              <w:t>FFY</w:t>
            </w:r>
          </w:p>
        </w:tc>
        <w:tc>
          <w:tcPr>
            <w:tcW w:w="702" w:type="pct"/>
            <w:shd w:val="clear" w:color="auto" w:fill="D9D9D9" w:themeFill="background1" w:themeFillShade="D9"/>
            <w:vAlign w:val="center"/>
          </w:tcPr>
          <w:p w14:paraId="4B75D90A" w14:textId="04FBCB48" w:rsidR="00D62058" w:rsidRPr="00781112" w:rsidRDefault="00D62058" w:rsidP="00357C0D">
            <w:pPr>
              <w:spacing w:after="0"/>
              <w:jc w:val="center"/>
              <w:rPr>
                <w:b/>
                <w:color w:val="000000" w:themeColor="text1"/>
              </w:rPr>
            </w:pPr>
            <w:r w:rsidRPr="00781112">
              <w:rPr>
                <w:b/>
                <w:color w:val="000000" w:themeColor="text1"/>
              </w:rPr>
              <w:t>2020</w:t>
            </w:r>
          </w:p>
        </w:tc>
        <w:tc>
          <w:tcPr>
            <w:tcW w:w="702" w:type="pct"/>
            <w:shd w:val="clear" w:color="auto" w:fill="D9D9D9" w:themeFill="background1" w:themeFillShade="D9"/>
            <w:vAlign w:val="center"/>
          </w:tcPr>
          <w:p w14:paraId="5DC58FF5" w14:textId="7CBB0832" w:rsidR="00D62058" w:rsidRPr="00781112" w:rsidRDefault="00D62058" w:rsidP="00357C0D">
            <w:pPr>
              <w:spacing w:after="0"/>
              <w:jc w:val="center"/>
              <w:rPr>
                <w:b/>
                <w:color w:val="000000" w:themeColor="text1"/>
              </w:rPr>
            </w:pPr>
            <w:r w:rsidRPr="00781112">
              <w:rPr>
                <w:b/>
                <w:color w:val="000000" w:themeColor="text1"/>
              </w:rPr>
              <w:t>2021</w:t>
            </w:r>
          </w:p>
        </w:tc>
        <w:tc>
          <w:tcPr>
            <w:tcW w:w="702" w:type="pct"/>
            <w:shd w:val="clear" w:color="auto" w:fill="D9D9D9" w:themeFill="background1" w:themeFillShade="D9"/>
            <w:vAlign w:val="center"/>
          </w:tcPr>
          <w:p w14:paraId="7F3093B9" w14:textId="2E366C4A" w:rsidR="00D62058" w:rsidRPr="00781112" w:rsidRDefault="00D62058" w:rsidP="00357C0D">
            <w:pPr>
              <w:spacing w:after="0"/>
              <w:jc w:val="center"/>
              <w:rPr>
                <w:b/>
                <w:color w:val="000000" w:themeColor="text1"/>
              </w:rPr>
            </w:pPr>
            <w:r w:rsidRPr="00781112">
              <w:rPr>
                <w:b/>
                <w:color w:val="000000" w:themeColor="text1"/>
              </w:rPr>
              <w:t>2022</w:t>
            </w:r>
          </w:p>
        </w:tc>
        <w:tc>
          <w:tcPr>
            <w:tcW w:w="702" w:type="pct"/>
            <w:shd w:val="clear" w:color="auto" w:fill="D9D9D9" w:themeFill="background1" w:themeFillShade="D9"/>
            <w:vAlign w:val="center"/>
          </w:tcPr>
          <w:p w14:paraId="05A02BBA" w14:textId="78E50BC0" w:rsidR="00D62058" w:rsidRPr="00781112" w:rsidRDefault="00D62058" w:rsidP="00357C0D">
            <w:pPr>
              <w:spacing w:after="0"/>
              <w:jc w:val="center"/>
              <w:rPr>
                <w:b/>
                <w:color w:val="000000" w:themeColor="text1"/>
              </w:rPr>
            </w:pPr>
            <w:r w:rsidRPr="00781112">
              <w:rPr>
                <w:b/>
                <w:color w:val="000000" w:themeColor="text1"/>
              </w:rPr>
              <w:t>2023</w:t>
            </w:r>
          </w:p>
        </w:tc>
        <w:tc>
          <w:tcPr>
            <w:tcW w:w="702" w:type="pct"/>
            <w:shd w:val="clear" w:color="auto" w:fill="D9D9D9" w:themeFill="background1" w:themeFillShade="D9"/>
            <w:vAlign w:val="center"/>
          </w:tcPr>
          <w:p w14:paraId="6CBA3A70" w14:textId="0600BFC9" w:rsidR="00D62058" w:rsidRPr="00781112" w:rsidRDefault="00D62058" w:rsidP="00357C0D">
            <w:pPr>
              <w:spacing w:after="0"/>
              <w:jc w:val="center"/>
              <w:rPr>
                <w:b/>
                <w:color w:val="000000" w:themeColor="text1"/>
              </w:rPr>
            </w:pPr>
            <w:r w:rsidRPr="00781112">
              <w:rPr>
                <w:b/>
                <w:color w:val="000000" w:themeColor="text1"/>
              </w:rPr>
              <w:t>2024</w:t>
            </w:r>
          </w:p>
        </w:tc>
        <w:tc>
          <w:tcPr>
            <w:tcW w:w="702" w:type="pct"/>
            <w:shd w:val="clear" w:color="auto" w:fill="D9D9D9" w:themeFill="background1" w:themeFillShade="D9"/>
            <w:vAlign w:val="center"/>
          </w:tcPr>
          <w:p w14:paraId="3F60B98C" w14:textId="65CA3F62" w:rsidR="00D62058" w:rsidRPr="00781112" w:rsidRDefault="00D62058" w:rsidP="00357C0D">
            <w:pPr>
              <w:spacing w:after="0"/>
              <w:jc w:val="center"/>
              <w:rPr>
                <w:b/>
                <w:color w:val="000000" w:themeColor="text1"/>
              </w:rPr>
            </w:pPr>
            <w:r w:rsidRPr="00781112">
              <w:rPr>
                <w:b/>
                <w:color w:val="000000" w:themeColor="text1"/>
              </w:rPr>
              <w:t>2025</w:t>
            </w:r>
          </w:p>
        </w:tc>
      </w:tr>
      <w:tr w:rsidR="00D62058" w:rsidRPr="00781112" w14:paraId="19DCE246" w14:textId="1AEE89BD" w:rsidTr="00357C0D">
        <w:trPr>
          <w:trHeight w:val="432"/>
        </w:trPr>
        <w:tc>
          <w:tcPr>
            <w:tcW w:w="790" w:type="pct"/>
            <w:shd w:val="clear" w:color="auto" w:fill="auto"/>
            <w:vAlign w:val="center"/>
          </w:tcPr>
          <w:p w14:paraId="772DAD56" w14:textId="1540F97B" w:rsidR="00D62058" w:rsidRPr="00781112" w:rsidRDefault="00D62058" w:rsidP="00357C0D">
            <w:pPr>
              <w:spacing w:after="0"/>
              <w:rPr>
                <w:rFonts w:cs="Arial"/>
                <w:color w:val="000000" w:themeColor="text1"/>
                <w:szCs w:val="16"/>
              </w:rPr>
            </w:pPr>
            <w:r w:rsidRPr="00781112">
              <w:rPr>
                <w:rFonts w:cs="Arial"/>
                <w:color w:val="000000" w:themeColor="text1"/>
                <w:szCs w:val="16"/>
              </w:rPr>
              <w:t>Target A &gt;=</w:t>
            </w:r>
          </w:p>
        </w:tc>
        <w:tc>
          <w:tcPr>
            <w:tcW w:w="702" w:type="pct"/>
            <w:shd w:val="clear" w:color="auto" w:fill="auto"/>
            <w:vAlign w:val="center"/>
          </w:tcPr>
          <w:p w14:paraId="2E5FC5F6" w14:textId="4C6B8E64"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24.65%</w:t>
            </w:r>
          </w:p>
        </w:tc>
        <w:tc>
          <w:tcPr>
            <w:tcW w:w="702" w:type="pct"/>
            <w:vAlign w:val="center"/>
          </w:tcPr>
          <w:p w14:paraId="4C26EA28" w14:textId="691A218F"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24.90%</w:t>
            </w:r>
          </w:p>
        </w:tc>
        <w:tc>
          <w:tcPr>
            <w:tcW w:w="702" w:type="pct"/>
            <w:vAlign w:val="center"/>
          </w:tcPr>
          <w:p w14:paraId="0BF1D9D9" w14:textId="482D9F05"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25.15%</w:t>
            </w:r>
          </w:p>
        </w:tc>
        <w:tc>
          <w:tcPr>
            <w:tcW w:w="702" w:type="pct"/>
            <w:vAlign w:val="center"/>
          </w:tcPr>
          <w:p w14:paraId="583F2116" w14:textId="7106D36C"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25.40%</w:t>
            </w:r>
          </w:p>
        </w:tc>
        <w:tc>
          <w:tcPr>
            <w:tcW w:w="702" w:type="pct"/>
            <w:vAlign w:val="center"/>
          </w:tcPr>
          <w:p w14:paraId="08E53F3C" w14:textId="7CD4AF73"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25.65%</w:t>
            </w:r>
          </w:p>
        </w:tc>
        <w:tc>
          <w:tcPr>
            <w:tcW w:w="702" w:type="pct"/>
            <w:vAlign w:val="center"/>
          </w:tcPr>
          <w:p w14:paraId="5DB78609" w14:textId="0CCC9197"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25.90%</w:t>
            </w:r>
          </w:p>
        </w:tc>
      </w:tr>
      <w:tr w:rsidR="00D62058" w:rsidRPr="00781112" w14:paraId="3AA5E8F7" w14:textId="085D0F95" w:rsidTr="00357C0D">
        <w:trPr>
          <w:trHeight w:val="432"/>
        </w:trPr>
        <w:tc>
          <w:tcPr>
            <w:tcW w:w="790" w:type="pct"/>
            <w:shd w:val="clear" w:color="auto" w:fill="auto"/>
            <w:vAlign w:val="center"/>
          </w:tcPr>
          <w:p w14:paraId="49E152B3" w14:textId="4DC08CD2" w:rsidR="00D62058" w:rsidRPr="00781112" w:rsidRDefault="00D62058" w:rsidP="00357C0D">
            <w:pPr>
              <w:spacing w:after="0"/>
              <w:rPr>
                <w:rFonts w:cs="Arial"/>
                <w:color w:val="000000" w:themeColor="text1"/>
                <w:szCs w:val="16"/>
              </w:rPr>
            </w:pPr>
            <w:r w:rsidRPr="00781112">
              <w:rPr>
                <w:rFonts w:cs="Arial"/>
                <w:color w:val="000000" w:themeColor="text1"/>
                <w:szCs w:val="16"/>
              </w:rPr>
              <w:t>Target B &lt;=</w:t>
            </w:r>
          </w:p>
        </w:tc>
        <w:tc>
          <w:tcPr>
            <w:tcW w:w="702" w:type="pct"/>
            <w:shd w:val="clear" w:color="auto" w:fill="auto"/>
            <w:vAlign w:val="center"/>
          </w:tcPr>
          <w:p w14:paraId="642E6A80" w14:textId="7A6AF652"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38.85%</w:t>
            </w:r>
          </w:p>
        </w:tc>
        <w:tc>
          <w:tcPr>
            <w:tcW w:w="702" w:type="pct"/>
            <w:vAlign w:val="center"/>
          </w:tcPr>
          <w:p w14:paraId="752B6B9E" w14:textId="3979D870"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38.60%</w:t>
            </w:r>
          </w:p>
        </w:tc>
        <w:tc>
          <w:tcPr>
            <w:tcW w:w="702" w:type="pct"/>
            <w:vAlign w:val="center"/>
          </w:tcPr>
          <w:p w14:paraId="1DCC77D9" w14:textId="4B30FDBE"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38.35%</w:t>
            </w:r>
          </w:p>
        </w:tc>
        <w:tc>
          <w:tcPr>
            <w:tcW w:w="702" w:type="pct"/>
            <w:vAlign w:val="center"/>
          </w:tcPr>
          <w:p w14:paraId="481E8597" w14:textId="10A83577"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38.10%</w:t>
            </w:r>
          </w:p>
        </w:tc>
        <w:tc>
          <w:tcPr>
            <w:tcW w:w="702" w:type="pct"/>
            <w:vAlign w:val="center"/>
          </w:tcPr>
          <w:p w14:paraId="55F7CFD1" w14:textId="49CA8BA3"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37.85%</w:t>
            </w:r>
          </w:p>
        </w:tc>
        <w:tc>
          <w:tcPr>
            <w:tcW w:w="702" w:type="pct"/>
            <w:vAlign w:val="center"/>
          </w:tcPr>
          <w:p w14:paraId="1EEC563A" w14:textId="2B8532E2" w:rsidR="00D62058" w:rsidRPr="00781112" w:rsidRDefault="00D62058" w:rsidP="00357C0D">
            <w:pPr>
              <w:spacing w:after="0"/>
              <w:jc w:val="center"/>
              <w:rPr>
                <w:rFonts w:cs="Arial"/>
                <w:color w:val="000000" w:themeColor="text1"/>
                <w:szCs w:val="16"/>
              </w:rPr>
            </w:pPr>
            <w:r w:rsidRPr="00781112">
              <w:rPr>
                <w:rFonts w:cs="Arial"/>
                <w:color w:val="000000" w:themeColor="text1"/>
                <w:szCs w:val="16"/>
              </w:rPr>
              <w:t>37.60%</w:t>
            </w:r>
          </w:p>
        </w:tc>
      </w:tr>
    </w:tbl>
    <w:p w14:paraId="38AC4E98" w14:textId="77777777" w:rsidR="0040181B" w:rsidRPr="00781112" w:rsidRDefault="0040181B" w:rsidP="00815ACE">
      <w:pPr>
        <w:pStyle w:val="Caption"/>
        <w:rPr>
          <w:color w:val="000000" w:themeColor="text1"/>
        </w:rPr>
      </w:pPr>
      <w:bookmarkStart w:id="39" w:name="_Hlk121843239"/>
      <w:bookmarkStart w:id="40" w:name="_Toc382082378"/>
      <w:bookmarkStart w:id="41" w:name="_Toc392159302"/>
      <w:r w:rsidRPr="00781112">
        <w:t>Inclusive Targets – 6C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part C of this indicator."/>
      </w:tblPr>
      <w:tblGrid>
        <w:gridCol w:w="1704"/>
        <w:gridCol w:w="1515"/>
        <w:gridCol w:w="1515"/>
        <w:gridCol w:w="1515"/>
        <w:gridCol w:w="1515"/>
        <w:gridCol w:w="1515"/>
        <w:gridCol w:w="1511"/>
      </w:tblGrid>
      <w:tr w:rsidR="0040181B" w:rsidRPr="00781112" w14:paraId="6B43903F" w14:textId="77777777" w:rsidTr="00357C0D">
        <w:trPr>
          <w:trHeight w:val="432"/>
        </w:trPr>
        <w:tc>
          <w:tcPr>
            <w:tcW w:w="790" w:type="pct"/>
            <w:tcBorders>
              <w:bottom w:val="single" w:sz="4" w:space="0" w:color="auto"/>
            </w:tcBorders>
            <w:shd w:val="clear" w:color="auto" w:fill="D9D9D9" w:themeFill="background1" w:themeFillShade="D9"/>
            <w:vAlign w:val="center"/>
          </w:tcPr>
          <w:bookmarkEnd w:id="39"/>
          <w:p w14:paraId="454FDD0F" w14:textId="77777777" w:rsidR="0040181B" w:rsidRPr="00781112" w:rsidRDefault="0040181B" w:rsidP="00357C0D">
            <w:pPr>
              <w:spacing w:after="0"/>
              <w:jc w:val="center"/>
              <w:rPr>
                <w:b/>
                <w:color w:val="000000" w:themeColor="text1"/>
              </w:rPr>
            </w:pPr>
            <w:r w:rsidRPr="00781112">
              <w:rPr>
                <w:b/>
                <w:color w:val="000000" w:themeColor="text1"/>
              </w:rPr>
              <w:t>FFY</w:t>
            </w:r>
          </w:p>
        </w:tc>
        <w:tc>
          <w:tcPr>
            <w:tcW w:w="702" w:type="pct"/>
            <w:shd w:val="clear" w:color="auto" w:fill="D9D9D9" w:themeFill="background1" w:themeFillShade="D9"/>
            <w:vAlign w:val="center"/>
          </w:tcPr>
          <w:p w14:paraId="23E06477" w14:textId="77777777" w:rsidR="0040181B" w:rsidRPr="00781112" w:rsidRDefault="0040181B" w:rsidP="00357C0D">
            <w:pPr>
              <w:spacing w:after="0"/>
              <w:jc w:val="center"/>
              <w:rPr>
                <w:b/>
                <w:color w:val="000000" w:themeColor="text1"/>
              </w:rPr>
            </w:pPr>
            <w:r w:rsidRPr="00781112">
              <w:rPr>
                <w:b/>
                <w:color w:val="000000" w:themeColor="text1"/>
              </w:rPr>
              <w:t>2020</w:t>
            </w:r>
          </w:p>
        </w:tc>
        <w:tc>
          <w:tcPr>
            <w:tcW w:w="702" w:type="pct"/>
            <w:shd w:val="clear" w:color="auto" w:fill="D9D9D9" w:themeFill="background1" w:themeFillShade="D9"/>
            <w:vAlign w:val="center"/>
          </w:tcPr>
          <w:p w14:paraId="727ADECD" w14:textId="77777777" w:rsidR="0040181B" w:rsidRPr="00781112" w:rsidRDefault="0040181B" w:rsidP="00357C0D">
            <w:pPr>
              <w:spacing w:after="0"/>
              <w:jc w:val="center"/>
              <w:rPr>
                <w:b/>
                <w:color w:val="000000" w:themeColor="text1"/>
              </w:rPr>
            </w:pPr>
            <w:r w:rsidRPr="00781112">
              <w:rPr>
                <w:b/>
                <w:color w:val="000000" w:themeColor="text1"/>
              </w:rPr>
              <w:t>2021</w:t>
            </w:r>
          </w:p>
        </w:tc>
        <w:tc>
          <w:tcPr>
            <w:tcW w:w="702" w:type="pct"/>
            <w:shd w:val="clear" w:color="auto" w:fill="D9D9D9" w:themeFill="background1" w:themeFillShade="D9"/>
            <w:vAlign w:val="center"/>
          </w:tcPr>
          <w:p w14:paraId="6EC259CD" w14:textId="77777777" w:rsidR="0040181B" w:rsidRPr="00781112" w:rsidRDefault="0040181B" w:rsidP="00357C0D">
            <w:pPr>
              <w:spacing w:after="0"/>
              <w:jc w:val="center"/>
              <w:rPr>
                <w:b/>
                <w:color w:val="000000" w:themeColor="text1"/>
              </w:rPr>
            </w:pPr>
            <w:r w:rsidRPr="00781112">
              <w:rPr>
                <w:b/>
                <w:color w:val="000000" w:themeColor="text1"/>
              </w:rPr>
              <w:t>2022</w:t>
            </w:r>
          </w:p>
        </w:tc>
        <w:tc>
          <w:tcPr>
            <w:tcW w:w="702" w:type="pct"/>
            <w:shd w:val="clear" w:color="auto" w:fill="D9D9D9" w:themeFill="background1" w:themeFillShade="D9"/>
            <w:vAlign w:val="center"/>
          </w:tcPr>
          <w:p w14:paraId="30FC0D14" w14:textId="77777777" w:rsidR="0040181B" w:rsidRPr="00781112" w:rsidRDefault="0040181B" w:rsidP="00357C0D">
            <w:pPr>
              <w:spacing w:after="0"/>
              <w:jc w:val="center"/>
              <w:rPr>
                <w:b/>
                <w:color w:val="000000" w:themeColor="text1"/>
              </w:rPr>
            </w:pPr>
            <w:r w:rsidRPr="00781112">
              <w:rPr>
                <w:b/>
                <w:color w:val="000000" w:themeColor="text1"/>
              </w:rPr>
              <w:t>2023</w:t>
            </w:r>
          </w:p>
        </w:tc>
        <w:tc>
          <w:tcPr>
            <w:tcW w:w="702" w:type="pct"/>
            <w:shd w:val="clear" w:color="auto" w:fill="D9D9D9" w:themeFill="background1" w:themeFillShade="D9"/>
            <w:vAlign w:val="center"/>
          </w:tcPr>
          <w:p w14:paraId="508E78A1" w14:textId="77777777" w:rsidR="0040181B" w:rsidRPr="00781112" w:rsidRDefault="0040181B" w:rsidP="00357C0D">
            <w:pPr>
              <w:spacing w:after="0"/>
              <w:jc w:val="center"/>
              <w:rPr>
                <w:b/>
                <w:color w:val="000000" w:themeColor="text1"/>
              </w:rPr>
            </w:pPr>
            <w:r w:rsidRPr="00781112">
              <w:rPr>
                <w:b/>
                <w:color w:val="000000" w:themeColor="text1"/>
              </w:rPr>
              <w:t>2024</w:t>
            </w:r>
          </w:p>
        </w:tc>
        <w:tc>
          <w:tcPr>
            <w:tcW w:w="702" w:type="pct"/>
            <w:shd w:val="clear" w:color="auto" w:fill="D9D9D9" w:themeFill="background1" w:themeFillShade="D9"/>
            <w:vAlign w:val="center"/>
          </w:tcPr>
          <w:p w14:paraId="04B69375" w14:textId="77777777" w:rsidR="0040181B" w:rsidRPr="00781112" w:rsidRDefault="0040181B" w:rsidP="00357C0D">
            <w:pPr>
              <w:spacing w:after="0"/>
              <w:jc w:val="center"/>
              <w:rPr>
                <w:b/>
                <w:color w:val="000000" w:themeColor="text1"/>
              </w:rPr>
            </w:pPr>
            <w:r w:rsidRPr="00781112">
              <w:rPr>
                <w:b/>
                <w:color w:val="000000" w:themeColor="text1"/>
              </w:rPr>
              <w:t>2025</w:t>
            </w:r>
          </w:p>
        </w:tc>
      </w:tr>
      <w:tr w:rsidR="0040181B" w:rsidRPr="00781112" w14:paraId="38A2A2D3" w14:textId="77777777" w:rsidTr="00357C0D">
        <w:trPr>
          <w:trHeight w:val="432"/>
        </w:trPr>
        <w:tc>
          <w:tcPr>
            <w:tcW w:w="790" w:type="pct"/>
            <w:shd w:val="clear" w:color="auto" w:fill="auto"/>
            <w:vAlign w:val="center"/>
          </w:tcPr>
          <w:p w14:paraId="1A01A931" w14:textId="77777777" w:rsidR="0040181B" w:rsidRPr="00781112" w:rsidRDefault="0040181B" w:rsidP="00357C0D">
            <w:pPr>
              <w:spacing w:after="0"/>
              <w:rPr>
                <w:rFonts w:cs="Arial"/>
                <w:color w:val="000000" w:themeColor="text1"/>
                <w:szCs w:val="16"/>
              </w:rPr>
            </w:pPr>
            <w:r w:rsidRPr="00781112">
              <w:rPr>
                <w:rFonts w:cs="Arial"/>
                <w:color w:val="000000" w:themeColor="text1"/>
                <w:szCs w:val="16"/>
              </w:rPr>
              <w:t>Target C &lt;=</w:t>
            </w:r>
          </w:p>
        </w:tc>
        <w:tc>
          <w:tcPr>
            <w:tcW w:w="702" w:type="pct"/>
            <w:shd w:val="clear" w:color="auto" w:fill="auto"/>
            <w:vAlign w:val="center"/>
          </w:tcPr>
          <w:p w14:paraId="4CC46A48" w14:textId="77777777" w:rsidR="0040181B" w:rsidRPr="00781112" w:rsidRDefault="0040181B" w:rsidP="00357C0D">
            <w:pPr>
              <w:spacing w:after="0"/>
              <w:jc w:val="center"/>
              <w:rPr>
                <w:rFonts w:cs="Arial"/>
                <w:color w:val="000000" w:themeColor="text1"/>
                <w:szCs w:val="16"/>
              </w:rPr>
            </w:pPr>
            <w:r w:rsidRPr="00781112">
              <w:rPr>
                <w:rFonts w:cs="Arial"/>
                <w:color w:val="000000" w:themeColor="text1"/>
                <w:szCs w:val="16"/>
              </w:rPr>
              <w:t>6.27%</w:t>
            </w:r>
          </w:p>
        </w:tc>
        <w:tc>
          <w:tcPr>
            <w:tcW w:w="702" w:type="pct"/>
            <w:vAlign w:val="center"/>
          </w:tcPr>
          <w:p w14:paraId="262E2FD0" w14:textId="77777777" w:rsidR="0040181B" w:rsidRPr="00781112" w:rsidRDefault="0040181B" w:rsidP="00357C0D">
            <w:pPr>
              <w:spacing w:after="0"/>
              <w:jc w:val="center"/>
              <w:rPr>
                <w:rFonts w:cs="Arial"/>
                <w:color w:val="000000" w:themeColor="text1"/>
                <w:szCs w:val="16"/>
              </w:rPr>
            </w:pPr>
            <w:r w:rsidRPr="00781112">
              <w:rPr>
                <w:rFonts w:cs="Arial"/>
                <w:color w:val="000000" w:themeColor="text1"/>
                <w:szCs w:val="16"/>
              </w:rPr>
              <w:t>6.00%</w:t>
            </w:r>
          </w:p>
        </w:tc>
        <w:tc>
          <w:tcPr>
            <w:tcW w:w="702" w:type="pct"/>
            <w:vAlign w:val="center"/>
          </w:tcPr>
          <w:p w14:paraId="54ED085E" w14:textId="77777777" w:rsidR="0040181B" w:rsidRPr="00781112" w:rsidRDefault="0040181B" w:rsidP="00357C0D">
            <w:pPr>
              <w:spacing w:after="0"/>
              <w:jc w:val="center"/>
              <w:rPr>
                <w:rFonts w:cs="Arial"/>
                <w:color w:val="000000" w:themeColor="text1"/>
                <w:szCs w:val="16"/>
              </w:rPr>
            </w:pPr>
            <w:r w:rsidRPr="00781112">
              <w:rPr>
                <w:rFonts w:cs="Arial"/>
                <w:color w:val="000000" w:themeColor="text1"/>
                <w:szCs w:val="16"/>
              </w:rPr>
              <w:t>5.75%</w:t>
            </w:r>
          </w:p>
        </w:tc>
        <w:tc>
          <w:tcPr>
            <w:tcW w:w="702" w:type="pct"/>
            <w:vAlign w:val="center"/>
          </w:tcPr>
          <w:p w14:paraId="2466D4C4" w14:textId="77777777" w:rsidR="0040181B" w:rsidRPr="00781112" w:rsidRDefault="0040181B" w:rsidP="00357C0D">
            <w:pPr>
              <w:spacing w:after="0"/>
              <w:jc w:val="center"/>
              <w:rPr>
                <w:rFonts w:cs="Arial"/>
                <w:color w:val="000000" w:themeColor="text1"/>
                <w:szCs w:val="16"/>
              </w:rPr>
            </w:pPr>
            <w:r w:rsidRPr="00781112">
              <w:rPr>
                <w:rFonts w:cs="Arial"/>
                <w:color w:val="000000" w:themeColor="text1"/>
                <w:szCs w:val="16"/>
              </w:rPr>
              <w:t>5.50%</w:t>
            </w:r>
          </w:p>
        </w:tc>
        <w:tc>
          <w:tcPr>
            <w:tcW w:w="702" w:type="pct"/>
            <w:vAlign w:val="center"/>
          </w:tcPr>
          <w:p w14:paraId="17FD3C25" w14:textId="77777777" w:rsidR="0040181B" w:rsidRPr="00781112" w:rsidRDefault="0040181B" w:rsidP="00357C0D">
            <w:pPr>
              <w:spacing w:after="0"/>
              <w:jc w:val="center"/>
              <w:rPr>
                <w:rFonts w:cs="Arial"/>
                <w:color w:val="000000" w:themeColor="text1"/>
                <w:szCs w:val="16"/>
              </w:rPr>
            </w:pPr>
            <w:r w:rsidRPr="00781112">
              <w:rPr>
                <w:rFonts w:cs="Arial"/>
                <w:color w:val="000000" w:themeColor="text1"/>
                <w:szCs w:val="16"/>
              </w:rPr>
              <w:t>5.25%</w:t>
            </w:r>
          </w:p>
        </w:tc>
        <w:tc>
          <w:tcPr>
            <w:tcW w:w="702" w:type="pct"/>
            <w:vAlign w:val="center"/>
          </w:tcPr>
          <w:p w14:paraId="68F92238" w14:textId="77777777" w:rsidR="0040181B" w:rsidRPr="00781112" w:rsidRDefault="0040181B" w:rsidP="00357C0D">
            <w:pPr>
              <w:spacing w:after="0"/>
              <w:jc w:val="center"/>
              <w:rPr>
                <w:rFonts w:cs="Arial"/>
                <w:color w:val="000000" w:themeColor="text1"/>
                <w:szCs w:val="16"/>
              </w:rPr>
            </w:pPr>
            <w:r w:rsidRPr="00781112">
              <w:rPr>
                <w:rFonts w:cs="Arial"/>
                <w:color w:val="000000" w:themeColor="text1"/>
                <w:szCs w:val="16"/>
              </w:rPr>
              <w:t>5.00%</w:t>
            </w:r>
          </w:p>
        </w:tc>
      </w:tr>
    </w:tbl>
    <w:p w14:paraId="50508AD8" w14:textId="0C71BBD3" w:rsidR="008751D3" w:rsidRPr="00781112" w:rsidRDefault="008751D3" w:rsidP="00447D0B">
      <w:pPr>
        <w:pStyle w:val="Heading4"/>
      </w:pPr>
      <w:r w:rsidRPr="00781112">
        <w:t>Prepopulated Data</w:t>
      </w:r>
    </w:p>
    <w:p w14:paraId="4FE8FE34" w14:textId="7BAD8C9E" w:rsidR="004F4564" w:rsidRPr="00781112" w:rsidRDefault="004F4564" w:rsidP="00A22EB9">
      <w:pPr>
        <w:rPr>
          <w:rFonts w:cs="Arial"/>
          <w:b/>
          <w:color w:val="000000" w:themeColor="text1"/>
          <w:szCs w:val="16"/>
        </w:rPr>
      </w:pPr>
      <w:r w:rsidRPr="00781112">
        <w:rPr>
          <w:rFonts w:cs="Arial"/>
          <w:b/>
          <w:color w:val="000000" w:themeColor="text1"/>
          <w:szCs w:val="16"/>
        </w:rPr>
        <w:t>Data Source:</w:t>
      </w:r>
    </w:p>
    <w:p w14:paraId="386CE8B6" w14:textId="365EFD16" w:rsidR="004F4564" w:rsidRPr="00D4769B" w:rsidRDefault="004F4564" w:rsidP="00314F94">
      <w:pPr>
        <w:pStyle w:val="ListParagraph"/>
        <w:numPr>
          <w:ilvl w:val="0"/>
          <w:numId w:val="155"/>
        </w:numPr>
        <w:rPr>
          <w:rFonts w:cs="Arial"/>
          <w:color w:val="000000" w:themeColor="text1"/>
          <w:szCs w:val="16"/>
        </w:rPr>
      </w:pPr>
      <w:r w:rsidRPr="00D4769B">
        <w:rPr>
          <w:rFonts w:cs="Arial"/>
          <w:color w:val="000000" w:themeColor="text1"/>
          <w:szCs w:val="16"/>
        </w:rPr>
        <w:t>SY 2020-21 Child Count/Educational Environment Data Groups (</w:t>
      </w:r>
      <w:proofErr w:type="spellStart"/>
      <w:r w:rsidRPr="00D4769B">
        <w:rPr>
          <w:rFonts w:cs="Arial"/>
          <w:color w:val="000000" w:themeColor="text1"/>
          <w:szCs w:val="16"/>
        </w:rPr>
        <w:t>EDFacts</w:t>
      </w:r>
      <w:proofErr w:type="spellEnd"/>
      <w:r w:rsidRPr="00D4769B">
        <w:rPr>
          <w:rFonts w:cs="Arial"/>
          <w:color w:val="000000" w:themeColor="text1"/>
          <w:szCs w:val="16"/>
        </w:rPr>
        <w:t xml:space="preserve"> file spec FS089; Data group 613)</w:t>
      </w:r>
    </w:p>
    <w:p w14:paraId="17DDD681" w14:textId="77777777" w:rsidR="00AB2B54" w:rsidRDefault="004F4564" w:rsidP="00AB2B54">
      <w:pPr>
        <w:rPr>
          <w:rFonts w:cs="Arial"/>
          <w:b/>
          <w:color w:val="000000" w:themeColor="text1"/>
          <w:szCs w:val="16"/>
        </w:rPr>
      </w:pPr>
      <w:r w:rsidRPr="004C1EC0">
        <w:rPr>
          <w:rFonts w:cs="Arial"/>
          <w:b/>
          <w:color w:val="000000" w:themeColor="text1"/>
          <w:szCs w:val="16"/>
        </w:rPr>
        <w:t>Date:</w:t>
      </w:r>
    </w:p>
    <w:p w14:paraId="45BE4F43" w14:textId="14979FE5" w:rsidR="00E37876" w:rsidRPr="00D4769B" w:rsidRDefault="004F4564" w:rsidP="00314F94">
      <w:pPr>
        <w:pStyle w:val="ListParagraph"/>
        <w:numPr>
          <w:ilvl w:val="0"/>
          <w:numId w:val="156"/>
        </w:numPr>
        <w:rPr>
          <w:rFonts w:cs="Arial"/>
          <w:b/>
          <w:color w:val="000000" w:themeColor="text1"/>
          <w:szCs w:val="16"/>
        </w:rPr>
      </w:pPr>
      <w:r w:rsidRPr="00AB2B54">
        <w:t>07</w:t>
      </w:r>
      <w:r w:rsidRPr="00016817">
        <w:t>/07/2021</w:t>
      </w:r>
      <w:r w:rsidR="00E37876" w:rsidRPr="00D4769B">
        <w:rPr>
          <w:b/>
          <w:bCs/>
          <w:highlight w:val="yellow"/>
        </w:rPr>
        <w:br w:type="page"/>
      </w:r>
    </w:p>
    <w:p w14:paraId="023F428E" w14:textId="04108C5D" w:rsidR="004F4564" w:rsidRPr="00357C0D" w:rsidRDefault="00572E2A" w:rsidP="00815ACE">
      <w:pPr>
        <w:pStyle w:val="Caption"/>
      </w:pPr>
      <w:bookmarkStart w:id="42" w:name="_Hlk121843289"/>
      <w:r>
        <w:lastRenderedPageBreak/>
        <w:t>Indicator 6: Preschool Environments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Description w:val="Table provides indicator descriptions and number of students in each for grades 3, 4, and 5; and cumulative total for grades 3-5."/>
      </w:tblPr>
      <w:tblGrid>
        <w:gridCol w:w="3348"/>
        <w:gridCol w:w="1862"/>
        <w:gridCol w:w="1862"/>
        <w:gridCol w:w="1862"/>
        <w:gridCol w:w="1856"/>
      </w:tblGrid>
      <w:tr w:rsidR="00E25159" w:rsidRPr="00781112" w14:paraId="08E6335C" w14:textId="3E29B965" w:rsidTr="00E37876">
        <w:trPr>
          <w:cantSplit/>
          <w:tblHeader/>
        </w:trPr>
        <w:tc>
          <w:tcPr>
            <w:tcW w:w="1551" w:type="pct"/>
            <w:shd w:val="clear" w:color="auto" w:fill="D9D9D9" w:themeFill="background1" w:themeFillShade="D9"/>
            <w:vAlign w:val="center"/>
          </w:tcPr>
          <w:bookmarkEnd w:id="42"/>
          <w:p w14:paraId="47ECA16E" w14:textId="77777777" w:rsidR="00E25159" w:rsidRPr="00781112" w:rsidRDefault="00E25159" w:rsidP="00BB6AC4">
            <w:pPr>
              <w:spacing w:after="0"/>
              <w:jc w:val="center"/>
              <w:rPr>
                <w:rFonts w:cs="Arial"/>
                <w:b/>
                <w:color w:val="000000" w:themeColor="text1"/>
                <w:szCs w:val="16"/>
              </w:rPr>
            </w:pPr>
            <w:r w:rsidRPr="00781112">
              <w:rPr>
                <w:rFonts w:cs="Arial"/>
                <w:b/>
                <w:color w:val="000000" w:themeColor="text1"/>
                <w:szCs w:val="16"/>
              </w:rPr>
              <w:t>Description</w:t>
            </w:r>
          </w:p>
        </w:tc>
        <w:tc>
          <w:tcPr>
            <w:tcW w:w="863" w:type="pct"/>
            <w:shd w:val="clear" w:color="auto" w:fill="D9D9D9" w:themeFill="background1" w:themeFillShade="D9"/>
            <w:vAlign w:val="center"/>
          </w:tcPr>
          <w:p w14:paraId="06AF5DE5" w14:textId="64A96718" w:rsidR="00E25159" w:rsidRPr="00781112" w:rsidRDefault="002E763A" w:rsidP="00BB6AC4">
            <w:pPr>
              <w:spacing w:after="0"/>
              <w:jc w:val="center"/>
              <w:rPr>
                <w:rFonts w:cs="Arial"/>
                <w:b/>
                <w:color w:val="000000" w:themeColor="text1"/>
                <w:szCs w:val="16"/>
              </w:rPr>
            </w:pPr>
            <w:r w:rsidRPr="00781112">
              <w:rPr>
                <w:rFonts w:cs="Arial"/>
                <w:b/>
                <w:color w:val="000000" w:themeColor="text1"/>
                <w:szCs w:val="16"/>
              </w:rPr>
              <w:t>3</w:t>
            </w:r>
          </w:p>
        </w:tc>
        <w:tc>
          <w:tcPr>
            <w:tcW w:w="863" w:type="pct"/>
            <w:shd w:val="clear" w:color="auto" w:fill="D9D9D9" w:themeFill="background1" w:themeFillShade="D9"/>
            <w:vAlign w:val="center"/>
          </w:tcPr>
          <w:p w14:paraId="43D1389C" w14:textId="51E4E6FF" w:rsidR="00E25159" w:rsidRPr="00781112" w:rsidRDefault="002E763A" w:rsidP="00BB6AC4">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D9D9D9" w:themeFill="background1" w:themeFillShade="D9"/>
            <w:vAlign w:val="center"/>
          </w:tcPr>
          <w:p w14:paraId="5BF9C35D" w14:textId="53AE3D4B" w:rsidR="00E25159" w:rsidRPr="00781112" w:rsidRDefault="002E763A" w:rsidP="00BB6AC4">
            <w:pPr>
              <w:spacing w:after="0"/>
              <w:jc w:val="center"/>
              <w:rPr>
                <w:rFonts w:cs="Arial"/>
                <w:b/>
                <w:color w:val="000000" w:themeColor="text1"/>
                <w:szCs w:val="16"/>
              </w:rPr>
            </w:pPr>
            <w:r w:rsidRPr="00781112">
              <w:rPr>
                <w:rFonts w:cs="Arial"/>
                <w:b/>
                <w:color w:val="000000" w:themeColor="text1"/>
                <w:szCs w:val="16"/>
              </w:rPr>
              <w:t>5</w:t>
            </w:r>
          </w:p>
        </w:tc>
        <w:tc>
          <w:tcPr>
            <w:tcW w:w="860" w:type="pct"/>
            <w:shd w:val="clear" w:color="auto" w:fill="D9D9D9" w:themeFill="background1" w:themeFillShade="D9"/>
            <w:vAlign w:val="center"/>
          </w:tcPr>
          <w:p w14:paraId="61BA1D5F" w14:textId="4D953D5F" w:rsidR="00E25159" w:rsidRPr="00781112" w:rsidRDefault="00BB48E9" w:rsidP="00BB6AC4">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E37876">
        <w:trPr>
          <w:cantSplit/>
          <w:trHeight w:val="791"/>
        </w:trPr>
        <w:tc>
          <w:tcPr>
            <w:tcW w:w="1551" w:type="pct"/>
            <w:shd w:val="clear" w:color="auto" w:fill="auto"/>
            <w:vAlign w:val="center"/>
          </w:tcPr>
          <w:p w14:paraId="0C7ED212" w14:textId="5E72519E" w:rsidR="00DC09CA" w:rsidRPr="00781112" w:rsidRDefault="00DC09CA" w:rsidP="00BB6AC4">
            <w:pPr>
              <w:spacing w:after="0"/>
              <w:rPr>
                <w:rFonts w:cs="Arial"/>
                <w:color w:val="000000" w:themeColor="text1"/>
                <w:szCs w:val="16"/>
              </w:rPr>
            </w:pPr>
            <w:r w:rsidRPr="00781112">
              <w:rPr>
                <w:rFonts w:cs="Arial"/>
                <w:color w:val="000000" w:themeColor="text1"/>
                <w:szCs w:val="16"/>
              </w:rPr>
              <w:t>Total number of children with IEPs</w:t>
            </w:r>
          </w:p>
        </w:tc>
        <w:tc>
          <w:tcPr>
            <w:tcW w:w="863" w:type="pct"/>
            <w:vAlign w:val="center"/>
          </w:tcPr>
          <w:p w14:paraId="20DD7859" w14:textId="2613E52D" w:rsidR="00DC09CA" w:rsidRPr="00781112" w:rsidRDefault="00DC09CA" w:rsidP="00BB6AC4">
            <w:pPr>
              <w:spacing w:after="0"/>
              <w:jc w:val="center"/>
              <w:rPr>
                <w:rFonts w:cs="Arial"/>
                <w:color w:val="000000" w:themeColor="text1"/>
                <w:szCs w:val="16"/>
              </w:rPr>
            </w:pPr>
            <w:r w:rsidRPr="00781112">
              <w:rPr>
                <w:rFonts w:cs="Arial"/>
                <w:color w:val="000000" w:themeColor="text1"/>
                <w:szCs w:val="16"/>
              </w:rPr>
              <w:t>3,244</w:t>
            </w:r>
          </w:p>
        </w:tc>
        <w:tc>
          <w:tcPr>
            <w:tcW w:w="863" w:type="pct"/>
            <w:vAlign w:val="center"/>
          </w:tcPr>
          <w:p w14:paraId="05D687A1" w14:textId="615962C4" w:rsidR="00DC09CA" w:rsidRPr="00781112" w:rsidRDefault="00DC09CA" w:rsidP="00BB6AC4">
            <w:pPr>
              <w:spacing w:after="0"/>
              <w:jc w:val="center"/>
              <w:rPr>
                <w:rFonts w:cs="Arial"/>
                <w:color w:val="000000" w:themeColor="text1"/>
                <w:szCs w:val="16"/>
              </w:rPr>
            </w:pPr>
            <w:r w:rsidRPr="00781112">
              <w:rPr>
                <w:rFonts w:cs="Arial"/>
                <w:color w:val="000000" w:themeColor="text1"/>
                <w:szCs w:val="16"/>
              </w:rPr>
              <w:t>5,906</w:t>
            </w:r>
          </w:p>
        </w:tc>
        <w:tc>
          <w:tcPr>
            <w:tcW w:w="863" w:type="pct"/>
            <w:shd w:val="clear" w:color="auto" w:fill="auto"/>
            <w:vAlign w:val="center"/>
          </w:tcPr>
          <w:p w14:paraId="784DA572" w14:textId="619FE690" w:rsidR="00DC09CA" w:rsidRPr="00781112" w:rsidRDefault="00DC09CA" w:rsidP="00BB6AC4">
            <w:pPr>
              <w:spacing w:after="0"/>
              <w:jc w:val="center"/>
              <w:rPr>
                <w:rFonts w:cs="Arial"/>
                <w:color w:val="000000" w:themeColor="text1"/>
                <w:szCs w:val="16"/>
              </w:rPr>
            </w:pPr>
            <w:r w:rsidRPr="00781112">
              <w:rPr>
                <w:rFonts w:cs="Arial"/>
                <w:color w:val="000000" w:themeColor="text1"/>
                <w:szCs w:val="16"/>
              </w:rPr>
              <w:t>1,434</w:t>
            </w:r>
          </w:p>
        </w:tc>
        <w:tc>
          <w:tcPr>
            <w:tcW w:w="860" w:type="pct"/>
            <w:vAlign w:val="center"/>
          </w:tcPr>
          <w:p w14:paraId="11422879" w14:textId="0ABA0049" w:rsidR="00DC09CA" w:rsidRPr="00781112" w:rsidRDefault="00DC09CA" w:rsidP="00BB6AC4">
            <w:pPr>
              <w:spacing w:after="0"/>
              <w:jc w:val="center"/>
              <w:rPr>
                <w:rFonts w:cs="Arial"/>
                <w:color w:val="000000" w:themeColor="text1"/>
                <w:szCs w:val="16"/>
              </w:rPr>
            </w:pPr>
            <w:r w:rsidRPr="00781112">
              <w:rPr>
                <w:rFonts w:cs="Arial"/>
                <w:color w:val="000000" w:themeColor="text1"/>
                <w:szCs w:val="16"/>
              </w:rPr>
              <w:t>10,584</w:t>
            </w:r>
          </w:p>
        </w:tc>
      </w:tr>
      <w:tr w:rsidR="00AA6D68" w:rsidRPr="00781112" w14:paraId="60B80599" w14:textId="5C935507" w:rsidTr="00E37876">
        <w:trPr>
          <w:cantSplit/>
          <w:trHeight w:val="2672"/>
        </w:trPr>
        <w:tc>
          <w:tcPr>
            <w:tcW w:w="1551" w:type="pct"/>
            <w:shd w:val="clear" w:color="auto" w:fill="auto"/>
            <w:vAlign w:val="center"/>
          </w:tcPr>
          <w:p w14:paraId="143C4F1B" w14:textId="07512ED2" w:rsidR="00AA6D68" w:rsidRPr="00781112" w:rsidRDefault="00AA6D68" w:rsidP="00BB6AC4">
            <w:pPr>
              <w:spacing w:after="0"/>
              <w:rPr>
                <w:rFonts w:cs="Arial"/>
                <w:color w:val="000000" w:themeColor="text1"/>
                <w:szCs w:val="16"/>
              </w:rPr>
            </w:pPr>
            <w:r w:rsidRPr="00781112">
              <w:rPr>
                <w:rFonts w:cs="Arial"/>
                <w:color w:val="000000" w:themeColor="text1"/>
                <w:szCs w:val="16"/>
              </w:rPr>
              <w:t xml:space="preserve">a1. Number of children attending a regular early childhood program and receiving </w:t>
            </w:r>
            <w:proofErr w:type="gramStart"/>
            <w:r w:rsidRPr="00781112">
              <w:rPr>
                <w:rFonts w:cs="Arial"/>
                <w:color w:val="000000" w:themeColor="text1"/>
                <w:szCs w:val="16"/>
              </w:rPr>
              <w:t>the majority of</w:t>
            </w:r>
            <w:proofErr w:type="gramEnd"/>
            <w:r w:rsidRPr="00781112">
              <w:rPr>
                <w:rFonts w:cs="Arial"/>
                <w:color w:val="000000" w:themeColor="text1"/>
                <w:szCs w:val="16"/>
              </w:rPr>
              <w:t xml:space="preserve"> special education and related services in the regular early childhood program</w:t>
            </w:r>
          </w:p>
        </w:tc>
        <w:tc>
          <w:tcPr>
            <w:tcW w:w="863" w:type="pct"/>
            <w:vAlign w:val="center"/>
          </w:tcPr>
          <w:p w14:paraId="659D2B47" w14:textId="4A180B03"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529</w:t>
            </w:r>
          </w:p>
        </w:tc>
        <w:tc>
          <w:tcPr>
            <w:tcW w:w="863" w:type="pct"/>
            <w:vAlign w:val="center"/>
          </w:tcPr>
          <w:p w14:paraId="2D2F33A9" w14:textId="09F0EE8B"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1,577</w:t>
            </w:r>
          </w:p>
        </w:tc>
        <w:tc>
          <w:tcPr>
            <w:tcW w:w="863" w:type="pct"/>
            <w:shd w:val="clear" w:color="auto" w:fill="auto"/>
            <w:vAlign w:val="center"/>
          </w:tcPr>
          <w:p w14:paraId="68B37A39" w14:textId="60285701"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503</w:t>
            </w:r>
          </w:p>
        </w:tc>
        <w:tc>
          <w:tcPr>
            <w:tcW w:w="860" w:type="pct"/>
            <w:vAlign w:val="center"/>
          </w:tcPr>
          <w:p w14:paraId="1B31D3BF" w14:textId="343E52C8"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2,609</w:t>
            </w:r>
          </w:p>
        </w:tc>
      </w:tr>
      <w:tr w:rsidR="00AA6D68" w:rsidRPr="00781112" w14:paraId="582B62E7" w14:textId="4FE061F8" w:rsidTr="00E37876">
        <w:trPr>
          <w:cantSplit/>
          <w:trHeight w:val="1088"/>
        </w:trPr>
        <w:tc>
          <w:tcPr>
            <w:tcW w:w="1551" w:type="pct"/>
            <w:shd w:val="clear" w:color="auto" w:fill="auto"/>
            <w:vAlign w:val="center"/>
          </w:tcPr>
          <w:p w14:paraId="446012AB" w14:textId="507DD720" w:rsidR="00AA6D68" w:rsidRPr="00781112" w:rsidRDefault="00AA6D68" w:rsidP="00BB6AC4">
            <w:pPr>
              <w:spacing w:after="0"/>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center"/>
          </w:tcPr>
          <w:p w14:paraId="5B37B0B3" w14:textId="176B3EE5"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1,503</w:t>
            </w:r>
          </w:p>
        </w:tc>
        <w:tc>
          <w:tcPr>
            <w:tcW w:w="863" w:type="pct"/>
            <w:vAlign w:val="center"/>
          </w:tcPr>
          <w:p w14:paraId="649C86D1" w14:textId="317BBD6C"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2,162</w:t>
            </w:r>
          </w:p>
        </w:tc>
        <w:tc>
          <w:tcPr>
            <w:tcW w:w="863" w:type="pct"/>
            <w:shd w:val="clear" w:color="auto" w:fill="auto"/>
            <w:vAlign w:val="center"/>
          </w:tcPr>
          <w:p w14:paraId="34B911BF" w14:textId="069E997C"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429</w:t>
            </w:r>
          </w:p>
        </w:tc>
        <w:tc>
          <w:tcPr>
            <w:tcW w:w="860" w:type="pct"/>
            <w:vAlign w:val="center"/>
          </w:tcPr>
          <w:p w14:paraId="6E1B5396" w14:textId="55FA87AA"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4,094</w:t>
            </w:r>
          </w:p>
        </w:tc>
      </w:tr>
      <w:tr w:rsidR="00AA6D68" w:rsidRPr="00781112" w14:paraId="5F08FCEF" w14:textId="35AA1AA1" w:rsidTr="00E37876">
        <w:trPr>
          <w:cantSplit/>
          <w:trHeight w:val="710"/>
        </w:trPr>
        <w:tc>
          <w:tcPr>
            <w:tcW w:w="1551" w:type="pct"/>
            <w:shd w:val="clear" w:color="auto" w:fill="auto"/>
            <w:vAlign w:val="center"/>
          </w:tcPr>
          <w:p w14:paraId="3C415E88" w14:textId="06B2C03E" w:rsidR="00AA6D68" w:rsidRPr="00781112" w:rsidRDefault="00AA6D68" w:rsidP="00BB6AC4">
            <w:pPr>
              <w:spacing w:after="0"/>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center"/>
          </w:tcPr>
          <w:p w14:paraId="0B0C493F" w14:textId="085891A4"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6</w:t>
            </w:r>
          </w:p>
        </w:tc>
        <w:tc>
          <w:tcPr>
            <w:tcW w:w="863" w:type="pct"/>
            <w:vAlign w:val="center"/>
          </w:tcPr>
          <w:p w14:paraId="7F83F331" w14:textId="1A8FD76D"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7</w:t>
            </w:r>
          </w:p>
        </w:tc>
        <w:tc>
          <w:tcPr>
            <w:tcW w:w="863" w:type="pct"/>
            <w:shd w:val="clear" w:color="auto" w:fill="auto"/>
            <w:vAlign w:val="center"/>
          </w:tcPr>
          <w:p w14:paraId="32D467B1" w14:textId="0D72CE8A"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1</w:t>
            </w:r>
          </w:p>
        </w:tc>
        <w:tc>
          <w:tcPr>
            <w:tcW w:w="860" w:type="pct"/>
            <w:vAlign w:val="center"/>
          </w:tcPr>
          <w:p w14:paraId="59CC5F97" w14:textId="073369C4"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14</w:t>
            </w:r>
          </w:p>
        </w:tc>
      </w:tr>
      <w:tr w:rsidR="00AA6D68" w:rsidRPr="00781112" w14:paraId="285801C1" w14:textId="545BB6C5" w:rsidTr="00E37876">
        <w:trPr>
          <w:cantSplit/>
          <w:trHeight w:val="800"/>
        </w:trPr>
        <w:tc>
          <w:tcPr>
            <w:tcW w:w="1551" w:type="pct"/>
            <w:shd w:val="clear" w:color="auto" w:fill="auto"/>
            <w:vAlign w:val="center"/>
          </w:tcPr>
          <w:p w14:paraId="4D90BA5B" w14:textId="1285C74B" w:rsidR="00AA6D68" w:rsidRPr="00781112" w:rsidRDefault="00AA6D68" w:rsidP="00BB6AC4">
            <w:pPr>
              <w:spacing w:after="0"/>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center"/>
          </w:tcPr>
          <w:p w14:paraId="10FA71B8" w14:textId="48D7E7C4"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2</w:t>
            </w:r>
          </w:p>
        </w:tc>
        <w:tc>
          <w:tcPr>
            <w:tcW w:w="863" w:type="pct"/>
            <w:vAlign w:val="center"/>
          </w:tcPr>
          <w:p w14:paraId="3DF044A6" w14:textId="3BE72431"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1</w:t>
            </w:r>
          </w:p>
        </w:tc>
        <w:tc>
          <w:tcPr>
            <w:tcW w:w="863" w:type="pct"/>
            <w:shd w:val="clear" w:color="auto" w:fill="auto"/>
            <w:vAlign w:val="center"/>
          </w:tcPr>
          <w:p w14:paraId="444A24A0" w14:textId="086A4938"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1</w:t>
            </w:r>
          </w:p>
        </w:tc>
        <w:tc>
          <w:tcPr>
            <w:tcW w:w="860" w:type="pct"/>
            <w:vAlign w:val="center"/>
          </w:tcPr>
          <w:p w14:paraId="5D7F86B2" w14:textId="5A6D31FC"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4</w:t>
            </w:r>
          </w:p>
        </w:tc>
      </w:tr>
      <w:tr w:rsidR="00AA6D68" w:rsidRPr="00781112" w14:paraId="162FD575" w14:textId="77777777" w:rsidTr="00E37876">
        <w:trPr>
          <w:cantSplit/>
          <w:trHeight w:val="1349"/>
        </w:trPr>
        <w:tc>
          <w:tcPr>
            <w:tcW w:w="1551" w:type="pct"/>
            <w:shd w:val="clear" w:color="auto" w:fill="auto"/>
            <w:vAlign w:val="center"/>
          </w:tcPr>
          <w:p w14:paraId="469B81A7" w14:textId="048681D7" w:rsidR="00AA6D68" w:rsidRPr="00781112" w:rsidRDefault="00AA6D68" w:rsidP="00BB6AC4">
            <w:pPr>
              <w:spacing w:after="0"/>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center"/>
          </w:tcPr>
          <w:p w14:paraId="56C9B5B7" w14:textId="065E27FB"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288</w:t>
            </w:r>
          </w:p>
        </w:tc>
        <w:tc>
          <w:tcPr>
            <w:tcW w:w="863" w:type="pct"/>
            <w:vAlign w:val="center"/>
          </w:tcPr>
          <w:p w14:paraId="134D035A" w14:textId="14186034"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314</w:t>
            </w:r>
          </w:p>
        </w:tc>
        <w:tc>
          <w:tcPr>
            <w:tcW w:w="863" w:type="pct"/>
            <w:shd w:val="clear" w:color="auto" w:fill="auto"/>
            <w:vAlign w:val="center"/>
          </w:tcPr>
          <w:p w14:paraId="0C864D52" w14:textId="38992EC2" w:rsidR="00AA6D68" w:rsidRPr="00781112" w:rsidDel="00E25159" w:rsidRDefault="00AA6D68" w:rsidP="00BB6AC4">
            <w:pPr>
              <w:spacing w:after="0"/>
              <w:jc w:val="center"/>
              <w:rPr>
                <w:rFonts w:cs="Arial"/>
                <w:color w:val="000000" w:themeColor="text1"/>
                <w:szCs w:val="16"/>
              </w:rPr>
            </w:pPr>
            <w:r w:rsidRPr="00781112">
              <w:rPr>
                <w:rFonts w:cs="Arial"/>
                <w:color w:val="000000" w:themeColor="text1"/>
                <w:szCs w:val="16"/>
              </w:rPr>
              <w:t>62</w:t>
            </w:r>
          </w:p>
        </w:tc>
        <w:tc>
          <w:tcPr>
            <w:tcW w:w="860" w:type="pct"/>
            <w:vAlign w:val="center"/>
          </w:tcPr>
          <w:p w14:paraId="1750EA0E" w14:textId="2B34BC50" w:rsidR="00AA6D68" w:rsidRPr="00781112" w:rsidRDefault="00AA6D68" w:rsidP="00BB6AC4">
            <w:pPr>
              <w:spacing w:after="0"/>
              <w:jc w:val="center"/>
              <w:rPr>
                <w:rFonts w:cs="Arial"/>
                <w:color w:val="000000" w:themeColor="text1"/>
                <w:szCs w:val="16"/>
              </w:rPr>
            </w:pPr>
            <w:r w:rsidRPr="00781112">
              <w:rPr>
                <w:rFonts w:cs="Arial"/>
                <w:color w:val="000000" w:themeColor="text1"/>
                <w:szCs w:val="16"/>
              </w:rPr>
              <w:t>664</w:t>
            </w:r>
          </w:p>
        </w:tc>
      </w:tr>
    </w:tbl>
    <w:p w14:paraId="051F4366" w14:textId="77777777" w:rsidR="00C910BC" w:rsidRPr="00781112" w:rsidRDefault="00C910BC" w:rsidP="00357C0D">
      <w:pPr>
        <w:spacing w:before="240"/>
        <w:rPr>
          <w:b/>
          <w:color w:val="000000" w:themeColor="text1"/>
        </w:rPr>
      </w:pPr>
      <w:r w:rsidRPr="00781112">
        <w:rPr>
          <w:b/>
          <w:color w:val="000000" w:themeColor="text1"/>
        </w:rPr>
        <w:t>Select yes if the data reported in this indicator are not the same as the State’s data reported under section 618 of the IDEA.</w:t>
      </w:r>
    </w:p>
    <w:p w14:paraId="1FA234C3" w14:textId="7AEE64DC" w:rsidR="00E37876" w:rsidRPr="00D4769B" w:rsidRDefault="00016817" w:rsidP="00314F94">
      <w:pPr>
        <w:pStyle w:val="ListParagraph"/>
        <w:numPr>
          <w:ilvl w:val="0"/>
          <w:numId w:val="157"/>
        </w:numPr>
        <w:rPr>
          <w:b/>
          <w:bCs/>
          <w:color w:val="000000" w:themeColor="text1"/>
        </w:rPr>
      </w:pPr>
      <w:r w:rsidRPr="00D4769B">
        <w:rPr>
          <w:color w:val="000000" w:themeColor="text1"/>
        </w:rPr>
        <w:t>No</w:t>
      </w:r>
      <w:r w:rsidR="00E37876" w:rsidRPr="00D4769B">
        <w:rPr>
          <w:b/>
          <w:bCs/>
          <w:color w:val="000000" w:themeColor="text1"/>
        </w:rPr>
        <w:br w:type="page"/>
      </w:r>
    </w:p>
    <w:p w14:paraId="0F42B2F6" w14:textId="020547DA" w:rsidR="00E60622" w:rsidRPr="00781112" w:rsidRDefault="007F7063" w:rsidP="00815ACE">
      <w:pPr>
        <w:pStyle w:val="Caption"/>
      </w:pPr>
      <w:r w:rsidRPr="00781112">
        <w:lastRenderedPageBreak/>
        <w:t xml:space="preserve">FFY 2020 SPP/APR Data - </w:t>
      </w:r>
      <w:r w:rsidR="00A6295C" w:rsidRPr="00781112">
        <w:rPr>
          <w:rFonts w:cs="Arial"/>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2245"/>
        <w:gridCol w:w="1439"/>
        <w:gridCol w:w="1621"/>
        <w:gridCol w:w="1085"/>
        <w:gridCol w:w="1081"/>
        <w:gridCol w:w="1081"/>
        <w:gridCol w:w="982"/>
        <w:gridCol w:w="1256"/>
      </w:tblGrid>
      <w:tr w:rsidR="00E37876" w:rsidRPr="00781112" w14:paraId="38300B51" w14:textId="77777777" w:rsidTr="00E37876">
        <w:trPr>
          <w:trHeight w:val="2060"/>
          <w:tblHeader/>
        </w:trPr>
        <w:tc>
          <w:tcPr>
            <w:tcW w:w="1040" w:type="pct"/>
            <w:shd w:val="clear" w:color="auto" w:fill="D9D9D9" w:themeFill="background1" w:themeFillShade="D9"/>
            <w:vAlign w:val="center"/>
          </w:tcPr>
          <w:p w14:paraId="0F38A3C5" w14:textId="3D46820E" w:rsidR="008751D3" w:rsidRPr="00781112" w:rsidRDefault="00E104F3" w:rsidP="00E37876">
            <w:pPr>
              <w:spacing w:after="0"/>
              <w:jc w:val="center"/>
              <w:rPr>
                <w:rFonts w:cs="Arial"/>
                <w:b/>
                <w:color w:val="000000" w:themeColor="text1"/>
                <w:szCs w:val="16"/>
              </w:rPr>
            </w:pPr>
            <w:r w:rsidRPr="00781112">
              <w:rPr>
                <w:rFonts w:cs="Arial"/>
                <w:b/>
                <w:color w:val="000000" w:themeColor="text1"/>
                <w:szCs w:val="16"/>
              </w:rPr>
              <w:t>Preschool Environments</w:t>
            </w:r>
          </w:p>
        </w:tc>
        <w:tc>
          <w:tcPr>
            <w:tcW w:w="667" w:type="pct"/>
            <w:shd w:val="clear" w:color="auto" w:fill="D9D9D9" w:themeFill="background1" w:themeFillShade="D9"/>
            <w:vAlign w:val="center"/>
          </w:tcPr>
          <w:p w14:paraId="0AEF809B" w14:textId="4D8F18F7" w:rsidR="008751D3" w:rsidRPr="00781112" w:rsidRDefault="008751D3" w:rsidP="00E37876">
            <w:pPr>
              <w:spacing w:after="0"/>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751" w:type="pct"/>
            <w:shd w:val="clear" w:color="auto" w:fill="D9D9D9" w:themeFill="background1" w:themeFillShade="D9"/>
            <w:vAlign w:val="center"/>
          </w:tcPr>
          <w:p w14:paraId="21256B17" w14:textId="12840CBA" w:rsidR="008751D3" w:rsidRPr="00781112" w:rsidRDefault="008751D3" w:rsidP="00E37876">
            <w:pPr>
              <w:spacing w:after="0"/>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03" w:type="pct"/>
            <w:shd w:val="clear" w:color="auto" w:fill="D9D9D9" w:themeFill="background1" w:themeFillShade="D9"/>
            <w:vAlign w:val="center"/>
          </w:tcPr>
          <w:p w14:paraId="338A0E59" w14:textId="5650BDFE" w:rsidR="008751D3" w:rsidRPr="00781112" w:rsidRDefault="00F6415A" w:rsidP="00E37876">
            <w:pPr>
              <w:spacing w:after="0"/>
              <w:jc w:val="center"/>
              <w:rPr>
                <w:rFonts w:cs="Arial"/>
                <w:b/>
                <w:color w:val="000000" w:themeColor="text1"/>
                <w:szCs w:val="16"/>
              </w:rPr>
            </w:pPr>
            <w:r w:rsidRPr="00781112">
              <w:rPr>
                <w:rFonts w:cs="Arial"/>
                <w:b/>
                <w:color w:val="000000" w:themeColor="text1"/>
                <w:szCs w:val="16"/>
              </w:rPr>
              <w:t>FFY 2019 Data</w:t>
            </w:r>
          </w:p>
        </w:tc>
        <w:tc>
          <w:tcPr>
            <w:tcW w:w="501" w:type="pct"/>
            <w:shd w:val="clear" w:color="auto" w:fill="D9D9D9" w:themeFill="background1" w:themeFillShade="D9"/>
            <w:vAlign w:val="center"/>
          </w:tcPr>
          <w:p w14:paraId="525540A0" w14:textId="72958A58" w:rsidR="008751D3" w:rsidRPr="00781112" w:rsidRDefault="00F6415A" w:rsidP="00E37876">
            <w:pPr>
              <w:spacing w:after="0"/>
              <w:jc w:val="center"/>
              <w:rPr>
                <w:rFonts w:cs="Arial"/>
                <w:b/>
                <w:color w:val="000000" w:themeColor="text1"/>
                <w:szCs w:val="16"/>
              </w:rPr>
            </w:pPr>
            <w:r w:rsidRPr="00781112">
              <w:rPr>
                <w:rFonts w:cs="Arial"/>
                <w:b/>
                <w:color w:val="000000" w:themeColor="text1"/>
                <w:szCs w:val="16"/>
              </w:rPr>
              <w:t>FFY 2020 Target</w:t>
            </w:r>
          </w:p>
        </w:tc>
        <w:tc>
          <w:tcPr>
            <w:tcW w:w="501" w:type="pct"/>
            <w:shd w:val="clear" w:color="auto" w:fill="D9D9D9" w:themeFill="background1" w:themeFillShade="D9"/>
            <w:vAlign w:val="center"/>
          </w:tcPr>
          <w:p w14:paraId="2B9D213A" w14:textId="28561283" w:rsidR="008751D3" w:rsidRPr="00781112" w:rsidRDefault="00F6415A" w:rsidP="00E37876">
            <w:pPr>
              <w:spacing w:after="0"/>
              <w:jc w:val="center"/>
              <w:rPr>
                <w:rFonts w:cs="Arial"/>
                <w:b/>
                <w:color w:val="000000" w:themeColor="text1"/>
                <w:szCs w:val="16"/>
              </w:rPr>
            </w:pPr>
            <w:r w:rsidRPr="00781112">
              <w:rPr>
                <w:rFonts w:cs="Arial"/>
                <w:b/>
                <w:color w:val="000000" w:themeColor="text1"/>
                <w:szCs w:val="16"/>
              </w:rPr>
              <w:t>FFY 2020 Data</w:t>
            </w:r>
          </w:p>
        </w:tc>
        <w:tc>
          <w:tcPr>
            <w:tcW w:w="455" w:type="pct"/>
            <w:shd w:val="clear" w:color="auto" w:fill="D9D9D9" w:themeFill="background1" w:themeFillShade="D9"/>
            <w:vAlign w:val="center"/>
          </w:tcPr>
          <w:p w14:paraId="46108583" w14:textId="77777777" w:rsidR="008751D3" w:rsidRPr="00781112" w:rsidRDefault="008751D3" w:rsidP="00E37876">
            <w:pPr>
              <w:spacing w:after="0"/>
              <w:jc w:val="center"/>
              <w:rPr>
                <w:rFonts w:cs="Arial"/>
                <w:b/>
                <w:color w:val="000000" w:themeColor="text1"/>
                <w:szCs w:val="16"/>
              </w:rPr>
            </w:pPr>
            <w:r w:rsidRPr="00781112">
              <w:rPr>
                <w:rFonts w:cs="Arial"/>
                <w:b/>
                <w:color w:val="000000" w:themeColor="text1"/>
                <w:szCs w:val="16"/>
              </w:rPr>
              <w:t>Status</w:t>
            </w:r>
          </w:p>
        </w:tc>
        <w:tc>
          <w:tcPr>
            <w:tcW w:w="582" w:type="pct"/>
            <w:shd w:val="clear" w:color="auto" w:fill="D9D9D9" w:themeFill="background1" w:themeFillShade="D9"/>
            <w:vAlign w:val="center"/>
          </w:tcPr>
          <w:p w14:paraId="02DECB75" w14:textId="77777777" w:rsidR="008751D3" w:rsidRPr="00781112" w:rsidRDefault="008751D3" w:rsidP="00E37876">
            <w:pPr>
              <w:spacing w:after="0"/>
              <w:jc w:val="center"/>
              <w:rPr>
                <w:rFonts w:cs="Arial"/>
                <w:b/>
                <w:color w:val="000000" w:themeColor="text1"/>
                <w:szCs w:val="16"/>
              </w:rPr>
            </w:pPr>
            <w:r w:rsidRPr="00781112">
              <w:rPr>
                <w:rFonts w:cs="Arial"/>
                <w:b/>
                <w:color w:val="000000" w:themeColor="text1"/>
                <w:szCs w:val="16"/>
              </w:rPr>
              <w:t>Slippage</w:t>
            </w:r>
          </w:p>
        </w:tc>
      </w:tr>
      <w:tr w:rsidR="00E37876" w:rsidRPr="00781112" w14:paraId="57F8AB2C" w14:textId="77777777" w:rsidTr="00E37876">
        <w:trPr>
          <w:trHeight w:val="2600"/>
        </w:trPr>
        <w:tc>
          <w:tcPr>
            <w:tcW w:w="1040" w:type="pct"/>
            <w:shd w:val="clear" w:color="auto" w:fill="auto"/>
            <w:vAlign w:val="center"/>
          </w:tcPr>
          <w:p w14:paraId="262EE4AB" w14:textId="15267873" w:rsidR="00CF6742" w:rsidRPr="00781112" w:rsidRDefault="00CF6742" w:rsidP="00E37876">
            <w:pPr>
              <w:spacing w:after="0"/>
              <w:rPr>
                <w:rFonts w:cs="Arial"/>
                <w:color w:val="000000" w:themeColor="text1"/>
                <w:szCs w:val="16"/>
              </w:rPr>
            </w:pPr>
            <w:r w:rsidRPr="00781112">
              <w:rPr>
                <w:rFonts w:cs="Arial"/>
                <w:color w:val="000000" w:themeColor="text1"/>
                <w:szCs w:val="16"/>
                <w:shd w:val="clear" w:color="auto" w:fill="FFFFFF"/>
              </w:rPr>
              <w:t xml:space="preserve">A. A regular early childhood program and receiving </w:t>
            </w:r>
            <w:proofErr w:type="gramStart"/>
            <w:r w:rsidRPr="00781112">
              <w:rPr>
                <w:rFonts w:cs="Arial"/>
                <w:color w:val="000000" w:themeColor="text1"/>
                <w:szCs w:val="16"/>
                <w:shd w:val="clear" w:color="auto" w:fill="FFFFFF"/>
              </w:rPr>
              <w:t>the majority of</w:t>
            </w:r>
            <w:proofErr w:type="gramEnd"/>
            <w:r w:rsidRPr="00781112">
              <w:rPr>
                <w:rFonts w:cs="Arial"/>
                <w:color w:val="000000" w:themeColor="text1"/>
                <w:szCs w:val="16"/>
                <w:shd w:val="clear" w:color="auto" w:fill="FFFFFF"/>
              </w:rPr>
              <w:t xml:space="preserve"> special education and related services in the regular early childhood program</w:t>
            </w:r>
          </w:p>
        </w:tc>
        <w:tc>
          <w:tcPr>
            <w:tcW w:w="667" w:type="pct"/>
            <w:shd w:val="clear" w:color="auto" w:fill="auto"/>
            <w:vAlign w:val="center"/>
          </w:tcPr>
          <w:p w14:paraId="251726D2" w14:textId="038B4D14"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2,609</w:t>
            </w:r>
          </w:p>
          <w:p w14:paraId="70072E1D" w14:textId="45212F0F" w:rsidR="00CC3A85" w:rsidRPr="00781112" w:rsidRDefault="00CC3A85" w:rsidP="00E37876">
            <w:pPr>
              <w:spacing w:after="0"/>
              <w:jc w:val="center"/>
              <w:rPr>
                <w:rFonts w:cs="Arial"/>
                <w:color w:val="000000" w:themeColor="text1"/>
                <w:szCs w:val="16"/>
              </w:rPr>
            </w:pPr>
          </w:p>
        </w:tc>
        <w:tc>
          <w:tcPr>
            <w:tcW w:w="751" w:type="pct"/>
            <w:shd w:val="clear" w:color="auto" w:fill="auto"/>
            <w:vAlign w:val="center"/>
          </w:tcPr>
          <w:p w14:paraId="5E80FF00" w14:textId="1218B9E8"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10,584</w:t>
            </w:r>
          </w:p>
        </w:tc>
        <w:tc>
          <w:tcPr>
            <w:tcW w:w="503" w:type="pct"/>
            <w:shd w:val="clear" w:color="auto" w:fill="auto"/>
            <w:vAlign w:val="center"/>
          </w:tcPr>
          <w:p w14:paraId="15C39591" w14:textId="59A0B140"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33.95%</w:t>
            </w:r>
          </w:p>
        </w:tc>
        <w:tc>
          <w:tcPr>
            <w:tcW w:w="501" w:type="pct"/>
            <w:shd w:val="clear" w:color="auto" w:fill="auto"/>
            <w:vAlign w:val="center"/>
          </w:tcPr>
          <w:p w14:paraId="0B4DAB1A" w14:textId="6A306EF5"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24.65%</w:t>
            </w:r>
          </w:p>
        </w:tc>
        <w:tc>
          <w:tcPr>
            <w:tcW w:w="501" w:type="pct"/>
            <w:shd w:val="clear" w:color="auto" w:fill="auto"/>
            <w:vAlign w:val="center"/>
          </w:tcPr>
          <w:p w14:paraId="3DA9CC9A" w14:textId="5BC63CA2"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24.65%</w:t>
            </w:r>
          </w:p>
        </w:tc>
        <w:tc>
          <w:tcPr>
            <w:tcW w:w="455" w:type="pct"/>
            <w:shd w:val="clear" w:color="auto" w:fill="auto"/>
            <w:vAlign w:val="center"/>
          </w:tcPr>
          <w:p w14:paraId="361B06B7" w14:textId="5F10F78E"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N/A</w:t>
            </w:r>
          </w:p>
        </w:tc>
        <w:tc>
          <w:tcPr>
            <w:tcW w:w="582" w:type="pct"/>
            <w:shd w:val="clear" w:color="auto" w:fill="auto"/>
            <w:vAlign w:val="center"/>
          </w:tcPr>
          <w:p w14:paraId="45DD5AFE" w14:textId="28F5E139"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N/A</w:t>
            </w:r>
          </w:p>
        </w:tc>
      </w:tr>
      <w:tr w:rsidR="00E37876" w:rsidRPr="00781112" w14:paraId="203C22FB" w14:textId="77777777" w:rsidTr="00E37876">
        <w:trPr>
          <w:trHeight w:val="1493"/>
        </w:trPr>
        <w:tc>
          <w:tcPr>
            <w:tcW w:w="1040" w:type="pct"/>
            <w:shd w:val="clear" w:color="auto" w:fill="auto"/>
            <w:vAlign w:val="center"/>
          </w:tcPr>
          <w:p w14:paraId="79CB9C36" w14:textId="6C0925E8" w:rsidR="00CF6742" w:rsidRPr="00781112" w:rsidRDefault="00CF6742" w:rsidP="00E37876">
            <w:pPr>
              <w:spacing w:after="0"/>
              <w:rPr>
                <w:rFonts w:cs="Arial"/>
                <w:color w:val="000000" w:themeColor="text1"/>
                <w:szCs w:val="16"/>
              </w:rPr>
            </w:pPr>
            <w:r w:rsidRPr="00781112">
              <w:rPr>
                <w:rFonts w:cs="Arial"/>
                <w:color w:val="000000" w:themeColor="text1"/>
                <w:szCs w:val="16"/>
                <w:shd w:val="clear" w:color="auto" w:fill="FFFFFF"/>
              </w:rPr>
              <w:t xml:space="preserve">B. Separate special education class, separate </w:t>
            </w:r>
            <w:proofErr w:type="gramStart"/>
            <w:r w:rsidRPr="00781112">
              <w:rPr>
                <w:rFonts w:cs="Arial"/>
                <w:color w:val="000000" w:themeColor="text1"/>
                <w:szCs w:val="16"/>
                <w:shd w:val="clear" w:color="auto" w:fill="FFFFFF"/>
              </w:rPr>
              <w:t>school</w:t>
            </w:r>
            <w:proofErr w:type="gramEnd"/>
            <w:r w:rsidRPr="00781112">
              <w:rPr>
                <w:rFonts w:cs="Arial"/>
                <w:color w:val="000000" w:themeColor="text1"/>
                <w:szCs w:val="16"/>
                <w:shd w:val="clear" w:color="auto" w:fill="FFFFFF"/>
              </w:rPr>
              <w:t xml:space="preserve"> or residential facility</w:t>
            </w:r>
          </w:p>
        </w:tc>
        <w:tc>
          <w:tcPr>
            <w:tcW w:w="667" w:type="pct"/>
            <w:shd w:val="clear" w:color="auto" w:fill="auto"/>
            <w:vAlign w:val="center"/>
          </w:tcPr>
          <w:p w14:paraId="1334ACAB" w14:textId="7BCE0AFD"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4,112</w:t>
            </w:r>
          </w:p>
        </w:tc>
        <w:tc>
          <w:tcPr>
            <w:tcW w:w="751" w:type="pct"/>
            <w:shd w:val="clear" w:color="auto" w:fill="auto"/>
            <w:vAlign w:val="center"/>
          </w:tcPr>
          <w:p w14:paraId="66D0E912" w14:textId="2A889076"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10,584</w:t>
            </w:r>
          </w:p>
        </w:tc>
        <w:tc>
          <w:tcPr>
            <w:tcW w:w="503" w:type="pct"/>
            <w:shd w:val="clear" w:color="auto" w:fill="auto"/>
            <w:vAlign w:val="center"/>
          </w:tcPr>
          <w:p w14:paraId="778A4648" w14:textId="541ABEC8"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28.92%</w:t>
            </w:r>
          </w:p>
        </w:tc>
        <w:tc>
          <w:tcPr>
            <w:tcW w:w="501" w:type="pct"/>
            <w:shd w:val="clear" w:color="auto" w:fill="auto"/>
            <w:vAlign w:val="center"/>
          </w:tcPr>
          <w:p w14:paraId="0EB723D5" w14:textId="782750AE"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38.85%</w:t>
            </w:r>
          </w:p>
        </w:tc>
        <w:tc>
          <w:tcPr>
            <w:tcW w:w="501" w:type="pct"/>
            <w:shd w:val="clear" w:color="auto" w:fill="auto"/>
            <w:vAlign w:val="center"/>
          </w:tcPr>
          <w:p w14:paraId="22E6569B" w14:textId="5DC635D1"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38.85%</w:t>
            </w:r>
          </w:p>
        </w:tc>
        <w:tc>
          <w:tcPr>
            <w:tcW w:w="455" w:type="pct"/>
            <w:shd w:val="clear" w:color="auto" w:fill="auto"/>
            <w:vAlign w:val="center"/>
          </w:tcPr>
          <w:p w14:paraId="799542EF" w14:textId="180B78FB"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N/A</w:t>
            </w:r>
          </w:p>
        </w:tc>
        <w:tc>
          <w:tcPr>
            <w:tcW w:w="582" w:type="pct"/>
            <w:shd w:val="clear" w:color="auto" w:fill="auto"/>
            <w:vAlign w:val="center"/>
          </w:tcPr>
          <w:p w14:paraId="6E35C7BA" w14:textId="0B2CF7CC"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N/A</w:t>
            </w:r>
          </w:p>
        </w:tc>
      </w:tr>
      <w:tr w:rsidR="00572E2A" w:rsidRPr="00781112" w14:paraId="70135A14" w14:textId="77777777" w:rsidTr="00E37876">
        <w:trPr>
          <w:trHeight w:val="449"/>
        </w:trPr>
        <w:tc>
          <w:tcPr>
            <w:tcW w:w="1040" w:type="pct"/>
            <w:shd w:val="clear" w:color="auto" w:fill="auto"/>
            <w:vAlign w:val="center"/>
          </w:tcPr>
          <w:p w14:paraId="72DCC796" w14:textId="256E58C0" w:rsidR="00572E2A" w:rsidRPr="00781112" w:rsidRDefault="00572E2A" w:rsidP="00572E2A">
            <w:pPr>
              <w:spacing w:after="0"/>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667" w:type="pct"/>
            <w:shd w:val="clear" w:color="auto" w:fill="auto"/>
            <w:vAlign w:val="center"/>
          </w:tcPr>
          <w:p w14:paraId="1AE1B656" w14:textId="4AA764F4"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664</w:t>
            </w:r>
          </w:p>
        </w:tc>
        <w:tc>
          <w:tcPr>
            <w:tcW w:w="751" w:type="pct"/>
            <w:shd w:val="clear" w:color="auto" w:fill="auto"/>
            <w:vAlign w:val="center"/>
          </w:tcPr>
          <w:p w14:paraId="601CC9FF" w14:textId="0C166449"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10,584</w:t>
            </w:r>
          </w:p>
        </w:tc>
        <w:tc>
          <w:tcPr>
            <w:tcW w:w="503" w:type="pct"/>
            <w:shd w:val="clear" w:color="auto" w:fill="auto"/>
            <w:vAlign w:val="center"/>
          </w:tcPr>
          <w:p w14:paraId="4B7E23C9" w14:textId="6E97AB83" w:rsidR="00572E2A" w:rsidRPr="00781112" w:rsidRDefault="00572E2A" w:rsidP="00572E2A">
            <w:pPr>
              <w:spacing w:after="0"/>
              <w:jc w:val="center"/>
              <w:rPr>
                <w:rFonts w:cs="Arial"/>
                <w:color w:val="000000" w:themeColor="text1"/>
                <w:szCs w:val="16"/>
              </w:rPr>
            </w:pPr>
            <w:r>
              <w:rPr>
                <w:rFonts w:cs="Arial"/>
                <w:color w:val="000000" w:themeColor="text1"/>
                <w:szCs w:val="24"/>
              </w:rPr>
              <w:t>N/A</w:t>
            </w:r>
          </w:p>
        </w:tc>
        <w:tc>
          <w:tcPr>
            <w:tcW w:w="501" w:type="pct"/>
            <w:shd w:val="clear" w:color="auto" w:fill="auto"/>
            <w:vAlign w:val="center"/>
          </w:tcPr>
          <w:p w14:paraId="412FC24B" w14:textId="2D7F91B3"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6.27%</w:t>
            </w:r>
          </w:p>
        </w:tc>
        <w:tc>
          <w:tcPr>
            <w:tcW w:w="501" w:type="pct"/>
            <w:shd w:val="clear" w:color="auto" w:fill="auto"/>
            <w:vAlign w:val="center"/>
          </w:tcPr>
          <w:p w14:paraId="603D7CC7" w14:textId="713E97DD"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6.27%</w:t>
            </w:r>
          </w:p>
        </w:tc>
        <w:tc>
          <w:tcPr>
            <w:tcW w:w="455" w:type="pct"/>
            <w:shd w:val="clear" w:color="auto" w:fill="auto"/>
            <w:vAlign w:val="center"/>
          </w:tcPr>
          <w:p w14:paraId="31E8CDB6" w14:textId="7E73D59A"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c>
          <w:tcPr>
            <w:tcW w:w="582" w:type="pct"/>
            <w:shd w:val="clear" w:color="auto" w:fill="auto"/>
            <w:vAlign w:val="center"/>
          </w:tcPr>
          <w:p w14:paraId="4B289CC7" w14:textId="072E6906" w:rsidR="00572E2A" w:rsidRPr="00781112" w:rsidRDefault="00572E2A" w:rsidP="00572E2A">
            <w:pPr>
              <w:spacing w:after="0"/>
              <w:jc w:val="center"/>
              <w:rPr>
                <w:rFonts w:cs="Arial"/>
                <w:color w:val="000000" w:themeColor="text1"/>
                <w:szCs w:val="16"/>
              </w:rPr>
            </w:pPr>
            <w:r w:rsidRPr="00781112">
              <w:rPr>
                <w:rFonts w:cs="Arial"/>
                <w:color w:val="000000" w:themeColor="text1"/>
                <w:szCs w:val="16"/>
              </w:rPr>
              <w:t>N/A</w:t>
            </w:r>
          </w:p>
        </w:tc>
      </w:tr>
    </w:tbl>
    <w:p w14:paraId="11B24ABD" w14:textId="77777777" w:rsidR="00221EC9" w:rsidRPr="00781112" w:rsidRDefault="00221EC9" w:rsidP="00447D0B">
      <w:pPr>
        <w:pStyle w:val="Heading4"/>
      </w:pPr>
      <w:r w:rsidRPr="00781112">
        <w:t>Provide additional information about this indicator (optional)</w:t>
      </w:r>
    </w:p>
    <w:p w14:paraId="05D7B4D4" w14:textId="54FAD054" w:rsidR="003C308E" w:rsidRPr="00D4769B" w:rsidRDefault="002B7490" w:rsidP="00314F94">
      <w:pPr>
        <w:pStyle w:val="ListParagraph"/>
        <w:numPr>
          <w:ilvl w:val="0"/>
          <w:numId w:val="158"/>
        </w:numPr>
        <w:rPr>
          <w:rFonts w:cs="Arial"/>
          <w:color w:val="000000" w:themeColor="text1"/>
          <w:szCs w:val="16"/>
        </w:rPr>
      </w:pPr>
      <w:r w:rsidRPr="00D4769B">
        <w:rPr>
          <w:rFonts w:cs="Arial"/>
          <w:color w:val="000000" w:themeColor="text1"/>
          <w:szCs w:val="16"/>
        </w:rPr>
        <w:t>Students with disabilities, age 5, in kindergarten are no longer reported in Indicators B6A and B6B necessitating an update to the baseline year. The revised baseline year is FFY 2020 for both B6A and B6B. In addition, indicator B6C is a new indicator requiring initial baseline to be set. The initial baseline year is FFY 2020.</w:t>
      </w:r>
    </w:p>
    <w:p w14:paraId="7DD4BC1C" w14:textId="33DA668A" w:rsidR="000A2C83" w:rsidRPr="00781112" w:rsidRDefault="00C96236" w:rsidP="00A22EB9">
      <w:pPr>
        <w:pStyle w:val="Heading3"/>
      </w:pPr>
      <w:r w:rsidRPr="00781112">
        <w:t>6</w:t>
      </w:r>
      <w:r w:rsidR="00C91B94" w:rsidRPr="00781112">
        <w:t xml:space="preserve"> </w:t>
      </w:r>
      <w:r w:rsidRPr="00781112">
        <w:t xml:space="preserve">- </w:t>
      </w:r>
      <w:r w:rsidR="000A2C83" w:rsidRPr="00781112">
        <w:t>Prior FFY Required Actions</w:t>
      </w:r>
    </w:p>
    <w:p w14:paraId="566E0CF8" w14:textId="64232129" w:rsidR="00B1280F" w:rsidRPr="00D4769B" w:rsidRDefault="002B7490" w:rsidP="00314F94">
      <w:pPr>
        <w:pStyle w:val="ListParagraph"/>
        <w:numPr>
          <w:ilvl w:val="0"/>
          <w:numId w:val="159"/>
        </w:numPr>
        <w:rPr>
          <w:rFonts w:cs="Arial"/>
          <w:color w:val="000000" w:themeColor="text1"/>
          <w:szCs w:val="16"/>
        </w:rPr>
      </w:pPr>
      <w:r w:rsidRPr="00D4769B">
        <w:rPr>
          <w:rFonts w:cs="Arial"/>
          <w:color w:val="000000" w:themeColor="text1"/>
          <w:szCs w:val="16"/>
        </w:rPr>
        <w:t>None</w:t>
      </w:r>
    </w:p>
    <w:p w14:paraId="7B71DC87" w14:textId="5C9C7EF8" w:rsidR="00221EC9" w:rsidRPr="00781112" w:rsidRDefault="00C96236" w:rsidP="00A22EB9">
      <w:pPr>
        <w:pStyle w:val="Heading3"/>
      </w:pPr>
      <w:r w:rsidRPr="00781112">
        <w:t>6 - OSEP Response</w:t>
      </w:r>
    </w:p>
    <w:p w14:paraId="6D8649F8" w14:textId="77777777" w:rsidR="00357C0D" w:rsidRPr="00D4769B" w:rsidRDefault="002B7490" w:rsidP="00314F94">
      <w:pPr>
        <w:pStyle w:val="ListParagraph"/>
        <w:numPr>
          <w:ilvl w:val="0"/>
          <w:numId w:val="160"/>
        </w:numPr>
        <w:rPr>
          <w:rFonts w:cs="Arial"/>
          <w:color w:val="000000" w:themeColor="text1"/>
          <w:szCs w:val="16"/>
        </w:rPr>
      </w:pPr>
      <w:r w:rsidRPr="00D4769B">
        <w:rPr>
          <w:rFonts w:cs="Arial"/>
          <w:color w:val="000000" w:themeColor="text1"/>
          <w:szCs w:val="16"/>
        </w:rPr>
        <w:t>The State has revised the baseline for 6A and 6B and established the baseline for 6C, using data from FFY 2020, and OSEP accepts those baselines.</w:t>
      </w:r>
    </w:p>
    <w:p w14:paraId="39CF981B" w14:textId="0A86B97B" w:rsidR="003C308E" w:rsidRPr="00781112" w:rsidRDefault="002B7490" w:rsidP="00016817">
      <w:pPr>
        <w:ind w:left="720"/>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6337E261" w14:textId="7ABFCAD4" w:rsidR="00221EC9" w:rsidRPr="00781112" w:rsidRDefault="00C96236" w:rsidP="00A22EB9">
      <w:pPr>
        <w:pStyle w:val="Heading3"/>
      </w:pPr>
      <w:r w:rsidRPr="00781112">
        <w:t>6 - Required Actions</w:t>
      </w:r>
    </w:p>
    <w:p w14:paraId="2AA7BDE7" w14:textId="78996910" w:rsidR="00600E15" w:rsidRPr="00D4769B" w:rsidRDefault="00357C0D" w:rsidP="00314F94">
      <w:pPr>
        <w:pStyle w:val="ListParagraph"/>
        <w:numPr>
          <w:ilvl w:val="0"/>
          <w:numId w:val="161"/>
        </w:numPr>
        <w:rPr>
          <w:rFonts w:eastAsiaTheme="majorEastAsia" w:cs="Arial"/>
          <w:b/>
          <w:bCs/>
          <w:color w:val="000000" w:themeColor="text1"/>
          <w:szCs w:val="16"/>
        </w:rPr>
      </w:pPr>
      <w:r w:rsidRPr="00D4769B">
        <w:rPr>
          <w:rFonts w:cs="Arial"/>
          <w:color w:val="000000" w:themeColor="text1"/>
          <w:szCs w:val="16"/>
        </w:rPr>
        <w:t xml:space="preserve">Not </w:t>
      </w:r>
      <w:proofErr w:type="spellStart"/>
      <w:r w:rsidRPr="00D4769B">
        <w:rPr>
          <w:rFonts w:cs="Arial"/>
          <w:color w:val="000000" w:themeColor="text1"/>
          <w:szCs w:val="16"/>
        </w:rPr>
        <w:t>appicable</w:t>
      </w:r>
      <w:proofErr w:type="spellEnd"/>
      <w:r w:rsidR="00600E15" w:rsidRPr="00D4769B">
        <w:rPr>
          <w:rFonts w:cs="Arial"/>
          <w:color w:val="000000" w:themeColor="text1"/>
          <w:szCs w:val="16"/>
        </w:rPr>
        <w:br w:type="page"/>
      </w:r>
    </w:p>
    <w:p w14:paraId="26B1B256" w14:textId="29C391BC" w:rsidR="00D21EAA" w:rsidRPr="00781112" w:rsidRDefault="00D21EAA" w:rsidP="008143AB">
      <w:pPr>
        <w:pStyle w:val="Heading2"/>
      </w:pPr>
      <w:r w:rsidRPr="00781112">
        <w:lastRenderedPageBreak/>
        <w:t>Indicator 7: Preschool Outcomes</w:t>
      </w:r>
      <w:bookmarkEnd w:id="40"/>
      <w:bookmarkEnd w:id="41"/>
    </w:p>
    <w:p w14:paraId="1404DCF9" w14:textId="77777777" w:rsidR="00531E54" w:rsidRPr="00E37876" w:rsidRDefault="00531E54" w:rsidP="00447D0B">
      <w:pPr>
        <w:pStyle w:val="Heading3"/>
        <w:spacing w:before="240"/>
      </w:pPr>
      <w:bookmarkStart w:id="43" w:name="_Toc392159303"/>
      <w:r w:rsidRPr="00E37876">
        <w:t>Instructions and Measurement</w:t>
      </w:r>
    </w:p>
    <w:p w14:paraId="0A136297" w14:textId="4837554F" w:rsidR="00CC634E" w:rsidRPr="00781112" w:rsidRDefault="00CC634E" w:rsidP="00A22EB9">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A22EB9">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0813BD0C" w:rsidR="00CC634E" w:rsidRPr="00E37876" w:rsidRDefault="00F006BC" w:rsidP="00155DFD">
      <w:pPr>
        <w:pStyle w:val="ListParagraph"/>
        <w:numPr>
          <w:ilvl w:val="0"/>
          <w:numId w:val="26"/>
        </w:numPr>
        <w:contextualSpacing w:val="0"/>
        <w:rPr>
          <w:rFonts w:cs="Arial"/>
          <w:color w:val="000000" w:themeColor="text1"/>
          <w:szCs w:val="16"/>
        </w:rPr>
      </w:pPr>
      <w:r w:rsidRPr="00E37876">
        <w:rPr>
          <w:rFonts w:cs="Arial"/>
          <w:color w:val="000000" w:themeColor="text1"/>
          <w:szCs w:val="16"/>
        </w:rPr>
        <w:t>Positive social-emotional skills (including social relationships</w:t>
      </w:r>
      <w:proofErr w:type="gramStart"/>
      <w:r w:rsidRPr="00E37876">
        <w:rPr>
          <w:rFonts w:cs="Arial"/>
          <w:color w:val="000000" w:themeColor="text1"/>
          <w:szCs w:val="16"/>
        </w:rPr>
        <w:t>);</w:t>
      </w:r>
      <w:proofErr w:type="gramEnd"/>
    </w:p>
    <w:p w14:paraId="5D82DAD8" w14:textId="4F6F8977" w:rsidR="00CC634E" w:rsidRPr="00E37876" w:rsidRDefault="00F006BC" w:rsidP="00155DFD">
      <w:pPr>
        <w:pStyle w:val="ListParagraph"/>
        <w:numPr>
          <w:ilvl w:val="0"/>
          <w:numId w:val="26"/>
        </w:numPr>
        <w:contextualSpacing w:val="0"/>
        <w:rPr>
          <w:rFonts w:cs="Arial"/>
          <w:color w:val="000000" w:themeColor="text1"/>
          <w:szCs w:val="16"/>
        </w:rPr>
      </w:pPr>
      <w:r w:rsidRPr="00E37876">
        <w:rPr>
          <w:rFonts w:cs="Arial"/>
          <w:color w:val="000000" w:themeColor="text1"/>
          <w:szCs w:val="16"/>
        </w:rPr>
        <w:t>Acquisition and use of knowledge and skills (including early language/ communication and early literacy); and</w:t>
      </w:r>
    </w:p>
    <w:p w14:paraId="00126FB5" w14:textId="1EC96C36" w:rsidR="00CC634E" w:rsidRPr="00E37876" w:rsidRDefault="00F020B0" w:rsidP="00155DFD">
      <w:pPr>
        <w:pStyle w:val="ListParagraph"/>
        <w:numPr>
          <w:ilvl w:val="0"/>
          <w:numId w:val="26"/>
        </w:numPr>
        <w:contextualSpacing w:val="0"/>
        <w:rPr>
          <w:rFonts w:cs="Arial"/>
          <w:color w:val="000000" w:themeColor="text1"/>
          <w:szCs w:val="16"/>
        </w:rPr>
      </w:pPr>
      <w:r w:rsidRPr="00E37876">
        <w:rPr>
          <w:rFonts w:cs="Arial"/>
          <w:color w:val="000000" w:themeColor="text1"/>
          <w:szCs w:val="16"/>
        </w:rPr>
        <w:t>Use of appropriate behaviors to meet their needs.</w:t>
      </w:r>
    </w:p>
    <w:p w14:paraId="5E54210F" w14:textId="77777777" w:rsidR="00CC634E" w:rsidRPr="00781112" w:rsidRDefault="00CC634E" w:rsidP="00A22EB9">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47D0B">
      <w:pPr>
        <w:pStyle w:val="Heading4"/>
      </w:pPr>
      <w:r w:rsidRPr="00781112">
        <w:t>Data Source</w:t>
      </w:r>
    </w:p>
    <w:p w14:paraId="23E18A51" w14:textId="0FC94A9E" w:rsidR="008751D3" w:rsidRPr="00781112" w:rsidRDefault="008751D3" w:rsidP="00A22EB9">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47D0B">
      <w:pPr>
        <w:pStyle w:val="Heading4"/>
      </w:pPr>
      <w:r w:rsidRPr="00781112">
        <w:t>Measurement</w:t>
      </w:r>
    </w:p>
    <w:p w14:paraId="1FF326CF" w14:textId="77777777" w:rsidR="008751D3" w:rsidRPr="00781112" w:rsidRDefault="008751D3" w:rsidP="00A22EB9">
      <w:pPr>
        <w:rPr>
          <w:rFonts w:cs="Arial"/>
          <w:color w:val="000000" w:themeColor="text1"/>
          <w:szCs w:val="16"/>
        </w:rPr>
      </w:pPr>
      <w:r w:rsidRPr="00781112">
        <w:rPr>
          <w:rFonts w:cs="Arial"/>
          <w:color w:val="000000" w:themeColor="text1"/>
          <w:szCs w:val="16"/>
        </w:rPr>
        <w:t>Outcomes:</w:t>
      </w:r>
    </w:p>
    <w:p w14:paraId="4E248912" w14:textId="27FB963D" w:rsidR="008751D3" w:rsidRPr="00E37876" w:rsidRDefault="00D92169" w:rsidP="00155DFD">
      <w:pPr>
        <w:pStyle w:val="ListParagraph"/>
        <w:numPr>
          <w:ilvl w:val="0"/>
          <w:numId w:val="27"/>
        </w:numPr>
        <w:contextualSpacing w:val="0"/>
        <w:rPr>
          <w:rFonts w:eastAsia="Times New Roman" w:cs="Arial"/>
          <w:color w:val="000000" w:themeColor="text1"/>
          <w:szCs w:val="16"/>
        </w:rPr>
      </w:pPr>
      <w:r w:rsidRPr="00E37876">
        <w:rPr>
          <w:rFonts w:eastAsia="Times New Roman" w:cs="Arial"/>
          <w:color w:val="000000" w:themeColor="text1"/>
          <w:szCs w:val="16"/>
        </w:rPr>
        <w:t>Positive social-emotional skills (including social relationships</w:t>
      </w:r>
      <w:proofErr w:type="gramStart"/>
      <w:r w:rsidRPr="00E37876">
        <w:rPr>
          <w:rFonts w:eastAsia="Times New Roman" w:cs="Arial"/>
          <w:color w:val="000000" w:themeColor="text1"/>
          <w:szCs w:val="16"/>
        </w:rPr>
        <w:t>);</w:t>
      </w:r>
      <w:proofErr w:type="gramEnd"/>
    </w:p>
    <w:p w14:paraId="6AAB6861" w14:textId="799B7012" w:rsidR="008751D3" w:rsidRPr="00E37876" w:rsidRDefault="00D92169" w:rsidP="00155DFD">
      <w:pPr>
        <w:pStyle w:val="ListParagraph"/>
        <w:numPr>
          <w:ilvl w:val="0"/>
          <w:numId w:val="27"/>
        </w:numPr>
        <w:contextualSpacing w:val="0"/>
        <w:rPr>
          <w:rFonts w:eastAsia="Times New Roman" w:cs="Arial"/>
          <w:color w:val="000000" w:themeColor="text1"/>
          <w:szCs w:val="16"/>
        </w:rPr>
      </w:pPr>
      <w:r w:rsidRPr="00E37876">
        <w:rPr>
          <w:rFonts w:eastAsia="Times New Roman" w:cs="Arial"/>
          <w:color w:val="000000" w:themeColor="text1"/>
          <w:szCs w:val="16"/>
        </w:rPr>
        <w:t>Acquisition and use of knowledge and skills (including early language/communication and early literacy); and</w:t>
      </w:r>
    </w:p>
    <w:p w14:paraId="4CD04035" w14:textId="2FDDE7B9" w:rsidR="008751D3" w:rsidRPr="00E37876" w:rsidRDefault="00D92169" w:rsidP="00155DFD">
      <w:pPr>
        <w:pStyle w:val="ListParagraph"/>
        <w:numPr>
          <w:ilvl w:val="0"/>
          <w:numId w:val="27"/>
        </w:numPr>
        <w:contextualSpacing w:val="0"/>
        <w:rPr>
          <w:rFonts w:eastAsia="Times New Roman" w:cs="Arial"/>
          <w:color w:val="000000" w:themeColor="text1"/>
          <w:szCs w:val="16"/>
        </w:rPr>
      </w:pPr>
      <w:r w:rsidRPr="00E37876">
        <w:rPr>
          <w:rFonts w:eastAsia="Times New Roman" w:cs="Arial"/>
          <w:color w:val="000000" w:themeColor="text1"/>
          <w:szCs w:val="16"/>
        </w:rPr>
        <w:t>Use of appropriate behaviors to meet their needs.</w:t>
      </w:r>
    </w:p>
    <w:p w14:paraId="6C3C0B77" w14:textId="77777777" w:rsidR="008751D3" w:rsidRPr="00781112" w:rsidRDefault="008751D3" w:rsidP="00A22EB9">
      <w:pPr>
        <w:rPr>
          <w:rFonts w:cs="Arial"/>
          <w:color w:val="000000" w:themeColor="text1"/>
          <w:szCs w:val="16"/>
        </w:rPr>
      </w:pPr>
      <w:r w:rsidRPr="00781112">
        <w:rPr>
          <w:rFonts w:cs="Arial"/>
          <w:color w:val="000000" w:themeColor="text1"/>
          <w:szCs w:val="16"/>
        </w:rPr>
        <w:t>Progress categories for A, B and C:</w:t>
      </w:r>
    </w:p>
    <w:p w14:paraId="5690C8BE" w14:textId="62A6B8E2" w:rsidR="008751D3" w:rsidRPr="00E37876" w:rsidRDefault="00D048BC" w:rsidP="00155DFD">
      <w:pPr>
        <w:pStyle w:val="ListParagraph"/>
        <w:numPr>
          <w:ilvl w:val="0"/>
          <w:numId w:val="28"/>
        </w:numPr>
        <w:spacing w:after="0"/>
        <w:ind w:hanging="90"/>
        <w:rPr>
          <w:rFonts w:eastAsia="Times New Roman" w:cs="Arial"/>
          <w:color w:val="000000" w:themeColor="text1"/>
          <w:szCs w:val="16"/>
        </w:rPr>
      </w:pPr>
      <w:r w:rsidRPr="00E37876">
        <w:rPr>
          <w:rFonts w:eastAsia="Times New Roman" w:cs="Arial"/>
          <w:color w:val="000000" w:themeColor="text1"/>
          <w:szCs w:val="16"/>
        </w:rPr>
        <w:t>Percent of preschool children who did not improve functioning = [(# of preschool children who did not improve functioning) divided by (# of preschool children with IEPs assessed)] times 100.</w:t>
      </w:r>
    </w:p>
    <w:p w14:paraId="0B720C40" w14:textId="5810A917" w:rsidR="008751D3" w:rsidRPr="00E37876" w:rsidRDefault="00D92169" w:rsidP="00155DFD">
      <w:pPr>
        <w:pStyle w:val="ListParagraph"/>
        <w:numPr>
          <w:ilvl w:val="0"/>
          <w:numId w:val="28"/>
        </w:numPr>
        <w:spacing w:after="0"/>
        <w:ind w:hanging="90"/>
        <w:rPr>
          <w:rFonts w:eastAsia="Times New Roman" w:cs="Arial"/>
          <w:color w:val="000000" w:themeColor="text1"/>
          <w:szCs w:val="16"/>
        </w:rPr>
      </w:pPr>
      <w:r w:rsidRPr="00E37876">
        <w:rPr>
          <w:rFonts w:eastAsia="Times New Roman" w:cs="Arial"/>
          <w:color w:val="000000" w:themeColor="text1"/>
          <w:szCs w:val="16"/>
        </w:rPr>
        <w:t>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17F1C103" w:rsidR="008751D3" w:rsidRPr="00E37876" w:rsidRDefault="00D92169" w:rsidP="00155DFD">
      <w:pPr>
        <w:pStyle w:val="ListParagraph"/>
        <w:numPr>
          <w:ilvl w:val="0"/>
          <w:numId w:val="28"/>
        </w:numPr>
        <w:spacing w:after="0"/>
        <w:ind w:hanging="90"/>
        <w:rPr>
          <w:rFonts w:eastAsia="Times New Roman" w:cs="Arial"/>
          <w:color w:val="000000" w:themeColor="text1"/>
          <w:szCs w:val="16"/>
        </w:rPr>
      </w:pPr>
      <w:r w:rsidRPr="00E37876">
        <w:rPr>
          <w:rFonts w:eastAsia="Times New Roman" w:cs="Arial"/>
          <w:color w:val="000000" w:themeColor="text1"/>
          <w:szCs w:val="16"/>
        </w:rPr>
        <w:t>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B25B0E" w:rsidR="008751D3" w:rsidRPr="00E37876" w:rsidRDefault="00D92169" w:rsidP="00155DFD">
      <w:pPr>
        <w:pStyle w:val="ListParagraph"/>
        <w:numPr>
          <w:ilvl w:val="0"/>
          <w:numId w:val="28"/>
        </w:numPr>
        <w:spacing w:after="0"/>
        <w:ind w:hanging="90"/>
        <w:rPr>
          <w:rFonts w:eastAsia="Times New Roman" w:cs="Arial"/>
          <w:color w:val="000000" w:themeColor="text1"/>
          <w:szCs w:val="16"/>
        </w:rPr>
      </w:pPr>
      <w:r w:rsidRPr="00E37876">
        <w:rPr>
          <w:rFonts w:eastAsia="Times New Roman" w:cs="Arial"/>
          <w:color w:val="000000" w:themeColor="text1"/>
          <w:szCs w:val="16"/>
        </w:rPr>
        <w:lastRenderedPageBreak/>
        <w:t>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7AC3A98B" w:rsidR="008751D3" w:rsidRPr="00E37876" w:rsidRDefault="00D92169" w:rsidP="00155DFD">
      <w:pPr>
        <w:pStyle w:val="ListParagraph"/>
        <w:numPr>
          <w:ilvl w:val="0"/>
          <w:numId w:val="28"/>
        </w:numPr>
        <w:ind w:hanging="90"/>
        <w:rPr>
          <w:rFonts w:eastAsia="Times New Roman" w:cs="Arial"/>
          <w:color w:val="000000" w:themeColor="text1"/>
          <w:szCs w:val="16"/>
        </w:rPr>
      </w:pPr>
      <w:r w:rsidRPr="00E37876">
        <w:rPr>
          <w:rFonts w:eastAsia="Times New Roman" w:cs="Arial"/>
          <w:color w:val="000000" w:themeColor="text1"/>
          <w:szCs w:val="16"/>
        </w:rPr>
        <w:t>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447D0B">
      <w:pPr>
        <w:pStyle w:val="Heading4"/>
      </w:pPr>
      <w:r w:rsidRPr="00781112">
        <w:t>Summary Statements for Each of the Three Outcomes:</w:t>
      </w:r>
    </w:p>
    <w:p w14:paraId="65FE21E5" w14:textId="77777777" w:rsidR="008751D3" w:rsidRPr="00781112" w:rsidRDefault="008751D3" w:rsidP="00A22EB9">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A22EB9">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A22EB9">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A22EB9">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47D0B">
      <w:pPr>
        <w:pStyle w:val="Heading4"/>
      </w:pPr>
      <w:r w:rsidRPr="00781112">
        <w:t>Instructions</w:t>
      </w:r>
    </w:p>
    <w:p w14:paraId="7FEF7064" w14:textId="77777777" w:rsidR="008751D3" w:rsidRPr="00781112" w:rsidRDefault="008751D3" w:rsidP="00A22EB9">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E37876">
        <w:rPr>
          <w:rFonts w:cs="Arial"/>
          <w:color w:val="000000" w:themeColor="text1"/>
          <w:szCs w:val="16"/>
        </w:rPr>
        <w:t>General Instructions</w:t>
      </w:r>
      <w:r w:rsidRPr="00781112">
        <w:rPr>
          <w:rFonts w:cs="Arial"/>
          <w:color w:val="000000" w:themeColor="text1"/>
          <w:szCs w:val="16"/>
        </w:rPr>
        <w:t> on page 2 for additional instructions on sampling.)</w:t>
      </w:r>
    </w:p>
    <w:p w14:paraId="1FB7B1C7" w14:textId="77777777" w:rsidR="008751D3" w:rsidRPr="00781112" w:rsidRDefault="008751D3" w:rsidP="00A22EB9">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A22EB9">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781112" w:rsidRDefault="008751D3" w:rsidP="00A22EB9">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A22EB9">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A22EB9">
      <w:pPr>
        <w:rPr>
          <w:rFonts w:cs="Arial"/>
          <w:color w:val="000000" w:themeColor="text1"/>
          <w:szCs w:val="16"/>
        </w:rPr>
      </w:pPr>
      <w:r w:rsidRPr="00781112">
        <w:rPr>
          <w:rFonts w:cs="Arial"/>
          <w:color w:val="000000" w:themeColor="text1"/>
          <w:szCs w:val="16"/>
        </w:rPr>
        <w:lastRenderedPageBreak/>
        <w:t>In addition, list the instruments and procedures used to gather data for this indicator, including if the State is using the ECO COS.</w:t>
      </w:r>
    </w:p>
    <w:bookmarkEnd w:id="43"/>
    <w:p w14:paraId="55101798" w14:textId="340B2E8D" w:rsidR="00DF6E30" w:rsidRPr="00781112" w:rsidRDefault="00C96236" w:rsidP="00A22EB9">
      <w:pPr>
        <w:pStyle w:val="Heading3"/>
      </w:pPr>
      <w:r w:rsidRPr="00781112">
        <w:t>7</w:t>
      </w:r>
      <w:r w:rsidR="00444A9D" w:rsidRPr="00781112">
        <w:t xml:space="preserve"> </w:t>
      </w:r>
      <w:r w:rsidRPr="00781112">
        <w:t xml:space="preserve">- </w:t>
      </w:r>
      <w:r w:rsidR="00DF6E30" w:rsidRPr="00781112">
        <w:t>Indicator Data</w:t>
      </w:r>
    </w:p>
    <w:p w14:paraId="5AA4EA63" w14:textId="77777777" w:rsidR="0091098C" w:rsidRPr="00D4769B" w:rsidRDefault="0091098C" w:rsidP="00314F94">
      <w:pPr>
        <w:pStyle w:val="ListParagraph"/>
        <w:numPr>
          <w:ilvl w:val="0"/>
          <w:numId w:val="162"/>
        </w:numPr>
        <w:rPr>
          <w:bCs/>
          <w:color w:val="000000" w:themeColor="text1"/>
        </w:rPr>
      </w:pPr>
      <w:r w:rsidRPr="00D4769B">
        <w:rPr>
          <w:bCs/>
          <w:color w:val="000000" w:themeColor="text1"/>
        </w:rPr>
        <w:t>Not Applicable</w:t>
      </w:r>
    </w:p>
    <w:p w14:paraId="284C9B1A" w14:textId="32C218D6" w:rsidR="002D30ED" w:rsidRPr="00781112" w:rsidRDefault="00E54DDA" w:rsidP="00A22EB9">
      <w:pPr>
        <w:rPr>
          <w:b/>
          <w:color w:val="000000" w:themeColor="text1"/>
        </w:rPr>
      </w:pPr>
      <w:r w:rsidRPr="00781112">
        <w:rPr>
          <w:b/>
          <w:color w:val="000000" w:themeColor="text1"/>
        </w:rPr>
        <w:t>Select yes if this indicator is not applicable.</w:t>
      </w:r>
    </w:p>
    <w:p w14:paraId="400C4A0C" w14:textId="14D61CF8" w:rsidR="00043AC9" w:rsidRPr="00D4769B" w:rsidRDefault="00016817" w:rsidP="00314F94">
      <w:pPr>
        <w:pStyle w:val="ListParagraph"/>
        <w:numPr>
          <w:ilvl w:val="0"/>
          <w:numId w:val="163"/>
        </w:numPr>
        <w:rPr>
          <w:rFonts w:cs="Arial"/>
          <w:color w:val="000000" w:themeColor="text1"/>
          <w:szCs w:val="16"/>
        </w:rPr>
      </w:pPr>
      <w:r w:rsidRPr="00D4769B">
        <w:rPr>
          <w:rFonts w:cs="Arial"/>
          <w:color w:val="000000" w:themeColor="text1"/>
          <w:szCs w:val="16"/>
        </w:rPr>
        <w:t>No</w:t>
      </w:r>
    </w:p>
    <w:p w14:paraId="50CA9D39" w14:textId="4EABB9F7" w:rsidR="00CC634E" w:rsidRPr="00781112" w:rsidRDefault="00CC634E" w:rsidP="00815ACE">
      <w:pPr>
        <w:pStyle w:val="Caption"/>
      </w:pPr>
      <w:r w:rsidRPr="00781112">
        <w:t>Historical Data</w:t>
      </w:r>
      <w:r w:rsidR="0097256F">
        <w:t xml:space="preserve">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provides baseline year and baseline data for this indicator."/>
      </w:tblPr>
      <w:tblGrid>
        <w:gridCol w:w="805"/>
        <w:gridCol w:w="1260"/>
        <w:gridCol w:w="1349"/>
        <w:gridCol w:w="1476"/>
        <w:gridCol w:w="1476"/>
        <w:gridCol w:w="1476"/>
        <w:gridCol w:w="1476"/>
        <w:gridCol w:w="1472"/>
      </w:tblGrid>
      <w:tr w:rsidR="00E37876" w:rsidRPr="00781112" w14:paraId="67761B76" w14:textId="2BE890F9" w:rsidTr="00E37876">
        <w:trPr>
          <w:trHeight w:val="432"/>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E7D96" w14:textId="48B4F674" w:rsidR="00FA72A0" w:rsidRPr="00781112" w:rsidRDefault="00E104F3" w:rsidP="00E37876">
            <w:pPr>
              <w:spacing w:after="0"/>
              <w:jc w:val="center"/>
              <w:rPr>
                <w:rFonts w:cs="Arial"/>
                <w:b/>
                <w:color w:val="000000" w:themeColor="text1"/>
                <w:szCs w:val="16"/>
              </w:rPr>
            </w:pPr>
            <w:r w:rsidRPr="00781112">
              <w:rPr>
                <w:rFonts w:cs="Arial"/>
                <w:b/>
                <w:color w:val="000000" w:themeColor="text1"/>
                <w:szCs w:val="16"/>
              </w:rPr>
              <w:t>Part</w:t>
            </w:r>
          </w:p>
        </w:tc>
        <w:tc>
          <w:tcPr>
            <w:tcW w:w="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489DB" w14:textId="6B491234" w:rsidR="00FA72A0" w:rsidRPr="00781112" w:rsidRDefault="00FA72A0" w:rsidP="00E37876">
            <w:pPr>
              <w:spacing w:after="0"/>
              <w:jc w:val="center"/>
              <w:rPr>
                <w:rFonts w:cs="Arial"/>
                <w:b/>
                <w:color w:val="000000" w:themeColor="text1"/>
                <w:szCs w:val="16"/>
              </w:rPr>
            </w:pPr>
            <w:r w:rsidRPr="00781112">
              <w:rPr>
                <w:rFonts w:cs="Arial"/>
                <w:b/>
                <w:color w:val="000000" w:themeColor="text1"/>
                <w:szCs w:val="16"/>
              </w:rPr>
              <w:t>Baseline</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97066" w14:textId="77777777" w:rsidR="00FA72A0" w:rsidRPr="00781112" w:rsidRDefault="00FA72A0" w:rsidP="00E37876">
            <w:pPr>
              <w:spacing w:after="0"/>
              <w:jc w:val="center"/>
              <w:rPr>
                <w:rFonts w:cs="Arial"/>
                <w:b/>
                <w:color w:val="000000" w:themeColor="text1"/>
                <w:szCs w:val="16"/>
              </w:rPr>
            </w:pPr>
            <w:r w:rsidRPr="00781112">
              <w:rPr>
                <w:rFonts w:cs="Arial"/>
                <w:b/>
                <w:color w:val="000000" w:themeColor="text1"/>
                <w:szCs w:val="16"/>
              </w:rPr>
              <w:t>FFY</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9CABA" w14:textId="781A1A3B" w:rsidR="00FA72A0" w:rsidRPr="00781112" w:rsidRDefault="002B7490" w:rsidP="00E37876">
            <w:pPr>
              <w:spacing w:after="0"/>
              <w:jc w:val="center"/>
              <w:rPr>
                <w:rFonts w:cs="Arial"/>
                <w:b/>
                <w:color w:val="000000" w:themeColor="text1"/>
                <w:szCs w:val="16"/>
              </w:rPr>
            </w:pPr>
            <w:r w:rsidRPr="00781112">
              <w:rPr>
                <w:rFonts w:cs="Arial"/>
                <w:b/>
                <w:color w:val="000000" w:themeColor="text1"/>
                <w:szCs w:val="16"/>
              </w:rPr>
              <w:t>2015</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31AF6" w14:textId="0E6C2E5A" w:rsidR="00FA72A0" w:rsidRPr="00781112" w:rsidRDefault="002B7490" w:rsidP="00E37876">
            <w:pPr>
              <w:spacing w:after="0"/>
              <w:jc w:val="center"/>
              <w:rPr>
                <w:rFonts w:cs="Arial"/>
                <w:b/>
                <w:color w:val="000000" w:themeColor="text1"/>
                <w:szCs w:val="16"/>
              </w:rPr>
            </w:pPr>
            <w:r w:rsidRPr="00781112">
              <w:rPr>
                <w:rFonts w:cs="Arial"/>
                <w:b/>
                <w:color w:val="000000" w:themeColor="text1"/>
                <w:szCs w:val="16"/>
              </w:rPr>
              <w:t>2016</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E1D98" w14:textId="03E0AC83" w:rsidR="00FA72A0" w:rsidRPr="00781112" w:rsidRDefault="002B7490" w:rsidP="00E37876">
            <w:pPr>
              <w:spacing w:after="0"/>
              <w:jc w:val="center"/>
              <w:rPr>
                <w:rFonts w:cs="Arial"/>
                <w:b/>
                <w:color w:val="000000" w:themeColor="text1"/>
                <w:szCs w:val="16"/>
              </w:rPr>
            </w:pPr>
            <w:r w:rsidRPr="00781112">
              <w:rPr>
                <w:rFonts w:cs="Arial"/>
                <w:b/>
                <w:color w:val="000000" w:themeColor="text1"/>
                <w:szCs w:val="16"/>
              </w:rPr>
              <w:t>2017</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1BFA" w14:textId="46B34AA6" w:rsidR="00FA72A0" w:rsidRPr="00781112" w:rsidRDefault="002B7490" w:rsidP="00E37876">
            <w:pPr>
              <w:spacing w:after="0"/>
              <w:jc w:val="center"/>
              <w:rPr>
                <w:rFonts w:cs="Arial"/>
                <w:b/>
                <w:color w:val="000000" w:themeColor="text1"/>
                <w:szCs w:val="16"/>
              </w:rPr>
            </w:pPr>
            <w:r w:rsidRPr="00781112">
              <w:rPr>
                <w:rFonts w:cs="Arial"/>
                <w:b/>
                <w:color w:val="000000" w:themeColor="text1"/>
                <w:szCs w:val="16"/>
              </w:rPr>
              <w:t>2018</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7EB6E" w14:textId="46F53E4B" w:rsidR="00FA72A0" w:rsidRPr="00781112" w:rsidRDefault="002B7490" w:rsidP="00E37876">
            <w:pPr>
              <w:spacing w:after="0"/>
              <w:jc w:val="center"/>
              <w:rPr>
                <w:rFonts w:cs="Arial"/>
                <w:b/>
                <w:color w:val="000000" w:themeColor="text1"/>
                <w:szCs w:val="16"/>
              </w:rPr>
            </w:pPr>
            <w:r w:rsidRPr="00781112">
              <w:rPr>
                <w:rFonts w:cs="Arial"/>
                <w:b/>
                <w:color w:val="000000" w:themeColor="text1"/>
                <w:szCs w:val="16"/>
              </w:rPr>
              <w:t>2019</w:t>
            </w:r>
          </w:p>
        </w:tc>
      </w:tr>
      <w:tr w:rsidR="005F0D3B" w:rsidRPr="00781112" w14:paraId="6B7CE9C8" w14:textId="0609FA3D" w:rsidTr="00E37876">
        <w:trPr>
          <w:trHeight w:val="432"/>
        </w:trPr>
        <w:tc>
          <w:tcPr>
            <w:tcW w:w="373"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rsidP="00E37876">
            <w:pPr>
              <w:spacing w:after="0"/>
              <w:jc w:val="center"/>
              <w:rPr>
                <w:rFonts w:cs="Arial"/>
                <w:color w:val="000000" w:themeColor="text1"/>
                <w:szCs w:val="16"/>
              </w:rPr>
            </w:pPr>
            <w:r w:rsidRPr="00781112">
              <w:rPr>
                <w:rFonts w:cs="Arial"/>
                <w:color w:val="000000" w:themeColor="text1"/>
                <w:szCs w:val="16"/>
              </w:rPr>
              <w:t>A1</w:t>
            </w:r>
          </w:p>
        </w:tc>
        <w:tc>
          <w:tcPr>
            <w:tcW w:w="584"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2008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E37876">
            <w:pPr>
              <w:spacing w:after="0"/>
              <w:rPr>
                <w:rFonts w:cs="Arial"/>
                <w:color w:val="000000" w:themeColor="text1"/>
                <w:szCs w:val="16"/>
              </w:rPr>
            </w:pPr>
            <w:r w:rsidRPr="00781112">
              <w:rPr>
                <w:rFonts w:cs="Arial"/>
                <w:color w:val="000000" w:themeColor="text1"/>
                <w:szCs w:val="16"/>
              </w:rPr>
              <w:t>Target &gt;=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89.80%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89.90%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90.00%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90.10%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90.10%</w:t>
            </w:r>
          </w:p>
        </w:tc>
      </w:tr>
      <w:tr w:rsidR="005F0D3B" w:rsidRPr="00781112" w14:paraId="1273980B" w14:textId="53318F32" w:rsidTr="00E37876">
        <w:trPr>
          <w:trHeight w:val="432"/>
        </w:trPr>
        <w:tc>
          <w:tcPr>
            <w:tcW w:w="373" w:type="pct"/>
            <w:tcBorders>
              <w:left w:val="single" w:sz="4" w:space="0" w:color="auto"/>
              <w:right w:val="single" w:sz="4" w:space="0" w:color="auto"/>
            </w:tcBorders>
            <w:shd w:val="clear" w:color="auto" w:fill="auto"/>
            <w:vAlign w:val="center"/>
          </w:tcPr>
          <w:p w14:paraId="32218C67" w14:textId="38A3EC13" w:rsidR="00CF6742" w:rsidRPr="00781112" w:rsidRDefault="001474EC" w:rsidP="00E37876">
            <w:pPr>
              <w:spacing w:after="0"/>
              <w:jc w:val="center"/>
              <w:rPr>
                <w:rFonts w:cs="Arial"/>
                <w:color w:val="000000" w:themeColor="text1"/>
                <w:szCs w:val="16"/>
              </w:rPr>
            </w:pPr>
            <w:r w:rsidRPr="00781112">
              <w:rPr>
                <w:rFonts w:cs="Arial"/>
                <w:color w:val="000000" w:themeColor="text1"/>
                <w:szCs w:val="16"/>
              </w:rPr>
              <w:t>A1</w:t>
            </w:r>
          </w:p>
        </w:tc>
        <w:tc>
          <w:tcPr>
            <w:tcW w:w="584" w:type="pct"/>
            <w:tcBorders>
              <w:left w:val="single" w:sz="4" w:space="0" w:color="auto"/>
              <w:right w:val="single" w:sz="4" w:space="0" w:color="auto"/>
            </w:tcBorders>
            <w:shd w:val="clear" w:color="auto" w:fill="auto"/>
            <w:vAlign w:val="center"/>
          </w:tcPr>
          <w:p w14:paraId="4C1410E0" w14:textId="3EB7FCEC"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82.00%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E37876">
            <w:pPr>
              <w:spacing w:after="0"/>
              <w:rPr>
                <w:rFonts w:cs="Arial"/>
                <w:color w:val="000000" w:themeColor="text1"/>
                <w:szCs w:val="16"/>
              </w:rPr>
            </w:pPr>
            <w:r w:rsidRPr="00781112">
              <w:rPr>
                <w:rFonts w:cs="Arial"/>
                <w:color w:val="000000" w:themeColor="text1"/>
                <w:szCs w:val="16"/>
              </w:rPr>
              <w:t>Data</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91.58%</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92.39%</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92.59%</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93.08%</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93.17%</w:t>
            </w:r>
          </w:p>
        </w:tc>
      </w:tr>
      <w:tr w:rsidR="005F0D3B" w:rsidRPr="00781112" w14:paraId="0B3AB2AF" w14:textId="0ED8043B" w:rsidTr="00E37876">
        <w:trPr>
          <w:trHeight w:val="432"/>
        </w:trPr>
        <w:tc>
          <w:tcPr>
            <w:tcW w:w="373"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rsidP="00E37876">
            <w:pPr>
              <w:spacing w:after="0"/>
              <w:jc w:val="center"/>
              <w:rPr>
                <w:rFonts w:cs="Arial"/>
                <w:color w:val="000000" w:themeColor="text1"/>
                <w:szCs w:val="16"/>
              </w:rPr>
            </w:pPr>
            <w:r w:rsidRPr="00781112">
              <w:rPr>
                <w:rFonts w:cs="Arial"/>
                <w:color w:val="000000" w:themeColor="text1"/>
                <w:szCs w:val="16"/>
              </w:rPr>
              <w:t>A2</w:t>
            </w:r>
          </w:p>
        </w:tc>
        <w:tc>
          <w:tcPr>
            <w:tcW w:w="584"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2008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E37876">
            <w:pPr>
              <w:spacing w:after="0"/>
              <w:rPr>
                <w:rFonts w:cs="Arial"/>
                <w:color w:val="000000" w:themeColor="text1"/>
                <w:szCs w:val="16"/>
              </w:rPr>
            </w:pPr>
            <w:r w:rsidRPr="00781112">
              <w:rPr>
                <w:rFonts w:cs="Arial"/>
                <w:color w:val="000000" w:themeColor="text1"/>
                <w:szCs w:val="16"/>
              </w:rPr>
              <w:t>Target &gt;=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57.60%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57.70%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57.80%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57.90%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56.00%</w:t>
            </w:r>
          </w:p>
        </w:tc>
      </w:tr>
      <w:tr w:rsidR="005F0D3B" w:rsidRPr="00781112" w14:paraId="1D11B386" w14:textId="42BD85F0" w:rsidTr="00E37876">
        <w:trPr>
          <w:trHeight w:val="432"/>
        </w:trPr>
        <w:tc>
          <w:tcPr>
            <w:tcW w:w="373" w:type="pct"/>
            <w:tcBorders>
              <w:left w:val="single" w:sz="4" w:space="0" w:color="auto"/>
              <w:right w:val="single" w:sz="4" w:space="0" w:color="auto"/>
            </w:tcBorders>
            <w:shd w:val="clear" w:color="auto" w:fill="auto"/>
            <w:vAlign w:val="center"/>
          </w:tcPr>
          <w:p w14:paraId="65E595DA" w14:textId="7544B3DB" w:rsidR="00CF6742" w:rsidRPr="00781112" w:rsidRDefault="001474EC" w:rsidP="00E37876">
            <w:pPr>
              <w:spacing w:after="0"/>
              <w:jc w:val="center"/>
              <w:rPr>
                <w:rFonts w:cs="Arial"/>
                <w:color w:val="000000" w:themeColor="text1"/>
                <w:szCs w:val="16"/>
              </w:rPr>
            </w:pPr>
            <w:r w:rsidRPr="00781112">
              <w:rPr>
                <w:rFonts w:cs="Arial"/>
                <w:color w:val="000000" w:themeColor="text1"/>
                <w:szCs w:val="16"/>
              </w:rPr>
              <w:t>A2</w:t>
            </w:r>
          </w:p>
        </w:tc>
        <w:tc>
          <w:tcPr>
            <w:tcW w:w="584" w:type="pct"/>
            <w:tcBorders>
              <w:left w:val="single" w:sz="4" w:space="0" w:color="auto"/>
              <w:right w:val="single" w:sz="4" w:space="0" w:color="auto"/>
            </w:tcBorders>
            <w:shd w:val="clear" w:color="auto" w:fill="auto"/>
            <w:vAlign w:val="center"/>
          </w:tcPr>
          <w:p w14:paraId="33B2AFD7" w14:textId="45496AC0"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55.00%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E37876">
            <w:pPr>
              <w:spacing w:after="0"/>
              <w:rPr>
                <w:rFonts w:cs="Arial"/>
                <w:color w:val="000000" w:themeColor="text1"/>
                <w:szCs w:val="16"/>
              </w:rPr>
            </w:pPr>
            <w:r w:rsidRPr="00781112">
              <w:rPr>
                <w:rFonts w:cs="Arial"/>
                <w:color w:val="000000" w:themeColor="text1"/>
                <w:szCs w:val="16"/>
              </w:rPr>
              <w:t>Data</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56.63%</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54.92%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52.88%</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51.32%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E37876">
            <w:pPr>
              <w:spacing w:after="0"/>
              <w:jc w:val="center"/>
              <w:rPr>
                <w:rFonts w:cs="Arial"/>
                <w:color w:val="000000" w:themeColor="text1"/>
                <w:szCs w:val="16"/>
              </w:rPr>
            </w:pPr>
            <w:r w:rsidRPr="00781112">
              <w:rPr>
                <w:rFonts w:cs="Arial"/>
                <w:color w:val="000000" w:themeColor="text1"/>
                <w:szCs w:val="16"/>
              </w:rPr>
              <w:t>46.91%</w:t>
            </w:r>
          </w:p>
        </w:tc>
      </w:tr>
      <w:tr w:rsidR="005F0D3B" w:rsidRPr="00781112" w14:paraId="038BC95B" w14:textId="47C87879" w:rsidTr="00E37876">
        <w:trPr>
          <w:trHeight w:val="432"/>
        </w:trPr>
        <w:tc>
          <w:tcPr>
            <w:tcW w:w="373" w:type="pct"/>
            <w:tcBorders>
              <w:left w:val="single" w:sz="4" w:space="0" w:color="auto"/>
              <w:right w:val="single" w:sz="4" w:space="0" w:color="auto"/>
            </w:tcBorders>
            <w:shd w:val="clear" w:color="auto" w:fill="auto"/>
            <w:vAlign w:val="center"/>
          </w:tcPr>
          <w:p w14:paraId="4B20CE7B" w14:textId="77777777" w:rsidR="0085328E" w:rsidRPr="00781112" w:rsidRDefault="0085328E" w:rsidP="00E37876">
            <w:pPr>
              <w:spacing w:after="0"/>
              <w:jc w:val="center"/>
              <w:rPr>
                <w:rFonts w:cs="Arial"/>
                <w:color w:val="000000" w:themeColor="text1"/>
                <w:szCs w:val="16"/>
              </w:rPr>
            </w:pPr>
            <w:r w:rsidRPr="00781112">
              <w:rPr>
                <w:rFonts w:cs="Arial"/>
                <w:color w:val="000000" w:themeColor="text1"/>
                <w:szCs w:val="16"/>
              </w:rPr>
              <w:t>B1</w:t>
            </w:r>
          </w:p>
        </w:tc>
        <w:tc>
          <w:tcPr>
            <w:tcW w:w="584" w:type="pct"/>
            <w:tcBorders>
              <w:left w:val="single" w:sz="4" w:space="0" w:color="auto"/>
              <w:right w:val="single" w:sz="4" w:space="0" w:color="auto"/>
            </w:tcBorders>
            <w:shd w:val="clear" w:color="auto" w:fill="auto"/>
            <w:vAlign w:val="center"/>
          </w:tcPr>
          <w:p w14:paraId="449E245E" w14:textId="66BE9FD7"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2008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E37876">
            <w:pPr>
              <w:spacing w:after="0"/>
              <w:rPr>
                <w:rFonts w:cs="Arial"/>
                <w:color w:val="000000" w:themeColor="text1"/>
                <w:szCs w:val="16"/>
              </w:rPr>
            </w:pPr>
            <w:r w:rsidRPr="00781112">
              <w:rPr>
                <w:rFonts w:cs="Arial"/>
                <w:color w:val="000000" w:themeColor="text1"/>
                <w:szCs w:val="16"/>
              </w:rPr>
              <w:t>Target &gt;=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93.70%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93.80%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93.90%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94.00%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94.00%</w:t>
            </w:r>
          </w:p>
        </w:tc>
      </w:tr>
      <w:tr w:rsidR="005F0D3B" w:rsidRPr="00781112" w14:paraId="66DA0218" w14:textId="74D7BD54" w:rsidTr="00E37876">
        <w:trPr>
          <w:trHeight w:val="432"/>
        </w:trPr>
        <w:tc>
          <w:tcPr>
            <w:tcW w:w="373" w:type="pct"/>
            <w:tcBorders>
              <w:left w:val="single" w:sz="4" w:space="0" w:color="auto"/>
              <w:right w:val="single" w:sz="4" w:space="0" w:color="auto"/>
            </w:tcBorders>
            <w:shd w:val="clear" w:color="auto" w:fill="auto"/>
            <w:vAlign w:val="center"/>
          </w:tcPr>
          <w:p w14:paraId="24B8577D" w14:textId="1B68A320" w:rsidR="0085328E" w:rsidRPr="00781112" w:rsidRDefault="001474EC" w:rsidP="00E37876">
            <w:pPr>
              <w:spacing w:after="0"/>
              <w:jc w:val="center"/>
              <w:rPr>
                <w:rFonts w:cs="Arial"/>
                <w:color w:val="000000" w:themeColor="text1"/>
                <w:szCs w:val="16"/>
              </w:rPr>
            </w:pPr>
            <w:r w:rsidRPr="00781112">
              <w:rPr>
                <w:rFonts w:cs="Arial"/>
                <w:color w:val="000000" w:themeColor="text1"/>
                <w:szCs w:val="16"/>
              </w:rPr>
              <w:t>B1</w:t>
            </w:r>
          </w:p>
        </w:tc>
        <w:tc>
          <w:tcPr>
            <w:tcW w:w="584" w:type="pct"/>
            <w:tcBorders>
              <w:left w:val="single" w:sz="4" w:space="0" w:color="auto"/>
              <w:right w:val="single" w:sz="4" w:space="0" w:color="auto"/>
            </w:tcBorders>
            <w:shd w:val="clear" w:color="auto" w:fill="auto"/>
            <w:vAlign w:val="center"/>
          </w:tcPr>
          <w:p w14:paraId="4F012F6D" w14:textId="4520FF93"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83.00%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E37876">
            <w:pPr>
              <w:spacing w:after="0"/>
              <w:rPr>
                <w:rFonts w:cs="Arial"/>
                <w:color w:val="000000" w:themeColor="text1"/>
                <w:szCs w:val="16"/>
              </w:rPr>
            </w:pPr>
            <w:r w:rsidRPr="00781112">
              <w:rPr>
                <w:rFonts w:cs="Arial"/>
                <w:color w:val="000000" w:themeColor="text1"/>
                <w:szCs w:val="16"/>
              </w:rPr>
              <w:t>Data</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94.24%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94.65%</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94.74%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94.84%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94.87%</w:t>
            </w:r>
          </w:p>
        </w:tc>
      </w:tr>
      <w:tr w:rsidR="005F0D3B" w:rsidRPr="00781112" w14:paraId="5D1BF2C9" w14:textId="459BD37D" w:rsidTr="00E37876">
        <w:trPr>
          <w:trHeight w:val="432"/>
        </w:trPr>
        <w:tc>
          <w:tcPr>
            <w:tcW w:w="373" w:type="pct"/>
            <w:tcBorders>
              <w:left w:val="single" w:sz="4" w:space="0" w:color="auto"/>
              <w:right w:val="single" w:sz="4" w:space="0" w:color="auto"/>
            </w:tcBorders>
            <w:shd w:val="clear" w:color="auto" w:fill="auto"/>
            <w:vAlign w:val="center"/>
          </w:tcPr>
          <w:p w14:paraId="548F3C71" w14:textId="77777777" w:rsidR="0085328E" w:rsidRPr="00781112" w:rsidRDefault="0085328E" w:rsidP="00E37876">
            <w:pPr>
              <w:spacing w:after="0"/>
              <w:jc w:val="center"/>
              <w:rPr>
                <w:rFonts w:cs="Arial"/>
                <w:color w:val="000000" w:themeColor="text1"/>
                <w:szCs w:val="16"/>
              </w:rPr>
            </w:pPr>
            <w:r w:rsidRPr="00781112">
              <w:rPr>
                <w:rFonts w:cs="Arial"/>
                <w:color w:val="000000" w:themeColor="text1"/>
                <w:szCs w:val="16"/>
              </w:rPr>
              <w:t>B2</w:t>
            </w:r>
          </w:p>
        </w:tc>
        <w:tc>
          <w:tcPr>
            <w:tcW w:w="584" w:type="pct"/>
            <w:tcBorders>
              <w:left w:val="single" w:sz="4" w:space="0" w:color="auto"/>
              <w:right w:val="single" w:sz="4" w:space="0" w:color="auto"/>
            </w:tcBorders>
            <w:shd w:val="clear" w:color="auto" w:fill="auto"/>
            <w:vAlign w:val="center"/>
          </w:tcPr>
          <w:p w14:paraId="160EA035" w14:textId="1C94FCD5"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2008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E37876">
            <w:pPr>
              <w:spacing w:after="0"/>
              <w:rPr>
                <w:rFonts w:cs="Arial"/>
                <w:color w:val="000000" w:themeColor="text1"/>
                <w:szCs w:val="16"/>
              </w:rPr>
            </w:pPr>
            <w:r w:rsidRPr="00781112">
              <w:rPr>
                <w:rFonts w:cs="Arial"/>
                <w:color w:val="000000" w:themeColor="text1"/>
                <w:szCs w:val="16"/>
              </w:rPr>
              <w:t>Target &gt;=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46.70%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46.80%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46.90%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47.00%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43.06%</w:t>
            </w:r>
          </w:p>
        </w:tc>
      </w:tr>
      <w:tr w:rsidR="005F0D3B" w:rsidRPr="00781112" w14:paraId="1AC0D5CC" w14:textId="451AD16E" w:rsidTr="00E37876">
        <w:trPr>
          <w:trHeight w:val="432"/>
        </w:trPr>
        <w:tc>
          <w:tcPr>
            <w:tcW w:w="373" w:type="pct"/>
            <w:tcBorders>
              <w:left w:val="single" w:sz="4" w:space="0" w:color="auto"/>
              <w:right w:val="single" w:sz="4" w:space="0" w:color="auto"/>
            </w:tcBorders>
            <w:shd w:val="clear" w:color="auto" w:fill="auto"/>
            <w:vAlign w:val="center"/>
          </w:tcPr>
          <w:p w14:paraId="143DE0B0" w14:textId="232D3364" w:rsidR="0085328E" w:rsidRPr="00781112" w:rsidRDefault="001474EC" w:rsidP="00E37876">
            <w:pPr>
              <w:spacing w:after="0"/>
              <w:jc w:val="center"/>
              <w:rPr>
                <w:rFonts w:cs="Arial"/>
                <w:color w:val="000000" w:themeColor="text1"/>
                <w:szCs w:val="16"/>
              </w:rPr>
            </w:pPr>
            <w:r w:rsidRPr="00781112">
              <w:rPr>
                <w:rFonts w:cs="Arial"/>
                <w:color w:val="000000" w:themeColor="text1"/>
                <w:szCs w:val="16"/>
              </w:rPr>
              <w:t>B2</w:t>
            </w:r>
          </w:p>
        </w:tc>
        <w:tc>
          <w:tcPr>
            <w:tcW w:w="584" w:type="pct"/>
            <w:tcBorders>
              <w:left w:val="single" w:sz="4" w:space="0" w:color="auto"/>
              <w:right w:val="single" w:sz="4" w:space="0" w:color="auto"/>
            </w:tcBorders>
            <w:shd w:val="clear" w:color="auto" w:fill="auto"/>
            <w:vAlign w:val="center"/>
          </w:tcPr>
          <w:p w14:paraId="24E18759" w14:textId="387ECC21"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38.00%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E37876">
            <w:pPr>
              <w:spacing w:after="0"/>
              <w:rPr>
                <w:rFonts w:cs="Arial"/>
                <w:color w:val="000000" w:themeColor="text1"/>
                <w:szCs w:val="16"/>
              </w:rPr>
            </w:pPr>
            <w:r w:rsidRPr="00781112">
              <w:rPr>
                <w:rFonts w:cs="Arial"/>
                <w:color w:val="000000" w:themeColor="text1"/>
                <w:szCs w:val="16"/>
              </w:rPr>
              <w:t>Data</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46.23%</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46.71%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44.36%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43.06%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40.12%</w:t>
            </w:r>
          </w:p>
        </w:tc>
      </w:tr>
      <w:tr w:rsidR="005F0D3B" w:rsidRPr="00781112" w14:paraId="3A905290" w14:textId="4D4DDE53" w:rsidTr="00E37876">
        <w:trPr>
          <w:trHeight w:val="432"/>
        </w:trPr>
        <w:tc>
          <w:tcPr>
            <w:tcW w:w="373" w:type="pct"/>
            <w:tcBorders>
              <w:left w:val="single" w:sz="4" w:space="0" w:color="auto"/>
              <w:right w:val="single" w:sz="4" w:space="0" w:color="auto"/>
            </w:tcBorders>
            <w:shd w:val="clear" w:color="auto" w:fill="auto"/>
            <w:vAlign w:val="center"/>
          </w:tcPr>
          <w:p w14:paraId="72D6BBB6" w14:textId="77777777" w:rsidR="0085328E" w:rsidRPr="00781112" w:rsidRDefault="0085328E" w:rsidP="00E37876">
            <w:pPr>
              <w:spacing w:after="0"/>
              <w:jc w:val="center"/>
              <w:rPr>
                <w:rFonts w:cs="Arial"/>
                <w:color w:val="000000" w:themeColor="text1"/>
                <w:szCs w:val="16"/>
              </w:rPr>
            </w:pPr>
            <w:r w:rsidRPr="00781112">
              <w:rPr>
                <w:rFonts w:cs="Arial"/>
                <w:color w:val="000000" w:themeColor="text1"/>
                <w:szCs w:val="16"/>
              </w:rPr>
              <w:t>C1</w:t>
            </w:r>
          </w:p>
        </w:tc>
        <w:tc>
          <w:tcPr>
            <w:tcW w:w="584" w:type="pct"/>
            <w:tcBorders>
              <w:left w:val="single" w:sz="4" w:space="0" w:color="auto"/>
              <w:right w:val="single" w:sz="4" w:space="0" w:color="auto"/>
            </w:tcBorders>
            <w:shd w:val="clear" w:color="auto" w:fill="auto"/>
            <w:vAlign w:val="center"/>
          </w:tcPr>
          <w:p w14:paraId="32EC35B2" w14:textId="7EF481F8"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2008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E37876">
            <w:pPr>
              <w:spacing w:after="0"/>
              <w:rPr>
                <w:rFonts w:cs="Arial"/>
                <w:color w:val="000000" w:themeColor="text1"/>
                <w:szCs w:val="16"/>
              </w:rPr>
            </w:pPr>
            <w:r w:rsidRPr="00781112">
              <w:rPr>
                <w:rFonts w:cs="Arial"/>
                <w:color w:val="000000" w:themeColor="text1"/>
                <w:szCs w:val="16"/>
              </w:rPr>
              <w:t>Target &gt;=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90.70%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90.80%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90.90%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91.00%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91.00%</w:t>
            </w:r>
          </w:p>
        </w:tc>
      </w:tr>
      <w:tr w:rsidR="005F0D3B" w:rsidRPr="00781112" w14:paraId="542EE9A0" w14:textId="0624CABB" w:rsidTr="00E37876">
        <w:trPr>
          <w:trHeight w:val="432"/>
        </w:trPr>
        <w:tc>
          <w:tcPr>
            <w:tcW w:w="373" w:type="pct"/>
            <w:tcBorders>
              <w:left w:val="single" w:sz="4" w:space="0" w:color="auto"/>
              <w:right w:val="single" w:sz="4" w:space="0" w:color="auto"/>
            </w:tcBorders>
            <w:shd w:val="clear" w:color="auto" w:fill="auto"/>
            <w:vAlign w:val="center"/>
          </w:tcPr>
          <w:p w14:paraId="4DBC4231" w14:textId="38EC78AF" w:rsidR="0085328E" w:rsidRPr="00781112" w:rsidRDefault="001474EC" w:rsidP="00E37876">
            <w:pPr>
              <w:spacing w:after="0"/>
              <w:jc w:val="center"/>
              <w:rPr>
                <w:rFonts w:cs="Arial"/>
                <w:color w:val="000000" w:themeColor="text1"/>
                <w:szCs w:val="16"/>
              </w:rPr>
            </w:pPr>
            <w:r w:rsidRPr="00781112">
              <w:rPr>
                <w:rFonts w:cs="Arial"/>
                <w:color w:val="000000" w:themeColor="text1"/>
                <w:szCs w:val="16"/>
              </w:rPr>
              <w:t>C1</w:t>
            </w:r>
          </w:p>
        </w:tc>
        <w:tc>
          <w:tcPr>
            <w:tcW w:w="584" w:type="pct"/>
            <w:tcBorders>
              <w:left w:val="single" w:sz="4" w:space="0" w:color="auto"/>
              <w:right w:val="single" w:sz="4" w:space="0" w:color="auto"/>
            </w:tcBorders>
            <w:shd w:val="clear" w:color="auto" w:fill="auto"/>
            <w:vAlign w:val="center"/>
          </w:tcPr>
          <w:p w14:paraId="4A443083" w14:textId="588F563E"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82.00%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E37876">
            <w:pPr>
              <w:spacing w:after="0"/>
              <w:rPr>
                <w:rFonts w:cs="Arial"/>
                <w:color w:val="000000" w:themeColor="text1"/>
                <w:szCs w:val="16"/>
              </w:rPr>
            </w:pPr>
            <w:r w:rsidRPr="00781112">
              <w:rPr>
                <w:rFonts w:cs="Arial"/>
                <w:color w:val="000000" w:themeColor="text1"/>
                <w:szCs w:val="16"/>
              </w:rPr>
              <w:t>Data</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91.92%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92.25%</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91.71%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92.52%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92.97%</w:t>
            </w:r>
          </w:p>
        </w:tc>
      </w:tr>
      <w:tr w:rsidR="005F0D3B" w:rsidRPr="00781112" w14:paraId="1C3A879D" w14:textId="39451B95" w:rsidTr="00E37876">
        <w:trPr>
          <w:trHeight w:val="432"/>
        </w:trPr>
        <w:tc>
          <w:tcPr>
            <w:tcW w:w="373" w:type="pct"/>
            <w:tcBorders>
              <w:left w:val="single" w:sz="4" w:space="0" w:color="auto"/>
              <w:right w:val="single" w:sz="4" w:space="0" w:color="auto"/>
            </w:tcBorders>
            <w:shd w:val="clear" w:color="auto" w:fill="auto"/>
            <w:vAlign w:val="center"/>
          </w:tcPr>
          <w:p w14:paraId="26C585A1" w14:textId="77777777" w:rsidR="0085328E" w:rsidRPr="00781112" w:rsidRDefault="0085328E" w:rsidP="00E37876">
            <w:pPr>
              <w:spacing w:after="0"/>
              <w:jc w:val="center"/>
              <w:rPr>
                <w:rFonts w:cs="Arial"/>
                <w:color w:val="000000" w:themeColor="text1"/>
                <w:szCs w:val="16"/>
              </w:rPr>
            </w:pPr>
            <w:r w:rsidRPr="00781112">
              <w:rPr>
                <w:rFonts w:cs="Arial"/>
                <w:color w:val="000000" w:themeColor="text1"/>
                <w:szCs w:val="16"/>
              </w:rPr>
              <w:t>C2</w:t>
            </w:r>
          </w:p>
        </w:tc>
        <w:tc>
          <w:tcPr>
            <w:tcW w:w="584" w:type="pct"/>
            <w:tcBorders>
              <w:left w:val="single" w:sz="4" w:space="0" w:color="auto"/>
              <w:right w:val="single" w:sz="4" w:space="0" w:color="auto"/>
            </w:tcBorders>
            <w:shd w:val="clear" w:color="auto" w:fill="auto"/>
            <w:vAlign w:val="center"/>
          </w:tcPr>
          <w:p w14:paraId="02A4378D" w14:textId="1370C13B"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2008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E37876">
            <w:pPr>
              <w:spacing w:after="0"/>
              <w:rPr>
                <w:rFonts w:cs="Arial"/>
                <w:color w:val="000000" w:themeColor="text1"/>
                <w:szCs w:val="16"/>
              </w:rPr>
            </w:pPr>
            <w:r w:rsidRPr="00781112">
              <w:rPr>
                <w:rFonts w:cs="Arial"/>
                <w:color w:val="000000" w:themeColor="text1"/>
                <w:szCs w:val="16"/>
              </w:rPr>
              <w:t>Target &gt;=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65.00%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65.10%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65.20%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65.30%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62.00%</w:t>
            </w:r>
          </w:p>
        </w:tc>
      </w:tr>
      <w:tr w:rsidR="005F0D3B" w:rsidRPr="00781112" w14:paraId="2ED2CF15" w14:textId="4D4950C3" w:rsidTr="00E37876">
        <w:trPr>
          <w:trHeight w:val="432"/>
        </w:trPr>
        <w:tc>
          <w:tcPr>
            <w:tcW w:w="373" w:type="pct"/>
            <w:tcBorders>
              <w:left w:val="single" w:sz="4" w:space="0" w:color="auto"/>
              <w:right w:val="single" w:sz="4" w:space="0" w:color="auto"/>
            </w:tcBorders>
            <w:shd w:val="clear" w:color="auto" w:fill="auto"/>
            <w:vAlign w:val="center"/>
          </w:tcPr>
          <w:p w14:paraId="0C71509B" w14:textId="5F7D99B1" w:rsidR="0085328E" w:rsidRPr="00781112" w:rsidRDefault="001474EC" w:rsidP="00E37876">
            <w:pPr>
              <w:spacing w:after="0"/>
              <w:jc w:val="center"/>
              <w:rPr>
                <w:rFonts w:cs="Arial"/>
                <w:color w:val="000000" w:themeColor="text1"/>
                <w:szCs w:val="16"/>
              </w:rPr>
            </w:pPr>
            <w:r w:rsidRPr="00781112">
              <w:rPr>
                <w:rFonts w:cs="Arial"/>
                <w:color w:val="000000" w:themeColor="text1"/>
                <w:szCs w:val="16"/>
              </w:rPr>
              <w:t>C2</w:t>
            </w:r>
          </w:p>
        </w:tc>
        <w:tc>
          <w:tcPr>
            <w:tcW w:w="584" w:type="pct"/>
            <w:tcBorders>
              <w:left w:val="single" w:sz="4" w:space="0" w:color="auto"/>
              <w:right w:val="single" w:sz="4" w:space="0" w:color="auto"/>
            </w:tcBorders>
            <w:shd w:val="clear" w:color="auto" w:fill="auto"/>
            <w:vAlign w:val="center"/>
          </w:tcPr>
          <w:p w14:paraId="722DF11E" w14:textId="268D7A3C"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61.00%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E37876">
            <w:pPr>
              <w:spacing w:after="0"/>
              <w:rPr>
                <w:rFonts w:cs="Arial"/>
                <w:color w:val="000000" w:themeColor="text1"/>
                <w:szCs w:val="16"/>
              </w:rPr>
            </w:pPr>
            <w:r w:rsidRPr="00781112">
              <w:rPr>
                <w:rFonts w:cs="Arial"/>
                <w:color w:val="000000" w:themeColor="text1"/>
                <w:szCs w:val="16"/>
              </w:rPr>
              <w:t>Data</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62.53%</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61.26%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60.04%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58.19%</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E37876">
            <w:pPr>
              <w:spacing w:after="0"/>
              <w:jc w:val="center"/>
              <w:rPr>
                <w:rFonts w:cs="Arial"/>
                <w:color w:val="000000" w:themeColor="text1"/>
                <w:szCs w:val="16"/>
              </w:rPr>
            </w:pPr>
            <w:r w:rsidRPr="00781112">
              <w:rPr>
                <w:rFonts w:cs="Arial"/>
                <w:color w:val="000000" w:themeColor="text1"/>
                <w:szCs w:val="16"/>
              </w:rPr>
              <w:t>55.26%</w:t>
            </w:r>
          </w:p>
        </w:tc>
      </w:tr>
    </w:tbl>
    <w:p w14:paraId="0DB74FA5" w14:textId="3ACC000C" w:rsidR="00F4192A" w:rsidRPr="00781112" w:rsidRDefault="00F4192A" w:rsidP="00815ACE">
      <w:pPr>
        <w:pStyle w:val="Caption"/>
      </w:pPr>
      <w:r w:rsidRPr="00781112">
        <w:t>Targets</w:t>
      </w:r>
      <w:r w:rsidR="0097256F">
        <w:t xml:space="preserve">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targets for federal fiscal years 2020-2025 for this indicator."/>
      </w:tblPr>
      <w:tblGrid>
        <w:gridCol w:w="1814"/>
        <w:gridCol w:w="1495"/>
        <w:gridCol w:w="1495"/>
        <w:gridCol w:w="1498"/>
        <w:gridCol w:w="1495"/>
        <w:gridCol w:w="1495"/>
        <w:gridCol w:w="1498"/>
      </w:tblGrid>
      <w:tr w:rsidR="00D62058" w:rsidRPr="00781112" w14:paraId="7154778B" w14:textId="326343BD" w:rsidTr="00E37876">
        <w:trPr>
          <w:trHeight w:val="432"/>
        </w:trPr>
        <w:tc>
          <w:tcPr>
            <w:tcW w:w="840" w:type="pct"/>
            <w:tcBorders>
              <w:bottom w:val="single" w:sz="4" w:space="0" w:color="auto"/>
            </w:tcBorders>
            <w:shd w:val="clear" w:color="auto" w:fill="D9D9D9" w:themeFill="background1" w:themeFillShade="D9"/>
            <w:vAlign w:val="center"/>
          </w:tcPr>
          <w:p w14:paraId="4C772A88" w14:textId="77777777" w:rsidR="00D62058" w:rsidRPr="00781112" w:rsidRDefault="00D62058" w:rsidP="00E37876">
            <w:pPr>
              <w:spacing w:after="0"/>
              <w:jc w:val="center"/>
              <w:rPr>
                <w:b/>
                <w:color w:val="000000" w:themeColor="text1"/>
              </w:rPr>
            </w:pPr>
            <w:r w:rsidRPr="00781112">
              <w:rPr>
                <w:b/>
                <w:color w:val="000000" w:themeColor="text1"/>
              </w:rPr>
              <w:t>FFY</w:t>
            </w:r>
          </w:p>
        </w:tc>
        <w:tc>
          <w:tcPr>
            <w:tcW w:w="693" w:type="pct"/>
            <w:shd w:val="clear" w:color="auto" w:fill="D9D9D9" w:themeFill="background1" w:themeFillShade="D9"/>
            <w:vAlign w:val="center"/>
          </w:tcPr>
          <w:p w14:paraId="12A78916" w14:textId="4FE79E21" w:rsidR="00D62058" w:rsidRPr="00781112" w:rsidRDefault="00D62058" w:rsidP="00E37876">
            <w:pPr>
              <w:spacing w:after="0"/>
              <w:jc w:val="center"/>
              <w:rPr>
                <w:b/>
                <w:color w:val="000000" w:themeColor="text1"/>
              </w:rPr>
            </w:pPr>
            <w:r w:rsidRPr="00781112">
              <w:rPr>
                <w:b/>
                <w:color w:val="000000" w:themeColor="text1"/>
              </w:rPr>
              <w:t>2020</w:t>
            </w:r>
          </w:p>
        </w:tc>
        <w:tc>
          <w:tcPr>
            <w:tcW w:w="693" w:type="pct"/>
            <w:shd w:val="clear" w:color="auto" w:fill="D9D9D9" w:themeFill="background1" w:themeFillShade="D9"/>
            <w:vAlign w:val="center"/>
          </w:tcPr>
          <w:p w14:paraId="252A750A" w14:textId="25138A81" w:rsidR="00D62058" w:rsidRPr="00781112" w:rsidRDefault="00D62058" w:rsidP="00E37876">
            <w:pPr>
              <w:spacing w:after="0"/>
              <w:jc w:val="center"/>
              <w:rPr>
                <w:b/>
                <w:color w:val="000000" w:themeColor="text1"/>
              </w:rPr>
            </w:pPr>
            <w:r w:rsidRPr="00781112">
              <w:rPr>
                <w:rFonts w:cs="Arial"/>
                <w:b/>
                <w:color w:val="000000" w:themeColor="text1"/>
                <w:szCs w:val="16"/>
              </w:rPr>
              <w:t>2021</w:t>
            </w:r>
          </w:p>
        </w:tc>
        <w:tc>
          <w:tcPr>
            <w:tcW w:w="694" w:type="pct"/>
            <w:shd w:val="clear" w:color="auto" w:fill="D9D9D9" w:themeFill="background1" w:themeFillShade="D9"/>
            <w:vAlign w:val="center"/>
          </w:tcPr>
          <w:p w14:paraId="68D8D021" w14:textId="79B543D0" w:rsidR="00D62058" w:rsidRPr="00781112" w:rsidRDefault="00D62058" w:rsidP="00E37876">
            <w:pPr>
              <w:spacing w:after="0"/>
              <w:jc w:val="center"/>
              <w:rPr>
                <w:b/>
                <w:color w:val="000000" w:themeColor="text1"/>
              </w:rPr>
            </w:pPr>
            <w:r w:rsidRPr="00781112">
              <w:rPr>
                <w:rFonts w:cs="Arial"/>
                <w:b/>
                <w:color w:val="000000" w:themeColor="text1"/>
                <w:szCs w:val="16"/>
              </w:rPr>
              <w:t>2022</w:t>
            </w:r>
          </w:p>
        </w:tc>
        <w:tc>
          <w:tcPr>
            <w:tcW w:w="693" w:type="pct"/>
            <w:shd w:val="clear" w:color="auto" w:fill="D9D9D9" w:themeFill="background1" w:themeFillShade="D9"/>
            <w:vAlign w:val="center"/>
          </w:tcPr>
          <w:p w14:paraId="60B57779" w14:textId="39F7714F" w:rsidR="00D62058" w:rsidRPr="00781112" w:rsidRDefault="00D62058" w:rsidP="00E37876">
            <w:pPr>
              <w:spacing w:after="0"/>
              <w:jc w:val="center"/>
              <w:rPr>
                <w:b/>
                <w:color w:val="000000" w:themeColor="text1"/>
              </w:rPr>
            </w:pPr>
            <w:r w:rsidRPr="00781112">
              <w:rPr>
                <w:rFonts w:cs="Arial"/>
                <w:b/>
                <w:color w:val="000000" w:themeColor="text1"/>
                <w:szCs w:val="16"/>
              </w:rPr>
              <w:t>2023</w:t>
            </w:r>
          </w:p>
        </w:tc>
        <w:tc>
          <w:tcPr>
            <w:tcW w:w="693" w:type="pct"/>
            <w:shd w:val="clear" w:color="auto" w:fill="D9D9D9" w:themeFill="background1" w:themeFillShade="D9"/>
            <w:vAlign w:val="center"/>
          </w:tcPr>
          <w:p w14:paraId="2CB555F8" w14:textId="64C2A928" w:rsidR="00D62058" w:rsidRPr="00781112" w:rsidRDefault="00D62058" w:rsidP="00E37876">
            <w:pPr>
              <w:spacing w:after="0"/>
              <w:jc w:val="center"/>
              <w:rPr>
                <w:b/>
                <w:color w:val="000000" w:themeColor="text1"/>
              </w:rPr>
            </w:pPr>
            <w:r w:rsidRPr="00781112">
              <w:rPr>
                <w:rFonts w:cs="Arial"/>
                <w:b/>
                <w:color w:val="000000" w:themeColor="text1"/>
                <w:szCs w:val="16"/>
              </w:rPr>
              <w:t>2024</w:t>
            </w:r>
          </w:p>
        </w:tc>
        <w:tc>
          <w:tcPr>
            <w:tcW w:w="694" w:type="pct"/>
            <w:shd w:val="clear" w:color="auto" w:fill="D9D9D9" w:themeFill="background1" w:themeFillShade="D9"/>
            <w:vAlign w:val="center"/>
          </w:tcPr>
          <w:p w14:paraId="43AFCBFB" w14:textId="1AE04BFC" w:rsidR="00D62058" w:rsidRPr="00781112" w:rsidRDefault="00D62058" w:rsidP="00E37876">
            <w:pPr>
              <w:spacing w:after="0"/>
              <w:jc w:val="center"/>
              <w:rPr>
                <w:b/>
                <w:color w:val="000000" w:themeColor="text1"/>
              </w:rPr>
            </w:pPr>
            <w:r w:rsidRPr="00781112">
              <w:rPr>
                <w:rFonts w:cs="Arial"/>
                <w:b/>
                <w:color w:val="000000" w:themeColor="text1"/>
                <w:szCs w:val="16"/>
              </w:rPr>
              <w:t>2025</w:t>
            </w:r>
          </w:p>
        </w:tc>
      </w:tr>
      <w:tr w:rsidR="00D62058" w:rsidRPr="00781112" w14:paraId="18C73B9A" w14:textId="4A314190" w:rsidTr="00E37876">
        <w:trPr>
          <w:trHeight w:val="432"/>
        </w:trPr>
        <w:tc>
          <w:tcPr>
            <w:tcW w:w="840" w:type="pct"/>
            <w:shd w:val="clear" w:color="auto" w:fill="auto"/>
            <w:vAlign w:val="center"/>
          </w:tcPr>
          <w:p w14:paraId="507B0BCD" w14:textId="415A5723" w:rsidR="00D62058" w:rsidRPr="00781112" w:rsidRDefault="00D62058" w:rsidP="00E37876">
            <w:pPr>
              <w:spacing w:after="0"/>
              <w:rPr>
                <w:rFonts w:cs="Arial"/>
                <w:color w:val="000000" w:themeColor="text1"/>
                <w:szCs w:val="16"/>
              </w:rPr>
            </w:pPr>
            <w:r w:rsidRPr="00781112">
              <w:rPr>
                <w:rFonts w:cs="Arial"/>
                <w:color w:val="000000" w:themeColor="text1"/>
                <w:szCs w:val="16"/>
              </w:rPr>
              <w:t>Target A1 &gt;=</w:t>
            </w:r>
          </w:p>
        </w:tc>
        <w:tc>
          <w:tcPr>
            <w:tcW w:w="693" w:type="pct"/>
            <w:shd w:val="clear" w:color="auto" w:fill="auto"/>
            <w:vAlign w:val="center"/>
          </w:tcPr>
          <w:p w14:paraId="1B809E80" w14:textId="23651174" w:rsidR="00D62058" w:rsidRPr="00781112" w:rsidRDefault="00D62058" w:rsidP="00E37876">
            <w:pPr>
              <w:spacing w:after="0"/>
              <w:jc w:val="center"/>
              <w:rPr>
                <w:color w:val="000000" w:themeColor="text1"/>
              </w:rPr>
            </w:pPr>
            <w:r w:rsidRPr="00781112">
              <w:rPr>
                <w:color w:val="000000" w:themeColor="text1"/>
              </w:rPr>
              <w:t>91.25%</w:t>
            </w:r>
          </w:p>
        </w:tc>
        <w:tc>
          <w:tcPr>
            <w:tcW w:w="693" w:type="pct"/>
            <w:vAlign w:val="center"/>
          </w:tcPr>
          <w:p w14:paraId="5EAD01EF" w14:textId="12066A13" w:rsidR="00D62058" w:rsidRPr="00781112" w:rsidRDefault="00D62058" w:rsidP="00E37876">
            <w:pPr>
              <w:spacing w:after="0"/>
              <w:jc w:val="center"/>
              <w:rPr>
                <w:color w:val="000000" w:themeColor="text1"/>
              </w:rPr>
            </w:pPr>
            <w:r w:rsidRPr="00781112">
              <w:rPr>
                <w:color w:val="000000" w:themeColor="text1"/>
                <w:szCs w:val="16"/>
              </w:rPr>
              <w:t>91.50%</w:t>
            </w:r>
          </w:p>
        </w:tc>
        <w:tc>
          <w:tcPr>
            <w:tcW w:w="694" w:type="pct"/>
            <w:vAlign w:val="center"/>
          </w:tcPr>
          <w:p w14:paraId="2E3018C0" w14:textId="3758E6A1" w:rsidR="00D62058" w:rsidRPr="00781112" w:rsidRDefault="00D62058" w:rsidP="00E37876">
            <w:pPr>
              <w:spacing w:after="0"/>
              <w:jc w:val="center"/>
              <w:rPr>
                <w:color w:val="000000" w:themeColor="text1"/>
              </w:rPr>
            </w:pPr>
            <w:r w:rsidRPr="00781112">
              <w:rPr>
                <w:color w:val="000000" w:themeColor="text1"/>
                <w:szCs w:val="16"/>
              </w:rPr>
              <w:t>91.75%</w:t>
            </w:r>
          </w:p>
        </w:tc>
        <w:tc>
          <w:tcPr>
            <w:tcW w:w="693" w:type="pct"/>
            <w:vAlign w:val="center"/>
          </w:tcPr>
          <w:p w14:paraId="063238F2" w14:textId="239B2312" w:rsidR="00D62058" w:rsidRPr="00781112" w:rsidRDefault="00D62058" w:rsidP="00E37876">
            <w:pPr>
              <w:spacing w:after="0"/>
              <w:jc w:val="center"/>
              <w:rPr>
                <w:color w:val="000000" w:themeColor="text1"/>
              </w:rPr>
            </w:pPr>
            <w:r w:rsidRPr="00781112">
              <w:rPr>
                <w:color w:val="000000" w:themeColor="text1"/>
                <w:szCs w:val="16"/>
              </w:rPr>
              <w:t>92.00%</w:t>
            </w:r>
          </w:p>
        </w:tc>
        <w:tc>
          <w:tcPr>
            <w:tcW w:w="693" w:type="pct"/>
            <w:vAlign w:val="center"/>
          </w:tcPr>
          <w:p w14:paraId="4FBF626C" w14:textId="574BC7A3" w:rsidR="00D62058" w:rsidRPr="00781112" w:rsidRDefault="00D62058" w:rsidP="00E37876">
            <w:pPr>
              <w:spacing w:after="0"/>
              <w:jc w:val="center"/>
              <w:rPr>
                <w:color w:val="000000" w:themeColor="text1"/>
              </w:rPr>
            </w:pPr>
            <w:r w:rsidRPr="00781112">
              <w:rPr>
                <w:color w:val="000000" w:themeColor="text1"/>
                <w:szCs w:val="16"/>
              </w:rPr>
              <w:t>92.25%</w:t>
            </w:r>
          </w:p>
        </w:tc>
        <w:tc>
          <w:tcPr>
            <w:tcW w:w="694" w:type="pct"/>
            <w:vAlign w:val="center"/>
          </w:tcPr>
          <w:p w14:paraId="7C2FA026" w14:textId="291E11FA" w:rsidR="00D62058" w:rsidRPr="00781112" w:rsidRDefault="00D62058" w:rsidP="00E37876">
            <w:pPr>
              <w:spacing w:after="0"/>
              <w:jc w:val="center"/>
              <w:rPr>
                <w:color w:val="000000" w:themeColor="text1"/>
              </w:rPr>
            </w:pPr>
            <w:r w:rsidRPr="00781112">
              <w:rPr>
                <w:color w:val="000000" w:themeColor="text1"/>
                <w:szCs w:val="16"/>
              </w:rPr>
              <w:t>92.50%</w:t>
            </w:r>
          </w:p>
        </w:tc>
      </w:tr>
      <w:tr w:rsidR="00D62058" w:rsidRPr="00781112" w14:paraId="7C704220" w14:textId="4A1FC69E" w:rsidTr="00E37876">
        <w:trPr>
          <w:trHeight w:val="432"/>
        </w:trPr>
        <w:tc>
          <w:tcPr>
            <w:tcW w:w="840" w:type="pct"/>
            <w:shd w:val="clear" w:color="auto" w:fill="auto"/>
            <w:vAlign w:val="center"/>
          </w:tcPr>
          <w:p w14:paraId="253AADF0" w14:textId="721E9C65" w:rsidR="00D62058" w:rsidRPr="00781112" w:rsidRDefault="00D62058" w:rsidP="00E37876">
            <w:pPr>
              <w:spacing w:after="0"/>
              <w:rPr>
                <w:rFonts w:cs="Arial"/>
                <w:color w:val="000000" w:themeColor="text1"/>
                <w:szCs w:val="16"/>
              </w:rPr>
            </w:pPr>
            <w:r w:rsidRPr="00781112">
              <w:rPr>
                <w:rFonts w:cs="Arial"/>
                <w:color w:val="000000" w:themeColor="text1"/>
                <w:szCs w:val="16"/>
              </w:rPr>
              <w:t>Target A2 &gt;=</w:t>
            </w:r>
          </w:p>
        </w:tc>
        <w:tc>
          <w:tcPr>
            <w:tcW w:w="693" w:type="pct"/>
            <w:shd w:val="clear" w:color="auto" w:fill="auto"/>
            <w:vAlign w:val="center"/>
          </w:tcPr>
          <w:p w14:paraId="572F97E5" w14:textId="71E20118" w:rsidR="00D62058" w:rsidRPr="00781112" w:rsidRDefault="00D62058" w:rsidP="00E37876">
            <w:pPr>
              <w:spacing w:after="0"/>
              <w:jc w:val="center"/>
              <w:rPr>
                <w:rFonts w:cs="Arial"/>
                <w:color w:val="000000" w:themeColor="text1"/>
                <w:szCs w:val="16"/>
              </w:rPr>
            </w:pPr>
            <w:r w:rsidRPr="00781112">
              <w:rPr>
                <w:rFonts w:cs="Arial"/>
                <w:color w:val="000000" w:themeColor="text1"/>
                <w:szCs w:val="16"/>
              </w:rPr>
              <w:t>55.00%</w:t>
            </w:r>
          </w:p>
        </w:tc>
        <w:tc>
          <w:tcPr>
            <w:tcW w:w="693" w:type="pct"/>
            <w:vAlign w:val="center"/>
          </w:tcPr>
          <w:p w14:paraId="40137C22" w14:textId="775C9D4C" w:rsidR="00D62058" w:rsidRPr="00781112" w:rsidRDefault="00D62058" w:rsidP="00E37876">
            <w:pPr>
              <w:spacing w:after="0"/>
              <w:jc w:val="center"/>
              <w:rPr>
                <w:rFonts w:cs="Arial"/>
                <w:color w:val="000000" w:themeColor="text1"/>
                <w:szCs w:val="16"/>
              </w:rPr>
            </w:pPr>
            <w:r w:rsidRPr="00781112">
              <w:rPr>
                <w:color w:val="000000" w:themeColor="text1"/>
                <w:szCs w:val="16"/>
              </w:rPr>
              <w:t>55.25%</w:t>
            </w:r>
          </w:p>
        </w:tc>
        <w:tc>
          <w:tcPr>
            <w:tcW w:w="694" w:type="pct"/>
            <w:vAlign w:val="center"/>
          </w:tcPr>
          <w:p w14:paraId="468DEAEF" w14:textId="0B21BE62" w:rsidR="00D62058" w:rsidRPr="00781112" w:rsidRDefault="00D62058" w:rsidP="00E37876">
            <w:pPr>
              <w:spacing w:after="0"/>
              <w:jc w:val="center"/>
              <w:rPr>
                <w:rFonts w:cs="Arial"/>
                <w:color w:val="000000" w:themeColor="text1"/>
                <w:szCs w:val="16"/>
              </w:rPr>
            </w:pPr>
            <w:r w:rsidRPr="00781112">
              <w:rPr>
                <w:color w:val="000000" w:themeColor="text1"/>
                <w:szCs w:val="16"/>
              </w:rPr>
              <w:t>55.50%</w:t>
            </w:r>
          </w:p>
        </w:tc>
        <w:tc>
          <w:tcPr>
            <w:tcW w:w="693" w:type="pct"/>
            <w:vAlign w:val="center"/>
          </w:tcPr>
          <w:p w14:paraId="4D7AB0B5" w14:textId="5F153351" w:rsidR="00D62058" w:rsidRPr="00781112" w:rsidRDefault="00D62058" w:rsidP="00E37876">
            <w:pPr>
              <w:spacing w:after="0"/>
              <w:jc w:val="center"/>
              <w:rPr>
                <w:rFonts w:cs="Arial"/>
                <w:color w:val="000000" w:themeColor="text1"/>
                <w:szCs w:val="16"/>
              </w:rPr>
            </w:pPr>
            <w:r w:rsidRPr="00781112">
              <w:rPr>
                <w:color w:val="000000" w:themeColor="text1"/>
                <w:szCs w:val="16"/>
              </w:rPr>
              <w:t>55.75%</w:t>
            </w:r>
          </w:p>
        </w:tc>
        <w:tc>
          <w:tcPr>
            <w:tcW w:w="693" w:type="pct"/>
            <w:vAlign w:val="center"/>
          </w:tcPr>
          <w:p w14:paraId="76DA0071" w14:textId="5377DF32" w:rsidR="00D62058" w:rsidRPr="00781112" w:rsidRDefault="00D62058" w:rsidP="00E37876">
            <w:pPr>
              <w:spacing w:after="0"/>
              <w:jc w:val="center"/>
              <w:rPr>
                <w:rFonts w:cs="Arial"/>
                <w:color w:val="000000" w:themeColor="text1"/>
                <w:szCs w:val="16"/>
              </w:rPr>
            </w:pPr>
            <w:r w:rsidRPr="00781112">
              <w:rPr>
                <w:color w:val="000000" w:themeColor="text1"/>
                <w:szCs w:val="16"/>
              </w:rPr>
              <w:t>56.00%</w:t>
            </w:r>
          </w:p>
        </w:tc>
        <w:tc>
          <w:tcPr>
            <w:tcW w:w="694" w:type="pct"/>
            <w:vAlign w:val="center"/>
          </w:tcPr>
          <w:p w14:paraId="244FF673" w14:textId="616739D8" w:rsidR="00D62058" w:rsidRPr="00781112" w:rsidRDefault="00D62058" w:rsidP="00E37876">
            <w:pPr>
              <w:spacing w:after="0"/>
              <w:jc w:val="center"/>
              <w:rPr>
                <w:rFonts w:cs="Arial"/>
                <w:color w:val="000000" w:themeColor="text1"/>
                <w:szCs w:val="16"/>
              </w:rPr>
            </w:pPr>
            <w:r w:rsidRPr="00781112">
              <w:rPr>
                <w:color w:val="000000" w:themeColor="text1"/>
                <w:szCs w:val="16"/>
              </w:rPr>
              <w:t>56.25%</w:t>
            </w:r>
          </w:p>
        </w:tc>
      </w:tr>
      <w:tr w:rsidR="00D62058" w:rsidRPr="00781112" w14:paraId="6D44D644" w14:textId="2AAE55F2" w:rsidTr="00E37876">
        <w:trPr>
          <w:trHeight w:val="432"/>
        </w:trPr>
        <w:tc>
          <w:tcPr>
            <w:tcW w:w="840" w:type="pct"/>
            <w:shd w:val="clear" w:color="auto" w:fill="auto"/>
            <w:vAlign w:val="center"/>
          </w:tcPr>
          <w:p w14:paraId="2E46543E" w14:textId="484E799D" w:rsidR="00D62058" w:rsidRPr="00781112" w:rsidRDefault="00D62058" w:rsidP="00E37876">
            <w:pPr>
              <w:spacing w:after="0"/>
              <w:rPr>
                <w:rFonts w:cs="Arial"/>
                <w:color w:val="000000" w:themeColor="text1"/>
                <w:szCs w:val="16"/>
              </w:rPr>
            </w:pPr>
            <w:r w:rsidRPr="00781112">
              <w:rPr>
                <w:rFonts w:cs="Arial"/>
                <w:color w:val="000000" w:themeColor="text1"/>
                <w:szCs w:val="16"/>
              </w:rPr>
              <w:t>Target B1 &gt;=</w:t>
            </w:r>
          </w:p>
        </w:tc>
        <w:tc>
          <w:tcPr>
            <w:tcW w:w="693" w:type="pct"/>
            <w:shd w:val="clear" w:color="auto" w:fill="auto"/>
            <w:vAlign w:val="center"/>
          </w:tcPr>
          <w:p w14:paraId="5B1AAB6F" w14:textId="09987858" w:rsidR="00D62058" w:rsidRPr="00781112" w:rsidRDefault="00D62058" w:rsidP="00E37876">
            <w:pPr>
              <w:spacing w:after="0"/>
              <w:jc w:val="center"/>
              <w:rPr>
                <w:rFonts w:cs="Arial"/>
                <w:color w:val="000000" w:themeColor="text1"/>
                <w:szCs w:val="16"/>
              </w:rPr>
            </w:pPr>
            <w:r w:rsidRPr="00781112">
              <w:rPr>
                <w:rFonts w:cs="Arial"/>
                <w:color w:val="000000" w:themeColor="text1"/>
                <w:szCs w:val="16"/>
              </w:rPr>
              <w:t>94.25%</w:t>
            </w:r>
          </w:p>
        </w:tc>
        <w:tc>
          <w:tcPr>
            <w:tcW w:w="693" w:type="pct"/>
            <w:vAlign w:val="center"/>
          </w:tcPr>
          <w:p w14:paraId="7D23F948" w14:textId="1533C8CE" w:rsidR="00D62058" w:rsidRPr="00781112" w:rsidRDefault="00D62058" w:rsidP="00E37876">
            <w:pPr>
              <w:spacing w:after="0"/>
              <w:jc w:val="center"/>
              <w:rPr>
                <w:rFonts w:cs="Arial"/>
                <w:color w:val="000000" w:themeColor="text1"/>
                <w:szCs w:val="16"/>
              </w:rPr>
            </w:pPr>
            <w:r w:rsidRPr="00781112">
              <w:rPr>
                <w:color w:val="000000" w:themeColor="text1"/>
                <w:szCs w:val="16"/>
              </w:rPr>
              <w:t>94.50%</w:t>
            </w:r>
          </w:p>
        </w:tc>
        <w:tc>
          <w:tcPr>
            <w:tcW w:w="694" w:type="pct"/>
            <w:vAlign w:val="center"/>
          </w:tcPr>
          <w:p w14:paraId="681F2D39" w14:textId="3BA1761B" w:rsidR="00D62058" w:rsidRPr="00781112" w:rsidRDefault="00D62058" w:rsidP="00E37876">
            <w:pPr>
              <w:spacing w:after="0"/>
              <w:jc w:val="center"/>
              <w:rPr>
                <w:rFonts w:cs="Arial"/>
                <w:color w:val="000000" w:themeColor="text1"/>
                <w:szCs w:val="16"/>
              </w:rPr>
            </w:pPr>
            <w:r w:rsidRPr="00781112">
              <w:rPr>
                <w:color w:val="000000" w:themeColor="text1"/>
                <w:szCs w:val="16"/>
              </w:rPr>
              <w:t>94.75%</w:t>
            </w:r>
          </w:p>
        </w:tc>
        <w:tc>
          <w:tcPr>
            <w:tcW w:w="693" w:type="pct"/>
            <w:vAlign w:val="center"/>
          </w:tcPr>
          <w:p w14:paraId="0F16DD78" w14:textId="0278257D" w:rsidR="00D62058" w:rsidRPr="00781112" w:rsidRDefault="00D62058" w:rsidP="00E37876">
            <w:pPr>
              <w:spacing w:after="0"/>
              <w:jc w:val="center"/>
              <w:rPr>
                <w:rFonts w:cs="Arial"/>
                <w:color w:val="000000" w:themeColor="text1"/>
                <w:szCs w:val="16"/>
              </w:rPr>
            </w:pPr>
            <w:r w:rsidRPr="00781112">
              <w:rPr>
                <w:color w:val="000000" w:themeColor="text1"/>
                <w:szCs w:val="16"/>
              </w:rPr>
              <w:t>95.00%</w:t>
            </w:r>
          </w:p>
        </w:tc>
        <w:tc>
          <w:tcPr>
            <w:tcW w:w="693" w:type="pct"/>
            <w:vAlign w:val="center"/>
          </w:tcPr>
          <w:p w14:paraId="7B3AFE6F" w14:textId="6724BF4D" w:rsidR="00D62058" w:rsidRPr="00781112" w:rsidRDefault="00D62058" w:rsidP="00E37876">
            <w:pPr>
              <w:spacing w:after="0"/>
              <w:jc w:val="center"/>
              <w:rPr>
                <w:rFonts w:cs="Arial"/>
                <w:color w:val="000000" w:themeColor="text1"/>
                <w:szCs w:val="16"/>
              </w:rPr>
            </w:pPr>
            <w:r w:rsidRPr="00781112">
              <w:rPr>
                <w:color w:val="000000" w:themeColor="text1"/>
                <w:szCs w:val="16"/>
              </w:rPr>
              <w:t>95.25%</w:t>
            </w:r>
          </w:p>
        </w:tc>
        <w:tc>
          <w:tcPr>
            <w:tcW w:w="694" w:type="pct"/>
            <w:vAlign w:val="center"/>
          </w:tcPr>
          <w:p w14:paraId="213FF138" w14:textId="31239963" w:rsidR="00D62058" w:rsidRPr="00781112" w:rsidRDefault="00D62058" w:rsidP="00E37876">
            <w:pPr>
              <w:spacing w:after="0"/>
              <w:jc w:val="center"/>
              <w:rPr>
                <w:rFonts w:cs="Arial"/>
                <w:color w:val="000000" w:themeColor="text1"/>
                <w:szCs w:val="16"/>
              </w:rPr>
            </w:pPr>
            <w:r w:rsidRPr="00781112">
              <w:rPr>
                <w:color w:val="000000" w:themeColor="text1"/>
                <w:szCs w:val="16"/>
              </w:rPr>
              <w:t>95.50%</w:t>
            </w:r>
          </w:p>
        </w:tc>
      </w:tr>
      <w:tr w:rsidR="00D62058" w:rsidRPr="00781112" w14:paraId="23425CD0" w14:textId="2D15C5CA" w:rsidTr="00E37876">
        <w:trPr>
          <w:trHeight w:val="432"/>
        </w:trPr>
        <w:tc>
          <w:tcPr>
            <w:tcW w:w="840" w:type="pct"/>
            <w:shd w:val="clear" w:color="auto" w:fill="auto"/>
            <w:vAlign w:val="center"/>
          </w:tcPr>
          <w:p w14:paraId="7DAA620C" w14:textId="6D6F79FD" w:rsidR="00D62058" w:rsidRPr="00781112" w:rsidRDefault="00D62058" w:rsidP="00E37876">
            <w:pPr>
              <w:spacing w:after="0"/>
              <w:rPr>
                <w:rFonts w:cs="Arial"/>
                <w:color w:val="000000" w:themeColor="text1"/>
                <w:szCs w:val="16"/>
              </w:rPr>
            </w:pPr>
            <w:r w:rsidRPr="00781112">
              <w:rPr>
                <w:rFonts w:cs="Arial"/>
                <w:color w:val="000000" w:themeColor="text1"/>
                <w:szCs w:val="16"/>
              </w:rPr>
              <w:t>Target B2 &gt;=</w:t>
            </w:r>
          </w:p>
        </w:tc>
        <w:tc>
          <w:tcPr>
            <w:tcW w:w="693" w:type="pct"/>
            <w:shd w:val="clear" w:color="auto" w:fill="auto"/>
            <w:vAlign w:val="center"/>
          </w:tcPr>
          <w:p w14:paraId="0C8065AA" w14:textId="2AC4B20C" w:rsidR="00D62058" w:rsidRPr="00781112" w:rsidRDefault="00D62058" w:rsidP="00E37876">
            <w:pPr>
              <w:spacing w:after="0"/>
              <w:jc w:val="center"/>
              <w:rPr>
                <w:rFonts w:cs="Arial"/>
                <w:color w:val="000000" w:themeColor="text1"/>
                <w:szCs w:val="16"/>
              </w:rPr>
            </w:pPr>
            <w:r w:rsidRPr="00781112">
              <w:rPr>
                <w:rFonts w:cs="Arial"/>
                <w:color w:val="000000" w:themeColor="text1"/>
                <w:szCs w:val="16"/>
              </w:rPr>
              <w:t>38.00%</w:t>
            </w:r>
          </w:p>
        </w:tc>
        <w:tc>
          <w:tcPr>
            <w:tcW w:w="693" w:type="pct"/>
            <w:vAlign w:val="center"/>
          </w:tcPr>
          <w:p w14:paraId="3751A50F" w14:textId="3383D4A8" w:rsidR="00D62058" w:rsidRPr="00781112" w:rsidRDefault="00D62058" w:rsidP="00E37876">
            <w:pPr>
              <w:spacing w:after="0"/>
              <w:jc w:val="center"/>
              <w:rPr>
                <w:rFonts w:cs="Arial"/>
                <w:color w:val="000000" w:themeColor="text1"/>
                <w:szCs w:val="16"/>
              </w:rPr>
            </w:pPr>
            <w:r w:rsidRPr="00781112">
              <w:rPr>
                <w:color w:val="000000" w:themeColor="text1"/>
                <w:szCs w:val="16"/>
              </w:rPr>
              <w:t>38.25%</w:t>
            </w:r>
          </w:p>
        </w:tc>
        <w:tc>
          <w:tcPr>
            <w:tcW w:w="694" w:type="pct"/>
            <w:vAlign w:val="center"/>
          </w:tcPr>
          <w:p w14:paraId="5235FFA6" w14:textId="4138DEB0" w:rsidR="00D62058" w:rsidRPr="00781112" w:rsidRDefault="00D62058" w:rsidP="00E37876">
            <w:pPr>
              <w:spacing w:after="0"/>
              <w:jc w:val="center"/>
              <w:rPr>
                <w:rFonts w:cs="Arial"/>
                <w:color w:val="000000" w:themeColor="text1"/>
                <w:szCs w:val="16"/>
              </w:rPr>
            </w:pPr>
            <w:r w:rsidRPr="00781112">
              <w:rPr>
                <w:color w:val="000000" w:themeColor="text1"/>
                <w:szCs w:val="16"/>
              </w:rPr>
              <w:t>38.50%</w:t>
            </w:r>
          </w:p>
        </w:tc>
        <w:tc>
          <w:tcPr>
            <w:tcW w:w="693" w:type="pct"/>
            <w:vAlign w:val="center"/>
          </w:tcPr>
          <w:p w14:paraId="7C9D5CEA" w14:textId="1B842876" w:rsidR="00D62058" w:rsidRPr="00781112" w:rsidRDefault="00D62058" w:rsidP="00E37876">
            <w:pPr>
              <w:spacing w:after="0"/>
              <w:jc w:val="center"/>
              <w:rPr>
                <w:rFonts w:cs="Arial"/>
                <w:color w:val="000000" w:themeColor="text1"/>
                <w:szCs w:val="16"/>
              </w:rPr>
            </w:pPr>
            <w:r w:rsidRPr="00781112">
              <w:rPr>
                <w:color w:val="000000" w:themeColor="text1"/>
                <w:szCs w:val="16"/>
              </w:rPr>
              <w:t>38.75%</w:t>
            </w:r>
          </w:p>
        </w:tc>
        <w:tc>
          <w:tcPr>
            <w:tcW w:w="693" w:type="pct"/>
            <w:vAlign w:val="center"/>
          </w:tcPr>
          <w:p w14:paraId="3C028680" w14:textId="00A3EDF9" w:rsidR="00D62058" w:rsidRPr="00781112" w:rsidRDefault="00D62058" w:rsidP="00E37876">
            <w:pPr>
              <w:spacing w:after="0"/>
              <w:jc w:val="center"/>
              <w:rPr>
                <w:rFonts w:cs="Arial"/>
                <w:color w:val="000000" w:themeColor="text1"/>
                <w:szCs w:val="16"/>
              </w:rPr>
            </w:pPr>
            <w:r w:rsidRPr="00781112">
              <w:rPr>
                <w:color w:val="000000" w:themeColor="text1"/>
                <w:szCs w:val="16"/>
              </w:rPr>
              <w:t>39.00%</w:t>
            </w:r>
          </w:p>
        </w:tc>
        <w:tc>
          <w:tcPr>
            <w:tcW w:w="694" w:type="pct"/>
            <w:vAlign w:val="center"/>
          </w:tcPr>
          <w:p w14:paraId="47EEC254" w14:textId="44D49378" w:rsidR="00D62058" w:rsidRPr="00781112" w:rsidRDefault="00D62058" w:rsidP="00E37876">
            <w:pPr>
              <w:spacing w:after="0"/>
              <w:jc w:val="center"/>
              <w:rPr>
                <w:rFonts w:cs="Arial"/>
                <w:color w:val="000000" w:themeColor="text1"/>
                <w:szCs w:val="16"/>
              </w:rPr>
            </w:pPr>
            <w:r w:rsidRPr="00781112">
              <w:rPr>
                <w:color w:val="000000" w:themeColor="text1"/>
                <w:szCs w:val="16"/>
              </w:rPr>
              <w:t>39.25%</w:t>
            </w:r>
          </w:p>
        </w:tc>
      </w:tr>
      <w:tr w:rsidR="00D62058" w:rsidRPr="00781112" w14:paraId="3A0A624F" w14:textId="2DA1E496" w:rsidTr="00E37876">
        <w:trPr>
          <w:trHeight w:val="432"/>
        </w:trPr>
        <w:tc>
          <w:tcPr>
            <w:tcW w:w="840" w:type="pct"/>
            <w:shd w:val="clear" w:color="auto" w:fill="auto"/>
            <w:vAlign w:val="center"/>
          </w:tcPr>
          <w:p w14:paraId="04DCCFAA" w14:textId="5591B965" w:rsidR="00D62058" w:rsidRPr="00781112" w:rsidRDefault="00D62058" w:rsidP="00E37876">
            <w:pPr>
              <w:spacing w:after="0"/>
              <w:rPr>
                <w:rFonts w:cs="Arial"/>
                <w:color w:val="000000" w:themeColor="text1"/>
                <w:szCs w:val="16"/>
              </w:rPr>
            </w:pPr>
            <w:r w:rsidRPr="00781112">
              <w:rPr>
                <w:rFonts w:cs="Arial"/>
                <w:color w:val="000000" w:themeColor="text1"/>
                <w:szCs w:val="16"/>
              </w:rPr>
              <w:t>Target C1 &gt;=</w:t>
            </w:r>
          </w:p>
        </w:tc>
        <w:tc>
          <w:tcPr>
            <w:tcW w:w="693" w:type="pct"/>
            <w:shd w:val="clear" w:color="auto" w:fill="auto"/>
            <w:vAlign w:val="center"/>
          </w:tcPr>
          <w:p w14:paraId="26176209" w14:textId="03FEA13C" w:rsidR="00D62058" w:rsidRPr="00781112" w:rsidRDefault="00D62058" w:rsidP="00E37876">
            <w:pPr>
              <w:spacing w:after="0"/>
              <w:jc w:val="center"/>
              <w:rPr>
                <w:rFonts w:cs="Arial"/>
                <w:color w:val="000000" w:themeColor="text1"/>
                <w:szCs w:val="16"/>
              </w:rPr>
            </w:pPr>
            <w:r w:rsidRPr="00781112">
              <w:rPr>
                <w:rFonts w:cs="Arial"/>
                <w:color w:val="000000" w:themeColor="text1"/>
                <w:szCs w:val="16"/>
              </w:rPr>
              <w:t>91.25%</w:t>
            </w:r>
          </w:p>
        </w:tc>
        <w:tc>
          <w:tcPr>
            <w:tcW w:w="693" w:type="pct"/>
            <w:vAlign w:val="center"/>
          </w:tcPr>
          <w:p w14:paraId="36CB20B0" w14:textId="212CC3E5" w:rsidR="00D62058" w:rsidRPr="00781112" w:rsidRDefault="00D62058" w:rsidP="00E37876">
            <w:pPr>
              <w:spacing w:after="0"/>
              <w:jc w:val="center"/>
              <w:rPr>
                <w:rFonts w:cs="Arial"/>
                <w:color w:val="000000" w:themeColor="text1"/>
                <w:szCs w:val="16"/>
              </w:rPr>
            </w:pPr>
            <w:r w:rsidRPr="00781112">
              <w:rPr>
                <w:color w:val="000000" w:themeColor="text1"/>
                <w:szCs w:val="16"/>
              </w:rPr>
              <w:t>91.50%</w:t>
            </w:r>
          </w:p>
        </w:tc>
        <w:tc>
          <w:tcPr>
            <w:tcW w:w="694" w:type="pct"/>
            <w:vAlign w:val="center"/>
          </w:tcPr>
          <w:p w14:paraId="29B1E3BE" w14:textId="0FFFD561" w:rsidR="00D62058" w:rsidRPr="00781112" w:rsidRDefault="00D62058" w:rsidP="00E37876">
            <w:pPr>
              <w:spacing w:after="0"/>
              <w:jc w:val="center"/>
              <w:rPr>
                <w:rFonts w:cs="Arial"/>
                <w:color w:val="000000" w:themeColor="text1"/>
                <w:szCs w:val="16"/>
              </w:rPr>
            </w:pPr>
            <w:r w:rsidRPr="00781112">
              <w:rPr>
                <w:color w:val="000000" w:themeColor="text1"/>
                <w:szCs w:val="16"/>
              </w:rPr>
              <w:t>91.75%</w:t>
            </w:r>
          </w:p>
        </w:tc>
        <w:tc>
          <w:tcPr>
            <w:tcW w:w="693" w:type="pct"/>
            <w:vAlign w:val="center"/>
          </w:tcPr>
          <w:p w14:paraId="287AC7C4" w14:textId="5C0E3064" w:rsidR="00D62058" w:rsidRPr="00781112" w:rsidRDefault="00D62058" w:rsidP="00E37876">
            <w:pPr>
              <w:spacing w:after="0"/>
              <w:jc w:val="center"/>
              <w:rPr>
                <w:rFonts w:cs="Arial"/>
                <w:color w:val="000000" w:themeColor="text1"/>
                <w:szCs w:val="16"/>
              </w:rPr>
            </w:pPr>
            <w:r w:rsidRPr="00781112">
              <w:rPr>
                <w:color w:val="000000" w:themeColor="text1"/>
                <w:szCs w:val="16"/>
              </w:rPr>
              <w:t>92.00%</w:t>
            </w:r>
          </w:p>
        </w:tc>
        <w:tc>
          <w:tcPr>
            <w:tcW w:w="693" w:type="pct"/>
            <w:vAlign w:val="center"/>
          </w:tcPr>
          <w:p w14:paraId="094E7895" w14:textId="27006BDD" w:rsidR="00D62058" w:rsidRPr="00781112" w:rsidRDefault="00D62058" w:rsidP="00E37876">
            <w:pPr>
              <w:spacing w:after="0"/>
              <w:jc w:val="center"/>
              <w:rPr>
                <w:rFonts w:cs="Arial"/>
                <w:color w:val="000000" w:themeColor="text1"/>
                <w:szCs w:val="16"/>
              </w:rPr>
            </w:pPr>
            <w:r w:rsidRPr="00781112">
              <w:rPr>
                <w:color w:val="000000" w:themeColor="text1"/>
                <w:szCs w:val="16"/>
              </w:rPr>
              <w:t>92.25%</w:t>
            </w:r>
          </w:p>
        </w:tc>
        <w:tc>
          <w:tcPr>
            <w:tcW w:w="694" w:type="pct"/>
            <w:vAlign w:val="center"/>
          </w:tcPr>
          <w:p w14:paraId="22749F75" w14:textId="0DE55AF6" w:rsidR="00D62058" w:rsidRPr="00781112" w:rsidRDefault="00D62058" w:rsidP="00E37876">
            <w:pPr>
              <w:spacing w:after="0"/>
              <w:jc w:val="center"/>
              <w:rPr>
                <w:rFonts w:cs="Arial"/>
                <w:color w:val="000000" w:themeColor="text1"/>
                <w:szCs w:val="16"/>
              </w:rPr>
            </w:pPr>
            <w:r w:rsidRPr="00781112">
              <w:rPr>
                <w:color w:val="000000" w:themeColor="text1"/>
                <w:szCs w:val="16"/>
              </w:rPr>
              <w:t>92.50%</w:t>
            </w:r>
          </w:p>
        </w:tc>
      </w:tr>
      <w:tr w:rsidR="00AD5583" w:rsidRPr="00781112" w14:paraId="7FD0F8D0" w14:textId="6F160F3D" w:rsidTr="00E37876">
        <w:trPr>
          <w:trHeight w:val="432"/>
        </w:trPr>
        <w:tc>
          <w:tcPr>
            <w:tcW w:w="840" w:type="pct"/>
            <w:shd w:val="clear" w:color="auto" w:fill="auto"/>
            <w:vAlign w:val="center"/>
          </w:tcPr>
          <w:p w14:paraId="16DEC104" w14:textId="6A28B34F" w:rsidR="00AD5583" w:rsidRPr="00781112" w:rsidRDefault="00AD5583" w:rsidP="00E37876">
            <w:pPr>
              <w:spacing w:after="0"/>
              <w:rPr>
                <w:rFonts w:cs="Arial"/>
                <w:color w:val="000000" w:themeColor="text1"/>
                <w:szCs w:val="16"/>
              </w:rPr>
            </w:pPr>
            <w:r w:rsidRPr="00781112">
              <w:rPr>
                <w:rFonts w:cs="Arial"/>
                <w:color w:val="000000" w:themeColor="text1"/>
                <w:szCs w:val="16"/>
              </w:rPr>
              <w:t>Target C2 &gt;=</w:t>
            </w:r>
          </w:p>
        </w:tc>
        <w:tc>
          <w:tcPr>
            <w:tcW w:w="693" w:type="pct"/>
            <w:shd w:val="clear" w:color="auto" w:fill="auto"/>
            <w:vAlign w:val="center"/>
          </w:tcPr>
          <w:p w14:paraId="7A9F674E" w14:textId="54CCEACA" w:rsidR="00AD5583" w:rsidRPr="00781112" w:rsidRDefault="00AD5583" w:rsidP="00E37876">
            <w:pPr>
              <w:spacing w:after="0"/>
              <w:jc w:val="center"/>
              <w:rPr>
                <w:rFonts w:cs="Arial"/>
                <w:color w:val="000000" w:themeColor="text1"/>
                <w:szCs w:val="16"/>
              </w:rPr>
            </w:pPr>
            <w:r w:rsidRPr="00781112">
              <w:rPr>
                <w:rFonts w:cs="Arial"/>
                <w:color w:val="000000" w:themeColor="text1"/>
                <w:szCs w:val="16"/>
              </w:rPr>
              <w:t>61.00%</w:t>
            </w:r>
          </w:p>
        </w:tc>
        <w:tc>
          <w:tcPr>
            <w:tcW w:w="693" w:type="pct"/>
            <w:vAlign w:val="center"/>
          </w:tcPr>
          <w:p w14:paraId="3C5378CB" w14:textId="7FC56A6A" w:rsidR="00AD5583" w:rsidRPr="00781112" w:rsidRDefault="00AD5583" w:rsidP="00E37876">
            <w:pPr>
              <w:spacing w:after="0"/>
              <w:jc w:val="center"/>
              <w:rPr>
                <w:rFonts w:cs="Arial"/>
                <w:color w:val="000000" w:themeColor="text1"/>
                <w:szCs w:val="16"/>
              </w:rPr>
            </w:pPr>
            <w:r w:rsidRPr="00781112">
              <w:rPr>
                <w:color w:val="000000" w:themeColor="text1"/>
                <w:szCs w:val="16"/>
              </w:rPr>
              <w:t>61.25%</w:t>
            </w:r>
          </w:p>
        </w:tc>
        <w:tc>
          <w:tcPr>
            <w:tcW w:w="694" w:type="pct"/>
            <w:vAlign w:val="center"/>
          </w:tcPr>
          <w:p w14:paraId="694DD14B" w14:textId="0FC2BAFA" w:rsidR="00AD5583" w:rsidRPr="00781112" w:rsidRDefault="00AD5583" w:rsidP="00E37876">
            <w:pPr>
              <w:spacing w:after="0"/>
              <w:jc w:val="center"/>
              <w:rPr>
                <w:rFonts w:cs="Arial"/>
                <w:color w:val="000000" w:themeColor="text1"/>
                <w:szCs w:val="16"/>
              </w:rPr>
            </w:pPr>
            <w:r w:rsidRPr="00781112">
              <w:rPr>
                <w:color w:val="000000" w:themeColor="text1"/>
                <w:szCs w:val="16"/>
              </w:rPr>
              <w:t>61.50%</w:t>
            </w:r>
          </w:p>
        </w:tc>
        <w:tc>
          <w:tcPr>
            <w:tcW w:w="693" w:type="pct"/>
            <w:vAlign w:val="center"/>
          </w:tcPr>
          <w:p w14:paraId="69632A5F" w14:textId="59530F4E" w:rsidR="00AD5583" w:rsidRPr="00781112" w:rsidRDefault="00AD5583" w:rsidP="00E37876">
            <w:pPr>
              <w:spacing w:after="0"/>
              <w:jc w:val="center"/>
              <w:rPr>
                <w:rFonts w:cs="Arial"/>
                <w:color w:val="000000" w:themeColor="text1"/>
                <w:szCs w:val="16"/>
              </w:rPr>
            </w:pPr>
            <w:r w:rsidRPr="00781112">
              <w:rPr>
                <w:color w:val="000000" w:themeColor="text1"/>
                <w:szCs w:val="16"/>
              </w:rPr>
              <w:t>61.75%</w:t>
            </w:r>
          </w:p>
        </w:tc>
        <w:tc>
          <w:tcPr>
            <w:tcW w:w="693" w:type="pct"/>
            <w:vAlign w:val="center"/>
          </w:tcPr>
          <w:p w14:paraId="1C5D6F95" w14:textId="3D16D545" w:rsidR="00AD5583" w:rsidRPr="00781112" w:rsidRDefault="00AD5583" w:rsidP="00E37876">
            <w:pPr>
              <w:spacing w:after="0"/>
              <w:jc w:val="center"/>
              <w:rPr>
                <w:rFonts w:cs="Arial"/>
                <w:color w:val="000000" w:themeColor="text1"/>
                <w:szCs w:val="16"/>
              </w:rPr>
            </w:pPr>
            <w:r w:rsidRPr="00781112">
              <w:rPr>
                <w:color w:val="000000" w:themeColor="text1"/>
                <w:szCs w:val="16"/>
              </w:rPr>
              <w:t>62.00%</w:t>
            </w:r>
          </w:p>
        </w:tc>
        <w:tc>
          <w:tcPr>
            <w:tcW w:w="694" w:type="pct"/>
            <w:vAlign w:val="center"/>
          </w:tcPr>
          <w:p w14:paraId="478E5E47" w14:textId="202F6B5D" w:rsidR="00AD5583" w:rsidRPr="00781112" w:rsidRDefault="00AD5583" w:rsidP="00E37876">
            <w:pPr>
              <w:spacing w:after="0"/>
              <w:jc w:val="center"/>
              <w:rPr>
                <w:rFonts w:cs="Arial"/>
                <w:color w:val="000000" w:themeColor="text1"/>
                <w:szCs w:val="16"/>
              </w:rPr>
            </w:pPr>
            <w:r w:rsidRPr="00781112">
              <w:rPr>
                <w:color w:val="000000" w:themeColor="text1"/>
                <w:szCs w:val="16"/>
              </w:rPr>
              <w:t>62.25%</w:t>
            </w:r>
          </w:p>
        </w:tc>
      </w:tr>
    </w:tbl>
    <w:p w14:paraId="49CD323A" w14:textId="1ED6B3A6" w:rsidR="002D145D" w:rsidRPr="00781112" w:rsidRDefault="002D145D" w:rsidP="00447D0B">
      <w:pPr>
        <w:pStyle w:val="Heading4"/>
      </w:pPr>
      <w:r w:rsidRPr="00781112">
        <w:t>Targets: Description of Stakeholder Input</w:t>
      </w:r>
    </w:p>
    <w:p w14:paraId="3BD18644" w14:textId="77777777" w:rsidR="00E37876" w:rsidRPr="00D4769B" w:rsidRDefault="002B7490" w:rsidP="00314F94">
      <w:pPr>
        <w:pStyle w:val="ListParagraph"/>
        <w:numPr>
          <w:ilvl w:val="0"/>
          <w:numId w:val="164"/>
        </w:numPr>
        <w:rPr>
          <w:rFonts w:cs="Arial"/>
          <w:color w:val="000000" w:themeColor="text1"/>
          <w:szCs w:val="16"/>
        </w:rPr>
      </w:pPr>
      <w:r w:rsidRPr="00D4769B">
        <w:rPr>
          <w:rFonts w:cs="Arial"/>
          <w:color w:val="000000" w:themeColor="text1"/>
          <w:szCs w:val="16"/>
        </w:rPr>
        <w:lastRenderedPageBreak/>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1512BEE4" w14:textId="7018B53E" w:rsidR="007870F8" w:rsidRPr="00E37876" w:rsidRDefault="002B7490" w:rsidP="00016817">
      <w:pPr>
        <w:ind w:left="720"/>
        <w:rPr>
          <w:rFonts w:cs="Arial"/>
          <w:color w:val="000000" w:themeColor="text1"/>
          <w:szCs w:val="16"/>
        </w:rPr>
      </w:pPr>
      <w:r w:rsidRPr="00781112">
        <w:rPr>
          <w:rFonts w:cs="Arial"/>
          <w:color w:val="000000" w:themeColor="text1"/>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4D0201C3" w14:textId="41F8CFF8" w:rsidR="008751D3" w:rsidRPr="00781112" w:rsidRDefault="00F6415A" w:rsidP="00447D0B">
      <w:pPr>
        <w:pStyle w:val="Heading4"/>
      </w:pPr>
      <w:r w:rsidRPr="00781112">
        <w:t>FFY 2020 SPP/APR Data</w:t>
      </w:r>
    </w:p>
    <w:p w14:paraId="75F01957" w14:textId="463160A4" w:rsidR="004B2C2D" w:rsidRPr="00781112" w:rsidRDefault="004B2C2D" w:rsidP="00A22EB9">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D4769B" w:rsidRDefault="004B2C2D" w:rsidP="00314F94">
      <w:pPr>
        <w:pStyle w:val="ListParagraph"/>
        <w:numPr>
          <w:ilvl w:val="0"/>
          <w:numId w:val="165"/>
        </w:numPr>
        <w:rPr>
          <w:color w:val="000000" w:themeColor="text1"/>
        </w:rPr>
      </w:pPr>
      <w:r w:rsidRPr="00D4769B">
        <w:rPr>
          <w:rFonts w:cs="Arial"/>
          <w:color w:val="000000" w:themeColor="text1"/>
          <w:szCs w:val="16"/>
        </w:rPr>
        <w:t>5,806</w:t>
      </w:r>
    </w:p>
    <w:p w14:paraId="6AF5CF56" w14:textId="77777777" w:rsidR="00A80FEB" w:rsidRPr="00781112" w:rsidRDefault="00A80FEB" w:rsidP="00815ACE">
      <w:pPr>
        <w:pStyle w:val="Caption"/>
      </w:pPr>
      <w:bookmarkStart w:id="44" w:name="_Hlk121843414"/>
      <w:r w:rsidRPr="00781112">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Outcome A progress categories and the numbers and percentages of children for each for this indicator."/>
      </w:tblPr>
      <w:tblGrid>
        <w:gridCol w:w="7464"/>
        <w:gridCol w:w="1664"/>
        <w:gridCol w:w="1662"/>
      </w:tblGrid>
      <w:tr w:rsidR="005C29F8" w:rsidRPr="00781112" w14:paraId="7F9D0F86" w14:textId="5773C98B" w:rsidTr="006D0DC2">
        <w:trPr>
          <w:trHeight w:val="287"/>
          <w:tblHeader/>
        </w:trPr>
        <w:tc>
          <w:tcPr>
            <w:tcW w:w="3459" w:type="pct"/>
            <w:shd w:val="clear" w:color="auto" w:fill="D9D9D9" w:themeFill="background1" w:themeFillShade="D9"/>
            <w:vAlign w:val="center"/>
          </w:tcPr>
          <w:bookmarkEnd w:id="44"/>
          <w:p w14:paraId="732006A2" w14:textId="4E4F994E" w:rsidR="008751D3" w:rsidRPr="00781112" w:rsidRDefault="00043AAB" w:rsidP="00E37876">
            <w:pPr>
              <w:spacing w:after="0"/>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71" w:type="pct"/>
            <w:shd w:val="clear" w:color="auto" w:fill="D9D9D9" w:themeFill="background1" w:themeFillShade="D9"/>
            <w:vAlign w:val="center"/>
          </w:tcPr>
          <w:p w14:paraId="2EAB6060" w14:textId="77777777" w:rsidR="008751D3" w:rsidRPr="00781112" w:rsidRDefault="008751D3" w:rsidP="00E37876">
            <w:pPr>
              <w:spacing w:after="0"/>
              <w:jc w:val="center"/>
              <w:rPr>
                <w:rFonts w:cs="Arial"/>
                <w:b/>
                <w:color w:val="000000" w:themeColor="text1"/>
                <w:szCs w:val="16"/>
              </w:rPr>
            </w:pPr>
            <w:r w:rsidRPr="00781112">
              <w:rPr>
                <w:rFonts w:cs="Arial"/>
                <w:b/>
                <w:color w:val="000000" w:themeColor="text1"/>
                <w:szCs w:val="16"/>
              </w:rPr>
              <w:t>Number of children</w:t>
            </w:r>
          </w:p>
        </w:tc>
        <w:tc>
          <w:tcPr>
            <w:tcW w:w="771" w:type="pct"/>
            <w:shd w:val="clear" w:color="auto" w:fill="D9D9D9" w:themeFill="background1" w:themeFillShade="D9"/>
            <w:vAlign w:val="center"/>
          </w:tcPr>
          <w:p w14:paraId="1007C28C" w14:textId="52952731" w:rsidR="008751D3" w:rsidRPr="00781112" w:rsidRDefault="008751D3" w:rsidP="00E37876">
            <w:pPr>
              <w:spacing w:after="0"/>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6D0DC2">
        <w:trPr>
          <w:trHeight w:val="576"/>
        </w:trPr>
        <w:tc>
          <w:tcPr>
            <w:tcW w:w="3459" w:type="pct"/>
            <w:shd w:val="clear" w:color="auto" w:fill="auto"/>
            <w:vAlign w:val="center"/>
          </w:tcPr>
          <w:p w14:paraId="476980EA" w14:textId="77777777" w:rsidR="00A86385" w:rsidRPr="00781112" w:rsidRDefault="00A86385" w:rsidP="00E37876">
            <w:pPr>
              <w:spacing w:after="0"/>
              <w:rPr>
                <w:rFonts w:cs="Arial"/>
                <w:szCs w:val="16"/>
              </w:rPr>
            </w:pPr>
            <w:r w:rsidRPr="00781112">
              <w:rPr>
                <w:rFonts w:cs="Arial"/>
                <w:szCs w:val="16"/>
              </w:rPr>
              <w:t>a. Preschool children who did not improve functioning</w:t>
            </w:r>
          </w:p>
        </w:tc>
        <w:tc>
          <w:tcPr>
            <w:tcW w:w="771" w:type="pct"/>
            <w:shd w:val="clear" w:color="auto" w:fill="auto"/>
            <w:vAlign w:val="center"/>
          </w:tcPr>
          <w:p w14:paraId="358366F4" w14:textId="107FC5B1" w:rsidR="00A86385" w:rsidRPr="00781112" w:rsidRDefault="002B7490" w:rsidP="00E37876">
            <w:pPr>
              <w:spacing w:after="0"/>
              <w:jc w:val="center"/>
              <w:rPr>
                <w:rFonts w:cs="Arial"/>
                <w:szCs w:val="16"/>
              </w:rPr>
            </w:pPr>
            <w:r w:rsidRPr="00781112">
              <w:rPr>
                <w:rFonts w:cs="Arial"/>
                <w:szCs w:val="16"/>
              </w:rPr>
              <w:t>23</w:t>
            </w:r>
          </w:p>
        </w:tc>
        <w:tc>
          <w:tcPr>
            <w:tcW w:w="771" w:type="pct"/>
            <w:shd w:val="clear" w:color="auto" w:fill="auto"/>
            <w:vAlign w:val="center"/>
          </w:tcPr>
          <w:p w14:paraId="0846D135" w14:textId="1043D337" w:rsidR="00A86385" w:rsidRPr="00781112" w:rsidRDefault="002B7490" w:rsidP="00E37876">
            <w:pPr>
              <w:spacing w:after="0"/>
              <w:jc w:val="center"/>
              <w:rPr>
                <w:rFonts w:cs="Arial"/>
                <w:szCs w:val="16"/>
              </w:rPr>
            </w:pPr>
            <w:r w:rsidRPr="00781112">
              <w:rPr>
                <w:rFonts w:cs="Arial"/>
                <w:szCs w:val="16"/>
              </w:rPr>
              <w:t>0.40%</w:t>
            </w:r>
          </w:p>
        </w:tc>
      </w:tr>
      <w:tr w:rsidR="005C29F8" w:rsidRPr="00781112" w14:paraId="779019AB" w14:textId="1FD48572" w:rsidTr="006D0DC2">
        <w:trPr>
          <w:trHeight w:val="720"/>
        </w:trPr>
        <w:tc>
          <w:tcPr>
            <w:tcW w:w="3459" w:type="pct"/>
            <w:shd w:val="clear" w:color="auto" w:fill="auto"/>
            <w:vAlign w:val="center"/>
          </w:tcPr>
          <w:p w14:paraId="6E7F23F0" w14:textId="77777777" w:rsidR="00A86385" w:rsidRPr="00781112" w:rsidRDefault="00A86385" w:rsidP="00E37876">
            <w:pPr>
              <w:spacing w:after="0"/>
              <w:rPr>
                <w:rFonts w:cs="Arial"/>
                <w:szCs w:val="16"/>
              </w:rPr>
            </w:pPr>
            <w:r w:rsidRPr="00781112">
              <w:rPr>
                <w:rFonts w:cs="Arial"/>
                <w:szCs w:val="16"/>
              </w:rPr>
              <w:t>b. Preschool children who improved functioning but not sufficient to move nearer to functioning comparable to same-aged peers</w:t>
            </w:r>
          </w:p>
        </w:tc>
        <w:tc>
          <w:tcPr>
            <w:tcW w:w="771" w:type="pct"/>
            <w:shd w:val="clear" w:color="auto" w:fill="auto"/>
            <w:vAlign w:val="center"/>
          </w:tcPr>
          <w:p w14:paraId="1E928F4C" w14:textId="54E616E3" w:rsidR="00A86385" w:rsidRPr="00781112" w:rsidRDefault="002B7490" w:rsidP="00E37876">
            <w:pPr>
              <w:spacing w:after="0"/>
              <w:jc w:val="center"/>
              <w:rPr>
                <w:rFonts w:cs="Arial"/>
                <w:szCs w:val="16"/>
              </w:rPr>
            </w:pPr>
            <w:r w:rsidRPr="00781112">
              <w:rPr>
                <w:rFonts w:cs="Arial"/>
                <w:szCs w:val="16"/>
              </w:rPr>
              <w:t>370</w:t>
            </w:r>
          </w:p>
        </w:tc>
        <w:tc>
          <w:tcPr>
            <w:tcW w:w="771" w:type="pct"/>
            <w:shd w:val="clear" w:color="auto" w:fill="auto"/>
            <w:vAlign w:val="center"/>
          </w:tcPr>
          <w:p w14:paraId="371019D1" w14:textId="49035C13" w:rsidR="00A86385" w:rsidRPr="00781112" w:rsidRDefault="002B7490" w:rsidP="00E37876">
            <w:pPr>
              <w:spacing w:after="0"/>
              <w:jc w:val="center"/>
              <w:rPr>
                <w:rFonts w:cs="Arial"/>
                <w:szCs w:val="16"/>
              </w:rPr>
            </w:pPr>
            <w:r w:rsidRPr="00781112">
              <w:rPr>
                <w:rFonts w:cs="Arial"/>
                <w:szCs w:val="16"/>
              </w:rPr>
              <w:t>6.37%</w:t>
            </w:r>
          </w:p>
        </w:tc>
      </w:tr>
      <w:tr w:rsidR="005C29F8" w:rsidRPr="00781112" w14:paraId="3A078806" w14:textId="7FBB31A0" w:rsidTr="006D0DC2">
        <w:trPr>
          <w:trHeight w:val="720"/>
        </w:trPr>
        <w:tc>
          <w:tcPr>
            <w:tcW w:w="3459" w:type="pct"/>
            <w:shd w:val="clear" w:color="auto" w:fill="auto"/>
            <w:vAlign w:val="center"/>
          </w:tcPr>
          <w:p w14:paraId="6E35A4C3" w14:textId="77777777" w:rsidR="00A86385" w:rsidRPr="00781112" w:rsidRDefault="00A86385" w:rsidP="00E37876">
            <w:pPr>
              <w:spacing w:after="0"/>
              <w:rPr>
                <w:rFonts w:cs="Arial"/>
                <w:szCs w:val="16"/>
              </w:rPr>
            </w:pPr>
            <w:r w:rsidRPr="00781112">
              <w:rPr>
                <w:rFonts w:cs="Arial"/>
                <w:szCs w:val="16"/>
              </w:rPr>
              <w:t>c. Preschool children who improved functioning to a level nearer to same-aged peers but did not reach it</w:t>
            </w:r>
          </w:p>
        </w:tc>
        <w:tc>
          <w:tcPr>
            <w:tcW w:w="771" w:type="pct"/>
            <w:shd w:val="clear" w:color="auto" w:fill="auto"/>
            <w:vAlign w:val="center"/>
          </w:tcPr>
          <w:p w14:paraId="1AFEBF8F" w14:textId="2E4650C8" w:rsidR="00A86385" w:rsidRPr="00781112" w:rsidRDefault="002B7490" w:rsidP="00E37876">
            <w:pPr>
              <w:spacing w:after="0"/>
              <w:jc w:val="center"/>
              <w:rPr>
                <w:rFonts w:cs="Arial"/>
                <w:szCs w:val="16"/>
              </w:rPr>
            </w:pPr>
            <w:r w:rsidRPr="00781112">
              <w:rPr>
                <w:rFonts w:cs="Arial"/>
                <w:szCs w:val="16"/>
              </w:rPr>
              <w:t>2,821</w:t>
            </w:r>
          </w:p>
        </w:tc>
        <w:tc>
          <w:tcPr>
            <w:tcW w:w="771" w:type="pct"/>
            <w:shd w:val="clear" w:color="auto" w:fill="auto"/>
            <w:vAlign w:val="center"/>
          </w:tcPr>
          <w:p w14:paraId="4B6BCB00" w14:textId="047D3E20" w:rsidR="00A86385" w:rsidRPr="00781112" w:rsidRDefault="002B7490" w:rsidP="00E37876">
            <w:pPr>
              <w:spacing w:after="0"/>
              <w:jc w:val="center"/>
              <w:rPr>
                <w:rFonts w:cs="Arial"/>
                <w:szCs w:val="16"/>
              </w:rPr>
            </w:pPr>
            <w:r w:rsidRPr="00781112">
              <w:rPr>
                <w:rFonts w:cs="Arial"/>
                <w:szCs w:val="16"/>
              </w:rPr>
              <w:t>48.59%</w:t>
            </w:r>
          </w:p>
        </w:tc>
      </w:tr>
      <w:tr w:rsidR="005C29F8" w:rsidRPr="00781112" w14:paraId="37EE0376" w14:textId="01578CDB" w:rsidTr="006D0DC2">
        <w:trPr>
          <w:trHeight w:val="720"/>
        </w:trPr>
        <w:tc>
          <w:tcPr>
            <w:tcW w:w="3459" w:type="pct"/>
            <w:shd w:val="clear" w:color="auto" w:fill="auto"/>
            <w:vAlign w:val="center"/>
          </w:tcPr>
          <w:p w14:paraId="4DFA1510" w14:textId="77777777" w:rsidR="00A86385" w:rsidRPr="00781112" w:rsidRDefault="00A86385" w:rsidP="00E37876">
            <w:pPr>
              <w:spacing w:after="0"/>
              <w:rPr>
                <w:rFonts w:cs="Arial"/>
                <w:szCs w:val="16"/>
              </w:rPr>
            </w:pPr>
            <w:r w:rsidRPr="00781112">
              <w:rPr>
                <w:rFonts w:cs="Arial"/>
                <w:szCs w:val="16"/>
              </w:rPr>
              <w:t>d. Preschool children who improved functioning to reach a level comparable to same-aged peers</w:t>
            </w:r>
          </w:p>
        </w:tc>
        <w:tc>
          <w:tcPr>
            <w:tcW w:w="771" w:type="pct"/>
            <w:shd w:val="clear" w:color="auto" w:fill="auto"/>
            <w:vAlign w:val="center"/>
          </w:tcPr>
          <w:p w14:paraId="0E06DA36" w14:textId="47CC0ED8" w:rsidR="00A86385" w:rsidRPr="00781112" w:rsidRDefault="002B7490" w:rsidP="00E37876">
            <w:pPr>
              <w:spacing w:after="0"/>
              <w:jc w:val="center"/>
              <w:rPr>
                <w:rFonts w:cs="Arial"/>
                <w:szCs w:val="16"/>
              </w:rPr>
            </w:pPr>
            <w:r w:rsidRPr="00781112">
              <w:rPr>
                <w:rFonts w:cs="Arial"/>
                <w:szCs w:val="16"/>
              </w:rPr>
              <w:t>2,066</w:t>
            </w:r>
          </w:p>
        </w:tc>
        <w:tc>
          <w:tcPr>
            <w:tcW w:w="771" w:type="pct"/>
            <w:shd w:val="clear" w:color="auto" w:fill="auto"/>
            <w:vAlign w:val="center"/>
          </w:tcPr>
          <w:p w14:paraId="16C35679" w14:textId="25F05A91" w:rsidR="00A86385" w:rsidRPr="00781112" w:rsidRDefault="002B7490" w:rsidP="00E37876">
            <w:pPr>
              <w:spacing w:after="0"/>
              <w:jc w:val="center"/>
              <w:rPr>
                <w:rFonts w:cs="Arial"/>
                <w:szCs w:val="16"/>
              </w:rPr>
            </w:pPr>
            <w:r w:rsidRPr="00781112">
              <w:rPr>
                <w:rFonts w:cs="Arial"/>
                <w:szCs w:val="16"/>
              </w:rPr>
              <w:t>35.58%</w:t>
            </w:r>
          </w:p>
        </w:tc>
      </w:tr>
      <w:tr w:rsidR="005C29F8" w:rsidRPr="00781112" w14:paraId="2EAC8E4E" w14:textId="5ED91A2D" w:rsidTr="006D0DC2">
        <w:trPr>
          <w:trHeight w:val="720"/>
        </w:trPr>
        <w:tc>
          <w:tcPr>
            <w:tcW w:w="3459" w:type="pct"/>
            <w:shd w:val="clear" w:color="auto" w:fill="auto"/>
            <w:vAlign w:val="center"/>
          </w:tcPr>
          <w:p w14:paraId="4107A866" w14:textId="77777777" w:rsidR="00A86385" w:rsidRPr="00781112" w:rsidRDefault="00A86385" w:rsidP="00E37876">
            <w:pPr>
              <w:spacing w:after="0"/>
              <w:rPr>
                <w:rFonts w:cs="Arial"/>
                <w:szCs w:val="16"/>
              </w:rPr>
            </w:pPr>
            <w:r w:rsidRPr="00781112">
              <w:rPr>
                <w:rFonts w:cs="Arial"/>
                <w:szCs w:val="16"/>
              </w:rPr>
              <w:t>e. Preschool children who maintained functioning at a level comparable to same-aged peers</w:t>
            </w:r>
          </w:p>
        </w:tc>
        <w:tc>
          <w:tcPr>
            <w:tcW w:w="771" w:type="pct"/>
            <w:shd w:val="clear" w:color="auto" w:fill="auto"/>
            <w:vAlign w:val="center"/>
          </w:tcPr>
          <w:p w14:paraId="5DD4256C" w14:textId="3B268EB2" w:rsidR="00A86385" w:rsidRPr="00781112" w:rsidRDefault="002B7490" w:rsidP="00E37876">
            <w:pPr>
              <w:spacing w:after="0"/>
              <w:jc w:val="center"/>
              <w:rPr>
                <w:rFonts w:cs="Arial"/>
                <w:szCs w:val="16"/>
              </w:rPr>
            </w:pPr>
            <w:r w:rsidRPr="00781112">
              <w:rPr>
                <w:rFonts w:cs="Arial"/>
                <w:szCs w:val="16"/>
              </w:rPr>
              <w:t>526</w:t>
            </w:r>
          </w:p>
        </w:tc>
        <w:tc>
          <w:tcPr>
            <w:tcW w:w="771" w:type="pct"/>
            <w:shd w:val="clear" w:color="auto" w:fill="auto"/>
            <w:vAlign w:val="center"/>
          </w:tcPr>
          <w:p w14:paraId="49CE1ADC" w14:textId="7D7D7E9C" w:rsidR="00A86385" w:rsidRPr="00781112" w:rsidRDefault="002B7490" w:rsidP="00E37876">
            <w:pPr>
              <w:spacing w:after="0"/>
              <w:jc w:val="center"/>
              <w:rPr>
                <w:rFonts w:cs="Arial"/>
                <w:szCs w:val="16"/>
              </w:rPr>
            </w:pPr>
            <w:r w:rsidRPr="00781112">
              <w:rPr>
                <w:rFonts w:cs="Arial"/>
                <w:szCs w:val="16"/>
              </w:rPr>
              <w:t>9.06%</w:t>
            </w:r>
          </w:p>
        </w:tc>
      </w:tr>
    </w:tbl>
    <w:p w14:paraId="3B94403E" w14:textId="77777777" w:rsidR="005F601E" w:rsidRDefault="005F601E">
      <w:pPr>
        <w:spacing w:after="200"/>
        <w:rPr>
          <w:b/>
          <w:color w:val="000000" w:themeColor="text1"/>
          <w:highlight w:val="yellow"/>
        </w:rPr>
      </w:pPr>
      <w:r>
        <w:rPr>
          <w:b/>
          <w:color w:val="000000" w:themeColor="text1"/>
          <w:highlight w:val="yellow"/>
        </w:rPr>
        <w:br w:type="page"/>
      </w:r>
    </w:p>
    <w:p w14:paraId="40BB977C" w14:textId="59D8C434" w:rsidR="00E37876" w:rsidRPr="00781112" w:rsidRDefault="00572E2A" w:rsidP="00815ACE">
      <w:pPr>
        <w:pStyle w:val="Caption"/>
      </w:pPr>
      <w:bookmarkStart w:id="45" w:name="_Hlk121843476"/>
      <w:r>
        <w:lastRenderedPageBreak/>
        <w:t>Indicator 7: Preschool Outcomes A1 and A2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Outcome A progress categories, its numerators and denominators, data for FFY 2019, target and data for FFY 2020, status, and slippage, when applicable."/>
      </w:tblPr>
      <w:tblGrid>
        <w:gridCol w:w="2335"/>
        <w:gridCol w:w="1439"/>
        <w:gridCol w:w="1716"/>
        <w:gridCol w:w="1079"/>
        <w:gridCol w:w="1081"/>
        <w:gridCol w:w="1079"/>
        <w:gridCol w:w="835"/>
        <w:gridCol w:w="1226"/>
      </w:tblGrid>
      <w:tr w:rsidR="005F601E" w:rsidRPr="00781112" w14:paraId="3D9EEDAD" w14:textId="30B2445F" w:rsidTr="005F601E">
        <w:trPr>
          <w:trHeight w:val="354"/>
          <w:tblHeader/>
        </w:trPr>
        <w:tc>
          <w:tcPr>
            <w:tcW w:w="1082" w:type="pct"/>
            <w:shd w:val="clear" w:color="auto" w:fill="D9D9D9" w:themeFill="background1" w:themeFillShade="D9"/>
            <w:vAlign w:val="center"/>
          </w:tcPr>
          <w:bookmarkEnd w:id="45"/>
          <w:p w14:paraId="12D11B46" w14:textId="1FAAAC6F" w:rsidR="00E13B95" w:rsidRPr="00781112" w:rsidRDefault="003E11AE" w:rsidP="005F601E">
            <w:pPr>
              <w:spacing w:after="0"/>
              <w:jc w:val="center"/>
              <w:rPr>
                <w:rFonts w:cs="Arial"/>
                <w:color w:val="000000" w:themeColor="text1"/>
                <w:szCs w:val="16"/>
              </w:rPr>
            </w:pPr>
            <w:r w:rsidRPr="00781112">
              <w:rPr>
                <w:rFonts w:cs="Arial"/>
                <w:b/>
                <w:color w:val="000000" w:themeColor="text1"/>
                <w:szCs w:val="16"/>
              </w:rPr>
              <w:t>Outcome A</w:t>
            </w:r>
          </w:p>
        </w:tc>
        <w:tc>
          <w:tcPr>
            <w:tcW w:w="667" w:type="pct"/>
            <w:shd w:val="clear" w:color="auto" w:fill="D9D9D9" w:themeFill="background1" w:themeFillShade="D9"/>
            <w:vAlign w:val="center"/>
          </w:tcPr>
          <w:p w14:paraId="7B100CB7" w14:textId="77777777" w:rsidR="00E13B95" w:rsidRPr="00781112" w:rsidRDefault="00E13B95" w:rsidP="005F601E">
            <w:pPr>
              <w:spacing w:after="0"/>
              <w:jc w:val="center"/>
              <w:rPr>
                <w:rFonts w:cs="Arial"/>
                <w:b/>
                <w:color w:val="000000" w:themeColor="text1"/>
                <w:szCs w:val="16"/>
              </w:rPr>
            </w:pPr>
            <w:r w:rsidRPr="00781112">
              <w:rPr>
                <w:rFonts w:cs="Arial"/>
                <w:b/>
                <w:color w:val="000000" w:themeColor="text1"/>
                <w:szCs w:val="16"/>
              </w:rPr>
              <w:t>Numerator</w:t>
            </w:r>
          </w:p>
        </w:tc>
        <w:tc>
          <w:tcPr>
            <w:tcW w:w="795" w:type="pct"/>
            <w:shd w:val="clear" w:color="auto" w:fill="D9D9D9" w:themeFill="background1" w:themeFillShade="D9"/>
            <w:vAlign w:val="center"/>
          </w:tcPr>
          <w:p w14:paraId="31C4C2D7" w14:textId="77777777" w:rsidR="00E13B95" w:rsidRPr="00781112" w:rsidRDefault="00E13B95" w:rsidP="005F601E">
            <w:pPr>
              <w:spacing w:after="0"/>
              <w:jc w:val="center"/>
              <w:rPr>
                <w:rFonts w:cs="Arial"/>
                <w:b/>
                <w:color w:val="000000" w:themeColor="text1"/>
                <w:szCs w:val="16"/>
              </w:rPr>
            </w:pPr>
            <w:r w:rsidRPr="00781112">
              <w:rPr>
                <w:rFonts w:cs="Arial"/>
                <w:b/>
                <w:color w:val="000000" w:themeColor="text1"/>
                <w:szCs w:val="16"/>
              </w:rPr>
              <w:t>Denominator</w:t>
            </w:r>
          </w:p>
        </w:tc>
        <w:tc>
          <w:tcPr>
            <w:tcW w:w="500" w:type="pct"/>
            <w:shd w:val="clear" w:color="auto" w:fill="D9D9D9" w:themeFill="background1" w:themeFillShade="D9"/>
            <w:vAlign w:val="center"/>
          </w:tcPr>
          <w:p w14:paraId="1634F3BC" w14:textId="014F46D2" w:rsidR="00E13B95" w:rsidRPr="00781112" w:rsidRDefault="00F6415A" w:rsidP="005F601E">
            <w:pPr>
              <w:spacing w:after="0"/>
              <w:jc w:val="center"/>
              <w:rPr>
                <w:rFonts w:cs="Arial"/>
                <w:b/>
                <w:color w:val="000000" w:themeColor="text1"/>
                <w:szCs w:val="16"/>
              </w:rPr>
            </w:pPr>
            <w:r w:rsidRPr="00781112">
              <w:rPr>
                <w:rFonts w:cs="Arial"/>
                <w:b/>
                <w:color w:val="000000" w:themeColor="text1"/>
                <w:szCs w:val="16"/>
              </w:rPr>
              <w:t>FFY 2019 Data</w:t>
            </w:r>
          </w:p>
        </w:tc>
        <w:tc>
          <w:tcPr>
            <w:tcW w:w="501" w:type="pct"/>
            <w:shd w:val="clear" w:color="auto" w:fill="D9D9D9" w:themeFill="background1" w:themeFillShade="D9"/>
            <w:vAlign w:val="center"/>
          </w:tcPr>
          <w:p w14:paraId="41DCEE89" w14:textId="595CA514" w:rsidR="00E13B95" w:rsidRPr="00781112" w:rsidRDefault="00F6415A" w:rsidP="005F601E">
            <w:pPr>
              <w:spacing w:after="0"/>
              <w:jc w:val="center"/>
              <w:rPr>
                <w:rFonts w:cs="Arial"/>
                <w:b/>
                <w:color w:val="000000" w:themeColor="text1"/>
                <w:szCs w:val="16"/>
              </w:rPr>
            </w:pPr>
            <w:r w:rsidRPr="00781112">
              <w:rPr>
                <w:rFonts w:cs="Arial"/>
                <w:b/>
                <w:color w:val="000000" w:themeColor="text1"/>
                <w:szCs w:val="16"/>
              </w:rPr>
              <w:t>FFY 2020 Target</w:t>
            </w:r>
          </w:p>
        </w:tc>
        <w:tc>
          <w:tcPr>
            <w:tcW w:w="500" w:type="pct"/>
            <w:shd w:val="clear" w:color="auto" w:fill="D9D9D9" w:themeFill="background1" w:themeFillShade="D9"/>
            <w:vAlign w:val="center"/>
          </w:tcPr>
          <w:p w14:paraId="64737D68" w14:textId="5235D259" w:rsidR="00E13B95" w:rsidRPr="00781112" w:rsidRDefault="00F6415A" w:rsidP="005F601E">
            <w:pPr>
              <w:spacing w:after="0"/>
              <w:jc w:val="center"/>
              <w:rPr>
                <w:rFonts w:cs="Arial"/>
                <w:b/>
                <w:color w:val="000000" w:themeColor="text1"/>
                <w:szCs w:val="16"/>
              </w:rPr>
            </w:pPr>
            <w:r w:rsidRPr="00781112">
              <w:rPr>
                <w:rFonts w:cs="Arial"/>
                <w:b/>
                <w:color w:val="000000" w:themeColor="text1"/>
                <w:szCs w:val="16"/>
              </w:rPr>
              <w:t>FFY 2020 Data</w:t>
            </w:r>
          </w:p>
        </w:tc>
        <w:tc>
          <w:tcPr>
            <w:tcW w:w="387" w:type="pct"/>
            <w:shd w:val="clear" w:color="auto" w:fill="D9D9D9" w:themeFill="background1" w:themeFillShade="D9"/>
            <w:vAlign w:val="center"/>
          </w:tcPr>
          <w:p w14:paraId="4592E227" w14:textId="424684DB" w:rsidR="00E13B95" w:rsidRPr="00781112" w:rsidRDefault="00E13B95" w:rsidP="005F601E">
            <w:pPr>
              <w:spacing w:after="0"/>
              <w:ind w:left="-104" w:right="-175"/>
              <w:jc w:val="center"/>
              <w:rPr>
                <w:rFonts w:cs="Arial"/>
                <w:b/>
                <w:color w:val="000000" w:themeColor="text1"/>
                <w:szCs w:val="16"/>
              </w:rPr>
            </w:pPr>
            <w:r w:rsidRPr="00781112">
              <w:rPr>
                <w:rFonts w:cs="Arial"/>
                <w:b/>
                <w:color w:val="000000" w:themeColor="text1"/>
                <w:szCs w:val="16"/>
              </w:rPr>
              <w:t>Status</w:t>
            </w:r>
          </w:p>
        </w:tc>
        <w:tc>
          <w:tcPr>
            <w:tcW w:w="568" w:type="pct"/>
            <w:shd w:val="clear" w:color="auto" w:fill="D9D9D9" w:themeFill="background1" w:themeFillShade="D9"/>
            <w:vAlign w:val="center"/>
          </w:tcPr>
          <w:p w14:paraId="41F5B2E6" w14:textId="7085A5D7" w:rsidR="00E13B95" w:rsidRPr="00781112" w:rsidRDefault="00E13B95" w:rsidP="005F601E">
            <w:pPr>
              <w:spacing w:after="0"/>
              <w:jc w:val="center"/>
              <w:rPr>
                <w:rFonts w:cs="Arial"/>
                <w:b/>
                <w:color w:val="000000" w:themeColor="text1"/>
                <w:szCs w:val="16"/>
              </w:rPr>
            </w:pPr>
            <w:r w:rsidRPr="00781112">
              <w:rPr>
                <w:rFonts w:cs="Arial"/>
                <w:b/>
                <w:color w:val="000000" w:themeColor="text1"/>
                <w:szCs w:val="16"/>
              </w:rPr>
              <w:t>Slippage</w:t>
            </w:r>
          </w:p>
        </w:tc>
      </w:tr>
      <w:tr w:rsidR="005F601E" w:rsidRPr="00781112" w14:paraId="18B94B2E" w14:textId="09DCF8DA" w:rsidTr="005F601E">
        <w:trPr>
          <w:trHeight w:val="4967"/>
        </w:trPr>
        <w:tc>
          <w:tcPr>
            <w:tcW w:w="1082" w:type="pct"/>
            <w:shd w:val="clear" w:color="auto" w:fill="auto"/>
            <w:vAlign w:val="center"/>
          </w:tcPr>
          <w:p w14:paraId="423BC0C1" w14:textId="1BA6F4A2" w:rsidR="00071D42" w:rsidRPr="00781112" w:rsidRDefault="00A86385" w:rsidP="00E37876">
            <w:pPr>
              <w:spacing w:after="0"/>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r w:rsidR="005F601E">
              <w:rPr>
                <w:rFonts w:cs="Arial"/>
                <w:i/>
                <w:iCs/>
                <w:color w:val="000000" w:themeColor="text1"/>
                <w:szCs w:val="16"/>
              </w:rPr>
              <w:br/>
            </w:r>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667" w:type="pct"/>
            <w:shd w:val="clear" w:color="auto" w:fill="auto"/>
            <w:vAlign w:val="center"/>
          </w:tcPr>
          <w:p w14:paraId="4154B7AF" w14:textId="22483590"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4,887</w:t>
            </w:r>
          </w:p>
        </w:tc>
        <w:tc>
          <w:tcPr>
            <w:tcW w:w="795" w:type="pct"/>
            <w:shd w:val="clear" w:color="auto" w:fill="auto"/>
            <w:vAlign w:val="center"/>
          </w:tcPr>
          <w:p w14:paraId="6A178831" w14:textId="564F7234"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5,280</w:t>
            </w:r>
          </w:p>
        </w:tc>
        <w:tc>
          <w:tcPr>
            <w:tcW w:w="500" w:type="pct"/>
            <w:shd w:val="clear" w:color="auto" w:fill="auto"/>
            <w:vAlign w:val="center"/>
          </w:tcPr>
          <w:p w14:paraId="5EEC0208" w14:textId="526E193A"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93.17%</w:t>
            </w:r>
          </w:p>
        </w:tc>
        <w:tc>
          <w:tcPr>
            <w:tcW w:w="501" w:type="pct"/>
            <w:shd w:val="clear" w:color="auto" w:fill="auto"/>
            <w:vAlign w:val="center"/>
          </w:tcPr>
          <w:p w14:paraId="4FDFC172" w14:textId="02E04CF5" w:rsidR="00A86385" w:rsidRPr="00781112" w:rsidRDefault="003D7F56" w:rsidP="00E37876">
            <w:pPr>
              <w:spacing w:after="0"/>
              <w:jc w:val="center"/>
              <w:rPr>
                <w:color w:val="000000" w:themeColor="text1"/>
              </w:rPr>
            </w:pPr>
            <w:r w:rsidRPr="00781112">
              <w:rPr>
                <w:color w:val="000000" w:themeColor="text1"/>
              </w:rPr>
              <w:t>91.25%</w:t>
            </w:r>
          </w:p>
        </w:tc>
        <w:tc>
          <w:tcPr>
            <w:tcW w:w="500" w:type="pct"/>
            <w:shd w:val="clear" w:color="auto" w:fill="auto"/>
            <w:vAlign w:val="center"/>
          </w:tcPr>
          <w:p w14:paraId="23D0B4EA" w14:textId="4DE98DDB"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92.56%</w:t>
            </w:r>
          </w:p>
        </w:tc>
        <w:tc>
          <w:tcPr>
            <w:tcW w:w="387" w:type="pct"/>
            <w:shd w:val="clear" w:color="auto" w:fill="auto"/>
            <w:vAlign w:val="center"/>
          </w:tcPr>
          <w:p w14:paraId="64F5CB78" w14:textId="13F3F70F" w:rsidR="00A86385" w:rsidRPr="00781112" w:rsidRDefault="002B7490" w:rsidP="005F601E">
            <w:pPr>
              <w:spacing w:after="0"/>
              <w:ind w:left="-104" w:right="-175"/>
              <w:jc w:val="center"/>
              <w:rPr>
                <w:rFonts w:cs="Arial"/>
                <w:color w:val="000000" w:themeColor="text1"/>
                <w:szCs w:val="16"/>
              </w:rPr>
            </w:pPr>
            <w:r w:rsidRPr="00781112">
              <w:rPr>
                <w:rFonts w:cs="Arial"/>
                <w:color w:val="000000" w:themeColor="text1"/>
                <w:szCs w:val="16"/>
              </w:rPr>
              <w:t>Met target</w:t>
            </w:r>
          </w:p>
        </w:tc>
        <w:tc>
          <w:tcPr>
            <w:tcW w:w="568" w:type="pct"/>
            <w:shd w:val="clear" w:color="auto" w:fill="auto"/>
            <w:vAlign w:val="center"/>
          </w:tcPr>
          <w:p w14:paraId="7D4367C2" w14:textId="1159AE87"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No Slippage</w:t>
            </w:r>
          </w:p>
        </w:tc>
      </w:tr>
      <w:tr w:rsidR="005F601E" w:rsidRPr="00781112" w14:paraId="79C043DE" w14:textId="1DF06FE5" w:rsidTr="005F601E">
        <w:trPr>
          <w:trHeight w:val="3680"/>
        </w:trPr>
        <w:tc>
          <w:tcPr>
            <w:tcW w:w="1082" w:type="pct"/>
            <w:shd w:val="clear" w:color="auto" w:fill="auto"/>
            <w:vAlign w:val="center"/>
          </w:tcPr>
          <w:p w14:paraId="319F62FD" w14:textId="77777777" w:rsidR="00071D42" w:rsidRPr="00781112" w:rsidRDefault="00A86385" w:rsidP="00E37876">
            <w:pPr>
              <w:spacing w:after="0"/>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667" w:type="pct"/>
            <w:shd w:val="clear" w:color="auto" w:fill="auto"/>
            <w:vAlign w:val="center"/>
          </w:tcPr>
          <w:p w14:paraId="1EA4F3E8" w14:textId="01AC6416"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2,592</w:t>
            </w:r>
          </w:p>
        </w:tc>
        <w:tc>
          <w:tcPr>
            <w:tcW w:w="795" w:type="pct"/>
            <w:shd w:val="clear" w:color="auto" w:fill="auto"/>
            <w:vAlign w:val="center"/>
          </w:tcPr>
          <w:p w14:paraId="392DC3C7" w14:textId="706433AB"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5,806</w:t>
            </w:r>
          </w:p>
        </w:tc>
        <w:tc>
          <w:tcPr>
            <w:tcW w:w="500" w:type="pct"/>
            <w:shd w:val="clear" w:color="auto" w:fill="auto"/>
            <w:vAlign w:val="center"/>
          </w:tcPr>
          <w:p w14:paraId="480CDC79" w14:textId="4F1F0DEC"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46.91%</w:t>
            </w:r>
          </w:p>
        </w:tc>
        <w:tc>
          <w:tcPr>
            <w:tcW w:w="501" w:type="pct"/>
            <w:shd w:val="clear" w:color="auto" w:fill="auto"/>
            <w:vAlign w:val="center"/>
          </w:tcPr>
          <w:p w14:paraId="4E37244D" w14:textId="286AF534" w:rsidR="00A86385" w:rsidRPr="00781112" w:rsidRDefault="003D7F56" w:rsidP="00E37876">
            <w:pPr>
              <w:spacing w:after="0"/>
              <w:jc w:val="center"/>
              <w:rPr>
                <w:color w:val="000000" w:themeColor="text1"/>
              </w:rPr>
            </w:pPr>
            <w:r w:rsidRPr="00781112">
              <w:rPr>
                <w:color w:val="000000" w:themeColor="text1"/>
              </w:rPr>
              <w:t>55.00%</w:t>
            </w:r>
          </w:p>
        </w:tc>
        <w:tc>
          <w:tcPr>
            <w:tcW w:w="500" w:type="pct"/>
            <w:shd w:val="clear" w:color="auto" w:fill="auto"/>
            <w:vAlign w:val="center"/>
          </w:tcPr>
          <w:p w14:paraId="2BBC817C" w14:textId="65BC2730"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44.64%</w:t>
            </w:r>
          </w:p>
        </w:tc>
        <w:tc>
          <w:tcPr>
            <w:tcW w:w="387" w:type="pct"/>
            <w:shd w:val="clear" w:color="auto" w:fill="auto"/>
            <w:vAlign w:val="center"/>
          </w:tcPr>
          <w:p w14:paraId="3AC16CE0" w14:textId="7E3856A4" w:rsidR="00A86385" w:rsidRPr="00781112" w:rsidRDefault="002B7490" w:rsidP="005F601E">
            <w:pPr>
              <w:spacing w:after="0"/>
              <w:ind w:left="-104" w:right="-175"/>
              <w:jc w:val="center"/>
              <w:rPr>
                <w:rFonts w:cs="Arial"/>
                <w:color w:val="000000" w:themeColor="text1"/>
                <w:szCs w:val="16"/>
              </w:rPr>
            </w:pPr>
            <w:r w:rsidRPr="00781112">
              <w:rPr>
                <w:rFonts w:cs="Arial"/>
                <w:color w:val="000000" w:themeColor="text1"/>
                <w:szCs w:val="16"/>
              </w:rPr>
              <w:t>Did not meet target</w:t>
            </w:r>
          </w:p>
        </w:tc>
        <w:tc>
          <w:tcPr>
            <w:tcW w:w="568" w:type="pct"/>
            <w:shd w:val="clear" w:color="auto" w:fill="auto"/>
            <w:vAlign w:val="center"/>
          </w:tcPr>
          <w:p w14:paraId="2C0165C1" w14:textId="5260DB98" w:rsidR="00A86385" w:rsidRPr="00781112" w:rsidRDefault="002B7490" w:rsidP="00E37876">
            <w:pPr>
              <w:spacing w:after="0"/>
              <w:jc w:val="center"/>
              <w:rPr>
                <w:rFonts w:cs="Arial"/>
                <w:color w:val="000000" w:themeColor="text1"/>
                <w:szCs w:val="16"/>
              </w:rPr>
            </w:pPr>
            <w:r w:rsidRPr="00781112">
              <w:rPr>
                <w:rFonts w:cs="Arial"/>
                <w:color w:val="000000" w:themeColor="text1"/>
                <w:szCs w:val="16"/>
              </w:rPr>
              <w:t>Slippage</w:t>
            </w:r>
          </w:p>
        </w:tc>
      </w:tr>
    </w:tbl>
    <w:p w14:paraId="43C6FD6E" w14:textId="77777777" w:rsidR="00A80FEB" w:rsidRPr="00781112" w:rsidRDefault="00A80FEB" w:rsidP="00815ACE">
      <w:pPr>
        <w:pStyle w:val="Caption"/>
      </w:pPr>
      <w:bookmarkStart w:id="46" w:name="_Hlk121843493"/>
      <w:r w:rsidRPr="00781112">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Outcome B progress categories and the numbers and percentages of children for each for this indicator."/>
      </w:tblPr>
      <w:tblGrid>
        <w:gridCol w:w="7227"/>
        <w:gridCol w:w="1783"/>
        <w:gridCol w:w="1780"/>
      </w:tblGrid>
      <w:tr w:rsidR="005C29F8" w:rsidRPr="00781112" w14:paraId="637A7029" w14:textId="2CDA80A7" w:rsidTr="005F601E">
        <w:trPr>
          <w:trHeight w:val="361"/>
          <w:tblHeader/>
        </w:trPr>
        <w:tc>
          <w:tcPr>
            <w:tcW w:w="3349" w:type="pct"/>
            <w:shd w:val="clear" w:color="auto" w:fill="D9D9D9" w:themeFill="background1" w:themeFillShade="D9"/>
            <w:vAlign w:val="center"/>
          </w:tcPr>
          <w:bookmarkEnd w:id="46"/>
          <w:p w14:paraId="43F5435F" w14:textId="01DC1145" w:rsidR="00E13B95" w:rsidRPr="00781112" w:rsidRDefault="003E11AE" w:rsidP="005F601E">
            <w:pPr>
              <w:spacing w:after="0"/>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D9D9D9" w:themeFill="background1" w:themeFillShade="D9"/>
            <w:vAlign w:val="center"/>
          </w:tcPr>
          <w:p w14:paraId="33266842" w14:textId="77777777" w:rsidR="00E13B95" w:rsidRPr="00781112" w:rsidRDefault="00E13B95" w:rsidP="005F601E">
            <w:pPr>
              <w:spacing w:after="0"/>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D9D9D9" w:themeFill="background1" w:themeFillShade="D9"/>
            <w:vAlign w:val="center"/>
          </w:tcPr>
          <w:p w14:paraId="55864E39" w14:textId="3FAA808D" w:rsidR="00E13B95" w:rsidRPr="00781112" w:rsidRDefault="00E13B95" w:rsidP="005F601E">
            <w:pPr>
              <w:spacing w:after="0"/>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5F601E">
        <w:trPr>
          <w:trHeight w:val="361"/>
        </w:trPr>
        <w:tc>
          <w:tcPr>
            <w:tcW w:w="3349" w:type="pct"/>
            <w:shd w:val="clear" w:color="auto" w:fill="auto"/>
            <w:vAlign w:val="center"/>
          </w:tcPr>
          <w:p w14:paraId="6B2DB9F8"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19</w:t>
            </w:r>
          </w:p>
        </w:tc>
        <w:tc>
          <w:tcPr>
            <w:tcW w:w="825" w:type="pct"/>
            <w:shd w:val="clear" w:color="auto" w:fill="auto"/>
            <w:vAlign w:val="center"/>
          </w:tcPr>
          <w:p w14:paraId="21775FA0" w14:textId="7E6665F3"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0.33%</w:t>
            </w:r>
          </w:p>
        </w:tc>
      </w:tr>
      <w:tr w:rsidR="005C29F8" w:rsidRPr="00781112" w14:paraId="0EABFD05" w14:textId="7B9C3CA9" w:rsidTr="005F601E">
        <w:trPr>
          <w:trHeight w:val="361"/>
        </w:trPr>
        <w:tc>
          <w:tcPr>
            <w:tcW w:w="3349" w:type="pct"/>
            <w:shd w:val="clear" w:color="auto" w:fill="auto"/>
            <w:vAlign w:val="center"/>
          </w:tcPr>
          <w:p w14:paraId="623F83AF"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304</w:t>
            </w:r>
          </w:p>
        </w:tc>
        <w:tc>
          <w:tcPr>
            <w:tcW w:w="825" w:type="pct"/>
            <w:shd w:val="clear" w:color="auto" w:fill="auto"/>
            <w:vAlign w:val="center"/>
          </w:tcPr>
          <w:p w14:paraId="33D020CC" w14:textId="0314A001"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5.24%</w:t>
            </w:r>
          </w:p>
        </w:tc>
      </w:tr>
      <w:tr w:rsidR="005C29F8" w:rsidRPr="00781112" w14:paraId="2AFEEE7C" w14:textId="52870042" w:rsidTr="005F601E">
        <w:trPr>
          <w:trHeight w:val="361"/>
        </w:trPr>
        <w:tc>
          <w:tcPr>
            <w:tcW w:w="3349" w:type="pct"/>
            <w:shd w:val="clear" w:color="auto" w:fill="auto"/>
            <w:vAlign w:val="center"/>
          </w:tcPr>
          <w:p w14:paraId="77166FC5"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3,322</w:t>
            </w:r>
          </w:p>
        </w:tc>
        <w:tc>
          <w:tcPr>
            <w:tcW w:w="825" w:type="pct"/>
            <w:shd w:val="clear" w:color="auto" w:fill="auto"/>
            <w:vAlign w:val="center"/>
          </w:tcPr>
          <w:p w14:paraId="2021CF20" w14:textId="181B68B8"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57.22%</w:t>
            </w:r>
          </w:p>
        </w:tc>
      </w:tr>
      <w:tr w:rsidR="005C29F8" w:rsidRPr="00781112" w14:paraId="5D450E84" w14:textId="4C13CEB9" w:rsidTr="005F601E">
        <w:trPr>
          <w:trHeight w:val="361"/>
        </w:trPr>
        <w:tc>
          <w:tcPr>
            <w:tcW w:w="3349" w:type="pct"/>
            <w:shd w:val="clear" w:color="auto" w:fill="auto"/>
            <w:vAlign w:val="center"/>
          </w:tcPr>
          <w:p w14:paraId="110FD587"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2,008</w:t>
            </w:r>
          </w:p>
        </w:tc>
        <w:tc>
          <w:tcPr>
            <w:tcW w:w="825" w:type="pct"/>
            <w:shd w:val="clear" w:color="auto" w:fill="auto"/>
            <w:vAlign w:val="center"/>
          </w:tcPr>
          <w:p w14:paraId="2EEE6FB7" w14:textId="6E8D11C4"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34.58%</w:t>
            </w:r>
          </w:p>
        </w:tc>
      </w:tr>
      <w:tr w:rsidR="005C29F8" w:rsidRPr="00781112" w14:paraId="108FFB57" w14:textId="0C409786" w:rsidTr="005F601E">
        <w:trPr>
          <w:trHeight w:val="361"/>
        </w:trPr>
        <w:tc>
          <w:tcPr>
            <w:tcW w:w="3349" w:type="pct"/>
            <w:shd w:val="clear" w:color="auto" w:fill="auto"/>
            <w:vAlign w:val="center"/>
          </w:tcPr>
          <w:p w14:paraId="3D4AD278"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lastRenderedPageBreak/>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153</w:t>
            </w:r>
          </w:p>
        </w:tc>
        <w:tc>
          <w:tcPr>
            <w:tcW w:w="825" w:type="pct"/>
            <w:shd w:val="clear" w:color="auto" w:fill="auto"/>
            <w:vAlign w:val="center"/>
          </w:tcPr>
          <w:p w14:paraId="2501B391" w14:textId="1634A6F5"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2.64%</w:t>
            </w:r>
          </w:p>
        </w:tc>
      </w:tr>
    </w:tbl>
    <w:p w14:paraId="2A545F1E" w14:textId="279D0BBB" w:rsidR="00572E2A" w:rsidRPr="00781112" w:rsidRDefault="00572E2A" w:rsidP="00572E2A">
      <w:pPr>
        <w:spacing w:before="240"/>
        <w:rPr>
          <w:color w:val="000000" w:themeColor="text1"/>
        </w:rPr>
      </w:pPr>
      <w:bookmarkStart w:id="47" w:name="_Hlk121843497"/>
      <w:r>
        <w:rPr>
          <w:b/>
          <w:color w:val="000000" w:themeColor="text1"/>
        </w:rPr>
        <w:t>Indicator 7: Preschool Outcomes B1 and B2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Outcome B progress categories, its numerators and denominators, data for FFY 2019, target and data for FFY 2020, status, and slippage, when applicable."/>
      </w:tblPr>
      <w:tblGrid>
        <w:gridCol w:w="2336"/>
        <w:gridCol w:w="1439"/>
        <w:gridCol w:w="1711"/>
        <w:gridCol w:w="1079"/>
        <w:gridCol w:w="1081"/>
        <w:gridCol w:w="1079"/>
        <w:gridCol w:w="900"/>
        <w:gridCol w:w="1165"/>
      </w:tblGrid>
      <w:tr w:rsidR="005F601E" w:rsidRPr="00781112" w14:paraId="29447607" w14:textId="4B3B706C" w:rsidTr="005F601E">
        <w:trPr>
          <w:tblHeader/>
        </w:trPr>
        <w:tc>
          <w:tcPr>
            <w:tcW w:w="1082" w:type="pct"/>
            <w:shd w:val="clear" w:color="auto" w:fill="D9D9D9" w:themeFill="background1" w:themeFillShade="D9"/>
            <w:vAlign w:val="center"/>
          </w:tcPr>
          <w:bookmarkEnd w:id="47"/>
          <w:p w14:paraId="58D567A9" w14:textId="7BD30860" w:rsidR="00E13B95" w:rsidRPr="00781112" w:rsidRDefault="009028CA" w:rsidP="005F601E">
            <w:pPr>
              <w:spacing w:after="0"/>
              <w:jc w:val="center"/>
              <w:rPr>
                <w:b/>
                <w:color w:val="000000" w:themeColor="text1"/>
              </w:rPr>
            </w:pPr>
            <w:r w:rsidRPr="00781112">
              <w:rPr>
                <w:b/>
                <w:color w:val="000000" w:themeColor="text1"/>
              </w:rPr>
              <w:t>Outcome B</w:t>
            </w:r>
          </w:p>
        </w:tc>
        <w:tc>
          <w:tcPr>
            <w:tcW w:w="667" w:type="pct"/>
            <w:shd w:val="clear" w:color="auto" w:fill="D9D9D9" w:themeFill="background1" w:themeFillShade="D9"/>
            <w:vAlign w:val="center"/>
          </w:tcPr>
          <w:p w14:paraId="0DF6A486" w14:textId="77777777" w:rsidR="00E13B95" w:rsidRPr="00781112" w:rsidRDefault="00E13B95" w:rsidP="005F601E">
            <w:pPr>
              <w:spacing w:after="0"/>
              <w:jc w:val="center"/>
              <w:rPr>
                <w:b/>
                <w:color w:val="000000" w:themeColor="text1"/>
              </w:rPr>
            </w:pPr>
            <w:r w:rsidRPr="00781112">
              <w:rPr>
                <w:b/>
                <w:color w:val="000000" w:themeColor="text1"/>
              </w:rPr>
              <w:t>Numerator</w:t>
            </w:r>
          </w:p>
        </w:tc>
        <w:tc>
          <w:tcPr>
            <w:tcW w:w="793" w:type="pct"/>
            <w:shd w:val="clear" w:color="auto" w:fill="D9D9D9" w:themeFill="background1" w:themeFillShade="D9"/>
            <w:vAlign w:val="center"/>
          </w:tcPr>
          <w:p w14:paraId="4A127242" w14:textId="77777777" w:rsidR="00E13B95" w:rsidRPr="00781112" w:rsidRDefault="00E13B95" w:rsidP="005F601E">
            <w:pPr>
              <w:spacing w:after="0"/>
              <w:jc w:val="center"/>
              <w:rPr>
                <w:b/>
                <w:color w:val="000000" w:themeColor="text1"/>
              </w:rPr>
            </w:pPr>
            <w:r w:rsidRPr="00781112">
              <w:rPr>
                <w:b/>
                <w:color w:val="000000" w:themeColor="text1"/>
              </w:rPr>
              <w:t>Denominator</w:t>
            </w:r>
          </w:p>
        </w:tc>
        <w:tc>
          <w:tcPr>
            <w:tcW w:w="500" w:type="pct"/>
            <w:shd w:val="clear" w:color="auto" w:fill="D9D9D9" w:themeFill="background1" w:themeFillShade="D9"/>
            <w:vAlign w:val="center"/>
          </w:tcPr>
          <w:p w14:paraId="03649132" w14:textId="75D37CB7" w:rsidR="00E13B95" w:rsidRPr="00781112" w:rsidRDefault="00B954DC" w:rsidP="005F601E">
            <w:pPr>
              <w:spacing w:after="0"/>
              <w:jc w:val="center"/>
              <w:rPr>
                <w:b/>
                <w:color w:val="000000" w:themeColor="text1"/>
              </w:rPr>
            </w:pPr>
            <w:r w:rsidRPr="00781112">
              <w:rPr>
                <w:b/>
                <w:color w:val="000000" w:themeColor="text1"/>
              </w:rPr>
              <w:t>FFY  2019 Data</w:t>
            </w:r>
          </w:p>
        </w:tc>
        <w:tc>
          <w:tcPr>
            <w:tcW w:w="501" w:type="pct"/>
            <w:shd w:val="clear" w:color="auto" w:fill="D9D9D9" w:themeFill="background1" w:themeFillShade="D9"/>
            <w:vAlign w:val="center"/>
          </w:tcPr>
          <w:p w14:paraId="3AFAEBC5" w14:textId="4D647742" w:rsidR="00E13B95" w:rsidRPr="00781112" w:rsidRDefault="00F6415A" w:rsidP="005F601E">
            <w:pPr>
              <w:spacing w:after="0"/>
              <w:jc w:val="center"/>
              <w:rPr>
                <w:b/>
                <w:color w:val="000000" w:themeColor="text1"/>
              </w:rPr>
            </w:pPr>
            <w:r w:rsidRPr="00781112">
              <w:rPr>
                <w:b/>
                <w:color w:val="000000" w:themeColor="text1"/>
              </w:rPr>
              <w:t>FFY 2020 Target</w:t>
            </w:r>
          </w:p>
        </w:tc>
        <w:tc>
          <w:tcPr>
            <w:tcW w:w="500" w:type="pct"/>
            <w:shd w:val="clear" w:color="auto" w:fill="D9D9D9" w:themeFill="background1" w:themeFillShade="D9"/>
            <w:vAlign w:val="center"/>
          </w:tcPr>
          <w:p w14:paraId="40B6360D" w14:textId="224005B5" w:rsidR="00E13B95" w:rsidRPr="00781112" w:rsidRDefault="00E13B95" w:rsidP="005F601E">
            <w:pPr>
              <w:spacing w:after="0"/>
              <w:jc w:val="center"/>
              <w:rPr>
                <w:b/>
                <w:color w:val="000000" w:themeColor="text1"/>
              </w:rPr>
            </w:pPr>
            <w:r w:rsidRPr="00781112">
              <w:rPr>
                <w:b/>
                <w:color w:val="000000" w:themeColor="text1"/>
              </w:rPr>
              <w:t>FFY 2020 Data</w:t>
            </w:r>
          </w:p>
        </w:tc>
        <w:tc>
          <w:tcPr>
            <w:tcW w:w="417" w:type="pct"/>
            <w:shd w:val="clear" w:color="auto" w:fill="D9D9D9" w:themeFill="background1" w:themeFillShade="D9"/>
            <w:vAlign w:val="center"/>
          </w:tcPr>
          <w:p w14:paraId="17C85F8A" w14:textId="625B06E9" w:rsidR="00E13B95" w:rsidRPr="00781112" w:rsidRDefault="00E13B95" w:rsidP="005F601E">
            <w:pPr>
              <w:spacing w:after="0"/>
              <w:ind w:left="-104" w:right="-105"/>
              <w:jc w:val="center"/>
              <w:rPr>
                <w:b/>
                <w:color w:val="000000" w:themeColor="text1"/>
              </w:rPr>
            </w:pPr>
            <w:r w:rsidRPr="00781112">
              <w:rPr>
                <w:b/>
                <w:color w:val="000000" w:themeColor="text1"/>
              </w:rPr>
              <w:t>Status</w:t>
            </w:r>
          </w:p>
        </w:tc>
        <w:tc>
          <w:tcPr>
            <w:tcW w:w="540" w:type="pct"/>
            <w:shd w:val="clear" w:color="auto" w:fill="D9D9D9" w:themeFill="background1" w:themeFillShade="D9"/>
            <w:vAlign w:val="center"/>
          </w:tcPr>
          <w:p w14:paraId="4254BB19" w14:textId="15C403FF" w:rsidR="00E13B95" w:rsidRPr="00781112" w:rsidRDefault="00E13B95" w:rsidP="005F601E">
            <w:pPr>
              <w:spacing w:after="0"/>
              <w:ind w:left="-104" w:right="-29"/>
              <w:jc w:val="center"/>
              <w:rPr>
                <w:b/>
                <w:color w:val="000000" w:themeColor="text1"/>
              </w:rPr>
            </w:pPr>
            <w:r w:rsidRPr="00781112">
              <w:rPr>
                <w:b/>
                <w:color w:val="000000" w:themeColor="text1"/>
              </w:rPr>
              <w:t>Slippage</w:t>
            </w:r>
          </w:p>
        </w:tc>
      </w:tr>
      <w:tr w:rsidR="005C29F8" w:rsidRPr="00781112" w14:paraId="6493B1D4" w14:textId="479A7C15" w:rsidTr="005F601E">
        <w:trPr>
          <w:trHeight w:val="4985"/>
        </w:trPr>
        <w:tc>
          <w:tcPr>
            <w:tcW w:w="1082" w:type="pct"/>
            <w:shd w:val="clear" w:color="auto" w:fill="auto"/>
            <w:vAlign w:val="center"/>
          </w:tcPr>
          <w:p w14:paraId="095FBDAA" w14:textId="77777777" w:rsidR="00071D42" w:rsidRPr="00781112" w:rsidRDefault="00A86385" w:rsidP="005F601E">
            <w:pPr>
              <w:spacing w:after="0"/>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667" w:type="pct"/>
            <w:shd w:val="clear" w:color="auto" w:fill="auto"/>
            <w:vAlign w:val="center"/>
          </w:tcPr>
          <w:p w14:paraId="250FBF70" w14:textId="269E9F95"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5,330</w:t>
            </w:r>
          </w:p>
        </w:tc>
        <w:tc>
          <w:tcPr>
            <w:tcW w:w="793" w:type="pct"/>
            <w:shd w:val="clear" w:color="auto" w:fill="auto"/>
            <w:vAlign w:val="center"/>
          </w:tcPr>
          <w:p w14:paraId="682FF5CA" w14:textId="4D1E8D34"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5,653</w:t>
            </w:r>
          </w:p>
        </w:tc>
        <w:tc>
          <w:tcPr>
            <w:tcW w:w="500" w:type="pct"/>
            <w:shd w:val="clear" w:color="auto" w:fill="auto"/>
            <w:vAlign w:val="center"/>
          </w:tcPr>
          <w:p w14:paraId="07D855DC" w14:textId="52076A3B"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94.87%</w:t>
            </w:r>
          </w:p>
        </w:tc>
        <w:tc>
          <w:tcPr>
            <w:tcW w:w="501" w:type="pct"/>
            <w:shd w:val="clear" w:color="auto" w:fill="auto"/>
            <w:vAlign w:val="center"/>
          </w:tcPr>
          <w:p w14:paraId="2830610A" w14:textId="6D7B3DE8"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94.25%</w:t>
            </w:r>
          </w:p>
        </w:tc>
        <w:tc>
          <w:tcPr>
            <w:tcW w:w="500" w:type="pct"/>
            <w:shd w:val="clear" w:color="auto" w:fill="auto"/>
            <w:vAlign w:val="center"/>
          </w:tcPr>
          <w:p w14:paraId="12F538E0" w14:textId="1332D172"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94.29%</w:t>
            </w:r>
          </w:p>
        </w:tc>
        <w:tc>
          <w:tcPr>
            <w:tcW w:w="417" w:type="pct"/>
            <w:shd w:val="clear" w:color="auto" w:fill="auto"/>
            <w:vAlign w:val="center"/>
          </w:tcPr>
          <w:p w14:paraId="68592CBC" w14:textId="66F66CA8" w:rsidR="00A86385" w:rsidRPr="00781112" w:rsidRDefault="002B7490" w:rsidP="005F601E">
            <w:pPr>
              <w:spacing w:after="0"/>
              <w:ind w:left="-104" w:right="-105"/>
              <w:jc w:val="center"/>
              <w:rPr>
                <w:rFonts w:cs="Arial"/>
                <w:color w:val="000000" w:themeColor="text1"/>
                <w:szCs w:val="16"/>
              </w:rPr>
            </w:pPr>
            <w:r w:rsidRPr="00781112">
              <w:rPr>
                <w:rFonts w:cs="Arial"/>
                <w:color w:val="000000" w:themeColor="text1"/>
                <w:szCs w:val="16"/>
              </w:rPr>
              <w:t>Met target</w:t>
            </w:r>
          </w:p>
        </w:tc>
        <w:tc>
          <w:tcPr>
            <w:tcW w:w="540" w:type="pct"/>
            <w:shd w:val="clear" w:color="auto" w:fill="auto"/>
            <w:vAlign w:val="center"/>
          </w:tcPr>
          <w:p w14:paraId="0C970ED8" w14:textId="7AA3F255" w:rsidR="00A86385" w:rsidRPr="00781112" w:rsidRDefault="002B7490" w:rsidP="005F601E">
            <w:pPr>
              <w:spacing w:after="0"/>
              <w:ind w:left="-104" w:right="-29"/>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5F601E">
        <w:trPr>
          <w:trHeight w:val="4040"/>
        </w:trPr>
        <w:tc>
          <w:tcPr>
            <w:tcW w:w="1082" w:type="pct"/>
            <w:shd w:val="clear" w:color="auto" w:fill="auto"/>
            <w:vAlign w:val="center"/>
          </w:tcPr>
          <w:p w14:paraId="2DEF6925" w14:textId="27544840" w:rsidR="00071D42" w:rsidRPr="00781112" w:rsidRDefault="00A86385" w:rsidP="005F601E">
            <w:pPr>
              <w:spacing w:after="0"/>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r w:rsidR="005F601E">
              <w:rPr>
                <w:rFonts w:cs="Arial"/>
                <w:i/>
                <w:iCs/>
                <w:color w:val="000000" w:themeColor="text1"/>
                <w:szCs w:val="16"/>
              </w:rPr>
              <w:br/>
            </w:r>
            <w:r w:rsidRPr="00266107">
              <w:rPr>
                <w:rFonts w:cs="Arial"/>
                <w:i/>
                <w:iCs/>
                <w:color w:val="000000" w:themeColor="text1"/>
                <w:szCs w:val="16"/>
              </w:rPr>
              <w:t>e)</w:t>
            </w:r>
          </w:p>
        </w:tc>
        <w:tc>
          <w:tcPr>
            <w:tcW w:w="667" w:type="pct"/>
            <w:shd w:val="clear" w:color="auto" w:fill="auto"/>
            <w:vAlign w:val="center"/>
          </w:tcPr>
          <w:p w14:paraId="3ABF54A2" w14:textId="3376A45C"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2,161</w:t>
            </w:r>
          </w:p>
        </w:tc>
        <w:tc>
          <w:tcPr>
            <w:tcW w:w="793" w:type="pct"/>
            <w:shd w:val="clear" w:color="auto" w:fill="auto"/>
            <w:vAlign w:val="center"/>
          </w:tcPr>
          <w:p w14:paraId="591EA1FE" w14:textId="556EFD96"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5,806</w:t>
            </w:r>
          </w:p>
        </w:tc>
        <w:tc>
          <w:tcPr>
            <w:tcW w:w="500" w:type="pct"/>
            <w:shd w:val="clear" w:color="auto" w:fill="auto"/>
            <w:vAlign w:val="center"/>
          </w:tcPr>
          <w:p w14:paraId="0B86042E" w14:textId="01488A08"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40.12%</w:t>
            </w:r>
          </w:p>
        </w:tc>
        <w:tc>
          <w:tcPr>
            <w:tcW w:w="501" w:type="pct"/>
            <w:shd w:val="clear" w:color="auto" w:fill="auto"/>
            <w:vAlign w:val="center"/>
          </w:tcPr>
          <w:p w14:paraId="33474719" w14:textId="0E1ED729"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38.00%</w:t>
            </w:r>
          </w:p>
        </w:tc>
        <w:tc>
          <w:tcPr>
            <w:tcW w:w="500" w:type="pct"/>
            <w:shd w:val="clear" w:color="auto" w:fill="auto"/>
            <w:vAlign w:val="center"/>
          </w:tcPr>
          <w:p w14:paraId="073970A2" w14:textId="5A7FF3FA"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37.22%</w:t>
            </w:r>
          </w:p>
        </w:tc>
        <w:tc>
          <w:tcPr>
            <w:tcW w:w="417" w:type="pct"/>
            <w:shd w:val="clear" w:color="auto" w:fill="auto"/>
            <w:vAlign w:val="center"/>
          </w:tcPr>
          <w:p w14:paraId="2B7E9ACC" w14:textId="45CB2456" w:rsidR="00A86385" w:rsidRPr="00781112" w:rsidRDefault="002B7490" w:rsidP="005F601E">
            <w:pPr>
              <w:spacing w:after="0"/>
              <w:ind w:left="-104" w:right="-105"/>
              <w:jc w:val="center"/>
              <w:rPr>
                <w:rFonts w:cs="Arial"/>
                <w:color w:val="000000" w:themeColor="text1"/>
                <w:szCs w:val="16"/>
              </w:rPr>
            </w:pPr>
            <w:r w:rsidRPr="00781112">
              <w:rPr>
                <w:rFonts w:cs="Arial"/>
                <w:color w:val="000000" w:themeColor="text1"/>
                <w:szCs w:val="16"/>
              </w:rPr>
              <w:t>Did not meet target</w:t>
            </w:r>
          </w:p>
        </w:tc>
        <w:tc>
          <w:tcPr>
            <w:tcW w:w="540" w:type="pct"/>
            <w:shd w:val="clear" w:color="auto" w:fill="auto"/>
            <w:vAlign w:val="center"/>
          </w:tcPr>
          <w:p w14:paraId="04CCC32D" w14:textId="64DEC314" w:rsidR="00A86385" w:rsidRPr="00781112" w:rsidRDefault="002B7490" w:rsidP="005F601E">
            <w:pPr>
              <w:spacing w:after="0"/>
              <w:ind w:left="-104" w:right="-29"/>
              <w:jc w:val="center"/>
              <w:rPr>
                <w:rFonts w:cs="Arial"/>
                <w:color w:val="000000" w:themeColor="text1"/>
                <w:szCs w:val="16"/>
              </w:rPr>
            </w:pPr>
            <w:r w:rsidRPr="00781112">
              <w:rPr>
                <w:rFonts w:cs="Arial"/>
                <w:color w:val="000000" w:themeColor="text1"/>
                <w:szCs w:val="16"/>
              </w:rPr>
              <w:t>Slippage</w:t>
            </w:r>
          </w:p>
        </w:tc>
      </w:tr>
    </w:tbl>
    <w:p w14:paraId="027195EC" w14:textId="77777777" w:rsidR="005F601E" w:rsidRDefault="005F601E">
      <w:pPr>
        <w:spacing w:after="200"/>
        <w:rPr>
          <w:b/>
          <w:color w:val="000000" w:themeColor="text1"/>
        </w:rPr>
      </w:pPr>
      <w:r>
        <w:rPr>
          <w:b/>
          <w:color w:val="000000" w:themeColor="text1"/>
        </w:rPr>
        <w:br w:type="page"/>
      </w:r>
    </w:p>
    <w:p w14:paraId="12AAE7F9" w14:textId="35F7E74F" w:rsidR="00A80FEB" w:rsidRPr="00781112" w:rsidRDefault="00A80FEB" w:rsidP="00815ACE">
      <w:pPr>
        <w:pStyle w:val="Caption"/>
      </w:pPr>
      <w:bookmarkStart w:id="48" w:name="_Hlk121843503"/>
      <w:r w:rsidRPr="00781112">
        <w:lastRenderedPageBreak/>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Outcome C progress categories and the numbers and percentages of children for each for this indicator."/>
      </w:tblPr>
      <w:tblGrid>
        <w:gridCol w:w="7227"/>
        <w:gridCol w:w="1783"/>
        <w:gridCol w:w="1780"/>
      </w:tblGrid>
      <w:tr w:rsidR="005C29F8" w:rsidRPr="00781112" w14:paraId="5A5015FC" w14:textId="4FA08BD6" w:rsidTr="005F601E">
        <w:trPr>
          <w:trHeight w:val="361"/>
          <w:tblHeader/>
        </w:trPr>
        <w:tc>
          <w:tcPr>
            <w:tcW w:w="3349" w:type="pct"/>
            <w:shd w:val="clear" w:color="auto" w:fill="D9D9D9" w:themeFill="background1" w:themeFillShade="D9"/>
            <w:vAlign w:val="center"/>
          </w:tcPr>
          <w:bookmarkEnd w:id="48"/>
          <w:p w14:paraId="4191FDB2" w14:textId="72ED8C9D" w:rsidR="002F2379" w:rsidRPr="00781112" w:rsidRDefault="009028CA" w:rsidP="005F601E">
            <w:pPr>
              <w:spacing w:after="0"/>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D9D9D9" w:themeFill="background1" w:themeFillShade="D9"/>
            <w:vAlign w:val="center"/>
          </w:tcPr>
          <w:p w14:paraId="18BE5F06" w14:textId="77777777" w:rsidR="002F2379" w:rsidRPr="00781112" w:rsidRDefault="002F2379" w:rsidP="005F601E">
            <w:pPr>
              <w:spacing w:after="0"/>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D9D9D9" w:themeFill="background1" w:themeFillShade="D9"/>
            <w:vAlign w:val="center"/>
          </w:tcPr>
          <w:p w14:paraId="5D2176F1" w14:textId="0AB04833" w:rsidR="002F2379" w:rsidRPr="00781112" w:rsidRDefault="002F2379" w:rsidP="005F601E">
            <w:pPr>
              <w:spacing w:after="0"/>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5F601E">
        <w:trPr>
          <w:trHeight w:val="361"/>
        </w:trPr>
        <w:tc>
          <w:tcPr>
            <w:tcW w:w="3349" w:type="pct"/>
            <w:shd w:val="clear" w:color="auto" w:fill="auto"/>
            <w:vAlign w:val="center"/>
          </w:tcPr>
          <w:p w14:paraId="4D685636"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31</w:t>
            </w:r>
          </w:p>
        </w:tc>
        <w:tc>
          <w:tcPr>
            <w:tcW w:w="825" w:type="pct"/>
            <w:shd w:val="clear" w:color="auto" w:fill="auto"/>
            <w:vAlign w:val="center"/>
          </w:tcPr>
          <w:p w14:paraId="224E7CD3" w14:textId="5C0B6B10"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0.53%</w:t>
            </w:r>
          </w:p>
        </w:tc>
      </w:tr>
      <w:tr w:rsidR="005C29F8" w:rsidRPr="00781112" w14:paraId="0DFF86FC" w14:textId="381769F8" w:rsidTr="005F601E">
        <w:trPr>
          <w:trHeight w:val="361"/>
        </w:trPr>
        <w:tc>
          <w:tcPr>
            <w:tcW w:w="3349" w:type="pct"/>
            <w:shd w:val="clear" w:color="auto" w:fill="auto"/>
            <w:vAlign w:val="center"/>
          </w:tcPr>
          <w:p w14:paraId="72586C03"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406</w:t>
            </w:r>
          </w:p>
        </w:tc>
        <w:tc>
          <w:tcPr>
            <w:tcW w:w="825" w:type="pct"/>
            <w:shd w:val="clear" w:color="auto" w:fill="auto"/>
            <w:vAlign w:val="center"/>
          </w:tcPr>
          <w:p w14:paraId="75491539" w14:textId="4C6956ED"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6.99%</w:t>
            </w:r>
          </w:p>
        </w:tc>
      </w:tr>
      <w:tr w:rsidR="005C29F8" w:rsidRPr="00781112" w14:paraId="055A4C9A" w14:textId="0FC02C83" w:rsidTr="005F601E">
        <w:trPr>
          <w:trHeight w:val="395"/>
        </w:trPr>
        <w:tc>
          <w:tcPr>
            <w:tcW w:w="3349" w:type="pct"/>
            <w:shd w:val="clear" w:color="auto" w:fill="auto"/>
            <w:vAlign w:val="center"/>
          </w:tcPr>
          <w:p w14:paraId="1EEA20E7"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2,325</w:t>
            </w:r>
          </w:p>
        </w:tc>
        <w:tc>
          <w:tcPr>
            <w:tcW w:w="825" w:type="pct"/>
            <w:shd w:val="clear" w:color="auto" w:fill="auto"/>
            <w:vAlign w:val="center"/>
          </w:tcPr>
          <w:p w14:paraId="5A785A5B" w14:textId="096612D9"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40.04%</w:t>
            </w:r>
          </w:p>
        </w:tc>
      </w:tr>
      <w:tr w:rsidR="005C29F8" w:rsidRPr="00781112" w14:paraId="116C43B5" w14:textId="562F3ACF" w:rsidTr="005F601E">
        <w:trPr>
          <w:trHeight w:val="361"/>
        </w:trPr>
        <w:tc>
          <w:tcPr>
            <w:tcW w:w="3349" w:type="pct"/>
            <w:shd w:val="clear" w:color="auto" w:fill="auto"/>
            <w:vAlign w:val="center"/>
          </w:tcPr>
          <w:p w14:paraId="74396990"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2,281</w:t>
            </w:r>
          </w:p>
        </w:tc>
        <w:tc>
          <w:tcPr>
            <w:tcW w:w="825" w:type="pct"/>
            <w:shd w:val="clear" w:color="auto" w:fill="auto"/>
            <w:vAlign w:val="center"/>
          </w:tcPr>
          <w:p w14:paraId="6CF00AA9" w14:textId="2DDC2AAD"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39.29%</w:t>
            </w:r>
          </w:p>
        </w:tc>
      </w:tr>
      <w:tr w:rsidR="005C29F8" w:rsidRPr="00781112" w14:paraId="4BA9BE51" w14:textId="4FD5F213" w:rsidTr="005F601E">
        <w:trPr>
          <w:trHeight w:val="361"/>
        </w:trPr>
        <w:tc>
          <w:tcPr>
            <w:tcW w:w="3349" w:type="pct"/>
            <w:shd w:val="clear" w:color="auto" w:fill="auto"/>
            <w:vAlign w:val="center"/>
          </w:tcPr>
          <w:p w14:paraId="016E3D57"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763</w:t>
            </w:r>
          </w:p>
        </w:tc>
        <w:tc>
          <w:tcPr>
            <w:tcW w:w="825" w:type="pct"/>
            <w:shd w:val="clear" w:color="auto" w:fill="auto"/>
            <w:vAlign w:val="center"/>
          </w:tcPr>
          <w:p w14:paraId="5DB4A655" w14:textId="2961CB8C"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13.14%</w:t>
            </w:r>
          </w:p>
        </w:tc>
      </w:tr>
    </w:tbl>
    <w:p w14:paraId="46069797" w14:textId="62CD89EB" w:rsidR="00572E2A" w:rsidRPr="00781112" w:rsidRDefault="00572E2A" w:rsidP="00815ACE">
      <w:pPr>
        <w:pStyle w:val="Caption"/>
      </w:pPr>
      <w:bookmarkStart w:id="49" w:name="_Hlk121843508"/>
      <w:r>
        <w:t>Indicator 7: Preschool Outcomes C1 and C2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Outcome C progress categories, its numerators and denominators, data for FFY 2019, target and data for FFY 2020, status, and slippage, when applicable."/>
      </w:tblPr>
      <w:tblGrid>
        <w:gridCol w:w="2336"/>
        <w:gridCol w:w="1439"/>
        <w:gridCol w:w="1711"/>
        <w:gridCol w:w="1079"/>
        <w:gridCol w:w="1081"/>
        <w:gridCol w:w="1081"/>
        <w:gridCol w:w="900"/>
        <w:gridCol w:w="1163"/>
      </w:tblGrid>
      <w:tr w:rsidR="005F601E" w:rsidRPr="00781112" w14:paraId="6D854191" w14:textId="189CF04C" w:rsidTr="005F601E">
        <w:trPr>
          <w:trHeight w:val="872"/>
          <w:tblHeader/>
        </w:trPr>
        <w:tc>
          <w:tcPr>
            <w:tcW w:w="1082" w:type="pct"/>
            <w:shd w:val="clear" w:color="auto" w:fill="D9D9D9" w:themeFill="background1" w:themeFillShade="D9"/>
            <w:vAlign w:val="center"/>
          </w:tcPr>
          <w:bookmarkEnd w:id="49"/>
          <w:p w14:paraId="2713B90C" w14:textId="70596E6D" w:rsidR="002F2379" w:rsidRPr="00781112" w:rsidRDefault="009028CA" w:rsidP="005F601E">
            <w:pPr>
              <w:spacing w:after="0"/>
              <w:jc w:val="center"/>
              <w:rPr>
                <w:rFonts w:cs="Arial"/>
                <w:b/>
                <w:bCs/>
                <w:color w:val="000000" w:themeColor="text1"/>
                <w:szCs w:val="16"/>
              </w:rPr>
            </w:pPr>
            <w:r w:rsidRPr="00781112">
              <w:rPr>
                <w:rFonts w:cs="Arial"/>
                <w:b/>
                <w:bCs/>
                <w:color w:val="000000" w:themeColor="text1"/>
                <w:szCs w:val="16"/>
              </w:rPr>
              <w:t>Outcome C</w:t>
            </w:r>
          </w:p>
        </w:tc>
        <w:tc>
          <w:tcPr>
            <w:tcW w:w="667" w:type="pct"/>
            <w:shd w:val="clear" w:color="auto" w:fill="D9D9D9" w:themeFill="background1" w:themeFillShade="D9"/>
            <w:vAlign w:val="center"/>
          </w:tcPr>
          <w:p w14:paraId="3AAEB9EE" w14:textId="77777777" w:rsidR="002F2379" w:rsidRPr="00781112" w:rsidRDefault="002F2379" w:rsidP="005F601E">
            <w:pPr>
              <w:spacing w:after="0"/>
              <w:jc w:val="center"/>
              <w:rPr>
                <w:rFonts w:cs="Arial"/>
                <w:b/>
                <w:color w:val="000000" w:themeColor="text1"/>
                <w:szCs w:val="16"/>
              </w:rPr>
            </w:pPr>
            <w:r w:rsidRPr="00781112">
              <w:rPr>
                <w:rFonts w:cs="Arial"/>
                <w:b/>
                <w:color w:val="000000" w:themeColor="text1"/>
                <w:szCs w:val="16"/>
              </w:rPr>
              <w:t>Numerator</w:t>
            </w:r>
          </w:p>
        </w:tc>
        <w:tc>
          <w:tcPr>
            <w:tcW w:w="793" w:type="pct"/>
            <w:shd w:val="clear" w:color="auto" w:fill="D9D9D9" w:themeFill="background1" w:themeFillShade="D9"/>
            <w:vAlign w:val="center"/>
          </w:tcPr>
          <w:p w14:paraId="5C1FBE9E" w14:textId="77777777" w:rsidR="002F2379" w:rsidRPr="00781112" w:rsidRDefault="002F2379" w:rsidP="005F601E">
            <w:pPr>
              <w:spacing w:after="0"/>
              <w:jc w:val="center"/>
              <w:rPr>
                <w:rFonts w:cs="Arial"/>
                <w:b/>
                <w:color w:val="000000" w:themeColor="text1"/>
                <w:szCs w:val="16"/>
              </w:rPr>
            </w:pPr>
            <w:r w:rsidRPr="00781112">
              <w:rPr>
                <w:rFonts w:cs="Arial"/>
                <w:b/>
                <w:color w:val="000000" w:themeColor="text1"/>
                <w:szCs w:val="16"/>
              </w:rPr>
              <w:t>Denominator</w:t>
            </w:r>
          </w:p>
        </w:tc>
        <w:tc>
          <w:tcPr>
            <w:tcW w:w="500" w:type="pct"/>
            <w:shd w:val="clear" w:color="auto" w:fill="D9D9D9" w:themeFill="background1" w:themeFillShade="D9"/>
            <w:vAlign w:val="center"/>
          </w:tcPr>
          <w:p w14:paraId="7E124690" w14:textId="1B140509" w:rsidR="002F2379" w:rsidRPr="00781112" w:rsidRDefault="00B954DC" w:rsidP="005F601E">
            <w:pPr>
              <w:spacing w:after="0"/>
              <w:jc w:val="center"/>
              <w:rPr>
                <w:rFonts w:cs="Arial"/>
                <w:b/>
                <w:color w:val="000000" w:themeColor="text1"/>
                <w:szCs w:val="16"/>
              </w:rPr>
            </w:pPr>
            <w:r w:rsidRPr="00781112">
              <w:rPr>
                <w:rFonts w:cs="Arial"/>
                <w:b/>
                <w:color w:val="000000" w:themeColor="text1"/>
                <w:szCs w:val="16"/>
              </w:rPr>
              <w:t>FFY 201</w:t>
            </w:r>
            <w:r w:rsidR="009B0EF0">
              <w:rPr>
                <w:rFonts w:cs="Arial"/>
                <w:b/>
                <w:color w:val="000000" w:themeColor="text1"/>
                <w:szCs w:val="16"/>
              </w:rPr>
              <w:t>9</w:t>
            </w:r>
            <w:r w:rsidRPr="00781112">
              <w:rPr>
                <w:rFonts w:cs="Arial"/>
                <w:b/>
                <w:color w:val="000000" w:themeColor="text1"/>
                <w:szCs w:val="16"/>
              </w:rPr>
              <w:t xml:space="preserve"> Data</w:t>
            </w:r>
          </w:p>
        </w:tc>
        <w:tc>
          <w:tcPr>
            <w:tcW w:w="501" w:type="pct"/>
            <w:shd w:val="clear" w:color="auto" w:fill="D9D9D9" w:themeFill="background1" w:themeFillShade="D9"/>
            <w:vAlign w:val="center"/>
          </w:tcPr>
          <w:p w14:paraId="7E59D447" w14:textId="0D27A55B" w:rsidR="002F2379" w:rsidRPr="00781112" w:rsidRDefault="00F6415A" w:rsidP="005F601E">
            <w:pPr>
              <w:spacing w:after="0"/>
              <w:jc w:val="center"/>
              <w:rPr>
                <w:rFonts w:cs="Arial"/>
                <w:b/>
                <w:color w:val="000000" w:themeColor="text1"/>
                <w:szCs w:val="16"/>
              </w:rPr>
            </w:pPr>
            <w:r w:rsidRPr="00781112">
              <w:rPr>
                <w:rFonts w:cs="Arial"/>
                <w:b/>
                <w:color w:val="000000" w:themeColor="text1"/>
                <w:szCs w:val="16"/>
              </w:rPr>
              <w:t>FFY 2020 Target</w:t>
            </w:r>
          </w:p>
        </w:tc>
        <w:tc>
          <w:tcPr>
            <w:tcW w:w="501" w:type="pct"/>
            <w:shd w:val="clear" w:color="auto" w:fill="D9D9D9" w:themeFill="background1" w:themeFillShade="D9"/>
            <w:vAlign w:val="center"/>
          </w:tcPr>
          <w:p w14:paraId="48E0A776" w14:textId="44FF5B2A" w:rsidR="002F2379" w:rsidRPr="00781112" w:rsidRDefault="00F6415A" w:rsidP="005F601E">
            <w:pPr>
              <w:spacing w:after="0"/>
              <w:jc w:val="center"/>
              <w:rPr>
                <w:rFonts w:cs="Arial"/>
                <w:b/>
                <w:color w:val="000000" w:themeColor="text1"/>
                <w:szCs w:val="16"/>
              </w:rPr>
            </w:pPr>
            <w:r w:rsidRPr="00781112">
              <w:rPr>
                <w:rFonts w:cs="Arial"/>
                <w:b/>
                <w:color w:val="000000" w:themeColor="text1"/>
                <w:szCs w:val="16"/>
              </w:rPr>
              <w:t>FFY 2020 Data</w:t>
            </w:r>
          </w:p>
        </w:tc>
        <w:tc>
          <w:tcPr>
            <w:tcW w:w="417" w:type="pct"/>
            <w:shd w:val="clear" w:color="auto" w:fill="D9D9D9" w:themeFill="background1" w:themeFillShade="D9"/>
            <w:vAlign w:val="center"/>
          </w:tcPr>
          <w:p w14:paraId="1271E5C2" w14:textId="7C29A2B3" w:rsidR="002F2379" w:rsidRPr="00781112" w:rsidRDefault="002F2379" w:rsidP="005F601E">
            <w:pPr>
              <w:spacing w:after="0"/>
              <w:ind w:left="-104" w:right="-105"/>
              <w:jc w:val="center"/>
              <w:rPr>
                <w:rFonts w:cs="Arial"/>
                <w:b/>
                <w:color w:val="000000" w:themeColor="text1"/>
                <w:szCs w:val="16"/>
              </w:rPr>
            </w:pPr>
            <w:r w:rsidRPr="00781112">
              <w:rPr>
                <w:rFonts w:cs="Arial"/>
                <w:b/>
                <w:color w:val="000000" w:themeColor="text1"/>
                <w:szCs w:val="16"/>
              </w:rPr>
              <w:t>Status</w:t>
            </w:r>
          </w:p>
        </w:tc>
        <w:tc>
          <w:tcPr>
            <w:tcW w:w="539" w:type="pct"/>
            <w:shd w:val="clear" w:color="auto" w:fill="D9D9D9" w:themeFill="background1" w:themeFillShade="D9"/>
            <w:vAlign w:val="center"/>
          </w:tcPr>
          <w:p w14:paraId="57BB5D90" w14:textId="5C773F81" w:rsidR="002F2379" w:rsidRPr="00781112" w:rsidRDefault="002F2379" w:rsidP="005F601E">
            <w:pPr>
              <w:spacing w:after="0"/>
              <w:ind w:left="-104" w:right="-119"/>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5F601E">
        <w:trPr>
          <w:trHeight w:val="4778"/>
        </w:trPr>
        <w:tc>
          <w:tcPr>
            <w:tcW w:w="1082" w:type="pct"/>
            <w:shd w:val="clear" w:color="auto" w:fill="auto"/>
            <w:vAlign w:val="center"/>
          </w:tcPr>
          <w:p w14:paraId="53F10B71" w14:textId="77777777" w:rsidR="00757D21" w:rsidRPr="00781112" w:rsidRDefault="00A86385" w:rsidP="005F601E">
            <w:pPr>
              <w:spacing w:after="0"/>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0508584C" w:rsidR="00A86385" w:rsidRPr="006D0DC2" w:rsidRDefault="00757D21" w:rsidP="005F601E">
            <w:pPr>
              <w:spacing w:after="0"/>
              <w:rPr>
                <w:rFonts w:cs="Arial"/>
                <w:i/>
                <w:iCs/>
                <w:color w:val="C00000"/>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r w:rsidR="006D0DC2">
              <w:rPr>
                <w:rFonts w:cs="Arial"/>
                <w:i/>
                <w:iCs/>
                <w:color w:val="C00000"/>
                <w:szCs w:val="16"/>
              </w:rPr>
              <w:br/>
            </w:r>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667" w:type="pct"/>
            <w:shd w:val="clear" w:color="auto" w:fill="auto"/>
            <w:vAlign w:val="center"/>
          </w:tcPr>
          <w:p w14:paraId="06847B86" w14:textId="57D8DF81"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4,606</w:t>
            </w:r>
          </w:p>
        </w:tc>
        <w:tc>
          <w:tcPr>
            <w:tcW w:w="793" w:type="pct"/>
            <w:shd w:val="clear" w:color="auto" w:fill="auto"/>
            <w:vAlign w:val="center"/>
          </w:tcPr>
          <w:p w14:paraId="238365C6" w14:textId="3568431D"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5,043</w:t>
            </w:r>
          </w:p>
        </w:tc>
        <w:tc>
          <w:tcPr>
            <w:tcW w:w="500" w:type="pct"/>
            <w:shd w:val="clear" w:color="auto" w:fill="auto"/>
            <w:vAlign w:val="center"/>
          </w:tcPr>
          <w:p w14:paraId="4D92698F" w14:textId="1CB8B6A4"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92.97%</w:t>
            </w:r>
          </w:p>
        </w:tc>
        <w:tc>
          <w:tcPr>
            <w:tcW w:w="501" w:type="pct"/>
            <w:shd w:val="clear" w:color="auto" w:fill="auto"/>
            <w:vAlign w:val="center"/>
          </w:tcPr>
          <w:p w14:paraId="282346A8" w14:textId="638BF2E5"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91.25%</w:t>
            </w:r>
          </w:p>
        </w:tc>
        <w:tc>
          <w:tcPr>
            <w:tcW w:w="501" w:type="pct"/>
            <w:shd w:val="clear" w:color="auto" w:fill="auto"/>
            <w:vAlign w:val="center"/>
          </w:tcPr>
          <w:p w14:paraId="02E42936" w14:textId="312E4B4A"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91.33%</w:t>
            </w:r>
          </w:p>
        </w:tc>
        <w:tc>
          <w:tcPr>
            <w:tcW w:w="417" w:type="pct"/>
            <w:shd w:val="clear" w:color="auto" w:fill="auto"/>
            <w:vAlign w:val="center"/>
          </w:tcPr>
          <w:p w14:paraId="1B13A98E" w14:textId="3F3B6900" w:rsidR="00A86385" w:rsidRPr="00781112" w:rsidRDefault="002B7490" w:rsidP="005F601E">
            <w:pPr>
              <w:spacing w:after="0"/>
              <w:ind w:left="-104" w:right="-105"/>
              <w:jc w:val="center"/>
              <w:rPr>
                <w:rFonts w:cs="Arial"/>
                <w:color w:val="000000" w:themeColor="text1"/>
                <w:szCs w:val="16"/>
              </w:rPr>
            </w:pPr>
            <w:r w:rsidRPr="00781112">
              <w:rPr>
                <w:rFonts w:cs="Arial"/>
                <w:color w:val="000000" w:themeColor="text1"/>
                <w:szCs w:val="16"/>
              </w:rPr>
              <w:t>Met target</w:t>
            </w:r>
          </w:p>
        </w:tc>
        <w:tc>
          <w:tcPr>
            <w:tcW w:w="539" w:type="pct"/>
            <w:shd w:val="clear" w:color="auto" w:fill="auto"/>
            <w:vAlign w:val="center"/>
          </w:tcPr>
          <w:p w14:paraId="2D48B259" w14:textId="3185C0C7" w:rsidR="00A86385" w:rsidRPr="00781112" w:rsidRDefault="002B7490" w:rsidP="005F601E">
            <w:pPr>
              <w:spacing w:after="0"/>
              <w:ind w:left="-104" w:right="-119"/>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5F601E">
        <w:trPr>
          <w:trHeight w:val="361"/>
        </w:trPr>
        <w:tc>
          <w:tcPr>
            <w:tcW w:w="1082" w:type="pct"/>
            <w:shd w:val="clear" w:color="auto" w:fill="auto"/>
            <w:vAlign w:val="center"/>
          </w:tcPr>
          <w:p w14:paraId="080A6F16" w14:textId="77777777" w:rsidR="00A86385" w:rsidRPr="00781112" w:rsidRDefault="00A86385" w:rsidP="005F601E">
            <w:pPr>
              <w:spacing w:after="0"/>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5F601E">
            <w:pPr>
              <w:spacing w:after="0"/>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w:t>
            </w:r>
            <w:proofErr w:type="gramStart"/>
            <w:r w:rsidRPr="0075451F">
              <w:rPr>
                <w:rFonts w:cs="Arial"/>
                <w:i/>
                <w:iCs/>
                <w:color w:val="C00000"/>
                <w:szCs w:val="16"/>
                <w:lang w:val="es-ES"/>
              </w:rPr>
              <w:t>e</w:t>
            </w:r>
            <w:proofErr w:type="spellEnd"/>
            <w:r w:rsidRPr="0075451F">
              <w:rPr>
                <w:rFonts w:cs="Arial"/>
                <w:i/>
                <w:iCs/>
                <w:color w:val="C00000"/>
                <w:szCs w:val="16"/>
                <w:lang w:val="es-ES"/>
              </w:rPr>
              <w:t>)/</w:t>
            </w:r>
            <w:proofErr w:type="gram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667" w:type="pct"/>
            <w:shd w:val="clear" w:color="auto" w:fill="auto"/>
            <w:vAlign w:val="center"/>
          </w:tcPr>
          <w:p w14:paraId="55881F07" w14:textId="24379895" w:rsidR="00E526FC" w:rsidRPr="00781112" w:rsidRDefault="002B7490" w:rsidP="005F601E">
            <w:pPr>
              <w:spacing w:after="0"/>
              <w:jc w:val="center"/>
              <w:rPr>
                <w:rFonts w:cs="Arial"/>
                <w:color w:val="000000" w:themeColor="text1"/>
                <w:szCs w:val="16"/>
              </w:rPr>
            </w:pPr>
            <w:r w:rsidRPr="00781112">
              <w:rPr>
                <w:rFonts w:cs="Arial"/>
                <w:color w:val="000000" w:themeColor="text1"/>
                <w:szCs w:val="16"/>
              </w:rPr>
              <w:t>3,044</w:t>
            </w:r>
          </w:p>
        </w:tc>
        <w:tc>
          <w:tcPr>
            <w:tcW w:w="793" w:type="pct"/>
            <w:shd w:val="clear" w:color="auto" w:fill="auto"/>
            <w:vAlign w:val="center"/>
          </w:tcPr>
          <w:p w14:paraId="621B2290" w14:textId="0CB78FA1" w:rsidR="00E526FC" w:rsidRPr="00781112" w:rsidRDefault="002B7490" w:rsidP="005F601E">
            <w:pPr>
              <w:spacing w:after="0"/>
              <w:jc w:val="center"/>
              <w:rPr>
                <w:rFonts w:cs="Arial"/>
                <w:color w:val="000000" w:themeColor="text1"/>
                <w:szCs w:val="16"/>
              </w:rPr>
            </w:pPr>
            <w:r w:rsidRPr="00781112">
              <w:rPr>
                <w:rFonts w:cs="Arial"/>
                <w:color w:val="000000" w:themeColor="text1"/>
                <w:szCs w:val="16"/>
              </w:rPr>
              <w:t>5,806</w:t>
            </w:r>
          </w:p>
        </w:tc>
        <w:tc>
          <w:tcPr>
            <w:tcW w:w="500" w:type="pct"/>
            <w:shd w:val="clear" w:color="auto" w:fill="auto"/>
            <w:vAlign w:val="center"/>
          </w:tcPr>
          <w:p w14:paraId="62DBFBFA" w14:textId="0CDB12CF"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55.26%</w:t>
            </w:r>
          </w:p>
        </w:tc>
        <w:tc>
          <w:tcPr>
            <w:tcW w:w="501" w:type="pct"/>
            <w:shd w:val="clear" w:color="auto" w:fill="auto"/>
            <w:vAlign w:val="center"/>
          </w:tcPr>
          <w:p w14:paraId="63A1936F" w14:textId="04F440D6"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61.00%</w:t>
            </w:r>
          </w:p>
        </w:tc>
        <w:tc>
          <w:tcPr>
            <w:tcW w:w="501" w:type="pct"/>
            <w:shd w:val="clear" w:color="auto" w:fill="auto"/>
            <w:vAlign w:val="center"/>
          </w:tcPr>
          <w:p w14:paraId="4609D20B" w14:textId="7D9B89C4" w:rsidR="00A86385" w:rsidRPr="00781112" w:rsidRDefault="002B7490" w:rsidP="005F601E">
            <w:pPr>
              <w:spacing w:after="0"/>
              <w:jc w:val="center"/>
              <w:rPr>
                <w:rFonts w:cs="Arial"/>
                <w:color w:val="000000" w:themeColor="text1"/>
                <w:szCs w:val="16"/>
              </w:rPr>
            </w:pPr>
            <w:r w:rsidRPr="00781112">
              <w:rPr>
                <w:rFonts w:cs="Arial"/>
                <w:color w:val="000000" w:themeColor="text1"/>
                <w:szCs w:val="16"/>
              </w:rPr>
              <w:t>52.43%</w:t>
            </w:r>
          </w:p>
        </w:tc>
        <w:tc>
          <w:tcPr>
            <w:tcW w:w="417" w:type="pct"/>
            <w:shd w:val="clear" w:color="auto" w:fill="auto"/>
            <w:vAlign w:val="center"/>
          </w:tcPr>
          <w:p w14:paraId="5F56D20D" w14:textId="6A83021F" w:rsidR="00A86385" w:rsidRPr="00781112" w:rsidRDefault="002B7490" w:rsidP="005F601E">
            <w:pPr>
              <w:spacing w:after="0"/>
              <w:ind w:left="-104" w:right="-105"/>
              <w:jc w:val="center"/>
              <w:rPr>
                <w:rFonts w:cs="Arial"/>
                <w:color w:val="000000" w:themeColor="text1"/>
                <w:szCs w:val="16"/>
              </w:rPr>
            </w:pPr>
            <w:r w:rsidRPr="00781112">
              <w:rPr>
                <w:rFonts w:cs="Arial"/>
                <w:color w:val="000000" w:themeColor="text1"/>
                <w:szCs w:val="16"/>
              </w:rPr>
              <w:t>Did not meet target</w:t>
            </w:r>
          </w:p>
        </w:tc>
        <w:tc>
          <w:tcPr>
            <w:tcW w:w="539" w:type="pct"/>
            <w:shd w:val="clear" w:color="auto" w:fill="auto"/>
            <w:vAlign w:val="center"/>
          </w:tcPr>
          <w:p w14:paraId="5C0F945B" w14:textId="613A8501" w:rsidR="00A86385" w:rsidRPr="00781112" w:rsidRDefault="002B7490" w:rsidP="005F601E">
            <w:pPr>
              <w:spacing w:after="0"/>
              <w:ind w:left="-104" w:right="-119"/>
              <w:jc w:val="center"/>
              <w:rPr>
                <w:rFonts w:cs="Arial"/>
                <w:color w:val="000000" w:themeColor="text1"/>
                <w:szCs w:val="16"/>
              </w:rPr>
            </w:pPr>
            <w:r w:rsidRPr="00781112">
              <w:rPr>
                <w:rFonts w:cs="Arial"/>
                <w:color w:val="000000" w:themeColor="text1"/>
                <w:szCs w:val="16"/>
              </w:rPr>
              <w:t>Slippage</w:t>
            </w:r>
          </w:p>
        </w:tc>
      </w:tr>
    </w:tbl>
    <w:p w14:paraId="105291D6" w14:textId="3E2FD9D4" w:rsidR="009B37A2" w:rsidRPr="00572E2A" w:rsidRDefault="00572E2A" w:rsidP="007E7C94">
      <w:pPr>
        <w:pStyle w:val="Caption"/>
      </w:pPr>
      <w:bookmarkStart w:id="50" w:name="_Hlk121843513"/>
      <w:r w:rsidRPr="00572E2A">
        <w:lastRenderedPageBreak/>
        <w:t xml:space="preserve">Indicator 7: Preschool </w:t>
      </w:r>
      <w:r w:rsidR="005F601E" w:rsidRPr="00572E2A">
        <w:t>Outcomes A</w:t>
      </w:r>
      <w:r>
        <w:t>2</w:t>
      </w:r>
      <w:r w:rsidR="005F601E" w:rsidRPr="00572E2A">
        <w:t>, B</w:t>
      </w:r>
      <w:r>
        <w:t>2</w:t>
      </w:r>
      <w:r w:rsidR="005F601E" w:rsidRPr="00572E2A">
        <w:t>, and C</w:t>
      </w:r>
      <w:r>
        <w:t>2</w:t>
      </w:r>
      <w:r w:rsidRPr="00572E2A">
        <w:t xml:space="preserve"> Reason</w:t>
      </w:r>
      <w:r>
        <w:t>s</w:t>
      </w:r>
      <w:r w:rsidRPr="00572E2A">
        <w:t xml:space="preserve"> for Slippage</w:t>
      </w:r>
    </w:p>
    <w:tbl>
      <w:tblPr>
        <w:tblStyle w:val="TableGrid"/>
        <w:tblW w:w="5000" w:type="pct"/>
        <w:shd w:val="clear" w:color="auto" w:fill="FBD4B4" w:themeFill="accent6" w:themeFillTint="66"/>
        <w:tblLook w:val="04A0" w:firstRow="1" w:lastRow="0" w:firstColumn="1" w:lastColumn="0" w:noHBand="0" w:noVBand="1"/>
        <w:tblDescription w:val="Table provides Outcomes A2, B2, and C2 reasons for slippage for this indicator."/>
      </w:tblPr>
      <w:tblGrid>
        <w:gridCol w:w="809"/>
        <w:gridCol w:w="9981"/>
      </w:tblGrid>
      <w:tr w:rsidR="005C29F8" w:rsidRPr="00781112" w14:paraId="61620C7C" w14:textId="77777777" w:rsidTr="005F601E">
        <w:trPr>
          <w:trHeight w:val="422"/>
          <w:tblHeader/>
        </w:trPr>
        <w:tc>
          <w:tcPr>
            <w:tcW w:w="375" w:type="pct"/>
            <w:shd w:val="clear" w:color="auto" w:fill="D9D9D9" w:themeFill="background1" w:themeFillShade="D9"/>
            <w:vAlign w:val="center"/>
          </w:tcPr>
          <w:bookmarkEnd w:id="50"/>
          <w:p w14:paraId="0AA39E44" w14:textId="77777777" w:rsidR="005033CE" w:rsidRPr="00781112" w:rsidRDefault="005033CE" w:rsidP="005F601E">
            <w:pPr>
              <w:spacing w:after="0" w:line="276" w:lineRule="auto"/>
              <w:jc w:val="center"/>
              <w:rPr>
                <w:color w:val="000000" w:themeColor="text1"/>
              </w:rPr>
            </w:pPr>
            <w:r w:rsidRPr="00781112">
              <w:rPr>
                <w:b/>
                <w:color w:val="000000" w:themeColor="text1"/>
              </w:rPr>
              <w:t>Part</w:t>
            </w:r>
          </w:p>
        </w:tc>
        <w:tc>
          <w:tcPr>
            <w:tcW w:w="4625" w:type="pct"/>
            <w:shd w:val="clear" w:color="auto" w:fill="D9D9D9" w:themeFill="background1" w:themeFillShade="D9"/>
            <w:vAlign w:val="center"/>
          </w:tcPr>
          <w:p w14:paraId="41FB5113" w14:textId="77777777" w:rsidR="005033CE" w:rsidRPr="00781112" w:rsidRDefault="005033CE" w:rsidP="005F601E">
            <w:pPr>
              <w:spacing w:after="0" w:line="276" w:lineRule="auto"/>
              <w:jc w:val="center"/>
              <w:rPr>
                <w:color w:val="000000" w:themeColor="text1"/>
              </w:rPr>
            </w:pPr>
            <w:r w:rsidRPr="00781112">
              <w:rPr>
                <w:b/>
                <w:color w:val="000000" w:themeColor="text1"/>
              </w:rPr>
              <w:t>Reasons for slippage, if applicable</w:t>
            </w:r>
          </w:p>
        </w:tc>
      </w:tr>
      <w:tr w:rsidR="005C29F8" w:rsidRPr="00781112" w14:paraId="2C5A03FF" w14:textId="77777777" w:rsidTr="005F601E">
        <w:trPr>
          <w:trHeight w:val="2438"/>
        </w:trPr>
        <w:tc>
          <w:tcPr>
            <w:tcW w:w="375" w:type="pct"/>
            <w:vAlign w:val="center"/>
          </w:tcPr>
          <w:p w14:paraId="1B7D7510" w14:textId="77777777" w:rsidR="005033CE" w:rsidRPr="00781112" w:rsidRDefault="005033CE" w:rsidP="005F601E">
            <w:pPr>
              <w:spacing w:after="0" w:line="276" w:lineRule="auto"/>
              <w:jc w:val="center"/>
              <w:rPr>
                <w:b/>
                <w:color w:val="000000" w:themeColor="text1"/>
              </w:rPr>
            </w:pPr>
            <w:r w:rsidRPr="00781112">
              <w:rPr>
                <w:b/>
                <w:color w:val="000000" w:themeColor="text1"/>
              </w:rPr>
              <w:t>A2</w:t>
            </w:r>
          </w:p>
        </w:tc>
        <w:tc>
          <w:tcPr>
            <w:tcW w:w="4625" w:type="pct"/>
            <w:shd w:val="clear" w:color="auto" w:fill="auto"/>
            <w:vAlign w:val="center"/>
          </w:tcPr>
          <w:p w14:paraId="370094D2" w14:textId="465BB469" w:rsidR="005033CE" w:rsidRPr="00781112" w:rsidRDefault="008C5922" w:rsidP="005F601E">
            <w:pPr>
              <w:spacing w:after="0" w:line="276" w:lineRule="auto"/>
              <w:rPr>
                <w:rFonts w:cs="Arial"/>
                <w:color w:val="000000" w:themeColor="text1"/>
                <w:szCs w:val="16"/>
              </w:rPr>
            </w:pPr>
            <w:r w:rsidRPr="00781112">
              <w:rPr>
                <w:rFonts w:cs="Arial"/>
                <w:color w:val="000000" w:themeColor="text1"/>
                <w:szCs w:val="16"/>
              </w:rPr>
              <w:t>Slippage from FFY 2019 can be associated with a continued intensive and ongoing efforts by the Virginia Department of Education to improve the process used to determine ratings for indicator 7. Resources have been developed and professional development provided. Specifically, a focus has been placed on using the Child Outcomes Summary process to determine the child's abilities at program entry and exit, making the process objective and team based. The Virginia Department of Education anticipated slippage of data given the efforts to improve the process and accuracy of ratings.</w:t>
            </w:r>
          </w:p>
        </w:tc>
      </w:tr>
      <w:tr w:rsidR="005C29F8" w:rsidRPr="00781112" w14:paraId="24215C17" w14:textId="77777777" w:rsidTr="005F601E">
        <w:trPr>
          <w:trHeight w:val="2420"/>
        </w:trPr>
        <w:tc>
          <w:tcPr>
            <w:tcW w:w="375" w:type="pct"/>
            <w:vAlign w:val="center"/>
          </w:tcPr>
          <w:p w14:paraId="3D5C0F58" w14:textId="77777777" w:rsidR="005033CE" w:rsidRPr="00781112" w:rsidRDefault="005033CE" w:rsidP="005F601E">
            <w:pPr>
              <w:spacing w:after="0" w:line="276" w:lineRule="auto"/>
              <w:jc w:val="center"/>
              <w:rPr>
                <w:b/>
                <w:color w:val="000000" w:themeColor="text1"/>
              </w:rPr>
            </w:pPr>
            <w:r w:rsidRPr="00781112">
              <w:rPr>
                <w:b/>
                <w:color w:val="000000" w:themeColor="text1"/>
              </w:rPr>
              <w:t>B2</w:t>
            </w:r>
          </w:p>
        </w:tc>
        <w:tc>
          <w:tcPr>
            <w:tcW w:w="4625" w:type="pct"/>
            <w:shd w:val="clear" w:color="auto" w:fill="auto"/>
            <w:vAlign w:val="center"/>
          </w:tcPr>
          <w:p w14:paraId="0FC56E33" w14:textId="577E037B" w:rsidR="005033CE" w:rsidRPr="00781112" w:rsidRDefault="008C5922" w:rsidP="005F601E">
            <w:pPr>
              <w:spacing w:after="0" w:line="276" w:lineRule="auto"/>
              <w:rPr>
                <w:rFonts w:cs="Arial"/>
                <w:i/>
                <w:color w:val="000000" w:themeColor="text1"/>
                <w:szCs w:val="16"/>
              </w:rPr>
            </w:pPr>
            <w:r w:rsidRPr="00781112">
              <w:rPr>
                <w:rFonts w:cs="Arial"/>
                <w:color w:val="000000" w:themeColor="text1"/>
                <w:szCs w:val="16"/>
              </w:rPr>
              <w:t>Slippage from FFY 2019 can be associated with a continued intensive and ongoing efforts by the Virginia Department of Education to improve the process used to determine ratings for indicator 7. Resources have been developed and professional development provided. Specifically, a focus has been placed on using the Child Outcomes Summary process to determine the child's abilities at program entry and exit, making the process objective and team based. The Virginia Department of Education anticipated slippage of data given the efforts to improve the process and accuracy of ratings.</w:t>
            </w:r>
          </w:p>
        </w:tc>
      </w:tr>
      <w:tr w:rsidR="005C29F8" w:rsidRPr="00781112" w14:paraId="78369361" w14:textId="77777777" w:rsidTr="005F601E">
        <w:trPr>
          <w:trHeight w:val="2420"/>
        </w:trPr>
        <w:tc>
          <w:tcPr>
            <w:tcW w:w="375" w:type="pct"/>
            <w:vAlign w:val="center"/>
          </w:tcPr>
          <w:p w14:paraId="3CA58DE3" w14:textId="77777777" w:rsidR="005033CE" w:rsidRPr="00781112" w:rsidRDefault="005033CE" w:rsidP="005F601E">
            <w:pPr>
              <w:spacing w:after="0" w:line="276" w:lineRule="auto"/>
              <w:jc w:val="center"/>
              <w:rPr>
                <w:b/>
                <w:color w:val="000000" w:themeColor="text1"/>
              </w:rPr>
            </w:pPr>
            <w:r w:rsidRPr="00781112">
              <w:rPr>
                <w:b/>
                <w:color w:val="000000" w:themeColor="text1"/>
              </w:rPr>
              <w:t>C2</w:t>
            </w:r>
          </w:p>
        </w:tc>
        <w:tc>
          <w:tcPr>
            <w:tcW w:w="4625" w:type="pct"/>
            <w:shd w:val="clear" w:color="auto" w:fill="auto"/>
            <w:vAlign w:val="center"/>
          </w:tcPr>
          <w:p w14:paraId="36410A58" w14:textId="082DFC3E" w:rsidR="005033CE" w:rsidRPr="00781112" w:rsidRDefault="005033CE" w:rsidP="005F601E">
            <w:pPr>
              <w:spacing w:after="0" w:line="276" w:lineRule="auto"/>
              <w:rPr>
                <w:rFonts w:cs="Arial"/>
                <w:color w:val="000000" w:themeColor="text1"/>
                <w:szCs w:val="16"/>
              </w:rPr>
            </w:pPr>
            <w:r w:rsidRPr="00781112">
              <w:rPr>
                <w:rFonts w:cs="Arial"/>
                <w:color w:val="000000" w:themeColor="text1"/>
                <w:szCs w:val="16"/>
              </w:rPr>
              <w:t>Slippage from FFY 2019 can be associated with a continued intensive and ongoing efforts by the Virginia Department of Education to improve the process used to determine ratings for indicator 7. Resources have been developed and professional development provided. Specifically, a focus has been placed on using the Child Outcomes Summary process to determine the child's abilities at program entry and exit, making the process objective and team based. The Virginia Department of Education anticipated slippage of data given the efforts to improve the process and accuracy of ratings.</w:t>
            </w:r>
          </w:p>
        </w:tc>
      </w:tr>
    </w:tbl>
    <w:p w14:paraId="399E6348" w14:textId="36EEF00B" w:rsidR="004B2C2D" w:rsidRPr="00781112" w:rsidRDefault="004B2C2D" w:rsidP="005F601E">
      <w:pPr>
        <w:spacing w:before="240"/>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58AF8C28" w:rsidR="005033CE" w:rsidRPr="00D4769B" w:rsidRDefault="00016817" w:rsidP="00314F94">
      <w:pPr>
        <w:pStyle w:val="ListParagraph"/>
        <w:numPr>
          <w:ilvl w:val="0"/>
          <w:numId w:val="166"/>
        </w:numPr>
        <w:rPr>
          <w:rFonts w:cs="Arial"/>
          <w:color w:val="000000" w:themeColor="text1"/>
          <w:szCs w:val="16"/>
        </w:rPr>
      </w:pPr>
      <w:r w:rsidRPr="00D4769B">
        <w:rPr>
          <w:rFonts w:cs="Arial"/>
          <w:color w:val="000000" w:themeColor="text1"/>
          <w:szCs w:val="16"/>
        </w:rPr>
        <w:t>Yes</w:t>
      </w:r>
    </w:p>
    <w:p w14:paraId="4CEA57B4" w14:textId="23182801" w:rsidR="006D0DC2" w:rsidRPr="006D0DC2" w:rsidRDefault="007C4549" w:rsidP="00447D0B">
      <w:pPr>
        <w:pStyle w:val="Caption"/>
      </w:pPr>
      <w:bookmarkStart w:id="51" w:name="_Hlk121843521"/>
      <w:r w:rsidRPr="00572E2A">
        <w:t xml:space="preserve">Indicator 7 </w:t>
      </w:r>
      <w:r w:rsidR="006D0DC2" w:rsidRPr="00572E2A">
        <w:t>Sampling Question</w:t>
      </w:r>
    </w:p>
    <w:tbl>
      <w:tblPr>
        <w:tblStyle w:val="TableGrid"/>
        <w:tblW w:w="5000" w:type="pct"/>
        <w:tblCellMar>
          <w:left w:w="115" w:type="dxa"/>
          <w:right w:w="115" w:type="dxa"/>
        </w:tblCellMar>
        <w:tblLook w:val="04A0" w:firstRow="1" w:lastRow="0" w:firstColumn="1" w:lastColumn="0" w:noHBand="0" w:noVBand="1"/>
        <w:tblDescription w:val="Table provides sampling question(s) and answer(s) for this indicator."/>
      </w:tblPr>
      <w:tblGrid>
        <w:gridCol w:w="8319"/>
        <w:gridCol w:w="2471"/>
      </w:tblGrid>
      <w:tr w:rsidR="005C29F8" w:rsidRPr="00781112" w14:paraId="0BD085FB" w14:textId="77777777" w:rsidTr="005F601E">
        <w:trPr>
          <w:trHeight w:val="432"/>
          <w:tblHeader/>
        </w:trPr>
        <w:tc>
          <w:tcPr>
            <w:tcW w:w="3855" w:type="pct"/>
            <w:tcBorders>
              <w:top w:val="single" w:sz="4" w:space="0" w:color="auto"/>
              <w:left w:val="single" w:sz="4" w:space="0" w:color="auto"/>
            </w:tcBorders>
            <w:shd w:val="clear" w:color="auto" w:fill="D9D9D9" w:themeFill="background1" w:themeFillShade="D9"/>
            <w:vAlign w:val="center"/>
          </w:tcPr>
          <w:bookmarkEnd w:id="51"/>
          <w:p w14:paraId="5AC005B4" w14:textId="48902820" w:rsidR="00B461E1" w:rsidRPr="00781112" w:rsidRDefault="001D6B3B" w:rsidP="005F601E">
            <w:pPr>
              <w:spacing w:after="0" w:line="276" w:lineRule="auto"/>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D9D9D9" w:themeFill="background1" w:themeFillShade="D9"/>
            <w:vAlign w:val="center"/>
          </w:tcPr>
          <w:p w14:paraId="13A7BBAF" w14:textId="0D22562B" w:rsidR="00B461E1" w:rsidRPr="00781112" w:rsidRDefault="00B461E1" w:rsidP="005F601E">
            <w:pPr>
              <w:spacing w:after="0" w:line="276" w:lineRule="auto"/>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5F601E">
        <w:trPr>
          <w:trHeight w:val="432"/>
        </w:trPr>
        <w:tc>
          <w:tcPr>
            <w:tcW w:w="3855" w:type="pct"/>
            <w:shd w:val="clear" w:color="auto" w:fill="auto"/>
            <w:vAlign w:val="center"/>
          </w:tcPr>
          <w:p w14:paraId="390A3887" w14:textId="13D1E4BC" w:rsidR="00B461E1" w:rsidRPr="00781112" w:rsidRDefault="00B461E1" w:rsidP="005F601E">
            <w:pPr>
              <w:spacing w:after="0" w:line="276" w:lineRule="auto"/>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vAlign w:val="center"/>
          </w:tcPr>
          <w:p w14:paraId="057F9293" w14:textId="70B8666C" w:rsidR="00B461E1" w:rsidRPr="00781112" w:rsidRDefault="002B7490" w:rsidP="005F601E">
            <w:pPr>
              <w:spacing w:after="0" w:line="276" w:lineRule="auto"/>
              <w:jc w:val="center"/>
              <w:rPr>
                <w:rFonts w:cs="Arial"/>
                <w:color w:val="000000" w:themeColor="text1"/>
                <w:szCs w:val="16"/>
              </w:rPr>
            </w:pPr>
            <w:r w:rsidRPr="00781112">
              <w:rPr>
                <w:rFonts w:cs="Arial"/>
                <w:color w:val="000000" w:themeColor="text1"/>
                <w:szCs w:val="16"/>
              </w:rPr>
              <w:t>NO</w:t>
            </w:r>
          </w:p>
        </w:tc>
      </w:tr>
    </w:tbl>
    <w:p w14:paraId="4EF81044" w14:textId="5EE5725F" w:rsidR="004B2C2D" w:rsidRPr="00781112" w:rsidRDefault="004B2C2D" w:rsidP="005F601E">
      <w:pPr>
        <w:spacing w:before="240"/>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14:paraId="0C27F02C" w14:textId="285538D7" w:rsidR="004B2C2D" w:rsidRPr="00D4769B" w:rsidRDefault="00016817" w:rsidP="00314F94">
      <w:pPr>
        <w:pStyle w:val="ListParagraph"/>
        <w:numPr>
          <w:ilvl w:val="0"/>
          <w:numId w:val="167"/>
        </w:numPr>
        <w:spacing w:after="200"/>
        <w:rPr>
          <w:rFonts w:cs="Arial"/>
          <w:color w:val="000000" w:themeColor="text1"/>
          <w:szCs w:val="16"/>
        </w:rPr>
      </w:pPr>
      <w:r w:rsidRPr="00D4769B">
        <w:rPr>
          <w:rFonts w:cs="Arial"/>
          <w:color w:val="000000" w:themeColor="text1"/>
          <w:szCs w:val="16"/>
        </w:rPr>
        <w:t>Yes</w:t>
      </w:r>
      <w:r w:rsidRPr="00D4769B">
        <w:rPr>
          <w:rFonts w:cs="Arial"/>
          <w:color w:val="000000" w:themeColor="text1"/>
          <w:szCs w:val="16"/>
        </w:rPr>
        <w:br w:type="page"/>
      </w:r>
    </w:p>
    <w:p w14:paraId="015A471A" w14:textId="77777777" w:rsidR="004611C1" w:rsidRPr="00781112" w:rsidRDefault="004611C1" w:rsidP="00A22EB9">
      <w:pPr>
        <w:rPr>
          <w:rFonts w:cs="Arial"/>
          <w:b/>
          <w:color w:val="000000" w:themeColor="text1"/>
          <w:szCs w:val="16"/>
        </w:rPr>
      </w:pPr>
      <w:bookmarkStart w:id="52" w:name="_Toc382082381"/>
      <w:bookmarkStart w:id="53" w:name="_Toc392159306"/>
      <w:r w:rsidRPr="00781112">
        <w:rPr>
          <w:rFonts w:cs="Arial"/>
          <w:b/>
          <w:color w:val="000000" w:themeColor="text1"/>
          <w:szCs w:val="16"/>
        </w:rPr>
        <w:lastRenderedPageBreak/>
        <w:t>List the instruments and procedures used to gather data for this indicator.</w:t>
      </w:r>
    </w:p>
    <w:p w14:paraId="48A16E25" w14:textId="1F2C8CE0" w:rsidR="009B37A2" w:rsidRPr="00D4769B" w:rsidRDefault="002B7490" w:rsidP="00314F94">
      <w:pPr>
        <w:pStyle w:val="ListParagraph"/>
        <w:numPr>
          <w:ilvl w:val="0"/>
          <w:numId w:val="168"/>
        </w:numPr>
        <w:rPr>
          <w:rFonts w:cs="Arial"/>
          <w:color w:val="000000" w:themeColor="text1"/>
          <w:szCs w:val="16"/>
        </w:rPr>
      </w:pPr>
      <w:r w:rsidRPr="00D4769B">
        <w:rPr>
          <w:rFonts w:cs="Arial"/>
          <w:color w:val="000000" w:themeColor="text1"/>
          <w:szCs w:val="16"/>
        </w:rPr>
        <w:t>All school districts submitted placement upon entry data and placement upon exit data gathered through the Child Outcomes Summary (COS) process through a secure web-based application developed by VDOE. All components of Indicator 7 are included in the application and data entered reflect children, age three through five, that received special education and related services for at least six months and exited during the reporting period July 1, 2020-June 30, 2021. The process includes edit checks to ensure consistency and accuracy in reporting. Staff members from VDOE provided information related to data required for Indicator 7 and on procedures for submitting data to the VDOE through statewide training sessions. Data submitted by school districts were reviewed for accuracy, and school districts were notified when there appeared to be inaccurate reporting.</w:t>
      </w:r>
    </w:p>
    <w:p w14:paraId="393ECB24" w14:textId="77777777" w:rsidR="00221EC9" w:rsidRPr="00781112" w:rsidRDefault="00221EC9" w:rsidP="00447D0B">
      <w:pPr>
        <w:pStyle w:val="Heading4"/>
      </w:pPr>
      <w:r w:rsidRPr="00781112">
        <w:t>Provide additional information about this indicator (optional)</w:t>
      </w:r>
    </w:p>
    <w:p w14:paraId="0215673F" w14:textId="19CCDE0C" w:rsidR="009B37A2" w:rsidRPr="00D4769B" w:rsidRDefault="005F601E" w:rsidP="00314F94">
      <w:pPr>
        <w:pStyle w:val="ListParagraph"/>
        <w:numPr>
          <w:ilvl w:val="0"/>
          <w:numId w:val="169"/>
        </w:numPr>
        <w:rPr>
          <w:rFonts w:cs="Arial"/>
          <w:color w:val="000000" w:themeColor="text1"/>
          <w:szCs w:val="16"/>
        </w:rPr>
      </w:pPr>
      <w:r w:rsidRPr="00D4769B">
        <w:rPr>
          <w:rFonts w:cs="Arial"/>
          <w:color w:val="000000" w:themeColor="text1"/>
          <w:szCs w:val="16"/>
        </w:rPr>
        <w:t>Not applicable</w:t>
      </w:r>
    </w:p>
    <w:p w14:paraId="729220FB" w14:textId="2C05A12E" w:rsidR="000A2C83" w:rsidRPr="00781112" w:rsidRDefault="00C96236" w:rsidP="00A22EB9">
      <w:pPr>
        <w:pStyle w:val="Heading3"/>
      </w:pPr>
      <w:r w:rsidRPr="00781112">
        <w:t>7</w:t>
      </w:r>
      <w:r w:rsidR="00444A9D" w:rsidRPr="00781112">
        <w:t xml:space="preserve"> </w:t>
      </w:r>
      <w:r w:rsidRPr="00781112">
        <w:t xml:space="preserve">- </w:t>
      </w:r>
      <w:r w:rsidR="000A2C83" w:rsidRPr="00781112">
        <w:t>Prior FFY Required Actions</w:t>
      </w:r>
    </w:p>
    <w:p w14:paraId="6B082508" w14:textId="28E3454C" w:rsidR="000A2C83" w:rsidRPr="00D4769B" w:rsidRDefault="002B7490" w:rsidP="00314F94">
      <w:pPr>
        <w:pStyle w:val="ListParagraph"/>
        <w:numPr>
          <w:ilvl w:val="0"/>
          <w:numId w:val="170"/>
        </w:numPr>
        <w:rPr>
          <w:rFonts w:cs="Arial"/>
          <w:color w:val="000000" w:themeColor="text1"/>
          <w:szCs w:val="16"/>
        </w:rPr>
      </w:pPr>
      <w:r w:rsidRPr="00D4769B">
        <w:rPr>
          <w:rFonts w:cs="Arial"/>
          <w:color w:val="000000" w:themeColor="text1"/>
          <w:szCs w:val="16"/>
        </w:rPr>
        <w:t>None</w:t>
      </w:r>
    </w:p>
    <w:p w14:paraId="4844645A" w14:textId="6F051FE6" w:rsidR="00221EC9" w:rsidRPr="00781112" w:rsidRDefault="00C96236" w:rsidP="00A22EB9">
      <w:pPr>
        <w:pStyle w:val="Heading3"/>
      </w:pPr>
      <w:r w:rsidRPr="00781112">
        <w:t>7 - OSEP Response</w:t>
      </w:r>
    </w:p>
    <w:p w14:paraId="408E3220" w14:textId="3BF99ADA" w:rsidR="009B37A2" w:rsidRPr="00D4769B" w:rsidRDefault="002B7490" w:rsidP="00314F94">
      <w:pPr>
        <w:pStyle w:val="ListParagraph"/>
        <w:numPr>
          <w:ilvl w:val="0"/>
          <w:numId w:val="171"/>
        </w:numPr>
        <w:rPr>
          <w:rFonts w:cs="Arial"/>
          <w:color w:val="000000" w:themeColor="text1"/>
          <w:szCs w:val="16"/>
        </w:rPr>
      </w:pPr>
      <w:r w:rsidRPr="00D4769B">
        <w:rPr>
          <w:rFonts w:cs="Arial"/>
          <w:color w:val="000000" w:themeColor="text1"/>
          <w:szCs w:val="16"/>
        </w:rPr>
        <w:t>The State provided targets for FFYs 2020 through 2025 for this indicator, and OSEP accepts those targets.</w:t>
      </w:r>
    </w:p>
    <w:p w14:paraId="50C7CF43" w14:textId="32A5B19E" w:rsidR="00221EC9" w:rsidRPr="00781112" w:rsidRDefault="00C96236" w:rsidP="00A22EB9">
      <w:pPr>
        <w:pStyle w:val="Heading3"/>
      </w:pPr>
      <w:r w:rsidRPr="00781112">
        <w:t>7 - Required Actions</w:t>
      </w:r>
    </w:p>
    <w:p w14:paraId="4FFE0FC1" w14:textId="07D1729D" w:rsidR="00102FA3" w:rsidRPr="00D4769B" w:rsidRDefault="005F601E" w:rsidP="00314F94">
      <w:pPr>
        <w:pStyle w:val="ListParagraph"/>
        <w:numPr>
          <w:ilvl w:val="0"/>
          <w:numId w:val="172"/>
        </w:numPr>
        <w:rPr>
          <w:rFonts w:eastAsiaTheme="majorEastAsia" w:cs="Arial"/>
          <w:b/>
          <w:bCs/>
          <w:color w:val="000000" w:themeColor="text1"/>
          <w:szCs w:val="16"/>
        </w:rPr>
      </w:pPr>
      <w:r w:rsidRPr="00D4769B">
        <w:rPr>
          <w:rFonts w:cs="Arial"/>
          <w:color w:val="000000" w:themeColor="text1"/>
          <w:szCs w:val="16"/>
        </w:rPr>
        <w:t>Not applicable</w:t>
      </w:r>
      <w:r w:rsidR="00102FA3" w:rsidRPr="00D4769B">
        <w:rPr>
          <w:rFonts w:cs="Arial"/>
          <w:color w:val="000000" w:themeColor="text1"/>
          <w:szCs w:val="16"/>
        </w:rPr>
        <w:br w:type="page"/>
      </w:r>
    </w:p>
    <w:p w14:paraId="3BCCFF07" w14:textId="34122B32" w:rsidR="00B3462E" w:rsidRPr="00781112" w:rsidRDefault="00B3462E" w:rsidP="008143AB">
      <w:pPr>
        <w:pStyle w:val="Heading2"/>
      </w:pPr>
      <w:r w:rsidRPr="00781112">
        <w:lastRenderedPageBreak/>
        <w:t>Indicator 8: Parent involvement</w:t>
      </w:r>
      <w:bookmarkEnd w:id="52"/>
      <w:bookmarkEnd w:id="53"/>
    </w:p>
    <w:p w14:paraId="66FBCA03" w14:textId="77777777" w:rsidR="00B654C1" w:rsidRPr="00211176" w:rsidRDefault="00B654C1" w:rsidP="00447D0B">
      <w:pPr>
        <w:pStyle w:val="Heading3"/>
        <w:spacing w:before="240"/>
      </w:pPr>
      <w:bookmarkStart w:id="54" w:name="_Toc392159307"/>
      <w:r w:rsidRPr="00211176">
        <w:t>Instructions and Measurement</w:t>
      </w:r>
    </w:p>
    <w:p w14:paraId="42608CC1" w14:textId="182D7ADF" w:rsidR="00CC634E" w:rsidRPr="00781112" w:rsidRDefault="00CC634E" w:rsidP="00A22EB9">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A22EB9">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A22EB9">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47D0B">
      <w:pPr>
        <w:pStyle w:val="Heading4"/>
      </w:pPr>
      <w:r w:rsidRPr="00781112">
        <w:t>Data Source</w:t>
      </w:r>
    </w:p>
    <w:p w14:paraId="543A03AF" w14:textId="13B8F95C" w:rsidR="009C613A" w:rsidRPr="00781112" w:rsidRDefault="009C613A" w:rsidP="00A22EB9">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47D0B">
      <w:pPr>
        <w:pStyle w:val="Heading4"/>
      </w:pPr>
      <w:r w:rsidRPr="00781112">
        <w:t>Measurement</w:t>
      </w:r>
    </w:p>
    <w:p w14:paraId="5E1A0E28" w14:textId="0D519771" w:rsidR="009C613A" w:rsidRPr="00781112" w:rsidRDefault="009C613A" w:rsidP="00A22EB9">
      <w:pPr>
        <w:rPr>
          <w:rFonts w:cs="Arial"/>
          <w:color w:val="000000" w:themeColor="text1"/>
          <w:szCs w:val="16"/>
        </w:rPr>
      </w:pPr>
      <w:r w:rsidRPr="00781112">
        <w:rPr>
          <w:rFonts w:cs="Arial"/>
          <w:color w:val="000000" w:themeColor="text1"/>
          <w:szCs w:val="16"/>
        </w:rPr>
        <w:t>Percent</w:t>
      </w:r>
      <w:r w:rsidR="00211176">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47D0B">
      <w:pPr>
        <w:pStyle w:val="Heading4"/>
      </w:pPr>
      <w:r w:rsidRPr="00781112">
        <w:t>Instructions</w:t>
      </w:r>
    </w:p>
    <w:p w14:paraId="60A1EAFB" w14:textId="0C248057" w:rsidR="002D7AD6" w:rsidRPr="00781112" w:rsidRDefault="002D7AD6" w:rsidP="00A22EB9">
      <w:pPr>
        <w:rPr>
          <w:rFonts w:cs="Arial"/>
          <w:color w:val="000000" w:themeColor="text1"/>
          <w:szCs w:val="16"/>
        </w:rPr>
      </w:pPr>
      <w:r w:rsidRPr="00781112">
        <w:rPr>
          <w:rFonts w:cs="Arial"/>
          <w:i/>
          <w:iCs/>
          <w:color w:val="000000" w:themeColor="text1"/>
          <w:szCs w:val="16"/>
        </w:rPr>
        <w:t>Sampling</w:t>
      </w:r>
      <w:r w:rsidR="00211176">
        <w:rPr>
          <w:rFonts w:cs="Arial"/>
          <w:i/>
          <w:iCs/>
          <w:color w:val="000000" w:themeColor="text1"/>
          <w:szCs w:val="16"/>
        </w:rPr>
        <w:t xml:space="preserve">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211176">
        <w:rPr>
          <w:rFonts w:cs="Arial"/>
          <w:i/>
          <w:iCs/>
          <w:color w:val="000000" w:themeColor="text1"/>
          <w:szCs w:val="16"/>
        </w:rPr>
        <w:t>General Instructions</w:t>
      </w:r>
      <w:r w:rsidRPr="00781112">
        <w:rPr>
          <w:rFonts w:cs="Arial"/>
          <w:i/>
          <w:iCs/>
          <w:color w:val="000000" w:themeColor="text1"/>
          <w:szCs w:val="16"/>
        </w:rPr>
        <w:t> on page 2 for additional instructions on sampling.)</w:t>
      </w:r>
    </w:p>
    <w:p w14:paraId="3EC08FBA" w14:textId="77777777" w:rsidR="002D7AD6" w:rsidRPr="00781112" w:rsidRDefault="002D7AD6" w:rsidP="00A22EB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A22EB9">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A22EB9">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A22EB9">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A22EB9">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77777777" w:rsidR="009C74BD" w:rsidRPr="00781112" w:rsidRDefault="009C74BD" w:rsidP="00A22EB9">
      <w:pPr>
        <w:rPr>
          <w:rFonts w:cs="Arial"/>
          <w:szCs w:val="16"/>
        </w:rPr>
      </w:pPr>
      <w:r w:rsidRPr="00781112">
        <w:rPr>
          <w:rFonts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particularly for those groups that are underrepresented.</w:t>
      </w:r>
    </w:p>
    <w:p w14:paraId="1179A7AC" w14:textId="0C70F11F" w:rsidR="009C74BD" w:rsidRPr="00781112" w:rsidRDefault="009C74BD" w:rsidP="00A22EB9">
      <w:pPr>
        <w:rPr>
          <w:rFonts w:cs="Arial"/>
          <w:szCs w:val="16"/>
        </w:rPr>
      </w:pPr>
      <w:r w:rsidRPr="00781112">
        <w:rPr>
          <w:rFonts w:cs="Arial"/>
          <w:szCs w:val="16"/>
        </w:rPr>
        <w:lastRenderedPageBreak/>
        <w:t xml:space="preserve">The State must also analyze the response rate to identify potential nonresponse bias and take steps to reduce any identified bias and promote response from a broad cross section of </w:t>
      </w:r>
      <w:r w:rsidR="009620B1">
        <w:rPr>
          <w:rFonts w:cs="Arial"/>
          <w:szCs w:val="16"/>
        </w:rPr>
        <w:t>parents of children with disabilities.</w:t>
      </w:r>
    </w:p>
    <w:p w14:paraId="7CC85D28" w14:textId="7928F4F1" w:rsidR="00F4021E" w:rsidRDefault="00F4021E" w:rsidP="00A22EB9">
      <w:pPr>
        <w:spacing w:after="160" w:line="259" w:lineRule="auto"/>
      </w:pPr>
      <w:bookmarkStart w:id="55" w:name="_Hlk90757179"/>
      <w:r>
        <w:t xml:space="preserve">Include in the State’s analysis the extent to which the demographics of the children for whom parents responded are representative of the demographics of children receiving special education services. </w:t>
      </w:r>
      <w:r w:rsidR="009620B1">
        <w:t>States should consider categories such as race/ethnicity, age of student, disability category, and geographic location in the State.</w:t>
      </w:r>
    </w:p>
    <w:bookmarkEnd w:id="55"/>
    <w:p w14:paraId="3C4DAE99" w14:textId="77777777" w:rsidR="00944E51" w:rsidRPr="00781112" w:rsidRDefault="00944E51" w:rsidP="00A22EB9">
      <w:pPr>
        <w:rPr>
          <w:rFonts w:cs="Arial"/>
          <w:szCs w:val="16"/>
        </w:rPr>
      </w:pPr>
      <w:r w:rsidRPr="00781112">
        <w:rPr>
          <w:rFonts w:cs="Arial"/>
          <w:szCs w:val="16"/>
        </w:rPr>
        <w:t>States must describe the metric used to determine representativeness (e.g., +/- 3% discrepancy in the proportion of responders compared to target group).</w:t>
      </w:r>
    </w:p>
    <w:p w14:paraId="697B09AA" w14:textId="77777777" w:rsidR="00390746" w:rsidRPr="004F491A" w:rsidRDefault="00390746" w:rsidP="00A22EB9">
      <w:bookmarkStart w:id="56" w:name="_Hlk90757133"/>
      <w:r w:rsidRPr="004F491A">
        <w:t>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w:t>
      </w:r>
    </w:p>
    <w:bookmarkEnd w:id="56"/>
    <w:p w14:paraId="18909B69" w14:textId="771CA1F4" w:rsidR="00256FF8" w:rsidRPr="00781112" w:rsidRDefault="00256FF8" w:rsidP="00A22EB9">
      <w:pPr>
        <w:rPr>
          <w:rFonts w:cs="Arial"/>
          <w:szCs w:val="16"/>
        </w:rPr>
      </w:pPr>
      <w:r w:rsidRPr="00781112">
        <w:rPr>
          <w:rFonts w:cs="Arial"/>
          <w:b/>
          <w:szCs w:val="16"/>
        </w:rPr>
        <w:t>Beginning with the FFY 2021 SPP/APR, due February 1, 2023,</w:t>
      </w:r>
      <w:r w:rsidRPr="00211176">
        <w:rPr>
          <w:rFonts w:cs="Arial"/>
          <w:bCs/>
          <w:szCs w:val="16"/>
        </w:rPr>
        <w:t xml:space="preserve"> </w:t>
      </w:r>
      <w:r w:rsidRPr="00781112">
        <w:rPr>
          <w:rFonts w:cs="Arial"/>
          <w:szCs w:val="16"/>
        </w:rPr>
        <w:t>when reporting the extent to which the demographics of the children for whom parents responded are representative of the demographics of children receiving special education services, States must include race</w:t>
      </w:r>
      <w:r w:rsidR="00071D42" w:rsidRPr="00781112">
        <w:rPr>
          <w:rFonts w:cs="Arial"/>
          <w:szCs w:val="16"/>
        </w:rPr>
        <w:t>/</w:t>
      </w:r>
      <w:r w:rsidRPr="00781112">
        <w:rPr>
          <w:rFonts w:cs="Arial"/>
          <w:szCs w:val="16"/>
        </w:rPr>
        <w:t>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38028E97" w14:textId="3CEA9087" w:rsidR="009C613A" w:rsidRPr="00781112" w:rsidRDefault="002D7AD6" w:rsidP="00A22EB9">
      <w:pPr>
        <w:rPr>
          <w:rFonts w:cs="Arial"/>
          <w:color w:val="000000" w:themeColor="text1"/>
          <w:szCs w:val="16"/>
        </w:rPr>
      </w:pPr>
      <w:r w:rsidRPr="00781112">
        <w:rPr>
          <w:rFonts w:cs="Arial"/>
          <w:color w:val="000000" w:themeColor="text1"/>
          <w:szCs w:val="16"/>
        </w:rPr>
        <w:t>States are encouraged to work in collaboration with their OSEP-funded parent centers in collecting data.</w:t>
      </w:r>
    </w:p>
    <w:p w14:paraId="2EF00B98" w14:textId="250BE6F2" w:rsidR="000B547A" w:rsidRDefault="00752BAF" w:rsidP="00A22EB9">
      <w:pPr>
        <w:pStyle w:val="Heading3"/>
      </w:pPr>
      <w:r w:rsidRPr="00781112">
        <w:t>8</w:t>
      </w:r>
      <w:r w:rsidR="001F6BAA" w:rsidRPr="00781112">
        <w:t xml:space="preserve"> </w:t>
      </w:r>
      <w:r w:rsidRPr="00781112">
        <w:t xml:space="preserve">- </w:t>
      </w:r>
      <w:r w:rsidR="000B547A" w:rsidRPr="00781112">
        <w:t>Indicator Data</w:t>
      </w:r>
    </w:p>
    <w:p w14:paraId="54A7993F" w14:textId="53398B3E" w:rsidR="006D0DC2" w:rsidRPr="006D0DC2" w:rsidRDefault="006D0DC2" w:rsidP="007E7C94">
      <w:pPr>
        <w:pStyle w:val="Caption"/>
      </w:pPr>
      <w:bookmarkStart w:id="57" w:name="_Hlk121843817"/>
      <w:r w:rsidRPr="007B3230">
        <w:t xml:space="preserve">Indicator </w:t>
      </w:r>
      <w:r w:rsidR="007B3230" w:rsidRPr="007B3230">
        <w:t xml:space="preserve">8 </w:t>
      </w:r>
      <w:r w:rsidRPr="007B3230">
        <w:t>Question</w:t>
      </w:r>
    </w:p>
    <w:tbl>
      <w:tblPr>
        <w:tblStyle w:val="TableGrid"/>
        <w:tblW w:w="10800" w:type="dxa"/>
        <w:tblLook w:val="04A0" w:firstRow="1" w:lastRow="0" w:firstColumn="1" w:lastColumn="0" w:noHBand="0" w:noVBand="1"/>
        <w:tblDescription w:val="Table provides question(s) and answer(s) for this indicator."/>
      </w:tblPr>
      <w:tblGrid>
        <w:gridCol w:w="8324"/>
        <w:gridCol w:w="2476"/>
      </w:tblGrid>
      <w:tr w:rsidR="005C29F8" w:rsidRPr="00781112" w14:paraId="74873645" w14:textId="77777777" w:rsidTr="00211176">
        <w:trPr>
          <w:trHeight w:val="432"/>
          <w:tblHeader/>
        </w:trPr>
        <w:tc>
          <w:tcPr>
            <w:tcW w:w="8324" w:type="dxa"/>
            <w:shd w:val="clear" w:color="auto" w:fill="D9D9D9" w:themeFill="background1" w:themeFillShade="D9"/>
            <w:vAlign w:val="center"/>
          </w:tcPr>
          <w:bookmarkEnd w:id="57"/>
          <w:p w14:paraId="08995901" w14:textId="6A8EBD47" w:rsidR="000B547A" w:rsidRPr="00781112" w:rsidRDefault="002E111A" w:rsidP="00211176">
            <w:pPr>
              <w:spacing w:after="0" w:line="276" w:lineRule="auto"/>
              <w:rPr>
                <w:rFonts w:cs="Arial"/>
                <w:b/>
                <w:bCs/>
                <w:color w:val="000000" w:themeColor="text1"/>
                <w:szCs w:val="16"/>
              </w:rPr>
            </w:pPr>
            <w:r w:rsidRPr="00781112">
              <w:rPr>
                <w:rFonts w:cs="Arial"/>
                <w:b/>
                <w:bCs/>
                <w:color w:val="000000" w:themeColor="text1"/>
                <w:szCs w:val="16"/>
              </w:rPr>
              <w:t>Question</w:t>
            </w:r>
          </w:p>
        </w:tc>
        <w:tc>
          <w:tcPr>
            <w:tcW w:w="2476" w:type="dxa"/>
            <w:shd w:val="clear" w:color="auto" w:fill="D9D9D9" w:themeFill="background1" w:themeFillShade="D9"/>
            <w:vAlign w:val="center"/>
          </w:tcPr>
          <w:p w14:paraId="7DF826E5" w14:textId="55897261" w:rsidR="000B547A" w:rsidRPr="00781112" w:rsidRDefault="000B547A" w:rsidP="00211176">
            <w:pPr>
              <w:spacing w:after="0" w:line="276" w:lineRule="auto"/>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211176">
        <w:trPr>
          <w:trHeight w:val="432"/>
        </w:trPr>
        <w:tc>
          <w:tcPr>
            <w:tcW w:w="8324" w:type="dxa"/>
            <w:vAlign w:val="center"/>
          </w:tcPr>
          <w:p w14:paraId="443084C1" w14:textId="2A55FAF5" w:rsidR="000B547A" w:rsidRPr="00781112" w:rsidRDefault="000B547A" w:rsidP="00211176">
            <w:pPr>
              <w:spacing w:after="0" w:line="276" w:lineRule="auto"/>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vAlign w:val="center"/>
          </w:tcPr>
          <w:p w14:paraId="11B72775" w14:textId="3F895E29" w:rsidR="000B547A" w:rsidRPr="00781112" w:rsidRDefault="002B7490" w:rsidP="00211176">
            <w:pPr>
              <w:spacing w:after="0" w:line="276" w:lineRule="auto"/>
              <w:jc w:val="center"/>
              <w:rPr>
                <w:rFonts w:cs="Arial"/>
                <w:color w:val="000000" w:themeColor="text1"/>
                <w:szCs w:val="16"/>
              </w:rPr>
            </w:pPr>
            <w:r w:rsidRPr="00781112">
              <w:rPr>
                <w:rFonts w:cs="Arial"/>
                <w:color w:val="000000" w:themeColor="text1"/>
                <w:szCs w:val="16"/>
              </w:rPr>
              <w:t>NO</w:t>
            </w:r>
          </w:p>
        </w:tc>
      </w:tr>
    </w:tbl>
    <w:bookmarkEnd w:id="54"/>
    <w:p w14:paraId="4CE8E077" w14:textId="5821141D" w:rsidR="00487CBD" w:rsidRPr="00781112" w:rsidRDefault="00487CBD" w:rsidP="00447D0B">
      <w:pPr>
        <w:pStyle w:val="Heading4"/>
      </w:pPr>
      <w:r w:rsidRPr="00781112">
        <w:t>Targets: Description of Stakeholder Input</w:t>
      </w:r>
    </w:p>
    <w:p w14:paraId="4705EBDF" w14:textId="77777777" w:rsidR="00211176" w:rsidRPr="00533C0E" w:rsidRDefault="00487CBD" w:rsidP="00314F94">
      <w:pPr>
        <w:pStyle w:val="ListParagraph"/>
        <w:numPr>
          <w:ilvl w:val="0"/>
          <w:numId w:val="173"/>
        </w:numPr>
        <w:rPr>
          <w:rFonts w:cs="Arial"/>
          <w:color w:val="000000" w:themeColor="text1"/>
          <w:szCs w:val="16"/>
        </w:rPr>
      </w:pPr>
      <w:r w:rsidRPr="00533C0E">
        <w:rPr>
          <w:rFonts w:cs="Arial"/>
          <w:color w:val="000000" w:themeColor="text1"/>
          <w:szCs w:val="16"/>
        </w:rPr>
        <w:t xml:space="preserve">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w:t>
      </w:r>
      <w:r w:rsidRPr="00533C0E">
        <w:rPr>
          <w:rFonts w:cs="Arial"/>
          <w:color w:val="000000" w:themeColor="text1"/>
          <w:szCs w:val="16"/>
        </w:rPr>
        <w:lastRenderedPageBreak/>
        <w:t>principals, representatives of higher education, assessment specialists, VDOE staff members, and other community members as needed.</w:t>
      </w:r>
    </w:p>
    <w:p w14:paraId="339F3968" w14:textId="505B3251" w:rsidR="008B600B" w:rsidRPr="00781112" w:rsidRDefault="00487CBD" w:rsidP="00016817">
      <w:pPr>
        <w:ind w:left="720"/>
        <w:rPr>
          <w:rFonts w:cs="Arial"/>
          <w:color w:val="000000" w:themeColor="text1"/>
          <w:szCs w:val="16"/>
        </w:rPr>
      </w:pPr>
      <w:r w:rsidRPr="00781112">
        <w:rPr>
          <w:rFonts w:cs="Arial"/>
          <w:color w:val="000000" w:themeColor="text1"/>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39D78FC4" w14:textId="5C39F3D4" w:rsidR="00ED0065" w:rsidRPr="00781112" w:rsidRDefault="00ED0065" w:rsidP="007E7C94">
      <w:pPr>
        <w:pStyle w:val="Caption"/>
      </w:pPr>
      <w:r w:rsidRPr="00781112">
        <w:t>Historical Data</w:t>
      </w:r>
      <w:r w:rsidR="0097256F">
        <w:t xml:space="preserve"> (8)</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607"/>
        <w:gridCol w:w="2608"/>
      </w:tblGrid>
      <w:tr w:rsidR="002E111A" w:rsidRPr="00781112" w14:paraId="4FD416E2" w14:textId="77777777" w:rsidTr="00211176">
        <w:trPr>
          <w:trHeight w:val="432"/>
          <w:tblHeader/>
        </w:trPr>
        <w:tc>
          <w:tcPr>
            <w:tcW w:w="2607" w:type="dxa"/>
            <w:shd w:val="clear" w:color="auto" w:fill="D9D9D9" w:themeFill="background1" w:themeFillShade="D9"/>
            <w:vAlign w:val="center"/>
          </w:tcPr>
          <w:p w14:paraId="30EEE37E" w14:textId="77777777" w:rsidR="002E111A" w:rsidRPr="00781112" w:rsidRDefault="002E111A" w:rsidP="00211176">
            <w:pPr>
              <w:spacing w:after="0" w:line="276" w:lineRule="auto"/>
              <w:jc w:val="center"/>
              <w:rPr>
                <w:b/>
                <w:color w:val="000000" w:themeColor="text1"/>
              </w:rPr>
            </w:pPr>
            <w:r w:rsidRPr="00781112">
              <w:rPr>
                <w:rFonts w:cs="Arial"/>
                <w:b/>
                <w:color w:val="000000" w:themeColor="text1"/>
                <w:szCs w:val="16"/>
              </w:rPr>
              <w:t>Baseline Year</w:t>
            </w:r>
          </w:p>
        </w:tc>
        <w:tc>
          <w:tcPr>
            <w:tcW w:w="2608" w:type="dxa"/>
            <w:shd w:val="clear" w:color="auto" w:fill="D9D9D9" w:themeFill="background1" w:themeFillShade="D9"/>
            <w:vAlign w:val="center"/>
          </w:tcPr>
          <w:p w14:paraId="579A26EC" w14:textId="77777777" w:rsidR="002E111A" w:rsidRPr="00781112" w:rsidRDefault="002E111A" w:rsidP="00211176">
            <w:pPr>
              <w:spacing w:after="0" w:line="276" w:lineRule="auto"/>
              <w:jc w:val="center"/>
              <w:rPr>
                <w:b/>
                <w:color w:val="000000" w:themeColor="text1"/>
              </w:rPr>
            </w:pPr>
            <w:r w:rsidRPr="00781112">
              <w:rPr>
                <w:b/>
                <w:color w:val="000000" w:themeColor="text1"/>
              </w:rPr>
              <w:t>Baseline Data</w:t>
            </w:r>
          </w:p>
        </w:tc>
      </w:tr>
      <w:tr w:rsidR="002E111A" w:rsidRPr="00781112" w14:paraId="7FB18E4F" w14:textId="77777777" w:rsidTr="00211176">
        <w:trPr>
          <w:trHeight w:val="432"/>
        </w:trPr>
        <w:tc>
          <w:tcPr>
            <w:tcW w:w="2607" w:type="dxa"/>
            <w:vAlign w:val="center"/>
          </w:tcPr>
          <w:p w14:paraId="167EAC34" w14:textId="69ED71A1" w:rsidR="002E111A" w:rsidRPr="00781112" w:rsidRDefault="002E111A" w:rsidP="00211176">
            <w:pPr>
              <w:spacing w:after="0" w:line="276" w:lineRule="auto"/>
              <w:jc w:val="center"/>
              <w:rPr>
                <w:bCs/>
                <w:color w:val="000000" w:themeColor="text1"/>
              </w:rPr>
            </w:pPr>
            <w:r w:rsidRPr="00781112">
              <w:rPr>
                <w:bCs/>
                <w:color w:val="000000" w:themeColor="text1"/>
              </w:rPr>
              <w:t>2005</w:t>
            </w:r>
          </w:p>
        </w:tc>
        <w:tc>
          <w:tcPr>
            <w:tcW w:w="2608" w:type="dxa"/>
            <w:vAlign w:val="center"/>
          </w:tcPr>
          <w:p w14:paraId="14A1010A" w14:textId="403EDC7C" w:rsidR="002E111A" w:rsidRPr="00781112" w:rsidRDefault="002E111A" w:rsidP="00211176">
            <w:pPr>
              <w:spacing w:after="0" w:line="276" w:lineRule="auto"/>
              <w:jc w:val="center"/>
              <w:rPr>
                <w:bCs/>
                <w:color w:val="000000" w:themeColor="text1"/>
              </w:rPr>
            </w:pPr>
            <w:r w:rsidRPr="00781112">
              <w:rPr>
                <w:bCs/>
                <w:color w:val="000000" w:themeColor="text1"/>
              </w:rPr>
              <w:t>64.30%</w:t>
            </w:r>
          </w:p>
        </w:tc>
      </w:tr>
    </w:tbl>
    <w:p w14:paraId="62EDE244" w14:textId="626DF70D" w:rsidR="004F0EE5" w:rsidRPr="004F0EE5" w:rsidRDefault="004F0EE5" w:rsidP="007E7C94">
      <w:pPr>
        <w:pStyle w:val="Caption"/>
      </w:pPr>
      <w:r w:rsidRPr="007B3230">
        <w:t>Historical Data (FFY)</w:t>
      </w:r>
      <w:r w:rsidR="0097256F">
        <w:t xml:space="preserve">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615"/>
        <w:gridCol w:w="1835"/>
        <w:gridCol w:w="1835"/>
        <w:gridCol w:w="1835"/>
        <w:gridCol w:w="1835"/>
        <w:gridCol w:w="1835"/>
      </w:tblGrid>
      <w:tr w:rsidR="005C29F8" w:rsidRPr="00781112" w14:paraId="06FA8C8B" w14:textId="77777777" w:rsidTr="00211176">
        <w:trPr>
          <w:trHeight w:val="432"/>
        </w:trPr>
        <w:tc>
          <w:tcPr>
            <w:tcW w:w="748" w:type="pct"/>
            <w:tcBorders>
              <w:bottom w:val="single" w:sz="4" w:space="0" w:color="auto"/>
            </w:tcBorders>
            <w:shd w:val="clear" w:color="auto" w:fill="D9D9D9" w:themeFill="background1" w:themeFillShade="D9"/>
            <w:vAlign w:val="center"/>
          </w:tcPr>
          <w:p w14:paraId="31735078" w14:textId="77777777" w:rsidR="00FB6462" w:rsidRPr="00781112" w:rsidRDefault="00FB6462" w:rsidP="006D0DC2">
            <w:pPr>
              <w:spacing w:after="0"/>
              <w:jc w:val="center"/>
              <w:rPr>
                <w:rFonts w:cs="Arial"/>
                <w:b/>
                <w:color w:val="000000" w:themeColor="text1"/>
                <w:szCs w:val="16"/>
              </w:rPr>
            </w:pPr>
            <w:r w:rsidRPr="00781112">
              <w:rPr>
                <w:rFonts w:cs="Arial"/>
                <w:b/>
                <w:color w:val="000000" w:themeColor="text1"/>
                <w:szCs w:val="16"/>
              </w:rPr>
              <w:t>FFY</w:t>
            </w:r>
          </w:p>
        </w:tc>
        <w:tc>
          <w:tcPr>
            <w:tcW w:w="850" w:type="pct"/>
            <w:shd w:val="clear" w:color="auto" w:fill="D9D9D9" w:themeFill="background1" w:themeFillShade="D9"/>
            <w:vAlign w:val="center"/>
          </w:tcPr>
          <w:p w14:paraId="2FE2E19D" w14:textId="1650DFDD" w:rsidR="00FB6462" w:rsidRPr="00781112" w:rsidRDefault="002B7490" w:rsidP="00211176">
            <w:pPr>
              <w:spacing w:after="0"/>
              <w:jc w:val="center"/>
              <w:rPr>
                <w:rFonts w:cs="Arial"/>
                <w:b/>
                <w:color w:val="000000" w:themeColor="text1"/>
                <w:szCs w:val="16"/>
              </w:rPr>
            </w:pPr>
            <w:r w:rsidRPr="00781112">
              <w:rPr>
                <w:rFonts w:cs="Arial"/>
                <w:b/>
                <w:color w:val="000000" w:themeColor="text1"/>
                <w:szCs w:val="16"/>
              </w:rPr>
              <w:t>2015</w:t>
            </w:r>
          </w:p>
        </w:tc>
        <w:tc>
          <w:tcPr>
            <w:tcW w:w="850" w:type="pct"/>
            <w:shd w:val="clear" w:color="auto" w:fill="D9D9D9" w:themeFill="background1" w:themeFillShade="D9"/>
            <w:vAlign w:val="center"/>
          </w:tcPr>
          <w:p w14:paraId="2DF60B98" w14:textId="1CF7D6BE" w:rsidR="00FB6462" w:rsidRPr="00781112" w:rsidRDefault="002B7490" w:rsidP="00211176">
            <w:pPr>
              <w:keepNext/>
              <w:spacing w:after="0"/>
              <w:jc w:val="center"/>
              <w:rPr>
                <w:rFonts w:cs="Arial"/>
                <w:b/>
                <w:color w:val="000000" w:themeColor="text1"/>
                <w:szCs w:val="16"/>
              </w:rPr>
            </w:pPr>
            <w:r w:rsidRPr="00781112">
              <w:rPr>
                <w:rFonts w:cs="Arial"/>
                <w:b/>
                <w:color w:val="000000" w:themeColor="text1"/>
                <w:szCs w:val="16"/>
              </w:rPr>
              <w:t>2016</w:t>
            </w:r>
          </w:p>
        </w:tc>
        <w:tc>
          <w:tcPr>
            <w:tcW w:w="850" w:type="pct"/>
            <w:shd w:val="clear" w:color="auto" w:fill="D9D9D9" w:themeFill="background1" w:themeFillShade="D9"/>
            <w:vAlign w:val="center"/>
          </w:tcPr>
          <w:p w14:paraId="53278B9A" w14:textId="6050DB27" w:rsidR="00FB6462" w:rsidRPr="00781112" w:rsidRDefault="002B7490" w:rsidP="00211176">
            <w:pPr>
              <w:spacing w:after="0"/>
              <w:jc w:val="center"/>
              <w:rPr>
                <w:rFonts w:cs="Arial"/>
                <w:b/>
                <w:color w:val="000000" w:themeColor="text1"/>
                <w:szCs w:val="16"/>
              </w:rPr>
            </w:pPr>
            <w:r w:rsidRPr="00781112">
              <w:rPr>
                <w:rFonts w:cs="Arial"/>
                <w:b/>
                <w:color w:val="000000" w:themeColor="text1"/>
                <w:szCs w:val="16"/>
              </w:rPr>
              <w:t>2017</w:t>
            </w:r>
          </w:p>
        </w:tc>
        <w:tc>
          <w:tcPr>
            <w:tcW w:w="850" w:type="pct"/>
            <w:shd w:val="clear" w:color="auto" w:fill="D9D9D9" w:themeFill="background1" w:themeFillShade="D9"/>
            <w:vAlign w:val="center"/>
          </w:tcPr>
          <w:p w14:paraId="2F23746E" w14:textId="403244A2" w:rsidR="00FB6462" w:rsidRPr="00781112" w:rsidRDefault="002B7490" w:rsidP="00211176">
            <w:pPr>
              <w:spacing w:after="0"/>
              <w:jc w:val="center"/>
              <w:rPr>
                <w:rFonts w:cs="Arial"/>
                <w:b/>
                <w:color w:val="000000" w:themeColor="text1"/>
                <w:szCs w:val="16"/>
              </w:rPr>
            </w:pPr>
            <w:r w:rsidRPr="00781112">
              <w:rPr>
                <w:rFonts w:cs="Arial"/>
                <w:b/>
                <w:color w:val="000000" w:themeColor="text1"/>
                <w:szCs w:val="16"/>
              </w:rPr>
              <w:t>2018</w:t>
            </w:r>
          </w:p>
        </w:tc>
        <w:tc>
          <w:tcPr>
            <w:tcW w:w="850" w:type="pct"/>
            <w:shd w:val="clear" w:color="auto" w:fill="D9D9D9" w:themeFill="background1" w:themeFillShade="D9"/>
            <w:vAlign w:val="center"/>
          </w:tcPr>
          <w:p w14:paraId="7E365F7F" w14:textId="686F85A1" w:rsidR="00FB6462" w:rsidRPr="00781112" w:rsidRDefault="002B7490" w:rsidP="00211176">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040D0378" w14:textId="77777777" w:rsidTr="00211176">
        <w:trPr>
          <w:trHeight w:val="432"/>
        </w:trPr>
        <w:tc>
          <w:tcPr>
            <w:tcW w:w="748" w:type="pct"/>
            <w:shd w:val="clear" w:color="auto" w:fill="auto"/>
            <w:vAlign w:val="center"/>
          </w:tcPr>
          <w:p w14:paraId="54EE5848" w14:textId="7260CA74" w:rsidR="00FB6462" w:rsidRPr="00781112" w:rsidRDefault="00FB6462" w:rsidP="006D0DC2">
            <w:pPr>
              <w:spacing w:after="0"/>
              <w:jc w:val="center"/>
              <w:rPr>
                <w:rFonts w:cs="Arial"/>
                <w:color w:val="000000" w:themeColor="text1"/>
                <w:szCs w:val="16"/>
              </w:rPr>
            </w:pPr>
            <w:r w:rsidRPr="00781112">
              <w:rPr>
                <w:rFonts w:cs="Arial"/>
                <w:color w:val="000000" w:themeColor="text1"/>
                <w:szCs w:val="16"/>
              </w:rPr>
              <w:t>Target &gt;=</w:t>
            </w:r>
          </w:p>
        </w:tc>
        <w:tc>
          <w:tcPr>
            <w:tcW w:w="850" w:type="pct"/>
            <w:shd w:val="clear" w:color="auto" w:fill="auto"/>
            <w:vAlign w:val="center"/>
          </w:tcPr>
          <w:p w14:paraId="56BDAD4D" w14:textId="1C7EF6C0"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70.00%</w:t>
            </w:r>
          </w:p>
        </w:tc>
        <w:tc>
          <w:tcPr>
            <w:tcW w:w="850" w:type="pct"/>
            <w:shd w:val="clear" w:color="auto" w:fill="auto"/>
            <w:vAlign w:val="center"/>
          </w:tcPr>
          <w:p w14:paraId="45AE596F" w14:textId="6983147C"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72.00%</w:t>
            </w:r>
          </w:p>
        </w:tc>
        <w:tc>
          <w:tcPr>
            <w:tcW w:w="850" w:type="pct"/>
            <w:shd w:val="clear" w:color="auto" w:fill="auto"/>
            <w:vAlign w:val="center"/>
          </w:tcPr>
          <w:p w14:paraId="4CA9D7D5" w14:textId="26724736"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74.00%</w:t>
            </w:r>
          </w:p>
        </w:tc>
        <w:tc>
          <w:tcPr>
            <w:tcW w:w="850" w:type="pct"/>
            <w:shd w:val="clear" w:color="auto" w:fill="auto"/>
            <w:vAlign w:val="center"/>
          </w:tcPr>
          <w:p w14:paraId="2AC9DE6C" w14:textId="662D879E"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76.00%</w:t>
            </w:r>
          </w:p>
        </w:tc>
        <w:tc>
          <w:tcPr>
            <w:tcW w:w="850" w:type="pct"/>
            <w:shd w:val="clear" w:color="auto" w:fill="auto"/>
            <w:vAlign w:val="center"/>
          </w:tcPr>
          <w:p w14:paraId="1D66991F" w14:textId="5308C1A9"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78.00%</w:t>
            </w:r>
          </w:p>
        </w:tc>
      </w:tr>
      <w:tr w:rsidR="005C29F8" w:rsidRPr="00781112" w14:paraId="0983C602" w14:textId="77777777" w:rsidTr="00211176">
        <w:trPr>
          <w:trHeight w:val="432"/>
        </w:trPr>
        <w:tc>
          <w:tcPr>
            <w:tcW w:w="748" w:type="pct"/>
            <w:shd w:val="clear" w:color="auto" w:fill="auto"/>
            <w:vAlign w:val="center"/>
          </w:tcPr>
          <w:p w14:paraId="024AD7D5" w14:textId="77777777" w:rsidR="00FB6462" w:rsidRPr="00781112" w:rsidRDefault="00FB6462" w:rsidP="006D0DC2">
            <w:pPr>
              <w:spacing w:after="0"/>
              <w:jc w:val="center"/>
              <w:rPr>
                <w:rFonts w:cs="Arial"/>
                <w:color w:val="000000" w:themeColor="text1"/>
                <w:szCs w:val="16"/>
              </w:rPr>
            </w:pPr>
            <w:r w:rsidRPr="00781112">
              <w:rPr>
                <w:rFonts w:cs="Arial"/>
                <w:color w:val="000000" w:themeColor="text1"/>
                <w:szCs w:val="16"/>
              </w:rPr>
              <w:t>Data</w:t>
            </w:r>
          </w:p>
        </w:tc>
        <w:tc>
          <w:tcPr>
            <w:tcW w:w="850" w:type="pct"/>
            <w:shd w:val="clear" w:color="auto" w:fill="auto"/>
            <w:vAlign w:val="center"/>
          </w:tcPr>
          <w:p w14:paraId="0C46B390" w14:textId="75A5B1D9"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79.22%</w:t>
            </w:r>
          </w:p>
        </w:tc>
        <w:tc>
          <w:tcPr>
            <w:tcW w:w="850" w:type="pct"/>
            <w:shd w:val="clear" w:color="auto" w:fill="auto"/>
            <w:vAlign w:val="center"/>
          </w:tcPr>
          <w:p w14:paraId="0F636319" w14:textId="7C4BA9E9"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80.28%</w:t>
            </w:r>
          </w:p>
        </w:tc>
        <w:tc>
          <w:tcPr>
            <w:tcW w:w="850" w:type="pct"/>
            <w:tcBorders>
              <w:bottom w:val="single" w:sz="4" w:space="0" w:color="auto"/>
            </w:tcBorders>
            <w:shd w:val="clear" w:color="auto" w:fill="auto"/>
            <w:vAlign w:val="center"/>
          </w:tcPr>
          <w:p w14:paraId="72DD8100" w14:textId="2078A0DC"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85.52%</w:t>
            </w:r>
          </w:p>
        </w:tc>
        <w:tc>
          <w:tcPr>
            <w:tcW w:w="850" w:type="pct"/>
            <w:tcBorders>
              <w:bottom w:val="single" w:sz="4" w:space="0" w:color="auto"/>
            </w:tcBorders>
            <w:shd w:val="clear" w:color="auto" w:fill="auto"/>
            <w:vAlign w:val="center"/>
          </w:tcPr>
          <w:p w14:paraId="36AAC02B" w14:textId="31D6381A"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89.48%</w:t>
            </w:r>
          </w:p>
        </w:tc>
        <w:tc>
          <w:tcPr>
            <w:tcW w:w="850" w:type="pct"/>
            <w:tcBorders>
              <w:bottom w:val="single" w:sz="4" w:space="0" w:color="auto"/>
            </w:tcBorders>
            <w:shd w:val="clear" w:color="auto" w:fill="auto"/>
            <w:vAlign w:val="center"/>
          </w:tcPr>
          <w:p w14:paraId="4F9B07B7" w14:textId="7D67594F"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86.68%</w:t>
            </w:r>
          </w:p>
        </w:tc>
      </w:tr>
    </w:tbl>
    <w:p w14:paraId="1F4FFBFE" w14:textId="579EB1B0" w:rsidR="00FB6462" w:rsidRPr="00781112" w:rsidRDefault="00FB6462" w:rsidP="007E7C94">
      <w:pPr>
        <w:pStyle w:val="Caption"/>
      </w:pPr>
      <w:r w:rsidRPr="00781112">
        <w:t>Targets</w:t>
      </w:r>
      <w:r w:rsidR="0097256F">
        <w:t xml:space="preserve"> (8)</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612"/>
        <w:gridCol w:w="1531"/>
        <w:gridCol w:w="1531"/>
        <w:gridCol w:w="1531"/>
        <w:gridCol w:w="1531"/>
        <w:gridCol w:w="1531"/>
        <w:gridCol w:w="1529"/>
      </w:tblGrid>
      <w:tr w:rsidR="00AD5583" w:rsidRPr="00781112" w14:paraId="77450D85" w14:textId="217C23D8" w:rsidTr="00211176">
        <w:trPr>
          <w:trHeight w:val="432"/>
        </w:trPr>
        <w:tc>
          <w:tcPr>
            <w:tcW w:w="747" w:type="pct"/>
            <w:tcBorders>
              <w:bottom w:val="single" w:sz="4" w:space="0" w:color="auto"/>
            </w:tcBorders>
            <w:shd w:val="clear" w:color="auto" w:fill="D9D9D9" w:themeFill="background1" w:themeFillShade="D9"/>
            <w:vAlign w:val="center"/>
          </w:tcPr>
          <w:p w14:paraId="5A82FAC4" w14:textId="77777777" w:rsidR="00AD5583" w:rsidRPr="003F088A" w:rsidRDefault="00AD5583" w:rsidP="00211176">
            <w:pPr>
              <w:spacing w:after="0"/>
              <w:jc w:val="center"/>
              <w:rPr>
                <w:rFonts w:cs="Arial"/>
                <w:b/>
                <w:color w:val="000000" w:themeColor="text1"/>
                <w:szCs w:val="16"/>
              </w:rPr>
            </w:pPr>
            <w:r w:rsidRPr="003F088A">
              <w:rPr>
                <w:rFonts w:cs="Arial"/>
                <w:b/>
                <w:color w:val="000000" w:themeColor="text1"/>
                <w:szCs w:val="16"/>
              </w:rPr>
              <w:t>FFY</w:t>
            </w:r>
          </w:p>
        </w:tc>
        <w:tc>
          <w:tcPr>
            <w:tcW w:w="709" w:type="pct"/>
            <w:shd w:val="clear" w:color="auto" w:fill="D9D9D9" w:themeFill="background1" w:themeFillShade="D9"/>
            <w:vAlign w:val="center"/>
          </w:tcPr>
          <w:p w14:paraId="6DDB1395" w14:textId="489E70A4" w:rsidR="00AD5583" w:rsidRPr="003F088A" w:rsidRDefault="00AD5583" w:rsidP="00211176">
            <w:pPr>
              <w:spacing w:after="0"/>
              <w:jc w:val="center"/>
              <w:rPr>
                <w:rFonts w:cs="Arial"/>
                <w:b/>
                <w:color w:val="000000" w:themeColor="text1"/>
                <w:szCs w:val="16"/>
              </w:rPr>
            </w:pPr>
            <w:r w:rsidRPr="003F088A">
              <w:rPr>
                <w:rFonts w:cs="Arial"/>
                <w:b/>
                <w:color w:val="000000" w:themeColor="text1"/>
                <w:szCs w:val="16"/>
              </w:rPr>
              <w:t>2020</w:t>
            </w:r>
          </w:p>
        </w:tc>
        <w:tc>
          <w:tcPr>
            <w:tcW w:w="709" w:type="pct"/>
            <w:shd w:val="clear" w:color="auto" w:fill="D9D9D9" w:themeFill="background1" w:themeFillShade="D9"/>
            <w:vAlign w:val="center"/>
          </w:tcPr>
          <w:p w14:paraId="3277D8E8" w14:textId="4A05E6F6" w:rsidR="00AD5583" w:rsidRPr="003F088A" w:rsidRDefault="00AD5583" w:rsidP="00211176">
            <w:pPr>
              <w:spacing w:after="0"/>
              <w:jc w:val="center"/>
              <w:rPr>
                <w:rFonts w:cs="Arial"/>
                <w:b/>
                <w:color w:val="000000" w:themeColor="text1"/>
                <w:szCs w:val="16"/>
              </w:rPr>
            </w:pPr>
            <w:r w:rsidRPr="00781112">
              <w:rPr>
                <w:rFonts w:cs="Arial"/>
                <w:b/>
                <w:color w:val="000000" w:themeColor="text1"/>
                <w:szCs w:val="16"/>
              </w:rPr>
              <w:t>2021</w:t>
            </w:r>
          </w:p>
        </w:tc>
        <w:tc>
          <w:tcPr>
            <w:tcW w:w="709" w:type="pct"/>
            <w:shd w:val="clear" w:color="auto" w:fill="D9D9D9" w:themeFill="background1" w:themeFillShade="D9"/>
            <w:vAlign w:val="center"/>
          </w:tcPr>
          <w:p w14:paraId="3AC9106D" w14:textId="5F7A56D0" w:rsidR="00AD5583" w:rsidRPr="003F088A" w:rsidRDefault="00AD5583" w:rsidP="00211176">
            <w:pPr>
              <w:spacing w:after="0"/>
              <w:jc w:val="center"/>
              <w:rPr>
                <w:rFonts w:cs="Arial"/>
                <w:b/>
                <w:color w:val="000000" w:themeColor="text1"/>
                <w:szCs w:val="16"/>
              </w:rPr>
            </w:pPr>
            <w:r w:rsidRPr="00781112">
              <w:rPr>
                <w:rFonts w:cs="Arial"/>
                <w:b/>
                <w:color w:val="000000" w:themeColor="text1"/>
                <w:szCs w:val="16"/>
              </w:rPr>
              <w:t>2022</w:t>
            </w:r>
          </w:p>
        </w:tc>
        <w:tc>
          <w:tcPr>
            <w:tcW w:w="709" w:type="pct"/>
            <w:shd w:val="clear" w:color="auto" w:fill="D9D9D9" w:themeFill="background1" w:themeFillShade="D9"/>
            <w:vAlign w:val="center"/>
          </w:tcPr>
          <w:p w14:paraId="4E87FEC3" w14:textId="73615588" w:rsidR="00AD5583" w:rsidRPr="003F088A" w:rsidRDefault="00AD5583" w:rsidP="00211176">
            <w:pPr>
              <w:spacing w:after="0"/>
              <w:jc w:val="center"/>
              <w:rPr>
                <w:rFonts w:cs="Arial"/>
                <w:b/>
                <w:color w:val="000000" w:themeColor="text1"/>
                <w:szCs w:val="16"/>
              </w:rPr>
            </w:pPr>
            <w:r w:rsidRPr="00781112">
              <w:rPr>
                <w:rFonts w:cs="Arial"/>
                <w:b/>
                <w:color w:val="000000" w:themeColor="text1"/>
                <w:szCs w:val="16"/>
              </w:rPr>
              <w:t>2023</w:t>
            </w:r>
          </w:p>
        </w:tc>
        <w:tc>
          <w:tcPr>
            <w:tcW w:w="709" w:type="pct"/>
            <w:shd w:val="clear" w:color="auto" w:fill="D9D9D9" w:themeFill="background1" w:themeFillShade="D9"/>
            <w:vAlign w:val="center"/>
          </w:tcPr>
          <w:p w14:paraId="52455E86" w14:textId="781B38CA" w:rsidR="00AD5583" w:rsidRPr="003F088A" w:rsidRDefault="00AD5583" w:rsidP="00211176">
            <w:pPr>
              <w:spacing w:after="0"/>
              <w:jc w:val="center"/>
              <w:rPr>
                <w:rFonts w:cs="Arial"/>
                <w:b/>
                <w:color w:val="000000" w:themeColor="text1"/>
                <w:szCs w:val="16"/>
              </w:rPr>
            </w:pPr>
            <w:r w:rsidRPr="00781112">
              <w:rPr>
                <w:rFonts w:cs="Arial"/>
                <w:b/>
                <w:color w:val="000000" w:themeColor="text1"/>
                <w:szCs w:val="16"/>
              </w:rPr>
              <w:t>2024</w:t>
            </w:r>
          </w:p>
        </w:tc>
        <w:tc>
          <w:tcPr>
            <w:tcW w:w="709" w:type="pct"/>
            <w:shd w:val="clear" w:color="auto" w:fill="D9D9D9" w:themeFill="background1" w:themeFillShade="D9"/>
            <w:vAlign w:val="center"/>
          </w:tcPr>
          <w:p w14:paraId="4A4812CC" w14:textId="475E9D49" w:rsidR="00AD5583" w:rsidRPr="003F088A" w:rsidRDefault="00AD5583" w:rsidP="00211176">
            <w:pPr>
              <w:spacing w:after="0"/>
              <w:jc w:val="center"/>
              <w:rPr>
                <w:rFonts w:cs="Arial"/>
                <w:b/>
                <w:color w:val="000000" w:themeColor="text1"/>
                <w:szCs w:val="16"/>
              </w:rPr>
            </w:pPr>
            <w:r w:rsidRPr="00781112">
              <w:rPr>
                <w:rFonts w:cs="Arial"/>
                <w:b/>
                <w:color w:val="000000" w:themeColor="text1"/>
                <w:szCs w:val="16"/>
              </w:rPr>
              <w:t>2025</w:t>
            </w:r>
          </w:p>
        </w:tc>
      </w:tr>
      <w:tr w:rsidR="00AD5583" w:rsidRPr="00781112" w14:paraId="50A2A35E" w14:textId="13C4D5C2" w:rsidTr="00211176">
        <w:trPr>
          <w:trHeight w:val="432"/>
        </w:trPr>
        <w:tc>
          <w:tcPr>
            <w:tcW w:w="747" w:type="pct"/>
            <w:shd w:val="clear" w:color="auto" w:fill="auto"/>
            <w:vAlign w:val="center"/>
          </w:tcPr>
          <w:p w14:paraId="2F249DEE" w14:textId="4AA3473F" w:rsidR="00AD5583" w:rsidRPr="00781112" w:rsidRDefault="00AD5583" w:rsidP="00211176">
            <w:pPr>
              <w:spacing w:after="0"/>
              <w:rPr>
                <w:rFonts w:cs="Arial"/>
                <w:color w:val="000000" w:themeColor="text1"/>
                <w:szCs w:val="16"/>
              </w:rPr>
            </w:pPr>
            <w:r w:rsidRPr="00781112">
              <w:rPr>
                <w:rFonts w:cs="Arial"/>
                <w:color w:val="000000" w:themeColor="text1"/>
                <w:szCs w:val="16"/>
              </w:rPr>
              <w:t>Target &gt;=</w:t>
            </w:r>
          </w:p>
        </w:tc>
        <w:tc>
          <w:tcPr>
            <w:tcW w:w="709" w:type="pct"/>
            <w:shd w:val="clear" w:color="auto" w:fill="auto"/>
            <w:vAlign w:val="center"/>
          </w:tcPr>
          <w:p w14:paraId="2ACB7B9E" w14:textId="427B5E78" w:rsidR="00AD5583" w:rsidRPr="00781112" w:rsidRDefault="00AD5583" w:rsidP="00211176">
            <w:pPr>
              <w:spacing w:after="0"/>
              <w:jc w:val="center"/>
              <w:rPr>
                <w:rFonts w:cs="Arial"/>
                <w:color w:val="000000" w:themeColor="text1"/>
                <w:szCs w:val="16"/>
              </w:rPr>
            </w:pPr>
            <w:r w:rsidRPr="00781112">
              <w:rPr>
                <w:rFonts w:cs="Arial"/>
                <w:color w:val="000000" w:themeColor="text1"/>
                <w:szCs w:val="16"/>
              </w:rPr>
              <w:t>80.00%</w:t>
            </w:r>
          </w:p>
        </w:tc>
        <w:tc>
          <w:tcPr>
            <w:tcW w:w="709" w:type="pct"/>
            <w:vAlign w:val="center"/>
          </w:tcPr>
          <w:p w14:paraId="01493DF6" w14:textId="39FAD961" w:rsidR="00AD5583" w:rsidRPr="00781112" w:rsidRDefault="00AD5583" w:rsidP="00211176">
            <w:pPr>
              <w:spacing w:after="0"/>
              <w:jc w:val="center"/>
            </w:pPr>
            <w:r w:rsidRPr="00781112">
              <w:rPr>
                <w:color w:val="000000" w:themeColor="text1"/>
                <w:szCs w:val="16"/>
              </w:rPr>
              <w:t>82.00%</w:t>
            </w:r>
          </w:p>
        </w:tc>
        <w:tc>
          <w:tcPr>
            <w:tcW w:w="709" w:type="pct"/>
            <w:vAlign w:val="center"/>
          </w:tcPr>
          <w:p w14:paraId="71DAA89B" w14:textId="5FDD553A" w:rsidR="00AD5583" w:rsidRPr="00781112" w:rsidRDefault="00AD5583" w:rsidP="00211176">
            <w:pPr>
              <w:spacing w:after="0"/>
              <w:jc w:val="center"/>
            </w:pPr>
            <w:r w:rsidRPr="00781112">
              <w:rPr>
                <w:color w:val="000000" w:themeColor="text1"/>
                <w:szCs w:val="16"/>
              </w:rPr>
              <w:t>84.00%</w:t>
            </w:r>
          </w:p>
        </w:tc>
        <w:tc>
          <w:tcPr>
            <w:tcW w:w="709" w:type="pct"/>
            <w:vAlign w:val="center"/>
          </w:tcPr>
          <w:p w14:paraId="6C8342E2" w14:textId="3FBC30A4" w:rsidR="00AD5583" w:rsidRPr="00781112" w:rsidRDefault="00AD5583" w:rsidP="00211176">
            <w:pPr>
              <w:spacing w:after="0"/>
              <w:jc w:val="center"/>
            </w:pPr>
            <w:r w:rsidRPr="00781112">
              <w:rPr>
                <w:color w:val="000000" w:themeColor="text1"/>
                <w:szCs w:val="16"/>
              </w:rPr>
              <w:t>86.00%</w:t>
            </w:r>
          </w:p>
        </w:tc>
        <w:tc>
          <w:tcPr>
            <w:tcW w:w="709" w:type="pct"/>
            <w:vAlign w:val="center"/>
          </w:tcPr>
          <w:p w14:paraId="02A9D828" w14:textId="4D6EC210" w:rsidR="00AD5583" w:rsidRPr="00781112" w:rsidRDefault="00AD5583" w:rsidP="00211176">
            <w:pPr>
              <w:spacing w:after="0"/>
              <w:jc w:val="center"/>
            </w:pPr>
            <w:r w:rsidRPr="00781112">
              <w:rPr>
                <w:color w:val="000000" w:themeColor="text1"/>
                <w:szCs w:val="16"/>
              </w:rPr>
              <w:t>88.00%</w:t>
            </w:r>
          </w:p>
        </w:tc>
        <w:tc>
          <w:tcPr>
            <w:tcW w:w="709" w:type="pct"/>
            <w:vAlign w:val="center"/>
          </w:tcPr>
          <w:p w14:paraId="48D63A57" w14:textId="042E36D7" w:rsidR="00AD5583" w:rsidRPr="00781112" w:rsidRDefault="00AD5583" w:rsidP="00211176">
            <w:pPr>
              <w:spacing w:after="0"/>
              <w:jc w:val="center"/>
            </w:pPr>
            <w:r w:rsidRPr="00781112">
              <w:rPr>
                <w:color w:val="000000" w:themeColor="text1"/>
                <w:szCs w:val="16"/>
              </w:rPr>
              <w:t>90.00%</w:t>
            </w:r>
          </w:p>
        </w:tc>
      </w:tr>
    </w:tbl>
    <w:p w14:paraId="15954908" w14:textId="0FB7EBC6" w:rsidR="00FB6462" w:rsidRPr="00781112" w:rsidRDefault="00F6415A" w:rsidP="007E7C94">
      <w:pPr>
        <w:pStyle w:val="Caption"/>
      </w:pPr>
      <w:r w:rsidRPr="00781112">
        <w:t>FFY 2020 SPP/APR Data</w:t>
      </w:r>
      <w:r w:rsidR="00C578AE">
        <w:t xml:space="preserve"> (8)</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2685"/>
        <w:gridCol w:w="15"/>
        <w:gridCol w:w="1528"/>
        <w:gridCol w:w="1231"/>
        <w:gridCol w:w="1231"/>
        <w:gridCol w:w="1231"/>
        <w:gridCol w:w="1349"/>
        <w:gridCol w:w="1524"/>
      </w:tblGrid>
      <w:tr w:rsidR="005C29F8" w:rsidRPr="00781112" w14:paraId="2A3467FD" w14:textId="77777777" w:rsidTr="00211176">
        <w:trPr>
          <w:trHeight w:val="2978"/>
          <w:tblHeader/>
        </w:trPr>
        <w:tc>
          <w:tcPr>
            <w:tcW w:w="1244" w:type="pct"/>
            <w:shd w:val="clear" w:color="auto" w:fill="D9D9D9" w:themeFill="background1" w:themeFillShade="D9"/>
            <w:vAlign w:val="center"/>
          </w:tcPr>
          <w:p w14:paraId="1B1F6FBB" w14:textId="77777777" w:rsidR="00FB6462" w:rsidRPr="00781112" w:rsidRDefault="00FB6462" w:rsidP="00211176">
            <w:pPr>
              <w:spacing w:after="0"/>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715" w:type="pct"/>
            <w:gridSpan w:val="2"/>
            <w:shd w:val="clear" w:color="auto" w:fill="D9D9D9" w:themeFill="background1" w:themeFillShade="D9"/>
            <w:vAlign w:val="center"/>
          </w:tcPr>
          <w:p w14:paraId="200E18C6" w14:textId="77777777" w:rsidR="00FB6462" w:rsidRPr="00781112" w:rsidRDefault="00FB6462" w:rsidP="00211176">
            <w:pPr>
              <w:spacing w:after="0"/>
              <w:jc w:val="center"/>
              <w:rPr>
                <w:b/>
                <w:color w:val="000000" w:themeColor="text1"/>
              </w:rPr>
            </w:pPr>
            <w:r w:rsidRPr="00781112">
              <w:rPr>
                <w:b/>
                <w:color w:val="000000" w:themeColor="text1"/>
              </w:rPr>
              <w:t>Total number of respondent parents of children with disabilities</w:t>
            </w:r>
          </w:p>
        </w:tc>
        <w:tc>
          <w:tcPr>
            <w:tcW w:w="570" w:type="pct"/>
            <w:shd w:val="clear" w:color="auto" w:fill="D9D9D9" w:themeFill="background1" w:themeFillShade="D9"/>
            <w:vAlign w:val="center"/>
          </w:tcPr>
          <w:p w14:paraId="57D9347A" w14:textId="517F57F6" w:rsidR="00FB6462" w:rsidRPr="00781112" w:rsidRDefault="00F6415A" w:rsidP="00211176">
            <w:pPr>
              <w:spacing w:after="0"/>
              <w:jc w:val="center"/>
              <w:rPr>
                <w:b/>
                <w:color w:val="000000" w:themeColor="text1"/>
              </w:rPr>
            </w:pPr>
            <w:r w:rsidRPr="00781112">
              <w:rPr>
                <w:b/>
                <w:color w:val="000000" w:themeColor="text1"/>
              </w:rPr>
              <w:t>FFY 2019 Data</w:t>
            </w:r>
          </w:p>
        </w:tc>
        <w:tc>
          <w:tcPr>
            <w:tcW w:w="570" w:type="pct"/>
            <w:shd w:val="clear" w:color="auto" w:fill="D9D9D9" w:themeFill="background1" w:themeFillShade="D9"/>
            <w:vAlign w:val="center"/>
          </w:tcPr>
          <w:p w14:paraId="42BF1046" w14:textId="1D5E54D5" w:rsidR="00FB6462" w:rsidRPr="00781112" w:rsidRDefault="00F6415A" w:rsidP="00211176">
            <w:pPr>
              <w:spacing w:after="0"/>
              <w:jc w:val="center"/>
              <w:rPr>
                <w:b/>
                <w:color w:val="000000" w:themeColor="text1"/>
              </w:rPr>
            </w:pPr>
            <w:r w:rsidRPr="00781112">
              <w:rPr>
                <w:b/>
                <w:color w:val="000000" w:themeColor="text1"/>
              </w:rPr>
              <w:t>FFY 2020 Target</w:t>
            </w:r>
          </w:p>
        </w:tc>
        <w:tc>
          <w:tcPr>
            <w:tcW w:w="570" w:type="pct"/>
            <w:shd w:val="clear" w:color="auto" w:fill="D9D9D9" w:themeFill="background1" w:themeFillShade="D9"/>
            <w:vAlign w:val="center"/>
          </w:tcPr>
          <w:p w14:paraId="36E0331C" w14:textId="46E92866" w:rsidR="00FB6462" w:rsidRPr="00781112" w:rsidRDefault="00F6415A" w:rsidP="00211176">
            <w:pPr>
              <w:spacing w:after="0"/>
              <w:jc w:val="center"/>
              <w:rPr>
                <w:b/>
                <w:color w:val="000000" w:themeColor="text1"/>
              </w:rPr>
            </w:pPr>
            <w:r w:rsidRPr="00781112">
              <w:rPr>
                <w:b/>
                <w:color w:val="000000" w:themeColor="text1"/>
              </w:rPr>
              <w:t>FFY 2020 Data</w:t>
            </w:r>
          </w:p>
        </w:tc>
        <w:tc>
          <w:tcPr>
            <w:tcW w:w="625" w:type="pct"/>
            <w:shd w:val="clear" w:color="auto" w:fill="D9D9D9" w:themeFill="background1" w:themeFillShade="D9"/>
            <w:vAlign w:val="center"/>
          </w:tcPr>
          <w:p w14:paraId="52157F4E" w14:textId="77777777" w:rsidR="00FB6462" w:rsidRPr="00781112" w:rsidRDefault="00FB6462" w:rsidP="00211176">
            <w:pPr>
              <w:spacing w:after="0"/>
              <w:jc w:val="center"/>
              <w:rPr>
                <w:b/>
                <w:color w:val="000000" w:themeColor="text1"/>
              </w:rPr>
            </w:pPr>
            <w:r w:rsidRPr="00781112">
              <w:rPr>
                <w:b/>
                <w:color w:val="000000" w:themeColor="text1"/>
              </w:rPr>
              <w:t>Status</w:t>
            </w:r>
          </w:p>
        </w:tc>
        <w:tc>
          <w:tcPr>
            <w:tcW w:w="706" w:type="pct"/>
            <w:shd w:val="clear" w:color="auto" w:fill="D9D9D9" w:themeFill="background1" w:themeFillShade="D9"/>
            <w:vAlign w:val="center"/>
          </w:tcPr>
          <w:p w14:paraId="1DC1ADC7" w14:textId="77777777" w:rsidR="00FB6462" w:rsidRPr="00781112" w:rsidRDefault="00FB6462" w:rsidP="00211176">
            <w:pPr>
              <w:spacing w:after="0"/>
              <w:jc w:val="center"/>
              <w:rPr>
                <w:b/>
                <w:color w:val="000000" w:themeColor="text1"/>
              </w:rPr>
            </w:pPr>
            <w:r w:rsidRPr="00781112">
              <w:rPr>
                <w:b/>
                <w:color w:val="000000" w:themeColor="text1"/>
              </w:rPr>
              <w:t>Slippage</w:t>
            </w:r>
          </w:p>
        </w:tc>
      </w:tr>
      <w:tr w:rsidR="005C29F8" w:rsidRPr="00781112" w14:paraId="4B4B0594" w14:textId="77777777" w:rsidTr="00211176">
        <w:trPr>
          <w:trHeight w:val="557"/>
        </w:trPr>
        <w:tc>
          <w:tcPr>
            <w:tcW w:w="1251" w:type="pct"/>
            <w:gridSpan w:val="2"/>
            <w:shd w:val="clear" w:color="auto" w:fill="auto"/>
            <w:vAlign w:val="center"/>
          </w:tcPr>
          <w:p w14:paraId="0933F330" w14:textId="2423D9E2"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12,951</w:t>
            </w:r>
          </w:p>
        </w:tc>
        <w:tc>
          <w:tcPr>
            <w:tcW w:w="708" w:type="pct"/>
            <w:shd w:val="clear" w:color="auto" w:fill="auto"/>
            <w:vAlign w:val="center"/>
          </w:tcPr>
          <w:p w14:paraId="2905391A" w14:textId="502FBF67"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15,129</w:t>
            </w:r>
          </w:p>
        </w:tc>
        <w:tc>
          <w:tcPr>
            <w:tcW w:w="570" w:type="pct"/>
            <w:shd w:val="clear" w:color="auto" w:fill="auto"/>
            <w:vAlign w:val="center"/>
          </w:tcPr>
          <w:p w14:paraId="486C6AEB" w14:textId="2AC5DAB9"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86.68%</w:t>
            </w:r>
          </w:p>
        </w:tc>
        <w:tc>
          <w:tcPr>
            <w:tcW w:w="570" w:type="pct"/>
            <w:shd w:val="clear" w:color="auto" w:fill="auto"/>
            <w:vAlign w:val="center"/>
          </w:tcPr>
          <w:p w14:paraId="024E965C" w14:textId="65736559"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80.00%</w:t>
            </w:r>
          </w:p>
        </w:tc>
        <w:tc>
          <w:tcPr>
            <w:tcW w:w="570" w:type="pct"/>
            <w:shd w:val="clear" w:color="auto" w:fill="auto"/>
            <w:vAlign w:val="center"/>
          </w:tcPr>
          <w:p w14:paraId="1BEB0ADC" w14:textId="5244B4D7"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85.60%</w:t>
            </w:r>
          </w:p>
        </w:tc>
        <w:tc>
          <w:tcPr>
            <w:tcW w:w="625" w:type="pct"/>
            <w:shd w:val="clear" w:color="auto" w:fill="auto"/>
            <w:vAlign w:val="center"/>
          </w:tcPr>
          <w:p w14:paraId="230C5FAF" w14:textId="6761CD40"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Met target</w:t>
            </w:r>
          </w:p>
        </w:tc>
        <w:tc>
          <w:tcPr>
            <w:tcW w:w="706" w:type="pct"/>
            <w:shd w:val="clear" w:color="auto" w:fill="auto"/>
            <w:vAlign w:val="center"/>
          </w:tcPr>
          <w:p w14:paraId="2CBF8B2D" w14:textId="3929AFC6" w:rsidR="00FB6462" w:rsidRPr="00781112" w:rsidRDefault="002B7490" w:rsidP="00211176">
            <w:pPr>
              <w:spacing w:after="0"/>
              <w:jc w:val="center"/>
              <w:rPr>
                <w:rFonts w:cs="Arial"/>
                <w:color w:val="000000" w:themeColor="text1"/>
                <w:szCs w:val="16"/>
              </w:rPr>
            </w:pPr>
            <w:r w:rsidRPr="00781112">
              <w:rPr>
                <w:rFonts w:cs="Arial"/>
                <w:color w:val="000000" w:themeColor="text1"/>
                <w:szCs w:val="16"/>
              </w:rPr>
              <w:t>No Slippage</w:t>
            </w:r>
          </w:p>
        </w:tc>
      </w:tr>
    </w:tbl>
    <w:p w14:paraId="0DF29C7B" w14:textId="77777777" w:rsidR="00211176" w:rsidRDefault="00211176">
      <w:pPr>
        <w:spacing w:after="200"/>
        <w:rPr>
          <w:rFonts w:cs="Arial"/>
          <w:b/>
          <w:color w:val="000000" w:themeColor="text1"/>
          <w:szCs w:val="16"/>
        </w:rPr>
      </w:pPr>
      <w:r>
        <w:rPr>
          <w:rFonts w:cs="Arial"/>
          <w:b/>
          <w:color w:val="000000" w:themeColor="text1"/>
          <w:szCs w:val="16"/>
        </w:rPr>
        <w:br w:type="page"/>
      </w:r>
    </w:p>
    <w:p w14:paraId="22227E2D" w14:textId="6FDD0AC2" w:rsidR="00FB6462" w:rsidRPr="00781112" w:rsidRDefault="00FB6462" w:rsidP="00211176">
      <w:pPr>
        <w:spacing w:before="240"/>
        <w:rPr>
          <w:rFonts w:cs="Arial"/>
          <w:b/>
          <w:color w:val="000000" w:themeColor="text1"/>
          <w:szCs w:val="16"/>
        </w:rPr>
      </w:pPr>
      <w:r w:rsidRPr="00781112">
        <w:rPr>
          <w:rFonts w:cs="Arial"/>
          <w:b/>
          <w:color w:val="000000" w:themeColor="text1"/>
          <w:szCs w:val="16"/>
        </w:rPr>
        <w:lastRenderedPageBreak/>
        <w:t>Since the State did not report preschool children separately, discuss the procedures used to combine data from school age and preschool surveys in a manner that is valid and reliable.</w:t>
      </w:r>
    </w:p>
    <w:p w14:paraId="7CADFB93" w14:textId="3119FB87" w:rsidR="00230EE6" w:rsidRPr="00533C0E" w:rsidRDefault="00230EE6" w:rsidP="00314F94">
      <w:pPr>
        <w:pStyle w:val="ListParagraph"/>
        <w:numPr>
          <w:ilvl w:val="0"/>
          <w:numId w:val="174"/>
        </w:numPr>
        <w:rPr>
          <w:rFonts w:cs="Arial"/>
          <w:color w:val="000000" w:themeColor="text1"/>
          <w:szCs w:val="16"/>
        </w:rPr>
      </w:pPr>
      <w:r w:rsidRPr="00533C0E">
        <w:rPr>
          <w:rFonts w:cs="Arial"/>
          <w:color w:val="000000" w:themeColor="text1"/>
          <w:szCs w:val="16"/>
        </w:rPr>
        <w:t>For the FFY 2020 data collection, the survey was made available to all parents, including parents of preschool-age children, in both an online format and hard copy format in both English and Spanish versions. Copies of the survey were printed and mailed to local school districts based on the child count (110 percent) by the Virginia Department of Education. Information announcing the distribution of the survey was sent to local special education administrators, members of the State Special Education Advisory Committee (SSEAC), Virginia's Parent Educational Advocacy Training Center (PEATC), and other community stakeholder groups/associations in positions to identify and encourage parents of students with disabilities to complete and return the survey. The results of the survey were combined to include preschool, elementary, middle, and high school for one analysis.</w:t>
      </w:r>
    </w:p>
    <w:p w14:paraId="1367D5CC" w14:textId="3D23966C" w:rsidR="00415FE9" w:rsidRPr="00781112" w:rsidRDefault="00415FE9" w:rsidP="00A22EB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533C0E" w:rsidRDefault="00415FE9" w:rsidP="00314F94">
      <w:pPr>
        <w:pStyle w:val="ListParagraph"/>
        <w:numPr>
          <w:ilvl w:val="0"/>
          <w:numId w:val="175"/>
        </w:numPr>
        <w:rPr>
          <w:rFonts w:cs="Arial"/>
          <w:color w:val="000000" w:themeColor="text1"/>
          <w:szCs w:val="16"/>
        </w:rPr>
      </w:pPr>
      <w:r w:rsidRPr="00533C0E">
        <w:rPr>
          <w:rFonts w:cs="Arial"/>
          <w:color w:val="000000" w:themeColor="text1"/>
          <w:szCs w:val="16"/>
        </w:rPr>
        <w:t>174,605</w:t>
      </w:r>
    </w:p>
    <w:p w14:paraId="37F1825E" w14:textId="77777777" w:rsidR="00415FE9" w:rsidRPr="00781112" w:rsidRDefault="00415FE9" w:rsidP="00A22EB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533C0E" w:rsidRDefault="00415FE9" w:rsidP="00314F94">
      <w:pPr>
        <w:pStyle w:val="ListParagraph"/>
        <w:numPr>
          <w:ilvl w:val="0"/>
          <w:numId w:val="176"/>
        </w:numPr>
        <w:rPr>
          <w:rFonts w:cs="Arial"/>
          <w:color w:val="000000" w:themeColor="text1"/>
          <w:szCs w:val="16"/>
        </w:rPr>
      </w:pPr>
      <w:r w:rsidRPr="00533C0E">
        <w:rPr>
          <w:rFonts w:cs="Arial"/>
          <w:color w:val="000000" w:themeColor="text1"/>
          <w:szCs w:val="16"/>
        </w:rPr>
        <w:t>8.66%</w:t>
      </w:r>
    </w:p>
    <w:p w14:paraId="22944736" w14:textId="66AFBC3B" w:rsidR="00090132" w:rsidRPr="00F737BA" w:rsidRDefault="007B3230" w:rsidP="007E7C94">
      <w:pPr>
        <w:pStyle w:val="Caption"/>
      </w:pPr>
      <w:bookmarkStart w:id="58" w:name="_Hlk121843841"/>
      <w:r>
        <w:t>Indicator 8</w:t>
      </w:r>
      <w:r w:rsidR="0052002E">
        <w:t>:</w:t>
      </w:r>
      <w:r>
        <w:t xml:space="preserve"> </w:t>
      </w:r>
      <w:r w:rsidR="00090132" w:rsidRPr="00F737BA">
        <w:t>Response Rate</w:t>
      </w:r>
    </w:p>
    <w:tbl>
      <w:tblPr>
        <w:tblStyle w:val="TableGrid"/>
        <w:tblW w:w="0" w:type="auto"/>
        <w:tblLook w:val="04A0" w:firstRow="1" w:lastRow="0" w:firstColumn="1" w:lastColumn="0" w:noHBand="0" w:noVBand="1"/>
        <w:tblDescription w:val="Table provides response rates for FFY 2019 and FFY 2020 for this indicator."/>
      </w:tblPr>
      <w:tblGrid>
        <w:gridCol w:w="1885"/>
        <w:gridCol w:w="1618"/>
        <w:gridCol w:w="1619"/>
      </w:tblGrid>
      <w:tr w:rsidR="00090132" w:rsidRPr="00F737BA" w14:paraId="0E1B543B" w14:textId="77777777" w:rsidTr="00211176">
        <w:trPr>
          <w:trHeight w:val="432"/>
        </w:trPr>
        <w:tc>
          <w:tcPr>
            <w:tcW w:w="1885" w:type="dxa"/>
            <w:shd w:val="clear" w:color="auto" w:fill="D9D9D9" w:themeFill="background1" w:themeFillShade="D9"/>
            <w:vAlign w:val="center"/>
          </w:tcPr>
          <w:p w14:paraId="2D7C9FC3" w14:textId="77777777" w:rsidR="00090132" w:rsidRPr="00F737BA" w:rsidRDefault="00090132" w:rsidP="00211176">
            <w:pPr>
              <w:spacing w:after="0" w:line="276" w:lineRule="auto"/>
              <w:jc w:val="center"/>
              <w:rPr>
                <w:rFonts w:cs="Arial"/>
                <w:b/>
                <w:szCs w:val="16"/>
              </w:rPr>
            </w:pPr>
            <w:bookmarkStart w:id="59" w:name="_Hlk79652737"/>
            <w:bookmarkEnd w:id="58"/>
            <w:r w:rsidRPr="00F737BA">
              <w:rPr>
                <w:rFonts w:cs="Arial"/>
                <w:b/>
                <w:szCs w:val="16"/>
              </w:rPr>
              <w:t>FFY</w:t>
            </w:r>
          </w:p>
        </w:tc>
        <w:tc>
          <w:tcPr>
            <w:tcW w:w="1618" w:type="dxa"/>
            <w:shd w:val="clear" w:color="auto" w:fill="D9D9D9" w:themeFill="background1" w:themeFillShade="D9"/>
            <w:vAlign w:val="center"/>
          </w:tcPr>
          <w:p w14:paraId="2109B7B6" w14:textId="77777777" w:rsidR="00090132" w:rsidRPr="004A62FE" w:rsidRDefault="00090132" w:rsidP="00211176">
            <w:pPr>
              <w:spacing w:after="0" w:line="276" w:lineRule="auto"/>
              <w:jc w:val="center"/>
              <w:rPr>
                <w:rFonts w:cs="Arial"/>
                <w:b/>
                <w:szCs w:val="16"/>
              </w:rPr>
            </w:pPr>
            <w:r w:rsidRPr="004A62FE">
              <w:rPr>
                <w:rFonts w:cs="Arial"/>
                <w:b/>
                <w:color w:val="000000" w:themeColor="text1"/>
                <w:szCs w:val="16"/>
              </w:rPr>
              <w:t>2019</w:t>
            </w:r>
          </w:p>
        </w:tc>
        <w:tc>
          <w:tcPr>
            <w:tcW w:w="1619" w:type="dxa"/>
            <w:shd w:val="clear" w:color="auto" w:fill="D9D9D9" w:themeFill="background1" w:themeFillShade="D9"/>
            <w:vAlign w:val="center"/>
          </w:tcPr>
          <w:p w14:paraId="0CD9799E" w14:textId="77777777" w:rsidR="00090132" w:rsidRPr="004A62FE" w:rsidRDefault="00090132" w:rsidP="00211176">
            <w:pPr>
              <w:spacing w:after="0" w:line="276" w:lineRule="auto"/>
              <w:jc w:val="center"/>
              <w:rPr>
                <w:rFonts w:cs="Arial"/>
                <w:b/>
                <w:szCs w:val="16"/>
              </w:rPr>
            </w:pPr>
            <w:r w:rsidRPr="004A62FE">
              <w:rPr>
                <w:rFonts w:cs="Arial"/>
                <w:b/>
                <w:color w:val="000000" w:themeColor="text1"/>
                <w:szCs w:val="16"/>
              </w:rPr>
              <w:t>2020</w:t>
            </w:r>
          </w:p>
        </w:tc>
      </w:tr>
      <w:tr w:rsidR="00090132" w:rsidRPr="00F737BA" w14:paraId="3E600875" w14:textId="77777777" w:rsidTr="00211176">
        <w:trPr>
          <w:trHeight w:val="432"/>
        </w:trPr>
        <w:tc>
          <w:tcPr>
            <w:tcW w:w="1885" w:type="dxa"/>
            <w:vAlign w:val="center"/>
          </w:tcPr>
          <w:p w14:paraId="497B06E4" w14:textId="77777777" w:rsidR="00090132" w:rsidRPr="00F737BA" w:rsidRDefault="00090132" w:rsidP="00211176">
            <w:pPr>
              <w:spacing w:after="0" w:line="276" w:lineRule="auto"/>
              <w:rPr>
                <w:rFonts w:cs="Arial"/>
                <w:szCs w:val="16"/>
              </w:rPr>
            </w:pPr>
            <w:r w:rsidRPr="00F737BA">
              <w:rPr>
                <w:rFonts w:cs="Arial"/>
                <w:szCs w:val="16"/>
              </w:rPr>
              <w:t xml:space="preserve">Response Rate </w:t>
            </w:r>
          </w:p>
        </w:tc>
        <w:tc>
          <w:tcPr>
            <w:tcW w:w="1618" w:type="dxa"/>
            <w:shd w:val="clear" w:color="auto" w:fill="auto"/>
            <w:vAlign w:val="center"/>
          </w:tcPr>
          <w:p w14:paraId="0FC44028" w14:textId="50784D2F" w:rsidR="00090132" w:rsidRPr="004A62FE" w:rsidRDefault="00090132" w:rsidP="00211176">
            <w:pPr>
              <w:spacing w:after="0" w:line="276" w:lineRule="auto"/>
              <w:jc w:val="center"/>
              <w:rPr>
                <w:rFonts w:cs="Arial"/>
                <w:szCs w:val="16"/>
              </w:rPr>
            </w:pPr>
            <w:r w:rsidRPr="004A62FE">
              <w:rPr>
                <w:rFonts w:cs="Arial"/>
                <w:iCs/>
                <w:color w:val="000000" w:themeColor="text1"/>
                <w:szCs w:val="16"/>
              </w:rPr>
              <w:t>5.00%</w:t>
            </w:r>
          </w:p>
        </w:tc>
        <w:tc>
          <w:tcPr>
            <w:tcW w:w="1619" w:type="dxa"/>
            <w:shd w:val="clear" w:color="auto" w:fill="auto"/>
            <w:vAlign w:val="center"/>
          </w:tcPr>
          <w:p w14:paraId="76DE0483" w14:textId="3235EE79" w:rsidR="00090132" w:rsidRPr="004A62FE" w:rsidRDefault="00090132" w:rsidP="00211176">
            <w:pPr>
              <w:spacing w:after="0" w:line="276" w:lineRule="auto"/>
              <w:jc w:val="center"/>
              <w:rPr>
                <w:rFonts w:cs="Arial"/>
                <w:szCs w:val="16"/>
              </w:rPr>
            </w:pPr>
            <w:r w:rsidRPr="00090132">
              <w:rPr>
                <w:rFonts w:cs="Arial"/>
                <w:iCs/>
                <w:color w:val="000000" w:themeColor="text1"/>
                <w:szCs w:val="16"/>
              </w:rPr>
              <w:t>8.66%</w:t>
            </w:r>
          </w:p>
        </w:tc>
      </w:tr>
    </w:tbl>
    <w:bookmarkEnd w:id="59"/>
    <w:p w14:paraId="4BDEC798" w14:textId="77777777" w:rsidR="00090132" w:rsidRPr="0061205F" w:rsidRDefault="00090132" w:rsidP="00211176">
      <w:pPr>
        <w:spacing w:before="240"/>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022A1DB7" w14:textId="77777777" w:rsidR="00211176" w:rsidRPr="00533C0E" w:rsidRDefault="00090132" w:rsidP="00314F94">
      <w:pPr>
        <w:pStyle w:val="ListParagraph"/>
        <w:numPr>
          <w:ilvl w:val="0"/>
          <w:numId w:val="177"/>
        </w:numPr>
        <w:rPr>
          <w:rFonts w:cs="Arial"/>
          <w:bCs/>
          <w:color w:val="000000" w:themeColor="text1"/>
          <w:szCs w:val="16"/>
        </w:rPr>
      </w:pPr>
      <w:r w:rsidRPr="00533C0E">
        <w:rPr>
          <w:rFonts w:cs="Arial"/>
          <w:bCs/>
          <w:color w:val="000000" w:themeColor="text1"/>
          <w:szCs w:val="16"/>
        </w:rPr>
        <w:t xml:space="preserve">The Virginia Department of Education (VDOE) continues to provide broad access to the parent survey. The VDOE has implemented multiple survey dissemination processes and survey awareness-building activities which have increased the response rate year after year, from 5.0 percent in FFY 2019 to 8.7 percent in FFY 2020. To address equitable access to the survey, the online and paper versions of the survey are made available in English and Spanish and distribution of the paper version of the survey by school districts or schools includes a postage-paid return envelope. A QR code for both the English and Spanish versions of the survey was added to all correspondence and documents about the parent survey. Scanning the QR code sent the person scanning the code to the online parent survey that was formatted to be compatible with both computers and mobile devices. The mobile device compatibility provides better access to the survey for a broader group of potential respondents than a survey that is only formatted for access via computer. The VDOE will continue work with our State Special Education Advisory Committee (SSEAC) and Parent Training and Information Center (PTI) as well as the school districts’ Parent Resource Center (PRC) and special education local advisory committees to further ensure that parents of all students with disabilities across all </w:t>
      </w:r>
      <w:r w:rsidRPr="00533C0E">
        <w:rPr>
          <w:rFonts w:cs="Arial"/>
          <w:bCs/>
          <w:color w:val="000000" w:themeColor="text1"/>
          <w:szCs w:val="16"/>
        </w:rPr>
        <w:lastRenderedPageBreak/>
        <w:t>demographic areas not only have access to the survey but are aware of the importance of their feedback to encourage them to complete the survey.</w:t>
      </w:r>
    </w:p>
    <w:p w14:paraId="35FA766A" w14:textId="77777777" w:rsidR="00211176" w:rsidRDefault="00090132" w:rsidP="00016817">
      <w:pPr>
        <w:ind w:left="720"/>
        <w:rPr>
          <w:rFonts w:cs="Arial"/>
          <w:bCs/>
          <w:color w:val="000000" w:themeColor="text1"/>
          <w:szCs w:val="16"/>
        </w:rPr>
      </w:pPr>
      <w:r w:rsidRPr="0061205F">
        <w:rPr>
          <w:rFonts w:cs="Arial"/>
          <w:bCs/>
          <w:color w:val="000000" w:themeColor="text1"/>
          <w:szCs w:val="16"/>
        </w:rPr>
        <w:t xml:space="preserve">To build awareness about the survey and improve both parent response rates and representativeness, VDOE’s Family Engagement Specialist presented information about the parent survey to the Special Education Council, including discussions about ways to improve both response rates and representativeness. The VDOE’s Special Education Council members are special education directors who represent the geographic regions in the Commonwealth. Members are responsible for hosting meetings for all special education directors in their respective regions to distribute information from the VDOE Special Education Council meetings. The VDOE Family Engagement Specialist also presented information about the parent survey to SSEAC and local special education advisory committees, and provided suggestions for ways to improve both response rates and </w:t>
      </w:r>
      <w:proofErr w:type="gramStart"/>
      <w:r w:rsidRPr="0061205F">
        <w:rPr>
          <w:rFonts w:cs="Arial"/>
          <w:bCs/>
          <w:color w:val="000000" w:themeColor="text1"/>
          <w:szCs w:val="16"/>
        </w:rPr>
        <w:t>representativeness,  including</w:t>
      </w:r>
      <w:proofErr w:type="gramEnd"/>
      <w:r w:rsidRPr="0061205F">
        <w:rPr>
          <w:rFonts w:cs="Arial"/>
          <w:bCs/>
          <w:color w:val="000000" w:themeColor="text1"/>
          <w:szCs w:val="16"/>
        </w:rPr>
        <w:t xml:space="preserve"> suggesting that school districts post the survey information and link on the districts’ websites and/or email the survey link to all parents of their students with disabilities. In addition, VDOE’s Family Engagement Specialist provided to the Family Engagement Network (FEN), composed of 40 members from various community organizations, a recorded training session including a script that FEN members could utilize to train families in their region of the State about the parent survey.</w:t>
      </w:r>
    </w:p>
    <w:p w14:paraId="3C9BE65D" w14:textId="74B745B7" w:rsidR="00090132" w:rsidRPr="000A2B9F" w:rsidRDefault="00090132" w:rsidP="00016817">
      <w:pPr>
        <w:ind w:left="720"/>
        <w:rPr>
          <w:rFonts w:cs="Arial"/>
          <w:bCs/>
          <w:color w:val="000000" w:themeColor="text1"/>
          <w:szCs w:val="16"/>
        </w:rPr>
      </w:pPr>
      <w:r w:rsidRPr="0061205F">
        <w:rPr>
          <w:rFonts w:cs="Arial"/>
          <w:bCs/>
          <w:color w:val="000000" w:themeColor="text1"/>
          <w:szCs w:val="16"/>
        </w:rPr>
        <w:t>The VDOE added a downloadable one-page document about the survey and the direct links to the English and Spanish online versions of the parent survey on the State website from July through early January. Information about the parent survey was also posted to the internal message board in the statewide IEP/special education data system that is used by over 50,000 special education and related services personnel in 110 of the 132 school divisions in Virginia plus the Virginia School for Deaf and Blind (VSDB), Department if Juvenile Justice (DJJ), and State Operated Programs.</w:t>
      </w:r>
    </w:p>
    <w:p w14:paraId="43E156F3" w14:textId="001639B3" w:rsidR="00090132" w:rsidRDefault="00090132" w:rsidP="00A22EB9">
      <w:pPr>
        <w:rPr>
          <w:rFonts w:cs="Arial"/>
          <w:b/>
          <w:color w:val="000000" w:themeColor="text1"/>
          <w:szCs w:val="16"/>
        </w:rPr>
      </w:pPr>
      <w:r w:rsidRPr="0061205F">
        <w:rPr>
          <w:rFonts w:cs="Arial"/>
          <w:b/>
          <w:color w:val="000000" w:themeColor="text1"/>
          <w:szCs w:val="16"/>
        </w:rPr>
        <w:t xml:space="preserve">Describe the analysis </w:t>
      </w:r>
      <w:bookmarkStart w:id="60" w:name="_Hlk81486999"/>
      <w:r w:rsidRPr="0061205F">
        <w:rPr>
          <w:rFonts w:cs="Arial"/>
          <w:b/>
          <w:color w:val="000000" w:themeColor="text1"/>
          <w:szCs w:val="16"/>
        </w:rPr>
        <w:t>of the response rate including any nonresponse bias that was identified,</w:t>
      </w:r>
      <w:bookmarkEnd w:id="60"/>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736D592E" w14:textId="77777777" w:rsidR="00211176" w:rsidRPr="00533C0E" w:rsidRDefault="00090132" w:rsidP="00314F94">
      <w:pPr>
        <w:pStyle w:val="ListParagraph"/>
        <w:numPr>
          <w:ilvl w:val="0"/>
          <w:numId w:val="178"/>
        </w:numPr>
        <w:rPr>
          <w:rFonts w:cs="Arial"/>
          <w:szCs w:val="16"/>
        </w:rPr>
      </w:pPr>
      <w:r w:rsidRPr="00533C0E">
        <w:rPr>
          <w:rFonts w:cs="Arial"/>
          <w:szCs w:val="16"/>
        </w:rPr>
        <w:t>The response rate was analyzed for unit nonresponse bias by comparing the survey results to the known population parameters. More specifically, this analysis was completed by comparing the race/ethnicity and primary disability category representation of FFY 2020 parent survey responses to the race/ethnicity and primary disability category makeup of the state population of all children with disabilities from the VDOE school year 2020-2021 IDEA child count.</w:t>
      </w:r>
    </w:p>
    <w:p w14:paraId="66A928D4" w14:textId="77777777" w:rsidR="00211176" w:rsidRDefault="00090132" w:rsidP="00016817">
      <w:pPr>
        <w:ind w:left="720"/>
        <w:rPr>
          <w:rFonts w:cs="Arial"/>
          <w:szCs w:val="16"/>
        </w:rPr>
      </w:pPr>
      <w:r>
        <w:rPr>
          <w:rFonts w:cs="Arial"/>
          <w:szCs w:val="16"/>
        </w:rPr>
        <w:t>Based on the seven race/ethnicity categories used to report IDEA data, three of the seven categories (American Indian/Alaska Native, Asian, and Native Hawaiian/Pacific Islander) for survey respondents were within the +/- 3 percentage points of the proportion of the state population of children in those three race/ethnicity categories who are receiving special education services. The two or more races and White race/ethnicity categories were overrepresented by 5.42 and 9.70 percentage points, respectively. The Black and Hispanic or Latino race/ethnicity categories were underrepresented by 10.41 and 7.83 percentage points, respectively.</w:t>
      </w:r>
    </w:p>
    <w:p w14:paraId="157E487F" w14:textId="77777777" w:rsidR="00211176" w:rsidRDefault="00090132" w:rsidP="00016817">
      <w:pPr>
        <w:ind w:left="720"/>
        <w:rPr>
          <w:rFonts w:cs="Arial"/>
          <w:szCs w:val="16"/>
        </w:rPr>
      </w:pPr>
      <w:r>
        <w:rPr>
          <w:rFonts w:cs="Arial"/>
          <w:szCs w:val="16"/>
        </w:rPr>
        <w:lastRenderedPageBreak/>
        <w:t>Based on the 13 disability categories used to report IDEA data, 9 of the 13 categories for survey respondents were within the +/- 3 percentage points of the proportion of the state population of children in those 9 disability categories who are receiving special education services (Deaf-Blindness, Developmental Delay, Emotional Disability, Hearing Impaired, Intellectual Disability, Orthopedic Impairment, Speech/Language Impairment, Traumatic Brain Injury, and Vision Impairment). The Autism and Multiple Disabilities categories were overrepresented by 5.60 and 15.56 percentage points, respectively. The Other Health Impairment and Specific Learning Disability categories were underrepresented by 12.33 and 9.97 percentage points, respectively.</w:t>
      </w:r>
    </w:p>
    <w:p w14:paraId="3323D00C" w14:textId="77777777" w:rsidR="00211176" w:rsidRPr="007B3230" w:rsidRDefault="00090132" w:rsidP="00016817">
      <w:pPr>
        <w:ind w:left="720"/>
        <w:rPr>
          <w:rFonts w:cs="Arial"/>
          <w:szCs w:val="16"/>
        </w:rPr>
      </w:pPr>
      <w:r>
        <w:rPr>
          <w:rFonts w:cs="Arial"/>
          <w:szCs w:val="16"/>
        </w:rPr>
        <w:t xml:space="preserve">The VDOE took multiple steps to reduce identified nonresponse bias and promote response from a </w:t>
      </w:r>
      <w:r w:rsidRPr="007B3230">
        <w:rPr>
          <w:rFonts w:cs="Arial"/>
          <w:szCs w:val="16"/>
        </w:rPr>
        <w:t>broad cross section of parents of children with disabilities. To build awareness about the parent survey and improve parent response rate, VDOE’s Family Engagement Specialist presented information about the parent survey to the Special Education Council, including discussions about ways to improve the response rates of parents of children in the underrepresented demographic groups. The VDOE Family Engagement Specialist also presented information about the parent survey to SSEAC and local special education advisory committees, providing suggestions for ways to improve both response rates and representativeness, including suggesting that school districts post the survey information and link on the districts’ websites and/or email the survey link to all parents of their students with disabilities.</w:t>
      </w:r>
    </w:p>
    <w:p w14:paraId="78A83A27" w14:textId="6244D4F2" w:rsidR="001F448F" w:rsidRPr="007B3230" w:rsidRDefault="00090132" w:rsidP="00016817">
      <w:pPr>
        <w:ind w:left="720"/>
        <w:rPr>
          <w:rFonts w:cs="Arial"/>
          <w:b/>
          <w:color w:val="000000" w:themeColor="text1"/>
          <w:szCs w:val="16"/>
        </w:rPr>
      </w:pPr>
      <w:r w:rsidRPr="007B3230">
        <w:rPr>
          <w:rFonts w:cs="Arial"/>
          <w:szCs w:val="16"/>
        </w:rPr>
        <w:t>In FFY 2021, VDOE is focusing on reducing nonresponse bias by reducing the non-response rate (91.3%).</w:t>
      </w:r>
    </w:p>
    <w:p w14:paraId="77A66173" w14:textId="77777777" w:rsidR="00016817" w:rsidRDefault="00F4021E" w:rsidP="00016817">
      <w:pPr>
        <w:rPr>
          <w:b/>
          <w:bCs/>
        </w:rPr>
      </w:pPr>
      <w:r w:rsidRPr="007B3230">
        <w:rPr>
          <w:b/>
          <w:bCs/>
        </w:rPr>
        <w:t xml:space="preserve">Include in the State’s analysis the extent to which the demographics of the children for whom parents responded are representative of the demographics of children receiving special education services. </w:t>
      </w:r>
      <w:r w:rsidR="009B0EF0" w:rsidRPr="007B3230">
        <w:rPr>
          <w:b/>
          <w:bCs/>
        </w:rPr>
        <w:t>States should consider categories such as race/ethnicity, age of student, disability category, and geographic location in the State.</w:t>
      </w:r>
    </w:p>
    <w:p w14:paraId="625A3636" w14:textId="4DBD710A" w:rsidR="00211176" w:rsidRPr="00533C0E" w:rsidRDefault="00090132" w:rsidP="00314F94">
      <w:pPr>
        <w:pStyle w:val="ListParagraph"/>
        <w:numPr>
          <w:ilvl w:val="0"/>
          <w:numId w:val="179"/>
        </w:numPr>
        <w:rPr>
          <w:b/>
          <w:bCs/>
        </w:rPr>
      </w:pPr>
      <w:r w:rsidRPr="00533C0E">
        <w:rPr>
          <w:bCs/>
          <w:color w:val="000000" w:themeColor="text1"/>
        </w:rPr>
        <w:t>The table below shows the counts and percentages for the two demographic categories that VDOE used in analyzing the percentage point differences between the VDOE child count data and the parent survey responses. The VDOE considered parent survey responses to be representative of the demographics of children receiving special education services if the difference between the percentages by each race/ethnicity category and primary disability category are within +/- 3 percentage points. Three of the seven race/ethnicity categories and nine of the thirteen disability categories were found to be representative of the demographics of children receiving special education services.</w:t>
      </w:r>
    </w:p>
    <w:p w14:paraId="72892A44" w14:textId="7D43416E" w:rsidR="00BE0DB6" w:rsidRPr="007B3230" w:rsidRDefault="007C4549" w:rsidP="007E7C94">
      <w:pPr>
        <w:pStyle w:val="Caption"/>
      </w:pPr>
      <w:bookmarkStart w:id="61" w:name="_Hlk121843865"/>
      <w:r w:rsidRPr="007B3230">
        <w:t>VDOE Child Count Data and Parent Survey Responses (Race/Ethnicity)</w:t>
      </w:r>
    </w:p>
    <w:tbl>
      <w:tblPr>
        <w:tblStyle w:val="TableGrid"/>
        <w:tblW w:w="10795" w:type="dxa"/>
        <w:tblLook w:val="04A0" w:firstRow="1" w:lastRow="0" w:firstColumn="1" w:lastColumn="0" w:noHBand="0" w:noVBand="1"/>
        <w:tblDescription w:val="Table provides Child Count total and percentages, survey responses and percentages, and percentage point differences by race/ethnicity for this indicator."/>
      </w:tblPr>
      <w:tblGrid>
        <w:gridCol w:w="2965"/>
        <w:gridCol w:w="1530"/>
        <w:gridCol w:w="1590"/>
        <w:gridCol w:w="1497"/>
        <w:gridCol w:w="1606"/>
        <w:gridCol w:w="1607"/>
      </w:tblGrid>
      <w:tr w:rsidR="00BE0DB6" w:rsidRPr="007B3230" w14:paraId="79BD07D7" w14:textId="77777777" w:rsidTr="00BE0DB6">
        <w:trPr>
          <w:trHeight w:val="432"/>
          <w:tblHeader/>
        </w:trPr>
        <w:tc>
          <w:tcPr>
            <w:tcW w:w="2965" w:type="dxa"/>
            <w:shd w:val="clear" w:color="auto" w:fill="D9D9D9" w:themeFill="background1" w:themeFillShade="D9"/>
            <w:vAlign w:val="center"/>
          </w:tcPr>
          <w:bookmarkEnd w:id="61"/>
          <w:p w14:paraId="192D2F8A" w14:textId="77777777" w:rsidR="00BE0DB6" w:rsidRPr="007B3230" w:rsidRDefault="00BE0DB6" w:rsidP="00BE0DB6">
            <w:pPr>
              <w:spacing w:after="0" w:line="276" w:lineRule="auto"/>
              <w:jc w:val="center"/>
              <w:rPr>
                <w:b/>
                <w:bCs/>
              </w:rPr>
            </w:pPr>
            <w:r w:rsidRPr="007B3230">
              <w:rPr>
                <w:b/>
                <w:bCs/>
              </w:rPr>
              <w:t>Race/Ethnicity</w:t>
            </w:r>
          </w:p>
        </w:tc>
        <w:tc>
          <w:tcPr>
            <w:tcW w:w="1530" w:type="dxa"/>
            <w:shd w:val="clear" w:color="auto" w:fill="D9D9D9" w:themeFill="background1" w:themeFillShade="D9"/>
            <w:vAlign w:val="center"/>
          </w:tcPr>
          <w:p w14:paraId="75857C66" w14:textId="77777777" w:rsidR="00BE0DB6" w:rsidRPr="007B3230" w:rsidRDefault="00BE0DB6" w:rsidP="00BE0DB6">
            <w:pPr>
              <w:spacing w:after="0" w:line="276" w:lineRule="auto"/>
              <w:ind w:left="-104" w:right="-105"/>
              <w:jc w:val="center"/>
              <w:rPr>
                <w:b/>
                <w:bCs/>
              </w:rPr>
            </w:pPr>
            <w:r w:rsidRPr="007B3230">
              <w:rPr>
                <w:b/>
                <w:bCs/>
              </w:rPr>
              <w:t>Child Count Total</w:t>
            </w:r>
          </w:p>
        </w:tc>
        <w:tc>
          <w:tcPr>
            <w:tcW w:w="1590" w:type="dxa"/>
            <w:shd w:val="clear" w:color="auto" w:fill="D9D9D9" w:themeFill="background1" w:themeFillShade="D9"/>
            <w:vAlign w:val="center"/>
          </w:tcPr>
          <w:p w14:paraId="1D0248E5" w14:textId="77777777" w:rsidR="00BE0DB6" w:rsidRPr="007B3230" w:rsidRDefault="00BE0DB6" w:rsidP="00BE0DB6">
            <w:pPr>
              <w:spacing w:after="0" w:line="276" w:lineRule="auto"/>
              <w:jc w:val="center"/>
              <w:rPr>
                <w:b/>
                <w:bCs/>
              </w:rPr>
            </w:pPr>
            <w:r w:rsidRPr="007B3230">
              <w:rPr>
                <w:b/>
                <w:bCs/>
              </w:rPr>
              <w:t>Percentage</w:t>
            </w:r>
          </w:p>
        </w:tc>
        <w:tc>
          <w:tcPr>
            <w:tcW w:w="1497" w:type="dxa"/>
            <w:shd w:val="clear" w:color="auto" w:fill="D9D9D9" w:themeFill="background1" w:themeFillShade="D9"/>
            <w:vAlign w:val="center"/>
          </w:tcPr>
          <w:p w14:paraId="7BB34C22" w14:textId="77777777" w:rsidR="00BE0DB6" w:rsidRPr="007B3230" w:rsidRDefault="00BE0DB6" w:rsidP="00BE0DB6">
            <w:pPr>
              <w:spacing w:after="0" w:line="276" w:lineRule="auto"/>
              <w:jc w:val="center"/>
              <w:rPr>
                <w:b/>
                <w:bCs/>
              </w:rPr>
            </w:pPr>
            <w:r w:rsidRPr="007B3230">
              <w:rPr>
                <w:b/>
                <w:bCs/>
              </w:rPr>
              <w:t>Survey Responses</w:t>
            </w:r>
          </w:p>
        </w:tc>
        <w:tc>
          <w:tcPr>
            <w:tcW w:w="1606" w:type="dxa"/>
            <w:shd w:val="clear" w:color="auto" w:fill="D9D9D9" w:themeFill="background1" w:themeFillShade="D9"/>
            <w:vAlign w:val="center"/>
          </w:tcPr>
          <w:p w14:paraId="287CB77A" w14:textId="77777777" w:rsidR="00BE0DB6" w:rsidRPr="007B3230" w:rsidRDefault="00BE0DB6" w:rsidP="00BE0DB6">
            <w:pPr>
              <w:spacing w:after="0" w:line="276" w:lineRule="auto"/>
              <w:jc w:val="center"/>
              <w:rPr>
                <w:b/>
                <w:bCs/>
              </w:rPr>
            </w:pPr>
            <w:r w:rsidRPr="007B3230">
              <w:rPr>
                <w:b/>
                <w:bCs/>
              </w:rPr>
              <w:t>Percentage</w:t>
            </w:r>
          </w:p>
        </w:tc>
        <w:tc>
          <w:tcPr>
            <w:tcW w:w="1607" w:type="dxa"/>
            <w:shd w:val="clear" w:color="auto" w:fill="D9D9D9" w:themeFill="background1" w:themeFillShade="D9"/>
            <w:vAlign w:val="center"/>
          </w:tcPr>
          <w:p w14:paraId="5397985D" w14:textId="77777777" w:rsidR="00BE0DB6" w:rsidRPr="007B3230" w:rsidRDefault="00BE0DB6" w:rsidP="00BE0DB6">
            <w:pPr>
              <w:spacing w:after="0" w:line="276" w:lineRule="auto"/>
              <w:jc w:val="center"/>
              <w:rPr>
                <w:b/>
                <w:bCs/>
              </w:rPr>
            </w:pPr>
            <w:r w:rsidRPr="007B3230">
              <w:rPr>
                <w:b/>
                <w:bCs/>
              </w:rPr>
              <w:t>Percentage Point Difference</w:t>
            </w:r>
          </w:p>
        </w:tc>
      </w:tr>
      <w:tr w:rsidR="00BE0DB6" w:rsidRPr="007B3230" w14:paraId="386D030E" w14:textId="77777777" w:rsidTr="00BE0DB6">
        <w:trPr>
          <w:trHeight w:val="432"/>
        </w:trPr>
        <w:tc>
          <w:tcPr>
            <w:tcW w:w="2965" w:type="dxa"/>
            <w:vAlign w:val="center"/>
          </w:tcPr>
          <w:p w14:paraId="63E2BE10" w14:textId="77777777" w:rsidR="00BE0DB6" w:rsidRPr="007B3230" w:rsidRDefault="00BE0DB6" w:rsidP="00BE0DB6">
            <w:pPr>
              <w:spacing w:after="0" w:line="276" w:lineRule="auto"/>
            </w:pPr>
            <w:r w:rsidRPr="007B3230">
              <w:t>American Indian</w:t>
            </w:r>
          </w:p>
        </w:tc>
        <w:tc>
          <w:tcPr>
            <w:tcW w:w="1530" w:type="dxa"/>
            <w:vAlign w:val="center"/>
          </w:tcPr>
          <w:p w14:paraId="0CA24881" w14:textId="77777777" w:rsidR="00BE0DB6" w:rsidRPr="007B3230" w:rsidRDefault="00BE0DB6" w:rsidP="00BE0DB6">
            <w:pPr>
              <w:spacing w:after="0" w:line="276" w:lineRule="auto"/>
              <w:ind w:left="-104" w:right="-105"/>
              <w:jc w:val="center"/>
            </w:pPr>
            <w:r w:rsidRPr="007B3230">
              <w:t>525</w:t>
            </w:r>
          </w:p>
        </w:tc>
        <w:tc>
          <w:tcPr>
            <w:tcW w:w="1590" w:type="dxa"/>
            <w:vAlign w:val="center"/>
          </w:tcPr>
          <w:p w14:paraId="48C4246D" w14:textId="77777777" w:rsidR="00BE0DB6" w:rsidRPr="007B3230" w:rsidRDefault="00BE0DB6" w:rsidP="00BE0DB6">
            <w:pPr>
              <w:spacing w:after="0" w:line="276" w:lineRule="auto"/>
              <w:jc w:val="center"/>
            </w:pPr>
            <w:r w:rsidRPr="007B3230">
              <w:t>0.30%</w:t>
            </w:r>
          </w:p>
        </w:tc>
        <w:tc>
          <w:tcPr>
            <w:tcW w:w="1497" w:type="dxa"/>
            <w:vAlign w:val="center"/>
          </w:tcPr>
          <w:p w14:paraId="27B63FD8" w14:textId="77777777" w:rsidR="00BE0DB6" w:rsidRPr="007B3230" w:rsidRDefault="00BE0DB6" w:rsidP="00BE0DB6">
            <w:pPr>
              <w:spacing w:after="0" w:line="276" w:lineRule="auto"/>
              <w:jc w:val="center"/>
            </w:pPr>
            <w:r w:rsidRPr="007B3230">
              <w:t>46</w:t>
            </w:r>
          </w:p>
        </w:tc>
        <w:tc>
          <w:tcPr>
            <w:tcW w:w="1606" w:type="dxa"/>
            <w:vAlign w:val="center"/>
          </w:tcPr>
          <w:p w14:paraId="15BBF792" w14:textId="77777777" w:rsidR="00BE0DB6" w:rsidRPr="007B3230" w:rsidRDefault="00BE0DB6" w:rsidP="00BE0DB6">
            <w:pPr>
              <w:spacing w:after="0" w:line="276" w:lineRule="auto"/>
              <w:jc w:val="center"/>
            </w:pPr>
            <w:r w:rsidRPr="007B3230">
              <w:t>0.70%</w:t>
            </w:r>
          </w:p>
        </w:tc>
        <w:tc>
          <w:tcPr>
            <w:tcW w:w="1607" w:type="dxa"/>
            <w:vAlign w:val="center"/>
          </w:tcPr>
          <w:p w14:paraId="6715550F" w14:textId="77777777" w:rsidR="00BE0DB6" w:rsidRPr="007B3230" w:rsidRDefault="00BE0DB6" w:rsidP="00BE0DB6">
            <w:pPr>
              <w:spacing w:after="0" w:line="276" w:lineRule="auto"/>
              <w:jc w:val="center"/>
            </w:pPr>
            <w:r w:rsidRPr="007B3230">
              <w:t>0.20</w:t>
            </w:r>
          </w:p>
        </w:tc>
      </w:tr>
      <w:tr w:rsidR="00BE0DB6" w:rsidRPr="007B3230" w14:paraId="694A7359" w14:textId="77777777" w:rsidTr="00BE0DB6">
        <w:trPr>
          <w:trHeight w:val="432"/>
        </w:trPr>
        <w:tc>
          <w:tcPr>
            <w:tcW w:w="2965" w:type="dxa"/>
            <w:vAlign w:val="center"/>
          </w:tcPr>
          <w:p w14:paraId="491B0B6C" w14:textId="77777777" w:rsidR="00BE0DB6" w:rsidRPr="007B3230" w:rsidRDefault="00BE0DB6" w:rsidP="00BE0DB6">
            <w:pPr>
              <w:spacing w:after="0" w:line="276" w:lineRule="auto"/>
            </w:pPr>
            <w:r w:rsidRPr="007B3230">
              <w:lastRenderedPageBreak/>
              <w:t>Asian</w:t>
            </w:r>
          </w:p>
        </w:tc>
        <w:tc>
          <w:tcPr>
            <w:tcW w:w="1530" w:type="dxa"/>
            <w:vAlign w:val="center"/>
          </w:tcPr>
          <w:p w14:paraId="2D92182F" w14:textId="77777777" w:rsidR="00BE0DB6" w:rsidRPr="007B3230" w:rsidRDefault="00BE0DB6" w:rsidP="00BE0DB6">
            <w:pPr>
              <w:spacing w:after="0" w:line="276" w:lineRule="auto"/>
              <w:ind w:left="-104" w:right="-105"/>
              <w:jc w:val="center"/>
            </w:pPr>
            <w:r w:rsidRPr="007B3230">
              <w:t>6,655</w:t>
            </w:r>
          </w:p>
        </w:tc>
        <w:tc>
          <w:tcPr>
            <w:tcW w:w="1590" w:type="dxa"/>
            <w:vAlign w:val="center"/>
          </w:tcPr>
          <w:p w14:paraId="58B696C5" w14:textId="77777777" w:rsidR="00BE0DB6" w:rsidRPr="007B3230" w:rsidRDefault="00BE0DB6" w:rsidP="00BE0DB6">
            <w:pPr>
              <w:spacing w:after="0" w:line="276" w:lineRule="auto"/>
              <w:jc w:val="center"/>
            </w:pPr>
            <w:r w:rsidRPr="007B3230">
              <w:t>3.81%</w:t>
            </w:r>
          </w:p>
        </w:tc>
        <w:tc>
          <w:tcPr>
            <w:tcW w:w="1497" w:type="dxa"/>
            <w:vAlign w:val="center"/>
          </w:tcPr>
          <w:p w14:paraId="6FC2D948" w14:textId="77777777" w:rsidR="00BE0DB6" w:rsidRPr="007B3230" w:rsidRDefault="00BE0DB6" w:rsidP="00BE0DB6">
            <w:pPr>
              <w:spacing w:after="0" w:line="276" w:lineRule="auto"/>
              <w:jc w:val="center"/>
            </w:pPr>
            <w:r w:rsidRPr="007B3230">
              <w:t>181</w:t>
            </w:r>
          </w:p>
        </w:tc>
        <w:tc>
          <w:tcPr>
            <w:tcW w:w="1606" w:type="dxa"/>
            <w:vAlign w:val="center"/>
          </w:tcPr>
          <w:p w14:paraId="21169791" w14:textId="77777777" w:rsidR="00BE0DB6" w:rsidRPr="007B3230" w:rsidRDefault="00BE0DB6" w:rsidP="00BE0DB6">
            <w:pPr>
              <w:spacing w:after="0" w:line="276" w:lineRule="auto"/>
              <w:jc w:val="center"/>
            </w:pPr>
            <w:r w:rsidRPr="007B3230">
              <w:t>2.76%</w:t>
            </w:r>
          </w:p>
        </w:tc>
        <w:tc>
          <w:tcPr>
            <w:tcW w:w="1607" w:type="dxa"/>
            <w:vAlign w:val="center"/>
          </w:tcPr>
          <w:p w14:paraId="7AC16B9E" w14:textId="77777777" w:rsidR="00BE0DB6" w:rsidRPr="007B3230" w:rsidRDefault="00BE0DB6" w:rsidP="00BE0DB6">
            <w:pPr>
              <w:spacing w:after="0" w:line="276" w:lineRule="auto"/>
              <w:jc w:val="center"/>
            </w:pPr>
            <w:r w:rsidRPr="007B3230">
              <w:t>1.22</w:t>
            </w:r>
          </w:p>
        </w:tc>
      </w:tr>
      <w:tr w:rsidR="00BE0DB6" w:rsidRPr="007B3230" w14:paraId="1BF8196A" w14:textId="77777777" w:rsidTr="00BE0DB6">
        <w:trPr>
          <w:trHeight w:val="432"/>
        </w:trPr>
        <w:tc>
          <w:tcPr>
            <w:tcW w:w="2965" w:type="dxa"/>
            <w:vAlign w:val="center"/>
          </w:tcPr>
          <w:p w14:paraId="68380D59" w14:textId="77777777" w:rsidR="00BE0DB6" w:rsidRPr="007B3230" w:rsidRDefault="00BE0DB6" w:rsidP="00BE0DB6">
            <w:pPr>
              <w:spacing w:after="0" w:line="276" w:lineRule="auto"/>
            </w:pPr>
            <w:r w:rsidRPr="007B3230">
              <w:t>Black</w:t>
            </w:r>
          </w:p>
        </w:tc>
        <w:tc>
          <w:tcPr>
            <w:tcW w:w="1530" w:type="dxa"/>
            <w:vAlign w:val="center"/>
          </w:tcPr>
          <w:p w14:paraId="4964FE60" w14:textId="77777777" w:rsidR="00BE0DB6" w:rsidRPr="007B3230" w:rsidRDefault="00BE0DB6" w:rsidP="00BE0DB6">
            <w:pPr>
              <w:spacing w:after="0" w:line="276" w:lineRule="auto"/>
              <w:ind w:left="-104" w:right="-105"/>
              <w:jc w:val="center"/>
            </w:pPr>
            <w:r w:rsidRPr="007B3230">
              <w:t>45,123</w:t>
            </w:r>
          </w:p>
        </w:tc>
        <w:tc>
          <w:tcPr>
            <w:tcW w:w="1590" w:type="dxa"/>
            <w:vAlign w:val="center"/>
          </w:tcPr>
          <w:p w14:paraId="427F8A0F" w14:textId="77777777" w:rsidR="00BE0DB6" w:rsidRPr="007B3230" w:rsidRDefault="00BE0DB6" w:rsidP="00BE0DB6">
            <w:pPr>
              <w:spacing w:after="0" w:line="276" w:lineRule="auto"/>
              <w:jc w:val="center"/>
            </w:pPr>
            <w:r w:rsidRPr="007B3230">
              <w:t>25.84%</w:t>
            </w:r>
          </w:p>
        </w:tc>
        <w:tc>
          <w:tcPr>
            <w:tcW w:w="1497" w:type="dxa"/>
            <w:vAlign w:val="center"/>
          </w:tcPr>
          <w:p w14:paraId="31E02B7B" w14:textId="77777777" w:rsidR="00BE0DB6" w:rsidRPr="007B3230" w:rsidRDefault="00BE0DB6" w:rsidP="00BE0DB6">
            <w:pPr>
              <w:spacing w:after="0" w:line="276" w:lineRule="auto"/>
              <w:jc w:val="center"/>
            </w:pPr>
            <w:r w:rsidRPr="007B3230">
              <w:t>1,946</w:t>
            </w:r>
          </w:p>
        </w:tc>
        <w:tc>
          <w:tcPr>
            <w:tcW w:w="1606" w:type="dxa"/>
            <w:vAlign w:val="center"/>
          </w:tcPr>
          <w:p w14:paraId="7FF0D2D7" w14:textId="77777777" w:rsidR="00BE0DB6" w:rsidRPr="007B3230" w:rsidRDefault="00BE0DB6" w:rsidP="00BE0DB6">
            <w:pPr>
              <w:spacing w:after="0" w:line="276" w:lineRule="auto"/>
              <w:jc w:val="center"/>
            </w:pPr>
            <w:r w:rsidRPr="007B3230">
              <w:t>29.68%</w:t>
            </w:r>
          </w:p>
        </w:tc>
        <w:tc>
          <w:tcPr>
            <w:tcW w:w="1607" w:type="dxa"/>
            <w:vAlign w:val="center"/>
          </w:tcPr>
          <w:p w14:paraId="54D5750B" w14:textId="77777777" w:rsidR="00BE0DB6" w:rsidRPr="007B3230" w:rsidRDefault="00BE0DB6" w:rsidP="00BE0DB6">
            <w:pPr>
              <w:spacing w:after="0" w:line="276" w:lineRule="auto"/>
              <w:jc w:val="center"/>
            </w:pPr>
            <w:r w:rsidRPr="007B3230">
              <w:t>-10.41</w:t>
            </w:r>
          </w:p>
        </w:tc>
      </w:tr>
      <w:tr w:rsidR="00BE0DB6" w:rsidRPr="007B3230" w14:paraId="0A9FD7BE" w14:textId="77777777" w:rsidTr="00BE0DB6">
        <w:trPr>
          <w:trHeight w:val="432"/>
        </w:trPr>
        <w:tc>
          <w:tcPr>
            <w:tcW w:w="2965" w:type="dxa"/>
            <w:vAlign w:val="center"/>
          </w:tcPr>
          <w:p w14:paraId="17F3B8FF" w14:textId="77777777" w:rsidR="00BE0DB6" w:rsidRPr="007B3230" w:rsidRDefault="00BE0DB6" w:rsidP="00BE0DB6">
            <w:pPr>
              <w:spacing w:after="0" w:line="276" w:lineRule="auto"/>
            </w:pPr>
            <w:r w:rsidRPr="007B3230">
              <w:t>Pacific Islander</w:t>
            </w:r>
          </w:p>
        </w:tc>
        <w:tc>
          <w:tcPr>
            <w:tcW w:w="1530" w:type="dxa"/>
            <w:vAlign w:val="center"/>
          </w:tcPr>
          <w:p w14:paraId="7C0CDF08" w14:textId="77777777" w:rsidR="00BE0DB6" w:rsidRPr="007B3230" w:rsidRDefault="00BE0DB6" w:rsidP="00BE0DB6">
            <w:pPr>
              <w:spacing w:after="0" w:line="276" w:lineRule="auto"/>
              <w:ind w:left="-104" w:right="-105"/>
              <w:jc w:val="center"/>
            </w:pPr>
            <w:r w:rsidRPr="007B3230">
              <w:t>241</w:t>
            </w:r>
          </w:p>
        </w:tc>
        <w:tc>
          <w:tcPr>
            <w:tcW w:w="1590" w:type="dxa"/>
            <w:vAlign w:val="center"/>
          </w:tcPr>
          <w:p w14:paraId="14D5324A" w14:textId="77777777" w:rsidR="00BE0DB6" w:rsidRPr="007B3230" w:rsidRDefault="00BE0DB6" w:rsidP="00BE0DB6">
            <w:pPr>
              <w:spacing w:after="0" w:line="276" w:lineRule="auto"/>
              <w:jc w:val="center"/>
            </w:pPr>
            <w:r w:rsidRPr="007B3230">
              <w:t>0.14%</w:t>
            </w:r>
          </w:p>
        </w:tc>
        <w:tc>
          <w:tcPr>
            <w:tcW w:w="1497" w:type="dxa"/>
            <w:vAlign w:val="center"/>
          </w:tcPr>
          <w:p w14:paraId="51F70870" w14:textId="77777777" w:rsidR="00BE0DB6" w:rsidRPr="007B3230" w:rsidRDefault="00BE0DB6" w:rsidP="00BE0DB6">
            <w:pPr>
              <w:spacing w:after="0" w:line="276" w:lineRule="auto"/>
              <w:jc w:val="center"/>
            </w:pPr>
            <w:r w:rsidRPr="007B3230">
              <w:t>8</w:t>
            </w:r>
          </w:p>
        </w:tc>
        <w:tc>
          <w:tcPr>
            <w:tcW w:w="1606" w:type="dxa"/>
            <w:vAlign w:val="center"/>
          </w:tcPr>
          <w:p w14:paraId="0D0B9C70" w14:textId="77777777" w:rsidR="00BE0DB6" w:rsidRPr="007B3230" w:rsidRDefault="00BE0DB6" w:rsidP="00BE0DB6">
            <w:pPr>
              <w:spacing w:after="0" w:line="276" w:lineRule="auto"/>
              <w:jc w:val="center"/>
            </w:pPr>
            <w:r w:rsidRPr="007B3230">
              <w:t>0.12%</w:t>
            </w:r>
          </w:p>
        </w:tc>
        <w:tc>
          <w:tcPr>
            <w:tcW w:w="1607" w:type="dxa"/>
            <w:vAlign w:val="center"/>
          </w:tcPr>
          <w:p w14:paraId="117D2FCF" w14:textId="77777777" w:rsidR="00BE0DB6" w:rsidRPr="007B3230" w:rsidRDefault="00BE0DB6" w:rsidP="00BE0DB6">
            <w:pPr>
              <w:spacing w:after="0" w:line="276" w:lineRule="auto"/>
              <w:jc w:val="center"/>
            </w:pPr>
            <w:r w:rsidRPr="007B3230">
              <w:t>-0.01</w:t>
            </w:r>
          </w:p>
        </w:tc>
      </w:tr>
      <w:tr w:rsidR="00BE0DB6" w:rsidRPr="007B3230" w14:paraId="4942065E" w14:textId="77777777" w:rsidTr="00BE0DB6">
        <w:trPr>
          <w:trHeight w:val="432"/>
        </w:trPr>
        <w:tc>
          <w:tcPr>
            <w:tcW w:w="2965" w:type="dxa"/>
            <w:vAlign w:val="center"/>
          </w:tcPr>
          <w:p w14:paraId="312448B3" w14:textId="77777777" w:rsidR="00BE0DB6" w:rsidRPr="007B3230" w:rsidRDefault="00BE0DB6" w:rsidP="00BE0DB6">
            <w:pPr>
              <w:spacing w:after="0" w:line="276" w:lineRule="auto"/>
            </w:pPr>
            <w:r w:rsidRPr="007B3230">
              <w:t>Hispanic/Latino</w:t>
            </w:r>
          </w:p>
        </w:tc>
        <w:tc>
          <w:tcPr>
            <w:tcW w:w="1530" w:type="dxa"/>
            <w:vAlign w:val="center"/>
          </w:tcPr>
          <w:p w14:paraId="5805C91A" w14:textId="77777777" w:rsidR="00BE0DB6" w:rsidRPr="007B3230" w:rsidRDefault="00BE0DB6" w:rsidP="00BE0DB6">
            <w:pPr>
              <w:spacing w:after="0" w:line="276" w:lineRule="auto"/>
              <w:ind w:left="-104" w:right="-105"/>
              <w:jc w:val="center"/>
            </w:pPr>
            <w:r w:rsidRPr="007B3230">
              <w:t>29,378</w:t>
            </w:r>
          </w:p>
        </w:tc>
        <w:tc>
          <w:tcPr>
            <w:tcW w:w="1590" w:type="dxa"/>
            <w:vAlign w:val="center"/>
          </w:tcPr>
          <w:p w14:paraId="7100CE9F" w14:textId="77777777" w:rsidR="00BE0DB6" w:rsidRPr="007B3230" w:rsidRDefault="00BE0DB6" w:rsidP="00BE0DB6">
            <w:pPr>
              <w:spacing w:after="0" w:line="276" w:lineRule="auto"/>
              <w:jc w:val="center"/>
            </w:pPr>
            <w:r w:rsidRPr="007B3230">
              <w:t>16.82%</w:t>
            </w:r>
          </w:p>
        </w:tc>
        <w:tc>
          <w:tcPr>
            <w:tcW w:w="1497" w:type="dxa"/>
            <w:vAlign w:val="center"/>
          </w:tcPr>
          <w:p w14:paraId="4703A458" w14:textId="77777777" w:rsidR="00BE0DB6" w:rsidRPr="007B3230" w:rsidRDefault="00BE0DB6" w:rsidP="00BE0DB6">
            <w:pPr>
              <w:spacing w:after="0" w:line="276" w:lineRule="auto"/>
              <w:jc w:val="center"/>
            </w:pPr>
            <w:r w:rsidRPr="007B3230">
              <w:t>742</w:t>
            </w:r>
          </w:p>
        </w:tc>
        <w:tc>
          <w:tcPr>
            <w:tcW w:w="1606" w:type="dxa"/>
            <w:vAlign w:val="center"/>
          </w:tcPr>
          <w:p w14:paraId="71C4A419" w14:textId="77777777" w:rsidR="00BE0DB6" w:rsidRPr="007B3230" w:rsidRDefault="00BE0DB6" w:rsidP="00BE0DB6">
            <w:pPr>
              <w:spacing w:after="0" w:line="276" w:lineRule="auto"/>
              <w:jc w:val="center"/>
            </w:pPr>
            <w:r w:rsidRPr="007B3230">
              <w:t>11.32%</w:t>
            </w:r>
          </w:p>
        </w:tc>
        <w:tc>
          <w:tcPr>
            <w:tcW w:w="1607" w:type="dxa"/>
            <w:vAlign w:val="center"/>
          </w:tcPr>
          <w:p w14:paraId="1FD85503" w14:textId="77777777" w:rsidR="00BE0DB6" w:rsidRPr="007B3230" w:rsidRDefault="00BE0DB6" w:rsidP="00BE0DB6">
            <w:pPr>
              <w:spacing w:after="0" w:line="276" w:lineRule="auto"/>
              <w:jc w:val="center"/>
            </w:pPr>
            <w:r w:rsidRPr="007B3230">
              <w:t>-7.83</w:t>
            </w:r>
          </w:p>
        </w:tc>
      </w:tr>
      <w:tr w:rsidR="00BE0DB6" w:rsidRPr="007B3230" w14:paraId="0D35BC89" w14:textId="77777777" w:rsidTr="00BE0DB6">
        <w:trPr>
          <w:trHeight w:val="432"/>
        </w:trPr>
        <w:tc>
          <w:tcPr>
            <w:tcW w:w="2965" w:type="dxa"/>
            <w:vAlign w:val="center"/>
          </w:tcPr>
          <w:p w14:paraId="04FB196C" w14:textId="77777777" w:rsidR="00BE0DB6" w:rsidRPr="007B3230" w:rsidRDefault="00BE0DB6" w:rsidP="00BE0DB6">
            <w:pPr>
              <w:spacing w:after="0" w:line="276" w:lineRule="auto"/>
            </w:pPr>
            <w:r w:rsidRPr="007B3230">
              <w:t>White (not Hispanic)</w:t>
            </w:r>
          </w:p>
        </w:tc>
        <w:tc>
          <w:tcPr>
            <w:tcW w:w="1530" w:type="dxa"/>
            <w:vAlign w:val="center"/>
          </w:tcPr>
          <w:p w14:paraId="300AEC79" w14:textId="77777777" w:rsidR="00BE0DB6" w:rsidRPr="007B3230" w:rsidRDefault="00BE0DB6" w:rsidP="00BE0DB6">
            <w:pPr>
              <w:spacing w:after="0" w:line="276" w:lineRule="auto"/>
              <w:ind w:left="-104" w:right="-105"/>
              <w:jc w:val="center"/>
            </w:pPr>
            <w:r w:rsidRPr="007B3230">
              <w:t>82,360</w:t>
            </w:r>
          </w:p>
        </w:tc>
        <w:tc>
          <w:tcPr>
            <w:tcW w:w="1590" w:type="dxa"/>
            <w:vAlign w:val="center"/>
          </w:tcPr>
          <w:p w14:paraId="2E1EA630" w14:textId="77777777" w:rsidR="00BE0DB6" w:rsidRPr="007B3230" w:rsidRDefault="00BE0DB6" w:rsidP="00BE0DB6">
            <w:pPr>
              <w:spacing w:after="0" w:line="276" w:lineRule="auto"/>
              <w:jc w:val="center"/>
            </w:pPr>
            <w:r w:rsidRPr="007B3230">
              <w:t>47.16%</w:t>
            </w:r>
          </w:p>
        </w:tc>
        <w:tc>
          <w:tcPr>
            <w:tcW w:w="1497" w:type="dxa"/>
            <w:vAlign w:val="center"/>
          </w:tcPr>
          <w:p w14:paraId="68DA5D2C" w14:textId="77777777" w:rsidR="00BE0DB6" w:rsidRPr="007B3230" w:rsidRDefault="00BE0DB6" w:rsidP="00BE0DB6">
            <w:pPr>
              <w:spacing w:after="0" w:line="276" w:lineRule="auto"/>
              <w:jc w:val="center"/>
            </w:pPr>
            <w:r w:rsidRPr="007B3230">
              <w:t>3,339</w:t>
            </w:r>
          </w:p>
        </w:tc>
        <w:tc>
          <w:tcPr>
            <w:tcW w:w="1606" w:type="dxa"/>
            <w:vAlign w:val="center"/>
          </w:tcPr>
          <w:p w14:paraId="1C3543BE" w14:textId="77777777" w:rsidR="00BE0DB6" w:rsidRPr="007B3230" w:rsidRDefault="00BE0DB6" w:rsidP="00BE0DB6">
            <w:pPr>
              <w:spacing w:after="0" w:line="276" w:lineRule="auto"/>
              <w:jc w:val="center"/>
            </w:pPr>
            <w:r w:rsidRPr="007B3230">
              <w:t>50.92%</w:t>
            </w:r>
          </w:p>
        </w:tc>
        <w:tc>
          <w:tcPr>
            <w:tcW w:w="1607" w:type="dxa"/>
            <w:vAlign w:val="center"/>
          </w:tcPr>
          <w:p w14:paraId="427492EF" w14:textId="77777777" w:rsidR="00BE0DB6" w:rsidRPr="007B3230" w:rsidRDefault="00BE0DB6" w:rsidP="00BE0DB6">
            <w:pPr>
              <w:spacing w:after="0" w:line="276" w:lineRule="auto"/>
              <w:jc w:val="center"/>
            </w:pPr>
            <w:r w:rsidRPr="007B3230">
              <w:t>9.70</w:t>
            </w:r>
          </w:p>
        </w:tc>
      </w:tr>
      <w:tr w:rsidR="00BE0DB6" w:rsidRPr="007B3230" w14:paraId="5A866247" w14:textId="77777777" w:rsidTr="00BE0DB6">
        <w:trPr>
          <w:trHeight w:val="432"/>
        </w:trPr>
        <w:tc>
          <w:tcPr>
            <w:tcW w:w="2965" w:type="dxa"/>
            <w:vAlign w:val="center"/>
          </w:tcPr>
          <w:p w14:paraId="618E81D9" w14:textId="77777777" w:rsidR="00BE0DB6" w:rsidRPr="007B3230" w:rsidRDefault="00BE0DB6" w:rsidP="00BE0DB6">
            <w:pPr>
              <w:spacing w:after="0" w:line="276" w:lineRule="auto"/>
            </w:pPr>
            <w:r w:rsidRPr="007B3230">
              <w:t>Two or More Races</w:t>
            </w:r>
          </w:p>
        </w:tc>
        <w:tc>
          <w:tcPr>
            <w:tcW w:w="1530" w:type="dxa"/>
            <w:vAlign w:val="center"/>
          </w:tcPr>
          <w:p w14:paraId="331856DF" w14:textId="77777777" w:rsidR="00BE0DB6" w:rsidRPr="007B3230" w:rsidRDefault="00BE0DB6" w:rsidP="00BE0DB6">
            <w:pPr>
              <w:spacing w:after="0" w:line="276" w:lineRule="auto"/>
              <w:ind w:left="-104" w:right="-105"/>
              <w:jc w:val="center"/>
            </w:pPr>
            <w:r w:rsidRPr="007B3230">
              <w:t>10,356</w:t>
            </w:r>
          </w:p>
        </w:tc>
        <w:tc>
          <w:tcPr>
            <w:tcW w:w="1590" w:type="dxa"/>
            <w:vAlign w:val="center"/>
          </w:tcPr>
          <w:p w14:paraId="47C97836" w14:textId="77777777" w:rsidR="00BE0DB6" w:rsidRPr="007B3230" w:rsidRDefault="00BE0DB6" w:rsidP="00BE0DB6">
            <w:pPr>
              <w:spacing w:after="0" w:line="276" w:lineRule="auto"/>
              <w:jc w:val="center"/>
            </w:pPr>
            <w:r w:rsidRPr="007B3230">
              <w:t>5.93%</w:t>
            </w:r>
          </w:p>
        </w:tc>
        <w:tc>
          <w:tcPr>
            <w:tcW w:w="1497" w:type="dxa"/>
            <w:vAlign w:val="center"/>
          </w:tcPr>
          <w:p w14:paraId="1715893C" w14:textId="77777777" w:rsidR="00BE0DB6" w:rsidRPr="007B3230" w:rsidRDefault="00BE0DB6" w:rsidP="00BE0DB6">
            <w:pPr>
              <w:spacing w:after="0" w:line="276" w:lineRule="auto"/>
              <w:jc w:val="center"/>
            </w:pPr>
            <w:r w:rsidRPr="007B3230">
              <w:t>248</w:t>
            </w:r>
          </w:p>
        </w:tc>
        <w:tc>
          <w:tcPr>
            <w:tcW w:w="1606" w:type="dxa"/>
            <w:vAlign w:val="center"/>
          </w:tcPr>
          <w:p w14:paraId="303E7F91" w14:textId="77777777" w:rsidR="00BE0DB6" w:rsidRPr="007B3230" w:rsidRDefault="00BE0DB6" w:rsidP="00BE0DB6">
            <w:pPr>
              <w:spacing w:after="0" w:line="276" w:lineRule="auto"/>
              <w:jc w:val="center"/>
            </w:pPr>
            <w:r w:rsidRPr="007B3230">
              <w:t>3.78%</w:t>
            </w:r>
          </w:p>
        </w:tc>
        <w:tc>
          <w:tcPr>
            <w:tcW w:w="1607" w:type="dxa"/>
            <w:vAlign w:val="center"/>
          </w:tcPr>
          <w:p w14:paraId="68B09D10" w14:textId="77777777" w:rsidR="00BE0DB6" w:rsidRPr="007B3230" w:rsidRDefault="00BE0DB6" w:rsidP="00BE0DB6">
            <w:pPr>
              <w:spacing w:after="0" w:line="276" w:lineRule="auto"/>
              <w:jc w:val="center"/>
            </w:pPr>
            <w:r w:rsidRPr="007B3230">
              <w:t>5.42</w:t>
            </w:r>
          </w:p>
        </w:tc>
      </w:tr>
    </w:tbl>
    <w:p w14:paraId="585ABABD" w14:textId="3649C298" w:rsidR="007C4549" w:rsidRPr="007B3230" w:rsidRDefault="007C4549" w:rsidP="007E7C94">
      <w:pPr>
        <w:pStyle w:val="Caption"/>
      </w:pPr>
      <w:bookmarkStart w:id="62" w:name="_Hlk121843870"/>
      <w:r w:rsidRPr="007B3230">
        <w:t>VDOE Child Count Data and Parent Survey Responses (Disability)</w:t>
      </w:r>
    </w:p>
    <w:tbl>
      <w:tblPr>
        <w:tblStyle w:val="TableGrid"/>
        <w:tblW w:w="10800" w:type="dxa"/>
        <w:tblInd w:w="-5" w:type="dxa"/>
        <w:tblLook w:val="04A0" w:firstRow="1" w:lastRow="0" w:firstColumn="1" w:lastColumn="0" w:noHBand="0" w:noVBand="1"/>
        <w:tblDescription w:val="Table provides Child Count total and percentages, survey responses and percentages, and percentage point differences by disability for this indicator."/>
      </w:tblPr>
      <w:tblGrid>
        <w:gridCol w:w="2935"/>
        <w:gridCol w:w="1573"/>
        <w:gridCol w:w="1573"/>
        <w:gridCol w:w="1573"/>
        <w:gridCol w:w="1573"/>
        <w:gridCol w:w="1573"/>
      </w:tblGrid>
      <w:tr w:rsidR="00BE0DB6" w:rsidRPr="007B3230" w14:paraId="11DBBA30" w14:textId="77777777" w:rsidTr="00BE0DB6">
        <w:trPr>
          <w:trHeight w:val="432"/>
          <w:tblHeader/>
        </w:trPr>
        <w:tc>
          <w:tcPr>
            <w:tcW w:w="2935" w:type="dxa"/>
            <w:shd w:val="clear" w:color="auto" w:fill="D9D9D9" w:themeFill="background1" w:themeFillShade="D9"/>
            <w:vAlign w:val="center"/>
          </w:tcPr>
          <w:bookmarkEnd w:id="62"/>
          <w:p w14:paraId="4CB22A91" w14:textId="77777777" w:rsidR="00BE0DB6" w:rsidRPr="007B3230" w:rsidRDefault="00BE0DB6" w:rsidP="00BE0DB6">
            <w:pPr>
              <w:spacing w:after="0" w:line="276" w:lineRule="auto"/>
              <w:jc w:val="center"/>
              <w:rPr>
                <w:b/>
                <w:bCs/>
              </w:rPr>
            </w:pPr>
            <w:r w:rsidRPr="007B3230">
              <w:rPr>
                <w:b/>
                <w:bCs/>
              </w:rPr>
              <w:t>Disability</w:t>
            </w:r>
          </w:p>
        </w:tc>
        <w:tc>
          <w:tcPr>
            <w:tcW w:w="1573" w:type="dxa"/>
            <w:shd w:val="clear" w:color="auto" w:fill="D9D9D9" w:themeFill="background1" w:themeFillShade="D9"/>
            <w:vAlign w:val="center"/>
          </w:tcPr>
          <w:p w14:paraId="6A17D9BC" w14:textId="77777777" w:rsidR="00BE0DB6" w:rsidRPr="007B3230" w:rsidRDefault="00BE0DB6" w:rsidP="00BE0DB6">
            <w:pPr>
              <w:spacing w:after="0" w:line="276" w:lineRule="auto"/>
              <w:ind w:left="-74" w:right="-105"/>
              <w:jc w:val="center"/>
              <w:rPr>
                <w:b/>
                <w:bCs/>
              </w:rPr>
            </w:pPr>
            <w:r w:rsidRPr="007B3230">
              <w:rPr>
                <w:b/>
                <w:bCs/>
              </w:rPr>
              <w:t>Child Count Total</w:t>
            </w:r>
          </w:p>
        </w:tc>
        <w:tc>
          <w:tcPr>
            <w:tcW w:w="1573" w:type="dxa"/>
            <w:shd w:val="clear" w:color="auto" w:fill="D9D9D9" w:themeFill="background1" w:themeFillShade="D9"/>
            <w:vAlign w:val="center"/>
          </w:tcPr>
          <w:p w14:paraId="3008F211" w14:textId="77777777" w:rsidR="00BE0DB6" w:rsidRPr="007B3230" w:rsidRDefault="00BE0DB6" w:rsidP="00BE0DB6">
            <w:pPr>
              <w:spacing w:after="0" w:line="276" w:lineRule="auto"/>
              <w:jc w:val="center"/>
              <w:rPr>
                <w:b/>
                <w:bCs/>
              </w:rPr>
            </w:pPr>
            <w:r w:rsidRPr="007B3230">
              <w:rPr>
                <w:b/>
                <w:bCs/>
              </w:rPr>
              <w:t>Percentage</w:t>
            </w:r>
          </w:p>
        </w:tc>
        <w:tc>
          <w:tcPr>
            <w:tcW w:w="1573" w:type="dxa"/>
            <w:shd w:val="clear" w:color="auto" w:fill="D9D9D9" w:themeFill="background1" w:themeFillShade="D9"/>
            <w:vAlign w:val="center"/>
          </w:tcPr>
          <w:p w14:paraId="623B37D0" w14:textId="77777777" w:rsidR="00BE0DB6" w:rsidRPr="007B3230" w:rsidRDefault="00BE0DB6" w:rsidP="00BE0DB6">
            <w:pPr>
              <w:spacing w:after="0" w:line="276" w:lineRule="auto"/>
              <w:jc w:val="center"/>
              <w:rPr>
                <w:b/>
                <w:bCs/>
              </w:rPr>
            </w:pPr>
            <w:r w:rsidRPr="007B3230">
              <w:rPr>
                <w:b/>
                <w:bCs/>
              </w:rPr>
              <w:t>Survey Responses</w:t>
            </w:r>
          </w:p>
        </w:tc>
        <w:tc>
          <w:tcPr>
            <w:tcW w:w="1573" w:type="dxa"/>
            <w:shd w:val="clear" w:color="auto" w:fill="D9D9D9" w:themeFill="background1" w:themeFillShade="D9"/>
            <w:vAlign w:val="center"/>
          </w:tcPr>
          <w:p w14:paraId="14D904E6" w14:textId="77777777" w:rsidR="00BE0DB6" w:rsidRPr="007B3230" w:rsidRDefault="00BE0DB6" w:rsidP="00BE0DB6">
            <w:pPr>
              <w:spacing w:after="0" w:line="276" w:lineRule="auto"/>
              <w:jc w:val="center"/>
              <w:rPr>
                <w:b/>
                <w:bCs/>
              </w:rPr>
            </w:pPr>
            <w:r w:rsidRPr="007B3230">
              <w:rPr>
                <w:b/>
                <w:bCs/>
              </w:rPr>
              <w:t>Percentage</w:t>
            </w:r>
          </w:p>
        </w:tc>
        <w:tc>
          <w:tcPr>
            <w:tcW w:w="1573" w:type="dxa"/>
            <w:shd w:val="clear" w:color="auto" w:fill="D9D9D9" w:themeFill="background1" w:themeFillShade="D9"/>
            <w:vAlign w:val="center"/>
          </w:tcPr>
          <w:p w14:paraId="649DB954" w14:textId="77777777" w:rsidR="00BE0DB6" w:rsidRPr="007B3230" w:rsidRDefault="00BE0DB6" w:rsidP="00BE0DB6">
            <w:pPr>
              <w:spacing w:after="0" w:line="276" w:lineRule="auto"/>
              <w:jc w:val="center"/>
              <w:rPr>
                <w:b/>
                <w:bCs/>
              </w:rPr>
            </w:pPr>
            <w:r w:rsidRPr="007B3230">
              <w:rPr>
                <w:b/>
                <w:bCs/>
              </w:rPr>
              <w:t>Percentage Point Difference</w:t>
            </w:r>
          </w:p>
        </w:tc>
      </w:tr>
      <w:tr w:rsidR="00BE0DB6" w:rsidRPr="007B3230" w14:paraId="4AC80562" w14:textId="77777777" w:rsidTr="00BE0DB6">
        <w:trPr>
          <w:trHeight w:val="432"/>
        </w:trPr>
        <w:tc>
          <w:tcPr>
            <w:tcW w:w="2935" w:type="dxa"/>
            <w:vAlign w:val="center"/>
          </w:tcPr>
          <w:p w14:paraId="358281C7" w14:textId="77777777" w:rsidR="00BE0DB6" w:rsidRPr="007B3230" w:rsidRDefault="00BE0DB6" w:rsidP="00BE0DB6">
            <w:pPr>
              <w:spacing w:after="0" w:line="276" w:lineRule="auto"/>
            </w:pPr>
            <w:r w:rsidRPr="007B3230">
              <w:t>Autism</w:t>
            </w:r>
          </w:p>
        </w:tc>
        <w:tc>
          <w:tcPr>
            <w:tcW w:w="1573" w:type="dxa"/>
            <w:vAlign w:val="center"/>
          </w:tcPr>
          <w:p w14:paraId="6AB98DED" w14:textId="77777777" w:rsidR="00BE0DB6" w:rsidRPr="007B3230" w:rsidRDefault="00BE0DB6" w:rsidP="00BE0DB6">
            <w:pPr>
              <w:spacing w:after="0" w:line="276" w:lineRule="auto"/>
              <w:ind w:left="-74" w:right="-105"/>
              <w:jc w:val="center"/>
            </w:pPr>
            <w:r w:rsidRPr="007B3230">
              <w:t>24,202</w:t>
            </w:r>
          </w:p>
        </w:tc>
        <w:tc>
          <w:tcPr>
            <w:tcW w:w="1573" w:type="dxa"/>
            <w:vAlign w:val="center"/>
          </w:tcPr>
          <w:p w14:paraId="6B86A6BF" w14:textId="77777777" w:rsidR="00BE0DB6" w:rsidRPr="007B3230" w:rsidRDefault="00BE0DB6" w:rsidP="00BE0DB6">
            <w:pPr>
              <w:spacing w:after="0" w:line="276" w:lineRule="auto"/>
              <w:jc w:val="center"/>
            </w:pPr>
            <w:r w:rsidRPr="007B3230">
              <w:t>13.86%</w:t>
            </w:r>
          </w:p>
        </w:tc>
        <w:tc>
          <w:tcPr>
            <w:tcW w:w="1573" w:type="dxa"/>
            <w:vAlign w:val="center"/>
          </w:tcPr>
          <w:p w14:paraId="27B7CB93" w14:textId="77777777" w:rsidR="00BE0DB6" w:rsidRPr="007B3230" w:rsidRDefault="00BE0DB6" w:rsidP="00BE0DB6">
            <w:pPr>
              <w:spacing w:after="0" w:line="276" w:lineRule="auto"/>
              <w:jc w:val="center"/>
            </w:pPr>
            <w:r w:rsidRPr="007B3230">
              <w:t>3,284</w:t>
            </w:r>
          </w:p>
        </w:tc>
        <w:tc>
          <w:tcPr>
            <w:tcW w:w="1573" w:type="dxa"/>
            <w:vAlign w:val="center"/>
          </w:tcPr>
          <w:p w14:paraId="51098651" w14:textId="77777777" w:rsidR="00BE0DB6" w:rsidRPr="007B3230" w:rsidRDefault="00BE0DB6" w:rsidP="00BE0DB6">
            <w:pPr>
              <w:spacing w:after="0" w:line="276" w:lineRule="auto"/>
              <w:jc w:val="center"/>
            </w:pPr>
            <w:r w:rsidRPr="007B3230">
              <w:t>19.46%</w:t>
            </w:r>
          </w:p>
        </w:tc>
        <w:tc>
          <w:tcPr>
            <w:tcW w:w="1573" w:type="dxa"/>
            <w:vAlign w:val="center"/>
          </w:tcPr>
          <w:p w14:paraId="7572A8F0" w14:textId="77777777" w:rsidR="00BE0DB6" w:rsidRPr="007B3230" w:rsidRDefault="00BE0DB6" w:rsidP="00BE0DB6">
            <w:pPr>
              <w:spacing w:after="0" w:line="276" w:lineRule="auto"/>
              <w:jc w:val="center"/>
            </w:pPr>
            <w:r w:rsidRPr="007B3230">
              <w:t>5.06</w:t>
            </w:r>
          </w:p>
        </w:tc>
      </w:tr>
      <w:tr w:rsidR="00BE0DB6" w:rsidRPr="007B3230" w14:paraId="67647559" w14:textId="77777777" w:rsidTr="00BE0DB6">
        <w:trPr>
          <w:trHeight w:val="432"/>
        </w:trPr>
        <w:tc>
          <w:tcPr>
            <w:tcW w:w="2935" w:type="dxa"/>
            <w:vAlign w:val="center"/>
          </w:tcPr>
          <w:p w14:paraId="768366BA" w14:textId="77777777" w:rsidR="00BE0DB6" w:rsidRPr="007B3230" w:rsidRDefault="00BE0DB6" w:rsidP="00BE0DB6">
            <w:pPr>
              <w:spacing w:after="0" w:line="276" w:lineRule="auto"/>
            </w:pPr>
            <w:proofErr w:type="gramStart"/>
            <w:r w:rsidRPr="007B3230">
              <w:t>Deaf-blindness</w:t>
            </w:r>
            <w:proofErr w:type="gramEnd"/>
          </w:p>
        </w:tc>
        <w:tc>
          <w:tcPr>
            <w:tcW w:w="1573" w:type="dxa"/>
            <w:vAlign w:val="center"/>
          </w:tcPr>
          <w:p w14:paraId="2A08DD84" w14:textId="77777777" w:rsidR="00BE0DB6" w:rsidRPr="007B3230" w:rsidRDefault="00BE0DB6" w:rsidP="00BE0DB6">
            <w:pPr>
              <w:spacing w:after="0" w:line="276" w:lineRule="auto"/>
              <w:ind w:left="-74" w:right="-105"/>
              <w:jc w:val="center"/>
            </w:pPr>
            <w:r w:rsidRPr="007B3230">
              <w:t>23</w:t>
            </w:r>
          </w:p>
        </w:tc>
        <w:tc>
          <w:tcPr>
            <w:tcW w:w="1573" w:type="dxa"/>
            <w:vAlign w:val="center"/>
          </w:tcPr>
          <w:p w14:paraId="3126D2D1" w14:textId="77777777" w:rsidR="00BE0DB6" w:rsidRPr="007B3230" w:rsidRDefault="00BE0DB6" w:rsidP="00BE0DB6">
            <w:pPr>
              <w:spacing w:after="0" w:line="276" w:lineRule="auto"/>
              <w:jc w:val="center"/>
            </w:pPr>
            <w:r w:rsidRPr="007B3230">
              <w:t>0.01%</w:t>
            </w:r>
          </w:p>
        </w:tc>
        <w:tc>
          <w:tcPr>
            <w:tcW w:w="1573" w:type="dxa"/>
            <w:vAlign w:val="center"/>
          </w:tcPr>
          <w:p w14:paraId="397268CE" w14:textId="77777777" w:rsidR="00BE0DB6" w:rsidRPr="007B3230" w:rsidRDefault="00BE0DB6" w:rsidP="00BE0DB6">
            <w:pPr>
              <w:spacing w:after="0" w:line="276" w:lineRule="auto"/>
              <w:jc w:val="center"/>
            </w:pPr>
            <w:r w:rsidRPr="007B3230">
              <w:t>15</w:t>
            </w:r>
          </w:p>
        </w:tc>
        <w:tc>
          <w:tcPr>
            <w:tcW w:w="1573" w:type="dxa"/>
            <w:vAlign w:val="center"/>
          </w:tcPr>
          <w:p w14:paraId="752B683F" w14:textId="77777777" w:rsidR="00BE0DB6" w:rsidRPr="007B3230" w:rsidRDefault="00BE0DB6" w:rsidP="00BE0DB6">
            <w:pPr>
              <w:spacing w:after="0" w:line="276" w:lineRule="auto"/>
              <w:jc w:val="center"/>
            </w:pPr>
            <w:r w:rsidRPr="007B3230">
              <w:t>0.09%</w:t>
            </w:r>
          </w:p>
        </w:tc>
        <w:tc>
          <w:tcPr>
            <w:tcW w:w="1573" w:type="dxa"/>
            <w:vAlign w:val="center"/>
          </w:tcPr>
          <w:p w14:paraId="1D4B28AF" w14:textId="77777777" w:rsidR="00BE0DB6" w:rsidRPr="007B3230" w:rsidRDefault="00BE0DB6" w:rsidP="00BE0DB6">
            <w:pPr>
              <w:spacing w:after="0" w:line="276" w:lineRule="auto"/>
              <w:jc w:val="center"/>
            </w:pPr>
            <w:r w:rsidRPr="007B3230">
              <w:t>0.08</w:t>
            </w:r>
          </w:p>
        </w:tc>
      </w:tr>
      <w:tr w:rsidR="00BE0DB6" w:rsidRPr="007B3230" w14:paraId="0B54C7EE" w14:textId="77777777" w:rsidTr="00BE0DB6">
        <w:trPr>
          <w:trHeight w:val="432"/>
        </w:trPr>
        <w:tc>
          <w:tcPr>
            <w:tcW w:w="2935" w:type="dxa"/>
            <w:vAlign w:val="center"/>
          </w:tcPr>
          <w:p w14:paraId="13F6C4E1" w14:textId="77777777" w:rsidR="00BE0DB6" w:rsidRPr="007B3230" w:rsidRDefault="00BE0DB6" w:rsidP="00BE0DB6">
            <w:pPr>
              <w:spacing w:after="0" w:line="276" w:lineRule="auto"/>
            </w:pPr>
            <w:r w:rsidRPr="007B3230">
              <w:t>Developmental delay</w:t>
            </w:r>
          </w:p>
        </w:tc>
        <w:tc>
          <w:tcPr>
            <w:tcW w:w="1573" w:type="dxa"/>
            <w:vAlign w:val="center"/>
          </w:tcPr>
          <w:p w14:paraId="7CEBB4A4" w14:textId="77777777" w:rsidR="00BE0DB6" w:rsidRPr="007B3230" w:rsidRDefault="00BE0DB6" w:rsidP="00BE0DB6">
            <w:pPr>
              <w:spacing w:after="0" w:line="276" w:lineRule="auto"/>
              <w:ind w:left="-74" w:right="-105"/>
              <w:jc w:val="center"/>
            </w:pPr>
            <w:r w:rsidRPr="007B3230">
              <w:t>13,015</w:t>
            </w:r>
          </w:p>
        </w:tc>
        <w:tc>
          <w:tcPr>
            <w:tcW w:w="1573" w:type="dxa"/>
            <w:vAlign w:val="center"/>
          </w:tcPr>
          <w:p w14:paraId="797DEDA9" w14:textId="77777777" w:rsidR="00BE0DB6" w:rsidRPr="007B3230" w:rsidRDefault="00BE0DB6" w:rsidP="00BE0DB6">
            <w:pPr>
              <w:spacing w:after="0" w:line="276" w:lineRule="auto"/>
              <w:jc w:val="center"/>
            </w:pPr>
            <w:r w:rsidRPr="007B3230">
              <w:t>7.45%</w:t>
            </w:r>
          </w:p>
        </w:tc>
        <w:tc>
          <w:tcPr>
            <w:tcW w:w="1573" w:type="dxa"/>
            <w:vAlign w:val="center"/>
          </w:tcPr>
          <w:p w14:paraId="6F1376C9" w14:textId="77777777" w:rsidR="00BE0DB6" w:rsidRPr="007B3230" w:rsidRDefault="00BE0DB6" w:rsidP="00BE0DB6">
            <w:pPr>
              <w:spacing w:after="0" w:line="276" w:lineRule="auto"/>
              <w:jc w:val="center"/>
            </w:pPr>
            <w:r w:rsidRPr="007B3230">
              <w:t>1,388</w:t>
            </w:r>
          </w:p>
        </w:tc>
        <w:tc>
          <w:tcPr>
            <w:tcW w:w="1573" w:type="dxa"/>
            <w:vAlign w:val="center"/>
          </w:tcPr>
          <w:p w14:paraId="58C0E9BD" w14:textId="77777777" w:rsidR="00BE0DB6" w:rsidRPr="007B3230" w:rsidRDefault="00BE0DB6" w:rsidP="00BE0DB6">
            <w:pPr>
              <w:spacing w:after="0" w:line="276" w:lineRule="auto"/>
              <w:jc w:val="center"/>
            </w:pPr>
            <w:r w:rsidRPr="007B3230">
              <w:t>8.22%</w:t>
            </w:r>
          </w:p>
        </w:tc>
        <w:tc>
          <w:tcPr>
            <w:tcW w:w="1573" w:type="dxa"/>
            <w:vAlign w:val="center"/>
          </w:tcPr>
          <w:p w14:paraId="7BD3E713" w14:textId="77777777" w:rsidR="00BE0DB6" w:rsidRPr="007B3230" w:rsidRDefault="00BE0DB6" w:rsidP="00BE0DB6">
            <w:pPr>
              <w:spacing w:after="0" w:line="276" w:lineRule="auto"/>
              <w:jc w:val="center"/>
            </w:pPr>
            <w:r w:rsidRPr="007B3230">
              <w:t>0.77</w:t>
            </w:r>
          </w:p>
        </w:tc>
      </w:tr>
      <w:tr w:rsidR="00BE0DB6" w:rsidRPr="007B3230" w14:paraId="3B346BE1" w14:textId="77777777" w:rsidTr="00BE0DB6">
        <w:trPr>
          <w:trHeight w:val="432"/>
        </w:trPr>
        <w:tc>
          <w:tcPr>
            <w:tcW w:w="2935" w:type="dxa"/>
            <w:vAlign w:val="center"/>
          </w:tcPr>
          <w:p w14:paraId="4E86AB09" w14:textId="77777777" w:rsidR="00BE0DB6" w:rsidRPr="007B3230" w:rsidRDefault="00BE0DB6" w:rsidP="00BE0DB6">
            <w:pPr>
              <w:spacing w:after="0" w:line="276" w:lineRule="auto"/>
            </w:pPr>
            <w:r w:rsidRPr="007B3230">
              <w:t>Emotional disability</w:t>
            </w:r>
          </w:p>
        </w:tc>
        <w:tc>
          <w:tcPr>
            <w:tcW w:w="1573" w:type="dxa"/>
            <w:vAlign w:val="center"/>
          </w:tcPr>
          <w:p w14:paraId="1F5C4D3E" w14:textId="77777777" w:rsidR="00BE0DB6" w:rsidRPr="007B3230" w:rsidRDefault="00BE0DB6" w:rsidP="00BE0DB6">
            <w:pPr>
              <w:spacing w:after="0" w:line="276" w:lineRule="auto"/>
              <w:ind w:left="-74" w:right="-105"/>
              <w:jc w:val="center"/>
            </w:pPr>
            <w:r w:rsidRPr="007B3230">
              <w:t>9,463</w:t>
            </w:r>
          </w:p>
        </w:tc>
        <w:tc>
          <w:tcPr>
            <w:tcW w:w="1573" w:type="dxa"/>
            <w:vAlign w:val="center"/>
          </w:tcPr>
          <w:p w14:paraId="330BF640" w14:textId="77777777" w:rsidR="00BE0DB6" w:rsidRPr="007B3230" w:rsidRDefault="00BE0DB6" w:rsidP="00BE0DB6">
            <w:pPr>
              <w:spacing w:after="0" w:line="276" w:lineRule="auto"/>
              <w:jc w:val="center"/>
            </w:pPr>
            <w:r w:rsidRPr="007B3230">
              <w:t>5.42%</w:t>
            </w:r>
          </w:p>
        </w:tc>
        <w:tc>
          <w:tcPr>
            <w:tcW w:w="1573" w:type="dxa"/>
            <w:vAlign w:val="center"/>
          </w:tcPr>
          <w:p w14:paraId="6CF2CDF6" w14:textId="77777777" w:rsidR="00BE0DB6" w:rsidRPr="007B3230" w:rsidRDefault="00BE0DB6" w:rsidP="00BE0DB6">
            <w:pPr>
              <w:spacing w:after="0" w:line="276" w:lineRule="auto"/>
              <w:jc w:val="center"/>
            </w:pPr>
            <w:r w:rsidRPr="007B3230">
              <w:t>670</w:t>
            </w:r>
          </w:p>
        </w:tc>
        <w:tc>
          <w:tcPr>
            <w:tcW w:w="1573" w:type="dxa"/>
            <w:vAlign w:val="center"/>
          </w:tcPr>
          <w:p w14:paraId="39D458F8" w14:textId="77777777" w:rsidR="00BE0DB6" w:rsidRPr="007B3230" w:rsidRDefault="00BE0DB6" w:rsidP="00BE0DB6">
            <w:pPr>
              <w:spacing w:after="0" w:line="276" w:lineRule="auto"/>
              <w:jc w:val="center"/>
            </w:pPr>
            <w:r w:rsidRPr="007B3230">
              <w:t>3.97%</w:t>
            </w:r>
          </w:p>
        </w:tc>
        <w:tc>
          <w:tcPr>
            <w:tcW w:w="1573" w:type="dxa"/>
            <w:vAlign w:val="center"/>
          </w:tcPr>
          <w:p w14:paraId="2265ECA6" w14:textId="77777777" w:rsidR="00BE0DB6" w:rsidRPr="007B3230" w:rsidRDefault="00BE0DB6" w:rsidP="00BE0DB6">
            <w:pPr>
              <w:spacing w:after="0" w:line="276" w:lineRule="auto"/>
              <w:jc w:val="center"/>
            </w:pPr>
            <w:r w:rsidRPr="007B3230">
              <w:t>-1.45</w:t>
            </w:r>
          </w:p>
        </w:tc>
      </w:tr>
      <w:tr w:rsidR="00BE0DB6" w:rsidRPr="007B3230" w14:paraId="39CFBEFA" w14:textId="77777777" w:rsidTr="00BE0DB6">
        <w:trPr>
          <w:trHeight w:val="432"/>
        </w:trPr>
        <w:tc>
          <w:tcPr>
            <w:tcW w:w="2935" w:type="dxa"/>
            <w:vAlign w:val="center"/>
          </w:tcPr>
          <w:p w14:paraId="651B6CD4" w14:textId="77777777" w:rsidR="00BE0DB6" w:rsidRPr="007B3230" w:rsidRDefault="00BE0DB6" w:rsidP="00BE0DB6">
            <w:pPr>
              <w:spacing w:after="0" w:line="276" w:lineRule="auto"/>
            </w:pPr>
            <w:r w:rsidRPr="007B3230">
              <w:t>Hearing impairment</w:t>
            </w:r>
          </w:p>
        </w:tc>
        <w:tc>
          <w:tcPr>
            <w:tcW w:w="1573" w:type="dxa"/>
            <w:vAlign w:val="center"/>
          </w:tcPr>
          <w:p w14:paraId="682AF5E7" w14:textId="77777777" w:rsidR="00BE0DB6" w:rsidRPr="007B3230" w:rsidRDefault="00BE0DB6" w:rsidP="00BE0DB6">
            <w:pPr>
              <w:spacing w:after="0" w:line="276" w:lineRule="auto"/>
              <w:ind w:left="-74" w:right="-105"/>
              <w:jc w:val="center"/>
            </w:pPr>
            <w:r w:rsidRPr="007B3230">
              <w:t>1,263</w:t>
            </w:r>
          </w:p>
        </w:tc>
        <w:tc>
          <w:tcPr>
            <w:tcW w:w="1573" w:type="dxa"/>
            <w:vAlign w:val="center"/>
          </w:tcPr>
          <w:p w14:paraId="5328868B" w14:textId="77777777" w:rsidR="00BE0DB6" w:rsidRPr="007B3230" w:rsidRDefault="00BE0DB6" w:rsidP="00BE0DB6">
            <w:pPr>
              <w:spacing w:after="0" w:line="276" w:lineRule="auto"/>
              <w:jc w:val="center"/>
            </w:pPr>
            <w:r w:rsidRPr="007B3230">
              <w:t>0.72%</w:t>
            </w:r>
          </w:p>
        </w:tc>
        <w:tc>
          <w:tcPr>
            <w:tcW w:w="1573" w:type="dxa"/>
            <w:vAlign w:val="center"/>
          </w:tcPr>
          <w:p w14:paraId="54BE645A" w14:textId="77777777" w:rsidR="00BE0DB6" w:rsidRPr="007B3230" w:rsidRDefault="00BE0DB6" w:rsidP="00BE0DB6">
            <w:pPr>
              <w:spacing w:after="0" w:line="276" w:lineRule="auto"/>
              <w:jc w:val="center"/>
            </w:pPr>
            <w:r w:rsidRPr="007B3230">
              <w:t>157</w:t>
            </w:r>
          </w:p>
        </w:tc>
        <w:tc>
          <w:tcPr>
            <w:tcW w:w="1573" w:type="dxa"/>
            <w:vAlign w:val="center"/>
          </w:tcPr>
          <w:p w14:paraId="271CB314" w14:textId="77777777" w:rsidR="00BE0DB6" w:rsidRPr="007B3230" w:rsidRDefault="00BE0DB6" w:rsidP="00BE0DB6">
            <w:pPr>
              <w:spacing w:after="0" w:line="276" w:lineRule="auto"/>
              <w:jc w:val="center"/>
            </w:pPr>
            <w:r w:rsidRPr="007B3230">
              <w:t>0.93%</w:t>
            </w:r>
          </w:p>
        </w:tc>
        <w:tc>
          <w:tcPr>
            <w:tcW w:w="1573" w:type="dxa"/>
            <w:vAlign w:val="center"/>
          </w:tcPr>
          <w:p w14:paraId="130ECCB4" w14:textId="77777777" w:rsidR="00BE0DB6" w:rsidRPr="007B3230" w:rsidRDefault="00BE0DB6" w:rsidP="00BE0DB6">
            <w:pPr>
              <w:spacing w:after="0" w:line="276" w:lineRule="auto"/>
              <w:jc w:val="center"/>
            </w:pPr>
            <w:r w:rsidRPr="007B3230">
              <w:t>0.21</w:t>
            </w:r>
          </w:p>
        </w:tc>
      </w:tr>
      <w:tr w:rsidR="00BE0DB6" w:rsidRPr="007B3230" w14:paraId="09D0276B" w14:textId="77777777" w:rsidTr="00BE0DB6">
        <w:trPr>
          <w:trHeight w:val="432"/>
        </w:trPr>
        <w:tc>
          <w:tcPr>
            <w:tcW w:w="2935" w:type="dxa"/>
            <w:vAlign w:val="center"/>
          </w:tcPr>
          <w:p w14:paraId="71DE4F63" w14:textId="77777777" w:rsidR="00BE0DB6" w:rsidRPr="007B3230" w:rsidRDefault="00BE0DB6" w:rsidP="00BE0DB6">
            <w:pPr>
              <w:spacing w:after="0" w:line="276" w:lineRule="auto"/>
            </w:pPr>
            <w:r w:rsidRPr="007B3230">
              <w:t>Intellectual disability</w:t>
            </w:r>
          </w:p>
        </w:tc>
        <w:tc>
          <w:tcPr>
            <w:tcW w:w="1573" w:type="dxa"/>
            <w:vAlign w:val="center"/>
          </w:tcPr>
          <w:p w14:paraId="78988F9C" w14:textId="77777777" w:rsidR="00BE0DB6" w:rsidRPr="007B3230" w:rsidRDefault="00BE0DB6" w:rsidP="00BE0DB6">
            <w:pPr>
              <w:spacing w:after="0" w:line="276" w:lineRule="auto"/>
              <w:ind w:left="-74" w:right="-105"/>
              <w:jc w:val="center"/>
            </w:pPr>
            <w:r w:rsidRPr="007B3230">
              <w:t>8,783</w:t>
            </w:r>
          </w:p>
        </w:tc>
        <w:tc>
          <w:tcPr>
            <w:tcW w:w="1573" w:type="dxa"/>
            <w:vAlign w:val="center"/>
          </w:tcPr>
          <w:p w14:paraId="0FCA3D40" w14:textId="77777777" w:rsidR="00BE0DB6" w:rsidRPr="007B3230" w:rsidRDefault="00BE0DB6" w:rsidP="00BE0DB6">
            <w:pPr>
              <w:spacing w:after="0" w:line="276" w:lineRule="auto"/>
              <w:jc w:val="center"/>
            </w:pPr>
            <w:r w:rsidRPr="007B3230">
              <w:t>5.03%</w:t>
            </w:r>
          </w:p>
        </w:tc>
        <w:tc>
          <w:tcPr>
            <w:tcW w:w="1573" w:type="dxa"/>
            <w:vAlign w:val="center"/>
          </w:tcPr>
          <w:p w14:paraId="5C9C712D" w14:textId="77777777" w:rsidR="00BE0DB6" w:rsidRPr="007B3230" w:rsidRDefault="00BE0DB6" w:rsidP="00BE0DB6">
            <w:pPr>
              <w:spacing w:after="0" w:line="276" w:lineRule="auto"/>
              <w:jc w:val="center"/>
            </w:pPr>
            <w:r w:rsidRPr="007B3230">
              <w:t>776</w:t>
            </w:r>
          </w:p>
        </w:tc>
        <w:tc>
          <w:tcPr>
            <w:tcW w:w="1573" w:type="dxa"/>
            <w:vAlign w:val="center"/>
          </w:tcPr>
          <w:p w14:paraId="78AEBCA3" w14:textId="77777777" w:rsidR="00BE0DB6" w:rsidRPr="007B3230" w:rsidRDefault="00BE0DB6" w:rsidP="00BE0DB6">
            <w:pPr>
              <w:spacing w:after="0" w:line="276" w:lineRule="auto"/>
              <w:jc w:val="center"/>
            </w:pPr>
            <w:r w:rsidRPr="007B3230">
              <w:t>4.60%</w:t>
            </w:r>
          </w:p>
        </w:tc>
        <w:tc>
          <w:tcPr>
            <w:tcW w:w="1573" w:type="dxa"/>
            <w:vAlign w:val="center"/>
          </w:tcPr>
          <w:p w14:paraId="6287ABA1" w14:textId="77777777" w:rsidR="00BE0DB6" w:rsidRPr="007B3230" w:rsidRDefault="00BE0DB6" w:rsidP="00BE0DB6">
            <w:pPr>
              <w:spacing w:after="0" w:line="276" w:lineRule="auto"/>
              <w:jc w:val="center"/>
            </w:pPr>
            <w:r w:rsidRPr="007B3230">
              <w:t>-0.43</w:t>
            </w:r>
          </w:p>
        </w:tc>
      </w:tr>
      <w:tr w:rsidR="00BE0DB6" w:rsidRPr="007B3230" w14:paraId="1D5BEAA9" w14:textId="77777777" w:rsidTr="00BE0DB6">
        <w:trPr>
          <w:trHeight w:val="432"/>
        </w:trPr>
        <w:tc>
          <w:tcPr>
            <w:tcW w:w="2935" w:type="dxa"/>
            <w:vAlign w:val="center"/>
          </w:tcPr>
          <w:p w14:paraId="1184E4E1" w14:textId="77777777" w:rsidR="00BE0DB6" w:rsidRPr="007B3230" w:rsidRDefault="00BE0DB6" w:rsidP="00BE0DB6">
            <w:pPr>
              <w:spacing w:after="0" w:line="276" w:lineRule="auto"/>
            </w:pPr>
            <w:r w:rsidRPr="007B3230">
              <w:t>Multiple disabilities</w:t>
            </w:r>
          </w:p>
        </w:tc>
        <w:tc>
          <w:tcPr>
            <w:tcW w:w="1573" w:type="dxa"/>
            <w:vAlign w:val="center"/>
          </w:tcPr>
          <w:p w14:paraId="324D3746" w14:textId="77777777" w:rsidR="00BE0DB6" w:rsidRPr="007B3230" w:rsidRDefault="00BE0DB6" w:rsidP="00BE0DB6">
            <w:pPr>
              <w:spacing w:after="0" w:line="276" w:lineRule="auto"/>
              <w:ind w:left="-74" w:right="-105"/>
              <w:jc w:val="center"/>
            </w:pPr>
            <w:r w:rsidRPr="007B3230">
              <w:t>2,907</w:t>
            </w:r>
          </w:p>
        </w:tc>
        <w:tc>
          <w:tcPr>
            <w:tcW w:w="1573" w:type="dxa"/>
            <w:vAlign w:val="center"/>
          </w:tcPr>
          <w:p w14:paraId="574E405C" w14:textId="77777777" w:rsidR="00BE0DB6" w:rsidRPr="007B3230" w:rsidRDefault="00BE0DB6" w:rsidP="00BE0DB6">
            <w:pPr>
              <w:spacing w:after="0" w:line="276" w:lineRule="auto"/>
              <w:jc w:val="center"/>
            </w:pPr>
            <w:r w:rsidRPr="007B3230">
              <w:t>1.66%</w:t>
            </w:r>
          </w:p>
        </w:tc>
        <w:tc>
          <w:tcPr>
            <w:tcW w:w="1573" w:type="dxa"/>
            <w:vAlign w:val="center"/>
          </w:tcPr>
          <w:p w14:paraId="7007F1A5" w14:textId="77777777" w:rsidR="00BE0DB6" w:rsidRPr="007B3230" w:rsidRDefault="00BE0DB6" w:rsidP="00BE0DB6">
            <w:pPr>
              <w:spacing w:after="0" w:line="276" w:lineRule="auto"/>
              <w:jc w:val="center"/>
            </w:pPr>
            <w:r w:rsidRPr="007B3230">
              <w:t>2,907</w:t>
            </w:r>
          </w:p>
        </w:tc>
        <w:tc>
          <w:tcPr>
            <w:tcW w:w="1573" w:type="dxa"/>
            <w:vAlign w:val="center"/>
          </w:tcPr>
          <w:p w14:paraId="7BCE3A2E" w14:textId="77777777" w:rsidR="00BE0DB6" w:rsidRPr="007B3230" w:rsidRDefault="00BE0DB6" w:rsidP="00BE0DB6">
            <w:pPr>
              <w:spacing w:after="0" w:line="276" w:lineRule="auto"/>
              <w:jc w:val="center"/>
            </w:pPr>
            <w:r w:rsidRPr="007B3230">
              <w:t>17.22%</w:t>
            </w:r>
          </w:p>
        </w:tc>
        <w:tc>
          <w:tcPr>
            <w:tcW w:w="1573" w:type="dxa"/>
            <w:vAlign w:val="center"/>
          </w:tcPr>
          <w:p w14:paraId="319ADEA3" w14:textId="77777777" w:rsidR="00BE0DB6" w:rsidRPr="007B3230" w:rsidRDefault="00BE0DB6" w:rsidP="00BE0DB6">
            <w:pPr>
              <w:spacing w:after="0" w:line="276" w:lineRule="auto"/>
              <w:jc w:val="center"/>
            </w:pPr>
            <w:r w:rsidRPr="007B3230">
              <w:t>15.56</w:t>
            </w:r>
          </w:p>
        </w:tc>
      </w:tr>
      <w:tr w:rsidR="00BE0DB6" w:rsidRPr="007B3230" w14:paraId="03AC5405" w14:textId="77777777" w:rsidTr="00BE0DB6">
        <w:trPr>
          <w:trHeight w:val="432"/>
        </w:trPr>
        <w:tc>
          <w:tcPr>
            <w:tcW w:w="2935" w:type="dxa"/>
            <w:vAlign w:val="center"/>
          </w:tcPr>
          <w:p w14:paraId="6A4607E5" w14:textId="77777777" w:rsidR="00BE0DB6" w:rsidRPr="007B3230" w:rsidRDefault="00BE0DB6" w:rsidP="00BE0DB6">
            <w:pPr>
              <w:spacing w:after="0" w:line="276" w:lineRule="auto"/>
            </w:pPr>
            <w:r w:rsidRPr="007B3230">
              <w:rPr>
                <w:bCs/>
                <w:color w:val="000000" w:themeColor="text1"/>
              </w:rPr>
              <w:t>Orthopedic impairment</w:t>
            </w:r>
          </w:p>
        </w:tc>
        <w:tc>
          <w:tcPr>
            <w:tcW w:w="1573" w:type="dxa"/>
            <w:vAlign w:val="center"/>
          </w:tcPr>
          <w:p w14:paraId="1BA9C65E" w14:textId="77777777" w:rsidR="00BE0DB6" w:rsidRPr="007B3230" w:rsidRDefault="00BE0DB6" w:rsidP="00BE0DB6">
            <w:pPr>
              <w:spacing w:after="0" w:line="276" w:lineRule="auto"/>
              <w:ind w:left="-74" w:right="-105"/>
              <w:jc w:val="center"/>
            </w:pPr>
            <w:r w:rsidRPr="007B3230">
              <w:t>519</w:t>
            </w:r>
          </w:p>
        </w:tc>
        <w:tc>
          <w:tcPr>
            <w:tcW w:w="1573" w:type="dxa"/>
            <w:vAlign w:val="center"/>
          </w:tcPr>
          <w:p w14:paraId="5B2BC662" w14:textId="77777777" w:rsidR="00BE0DB6" w:rsidRPr="007B3230" w:rsidRDefault="00BE0DB6" w:rsidP="00BE0DB6">
            <w:pPr>
              <w:spacing w:after="0" w:line="276" w:lineRule="auto"/>
              <w:jc w:val="center"/>
            </w:pPr>
            <w:r w:rsidRPr="007B3230">
              <w:t>0.30%</w:t>
            </w:r>
          </w:p>
        </w:tc>
        <w:tc>
          <w:tcPr>
            <w:tcW w:w="1573" w:type="dxa"/>
            <w:vAlign w:val="center"/>
          </w:tcPr>
          <w:p w14:paraId="39668D52" w14:textId="77777777" w:rsidR="00BE0DB6" w:rsidRPr="007B3230" w:rsidRDefault="00BE0DB6" w:rsidP="00BE0DB6">
            <w:pPr>
              <w:spacing w:after="0" w:line="276" w:lineRule="auto"/>
              <w:jc w:val="center"/>
            </w:pPr>
            <w:r w:rsidRPr="007B3230">
              <w:t>66</w:t>
            </w:r>
          </w:p>
        </w:tc>
        <w:tc>
          <w:tcPr>
            <w:tcW w:w="1573" w:type="dxa"/>
            <w:vAlign w:val="center"/>
          </w:tcPr>
          <w:p w14:paraId="2E4855F6" w14:textId="77777777" w:rsidR="00BE0DB6" w:rsidRPr="007B3230" w:rsidRDefault="00BE0DB6" w:rsidP="00BE0DB6">
            <w:pPr>
              <w:spacing w:after="0" w:line="276" w:lineRule="auto"/>
              <w:jc w:val="center"/>
            </w:pPr>
            <w:r w:rsidRPr="007B3230">
              <w:t>0.39%</w:t>
            </w:r>
          </w:p>
        </w:tc>
        <w:tc>
          <w:tcPr>
            <w:tcW w:w="1573" w:type="dxa"/>
            <w:vAlign w:val="center"/>
          </w:tcPr>
          <w:p w14:paraId="281689AC" w14:textId="77777777" w:rsidR="00BE0DB6" w:rsidRPr="007B3230" w:rsidRDefault="00BE0DB6" w:rsidP="00BE0DB6">
            <w:pPr>
              <w:spacing w:after="0" w:line="276" w:lineRule="auto"/>
              <w:jc w:val="center"/>
            </w:pPr>
            <w:r w:rsidRPr="007B3230">
              <w:t>0.09</w:t>
            </w:r>
          </w:p>
        </w:tc>
      </w:tr>
      <w:tr w:rsidR="00BE0DB6" w:rsidRPr="007B3230" w14:paraId="13B41121" w14:textId="77777777" w:rsidTr="00BE0DB6">
        <w:trPr>
          <w:trHeight w:val="432"/>
        </w:trPr>
        <w:tc>
          <w:tcPr>
            <w:tcW w:w="2935" w:type="dxa"/>
            <w:vAlign w:val="center"/>
          </w:tcPr>
          <w:p w14:paraId="051FF0B4" w14:textId="77777777" w:rsidR="00BE0DB6" w:rsidRPr="007B3230" w:rsidRDefault="00BE0DB6" w:rsidP="00BE0DB6">
            <w:pPr>
              <w:spacing w:after="0" w:line="276" w:lineRule="auto"/>
            </w:pPr>
            <w:r w:rsidRPr="007B3230">
              <w:rPr>
                <w:bCs/>
                <w:color w:val="000000" w:themeColor="text1"/>
              </w:rPr>
              <w:t>Other health impairment</w:t>
            </w:r>
          </w:p>
        </w:tc>
        <w:tc>
          <w:tcPr>
            <w:tcW w:w="1573" w:type="dxa"/>
            <w:vAlign w:val="center"/>
          </w:tcPr>
          <w:p w14:paraId="3561D54D" w14:textId="77777777" w:rsidR="00BE0DB6" w:rsidRPr="007B3230" w:rsidRDefault="00BE0DB6" w:rsidP="00BE0DB6">
            <w:pPr>
              <w:spacing w:after="0" w:line="276" w:lineRule="auto"/>
              <w:ind w:left="-74" w:right="-105"/>
              <w:jc w:val="center"/>
            </w:pPr>
            <w:r w:rsidRPr="007B3230">
              <w:t>35,980</w:t>
            </w:r>
          </w:p>
        </w:tc>
        <w:tc>
          <w:tcPr>
            <w:tcW w:w="1573" w:type="dxa"/>
            <w:vAlign w:val="center"/>
          </w:tcPr>
          <w:p w14:paraId="0540AF63" w14:textId="77777777" w:rsidR="00BE0DB6" w:rsidRPr="007B3230" w:rsidRDefault="00BE0DB6" w:rsidP="00BE0DB6">
            <w:pPr>
              <w:spacing w:after="0" w:line="276" w:lineRule="auto"/>
              <w:jc w:val="center"/>
            </w:pPr>
            <w:r w:rsidRPr="007B3230">
              <w:t>20.60%</w:t>
            </w:r>
          </w:p>
        </w:tc>
        <w:tc>
          <w:tcPr>
            <w:tcW w:w="1573" w:type="dxa"/>
            <w:vAlign w:val="center"/>
          </w:tcPr>
          <w:p w14:paraId="1D951639" w14:textId="77777777" w:rsidR="00BE0DB6" w:rsidRPr="007B3230" w:rsidRDefault="00BE0DB6" w:rsidP="00BE0DB6">
            <w:pPr>
              <w:spacing w:after="0" w:line="276" w:lineRule="auto"/>
              <w:jc w:val="center"/>
            </w:pPr>
            <w:r w:rsidRPr="007B3230">
              <w:t>1,397</w:t>
            </w:r>
          </w:p>
        </w:tc>
        <w:tc>
          <w:tcPr>
            <w:tcW w:w="1573" w:type="dxa"/>
            <w:vAlign w:val="center"/>
          </w:tcPr>
          <w:p w14:paraId="7B825774" w14:textId="77777777" w:rsidR="00BE0DB6" w:rsidRPr="007B3230" w:rsidRDefault="00BE0DB6" w:rsidP="00BE0DB6">
            <w:pPr>
              <w:spacing w:after="0" w:line="276" w:lineRule="auto"/>
              <w:jc w:val="center"/>
            </w:pPr>
            <w:r w:rsidRPr="007B3230">
              <w:t>8.28%</w:t>
            </w:r>
          </w:p>
        </w:tc>
        <w:tc>
          <w:tcPr>
            <w:tcW w:w="1573" w:type="dxa"/>
            <w:vAlign w:val="center"/>
          </w:tcPr>
          <w:p w14:paraId="5261F9AC" w14:textId="77777777" w:rsidR="00BE0DB6" w:rsidRPr="007B3230" w:rsidRDefault="00BE0DB6" w:rsidP="00BE0DB6">
            <w:pPr>
              <w:spacing w:after="0" w:line="276" w:lineRule="auto"/>
              <w:jc w:val="center"/>
            </w:pPr>
            <w:r w:rsidRPr="007B3230">
              <w:t>-12.33</w:t>
            </w:r>
          </w:p>
        </w:tc>
      </w:tr>
      <w:tr w:rsidR="00BE0DB6" w:rsidRPr="007B3230" w14:paraId="19FD8DE4" w14:textId="77777777" w:rsidTr="00BE0DB6">
        <w:trPr>
          <w:trHeight w:val="432"/>
        </w:trPr>
        <w:tc>
          <w:tcPr>
            <w:tcW w:w="2935" w:type="dxa"/>
            <w:vAlign w:val="center"/>
          </w:tcPr>
          <w:p w14:paraId="7E01EA10" w14:textId="77777777" w:rsidR="00BE0DB6" w:rsidRPr="007B3230" w:rsidRDefault="00BE0DB6" w:rsidP="00BE0DB6">
            <w:pPr>
              <w:spacing w:after="0" w:line="276" w:lineRule="auto"/>
            </w:pPr>
            <w:r w:rsidRPr="007B3230">
              <w:rPr>
                <w:bCs/>
                <w:color w:val="000000" w:themeColor="text1"/>
              </w:rPr>
              <w:t>Specific learning disability</w:t>
            </w:r>
          </w:p>
        </w:tc>
        <w:tc>
          <w:tcPr>
            <w:tcW w:w="1573" w:type="dxa"/>
            <w:vAlign w:val="center"/>
          </w:tcPr>
          <w:p w14:paraId="2A7D682B" w14:textId="77777777" w:rsidR="00BE0DB6" w:rsidRPr="007B3230" w:rsidRDefault="00BE0DB6" w:rsidP="00BE0DB6">
            <w:pPr>
              <w:spacing w:after="0" w:line="276" w:lineRule="auto"/>
              <w:ind w:left="-74" w:right="-105"/>
              <w:jc w:val="center"/>
            </w:pPr>
            <w:r w:rsidRPr="007B3230">
              <w:t>54,136</w:t>
            </w:r>
          </w:p>
        </w:tc>
        <w:tc>
          <w:tcPr>
            <w:tcW w:w="1573" w:type="dxa"/>
            <w:vAlign w:val="center"/>
          </w:tcPr>
          <w:p w14:paraId="2811F2F1" w14:textId="77777777" w:rsidR="00BE0DB6" w:rsidRPr="007B3230" w:rsidRDefault="00BE0DB6" w:rsidP="00BE0DB6">
            <w:pPr>
              <w:spacing w:after="0" w:line="276" w:lineRule="auto"/>
              <w:jc w:val="center"/>
            </w:pPr>
            <w:r w:rsidRPr="007B3230">
              <w:t>31.00%</w:t>
            </w:r>
          </w:p>
        </w:tc>
        <w:tc>
          <w:tcPr>
            <w:tcW w:w="1573" w:type="dxa"/>
            <w:vAlign w:val="center"/>
          </w:tcPr>
          <w:p w14:paraId="53A1DFAA" w14:textId="77777777" w:rsidR="00BE0DB6" w:rsidRPr="007B3230" w:rsidRDefault="00BE0DB6" w:rsidP="00BE0DB6">
            <w:pPr>
              <w:spacing w:after="0" w:line="276" w:lineRule="auto"/>
              <w:jc w:val="center"/>
            </w:pPr>
            <w:r w:rsidRPr="007B3230">
              <w:t>3,549</w:t>
            </w:r>
          </w:p>
        </w:tc>
        <w:tc>
          <w:tcPr>
            <w:tcW w:w="1573" w:type="dxa"/>
            <w:vAlign w:val="center"/>
          </w:tcPr>
          <w:p w14:paraId="040E6DFA" w14:textId="77777777" w:rsidR="00BE0DB6" w:rsidRPr="007B3230" w:rsidRDefault="00BE0DB6" w:rsidP="00BE0DB6">
            <w:pPr>
              <w:spacing w:after="0" w:line="276" w:lineRule="auto"/>
              <w:jc w:val="center"/>
            </w:pPr>
            <w:r w:rsidRPr="007B3230">
              <w:t>21.03%</w:t>
            </w:r>
          </w:p>
        </w:tc>
        <w:tc>
          <w:tcPr>
            <w:tcW w:w="1573" w:type="dxa"/>
            <w:vAlign w:val="center"/>
          </w:tcPr>
          <w:p w14:paraId="389DD4E8" w14:textId="77777777" w:rsidR="00BE0DB6" w:rsidRPr="007B3230" w:rsidRDefault="00BE0DB6" w:rsidP="00BE0DB6">
            <w:pPr>
              <w:spacing w:after="0" w:line="276" w:lineRule="auto"/>
              <w:jc w:val="center"/>
            </w:pPr>
            <w:r w:rsidRPr="007B3230">
              <w:t>-9.97</w:t>
            </w:r>
          </w:p>
        </w:tc>
      </w:tr>
      <w:tr w:rsidR="00BE0DB6" w:rsidRPr="007B3230" w14:paraId="1CBDA9B7" w14:textId="77777777" w:rsidTr="00BE0DB6">
        <w:trPr>
          <w:trHeight w:val="432"/>
        </w:trPr>
        <w:tc>
          <w:tcPr>
            <w:tcW w:w="2935" w:type="dxa"/>
            <w:vAlign w:val="center"/>
          </w:tcPr>
          <w:p w14:paraId="2F3933DA" w14:textId="77777777" w:rsidR="00BE0DB6" w:rsidRPr="007B3230" w:rsidRDefault="00BE0DB6" w:rsidP="00BE0DB6">
            <w:pPr>
              <w:spacing w:after="0" w:line="276" w:lineRule="auto"/>
            </w:pPr>
            <w:r w:rsidRPr="007B3230">
              <w:rPr>
                <w:bCs/>
                <w:color w:val="000000" w:themeColor="text1"/>
              </w:rPr>
              <w:t>Speech or language impairment</w:t>
            </w:r>
          </w:p>
        </w:tc>
        <w:tc>
          <w:tcPr>
            <w:tcW w:w="1573" w:type="dxa"/>
            <w:vAlign w:val="center"/>
          </w:tcPr>
          <w:p w14:paraId="40870BBC" w14:textId="77777777" w:rsidR="00BE0DB6" w:rsidRPr="007B3230" w:rsidRDefault="00BE0DB6" w:rsidP="00BE0DB6">
            <w:pPr>
              <w:spacing w:after="0" w:line="276" w:lineRule="auto"/>
              <w:ind w:left="-74" w:right="-105"/>
              <w:jc w:val="center"/>
            </w:pPr>
            <w:r w:rsidRPr="007B3230">
              <w:t>23,411</w:t>
            </w:r>
          </w:p>
        </w:tc>
        <w:tc>
          <w:tcPr>
            <w:tcW w:w="1573" w:type="dxa"/>
            <w:vAlign w:val="center"/>
          </w:tcPr>
          <w:p w14:paraId="17DA0776" w14:textId="77777777" w:rsidR="00BE0DB6" w:rsidRPr="007B3230" w:rsidRDefault="00BE0DB6" w:rsidP="00BE0DB6">
            <w:pPr>
              <w:spacing w:after="0" w:line="276" w:lineRule="auto"/>
              <w:jc w:val="center"/>
            </w:pPr>
            <w:r w:rsidRPr="007B3230">
              <w:t>13.41%</w:t>
            </w:r>
          </w:p>
        </w:tc>
        <w:tc>
          <w:tcPr>
            <w:tcW w:w="1573" w:type="dxa"/>
            <w:vAlign w:val="center"/>
          </w:tcPr>
          <w:p w14:paraId="225CFD61" w14:textId="77777777" w:rsidR="00BE0DB6" w:rsidRPr="007B3230" w:rsidRDefault="00BE0DB6" w:rsidP="00BE0DB6">
            <w:pPr>
              <w:spacing w:after="0" w:line="276" w:lineRule="auto"/>
              <w:jc w:val="center"/>
            </w:pPr>
            <w:r w:rsidRPr="007B3230">
              <w:t>2,499</w:t>
            </w:r>
          </w:p>
        </w:tc>
        <w:tc>
          <w:tcPr>
            <w:tcW w:w="1573" w:type="dxa"/>
            <w:vAlign w:val="center"/>
          </w:tcPr>
          <w:p w14:paraId="64713EF7" w14:textId="77777777" w:rsidR="00BE0DB6" w:rsidRPr="007B3230" w:rsidRDefault="00BE0DB6" w:rsidP="00BE0DB6">
            <w:pPr>
              <w:spacing w:after="0" w:line="276" w:lineRule="auto"/>
              <w:jc w:val="center"/>
            </w:pPr>
            <w:r w:rsidRPr="007B3230">
              <w:t>14.81%</w:t>
            </w:r>
          </w:p>
        </w:tc>
        <w:tc>
          <w:tcPr>
            <w:tcW w:w="1573" w:type="dxa"/>
            <w:vAlign w:val="center"/>
          </w:tcPr>
          <w:p w14:paraId="67896391" w14:textId="77777777" w:rsidR="00BE0DB6" w:rsidRPr="007B3230" w:rsidRDefault="00BE0DB6" w:rsidP="00BE0DB6">
            <w:pPr>
              <w:spacing w:after="0" w:line="276" w:lineRule="auto"/>
              <w:jc w:val="center"/>
            </w:pPr>
            <w:r w:rsidRPr="007B3230">
              <w:t>1.40</w:t>
            </w:r>
          </w:p>
        </w:tc>
      </w:tr>
      <w:tr w:rsidR="00BE0DB6" w:rsidRPr="007B3230" w14:paraId="4337933F" w14:textId="77777777" w:rsidTr="00BE0DB6">
        <w:trPr>
          <w:trHeight w:val="432"/>
        </w:trPr>
        <w:tc>
          <w:tcPr>
            <w:tcW w:w="2935" w:type="dxa"/>
            <w:vAlign w:val="center"/>
          </w:tcPr>
          <w:p w14:paraId="33248482" w14:textId="77777777" w:rsidR="00BE0DB6" w:rsidRPr="007B3230" w:rsidRDefault="00BE0DB6" w:rsidP="00BE0DB6">
            <w:pPr>
              <w:spacing w:after="0" w:line="276" w:lineRule="auto"/>
            </w:pPr>
            <w:r w:rsidRPr="007B3230">
              <w:rPr>
                <w:bCs/>
                <w:color w:val="000000" w:themeColor="text1"/>
              </w:rPr>
              <w:t>Traumatic brain injury</w:t>
            </w:r>
          </w:p>
        </w:tc>
        <w:tc>
          <w:tcPr>
            <w:tcW w:w="1573" w:type="dxa"/>
            <w:vAlign w:val="center"/>
          </w:tcPr>
          <w:p w14:paraId="1AFC3D74" w14:textId="77777777" w:rsidR="00BE0DB6" w:rsidRPr="007B3230" w:rsidRDefault="00BE0DB6" w:rsidP="00BE0DB6">
            <w:pPr>
              <w:spacing w:after="0" w:line="276" w:lineRule="auto"/>
              <w:ind w:left="-74" w:right="-105"/>
              <w:jc w:val="center"/>
            </w:pPr>
            <w:r w:rsidRPr="007B3230">
              <w:t>377</w:t>
            </w:r>
          </w:p>
        </w:tc>
        <w:tc>
          <w:tcPr>
            <w:tcW w:w="1573" w:type="dxa"/>
            <w:vAlign w:val="center"/>
          </w:tcPr>
          <w:p w14:paraId="59CE56E4" w14:textId="77777777" w:rsidR="00BE0DB6" w:rsidRPr="007B3230" w:rsidRDefault="00BE0DB6" w:rsidP="00BE0DB6">
            <w:pPr>
              <w:spacing w:after="0" w:line="276" w:lineRule="auto"/>
              <w:jc w:val="center"/>
            </w:pPr>
            <w:r w:rsidRPr="007B3230">
              <w:t>0.22%</w:t>
            </w:r>
          </w:p>
        </w:tc>
        <w:tc>
          <w:tcPr>
            <w:tcW w:w="1573" w:type="dxa"/>
            <w:vAlign w:val="center"/>
          </w:tcPr>
          <w:p w14:paraId="5BE85B2B" w14:textId="77777777" w:rsidR="00BE0DB6" w:rsidRPr="007B3230" w:rsidRDefault="00BE0DB6" w:rsidP="00BE0DB6">
            <w:pPr>
              <w:spacing w:after="0" w:line="276" w:lineRule="auto"/>
              <w:jc w:val="center"/>
            </w:pPr>
            <w:r w:rsidRPr="007B3230">
              <w:t>57</w:t>
            </w:r>
          </w:p>
        </w:tc>
        <w:tc>
          <w:tcPr>
            <w:tcW w:w="1573" w:type="dxa"/>
            <w:vAlign w:val="center"/>
          </w:tcPr>
          <w:p w14:paraId="7BFE6180" w14:textId="77777777" w:rsidR="00BE0DB6" w:rsidRPr="007B3230" w:rsidRDefault="00BE0DB6" w:rsidP="00BE0DB6">
            <w:pPr>
              <w:spacing w:after="0" w:line="276" w:lineRule="auto"/>
              <w:jc w:val="center"/>
            </w:pPr>
            <w:r w:rsidRPr="007B3230">
              <w:t>0.34%</w:t>
            </w:r>
          </w:p>
        </w:tc>
        <w:tc>
          <w:tcPr>
            <w:tcW w:w="1573" w:type="dxa"/>
            <w:vAlign w:val="center"/>
          </w:tcPr>
          <w:p w14:paraId="68EF6661" w14:textId="77777777" w:rsidR="00BE0DB6" w:rsidRPr="007B3230" w:rsidRDefault="00BE0DB6" w:rsidP="00BE0DB6">
            <w:pPr>
              <w:spacing w:after="0" w:line="276" w:lineRule="auto"/>
              <w:jc w:val="center"/>
            </w:pPr>
            <w:r w:rsidRPr="007B3230">
              <w:t>0.12</w:t>
            </w:r>
          </w:p>
        </w:tc>
      </w:tr>
      <w:tr w:rsidR="00BE0DB6" w:rsidRPr="007B3230" w14:paraId="59940EDF" w14:textId="77777777" w:rsidTr="00BE0DB6">
        <w:trPr>
          <w:trHeight w:val="432"/>
        </w:trPr>
        <w:tc>
          <w:tcPr>
            <w:tcW w:w="2935" w:type="dxa"/>
            <w:vAlign w:val="center"/>
          </w:tcPr>
          <w:p w14:paraId="4618A2F7" w14:textId="77777777" w:rsidR="00BE0DB6" w:rsidRPr="007B3230" w:rsidRDefault="00BE0DB6" w:rsidP="00BE0DB6">
            <w:pPr>
              <w:spacing w:after="0" w:line="276" w:lineRule="auto"/>
            </w:pPr>
            <w:r w:rsidRPr="007B3230">
              <w:rPr>
                <w:bCs/>
                <w:color w:val="000000" w:themeColor="text1"/>
              </w:rPr>
              <w:t>Visual impairment</w:t>
            </w:r>
          </w:p>
        </w:tc>
        <w:tc>
          <w:tcPr>
            <w:tcW w:w="1573" w:type="dxa"/>
            <w:vAlign w:val="center"/>
          </w:tcPr>
          <w:p w14:paraId="3A30B7B8" w14:textId="77777777" w:rsidR="00BE0DB6" w:rsidRPr="007B3230" w:rsidRDefault="00BE0DB6" w:rsidP="00BE0DB6">
            <w:pPr>
              <w:spacing w:after="0" w:line="276" w:lineRule="auto"/>
              <w:ind w:left="-74" w:right="-105"/>
              <w:jc w:val="center"/>
            </w:pPr>
            <w:r w:rsidRPr="007B3230">
              <w:t>559</w:t>
            </w:r>
          </w:p>
        </w:tc>
        <w:tc>
          <w:tcPr>
            <w:tcW w:w="1573" w:type="dxa"/>
            <w:vAlign w:val="center"/>
          </w:tcPr>
          <w:p w14:paraId="7A04ED73" w14:textId="77777777" w:rsidR="00BE0DB6" w:rsidRPr="007B3230" w:rsidRDefault="00BE0DB6" w:rsidP="00BE0DB6">
            <w:pPr>
              <w:spacing w:after="0" w:line="276" w:lineRule="auto"/>
              <w:jc w:val="center"/>
            </w:pPr>
            <w:r w:rsidRPr="007B3230">
              <w:t>0.32%</w:t>
            </w:r>
          </w:p>
        </w:tc>
        <w:tc>
          <w:tcPr>
            <w:tcW w:w="1573" w:type="dxa"/>
            <w:vAlign w:val="center"/>
          </w:tcPr>
          <w:p w14:paraId="2A164C4A" w14:textId="77777777" w:rsidR="00BE0DB6" w:rsidRPr="007B3230" w:rsidRDefault="00BE0DB6" w:rsidP="00BE0DB6">
            <w:pPr>
              <w:spacing w:after="0" w:line="276" w:lineRule="auto"/>
              <w:jc w:val="center"/>
            </w:pPr>
            <w:r w:rsidRPr="007B3230">
              <w:t>112</w:t>
            </w:r>
          </w:p>
        </w:tc>
        <w:tc>
          <w:tcPr>
            <w:tcW w:w="1573" w:type="dxa"/>
            <w:vAlign w:val="center"/>
          </w:tcPr>
          <w:p w14:paraId="347981EF" w14:textId="77777777" w:rsidR="00BE0DB6" w:rsidRPr="007B3230" w:rsidRDefault="00BE0DB6" w:rsidP="00BE0DB6">
            <w:pPr>
              <w:spacing w:after="0" w:line="276" w:lineRule="auto"/>
              <w:jc w:val="center"/>
            </w:pPr>
            <w:r w:rsidRPr="007B3230">
              <w:t>0.66%</w:t>
            </w:r>
          </w:p>
        </w:tc>
        <w:tc>
          <w:tcPr>
            <w:tcW w:w="1573" w:type="dxa"/>
            <w:vAlign w:val="center"/>
          </w:tcPr>
          <w:p w14:paraId="347A7981" w14:textId="77777777" w:rsidR="00BE0DB6" w:rsidRPr="007B3230" w:rsidRDefault="00BE0DB6" w:rsidP="00BE0DB6">
            <w:pPr>
              <w:spacing w:after="0" w:line="276" w:lineRule="auto"/>
              <w:jc w:val="center"/>
            </w:pPr>
            <w:r w:rsidRPr="007B3230">
              <w:t>0.34</w:t>
            </w:r>
          </w:p>
        </w:tc>
      </w:tr>
    </w:tbl>
    <w:p w14:paraId="49BBE654" w14:textId="77777777" w:rsidR="007C4549" w:rsidRPr="007B3230" w:rsidRDefault="00090132" w:rsidP="007C4549">
      <w:pPr>
        <w:spacing w:before="240"/>
        <w:rPr>
          <w:b/>
          <w:bCs/>
        </w:rPr>
      </w:pPr>
      <w:r w:rsidRPr="007B3230">
        <w:rPr>
          <w:b/>
          <w:bCs/>
        </w:rPr>
        <w:t>The demographics of the parents responding are representative of the demographics of children receiving special education services. (yes/no)</w:t>
      </w:r>
    </w:p>
    <w:p w14:paraId="04BD7CC9" w14:textId="05405C6B" w:rsidR="002B48E1" w:rsidRPr="00533C0E" w:rsidRDefault="00016817" w:rsidP="00314F94">
      <w:pPr>
        <w:pStyle w:val="ListParagraph"/>
        <w:numPr>
          <w:ilvl w:val="0"/>
          <w:numId w:val="180"/>
        </w:numPr>
        <w:spacing w:before="240" w:after="200"/>
        <w:rPr>
          <w:b/>
          <w:bCs/>
        </w:rPr>
      </w:pPr>
      <w:r w:rsidRPr="00533C0E">
        <w:rPr>
          <w:bCs/>
          <w:color w:val="000000" w:themeColor="text1"/>
        </w:rPr>
        <w:t>No</w:t>
      </w:r>
      <w:r w:rsidR="002B48E1" w:rsidRPr="00533C0E">
        <w:rPr>
          <w:b/>
          <w:bCs/>
        </w:rPr>
        <w:br w:type="page"/>
      </w:r>
    </w:p>
    <w:p w14:paraId="69859EB1" w14:textId="16603AD3" w:rsidR="007C4549" w:rsidRPr="007B3230" w:rsidRDefault="00090132" w:rsidP="007C4549">
      <w:pPr>
        <w:rPr>
          <w:b/>
          <w:bCs/>
        </w:rPr>
      </w:pPr>
      <w:r w:rsidRPr="007B3230">
        <w:rPr>
          <w:b/>
          <w:bCs/>
        </w:rPr>
        <w:lastRenderedPageBreak/>
        <w:t>If no, describe the strategies that the State will use to ensure that in the future the response data are representative of those demographics.</w:t>
      </w:r>
    </w:p>
    <w:p w14:paraId="3C0DCBDF" w14:textId="4880033A" w:rsidR="00090132" w:rsidRPr="00533C0E" w:rsidRDefault="00090132" w:rsidP="00314F94">
      <w:pPr>
        <w:pStyle w:val="ListParagraph"/>
        <w:numPr>
          <w:ilvl w:val="0"/>
          <w:numId w:val="181"/>
        </w:numPr>
        <w:rPr>
          <w:b/>
          <w:bCs/>
        </w:rPr>
      </w:pPr>
      <w:r w:rsidRPr="00533C0E">
        <w:rPr>
          <w:bCs/>
          <w:color w:val="000000" w:themeColor="text1"/>
        </w:rPr>
        <w:t>To continue to improve representativeness of responses to the parent survey, VDOE’s Family Engagement Specialist will continue to present information about the parent survey to the VDOE Special Education Council and lead focused discussions about ways to improve response rates from the currently underrepresented groups described above. The VDOE Family Engagement Specialist will continue working with SSEAC and local special education advisory committees to provide suggestions for ways to improve both response rates and representativeness, including encouraging school districts to post the survey information and link on the districts’ websites and/or email the survey link to all parents of their students with disabilities. In addition, VDOE’s Family Engagement Specialist will continue communicating with FEN members and work more directly with those community organizations to train families in their region of the State about the parent survey, with a specific emphasis on outreach to families of children with disabilities in the underrepresented racial/ethnic and primary disability demographic groups.</w:t>
      </w:r>
    </w:p>
    <w:p w14:paraId="7EC5A8B4" w14:textId="77777777" w:rsidR="007C4549" w:rsidRPr="007B3230" w:rsidRDefault="00090132" w:rsidP="007C4549">
      <w:pPr>
        <w:rPr>
          <w:b/>
          <w:bCs/>
        </w:rPr>
      </w:pPr>
      <w:r w:rsidRPr="007B3230">
        <w:rPr>
          <w:b/>
          <w:bCs/>
        </w:rPr>
        <w:t>Describe the metric used to determine representativeness (e.g., +/- 3% discrepancy in the proportion of responders compared to target group).</w:t>
      </w:r>
    </w:p>
    <w:p w14:paraId="206EFA69" w14:textId="4DE25437" w:rsidR="00090132" w:rsidRPr="00533C0E" w:rsidRDefault="00090132" w:rsidP="00314F94">
      <w:pPr>
        <w:pStyle w:val="ListParagraph"/>
        <w:numPr>
          <w:ilvl w:val="0"/>
          <w:numId w:val="182"/>
        </w:numPr>
        <w:rPr>
          <w:b/>
          <w:bCs/>
        </w:rPr>
      </w:pPr>
      <w:r w:rsidRPr="00533C0E">
        <w:rPr>
          <w:bCs/>
        </w:rPr>
        <w:t>The measure used to determine representativeness was +/- 3 percentage point difference in the proportion of responders as compared to the target population.</w:t>
      </w:r>
    </w:p>
    <w:p w14:paraId="17672249" w14:textId="76E69433" w:rsidR="005D2687" w:rsidRPr="007B3230" w:rsidRDefault="007C4549" w:rsidP="007E7C94">
      <w:pPr>
        <w:pStyle w:val="Caption"/>
      </w:pPr>
      <w:bookmarkStart w:id="63" w:name="_Hlk121844048"/>
      <w:r w:rsidRPr="007B3230">
        <w:t>Indicator 8 Sampling Question</w:t>
      </w:r>
    </w:p>
    <w:tbl>
      <w:tblPr>
        <w:tblStyle w:val="TableGrid"/>
        <w:tblW w:w="10795" w:type="dxa"/>
        <w:tblLayout w:type="fixed"/>
        <w:tblLook w:val="04A0" w:firstRow="1" w:lastRow="0" w:firstColumn="1" w:lastColumn="0" w:noHBand="0" w:noVBand="1"/>
        <w:tblDescription w:val="Table provides sampling question(s) and answer(s) for this indicator."/>
      </w:tblPr>
      <w:tblGrid>
        <w:gridCol w:w="8550"/>
        <w:gridCol w:w="2245"/>
      </w:tblGrid>
      <w:tr w:rsidR="005C29F8" w:rsidRPr="007B3230" w14:paraId="4C454EA6" w14:textId="77777777" w:rsidTr="005D2687">
        <w:trPr>
          <w:trHeight w:val="432"/>
          <w:tblHeader/>
        </w:trPr>
        <w:tc>
          <w:tcPr>
            <w:tcW w:w="8550" w:type="dxa"/>
            <w:shd w:val="clear" w:color="auto" w:fill="D9D9D9" w:themeFill="background1" w:themeFillShade="D9"/>
            <w:vAlign w:val="center"/>
          </w:tcPr>
          <w:bookmarkEnd w:id="63"/>
          <w:p w14:paraId="641A3E2E" w14:textId="371AB589" w:rsidR="00564D95" w:rsidRPr="007B3230" w:rsidRDefault="00E91363" w:rsidP="005D2687">
            <w:pPr>
              <w:spacing w:after="0" w:line="276" w:lineRule="auto"/>
              <w:rPr>
                <w:rFonts w:cs="Arial"/>
                <w:b/>
                <w:bCs/>
                <w:color w:val="000000" w:themeColor="text1"/>
                <w:szCs w:val="16"/>
              </w:rPr>
            </w:pPr>
            <w:r w:rsidRPr="007B3230">
              <w:rPr>
                <w:rFonts w:cs="Arial"/>
                <w:b/>
                <w:bCs/>
                <w:color w:val="000000" w:themeColor="text1"/>
                <w:szCs w:val="16"/>
              </w:rPr>
              <w:t>Sampling Question</w:t>
            </w:r>
          </w:p>
        </w:tc>
        <w:tc>
          <w:tcPr>
            <w:tcW w:w="2245" w:type="dxa"/>
            <w:shd w:val="clear" w:color="auto" w:fill="D9D9D9" w:themeFill="background1" w:themeFillShade="D9"/>
            <w:vAlign w:val="center"/>
          </w:tcPr>
          <w:p w14:paraId="5DD050D6" w14:textId="45F46418" w:rsidR="00564D95" w:rsidRPr="007B3230" w:rsidRDefault="00564D95" w:rsidP="005D2687">
            <w:pPr>
              <w:spacing w:after="0" w:line="276" w:lineRule="auto"/>
              <w:jc w:val="center"/>
              <w:rPr>
                <w:rFonts w:cs="Arial"/>
                <w:b/>
                <w:color w:val="000000" w:themeColor="text1"/>
                <w:szCs w:val="16"/>
              </w:rPr>
            </w:pPr>
            <w:r w:rsidRPr="007B3230">
              <w:rPr>
                <w:rFonts w:cs="Arial"/>
                <w:b/>
                <w:color w:val="000000" w:themeColor="text1"/>
                <w:szCs w:val="16"/>
              </w:rPr>
              <w:t>Yes / No</w:t>
            </w:r>
          </w:p>
        </w:tc>
      </w:tr>
      <w:tr w:rsidR="005C29F8" w:rsidRPr="007B3230" w14:paraId="65780CF1" w14:textId="46D0A53A" w:rsidTr="005D2687">
        <w:trPr>
          <w:trHeight w:val="432"/>
        </w:trPr>
        <w:tc>
          <w:tcPr>
            <w:tcW w:w="8550" w:type="dxa"/>
            <w:shd w:val="clear" w:color="auto" w:fill="auto"/>
            <w:vAlign w:val="center"/>
          </w:tcPr>
          <w:p w14:paraId="43F69327" w14:textId="1229D955" w:rsidR="00564D95" w:rsidRPr="007B3230" w:rsidRDefault="00564D95" w:rsidP="005D2687">
            <w:pPr>
              <w:spacing w:after="0" w:line="276" w:lineRule="auto"/>
              <w:rPr>
                <w:rFonts w:cs="Arial"/>
                <w:color w:val="000000" w:themeColor="text1"/>
                <w:szCs w:val="16"/>
              </w:rPr>
            </w:pPr>
            <w:r w:rsidRPr="007B3230">
              <w:rPr>
                <w:rFonts w:cs="Arial"/>
                <w:color w:val="000000" w:themeColor="text1"/>
                <w:szCs w:val="16"/>
              </w:rPr>
              <w:t xml:space="preserve">Was sampling used? </w:t>
            </w:r>
          </w:p>
        </w:tc>
        <w:tc>
          <w:tcPr>
            <w:tcW w:w="2245" w:type="dxa"/>
            <w:shd w:val="clear" w:color="auto" w:fill="auto"/>
            <w:vAlign w:val="center"/>
          </w:tcPr>
          <w:p w14:paraId="1BA005BB" w14:textId="4AC8FD0F" w:rsidR="00564D95" w:rsidRPr="007B3230" w:rsidRDefault="002B7490" w:rsidP="005D2687">
            <w:pPr>
              <w:spacing w:after="0" w:line="276" w:lineRule="auto"/>
              <w:jc w:val="center"/>
              <w:rPr>
                <w:rFonts w:cs="Arial"/>
                <w:color w:val="000000" w:themeColor="text1"/>
                <w:szCs w:val="16"/>
              </w:rPr>
            </w:pPr>
            <w:r w:rsidRPr="007B3230">
              <w:rPr>
                <w:rFonts w:cs="Arial"/>
                <w:color w:val="000000" w:themeColor="text1"/>
                <w:szCs w:val="16"/>
              </w:rPr>
              <w:t>NO</w:t>
            </w:r>
          </w:p>
        </w:tc>
      </w:tr>
    </w:tbl>
    <w:p w14:paraId="673DBD51" w14:textId="7739FE98" w:rsidR="005D2687" w:rsidRPr="007B3230" w:rsidRDefault="007C4549" w:rsidP="007E7C94">
      <w:pPr>
        <w:pStyle w:val="Caption"/>
      </w:pPr>
      <w:bookmarkStart w:id="64" w:name="_Hlk121844052"/>
      <w:r w:rsidRPr="007B3230">
        <w:t>Indicator 8 Survey Questions</w:t>
      </w:r>
    </w:p>
    <w:tbl>
      <w:tblPr>
        <w:tblStyle w:val="TableGrid"/>
        <w:tblW w:w="10800" w:type="dxa"/>
        <w:tblLayout w:type="fixed"/>
        <w:tblLook w:val="04A0" w:firstRow="1" w:lastRow="0" w:firstColumn="1" w:lastColumn="0" w:noHBand="0" w:noVBand="1"/>
        <w:tblDescription w:val="Table provides survey question(s) and answer(s) for this indicator."/>
      </w:tblPr>
      <w:tblGrid>
        <w:gridCol w:w="8550"/>
        <w:gridCol w:w="2250"/>
      </w:tblGrid>
      <w:tr w:rsidR="005C29F8" w:rsidRPr="00781112" w14:paraId="5A4C524D" w14:textId="77777777" w:rsidTr="005D2687">
        <w:trPr>
          <w:trHeight w:val="432"/>
          <w:tblHeader/>
        </w:trPr>
        <w:tc>
          <w:tcPr>
            <w:tcW w:w="8550" w:type="dxa"/>
            <w:shd w:val="clear" w:color="auto" w:fill="D9D9D9" w:themeFill="background1" w:themeFillShade="D9"/>
            <w:vAlign w:val="center"/>
          </w:tcPr>
          <w:bookmarkEnd w:id="64"/>
          <w:p w14:paraId="3B302184" w14:textId="3C2CBF4D" w:rsidR="00B5350E" w:rsidRPr="00781112" w:rsidRDefault="00BC5CA0" w:rsidP="005D2687">
            <w:pPr>
              <w:spacing w:after="0" w:line="276" w:lineRule="auto"/>
              <w:rPr>
                <w:rFonts w:cs="Arial"/>
                <w:b/>
                <w:bCs/>
                <w:color w:val="000000" w:themeColor="text1"/>
                <w:szCs w:val="16"/>
              </w:rPr>
            </w:pPr>
            <w:r w:rsidRPr="00781112">
              <w:rPr>
                <w:rFonts w:cs="Arial"/>
                <w:b/>
                <w:bCs/>
                <w:color w:val="000000" w:themeColor="text1"/>
                <w:szCs w:val="16"/>
              </w:rPr>
              <w:t>Survey Question</w:t>
            </w:r>
          </w:p>
        </w:tc>
        <w:tc>
          <w:tcPr>
            <w:tcW w:w="2250" w:type="dxa"/>
            <w:shd w:val="clear" w:color="auto" w:fill="D9D9D9" w:themeFill="background1" w:themeFillShade="D9"/>
            <w:vAlign w:val="center"/>
          </w:tcPr>
          <w:p w14:paraId="4082973A" w14:textId="148FA82D" w:rsidR="00B5350E" w:rsidRPr="00781112" w:rsidRDefault="00B5350E" w:rsidP="005D2687">
            <w:pPr>
              <w:spacing w:after="0" w:line="276" w:lineRule="auto"/>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5D2687">
        <w:trPr>
          <w:trHeight w:val="432"/>
        </w:trPr>
        <w:tc>
          <w:tcPr>
            <w:tcW w:w="8550" w:type="dxa"/>
            <w:vAlign w:val="center"/>
          </w:tcPr>
          <w:p w14:paraId="1C595FC3" w14:textId="00C59640" w:rsidR="00B5350E" w:rsidRPr="00781112" w:rsidRDefault="00B5350E" w:rsidP="005D2687">
            <w:pPr>
              <w:spacing w:after="0" w:line="276" w:lineRule="auto"/>
              <w:rPr>
                <w:rFonts w:cs="Arial"/>
                <w:color w:val="000000" w:themeColor="text1"/>
                <w:szCs w:val="16"/>
              </w:rPr>
            </w:pPr>
            <w:r w:rsidRPr="00781112">
              <w:rPr>
                <w:rFonts w:cs="Arial"/>
                <w:color w:val="000000" w:themeColor="text1"/>
                <w:szCs w:val="16"/>
              </w:rPr>
              <w:t xml:space="preserve">Was a survey used? </w:t>
            </w:r>
          </w:p>
        </w:tc>
        <w:tc>
          <w:tcPr>
            <w:tcW w:w="2250" w:type="dxa"/>
            <w:vAlign w:val="center"/>
          </w:tcPr>
          <w:p w14:paraId="694FDC95" w14:textId="251E84C1" w:rsidR="00B5350E" w:rsidRPr="00781112" w:rsidRDefault="002B7490" w:rsidP="005D2687">
            <w:pPr>
              <w:spacing w:after="0" w:line="276" w:lineRule="auto"/>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5D2687">
        <w:trPr>
          <w:trHeight w:val="432"/>
        </w:trPr>
        <w:tc>
          <w:tcPr>
            <w:tcW w:w="8550" w:type="dxa"/>
            <w:vAlign w:val="center"/>
          </w:tcPr>
          <w:p w14:paraId="7B6CA23B" w14:textId="49CC8BE9" w:rsidR="00B5350E" w:rsidRPr="00781112" w:rsidRDefault="0020552B" w:rsidP="005D2687">
            <w:pPr>
              <w:spacing w:after="0" w:line="276" w:lineRule="auto"/>
              <w:rPr>
                <w:rFonts w:cs="Arial"/>
                <w:color w:val="000000" w:themeColor="text1"/>
                <w:szCs w:val="16"/>
              </w:rPr>
            </w:pPr>
            <w:r w:rsidRPr="00781112">
              <w:rPr>
                <w:rFonts w:cs="Arial"/>
                <w:color w:val="000000" w:themeColor="text1"/>
                <w:szCs w:val="16"/>
              </w:rPr>
              <w:t>If yes, is it a new or revised survey?</w:t>
            </w:r>
          </w:p>
        </w:tc>
        <w:tc>
          <w:tcPr>
            <w:tcW w:w="2250" w:type="dxa"/>
            <w:vAlign w:val="center"/>
          </w:tcPr>
          <w:p w14:paraId="7CA6C425" w14:textId="5334C716" w:rsidR="00B5350E" w:rsidRPr="00781112" w:rsidRDefault="002B7490" w:rsidP="005D2687">
            <w:pPr>
              <w:spacing w:after="0" w:line="276" w:lineRule="auto"/>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5D2687">
        <w:trPr>
          <w:trHeight w:val="432"/>
        </w:trPr>
        <w:tc>
          <w:tcPr>
            <w:tcW w:w="8550" w:type="dxa"/>
            <w:vAlign w:val="center"/>
          </w:tcPr>
          <w:p w14:paraId="5941AFA2" w14:textId="5CB4672E" w:rsidR="00371D57" w:rsidRPr="00781112" w:rsidRDefault="00BB56EB" w:rsidP="005D2687">
            <w:pPr>
              <w:spacing w:after="0" w:line="276" w:lineRule="auto"/>
              <w:rPr>
                <w:rFonts w:cs="Arial"/>
                <w:color w:val="000000" w:themeColor="text1"/>
                <w:szCs w:val="16"/>
              </w:rPr>
            </w:pPr>
            <w:r w:rsidRPr="00781112">
              <w:rPr>
                <w:rFonts w:cs="Arial"/>
                <w:color w:val="000000" w:themeColor="text1"/>
                <w:szCs w:val="16"/>
              </w:rPr>
              <w:t>If yes, provide a copy of the survey.</w:t>
            </w:r>
          </w:p>
        </w:tc>
        <w:tc>
          <w:tcPr>
            <w:tcW w:w="2250" w:type="dxa"/>
            <w:vAlign w:val="center"/>
          </w:tcPr>
          <w:p w14:paraId="47FBC4A0" w14:textId="15089836" w:rsidR="00371D57" w:rsidRPr="00781112" w:rsidRDefault="0052002E" w:rsidP="005D2687">
            <w:pPr>
              <w:spacing w:after="0" w:line="276" w:lineRule="auto"/>
              <w:jc w:val="center"/>
              <w:rPr>
                <w:rFonts w:cs="Arial"/>
                <w:color w:val="000000" w:themeColor="text1"/>
                <w:szCs w:val="16"/>
              </w:rPr>
            </w:pPr>
            <w:r w:rsidRPr="000F6E74">
              <w:rPr>
                <w:rFonts w:cs="Arial"/>
                <w:szCs w:val="16"/>
              </w:rPr>
              <w:t>N/A</w:t>
            </w:r>
          </w:p>
        </w:tc>
      </w:tr>
    </w:tbl>
    <w:p w14:paraId="1A0A4F5E" w14:textId="7ADBDA61" w:rsidR="00221EC9" w:rsidRDefault="00221EC9" w:rsidP="00447D0B">
      <w:pPr>
        <w:pStyle w:val="Heading4"/>
      </w:pPr>
      <w:r w:rsidRPr="00781112">
        <w:t>Provide additional information about this indicator (optional)</w:t>
      </w:r>
    </w:p>
    <w:p w14:paraId="5F55C51B" w14:textId="4EBA5EB2" w:rsidR="00447D0B" w:rsidRPr="00447D0B" w:rsidRDefault="00447D0B" w:rsidP="00514386">
      <w:pPr>
        <w:pStyle w:val="ListParagraph"/>
        <w:numPr>
          <w:ilvl w:val="0"/>
          <w:numId w:val="322"/>
        </w:numPr>
      </w:pPr>
      <w:r>
        <w:t>Not applicable</w:t>
      </w:r>
    </w:p>
    <w:p w14:paraId="1CDDE440" w14:textId="050C9555" w:rsidR="000A2C83" w:rsidRPr="00781112" w:rsidRDefault="00752BAF" w:rsidP="00A22EB9">
      <w:pPr>
        <w:pStyle w:val="Heading3"/>
      </w:pPr>
      <w:r w:rsidRPr="00781112">
        <w:t>8</w:t>
      </w:r>
      <w:r w:rsidR="001F6BAA" w:rsidRPr="00781112">
        <w:t xml:space="preserve"> </w:t>
      </w:r>
      <w:r w:rsidRPr="00781112">
        <w:t xml:space="preserve">- </w:t>
      </w:r>
      <w:r w:rsidR="000A2C83" w:rsidRPr="00781112">
        <w:t>Prior FFY Required Actions</w:t>
      </w:r>
    </w:p>
    <w:p w14:paraId="29ECFC9A" w14:textId="76CA472D" w:rsidR="00016817" w:rsidRPr="00533C0E" w:rsidRDefault="002B7490" w:rsidP="00314F94">
      <w:pPr>
        <w:pStyle w:val="ListParagraph"/>
        <w:numPr>
          <w:ilvl w:val="0"/>
          <w:numId w:val="183"/>
        </w:numPr>
        <w:spacing w:after="200"/>
        <w:rPr>
          <w:rFonts w:cs="Arial"/>
          <w:color w:val="000000" w:themeColor="text1"/>
          <w:szCs w:val="16"/>
        </w:rPr>
      </w:pPr>
      <w:r w:rsidRPr="00533C0E">
        <w:rPr>
          <w:rFonts w:cs="Arial"/>
          <w:color w:val="000000" w:themeColor="text1"/>
          <w:szCs w:val="16"/>
        </w:rPr>
        <w:t xml:space="preserve">In the FFY 2020 SPP/APR, the State must report whether its FFY 2020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w:t>
      </w:r>
      <w:r w:rsidRPr="00533C0E">
        <w:rPr>
          <w:rFonts w:cs="Arial"/>
          <w:color w:val="000000" w:themeColor="text1"/>
          <w:szCs w:val="16"/>
        </w:rPr>
        <w:lastRenderedPageBreak/>
        <w:t>responding are representative of the demographics of children receiving special education services.</w:t>
      </w:r>
    </w:p>
    <w:p w14:paraId="03E9CB46" w14:textId="65D85D8B" w:rsidR="007757B1" w:rsidRDefault="000A2C83" w:rsidP="00D73ABA">
      <w:pPr>
        <w:pStyle w:val="Heading4"/>
      </w:pPr>
      <w:r w:rsidRPr="00781112">
        <w:t>Response to actions required in FFY 2019 SPP/APR</w:t>
      </w:r>
    </w:p>
    <w:p w14:paraId="38899B74" w14:textId="0E9B1CB3" w:rsidR="00DB1BCB" w:rsidRPr="00533C0E" w:rsidRDefault="00DB1BCB" w:rsidP="00314F94">
      <w:pPr>
        <w:pStyle w:val="ListParagraph"/>
        <w:numPr>
          <w:ilvl w:val="0"/>
          <w:numId w:val="184"/>
        </w:numPr>
        <w:rPr>
          <w:bCs/>
          <w:color w:val="000000" w:themeColor="text1"/>
        </w:rPr>
      </w:pPr>
      <w:r w:rsidRPr="00533C0E">
        <w:rPr>
          <w:bCs/>
          <w:color w:val="000000" w:themeColor="text1"/>
        </w:rPr>
        <w:t>None</w:t>
      </w:r>
    </w:p>
    <w:p w14:paraId="5B521A52" w14:textId="17857299" w:rsidR="00221EC9" w:rsidRPr="00781112" w:rsidRDefault="00752BAF" w:rsidP="00A22EB9">
      <w:pPr>
        <w:pStyle w:val="Heading3"/>
      </w:pPr>
      <w:r w:rsidRPr="00781112">
        <w:t>8 - OSEP Response</w:t>
      </w:r>
    </w:p>
    <w:p w14:paraId="163A518B" w14:textId="401C5DC9" w:rsidR="00DB1BCB" w:rsidRPr="00533C0E" w:rsidRDefault="002B7490" w:rsidP="00314F94">
      <w:pPr>
        <w:pStyle w:val="ListParagraph"/>
        <w:numPr>
          <w:ilvl w:val="0"/>
          <w:numId w:val="185"/>
        </w:numPr>
        <w:rPr>
          <w:b/>
          <w:color w:val="000000" w:themeColor="text1"/>
          <w:szCs w:val="20"/>
        </w:rPr>
      </w:pPr>
      <w:r w:rsidRPr="00533C0E">
        <w:rPr>
          <w:rFonts w:cs="Arial"/>
          <w:color w:val="000000" w:themeColor="text1"/>
          <w:szCs w:val="16"/>
        </w:rPr>
        <w:t>The State provided targets for FFYs 2020 through 2025 for this indicator, and OSEP accepts those targets.</w:t>
      </w:r>
    </w:p>
    <w:p w14:paraId="13389642" w14:textId="65AF6ECB" w:rsidR="00221EC9" w:rsidRPr="00781112" w:rsidRDefault="00752BAF" w:rsidP="00A22EB9">
      <w:pPr>
        <w:pStyle w:val="Heading3"/>
      </w:pPr>
      <w:r w:rsidRPr="00781112">
        <w:t>8 - Required Actions</w:t>
      </w:r>
    </w:p>
    <w:p w14:paraId="6D95E736" w14:textId="13B5FEEA" w:rsidR="00102FA3" w:rsidRPr="00533C0E" w:rsidRDefault="002B7490" w:rsidP="00314F94">
      <w:pPr>
        <w:pStyle w:val="ListParagraph"/>
        <w:numPr>
          <w:ilvl w:val="0"/>
          <w:numId w:val="186"/>
        </w:numPr>
        <w:rPr>
          <w:rFonts w:eastAsiaTheme="majorEastAsia" w:cs="Arial"/>
          <w:b/>
          <w:bCs/>
          <w:color w:val="000000" w:themeColor="text1"/>
          <w:szCs w:val="16"/>
        </w:rPr>
      </w:pPr>
      <w:r w:rsidRPr="00533C0E">
        <w:rPr>
          <w:rFonts w:cs="Arial"/>
          <w:color w:val="000000" w:themeColor="text1"/>
          <w:szCs w:val="16"/>
        </w:rPr>
        <w:t>In the FFY 2021 SPP/APR, the State must report whether its FFY 2021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w:t>
      </w:r>
      <w:r w:rsidR="00102FA3" w:rsidRPr="00533C0E">
        <w:rPr>
          <w:rFonts w:cs="Arial"/>
          <w:color w:val="000000" w:themeColor="text1"/>
          <w:szCs w:val="16"/>
        </w:rPr>
        <w:br w:type="page"/>
      </w:r>
    </w:p>
    <w:p w14:paraId="0E39FDA6" w14:textId="025763A2" w:rsidR="00D03701" w:rsidRPr="00781112" w:rsidRDefault="00D03701" w:rsidP="008143AB">
      <w:pPr>
        <w:pStyle w:val="Heading2"/>
      </w:pPr>
      <w:r w:rsidRPr="00781112">
        <w:lastRenderedPageBreak/>
        <w:t>Indicator 9: Disproportionate Representation</w:t>
      </w:r>
    </w:p>
    <w:p w14:paraId="30C4375D" w14:textId="77777777" w:rsidR="00AF5AFB" w:rsidRPr="007C3622" w:rsidRDefault="00AF5AFB" w:rsidP="0041610C">
      <w:pPr>
        <w:pStyle w:val="Heading3"/>
        <w:spacing w:before="240"/>
      </w:pPr>
      <w:bookmarkStart w:id="65" w:name="_Toc384383343"/>
      <w:bookmarkStart w:id="66" w:name="_Toc392159311"/>
      <w:r w:rsidRPr="007C3622">
        <w:t>Instructions and Measurement</w:t>
      </w:r>
    </w:p>
    <w:p w14:paraId="61C479DB" w14:textId="1E252334" w:rsidR="00CC634E" w:rsidRPr="00781112" w:rsidRDefault="00CC634E" w:rsidP="00A22EB9">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05D45021" w:rsidR="00876394" w:rsidRPr="00781112" w:rsidRDefault="00CC634E" w:rsidP="00A22EB9">
      <w:pPr>
        <w:rPr>
          <w:rFonts w:cs="Arial"/>
          <w:color w:val="000000" w:themeColor="text1"/>
          <w:szCs w:val="16"/>
        </w:rPr>
      </w:pPr>
      <w:r w:rsidRPr="00781112">
        <w:rPr>
          <w:rFonts w:cs="Arial"/>
          <w:b/>
          <w:color w:val="000000" w:themeColor="text1"/>
          <w:szCs w:val="16"/>
        </w:rPr>
        <w:t>Compliance indicator</w:t>
      </w:r>
      <w:r w:rsidRPr="007C3622">
        <w:rPr>
          <w:rFonts w:cs="Arial"/>
          <w:b/>
          <w:bCs/>
          <w:color w:val="000000" w:themeColor="text1"/>
          <w:szCs w:val="16"/>
        </w:rPr>
        <w:t>:</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w:t>
      </w:r>
    </w:p>
    <w:p w14:paraId="4983BB5F" w14:textId="28C83F84" w:rsidR="00CC634E" w:rsidRPr="00781112" w:rsidRDefault="00CC634E" w:rsidP="00A22EB9">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1610C">
      <w:pPr>
        <w:pStyle w:val="Heading4"/>
      </w:pPr>
      <w:r w:rsidRPr="00781112">
        <w:t>Data Source</w:t>
      </w:r>
    </w:p>
    <w:p w14:paraId="435C1BC0" w14:textId="1F2EA9FD" w:rsidR="00A66715" w:rsidRPr="00781112" w:rsidRDefault="00A66715" w:rsidP="00A22EB9">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1610C">
      <w:pPr>
        <w:pStyle w:val="Heading4"/>
      </w:pPr>
      <w:r w:rsidRPr="00781112">
        <w:t>Measurement</w:t>
      </w:r>
    </w:p>
    <w:p w14:paraId="477AA533" w14:textId="06ADBA36" w:rsidR="00A66715" w:rsidRPr="00781112" w:rsidRDefault="00A66715" w:rsidP="00A22EB9">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A22EB9">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3276281A" w:rsidR="00A66715" w:rsidRPr="00781112" w:rsidRDefault="0016730D" w:rsidP="00A22EB9">
      <w:pPr>
        <w:rPr>
          <w:rFonts w:cs="Arial"/>
          <w:color w:val="000000" w:themeColor="text1"/>
          <w:szCs w:val="16"/>
        </w:rPr>
      </w:pPr>
      <w:r w:rsidRPr="00781112">
        <w:rPr>
          <w:rFonts w:cs="Arial"/>
          <w:color w:val="000000" w:themeColor="text1"/>
          <w:szCs w:val="16"/>
        </w:rPr>
        <w:t xml:space="preserve">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w:t>
      </w:r>
      <w:proofErr w:type="gramStart"/>
      <w:r w:rsidRPr="00781112">
        <w:rPr>
          <w:rFonts w:cs="Arial"/>
          <w:color w:val="000000" w:themeColor="text1"/>
          <w:szCs w:val="16"/>
        </w:rPr>
        <w:t>practices</w:t>
      </w:r>
      <w:proofErr w:type="gramEnd"/>
      <w:r w:rsidRPr="00781112">
        <w:rPr>
          <w:rFonts w:cs="Arial"/>
          <w:color w:val="000000" w:themeColor="text1"/>
          <w:szCs w:val="16"/>
        </w:rPr>
        <w:t xml:space="preserve">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2020 reporting period (i.e., after June 30, 2021).</w:t>
      </w:r>
    </w:p>
    <w:p w14:paraId="5C234527" w14:textId="77777777" w:rsidR="00A66715" w:rsidRPr="00781112" w:rsidRDefault="00A66715" w:rsidP="0041610C">
      <w:pPr>
        <w:pStyle w:val="Heading4"/>
      </w:pPr>
      <w:r w:rsidRPr="00781112">
        <w:t>Instructions</w:t>
      </w:r>
    </w:p>
    <w:p w14:paraId="66307925" w14:textId="257F2E4C" w:rsidR="00A66715" w:rsidRPr="00781112" w:rsidRDefault="00A66715" w:rsidP="00A22EB9">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p>
    <w:p w14:paraId="6CA47C85" w14:textId="77777777" w:rsidR="00A66715" w:rsidRPr="00781112" w:rsidRDefault="00A66715" w:rsidP="00A22EB9">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A22EB9">
      <w:pPr>
        <w:rPr>
          <w:rFonts w:cs="Arial"/>
          <w:color w:val="000000" w:themeColor="text1"/>
          <w:szCs w:val="16"/>
        </w:rPr>
      </w:pPr>
      <w:r w:rsidRPr="00781112">
        <w:rPr>
          <w:rFonts w:cs="Arial"/>
          <w:color w:val="000000" w:themeColor="text1"/>
          <w:szCs w:val="16"/>
        </w:rPr>
        <w:lastRenderedPageBreak/>
        <w:t xml:space="preserve">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 because the district did not meet the minimum n and/or cell size for any racial/ethnic group.</w:t>
      </w:r>
    </w:p>
    <w:p w14:paraId="18F19F84" w14:textId="77777777" w:rsidR="00A66715" w:rsidRPr="00781112" w:rsidRDefault="00A66715" w:rsidP="00A22EB9">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A22EB9">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A22EB9">
      <w:pPr>
        <w:rPr>
          <w:rFonts w:cs="Arial"/>
          <w:color w:val="000000" w:themeColor="text1"/>
          <w:szCs w:val="16"/>
        </w:rPr>
      </w:pPr>
      <w:r w:rsidRPr="00781112">
        <w:rPr>
          <w:rFonts w:cs="Arial"/>
          <w:color w:val="000000" w:themeColor="text1"/>
          <w:szCs w:val="16"/>
        </w:rPr>
        <w:t>Targets must be 0%.</w:t>
      </w:r>
    </w:p>
    <w:p w14:paraId="78E093FF" w14:textId="1D47DF0A" w:rsidR="00A66715" w:rsidRPr="00781112" w:rsidRDefault="0016730D" w:rsidP="00A22EB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1A6C01D0" w14:textId="1BD83E55" w:rsidR="00AF5AFB" w:rsidRPr="00781112" w:rsidRDefault="00400C56" w:rsidP="00A22EB9">
      <w:pPr>
        <w:pStyle w:val="Heading3"/>
      </w:pPr>
      <w:bookmarkStart w:id="67" w:name="_Toc384383344"/>
      <w:bookmarkStart w:id="68" w:name="_Toc392159312"/>
      <w:bookmarkEnd w:id="65"/>
      <w:bookmarkEnd w:id="66"/>
      <w:r w:rsidRPr="00781112">
        <w:t>9</w:t>
      </w:r>
      <w:r w:rsidR="000D746C" w:rsidRPr="00781112">
        <w:t xml:space="preserve"> </w:t>
      </w:r>
      <w:r w:rsidRPr="00781112">
        <w:t xml:space="preserve">- </w:t>
      </w:r>
      <w:r w:rsidR="00AF5AFB" w:rsidRPr="00781112">
        <w:t>Indicator Data</w:t>
      </w:r>
    </w:p>
    <w:p w14:paraId="3B629025" w14:textId="77777777" w:rsidR="0091098C" w:rsidRPr="00533C0E" w:rsidRDefault="0091098C" w:rsidP="00314F94">
      <w:pPr>
        <w:pStyle w:val="ListParagraph"/>
        <w:numPr>
          <w:ilvl w:val="0"/>
          <w:numId w:val="187"/>
        </w:numPr>
        <w:rPr>
          <w:bCs/>
          <w:color w:val="000000" w:themeColor="text1"/>
        </w:rPr>
      </w:pPr>
      <w:r w:rsidRPr="00533C0E">
        <w:rPr>
          <w:bCs/>
          <w:color w:val="000000" w:themeColor="text1"/>
        </w:rPr>
        <w:t>Not Applicable</w:t>
      </w:r>
    </w:p>
    <w:p w14:paraId="26955027" w14:textId="78EADA59" w:rsidR="003E7FC1" w:rsidRPr="00781112" w:rsidRDefault="00E54DDA" w:rsidP="00A22EB9">
      <w:pPr>
        <w:rPr>
          <w:b/>
          <w:color w:val="000000" w:themeColor="text1"/>
        </w:rPr>
      </w:pPr>
      <w:r w:rsidRPr="00781112">
        <w:rPr>
          <w:b/>
          <w:color w:val="000000" w:themeColor="text1"/>
        </w:rPr>
        <w:t>Select yes if this indicator is not applicable.</w:t>
      </w:r>
    </w:p>
    <w:p w14:paraId="6AB001BB" w14:textId="0A33B525" w:rsidR="00043AC9" w:rsidRPr="00533C0E" w:rsidRDefault="00817775" w:rsidP="00314F94">
      <w:pPr>
        <w:pStyle w:val="ListParagraph"/>
        <w:numPr>
          <w:ilvl w:val="0"/>
          <w:numId w:val="188"/>
        </w:numPr>
        <w:rPr>
          <w:rFonts w:cs="Arial"/>
          <w:color w:val="000000" w:themeColor="text1"/>
          <w:szCs w:val="16"/>
        </w:rPr>
      </w:pPr>
      <w:r w:rsidRPr="00533C0E">
        <w:rPr>
          <w:rFonts w:cs="Arial"/>
          <w:color w:val="000000" w:themeColor="text1"/>
          <w:szCs w:val="16"/>
        </w:rPr>
        <w:t>No</w:t>
      </w:r>
    </w:p>
    <w:p w14:paraId="3A71D697" w14:textId="3D05B989" w:rsidR="00EC46E4" w:rsidRPr="00781112" w:rsidRDefault="00EC46E4" w:rsidP="00C33455">
      <w:pPr>
        <w:pStyle w:val="Caption"/>
      </w:pPr>
      <w:r w:rsidRPr="00781112">
        <w:t>Historical Data</w:t>
      </w:r>
      <w:r w:rsidR="0097256F">
        <w:t xml:space="preserve"> (9)</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562"/>
        <w:gridCol w:w="2563"/>
      </w:tblGrid>
      <w:tr w:rsidR="00956DB0" w:rsidRPr="00781112" w14:paraId="5182274F" w14:textId="77777777" w:rsidTr="007C3622">
        <w:trPr>
          <w:trHeight w:val="432"/>
          <w:tblHeader/>
        </w:trPr>
        <w:tc>
          <w:tcPr>
            <w:tcW w:w="2562" w:type="dxa"/>
            <w:shd w:val="clear" w:color="auto" w:fill="D9D9D9" w:themeFill="background1" w:themeFillShade="D9"/>
            <w:vAlign w:val="center"/>
          </w:tcPr>
          <w:p w14:paraId="1A2818C6" w14:textId="77777777" w:rsidR="00956DB0" w:rsidRPr="00781112" w:rsidRDefault="00956DB0" w:rsidP="007C3622">
            <w:pPr>
              <w:spacing w:after="0" w:line="276" w:lineRule="auto"/>
              <w:jc w:val="center"/>
              <w:rPr>
                <w:b/>
                <w:color w:val="000000" w:themeColor="text1"/>
              </w:rPr>
            </w:pPr>
            <w:r w:rsidRPr="00781112">
              <w:rPr>
                <w:rFonts w:cs="Arial"/>
                <w:b/>
                <w:color w:val="000000" w:themeColor="text1"/>
                <w:szCs w:val="16"/>
              </w:rPr>
              <w:t>Baseline Year</w:t>
            </w:r>
          </w:p>
        </w:tc>
        <w:tc>
          <w:tcPr>
            <w:tcW w:w="2563" w:type="dxa"/>
            <w:shd w:val="clear" w:color="auto" w:fill="D9D9D9" w:themeFill="background1" w:themeFillShade="D9"/>
            <w:vAlign w:val="center"/>
          </w:tcPr>
          <w:p w14:paraId="0F4B2975" w14:textId="77777777" w:rsidR="00956DB0" w:rsidRPr="00781112" w:rsidRDefault="00956DB0" w:rsidP="007C3622">
            <w:pPr>
              <w:spacing w:after="0" w:line="276" w:lineRule="auto"/>
              <w:jc w:val="center"/>
              <w:rPr>
                <w:b/>
                <w:color w:val="000000" w:themeColor="text1"/>
              </w:rPr>
            </w:pPr>
            <w:r w:rsidRPr="00781112">
              <w:rPr>
                <w:b/>
                <w:color w:val="000000" w:themeColor="text1"/>
              </w:rPr>
              <w:t>Baseline Data</w:t>
            </w:r>
          </w:p>
        </w:tc>
      </w:tr>
      <w:tr w:rsidR="00956DB0" w:rsidRPr="00781112" w14:paraId="610EE192" w14:textId="77777777" w:rsidTr="007C3622">
        <w:trPr>
          <w:trHeight w:val="432"/>
        </w:trPr>
        <w:tc>
          <w:tcPr>
            <w:tcW w:w="2562" w:type="dxa"/>
            <w:vAlign w:val="center"/>
          </w:tcPr>
          <w:p w14:paraId="092AF3EE" w14:textId="300E0F13" w:rsidR="00956DB0" w:rsidRPr="00781112" w:rsidRDefault="00956DB0" w:rsidP="007C3622">
            <w:pPr>
              <w:spacing w:after="0" w:line="276" w:lineRule="auto"/>
              <w:jc w:val="center"/>
              <w:rPr>
                <w:bCs/>
                <w:color w:val="000000" w:themeColor="text1"/>
              </w:rPr>
            </w:pPr>
            <w:r w:rsidRPr="00781112">
              <w:rPr>
                <w:bCs/>
                <w:color w:val="000000" w:themeColor="text1"/>
              </w:rPr>
              <w:t>2020</w:t>
            </w:r>
          </w:p>
        </w:tc>
        <w:tc>
          <w:tcPr>
            <w:tcW w:w="2563" w:type="dxa"/>
            <w:vAlign w:val="center"/>
          </w:tcPr>
          <w:p w14:paraId="4FDCB4BF" w14:textId="0D2A0C74" w:rsidR="00956DB0" w:rsidRPr="00781112" w:rsidRDefault="00956DB0" w:rsidP="007C3622">
            <w:pPr>
              <w:spacing w:after="0" w:line="276" w:lineRule="auto"/>
              <w:jc w:val="center"/>
              <w:rPr>
                <w:bCs/>
                <w:color w:val="000000" w:themeColor="text1"/>
              </w:rPr>
            </w:pPr>
            <w:r w:rsidRPr="00781112">
              <w:rPr>
                <w:bCs/>
                <w:color w:val="000000" w:themeColor="text1"/>
              </w:rPr>
              <w:t>0.00%</w:t>
            </w:r>
          </w:p>
        </w:tc>
      </w:tr>
    </w:tbl>
    <w:p w14:paraId="34C80BC7" w14:textId="1A78275C" w:rsidR="004F0EE5" w:rsidRPr="004F0EE5" w:rsidRDefault="004F0EE5" w:rsidP="00C33455">
      <w:pPr>
        <w:pStyle w:val="Caption"/>
      </w:pPr>
      <w:r w:rsidRPr="007B3230">
        <w:t>Historical Data (FFY)</w:t>
      </w:r>
      <w:r w:rsidR="0097256F">
        <w:t xml:space="preserve">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29257DEC" w14:textId="77777777" w:rsidTr="007C3622">
        <w:trPr>
          <w:trHeight w:val="432"/>
        </w:trPr>
        <w:tc>
          <w:tcPr>
            <w:tcW w:w="833" w:type="pct"/>
            <w:tcBorders>
              <w:bottom w:val="single" w:sz="4" w:space="0" w:color="auto"/>
            </w:tcBorders>
            <w:shd w:val="clear" w:color="auto" w:fill="D9D9D9" w:themeFill="background1" w:themeFillShade="D9"/>
            <w:vAlign w:val="center"/>
          </w:tcPr>
          <w:p w14:paraId="2ACD0221" w14:textId="77777777" w:rsidR="006357C5" w:rsidRPr="00781112" w:rsidRDefault="006357C5" w:rsidP="007C3622">
            <w:pPr>
              <w:spacing w:after="0"/>
              <w:jc w:val="center"/>
              <w:rPr>
                <w:rFonts w:cs="Arial"/>
                <w:b/>
                <w:color w:val="000000" w:themeColor="text1"/>
                <w:szCs w:val="16"/>
              </w:rPr>
            </w:pPr>
            <w:r w:rsidRPr="00781112">
              <w:rPr>
                <w:rFonts w:cs="Arial"/>
                <w:b/>
                <w:color w:val="000000" w:themeColor="text1"/>
                <w:szCs w:val="16"/>
              </w:rPr>
              <w:t>FFY</w:t>
            </w:r>
          </w:p>
        </w:tc>
        <w:tc>
          <w:tcPr>
            <w:tcW w:w="833" w:type="pct"/>
            <w:shd w:val="clear" w:color="auto" w:fill="D9D9D9" w:themeFill="background1" w:themeFillShade="D9"/>
            <w:vAlign w:val="center"/>
          </w:tcPr>
          <w:p w14:paraId="15D764B6" w14:textId="19C54EAA" w:rsidR="006357C5" w:rsidRPr="00781112" w:rsidRDefault="002B7490" w:rsidP="007C3622">
            <w:pPr>
              <w:spacing w:after="0"/>
              <w:jc w:val="center"/>
              <w:rPr>
                <w:rFonts w:cs="Arial"/>
                <w:b/>
                <w:color w:val="000000" w:themeColor="text1"/>
                <w:szCs w:val="16"/>
              </w:rPr>
            </w:pPr>
            <w:r w:rsidRPr="00781112">
              <w:rPr>
                <w:rFonts w:cs="Arial"/>
                <w:b/>
                <w:color w:val="000000" w:themeColor="text1"/>
                <w:szCs w:val="16"/>
              </w:rPr>
              <w:t>2015</w:t>
            </w:r>
          </w:p>
        </w:tc>
        <w:tc>
          <w:tcPr>
            <w:tcW w:w="833" w:type="pct"/>
            <w:shd w:val="clear" w:color="auto" w:fill="D9D9D9" w:themeFill="background1" w:themeFillShade="D9"/>
            <w:vAlign w:val="center"/>
          </w:tcPr>
          <w:p w14:paraId="033F60DB" w14:textId="27C2FA3D" w:rsidR="006357C5" w:rsidRPr="00781112" w:rsidRDefault="002B7490" w:rsidP="007C3622">
            <w:pPr>
              <w:spacing w:after="0"/>
              <w:jc w:val="center"/>
              <w:rPr>
                <w:rFonts w:cs="Arial"/>
                <w:b/>
                <w:color w:val="000000" w:themeColor="text1"/>
                <w:szCs w:val="16"/>
              </w:rPr>
            </w:pPr>
            <w:r w:rsidRPr="00781112">
              <w:rPr>
                <w:rFonts w:cs="Arial"/>
                <w:b/>
                <w:color w:val="000000" w:themeColor="text1"/>
                <w:szCs w:val="16"/>
              </w:rPr>
              <w:t>2016</w:t>
            </w:r>
          </w:p>
        </w:tc>
        <w:tc>
          <w:tcPr>
            <w:tcW w:w="833" w:type="pct"/>
            <w:shd w:val="clear" w:color="auto" w:fill="D9D9D9" w:themeFill="background1" w:themeFillShade="D9"/>
            <w:vAlign w:val="center"/>
          </w:tcPr>
          <w:p w14:paraId="317350A8" w14:textId="7D4D6C23" w:rsidR="006357C5" w:rsidRPr="00781112" w:rsidRDefault="002B7490" w:rsidP="007C3622">
            <w:pPr>
              <w:spacing w:after="0"/>
              <w:jc w:val="center"/>
              <w:rPr>
                <w:rFonts w:cs="Arial"/>
                <w:b/>
                <w:color w:val="000000" w:themeColor="text1"/>
                <w:szCs w:val="16"/>
              </w:rPr>
            </w:pPr>
            <w:r w:rsidRPr="00781112">
              <w:rPr>
                <w:rFonts w:cs="Arial"/>
                <w:b/>
                <w:color w:val="000000" w:themeColor="text1"/>
                <w:szCs w:val="16"/>
              </w:rPr>
              <w:t>2017</w:t>
            </w:r>
          </w:p>
        </w:tc>
        <w:tc>
          <w:tcPr>
            <w:tcW w:w="833" w:type="pct"/>
            <w:shd w:val="clear" w:color="auto" w:fill="D9D9D9" w:themeFill="background1" w:themeFillShade="D9"/>
            <w:vAlign w:val="center"/>
          </w:tcPr>
          <w:p w14:paraId="2FE9FF1F" w14:textId="6B14CCED" w:rsidR="006357C5" w:rsidRPr="00781112" w:rsidRDefault="002B7490" w:rsidP="007C3622">
            <w:pPr>
              <w:spacing w:after="0"/>
              <w:jc w:val="center"/>
              <w:rPr>
                <w:rFonts w:cs="Arial"/>
                <w:b/>
                <w:color w:val="000000" w:themeColor="text1"/>
                <w:szCs w:val="16"/>
              </w:rPr>
            </w:pPr>
            <w:r w:rsidRPr="00781112">
              <w:rPr>
                <w:rFonts w:cs="Arial"/>
                <w:b/>
                <w:color w:val="000000" w:themeColor="text1"/>
                <w:szCs w:val="16"/>
              </w:rPr>
              <w:t>2018</w:t>
            </w:r>
          </w:p>
        </w:tc>
        <w:tc>
          <w:tcPr>
            <w:tcW w:w="834" w:type="pct"/>
            <w:shd w:val="clear" w:color="auto" w:fill="D9D9D9" w:themeFill="background1" w:themeFillShade="D9"/>
            <w:vAlign w:val="center"/>
          </w:tcPr>
          <w:p w14:paraId="3EED1AAF" w14:textId="5F49372A" w:rsidR="006357C5" w:rsidRPr="00781112" w:rsidRDefault="002B7490" w:rsidP="007C3622">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2B1048CB" w14:textId="77777777" w:rsidTr="007C3622">
        <w:trPr>
          <w:trHeight w:val="432"/>
        </w:trPr>
        <w:tc>
          <w:tcPr>
            <w:tcW w:w="833" w:type="pct"/>
            <w:shd w:val="clear" w:color="auto" w:fill="auto"/>
            <w:vAlign w:val="center"/>
          </w:tcPr>
          <w:p w14:paraId="1E5C921D" w14:textId="0C5D21A7" w:rsidR="006357C5" w:rsidRPr="00781112" w:rsidRDefault="006357C5" w:rsidP="007C3622">
            <w:pPr>
              <w:spacing w:after="0"/>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605E3208" w14:textId="6058696A" w:rsidR="006357C5" w:rsidRPr="00781112" w:rsidRDefault="00BA56C8" w:rsidP="007C3622">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18B25266" w14:textId="3AD0FECB" w:rsidR="006357C5" w:rsidRPr="00781112" w:rsidRDefault="00BA56C8" w:rsidP="007C3622">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0FBF57" w14:textId="7ECB922D" w:rsidR="006357C5" w:rsidRPr="00781112" w:rsidRDefault="00BA56C8" w:rsidP="007C3622">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532C2D7E" w14:textId="62B3BFC8" w:rsidR="006357C5" w:rsidRPr="00781112" w:rsidRDefault="00BA56C8" w:rsidP="007C3622">
            <w:pPr>
              <w:spacing w:after="0"/>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60DA2026" w14:textId="24D14A2D" w:rsidR="006357C5" w:rsidRPr="00781112" w:rsidRDefault="00BA56C8" w:rsidP="007C3622">
            <w:pPr>
              <w:spacing w:after="0"/>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7C3622">
        <w:trPr>
          <w:trHeight w:val="432"/>
        </w:trPr>
        <w:tc>
          <w:tcPr>
            <w:tcW w:w="833" w:type="pct"/>
            <w:shd w:val="clear" w:color="auto" w:fill="auto"/>
            <w:vAlign w:val="center"/>
          </w:tcPr>
          <w:p w14:paraId="2AC5584F" w14:textId="77777777" w:rsidR="006357C5" w:rsidRPr="00781112" w:rsidRDefault="006357C5" w:rsidP="007C3622">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6FD989E4" w14:textId="34237C82" w:rsidR="006357C5" w:rsidRPr="00781112" w:rsidRDefault="002B7490" w:rsidP="007C3622">
            <w:pPr>
              <w:spacing w:after="0"/>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078BDCB4" w14:textId="6678F601" w:rsidR="006357C5" w:rsidRPr="00781112" w:rsidRDefault="002B7490" w:rsidP="007C3622">
            <w:pPr>
              <w:spacing w:after="0"/>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7C3622">
            <w:pPr>
              <w:spacing w:after="0"/>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7C3622">
            <w:pPr>
              <w:spacing w:after="0"/>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7C3622">
            <w:pPr>
              <w:spacing w:after="0"/>
              <w:jc w:val="center"/>
              <w:rPr>
                <w:rFonts w:cs="Arial"/>
                <w:color w:val="000000" w:themeColor="text1"/>
                <w:szCs w:val="16"/>
              </w:rPr>
            </w:pPr>
            <w:r w:rsidRPr="00781112">
              <w:rPr>
                <w:rFonts w:cs="Arial"/>
                <w:color w:val="000000" w:themeColor="text1"/>
                <w:szCs w:val="16"/>
              </w:rPr>
              <w:t>0.00%</w:t>
            </w:r>
          </w:p>
        </w:tc>
      </w:tr>
    </w:tbl>
    <w:p w14:paraId="1D3DD603" w14:textId="7C43BCB6" w:rsidR="0016730D" w:rsidRPr="00781112" w:rsidRDefault="0016730D" w:rsidP="00C33455">
      <w:pPr>
        <w:pStyle w:val="Caption"/>
      </w:pPr>
      <w:r w:rsidRPr="00781112">
        <w:lastRenderedPageBreak/>
        <w:t>Targets</w:t>
      </w:r>
      <w:r w:rsidR="0097256F">
        <w:t xml:space="preserve">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targets for federal fiscal years 2020-2025 for this indicator."/>
      </w:tblPr>
      <w:tblGrid>
        <w:gridCol w:w="1165"/>
        <w:gridCol w:w="1297"/>
        <w:gridCol w:w="1666"/>
        <w:gridCol w:w="1666"/>
        <w:gridCol w:w="1666"/>
        <w:gridCol w:w="1666"/>
        <w:gridCol w:w="1664"/>
      </w:tblGrid>
      <w:tr w:rsidR="00AD5583" w:rsidRPr="00781112" w14:paraId="3B5E697E" w14:textId="22491944" w:rsidTr="007C3622">
        <w:trPr>
          <w:trHeight w:val="432"/>
        </w:trPr>
        <w:tc>
          <w:tcPr>
            <w:tcW w:w="540" w:type="pct"/>
            <w:tcBorders>
              <w:bottom w:val="single" w:sz="4" w:space="0" w:color="auto"/>
            </w:tcBorders>
            <w:shd w:val="clear" w:color="auto" w:fill="D9D9D9" w:themeFill="background1" w:themeFillShade="D9"/>
            <w:vAlign w:val="center"/>
          </w:tcPr>
          <w:p w14:paraId="6847FBDE" w14:textId="77777777" w:rsidR="00AD5583" w:rsidRPr="00781112" w:rsidRDefault="00AD5583" w:rsidP="007C3622">
            <w:pPr>
              <w:spacing w:after="0"/>
              <w:jc w:val="center"/>
              <w:rPr>
                <w:b/>
                <w:color w:val="000000" w:themeColor="text1"/>
              </w:rPr>
            </w:pPr>
            <w:r w:rsidRPr="00781112">
              <w:rPr>
                <w:b/>
                <w:color w:val="000000" w:themeColor="text1"/>
              </w:rPr>
              <w:t>FFY</w:t>
            </w:r>
          </w:p>
        </w:tc>
        <w:tc>
          <w:tcPr>
            <w:tcW w:w="601" w:type="pct"/>
            <w:shd w:val="clear" w:color="auto" w:fill="D9D9D9" w:themeFill="background1" w:themeFillShade="D9"/>
            <w:vAlign w:val="center"/>
          </w:tcPr>
          <w:p w14:paraId="2C965821" w14:textId="77777777" w:rsidR="00AD5583" w:rsidRPr="00781112" w:rsidRDefault="00AD5583" w:rsidP="007C3622">
            <w:pPr>
              <w:spacing w:after="0"/>
              <w:jc w:val="center"/>
              <w:rPr>
                <w:b/>
                <w:color w:val="000000" w:themeColor="text1"/>
              </w:rPr>
            </w:pPr>
            <w:r w:rsidRPr="00781112">
              <w:rPr>
                <w:b/>
                <w:color w:val="000000" w:themeColor="text1"/>
              </w:rPr>
              <w:t>2020</w:t>
            </w:r>
          </w:p>
        </w:tc>
        <w:tc>
          <w:tcPr>
            <w:tcW w:w="772" w:type="pct"/>
            <w:shd w:val="clear" w:color="auto" w:fill="D9D9D9" w:themeFill="background1" w:themeFillShade="D9"/>
            <w:vAlign w:val="center"/>
          </w:tcPr>
          <w:p w14:paraId="695B1CC5" w14:textId="0A8E7C74" w:rsidR="00AD5583" w:rsidRPr="00781112" w:rsidRDefault="00AD5583" w:rsidP="007C3622">
            <w:pPr>
              <w:spacing w:after="0"/>
              <w:jc w:val="center"/>
              <w:rPr>
                <w:b/>
                <w:color w:val="000000" w:themeColor="text1"/>
              </w:rPr>
            </w:pPr>
            <w:r w:rsidRPr="00781112">
              <w:rPr>
                <w:rFonts w:cs="Arial"/>
                <w:b/>
                <w:color w:val="000000" w:themeColor="text1"/>
                <w:szCs w:val="16"/>
              </w:rPr>
              <w:t>2021</w:t>
            </w:r>
          </w:p>
        </w:tc>
        <w:tc>
          <w:tcPr>
            <w:tcW w:w="772" w:type="pct"/>
            <w:shd w:val="clear" w:color="auto" w:fill="D9D9D9" w:themeFill="background1" w:themeFillShade="D9"/>
            <w:vAlign w:val="center"/>
          </w:tcPr>
          <w:p w14:paraId="676B8DF3" w14:textId="1749272A" w:rsidR="00AD5583" w:rsidRPr="00781112" w:rsidRDefault="00AD5583" w:rsidP="007C3622">
            <w:pPr>
              <w:spacing w:after="0"/>
              <w:jc w:val="center"/>
              <w:rPr>
                <w:b/>
                <w:color w:val="000000" w:themeColor="text1"/>
              </w:rPr>
            </w:pPr>
            <w:r w:rsidRPr="00781112">
              <w:rPr>
                <w:rFonts w:cs="Arial"/>
                <w:b/>
                <w:color w:val="000000" w:themeColor="text1"/>
                <w:szCs w:val="16"/>
              </w:rPr>
              <w:t>2022</w:t>
            </w:r>
          </w:p>
        </w:tc>
        <w:tc>
          <w:tcPr>
            <w:tcW w:w="772" w:type="pct"/>
            <w:shd w:val="clear" w:color="auto" w:fill="D9D9D9" w:themeFill="background1" w:themeFillShade="D9"/>
            <w:vAlign w:val="center"/>
          </w:tcPr>
          <w:p w14:paraId="2431A20F" w14:textId="6C70327F" w:rsidR="00AD5583" w:rsidRPr="00781112" w:rsidRDefault="00AD5583" w:rsidP="007C3622">
            <w:pPr>
              <w:spacing w:after="0"/>
              <w:jc w:val="center"/>
              <w:rPr>
                <w:b/>
                <w:color w:val="000000" w:themeColor="text1"/>
              </w:rPr>
            </w:pPr>
            <w:r w:rsidRPr="00781112">
              <w:rPr>
                <w:rFonts w:cs="Arial"/>
                <w:b/>
                <w:color w:val="000000" w:themeColor="text1"/>
                <w:szCs w:val="16"/>
              </w:rPr>
              <w:t>2023</w:t>
            </w:r>
          </w:p>
        </w:tc>
        <w:tc>
          <w:tcPr>
            <w:tcW w:w="772" w:type="pct"/>
            <w:shd w:val="clear" w:color="auto" w:fill="D9D9D9" w:themeFill="background1" w:themeFillShade="D9"/>
            <w:vAlign w:val="center"/>
          </w:tcPr>
          <w:p w14:paraId="1F22D9D1" w14:textId="274E33D7" w:rsidR="00AD5583" w:rsidRPr="00781112" w:rsidRDefault="00AD5583" w:rsidP="007C3622">
            <w:pPr>
              <w:spacing w:after="0"/>
              <w:jc w:val="center"/>
              <w:rPr>
                <w:b/>
                <w:color w:val="000000" w:themeColor="text1"/>
              </w:rPr>
            </w:pPr>
            <w:r w:rsidRPr="00781112">
              <w:rPr>
                <w:rFonts w:cs="Arial"/>
                <w:b/>
                <w:color w:val="000000" w:themeColor="text1"/>
                <w:szCs w:val="16"/>
              </w:rPr>
              <w:t>2024</w:t>
            </w:r>
          </w:p>
        </w:tc>
        <w:tc>
          <w:tcPr>
            <w:tcW w:w="771" w:type="pct"/>
            <w:shd w:val="clear" w:color="auto" w:fill="D9D9D9" w:themeFill="background1" w:themeFillShade="D9"/>
            <w:vAlign w:val="center"/>
          </w:tcPr>
          <w:p w14:paraId="170ADB87" w14:textId="7E2782C3" w:rsidR="00AD5583" w:rsidRPr="00781112" w:rsidRDefault="00AD5583" w:rsidP="007C3622">
            <w:pPr>
              <w:spacing w:after="0"/>
              <w:jc w:val="center"/>
              <w:rPr>
                <w:b/>
                <w:color w:val="000000" w:themeColor="text1"/>
              </w:rPr>
            </w:pPr>
            <w:r w:rsidRPr="00781112">
              <w:rPr>
                <w:rFonts w:cs="Arial"/>
                <w:b/>
                <w:color w:val="000000" w:themeColor="text1"/>
                <w:szCs w:val="16"/>
              </w:rPr>
              <w:t>2025</w:t>
            </w:r>
          </w:p>
        </w:tc>
      </w:tr>
      <w:tr w:rsidR="00AD5583" w:rsidRPr="00781112" w14:paraId="48E9BF63" w14:textId="16949127" w:rsidTr="007C3622">
        <w:trPr>
          <w:trHeight w:val="432"/>
        </w:trPr>
        <w:tc>
          <w:tcPr>
            <w:tcW w:w="540" w:type="pct"/>
            <w:shd w:val="clear" w:color="auto" w:fill="auto"/>
            <w:vAlign w:val="center"/>
          </w:tcPr>
          <w:p w14:paraId="3001E3D6" w14:textId="31F1E4C6" w:rsidR="00AD5583" w:rsidRPr="00781112" w:rsidRDefault="00AD5583" w:rsidP="007C3622">
            <w:pPr>
              <w:spacing w:after="0"/>
              <w:jc w:val="center"/>
              <w:rPr>
                <w:rFonts w:cs="Arial"/>
                <w:color w:val="000000" w:themeColor="text1"/>
                <w:szCs w:val="16"/>
              </w:rPr>
            </w:pPr>
            <w:r w:rsidRPr="00781112">
              <w:rPr>
                <w:rFonts w:cs="Arial"/>
                <w:color w:val="000000" w:themeColor="text1"/>
                <w:szCs w:val="16"/>
              </w:rPr>
              <w:t>Target</w:t>
            </w:r>
          </w:p>
        </w:tc>
        <w:tc>
          <w:tcPr>
            <w:tcW w:w="601" w:type="pct"/>
            <w:shd w:val="clear" w:color="auto" w:fill="auto"/>
            <w:vAlign w:val="center"/>
          </w:tcPr>
          <w:p w14:paraId="538E5325" w14:textId="0C17771E" w:rsidR="00AD5583" w:rsidRPr="00781112" w:rsidRDefault="00AD5583" w:rsidP="007C3622">
            <w:pPr>
              <w:spacing w:after="0"/>
              <w:jc w:val="center"/>
              <w:rPr>
                <w:rFonts w:cs="Arial"/>
                <w:color w:val="000000" w:themeColor="text1"/>
                <w:szCs w:val="16"/>
              </w:rPr>
            </w:pPr>
            <w:r w:rsidRPr="00781112">
              <w:rPr>
                <w:rFonts w:cs="Arial"/>
                <w:color w:val="000000" w:themeColor="text1"/>
                <w:szCs w:val="16"/>
              </w:rPr>
              <w:t>0%</w:t>
            </w:r>
          </w:p>
        </w:tc>
        <w:tc>
          <w:tcPr>
            <w:tcW w:w="772" w:type="pct"/>
            <w:vAlign w:val="center"/>
          </w:tcPr>
          <w:p w14:paraId="5C91471A" w14:textId="351E6F13" w:rsidR="00AD5583" w:rsidRPr="00781112" w:rsidRDefault="00AD5583" w:rsidP="007C3622">
            <w:pPr>
              <w:spacing w:after="0"/>
              <w:jc w:val="center"/>
              <w:rPr>
                <w:rFonts w:cs="Arial"/>
                <w:color w:val="000000" w:themeColor="text1"/>
                <w:szCs w:val="16"/>
              </w:rPr>
            </w:pPr>
            <w:r w:rsidRPr="00781112">
              <w:rPr>
                <w:color w:val="000000" w:themeColor="text1"/>
                <w:szCs w:val="16"/>
              </w:rPr>
              <w:t>0%</w:t>
            </w:r>
          </w:p>
        </w:tc>
        <w:tc>
          <w:tcPr>
            <w:tcW w:w="772" w:type="pct"/>
            <w:vAlign w:val="center"/>
          </w:tcPr>
          <w:p w14:paraId="4C61AAA7" w14:textId="75046312" w:rsidR="00AD5583" w:rsidRPr="00781112" w:rsidRDefault="00AD5583" w:rsidP="007C3622">
            <w:pPr>
              <w:spacing w:after="0"/>
              <w:jc w:val="center"/>
              <w:rPr>
                <w:rFonts w:cs="Arial"/>
                <w:color w:val="000000" w:themeColor="text1"/>
                <w:szCs w:val="16"/>
              </w:rPr>
            </w:pPr>
            <w:r w:rsidRPr="00781112">
              <w:rPr>
                <w:color w:val="000000" w:themeColor="text1"/>
                <w:szCs w:val="16"/>
              </w:rPr>
              <w:t>0%</w:t>
            </w:r>
          </w:p>
        </w:tc>
        <w:tc>
          <w:tcPr>
            <w:tcW w:w="772" w:type="pct"/>
            <w:vAlign w:val="center"/>
          </w:tcPr>
          <w:p w14:paraId="59DCAC52" w14:textId="3AB87F0D" w:rsidR="00AD5583" w:rsidRPr="00781112" w:rsidRDefault="00AD5583" w:rsidP="007C3622">
            <w:pPr>
              <w:spacing w:after="0"/>
              <w:jc w:val="center"/>
              <w:rPr>
                <w:rFonts w:cs="Arial"/>
                <w:color w:val="000000" w:themeColor="text1"/>
                <w:szCs w:val="16"/>
              </w:rPr>
            </w:pPr>
            <w:r w:rsidRPr="00781112">
              <w:rPr>
                <w:color w:val="000000" w:themeColor="text1"/>
                <w:szCs w:val="16"/>
              </w:rPr>
              <w:t>0%</w:t>
            </w:r>
          </w:p>
        </w:tc>
        <w:tc>
          <w:tcPr>
            <w:tcW w:w="772" w:type="pct"/>
            <w:vAlign w:val="center"/>
          </w:tcPr>
          <w:p w14:paraId="01CBB5F6" w14:textId="30E27615" w:rsidR="00AD5583" w:rsidRPr="00781112" w:rsidRDefault="00AD5583" w:rsidP="007C3622">
            <w:pPr>
              <w:spacing w:after="0"/>
              <w:jc w:val="center"/>
              <w:rPr>
                <w:rFonts w:cs="Arial"/>
                <w:color w:val="000000" w:themeColor="text1"/>
                <w:szCs w:val="16"/>
              </w:rPr>
            </w:pPr>
            <w:r w:rsidRPr="00781112">
              <w:rPr>
                <w:color w:val="000000" w:themeColor="text1"/>
                <w:szCs w:val="16"/>
              </w:rPr>
              <w:t>0%</w:t>
            </w:r>
          </w:p>
        </w:tc>
        <w:tc>
          <w:tcPr>
            <w:tcW w:w="771" w:type="pct"/>
            <w:vAlign w:val="center"/>
          </w:tcPr>
          <w:p w14:paraId="7F104E9E" w14:textId="6D9DEBCA" w:rsidR="00AD5583" w:rsidRPr="00781112" w:rsidRDefault="00AD5583" w:rsidP="007C3622">
            <w:pPr>
              <w:spacing w:after="0"/>
              <w:jc w:val="center"/>
              <w:rPr>
                <w:rFonts w:cs="Arial"/>
                <w:color w:val="000000" w:themeColor="text1"/>
                <w:szCs w:val="16"/>
              </w:rPr>
            </w:pPr>
            <w:r w:rsidRPr="00781112">
              <w:rPr>
                <w:color w:val="000000" w:themeColor="text1"/>
                <w:szCs w:val="16"/>
              </w:rPr>
              <w:t>0%</w:t>
            </w:r>
          </w:p>
        </w:tc>
      </w:tr>
    </w:tbl>
    <w:p w14:paraId="77101B89" w14:textId="08EFFE98" w:rsidR="00D03701" w:rsidRPr="00781112" w:rsidRDefault="00F6415A" w:rsidP="0041610C">
      <w:pPr>
        <w:pStyle w:val="Heading4"/>
      </w:pPr>
      <w:r w:rsidRPr="00781112">
        <w:t>FFY 2020 SPP/APR Data</w:t>
      </w:r>
      <w:bookmarkEnd w:id="67"/>
      <w:bookmarkEnd w:id="68"/>
    </w:p>
    <w:p w14:paraId="5771AAAE" w14:textId="3421DD27" w:rsidR="003E7FC1" w:rsidRPr="00781112" w:rsidRDefault="003E7FC1" w:rsidP="00A22EB9">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E70362D" w:rsidR="003E7FC1" w:rsidRPr="00533C0E" w:rsidRDefault="00817775" w:rsidP="00314F94">
      <w:pPr>
        <w:pStyle w:val="ListParagraph"/>
        <w:numPr>
          <w:ilvl w:val="0"/>
          <w:numId w:val="189"/>
        </w:numPr>
        <w:rPr>
          <w:rFonts w:cs="Arial"/>
          <w:color w:val="000000" w:themeColor="text1"/>
          <w:szCs w:val="16"/>
        </w:rPr>
      </w:pPr>
      <w:r w:rsidRPr="00533C0E">
        <w:rPr>
          <w:rFonts w:cs="Arial"/>
          <w:color w:val="000000" w:themeColor="text1"/>
          <w:szCs w:val="16"/>
        </w:rPr>
        <w:t>Yes</w:t>
      </w:r>
    </w:p>
    <w:p w14:paraId="76B8CAF9" w14:textId="53FE4658" w:rsidR="003E7FC1" w:rsidRPr="00781112" w:rsidRDefault="003E7FC1" w:rsidP="00A22EB9">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districts that met the State-established n and/or cell size. Report the number of districts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62270301" w14:textId="49F3EB5C" w:rsidR="003E7FC1" w:rsidRPr="00533C0E" w:rsidRDefault="003E7FC1" w:rsidP="00314F94">
      <w:pPr>
        <w:pStyle w:val="ListParagraph"/>
        <w:numPr>
          <w:ilvl w:val="0"/>
          <w:numId w:val="190"/>
        </w:numPr>
        <w:rPr>
          <w:rFonts w:cs="Arial"/>
          <w:color w:val="000000" w:themeColor="text1"/>
          <w:szCs w:val="16"/>
        </w:rPr>
      </w:pPr>
      <w:r w:rsidRPr="00533C0E">
        <w:rPr>
          <w:rFonts w:cs="Arial"/>
          <w:color w:val="000000" w:themeColor="text1"/>
          <w:szCs w:val="16"/>
        </w:rPr>
        <w:t>0</w:t>
      </w:r>
    </w:p>
    <w:p w14:paraId="77A72FDC" w14:textId="34308A3D" w:rsidR="00C578AE" w:rsidRPr="00781112" w:rsidRDefault="00C578AE" w:rsidP="00C33455">
      <w:pPr>
        <w:pStyle w:val="Caption"/>
      </w:pPr>
      <w:r w:rsidRPr="00781112">
        <w:t>FFY 2020 SPP/APR Data</w:t>
      </w:r>
      <w:r>
        <w:t xml:space="preserve"> (9)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2123"/>
        <w:gridCol w:w="2280"/>
        <w:gridCol w:w="1474"/>
        <w:gridCol w:w="898"/>
        <w:gridCol w:w="950"/>
        <w:gridCol w:w="898"/>
        <w:gridCol w:w="950"/>
        <w:gridCol w:w="1217"/>
      </w:tblGrid>
      <w:tr w:rsidR="005C29F8" w:rsidRPr="00781112" w14:paraId="53F272CD" w14:textId="23013B7B" w:rsidTr="007C3622">
        <w:trPr>
          <w:trHeight w:val="3590"/>
          <w:jc w:val="center"/>
        </w:trPr>
        <w:tc>
          <w:tcPr>
            <w:tcW w:w="984" w:type="pct"/>
            <w:shd w:val="clear" w:color="auto" w:fill="D9D9D9" w:themeFill="background1" w:themeFillShade="D9"/>
            <w:vAlign w:val="center"/>
          </w:tcPr>
          <w:p w14:paraId="18E013DB" w14:textId="1E730C58" w:rsidR="004B2A77" w:rsidRPr="00781112" w:rsidRDefault="004B2A77" w:rsidP="007C3622">
            <w:pPr>
              <w:spacing w:after="0"/>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1057" w:type="pct"/>
            <w:shd w:val="clear" w:color="auto" w:fill="D9D9D9" w:themeFill="background1" w:themeFillShade="D9"/>
            <w:vAlign w:val="center"/>
          </w:tcPr>
          <w:p w14:paraId="67667553" w14:textId="3EAD48D0" w:rsidR="004B2A77" w:rsidRPr="00781112" w:rsidRDefault="004B2A77" w:rsidP="007C3622">
            <w:pPr>
              <w:spacing w:after="0"/>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683" w:type="pct"/>
            <w:shd w:val="clear" w:color="auto" w:fill="D9D9D9" w:themeFill="background1" w:themeFillShade="D9"/>
            <w:vAlign w:val="center"/>
          </w:tcPr>
          <w:p w14:paraId="33AFFA6F" w14:textId="7F185165" w:rsidR="004B2A77" w:rsidRPr="00781112" w:rsidRDefault="003D7F56" w:rsidP="007C3622">
            <w:pPr>
              <w:spacing w:after="0"/>
              <w:jc w:val="center"/>
              <w:rPr>
                <w:b/>
                <w:color w:val="000000" w:themeColor="text1"/>
              </w:rPr>
            </w:pPr>
            <w:r w:rsidRPr="00781112">
              <w:rPr>
                <w:b/>
                <w:color w:val="000000" w:themeColor="text1"/>
              </w:rPr>
              <w:t>Number of districts that met the State's minimum n and/or cell size</w:t>
            </w:r>
          </w:p>
        </w:tc>
        <w:tc>
          <w:tcPr>
            <w:tcW w:w="416" w:type="pct"/>
            <w:shd w:val="clear" w:color="auto" w:fill="D9D9D9" w:themeFill="background1" w:themeFillShade="D9"/>
            <w:vAlign w:val="center"/>
          </w:tcPr>
          <w:p w14:paraId="600C49E0" w14:textId="7D886C0A" w:rsidR="004B2A77" w:rsidRPr="00781112" w:rsidRDefault="00F6415A" w:rsidP="007C3622">
            <w:pPr>
              <w:spacing w:after="0"/>
              <w:jc w:val="center"/>
              <w:rPr>
                <w:b/>
                <w:color w:val="000000" w:themeColor="text1"/>
              </w:rPr>
            </w:pPr>
            <w:r w:rsidRPr="00781112">
              <w:rPr>
                <w:b/>
                <w:color w:val="000000" w:themeColor="text1"/>
              </w:rPr>
              <w:t>FFY 2019 Data</w:t>
            </w:r>
          </w:p>
        </w:tc>
        <w:tc>
          <w:tcPr>
            <w:tcW w:w="440" w:type="pct"/>
            <w:shd w:val="clear" w:color="auto" w:fill="D9D9D9" w:themeFill="background1" w:themeFillShade="D9"/>
            <w:vAlign w:val="center"/>
          </w:tcPr>
          <w:p w14:paraId="1B6D5875" w14:textId="75A5C75F" w:rsidR="004B2A77" w:rsidRPr="00781112" w:rsidRDefault="00F6415A" w:rsidP="007C3622">
            <w:pPr>
              <w:spacing w:after="0"/>
              <w:jc w:val="center"/>
              <w:rPr>
                <w:b/>
                <w:color w:val="000000" w:themeColor="text1"/>
              </w:rPr>
            </w:pPr>
            <w:r w:rsidRPr="00781112">
              <w:rPr>
                <w:b/>
                <w:color w:val="000000" w:themeColor="text1"/>
              </w:rPr>
              <w:t>FFY 2020 Target</w:t>
            </w:r>
          </w:p>
        </w:tc>
        <w:tc>
          <w:tcPr>
            <w:tcW w:w="416" w:type="pct"/>
            <w:shd w:val="clear" w:color="auto" w:fill="D9D9D9" w:themeFill="background1" w:themeFillShade="D9"/>
            <w:vAlign w:val="center"/>
          </w:tcPr>
          <w:p w14:paraId="33B20FA6" w14:textId="73DE7E92" w:rsidR="004B2A77" w:rsidRPr="00781112" w:rsidRDefault="00F6415A" w:rsidP="007C3622">
            <w:pPr>
              <w:spacing w:after="0"/>
              <w:jc w:val="center"/>
              <w:rPr>
                <w:b/>
                <w:color w:val="000000" w:themeColor="text1"/>
              </w:rPr>
            </w:pPr>
            <w:r w:rsidRPr="00781112">
              <w:rPr>
                <w:b/>
                <w:color w:val="000000" w:themeColor="text1"/>
              </w:rPr>
              <w:t>FFY 2020 Data</w:t>
            </w:r>
          </w:p>
        </w:tc>
        <w:tc>
          <w:tcPr>
            <w:tcW w:w="440" w:type="pct"/>
            <w:shd w:val="clear" w:color="auto" w:fill="D9D9D9" w:themeFill="background1" w:themeFillShade="D9"/>
            <w:vAlign w:val="center"/>
          </w:tcPr>
          <w:p w14:paraId="7561FBFF" w14:textId="5BCCF9DB" w:rsidR="004B2A77" w:rsidRPr="00781112" w:rsidRDefault="004B2A77" w:rsidP="007C3622">
            <w:pPr>
              <w:spacing w:after="0"/>
              <w:jc w:val="center"/>
              <w:rPr>
                <w:b/>
                <w:color w:val="000000" w:themeColor="text1"/>
              </w:rPr>
            </w:pPr>
            <w:r w:rsidRPr="00781112">
              <w:rPr>
                <w:b/>
                <w:color w:val="000000" w:themeColor="text1"/>
              </w:rPr>
              <w:t>Status</w:t>
            </w:r>
          </w:p>
        </w:tc>
        <w:tc>
          <w:tcPr>
            <w:tcW w:w="564" w:type="pct"/>
            <w:shd w:val="clear" w:color="auto" w:fill="D9D9D9" w:themeFill="background1" w:themeFillShade="D9"/>
            <w:vAlign w:val="center"/>
          </w:tcPr>
          <w:p w14:paraId="0153B20F" w14:textId="69571E1B" w:rsidR="004B2A77" w:rsidRPr="00781112" w:rsidRDefault="004B2A77" w:rsidP="007C3622">
            <w:pPr>
              <w:spacing w:after="0"/>
              <w:jc w:val="center"/>
              <w:rPr>
                <w:b/>
                <w:color w:val="000000" w:themeColor="text1"/>
              </w:rPr>
            </w:pPr>
            <w:r w:rsidRPr="00781112">
              <w:rPr>
                <w:b/>
                <w:color w:val="000000" w:themeColor="text1"/>
              </w:rPr>
              <w:t>Slippage</w:t>
            </w:r>
          </w:p>
        </w:tc>
      </w:tr>
      <w:tr w:rsidR="005C29F8" w:rsidRPr="00781112" w14:paraId="57CF8532" w14:textId="02E28ACC" w:rsidTr="007C3622">
        <w:trPr>
          <w:trHeight w:val="494"/>
          <w:jc w:val="center"/>
        </w:trPr>
        <w:tc>
          <w:tcPr>
            <w:tcW w:w="984" w:type="pct"/>
            <w:shd w:val="clear" w:color="auto" w:fill="auto"/>
            <w:vAlign w:val="center"/>
          </w:tcPr>
          <w:p w14:paraId="172AFDD0" w14:textId="0A73037E" w:rsidR="004B2A77" w:rsidRPr="00781112" w:rsidRDefault="004B2A77" w:rsidP="007C3622">
            <w:pPr>
              <w:spacing w:after="0"/>
              <w:jc w:val="center"/>
              <w:rPr>
                <w:rFonts w:cs="Arial"/>
                <w:color w:val="000000" w:themeColor="text1"/>
                <w:szCs w:val="16"/>
              </w:rPr>
            </w:pPr>
            <w:r w:rsidRPr="00781112">
              <w:rPr>
                <w:rFonts w:cs="Arial"/>
                <w:color w:val="000000" w:themeColor="text1"/>
                <w:szCs w:val="16"/>
              </w:rPr>
              <w:t>5</w:t>
            </w:r>
          </w:p>
        </w:tc>
        <w:tc>
          <w:tcPr>
            <w:tcW w:w="1057" w:type="pct"/>
            <w:shd w:val="clear" w:color="auto" w:fill="auto"/>
            <w:vAlign w:val="center"/>
          </w:tcPr>
          <w:p w14:paraId="6757D825" w14:textId="1A92A410" w:rsidR="004B2A77" w:rsidRPr="00781112" w:rsidRDefault="004B2A77" w:rsidP="007C3622">
            <w:pPr>
              <w:spacing w:after="0"/>
              <w:jc w:val="center"/>
              <w:rPr>
                <w:rFonts w:cs="Arial"/>
                <w:color w:val="000000" w:themeColor="text1"/>
                <w:szCs w:val="16"/>
              </w:rPr>
            </w:pPr>
            <w:r w:rsidRPr="00781112">
              <w:rPr>
                <w:rFonts w:cs="Arial"/>
                <w:color w:val="000000" w:themeColor="text1"/>
                <w:szCs w:val="16"/>
              </w:rPr>
              <w:t>0</w:t>
            </w:r>
          </w:p>
        </w:tc>
        <w:tc>
          <w:tcPr>
            <w:tcW w:w="683" w:type="pct"/>
            <w:shd w:val="clear" w:color="auto" w:fill="auto"/>
            <w:vAlign w:val="center"/>
          </w:tcPr>
          <w:p w14:paraId="5A5C0509" w14:textId="06ACAFFD" w:rsidR="004B2A77" w:rsidRPr="00781112" w:rsidRDefault="004B2A77" w:rsidP="007C3622">
            <w:pPr>
              <w:spacing w:after="0"/>
              <w:jc w:val="center"/>
              <w:rPr>
                <w:rFonts w:cs="Arial"/>
                <w:color w:val="000000" w:themeColor="text1"/>
                <w:szCs w:val="16"/>
              </w:rPr>
            </w:pPr>
            <w:r w:rsidRPr="00781112">
              <w:rPr>
                <w:rFonts w:cs="Arial"/>
                <w:color w:val="000000" w:themeColor="text1"/>
                <w:szCs w:val="16"/>
              </w:rPr>
              <w:t>132</w:t>
            </w:r>
          </w:p>
        </w:tc>
        <w:tc>
          <w:tcPr>
            <w:tcW w:w="416" w:type="pct"/>
            <w:shd w:val="clear" w:color="auto" w:fill="auto"/>
            <w:vAlign w:val="center"/>
          </w:tcPr>
          <w:p w14:paraId="5124C23D" w14:textId="44EC7AED" w:rsidR="004B2A77" w:rsidRPr="00781112" w:rsidRDefault="004B2A77" w:rsidP="007C3622">
            <w:pPr>
              <w:spacing w:after="0"/>
              <w:jc w:val="center"/>
              <w:rPr>
                <w:rFonts w:cs="Arial"/>
                <w:color w:val="000000" w:themeColor="text1"/>
                <w:szCs w:val="16"/>
              </w:rPr>
            </w:pPr>
            <w:r w:rsidRPr="00781112">
              <w:rPr>
                <w:rFonts w:cs="Arial"/>
                <w:color w:val="000000" w:themeColor="text1"/>
                <w:szCs w:val="16"/>
              </w:rPr>
              <w:t>0.00%</w:t>
            </w:r>
          </w:p>
        </w:tc>
        <w:tc>
          <w:tcPr>
            <w:tcW w:w="440" w:type="pct"/>
            <w:shd w:val="clear" w:color="auto" w:fill="auto"/>
            <w:vAlign w:val="center"/>
          </w:tcPr>
          <w:p w14:paraId="60374E05" w14:textId="3E7E167C" w:rsidR="004B2A77" w:rsidRPr="00781112" w:rsidRDefault="009C65E9" w:rsidP="007C3622">
            <w:pPr>
              <w:spacing w:after="0"/>
              <w:jc w:val="center"/>
              <w:rPr>
                <w:rFonts w:cs="Arial"/>
                <w:color w:val="000000" w:themeColor="text1"/>
                <w:szCs w:val="16"/>
              </w:rPr>
            </w:pPr>
            <w:r w:rsidRPr="00781112">
              <w:rPr>
                <w:rFonts w:cs="Arial"/>
                <w:color w:val="000000" w:themeColor="text1"/>
                <w:szCs w:val="16"/>
              </w:rPr>
              <w:t>0%</w:t>
            </w:r>
          </w:p>
        </w:tc>
        <w:tc>
          <w:tcPr>
            <w:tcW w:w="416" w:type="pct"/>
            <w:shd w:val="clear" w:color="auto" w:fill="auto"/>
            <w:vAlign w:val="center"/>
          </w:tcPr>
          <w:p w14:paraId="4C77CACE" w14:textId="610C95DA" w:rsidR="004B2A77" w:rsidRPr="00781112" w:rsidRDefault="004B2A77" w:rsidP="007C3622">
            <w:pPr>
              <w:spacing w:after="0"/>
              <w:jc w:val="center"/>
              <w:rPr>
                <w:rFonts w:cs="Arial"/>
                <w:color w:val="000000" w:themeColor="text1"/>
                <w:szCs w:val="16"/>
              </w:rPr>
            </w:pPr>
            <w:r w:rsidRPr="00781112">
              <w:rPr>
                <w:rFonts w:cs="Arial"/>
                <w:color w:val="000000" w:themeColor="text1"/>
                <w:szCs w:val="16"/>
              </w:rPr>
              <w:t>0.00%</w:t>
            </w:r>
          </w:p>
        </w:tc>
        <w:tc>
          <w:tcPr>
            <w:tcW w:w="440" w:type="pct"/>
            <w:shd w:val="clear" w:color="auto" w:fill="auto"/>
            <w:vAlign w:val="center"/>
          </w:tcPr>
          <w:p w14:paraId="58A781DA" w14:textId="678D3288" w:rsidR="004B2A77" w:rsidRPr="00781112" w:rsidRDefault="004B2A77" w:rsidP="007C3622">
            <w:pPr>
              <w:spacing w:after="0"/>
              <w:jc w:val="center"/>
              <w:rPr>
                <w:rFonts w:cs="Arial"/>
                <w:color w:val="000000" w:themeColor="text1"/>
                <w:szCs w:val="16"/>
              </w:rPr>
            </w:pPr>
            <w:r w:rsidRPr="00781112">
              <w:rPr>
                <w:rFonts w:cs="Arial"/>
                <w:color w:val="000000" w:themeColor="text1"/>
                <w:szCs w:val="16"/>
              </w:rPr>
              <w:t>N/A</w:t>
            </w:r>
          </w:p>
        </w:tc>
        <w:tc>
          <w:tcPr>
            <w:tcW w:w="564" w:type="pct"/>
            <w:shd w:val="clear" w:color="auto" w:fill="auto"/>
            <w:vAlign w:val="center"/>
          </w:tcPr>
          <w:p w14:paraId="47F36111" w14:textId="3F2C8DFF" w:rsidR="004B2A77" w:rsidRPr="00781112" w:rsidRDefault="004B2A77" w:rsidP="007C3622">
            <w:pPr>
              <w:spacing w:after="0"/>
              <w:jc w:val="center"/>
              <w:rPr>
                <w:rFonts w:cs="Arial"/>
                <w:color w:val="000000" w:themeColor="text1"/>
                <w:szCs w:val="16"/>
              </w:rPr>
            </w:pPr>
            <w:r w:rsidRPr="00781112">
              <w:rPr>
                <w:rFonts w:cs="Arial"/>
                <w:color w:val="000000" w:themeColor="text1"/>
                <w:szCs w:val="16"/>
              </w:rPr>
              <w:t>N/A</w:t>
            </w:r>
          </w:p>
        </w:tc>
      </w:tr>
    </w:tbl>
    <w:p w14:paraId="220899ED" w14:textId="09CDAC50" w:rsidR="003E7FC1" w:rsidRPr="00781112" w:rsidRDefault="00955FDB" w:rsidP="007C3622">
      <w:pPr>
        <w:spacing w:before="240"/>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5FA6F90A" w:rsidR="003E7FC1" w:rsidRPr="00533C0E" w:rsidRDefault="00817775" w:rsidP="00314F94">
      <w:pPr>
        <w:pStyle w:val="ListParagraph"/>
        <w:numPr>
          <w:ilvl w:val="0"/>
          <w:numId w:val="191"/>
        </w:numPr>
        <w:rPr>
          <w:rFonts w:cs="Arial"/>
          <w:color w:val="000000" w:themeColor="text1"/>
          <w:szCs w:val="16"/>
        </w:rPr>
      </w:pPr>
      <w:r w:rsidRPr="00533C0E">
        <w:rPr>
          <w:rFonts w:cs="Arial"/>
          <w:color w:val="000000" w:themeColor="text1"/>
          <w:szCs w:val="16"/>
        </w:rPr>
        <w:t>Yes</w:t>
      </w:r>
    </w:p>
    <w:p w14:paraId="6A959542" w14:textId="25AC6B55" w:rsidR="00030B45" w:rsidRPr="00781112" w:rsidRDefault="000F256B" w:rsidP="00A22EB9">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533C0E" w:rsidRDefault="002B7490" w:rsidP="00314F94">
      <w:pPr>
        <w:pStyle w:val="ListParagraph"/>
        <w:numPr>
          <w:ilvl w:val="0"/>
          <w:numId w:val="192"/>
        </w:numPr>
        <w:rPr>
          <w:rFonts w:cs="Arial"/>
          <w:color w:val="000000" w:themeColor="text1"/>
          <w:szCs w:val="16"/>
        </w:rPr>
      </w:pPr>
      <w:bookmarkStart w:id="69" w:name="_Hlk494459610"/>
      <w:r w:rsidRPr="00533C0E">
        <w:rPr>
          <w:rFonts w:cs="Arial"/>
          <w:color w:val="000000" w:themeColor="text1"/>
          <w:szCs w:val="16"/>
        </w:rPr>
        <w:t xml:space="preserve">The VDOE’s definition of “disproportionate representation” for Indicator 9 is as follows: 1) disproportionate representation of racial and ethnic groups in special education and related services occurs when the percent of a particular racial or ethnic group identified in the school district’s special education population is disproportionate to the percent of that racial or ethnic </w:t>
      </w:r>
      <w:r w:rsidRPr="00533C0E">
        <w:rPr>
          <w:rFonts w:cs="Arial"/>
          <w:color w:val="000000" w:themeColor="text1"/>
          <w:szCs w:val="16"/>
        </w:rPr>
        <w:lastRenderedPageBreak/>
        <w:t>group in the school district’s general population using a risk ratio; 2) the threshold at which disproportionate representation is identified is a risk ratio of 2.0 or greater; 3) a single year of data is used in the calculation; and 4) a minimum cell size of more than ten (numerator) and minimum n-size of more than ten (denominator) were utilized.</w:t>
      </w:r>
    </w:p>
    <w:bookmarkEnd w:id="69"/>
    <w:p w14:paraId="7574A63E" w14:textId="34AB5613" w:rsidR="000F256B" w:rsidRPr="00781112" w:rsidRDefault="000F256B" w:rsidP="00A22EB9">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64A7C0FD" w14:textId="77777777" w:rsidR="007C3622" w:rsidRPr="00533C0E" w:rsidRDefault="002B7490" w:rsidP="00314F94">
      <w:pPr>
        <w:pStyle w:val="ListParagraph"/>
        <w:numPr>
          <w:ilvl w:val="0"/>
          <w:numId w:val="193"/>
        </w:numPr>
        <w:rPr>
          <w:rFonts w:cs="Arial"/>
          <w:color w:val="000000" w:themeColor="text1"/>
          <w:szCs w:val="16"/>
        </w:rPr>
      </w:pPr>
      <w:r w:rsidRPr="00533C0E">
        <w:rPr>
          <w:rFonts w:cs="Arial"/>
          <w:color w:val="000000" w:themeColor="text1"/>
          <w:szCs w:val="16"/>
        </w:rPr>
        <w:t>Level One: Data Analysis</w:t>
      </w:r>
    </w:p>
    <w:p w14:paraId="4491CB50" w14:textId="77777777" w:rsidR="007C3622" w:rsidRDefault="002B7490" w:rsidP="00817775">
      <w:pPr>
        <w:ind w:left="720"/>
        <w:rPr>
          <w:rFonts w:cs="Arial"/>
          <w:color w:val="000000" w:themeColor="text1"/>
          <w:szCs w:val="16"/>
        </w:rPr>
      </w:pPr>
      <w:r w:rsidRPr="00781112">
        <w:rPr>
          <w:rFonts w:cs="Arial"/>
          <w:color w:val="000000" w:themeColor="text1"/>
          <w:szCs w:val="16"/>
        </w:rPr>
        <w:t>The VDOE used a risk ratio model to calculate and determine if districts had disproportionate representation. The VDOE evaluated the degree to which students in specific racial and ethnic groups may or may not be at higher risk for being identified as having a disability compared to students not in those racial and ethnic groups. This is accomplished by computing risk ratios depicting the proportion of students with disabilities (SWD) in each specific racial and ethnic group relative to the proportion of SWD in all other racial and ethnic groups. The computation was done at the district level and a minimum cell size of more than ten (numerator) and minimum n-size of more than ten (denominator) was applied as a control for very small populations.</w:t>
      </w:r>
    </w:p>
    <w:p w14:paraId="5949928C" w14:textId="77777777" w:rsidR="007C3622" w:rsidRDefault="002B7490" w:rsidP="00817775">
      <w:pPr>
        <w:ind w:left="720"/>
        <w:rPr>
          <w:rFonts w:cs="Arial"/>
          <w:color w:val="000000" w:themeColor="text1"/>
          <w:szCs w:val="16"/>
        </w:rPr>
      </w:pPr>
      <w:r w:rsidRPr="00781112">
        <w:rPr>
          <w:rFonts w:cs="Arial"/>
          <w:color w:val="000000" w:themeColor="text1"/>
          <w:szCs w:val="16"/>
        </w:rPr>
        <w:t>Risk ratios were computed for districts that met the minimum cell size/n-size requirements of more than ten students with disabilities in a specific racial or ethnic group and more than ten students in the comparison group. Data from FFY 2020 includes calculations from all 132 school districts in the State resulting in no districts being totally excluded from the disproportionate calculation. Using the calculation criteria above and applying it to all races/ethnicities effectively created a response group representative of the populations in each district.</w:t>
      </w:r>
    </w:p>
    <w:p w14:paraId="1D07D9BF" w14:textId="77777777" w:rsidR="007C3622" w:rsidRDefault="002B7490" w:rsidP="00817775">
      <w:pPr>
        <w:ind w:left="720"/>
        <w:rPr>
          <w:rFonts w:cs="Arial"/>
          <w:color w:val="000000" w:themeColor="text1"/>
          <w:szCs w:val="16"/>
        </w:rPr>
      </w:pPr>
      <w:r w:rsidRPr="00781112">
        <w:rPr>
          <w:rFonts w:cs="Arial"/>
          <w:color w:val="000000" w:themeColor="text1"/>
          <w:szCs w:val="16"/>
        </w:rPr>
        <w:t>Districts with racial and ethnic group(s) that met the minimum cell size/n-size with risk ratios greater than 2.0 were considered to have disproportionate representation. Subsequently, they were required to complete the level two analysis to determine if the disproportionate representation found was due to procedural violations during the eligibility and/or evaluation processes found at 8VAC20-81-80 and 8VAC20-81-70 of the Regulations Governing Special Education Programs for Children with Disabilities in Virginia (Regulations), respectively.</w:t>
      </w:r>
    </w:p>
    <w:p w14:paraId="5A740405" w14:textId="77777777" w:rsidR="007C3622" w:rsidRDefault="002B7490" w:rsidP="00817775">
      <w:pPr>
        <w:ind w:left="720"/>
        <w:rPr>
          <w:rFonts w:cs="Arial"/>
          <w:color w:val="000000" w:themeColor="text1"/>
          <w:szCs w:val="16"/>
        </w:rPr>
      </w:pPr>
      <w:r w:rsidRPr="00781112">
        <w:rPr>
          <w:rFonts w:cs="Arial"/>
          <w:color w:val="000000" w:themeColor="text1"/>
          <w:szCs w:val="16"/>
        </w:rPr>
        <w:t>Level Two: Review of Superintendents’ Assurances of Policies, Procedures, and Practices that Prevent Disproportionate Representation and Individual Student Records</w:t>
      </w:r>
    </w:p>
    <w:p w14:paraId="0258AE27" w14:textId="77777777" w:rsidR="007C3622" w:rsidRDefault="002B7490" w:rsidP="00817775">
      <w:pPr>
        <w:ind w:left="720"/>
        <w:rPr>
          <w:rFonts w:cs="Arial"/>
          <w:color w:val="000000" w:themeColor="text1"/>
          <w:szCs w:val="16"/>
        </w:rPr>
      </w:pPr>
      <w:r w:rsidRPr="00781112">
        <w:rPr>
          <w:rFonts w:cs="Arial"/>
          <w:color w:val="000000" w:themeColor="text1"/>
          <w:szCs w:val="16"/>
        </w:rPr>
        <w:t>Annually, each school district is required to provide the VDOE a written assurance, certified by signature of the superintendent/designee of the school district, that policies and procedures are in effect which are designed to prevent disproportionate representation by race and ethnicity in special education and related services (refer to FFY 2019 Part B State Performance Plan/Annual Performance Report).</w:t>
      </w:r>
    </w:p>
    <w:p w14:paraId="43771B17" w14:textId="03DAF794" w:rsidR="009B37A2" w:rsidRPr="00781112" w:rsidRDefault="002B7490" w:rsidP="00817775">
      <w:pPr>
        <w:ind w:left="720"/>
        <w:rPr>
          <w:rFonts w:cs="Arial"/>
          <w:color w:val="000000" w:themeColor="text1"/>
          <w:szCs w:val="16"/>
        </w:rPr>
      </w:pPr>
      <w:r w:rsidRPr="00781112">
        <w:rPr>
          <w:rFonts w:cs="Arial"/>
          <w:color w:val="000000" w:themeColor="text1"/>
          <w:szCs w:val="16"/>
        </w:rPr>
        <w:t xml:space="preserve">Additionally, if a school district was identified in the level one analysis for disproportionate representation, the district was required to review individual student records for the racial and </w:t>
      </w:r>
      <w:r w:rsidRPr="00781112">
        <w:rPr>
          <w:rFonts w:cs="Arial"/>
          <w:color w:val="000000" w:themeColor="text1"/>
          <w:szCs w:val="16"/>
        </w:rPr>
        <w:lastRenderedPageBreak/>
        <w:t>ethnic groups identified in the level one analysis. This record review required the use of a checklist that allowed the school district to identify, by documented evidence only, any violations of procedural or regulatory requirements related to the identification of students as a student with a disability. If there was no documented evidence found in a student’s record to support “appropriate identification” as defined by the VDOE, this counted as a procedural or regulatory violation. School districts submitted a written summary of their student record review to the VDOE, and a final determination was made as to which districts had disproportionate representation of racial and ethnic groups in special education and related services that was the result of inappropriate identification. For 2020-2021, zero of the five districts identified in the level one analysis and subjected to this level two analysis were determined to have violations of regulatory or procedural requirements related to the identification of students as students with disabilities in that racial or ethnic group.</w:t>
      </w:r>
    </w:p>
    <w:p w14:paraId="3B71A72A" w14:textId="77777777" w:rsidR="00DF1529" w:rsidRPr="00781112" w:rsidRDefault="00DF1529" w:rsidP="0041610C">
      <w:pPr>
        <w:pStyle w:val="Heading4"/>
      </w:pPr>
      <w:bookmarkStart w:id="70" w:name="_Toc381956337"/>
      <w:bookmarkStart w:id="71" w:name="_Toc384383347"/>
      <w:bookmarkStart w:id="72" w:name="_Toc392159315"/>
      <w:r w:rsidRPr="00781112">
        <w:t>Provide additional information about this indicator (optional)</w:t>
      </w:r>
    </w:p>
    <w:p w14:paraId="5BE458CD" w14:textId="77777777" w:rsidR="007C3622" w:rsidRPr="00533C0E" w:rsidRDefault="002B7490" w:rsidP="00314F94">
      <w:pPr>
        <w:pStyle w:val="ListParagraph"/>
        <w:numPr>
          <w:ilvl w:val="0"/>
          <w:numId w:val="194"/>
        </w:numPr>
        <w:rPr>
          <w:rFonts w:cs="Arial"/>
          <w:color w:val="000000" w:themeColor="text1"/>
          <w:szCs w:val="16"/>
        </w:rPr>
      </w:pPr>
      <w:r w:rsidRPr="00533C0E">
        <w:rPr>
          <w:rFonts w:cs="Arial"/>
          <w:color w:val="000000" w:themeColor="text1"/>
          <w:szCs w:val="16"/>
        </w:rPr>
        <w:t>The VDOE uses a five-year cyclical approach to review special education data for all school districts in the Commonwealth, as recommended by OSEP. In doing so, the VDOE has a process for systematically auditing and validating school districts’ self-determinations of compliance with all Individuals with Disabilities Education Act (IDEA) compliance indicators submitted through its Single Sign-on for Web Systems (SSWS) Special Education Indicators application. The VDOE ensures, per OSEP guidance, all instances of noncompliance are reported as communicated by the LEAs to VDOE consistent with OSEP Memorandum 09-02.</w:t>
      </w:r>
    </w:p>
    <w:p w14:paraId="10841D61" w14:textId="77777777" w:rsidR="007C3622" w:rsidRDefault="002B7490" w:rsidP="00817775">
      <w:pPr>
        <w:ind w:left="720"/>
        <w:rPr>
          <w:rFonts w:cs="Arial"/>
          <w:color w:val="000000" w:themeColor="text1"/>
          <w:szCs w:val="16"/>
        </w:rPr>
      </w:pPr>
      <w:r w:rsidRPr="00781112">
        <w:rPr>
          <w:rFonts w:cs="Arial"/>
          <w:color w:val="000000" w:themeColor="text1"/>
          <w:szCs w:val="16"/>
        </w:rPr>
        <w:t>Each year, approximately 20 percent of the school districts in Virginia are selected for data validation of compliance indicators. Specifically, between the months of September and December, the regional VDOE monitor assigned to school districts within that current year’s cohort reviews a random sample of individual student files and specific policies, procedures, and practices to ensure the accuracy of the indicator information submitted to VDOE. The number of files reviewed is based on the number of records submitted for each indicator.</w:t>
      </w:r>
    </w:p>
    <w:p w14:paraId="09BD0651" w14:textId="33A7FCA9" w:rsidR="00817775" w:rsidRDefault="002B7490" w:rsidP="00817775">
      <w:pPr>
        <w:ind w:left="720"/>
        <w:rPr>
          <w:b/>
        </w:rPr>
      </w:pPr>
      <w:r w:rsidRPr="00781112">
        <w:rPr>
          <w:rFonts w:cs="Arial"/>
          <w:color w:val="000000" w:themeColor="text1"/>
          <w:szCs w:val="16"/>
        </w:rPr>
        <w:t xml:space="preserve">Local educational agencies (LEAs) self-reporting less than 100 percent </w:t>
      </w:r>
      <w:proofErr w:type="gramStart"/>
      <w:r w:rsidRPr="00781112">
        <w:rPr>
          <w:rFonts w:cs="Arial"/>
          <w:color w:val="000000" w:themeColor="text1"/>
          <w:szCs w:val="16"/>
        </w:rPr>
        <w:t>receive</w:t>
      </w:r>
      <w:proofErr w:type="gramEnd"/>
      <w:r w:rsidRPr="00781112">
        <w:rPr>
          <w:rFonts w:cs="Arial"/>
          <w:color w:val="000000" w:themeColor="text1"/>
          <w:szCs w:val="16"/>
        </w:rPr>
        <w:t xml:space="preserve"> written notification of noncompliance, develop a corrective action plan (CAP) as determined by the Lead Monitor, and undergo the Prong 1 and Prong 2 process within one year of written notification. If it is determined that LEAs self-reporting 100 percent submitted inaccurate information, the school district is required to resubmit accurately. Following data resubmission, the district superintendent receives written notification of noncompliance, a CAP is developed as determined by the Lead Monitor, and the Prong 1 and Prong 2 process is completed within one year of written notification. Closure of indicator corrections is finalized with an email to special education administrators.</w:t>
      </w:r>
      <w:r w:rsidR="00817775">
        <w:br w:type="page"/>
      </w:r>
    </w:p>
    <w:p w14:paraId="69DF7E10" w14:textId="332E13DE" w:rsidR="009A755E" w:rsidRPr="00781112" w:rsidRDefault="009A755E" w:rsidP="00C33455">
      <w:pPr>
        <w:pStyle w:val="Caption"/>
      </w:pPr>
      <w:r w:rsidRPr="00781112">
        <w:lastRenderedPageBreak/>
        <w:t>Correction of Findings of Noncompliance Identified in FFY 2019</w:t>
      </w:r>
      <w:r w:rsidR="007B3230">
        <w:t xml:space="preserve"> (9)</w:t>
      </w:r>
    </w:p>
    <w:tbl>
      <w:tblPr>
        <w:tblStyle w:val="TableGrid"/>
        <w:tblW w:w="5000" w:type="pct"/>
        <w:tblLook w:val="04A0" w:firstRow="1" w:lastRow="0" w:firstColumn="1" w:lastColumn="0" w:noHBand="0" w:noVBand="1"/>
        <w:tblDescription w:val="Table provides identified, verified as corrected within one year, and subsequently corrected, and not yet verified findings of noncompliance for FFY 2019 for this indicator."/>
      </w:tblPr>
      <w:tblGrid>
        <w:gridCol w:w="2650"/>
        <w:gridCol w:w="2780"/>
        <w:gridCol w:w="2656"/>
        <w:gridCol w:w="2704"/>
      </w:tblGrid>
      <w:tr w:rsidR="005C29F8" w:rsidRPr="00781112" w14:paraId="435C2E3A" w14:textId="77777777" w:rsidTr="007C3622">
        <w:trPr>
          <w:trHeight w:val="389"/>
          <w:tblHeader/>
        </w:trPr>
        <w:tc>
          <w:tcPr>
            <w:tcW w:w="1228" w:type="pct"/>
            <w:shd w:val="clear" w:color="auto" w:fill="D9D9D9" w:themeFill="background1" w:themeFillShade="D9"/>
            <w:vAlign w:val="center"/>
          </w:tcPr>
          <w:p w14:paraId="3DF4178F" w14:textId="77777777" w:rsidR="009A755E" w:rsidRPr="00781112" w:rsidRDefault="009A755E" w:rsidP="007C3622">
            <w:pPr>
              <w:spacing w:after="0" w:line="276" w:lineRule="auto"/>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D9D9D9" w:themeFill="background1" w:themeFillShade="D9"/>
            <w:vAlign w:val="center"/>
          </w:tcPr>
          <w:p w14:paraId="5838AA6E" w14:textId="77777777" w:rsidR="009A755E" w:rsidRPr="00781112" w:rsidRDefault="009A755E" w:rsidP="007C3622">
            <w:pPr>
              <w:spacing w:after="0" w:line="276" w:lineRule="auto"/>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D9D9D9" w:themeFill="background1" w:themeFillShade="D9"/>
            <w:vAlign w:val="center"/>
          </w:tcPr>
          <w:p w14:paraId="10EF23DE" w14:textId="77777777" w:rsidR="009A755E" w:rsidRPr="00781112" w:rsidRDefault="009A755E" w:rsidP="007C3622">
            <w:pPr>
              <w:spacing w:after="0" w:line="276" w:lineRule="auto"/>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D9D9D9" w:themeFill="background1" w:themeFillShade="D9"/>
            <w:vAlign w:val="center"/>
          </w:tcPr>
          <w:p w14:paraId="413FB053" w14:textId="77777777" w:rsidR="009A755E" w:rsidRPr="00781112" w:rsidRDefault="009A755E" w:rsidP="007C3622">
            <w:pPr>
              <w:spacing w:after="0" w:line="276" w:lineRule="auto"/>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7C3622">
        <w:trPr>
          <w:trHeight w:val="431"/>
        </w:trPr>
        <w:tc>
          <w:tcPr>
            <w:tcW w:w="1228" w:type="pct"/>
            <w:shd w:val="clear" w:color="auto" w:fill="auto"/>
            <w:vAlign w:val="center"/>
          </w:tcPr>
          <w:p w14:paraId="42664B40" w14:textId="26FCEE8E" w:rsidR="009A755E" w:rsidRPr="00781112" w:rsidRDefault="002B7490" w:rsidP="007C3622">
            <w:pPr>
              <w:spacing w:after="0" w:line="276" w:lineRule="auto"/>
              <w:jc w:val="center"/>
              <w:rPr>
                <w:rFonts w:cs="Arial"/>
                <w:color w:val="000000" w:themeColor="text1"/>
                <w:szCs w:val="16"/>
              </w:rPr>
            </w:pPr>
            <w:r w:rsidRPr="00781112">
              <w:rPr>
                <w:rFonts w:cs="Arial"/>
                <w:color w:val="000000" w:themeColor="text1"/>
                <w:szCs w:val="16"/>
              </w:rPr>
              <w:t>0</w:t>
            </w:r>
          </w:p>
        </w:tc>
        <w:tc>
          <w:tcPr>
            <w:tcW w:w="1288" w:type="pct"/>
            <w:shd w:val="clear" w:color="auto" w:fill="auto"/>
            <w:vAlign w:val="center"/>
          </w:tcPr>
          <w:p w14:paraId="6961AA78" w14:textId="6F435E76" w:rsidR="009A755E" w:rsidRPr="00781112" w:rsidRDefault="002B7490" w:rsidP="007C3622">
            <w:pPr>
              <w:spacing w:after="0" w:line="276" w:lineRule="auto"/>
              <w:jc w:val="center"/>
              <w:rPr>
                <w:rFonts w:cs="Arial"/>
                <w:color w:val="000000" w:themeColor="text1"/>
                <w:szCs w:val="16"/>
              </w:rPr>
            </w:pPr>
            <w:r w:rsidRPr="00781112">
              <w:rPr>
                <w:rFonts w:cs="Arial"/>
                <w:color w:val="000000" w:themeColor="text1"/>
                <w:szCs w:val="16"/>
              </w:rPr>
              <w:t>0</w:t>
            </w:r>
          </w:p>
        </w:tc>
        <w:tc>
          <w:tcPr>
            <w:tcW w:w="1231" w:type="pct"/>
            <w:shd w:val="clear" w:color="auto" w:fill="auto"/>
            <w:vAlign w:val="center"/>
          </w:tcPr>
          <w:p w14:paraId="62D59DBA" w14:textId="3A100C9A" w:rsidR="009A755E" w:rsidRPr="00781112" w:rsidRDefault="002B7490" w:rsidP="007C3622">
            <w:pPr>
              <w:spacing w:after="0" w:line="276" w:lineRule="auto"/>
              <w:jc w:val="center"/>
              <w:rPr>
                <w:rFonts w:cs="Arial"/>
                <w:color w:val="000000" w:themeColor="text1"/>
                <w:szCs w:val="16"/>
              </w:rPr>
            </w:pPr>
            <w:r w:rsidRPr="00781112">
              <w:rPr>
                <w:rFonts w:cs="Arial"/>
                <w:color w:val="000000" w:themeColor="text1"/>
                <w:szCs w:val="16"/>
              </w:rPr>
              <w:t>0</w:t>
            </w:r>
          </w:p>
        </w:tc>
        <w:tc>
          <w:tcPr>
            <w:tcW w:w="1254" w:type="pct"/>
            <w:shd w:val="clear" w:color="auto" w:fill="auto"/>
            <w:vAlign w:val="center"/>
          </w:tcPr>
          <w:p w14:paraId="3810C422" w14:textId="3AC4106C" w:rsidR="009A755E" w:rsidRPr="00781112" w:rsidRDefault="002B7490" w:rsidP="007C3622">
            <w:pPr>
              <w:spacing w:after="0" w:line="276" w:lineRule="auto"/>
              <w:jc w:val="center"/>
              <w:rPr>
                <w:rFonts w:cs="Arial"/>
                <w:color w:val="000000" w:themeColor="text1"/>
                <w:szCs w:val="16"/>
              </w:rPr>
            </w:pPr>
            <w:r w:rsidRPr="00781112">
              <w:rPr>
                <w:rFonts w:cs="Arial"/>
                <w:color w:val="000000" w:themeColor="text1"/>
                <w:szCs w:val="16"/>
              </w:rPr>
              <w:t>0</w:t>
            </w:r>
          </w:p>
        </w:tc>
      </w:tr>
    </w:tbl>
    <w:p w14:paraId="7A74DCD8" w14:textId="61B7BAF7" w:rsidR="004E2151" w:rsidRPr="00781112" w:rsidRDefault="00400C56" w:rsidP="007C3622">
      <w:pPr>
        <w:pStyle w:val="Heading3"/>
        <w:spacing w:before="240"/>
      </w:pPr>
      <w:r w:rsidRPr="00781112">
        <w:t>9</w:t>
      </w:r>
      <w:r w:rsidR="00844ADE" w:rsidRPr="00781112">
        <w:t xml:space="preserve"> </w:t>
      </w:r>
      <w:r w:rsidRPr="00781112">
        <w:t xml:space="preserve">- </w:t>
      </w:r>
      <w:r w:rsidR="004E2151" w:rsidRPr="00781112">
        <w:t>Prior FFY Required Actions</w:t>
      </w:r>
    </w:p>
    <w:p w14:paraId="1139CB4A" w14:textId="1A16E187" w:rsidR="00591597" w:rsidRPr="00533C0E" w:rsidRDefault="002B7490" w:rsidP="00314F94">
      <w:pPr>
        <w:pStyle w:val="ListParagraph"/>
        <w:numPr>
          <w:ilvl w:val="0"/>
          <w:numId w:val="195"/>
        </w:numPr>
        <w:rPr>
          <w:rFonts w:cs="Arial"/>
          <w:color w:val="000000" w:themeColor="text1"/>
          <w:szCs w:val="16"/>
        </w:rPr>
      </w:pPr>
      <w:r w:rsidRPr="00533C0E">
        <w:rPr>
          <w:rFonts w:cs="Arial"/>
          <w:color w:val="000000" w:themeColor="text1"/>
          <w:szCs w:val="16"/>
        </w:rPr>
        <w:t>None</w:t>
      </w:r>
    </w:p>
    <w:p w14:paraId="6FDBF7F5" w14:textId="608C7842" w:rsidR="007F5071" w:rsidRPr="00781112" w:rsidRDefault="00400C56" w:rsidP="00A22EB9">
      <w:pPr>
        <w:pStyle w:val="Heading3"/>
      </w:pPr>
      <w:r w:rsidRPr="00781112">
        <w:t>9 - OSEP Response</w:t>
      </w:r>
    </w:p>
    <w:p w14:paraId="77DED45E" w14:textId="3920B295" w:rsidR="00481536" w:rsidRPr="00533C0E" w:rsidRDefault="002B7490" w:rsidP="00314F94">
      <w:pPr>
        <w:pStyle w:val="ListParagraph"/>
        <w:numPr>
          <w:ilvl w:val="0"/>
          <w:numId w:val="196"/>
        </w:numPr>
        <w:rPr>
          <w:rFonts w:cs="Arial"/>
          <w:color w:val="000000" w:themeColor="text1"/>
          <w:szCs w:val="16"/>
        </w:rPr>
      </w:pPr>
      <w:r w:rsidRPr="00533C0E">
        <w:rPr>
          <w:rFonts w:cs="Arial"/>
          <w:color w:val="000000" w:themeColor="text1"/>
          <w:szCs w:val="16"/>
        </w:rPr>
        <w:t>The State has revised the baseline for this indicator, using data from FFY 2020, and OSEP accepts that revision.</w:t>
      </w:r>
    </w:p>
    <w:p w14:paraId="3F79B021" w14:textId="16E0C852" w:rsidR="007F5071" w:rsidRPr="00781112" w:rsidRDefault="00977D0D" w:rsidP="00A22EB9">
      <w:pPr>
        <w:pStyle w:val="Heading3"/>
      </w:pPr>
      <w:r w:rsidRPr="00781112">
        <w:t>9 - Required Actions</w:t>
      </w:r>
    </w:p>
    <w:p w14:paraId="20A15EBC" w14:textId="21867950" w:rsidR="00102FA3" w:rsidRPr="00533C0E" w:rsidRDefault="007C3622" w:rsidP="00314F94">
      <w:pPr>
        <w:pStyle w:val="ListParagraph"/>
        <w:numPr>
          <w:ilvl w:val="0"/>
          <w:numId w:val="197"/>
        </w:numPr>
        <w:rPr>
          <w:rFonts w:eastAsiaTheme="majorEastAsia" w:cs="Arial"/>
          <w:b/>
          <w:bCs/>
          <w:color w:val="000000" w:themeColor="text1"/>
          <w:szCs w:val="16"/>
        </w:rPr>
      </w:pPr>
      <w:r w:rsidRPr="00533C0E">
        <w:rPr>
          <w:rFonts w:cs="Arial"/>
          <w:color w:val="000000" w:themeColor="text1"/>
          <w:szCs w:val="16"/>
        </w:rPr>
        <w:t>Not applicable</w:t>
      </w:r>
      <w:r w:rsidR="00102FA3" w:rsidRPr="00533C0E">
        <w:rPr>
          <w:rFonts w:cs="Arial"/>
          <w:color w:val="000000" w:themeColor="text1"/>
          <w:szCs w:val="16"/>
        </w:rPr>
        <w:br w:type="page"/>
      </w:r>
    </w:p>
    <w:p w14:paraId="5D8087B6" w14:textId="2600DEB3" w:rsidR="00D03701" w:rsidRPr="00781112" w:rsidRDefault="00D03701" w:rsidP="008143AB">
      <w:pPr>
        <w:pStyle w:val="Heading2"/>
      </w:pPr>
      <w:r w:rsidRPr="00781112">
        <w:lastRenderedPageBreak/>
        <w:t>Indicator 10: Disproportionate Representation in Specific Disability Categories</w:t>
      </w:r>
      <w:bookmarkEnd w:id="70"/>
      <w:bookmarkEnd w:id="71"/>
      <w:bookmarkEnd w:id="72"/>
    </w:p>
    <w:p w14:paraId="139B488B" w14:textId="77777777" w:rsidR="00B70FBF" w:rsidRPr="007C3622" w:rsidRDefault="00B70FBF" w:rsidP="0041610C">
      <w:pPr>
        <w:pStyle w:val="Heading3"/>
        <w:spacing w:before="240"/>
      </w:pPr>
      <w:bookmarkStart w:id="73" w:name="_Toc384383348"/>
      <w:bookmarkStart w:id="74" w:name="_Toc392159316"/>
      <w:r w:rsidRPr="007C3622">
        <w:t>Instructions and Measurement</w:t>
      </w:r>
    </w:p>
    <w:p w14:paraId="26E33C31" w14:textId="3616C8E9" w:rsidR="00CC634E" w:rsidRPr="00781112" w:rsidRDefault="00CC634E" w:rsidP="00A22EB9">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A22EB9">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0A6C5318" w:rsidR="00CC634E" w:rsidRPr="00781112" w:rsidRDefault="00CC634E" w:rsidP="00A22EB9">
      <w:pPr>
        <w:rPr>
          <w:rFonts w:cs="Arial"/>
          <w:color w:val="000000" w:themeColor="text1"/>
          <w:szCs w:val="16"/>
        </w:rPr>
      </w:pPr>
      <w:r w:rsidRPr="00781112">
        <w:rPr>
          <w:rFonts w:cs="Arial"/>
          <w:color w:val="000000" w:themeColor="text1"/>
          <w:szCs w:val="16"/>
        </w:rPr>
        <w:t>(20 U.S.C. 1416(a)(3)(C))</w:t>
      </w:r>
    </w:p>
    <w:p w14:paraId="37F13F1F" w14:textId="77777777" w:rsidR="001D677D" w:rsidRPr="00781112" w:rsidRDefault="001D677D" w:rsidP="0041610C">
      <w:pPr>
        <w:pStyle w:val="Heading4"/>
      </w:pPr>
      <w:r w:rsidRPr="00781112">
        <w:t>Data Source</w:t>
      </w:r>
    </w:p>
    <w:p w14:paraId="3D0F53DD" w14:textId="1C69F23D" w:rsidR="001D677D" w:rsidRPr="00781112" w:rsidRDefault="007A3964" w:rsidP="00A22EB9">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1610C">
      <w:pPr>
        <w:pStyle w:val="Heading4"/>
      </w:pPr>
      <w:r w:rsidRPr="00781112">
        <w:t>Measurement</w:t>
      </w:r>
    </w:p>
    <w:p w14:paraId="564157FF" w14:textId="77777777" w:rsidR="007A3964" w:rsidRPr="00781112" w:rsidRDefault="007A3964" w:rsidP="00A22EB9">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A22EB9">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8CF256D" w:rsidR="001D677D" w:rsidRPr="00781112" w:rsidRDefault="007A3964" w:rsidP="00A22EB9">
      <w:pPr>
        <w:rPr>
          <w:rFonts w:cs="Arial"/>
          <w:color w:val="000000" w:themeColor="text1"/>
          <w:szCs w:val="16"/>
        </w:rPr>
      </w:pPr>
      <w:r w:rsidRPr="00781112">
        <w:rPr>
          <w:rFonts w:cs="Arial"/>
          <w:color w:val="000000" w:themeColor="text1"/>
          <w:szCs w:val="16"/>
        </w:rPr>
        <w:t xml:space="preserve">Based on its review of the 618 data for FFY 2020,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w:t>
      </w:r>
      <w:proofErr w:type="gramStart"/>
      <w:r w:rsidRPr="00781112">
        <w:rPr>
          <w:rFonts w:cs="Arial"/>
          <w:color w:val="000000" w:themeColor="text1"/>
          <w:szCs w:val="16"/>
        </w:rPr>
        <w:t>practices</w:t>
      </w:r>
      <w:proofErr w:type="gramEnd"/>
      <w:r w:rsidRPr="00781112">
        <w:rPr>
          <w:rFonts w:cs="Arial"/>
          <w:color w:val="000000" w:themeColor="text1"/>
          <w:szCs w:val="16"/>
        </w:rPr>
        <w:t xml:space="preserve">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is the result of inappropriate identification, even if the determination of inappropriate identification was made after the end of the FFY 2020 reporting period (i.e., after June 30, 2021).</w:t>
      </w:r>
    </w:p>
    <w:p w14:paraId="3C70F698" w14:textId="77777777" w:rsidR="001D677D" w:rsidRPr="00781112" w:rsidRDefault="001D677D" w:rsidP="0041610C">
      <w:pPr>
        <w:pStyle w:val="Heading4"/>
      </w:pPr>
      <w:r w:rsidRPr="00781112">
        <w:t>Instructions</w:t>
      </w:r>
    </w:p>
    <w:p w14:paraId="54B0F35E" w14:textId="0E1ED80A" w:rsidR="001D677D" w:rsidRPr="00781112" w:rsidRDefault="001D677D" w:rsidP="00A22EB9">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 xml:space="preserve">Provide these data at a minimum for children in the </w:t>
      </w:r>
      <w:r w:rsidR="006E0CC6" w:rsidRPr="00781112">
        <w:rPr>
          <w:rFonts w:cs="Arial"/>
          <w:szCs w:val="16"/>
        </w:rPr>
        <w:lastRenderedPageBreak/>
        <w:t>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p>
    <w:p w14:paraId="2375484C" w14:textId="77777777" w:rsidR="001D677D" w:rsidRPr="00781112" w:rsidRDefault="001D677D" w:rsidP="00A22EB9">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A22EB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 because the district did not meet the minimum n and/or cell size for any racial/ethnic group.</w:t>
      </w:r>
    </w:p>
    <w:p w14:paraId="2FC20F43" w14:textId="77777777" w:rsidR="001D677D" w:rsidRPr="00781112" w:rsidRDefault="001D677D" w:rsidP="00A22EB9">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A22EB9">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A22EB9">
      <w:pPr>
        <w:rPr>
          <w:rFonts w:cs="Arial"/>
          <w:color w:val="000000" w:themeColor="text1"/>
          <w:szCs w:val="16"/>
        </w:rPr>
      </w:pPr>
      <w:r w:rsidRPr="00781112">
        <w:rPr>
          <w:rFonts w:cs="Arial"/>
          <w:color w:val="000000" w:themeColor="text1"/>
          <w:szCs w:val="16"/>
        </w:rPr>
        <w:t>Targets must be 0%.</w:t>
      </w:r>
    </w:p>
    <w:p w14:paraId="7F575E8E" w14:textId="77777777" w:rsidR="001D677D" w:rsidRPr="00781112" w:rsidRDefault="001D677D" w:rsidP="00A22EB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2AF17A94" w:rsidR="001D677D" w:rsidRPr="00781112" w:rsidRDefault="007A3964" w:rsidP="00A22EB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307820E6" w14:textId="2418F86F" w:rsidR="00B70FBF" w:rsidRPr="00781112" w:rsidRDefault="009F64D5" w:rsidP="00A22EB9">
      <w:pPr>
        <w:pStyle w:val="Heading3"/>
      </w:pPr>
      <w:bookmarkStart w:id="75" w:name="_Toc384383349"/>
      <w:bookmarkStart w:id="76" w:name="_Toc392159317"/>
      <w:bookmarkEnd w:id="73"/>
      <w:bookmarkEnd w:id="74"/>
      <w:r w:rsidRPr="00781112">
        <w:t>10</w:t>
      </w:r>
      <w:r w:rsidR="00596F4D" w:rsidRPr="00781112">
        <w:t xml:space="preserve"> </w:t>
      </w:r>
      <w:r w:rsidRPr="00781112">
        <w:t xml:space="preserve">- </w:t>
      </w:r>
      <w:r w:rsidR="00D853AE" w:rsidRPr="00781112">
        <w:t>Indicator Data</w:t>
      </w:r>
    </w:p>
    <w:p w14:paraId="198C31F1" w14:textId="77777777" w:rsidR="0091098C" w:rsidRPr="00533C0E" w:rsidRDefault="0091098C" w:rsidP="00314F94">
      <w:pPr>
        <w:pStyle w:val="ListParagraph"/>
        <w:numPr>
          <w:ilvl w:val="0"/>
          <w:numId w:val="198"/>
        </w:numPr>
        <w:rPr>
          <w:bCs/>
          <w:color w:val="000000" w:themeColor="text1"/>
        </w:rPr>
      </w:pPr>
      <w:r w:rsidRPr="00533C0E">
        <w:rPr>
          <w:bCs/>
          <w:color w:val="000000" w:themeColor="text1"/>
        </w:rPr>
        <w:t>Not Applicable</w:t>
      </w:r>
    </w:p>
    <w:p w14:paraId="769429F9" w14:textId="2143DCD6" w:rsidR="00C2395D" w:rsidRPr="00781112" w:rsidRDefault="001B07D3" w:rsidP="00A22EB9">
      <w:pPr>
        <w:rPr>
          <w:b/>
          <w:color w:val="000000" w:themeColor="text1"/>
        </w:rPr>
      </w:pPr>
      <w:r w:rsidRPr="00781112">
        <w:rPr>
          <w:b/>
          <w:color w:val="000000" w:themeColor="text1"/>
        </w:rPr>
        <w:t>Select yes if this indicator is not applicable.</w:t>
      </w:r>
    </w:p>
    <w:p w14:paraId="74ABC795" w14:textId="230E5DB9" w:rsidR="00C50290" w:rsidRPr="00533C0E" w:rsidRDefault="00817775" w:rsidP="00314F94">
      <w:pPr>
        <w:pStyle w:val="ListParagraph"/>
        <w:numPr>
          <w:ilvl w:val="0"/>
          <w:numId w:val="199"/>
        </w:numPr>
        <w:rPr>
          <w:rFonts w:cs="Arial"/>
          <w:color w:val="000000" w:themeColor="text1"/>
          <w:szCs w:val="16"/>
        </w:rPr>
      </w:pPr>
      <w:r w:rsidRPr="00533C0E">
        <w:rPr>
          <w:rFonts w:cs="Arial"/>
          <w:color w:val="000000" w:themeColor="text1"/>
          <w:szCs w:val="16"/>
        </w:rPr>
        <w:t>No</w:t>
      </w:r>
    </w:p>
    <w:p w14:paraId="07402C56" w14:textId="6229DBC3" w:rsidR="005A3C12" w:rsidRPr="00781112" w:rsidRDefault="005A3C12" w:rsidP="00C33455">
      <w:pPr>
        <w:pStyle w:val="Caption"/>
      </w:pPr>
      <w:r w:rsidRPr="00781112">
        <w:t>Historical Data</w:t>
      </w:r>
      <w:r w:rsidR="0097256F">
        <w:t xml:space="preserve"> (10)</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562"/>
        <w:gridCol w:w="2563"/>
      </w:tblGrid>
      <w:tr w:rsidR="00D533A5" w:rsidRPr="00781112" w14:paraId="7C3AA767" w14:textId="77777777" w:rsidTr="007C3622">
        <w:trPr>
          <w:trHeight w:val="432"/>
          <w:tblHeader/>
        </w:trPr>
        <w:tc>
          <w:tcPr>
            <w:tcW w:w="2562" w:type="dxa"/>
            <w:shd w:val="clear" w:color="auto" w:fill="D9D9D9" w:themeFill="background1" w:themeFillShade="D9"/>
            <w:vAlign w:val="center"/>
          </w:tcPr>
          <w:p w14:paraId="1A4E37E9" w14:textId="77777777" w:rsidR="00D533A5" w:rsidRPr="00781112" w:rsidRDefault="00D533A5" w:rsidP="007C3622">
            <w:pPr>
              <w:spacing w:after="0" w:line="276" w:lineRule="auto"/>
              <w:jc w:val="center"/>
              <w:rPr>
                <w:b/>
                <w:color w:val="000000" w:themeColor="text1"/>
              </w:rPr>
            </w:pPr>
            <w:r w:rsidRPr="00781112">
              <w:rPr>
                <w:rFonts w:cs="Arial"/>
                <w:b/>
                <w:color w:val="000000" w:themeColor="text1"/>
                <w:szCs w:val="16"/>
              </w:rPr>
              <w:lastRenderedPageBreak/>
              <w:t>Baseline Year</w:t>
            </w:r>
          </w:p>
        </w:tc>
        <w:tc>
          <w:tcPr>
            <w:tcW w:w="2563" w:type="dxa"/>
            <w:shd w:val="clear" w:color="auto" w:fill="D9D9D9" w:themeFill="background1" w:themeFillShade="D9"/>
            <w:vAlign w:val="center"/>
          </w:tcPr>
          <w:p w14:paraId="45C39BBE" w14:textId="77777777" w:rsidR="00D533A5" w:rsidRPr="00781112" w:rsidRDefault="00D533A5" w:rsidP="007C3622">
            <w:pPr>
              <w:spacing w:after="0" w:line="276" w:lineRule="auto"/>
              <w:jc w:val="center"/>
              <w:rPr>
                <w:b/>
                <w:color w:val="000000" w:themeColor="text1"/>
              </w:rPr>
            </w:pPr>
            <w:r w:rsidRPr="00781112">
              <w:rPr>
                <w:b/>
                <w:color w:val="000000" w:themeColor="text1"/>
              </w:rPr>
              <w:t>Baseline Data</w:t>
            </w:r>
          </w:p>
        </w:tc>
      </w:tr>
      <w:tr w:rsidR="00D533A5" w:rsidRPr="00781112" w14:paraId="4AFD3BFF" w14:textId="77777777" w:rsidTr="007C3622">
        <w:trPr>
          <w:trHeight w:val="432"/>
        </w:trPr>
        <w:tc>
          <w:tcPr>
            <w:tcW w:w="2562" w:type="dxa"/>
            <w:vAlign w:val="center"/>
          </w:tcPr>
          <w:p w14:paraId="71352362" w14:textId="3C2D4289" w:rsidR="00D533A5" w:rsidRPr="00781112" w:rsidRDefault="00D533A5" w:rsidP="007C3622">
            <w:pPr>
              <w:spacing w:after="0" w:line="276" w:lineRule="auto"/>
              <w:jc w:val="center"/>
              <w:rPr>
                <w:bCs/>
                <w:color w:val="000000" w:themeColor="text1"/>
              </w:rPr>
            </w:pPr>
            <w:r w:rsidRPr="00781112">
              <w:rPr>
                <w:bCs/>
                <w:color w:val="000000" w:themeColor="text1"/>
              </w:rPr>
              <w:t>2020</w:t>
            </w:r>
          </w:p>
        </w:tc>
        <w:tc>
          <w:tcPr>
            <w:tcW w:w="2563" w:type="dxa"/>
            <w:vAlign w:val="center"/>
          </w:tcPr>
          <w:p w14:paraId="1E9B684E" w14:textId="004A2B05" w:rsidR="00D533A5" w:rsidRPr="00781112" w:rsidRDefault="00D533A5" w:rsidP="007C3622">
            <w:pPr>
              <w:spacing w:after="0" w:line="276" w:lineRule="auto"/>
              <w:jc w:val="center"/>
              <w:rPr>
                <w:bCs/>
                <w:color w:val="000000" w:themeColor="text1"/>
              </w:rPr>
            </w:pPr>
            <w:r w:rsidRPr="00781112">
              <w:rPr>
                <w:bCs/>
                <w:color w:val="000000" w:themeColor="text1"/>
              </w:rPr>
              <w:t>1.72%</w:t>
            </w:r>
          </w:p>
        </w:tc>
      </w:tr>
    </w:tbl>
    <w:p w14:paraId="5E5DA8A6" w14:textId="6D3CE60F" w:rsidR="004F0EE5" w:rsidRPr="004F0EE5" w:rsidRDefault="004F0EE5" w:rsidP="00C33455">
      <w:pPr>
        <w:pStyle w:val="Caption"/>
      </w:pPr>
      <w:r w:rsidRPr="007B3230">
        <w:t>Historical Data (FFY)</w:t>
      </w:r>
      <w:r w:rsidR="0097256F">
        <w:t xml:space="preserv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489E6808" w14:textId="77777777" w:rsidTr="007C3622">
        <w:trPr>
          <w:trHeight w:val="432"/>
        </w:trPr>
        <w:tc>
          <w:tcPr>
            <w:tcW w:w="833" w:type="pct"/>
            <w:tcBorders>
              <w:bottom w:val="single" w:sz="4" w:space="0" w:color="auto"/>
            </w:tcBorders>
            <w:shd w:val="clear" w:color="auto" w:fill="D9D9D9" w:themeFill="background1" w:themeFillShade="D9"/>
            <w:vAlign w:val="center"/>
          </w:tcPr>
          <w:p w14:paraId="0171756F" w14:textId="77777777" w:rsidR="005A3C12" w:rsidRPr="00781112" w:rsidRDefault="005A3C12" w:rsidP="00FD6103">
            <w:pPr>
              <w:spacing w:after="0"/>
              <w:jc w:val="center"/>
              <w:rPr>
                <w:b/>
                <w:color w:val="000000" w:themeColor="text1"/>
              </w:rPr>
            </w:pPr>
            <w:r w:rsidRPr="00781112">
              <w:rPr>
                <w:b/>
                <w:color w:val="000000" w:themeColor="text1"/>
              </w:rPr>
              <w:t>FFY</w:t>
            </w:r>
          </w:p>
        </w:tc>
        <w:tc>
          <w:tcPr>
            <w:tcW w:w="833" w:type="pct"/>
            <w:shd w:val="clear" w:color="auto" w:fill="D9D9D9" w:themeFill="background1" w:themeFillShade="D9"/>
            <w:vAlign w:val="center"/>
          </w:tcPr>
          <w:p w14:paraId="78B2C5F0" w14:textId="44C4ABDF" w:rsidR="005A3C12" w:rsidRPr="00781112" w:rsidRDefault="002B7490" w:rsidP="007C3622">
            <w:pPr>
              <w:spacing w:after="0"/>
              <w:jc w:val="center"/>
              <w:rPr>
                <w:b/>
                <w:color w:val="000000" w:themeColor="text1"/>
              </w:rPr>
            </w:pPr>
            <w:r w:rsidRPr="00781112">
              <w:rPr>
                <w:b/>
                <w:color w:val="000000" w:themeColor="text1"/>
              </w:rPr>
              <w:t>2015</w:t>
            </w:r>
          </w:p>
        </w:tc>
        <w:tc>
          <w:tcPr>
            <w:tcW w:w="833" w:type="pct"/>
            <w:shd w:val="clear" w:color="auto" w:fill="D9D9D9" w:themeFill="background1" w:themeFillShade="D9"/>
            <w:vAlign w:val="center"/>
          </w:tcPr>
          <w:p w14:paraId="7D60853E" w14:textId="148AFB2D" w:rsidR="005A3C12" w:rsidRPr="00781112" w:rsidRDefault="002B7490" w:rsidP="007C3622">
            <w:pPr>
              <w:spacing w:after="0"/>
              <w:jc w:val="center"/>
              <w:rPr>
                <w:b/>
                <w:color w:val="000000" w:themeColor="text1"/>
              </w:rPr>
            </w:pPr>
            <w:r w:rsidRPr="00781112">
              <w:rPr>
                <w:b/>
                <w:color w:val="000000" w:themeColor="text1"/>
              </w:rPr>
              <w:t>2016</w:t>
            </w:r>
          </w:p>
        </w:tc>
        <w:tc>
          <w:tcPr>
            <w:tcW w:w="833" w:type="pct"/>
            <w:shd w:val="clear" w:color="auto" w:fill="D9D9D9" w:themeFill="background1" w:themeFillShade="D9"/>
            <w:vAlign w:val="center"/>
          </w:tcPr>
          <w:p w14:paraId="7AE4870B" w14:textId="1CBB7B36" w:rsidR="005A3C12" w:rsidRPr="00781112" w:rsidRDefault="002B7490" w:rsidP="007C3622">
            <w:pPr>
              <w:spacing w:after="0"/>
              <w:jc w:val="center"/>
              <w:rPr>
                <w:b/>
                <w:color w:val="000000" w:themeColor="text1"/>
              </w:rPr>
            </w:pPr>
            <w:r w:rsidRPr="00781112">
              <w:rPr>
                <w:b/>
                <w:color w:val="000000" w:themeColor="text1"/>
              </w:rPr>
              <w:t>2017</w:t>
            </w:r>
          </w:p>
        </w:tc>
        <w:tc>
          <w:tcPr>
            <w:tcW w:w="833" w:type="pct"/>
            <w:shd w:val="clear" w:color="auto" w:fill="D9D9D9" w:themeFill="background1" w:themeFillShade="D9"/>
            <w:vAlign w:val="center"/>
          </w:tcPr>
          <w:p w14:paraId="2C1DA403" w14:textId="484DDCF7" w:rsidR="005A3C12" w:rsidRPr="00781112" w:rsidRDefault="002B7490" w:rsidP="007C3622">
            <w:pPr>
              <w:spacing w:after="0"/>
              <w:jc w:val="center"/>
              <w:rPr>
                <w:b/>
                <w:color w:val="000000" w:themeColor="text1"/>
              </w:rPr>
            </w:pPr>
            <w:r w:rsidRPr="00781112">
              <w:rPr>
                <w:b/>
                <w:color w:val="000000" w:themeColor="text1"/>
              </w:rPr>
              <w:t>2018</w:t>
            </w:r>
          </w:p>
        </w:tc>
        <w:tc>
          <w:tcPr>
            <w:tcW w:w="834" w:type="pct"/>
            <w:shd w:val="clear" w:color="auto" w:fill="D9D9D9" w:themeFill="background1" w:themeFillShade="D9"/>
            <w:vAlign w:val="center"/>
          </w:tcPr>
          <w:p w14:paraId="0829DA0A" w14:textId="7480CDCA" w:rsidR="005A3C12" w:rsidRPr="00781112" w:rsidRDefault="002B7490" w:rsidP="007C3622">
            <w:pPr>
              <w:spacing w:after="0"/>
              <w:jc w:val="center"/>
              <w:rPr>
                <w:b/>
                <w:color w:val="000000" w:themeColor="text1"/>
              </w:rPr>
            </w:pPr>
            <w:r w:rsidRPr="00781112">
              <w:rPr>
                <w:b/>
                <w:color w:val="000000" w:themeColor="text1"/>
              </w:rPr>
              <w:t>2019</w:t>
            </w:r>
          </w:p>
        </w:tc>
      </w:tr>
      <w:tr w:rsidR="005C29F8" w:rsidRPr="00781112" w14:paraId="070DB2EE" w14:textId="77777777" w:rsidTr="007C3622">
        <w:trPr>
          <w:trHeight w:val="432"/>
        </w:trPr>
        <w:tc>
          <w:tcPr>
            <w:tcW w:w="833" w:type="pct"/>
            <w:shd w:val="clear" w:color="auto" w:fill="auto"/>
            <w:vAlign w:val="center"/>
          </w:tcPr>
          <w:p w14:paraId="0009CFCE" w14:textId="07C07C5D" w:rsidR="005A3C12" w:rsidRPr="00781112" w:rsidRDefault="005A3C12" w:rsidP="00FD6103">
            <w:pPr>
              <w:spacing w:after="0"/>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1375BD99" w14:textId="6D10741B" w:rsidR="005A3C12" w:rsidRPr="00781112" w:rsidRDefault="009C65E9" w:rsidP="007C3622">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26F74D0F" w14:textId="4AE09CE9" w:rsidR="005A3C12" w:rsidRPr="00781112" w:rsidRDefault="009C65E9" w:rsidP="007C3622">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7853FB9A" w14:textId="12B0C6E3" w:rsidR="005A3C12" w:rsidRPr="00781112" w:rsidRDefault="009C65E9" w:rsidP="007C3622">
            <w:pPr>
              <w:spacing w:after="0"/>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8E831B0" w14:textId="55B124AD" w:rsidR="005A3C12" w:rsidRPr="00781112" w:rsidRDefault="009C65E9" w:rsidP="007C3622">
            <w:pPr>
              <w:spacing w:after="0"/>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0EC718C3" w14:textId="25E87C80" w:rsidR="005A3C12" w:rsidRPr="00781112" w:rsidRDefault="009C65E9" w:rsidP="007C3622">
            <w:pPr>
              <w:spacing w:after="0"/>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7C3622">
        <w:trPr>
          <w:trHeight w:val="432"/>
        </w:trPr>
        <w:tc>
          <w:tcPr>
            <w:tcW w:w="833" w:type="pct"/>
            <w:shd w:val="clear" w:color="auto" w:fill="auto"/>
            <w:vAlign w:val="center"/>
          </w:tcPr>
          <w:p w14:paraId="33960FE1" w14:textId="77777777" w:rsidR="005A3C12" w:rsidRPr="00781112" w:rsidRDefault="005A3C12" w:rsidP="00FD6103">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1EEC0627" w14:textId="677F8A3D" w:rsidR="005A3C12" w:rsidRPr="00781112" w:rsidRDefault="002B7490" w:rsidP="007C3622">
            <w:pPr>
              <w:spacing w:after="0"/>
              <w:jc w:val="center"/>
              <w:rPr>
                <w:rFonts w:cs="Arial"/>
                <w:color w:val="000000" w:themeColor="text1"/>
                <w:szCs w:val="16"/>
              </w:rPr>
            </w:pPr>
            <w:r w:rsidRPr="00781112">
              <w:rPr>
                <w:rFonts w:cs="Arial"/>
                <w:color w:val="000000" w:themeColor="text1"/>
                <w:szCs w:val="16"/>
              </w:rPr>
              <w:t>0.76%</w:t>
            </w:r>
          </w:p>
        </w:tc>
        <w:tc>
          <w:tcPr>
            <w:tcW w:w="833" w:type="pct"/>
            <w:shd w:val="clear" w:color="auto" w:fill="auto"/>
            <w:vAlign w:val="center"/>
          </w:tcPr>
          <w:p w14:paraId="5FB4D0B8" w14:textId="190E02CD" w:rsidR="005A3C12" w:rsidRPr="00781112" w:rsidRDefault="002B7490" w:rsidP="007C3622">
            <w:pPr>
              <w:spacing w:after="0"/>
              <w:jc w:val="center"/>
              <w:rPr>
                <w:rFonts w:cs="Arial"/>
                <w:color w:val="000000" w:themeColor="text1"/>
                <w:szCs w:val="16"/>
              </w:rPr>
            </w:pPr>
            <w:r w:rsidRPr="00781112">
              <w:rPr>
                <w:rFonts w:cs="Arial"/>
                <w:color w:val="000000" w:themeColor="text1"/>
                <w:szCs w:val="16"/>
              </w:rPr>
              <w:t>1.72%</w:t>
            </w:r>
          </w:p>
        </w:tc>
        <w:tc>
          <w:tcPr>
            <w:tcW w:w="833" w:type="pct"/>
            <w:tcBorders>
              <w:bottom w:val="single" w:sz="4" w:space="0" w:color="auto"/>
            </w:tcBorders>
            <w:shd w:val="clear" w:color="auto" w:fill="auto"/>
            <w:vAlign w:val="center"/>
          </w:tcPr>
          <w:p w14:paraId="36B818C8" w14:textId="70F8E2EA" w:rsidR="005A3C12" w:rsidRPr="00781112" w:rsidRDefault="002B7490" w:rsidP="007C3622">
            <w:pPr>
              <w:spacing w:after="0"/>
              <w:jc w:val="center"/>
              <w:rPr>
                <w:rFonts w:cs="Arial"/>
                <w:color w:val="000000" w:themeColor="text1"/>
                <w:szCs w:val="16"/>
              </w:rPr>
            </w:pPr>
            <w:r w:rsidRPr="00781112">
              <w:rPr>
                <w:rFonts w:cs="Arial"/>
                <w:color w:val="000000" w:themeColor="text1"/>
                <w:szCs w:val="16"/>
              </w:rPr>
              <w:t>1.72%</w:t>
            </w:r>
          </w:p>
        </w:tc>
        <w:tc>
          <w:tcPr>
            <w:tcW w:w="833" w:type="pct"/>
            <w:tcBorders>
              <w:bottom w:val="single" w:sz="4" w:space="0" w:color="auto"/>
            </w:tcBorders>
            <w:shd w:val="clear" w:color="auto" w:fill="auto"/>
            <w:vAlign w:val="center"/>
          </w:tcPr>
          <w:p w14:paraId="4F9B86C0" w14:textId="2EC4A366" w:rsidR="005A3C12" w:rsidRPr="00781112" w:rsidRDefault="002B7490" w:rsidP="007C3622">
            <w:pPr>
              <w:spacing w:after="0"/>
              <w:jc w:val="center"/>
              <w:rPr>
                <w:rFonts w:cs="Arial"/>
                <w:color w:val="000000" w:themeColor="text1"/>
                <w:szCs w:val="16"/>
              </w:rPr>
            </w:pPr>
            <w:r w:rsidRPr="00781112">
              <w:rPr>
                <w:rFonts w:cs="Arial"/>
                <w:color w:val="000000" w:themeColor="text1"/>
                <w:szCs w:val="16"/>
              </w:rPr>
              <w:t>0.86%</w:t>
            </w:r>
          </w:p>
        </w:tc>
        <w:tc>
          <w:tcPr>
            <w:tcW w:w="834" w:type="pct"/>
            <w:tcBorders>
              <w:bottom w:val="single" w:sz="4" w:space="0" w:color="auto"/>
            </w:tcBorders>
            <w:shd w:val="clear" w:color="auto" w:fill="auto"/>
            <w:vAlign w:val="center"/>
          </w:tcPr>
          <w:p w14:paraId="1C8D4247" w14:textId="1E5D4F59" w:rsidR="005A3C12" w:rsidRPr="00781112" w:rsidRDefault="002B7490" w:rsidP="007C3622">
            <w:pPr>
              <w:spacing w:after="0"/>
              <w:jc w:val="center"/>
              <w:rPr>
                <w:rFonts w:cs="Arial"/>
                <w:color w:val="000000" w:themeColor="text1"/>
                <w:szCs w:val="16"/>
              </w:rPr>
            </w:pPr>
            <w:r w:rsidRPr="00781112">
              <w:rPr>
                <w:rFonts w:cs="Arial"/>
                <w:color w:val="000000" w:themeColor="text1"/>
                <w:szCs w:val="16"/>
              </w:rPr>
              <w:t>1.71%</w:t>
            </w:r>
          </w:p>
        </w:tc>
      </w:tr>
    </w:tbl>
    <w:bookmarkEnd w:id="75"/>
    <w:bookmarkEnd w:id="76"/>
    <w:p w14:paraId="618FFFDA" w14:textId="1A3099E3" w:rsidR="007A3964" w:rsidRPr="00781112" w:rsidRDefault="007A3964" w:rsidP="00C33455">
      <w:pPr>
        <w:pStyle w:val="Caption"/>
      </w:pPr>
      <w:r w:rsidRPr="00781112">
        <w:t>Targets</w:t>
      </w:r>
      <w:r w:rsidR="0097256F">
        <w:t xml:space="preserv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540"/>
        <w:gridCol w:w="1541"/>
        <w:gridCol w:w="1543"/>
        <w:gridCol w:w="1541"/>
        <w:gridCol w:w="1543"/>
        <w:gridCol w:w="1541"/>
        <w:gridCol w:w="1541"/>
      </w:tblGrid>
      <w:tr w:rsidR="00D0796B" w:rsidRPr="00781112" w14:paraId="66B5B2AB" w14:textId="77A1A8F1" w:rsidTr="007C3622">
        <w:trPr>
          <w:trHeight w:val="432"/>
        </w:trPr>
        <w:tc>
          <w:tcPr>
            <w:tcW w:w="714" w:type="pct"/>
            <w:tcBorders>
              <w:bottom w:val="single" w:sz="4" w:space="0" w:color="auto"/>
            </w:tcBorders>
            <w:shd w:val="clear" w:color="auto" w:fill="D9D9D9" w:themeFill="background1" w:themeFillShade="D9"/>
            <w:vAlign w:val="center"/>
          </w:tcPr>
          <w:p w14:paraId="6C572A94" w14:textId="77777777" w:rsidR="00D0796B" w:rsidRPr="00781112" w:rsidRDefault="00D0796B" w:rsidP="00FD6103">
            <w:pPr>
              <w:spacing w:after="0"/>
              <w:jc w:val="center"/>
              <w:rPr>
                <w:b/>
                <w:color w:val="000000" w:themeColor="text1"/>
              </w:rPr>
            </w:pPr>
            <w:r w:rsidRPr="00781112">
              <w:rPr>
                <w:b/>
                <w:color w:val="000000" w:themeColor="text1"/>
              </w:rPr>
              <w:t>FFY</w:t>
            </w:r>
          </w:p>
        </w:tc>
        <w:tc>
          <w:tcPr>
            <w:tcW w:w="714" w:type="pct"/>
            <w:shd w:val="clear" w:color="auto" w:fill="D9D9D9" w:themeFill="background1" w:themeFillShade="D9"/>
            <w:vAlign w:val="center"/>
          </w:tcPr>
          <w:p w14:paraId="67096E8B" w14:textId="77777777" w:rsidR="00D0796B" w:rsidRPr="00781112" w:rsidRDefault="00D0796B" w:rsidP="007C3622">
            <w:pPr>
              <w:spacing w:after="0"/>
              <w:jc w:val="center"/>
              <w:rPr>
                <w:b/>
                <w:color w:val="000000" w:themeColor="text1"/>
              </w:rPr>
            </w:pPr>
            <w:r w:rsidRPr="00781112">
              <w:rPr>
                <w:b/>
                <w:color w:val="000000" w:themeColor="text1"/>
              </w:rPr>
              <w:t>2020</w:t>
            </w:r>
          </w:p>
        </w:tc>
        <w:tc>
          <w:tcPr>
            <w:tcW w:w="715" w:type="pct"/>
            <w:shd w:val="clear" w:color="auto" w:fill="D9D9D9" w:themeFill="background1" w:themeFillShade="D9"/>
            <w:vAlign w:val="center"/>
          </w:tcPr>
          <w:p w14:paraId="0FDB27DB" w14:textId="2A7CA3D5" w:rsidR="00D0796B" w:rsidRPr="00781112" w:rsidRDefault="00D0796B" w:rsidP="007C3622">
            <w:pPr>
              <w:spacing w:after="0"/>
              <w:jc w:val="center"/>
              <w:rPr>
                <w:b/>
                <w:color w:val="000000" w:themeColor="text1"/>
              </w:rPr>
            </w:pPr>
            <w:r w:rsidRPr="00781112">
              <w:rPr>
                <w:rFonts w:cs="Arial"/>
                <w:b/>
                <w:color w:val="000000" w:themeColor="text1"/>
                <w:szCs w:val="16"/>
              </w:rPr>
              <w:t>2021</w:t>
            </w:r>
          </w:p>
        </w:tc>
        <w:tc>
          <w:tcPr>
            <w:tcW w:w="714" w:type="pct"/>
            <w:shd w:val="clear" w:color="auto" w:fill="D9D9D9" w:themeFill="background1" w:themeFillShade="D9"/>
            <w:vAlign w:val="center"/>
          </w:tcPr>
          <w:p w14:paraId="6594AB3D" w14:textId="0AA5EB84" w:rsidR="00D0796B" w:rsidRPr="00781112" w:rsidRDefault="00D0796B" w:rsidP="007C3622">
            <w:pPr>
              <w:spacing w:after="0"/>
              <w:jc w:val="center"/>
              <w:rPr>
                <w:b/>
                <w:color w:val="000000" w:themeColor="text1"/>
              </w:rPr>
            </w:pPr>
            <w:r w:rsidRPr="00781112">
              <w:rPr>
                <w:rFonts w:cs="Arial"/>
                <w:b/>
                <w:color w:val="000000" w:themeColor="text1"/>
                <w:szCs w:val="16"/>
              </w:rPr>
              <w:t>2022</w:t>
            </w:r>
          </w:p>
        </w:tc>
        <w:tc>
          <w:tcPr>
            <w:tcW w:w="715" w:type="pct"/>
            <w:shd w:val="clear" w:color="auto" w:fill="D9D9D9" w:themeFill="background1" w:themeFillShade="D9"/>
            <w:vAlign w:val="center"/>
          </w:tcPr>
          <w:p w14:paraId="137A2339" w14:textId="1A48CA5C" w:rsidR="00D0796B" w:rsidRPr="00781112" w:rsidRDefault="00D0796B" w:rsidP="007C3622">
            <w:pPr>
              <w:spacing w:after="0"/>
              <w:jc w:val="center"/>
              <w:rPr>
                <w:b/>
                <w:color w:val="000000" w:themeColor="text1"/>
              </w:rPr>
            </w:pPr>
            <w:r w:rsidRPr="00781112">
              <w:rPr>
                <w:rFonts w:cs="Arial"/>
                <w:b/>
                <w:color w:val="000000" w:themeColor="text1"/>
                <w:szCs w:val="16"/>
              </w:rPr>
              <w:t>2023</w:t>
            </w:r>
          </w:p>
        </w:tc>
        <w:tc>
          <w:tcPr>
            <w:tcW w:w="714" w:type="pct"/>
            <w:shd w:val="clear" w:color="auto" w:fill="D9D9D9" w:themeFill="background1" w:themeFillShade="D9"/>
            <w:vAlign w:val="center"/>
          </w:tcPr>
          <w:p w14:paraId="4FA5EFF0" w14:textId="7587EB5F" w:rsidR="00D0796B" w:rsidRPr="00781112" w:rsidRDefault="00D0796B" w:rsidP="007C3622">
            <w:pPr>
              <w:spacing w:after="0"/>
              <w:jc w:val="center"/>
              <w:rPr>
                <w:b/>
                <w:color w:val="000000" w:themeColor="text1"/>
              </w:rPr>
            </w:pPr>
            <w:r w:rsidRPr="00781112">
              <w:rPr>
                <w:rFonts w:cs="Arial"/>
                <w:b/>
                <w:color w:val="000000" w:themeColor="text1"/>
                <w:szCs w:val="16"/>
              </w:rPr>
              <w:t>2024</w:t>
            </w:r>
          </w:p>
        </w:tc>
        <w:tc>
          <w:tcPr>
            <w:tcW w:w="714" w:type="pct"/>
            <w:shd w:val="clear" w:color="auto" w:fill="D9D9D9" w:themeFill="background1" w:themeFillShade="D9"/>
            <w:vAlign w:val="center"/>
          </w:tcPr>
          <w:p w14:paraId="2BF2A6CD" w14:textId="7A5D89B1" w:rsidR="00D0796B" w:rsidRPr="00781112" w:rsidRDefault="00D0796B" w:rsidP="007C3622">
            <w:pPr>
              <w:spacing w:after="0"/>
              <w:jc w:val="center"/>
              <w:rPr>
                <w:b/>
                <w:color w:val="000000" w:themeColor="text1"/>
              </w:rPr>
            </w:pPr>
            <w:r w:rsidRPr="00781112">
              <w:rPr>
                <w:rFonts w:cs="Arial"/>
                <w:b/>
                <w:color w:val="000000" w:themeColor="text1"/>
                <w:szCs w:val="16"/>
              </w:rPr>
              <w:t>2025</w:t>
            </w:r>
          </w:p>
        </w:tc>
      </w:tr>
      <w:tr w:rsidR="00D0796B" w:rsidRPr="00781112" w14:paraId="169ED4F0" w14:textId="16F5CD6F" w:rsidTr="007C3622">
        <w:trPr>
          <w:trHeight w:val="432"/>
        </w:trPr>
        <w:tc>
          <w:tcPr>
            <w:tcW w:w="714" w:type="pct"/>
            <w:shd w:val="clear" w:color="auto" w:fill="auto"/>
            <w:vAlign w:val="center"/>
          </w:tcPr>
          <w:p w14:paraId="639437BD" w14:textId="33E9B005" w:rsidR="00D0796B" w:rsidRPr="00781112" w:rsidRDefault="00D0796B" w:rsidP="00FD6103">
            <w:pPr>
              <w:spacing w:after="0"/>
              <w:jc w:val="center"/>
              <w:rPr>
                <w:rFonts w:cs="Arial"/>
                <w:color w:val="000000" w:themeColor="text1"/>
                <w:szCs w:val="16"/>
              </w:rPr>
            </w:pPr>
            <w:r w:rsidRPr="00781112">
              <w:rPr>
                <w:rFonts w:cs="Arial"/>
                <w:color w:val="000000" w:themeColor="text1"/>
                <w:szCs w:val="16"/>
              </w:rPr>
              <w:t>Target</w:t>
            </w:r>
          </w:p>
        </w:tc>
        <w:tc>
          <w:tcPr>
            <w:tcW w:w="714" w:type="pct"/>
            <w:shd w:val="clear" w:color="auto" w:fill="auto"/>
            <w:vAlign w:val="center"/>
          </w:tcPr>
          <w:p w14:paraId="482B43E6" w14:textId="62FCF10C" w:rsidR="00D0796B" w:rsidRPr="00781112" w:rsidRDefault="00D0796B" w:rsidP="007C3622">
            <w:pPr>
              <w:spacing w:after="0"/>
              <w:jc w:val="center"/>
              <w:rPr>
                <w:rFonts w:cs="Arial"/>
                <w:color w:val="000000" w:themeColor="text1"/>
                <w:szCs w:val="16"/>
              </w:rPr>
            </w:pPr>
            <w:r w:rsidRPr="00781112">
              <w:rPr>
                <w:rFonts w:cs="Arial"/>
                <w:color w:val="000000" w:themeColor="text1"/>
                <w:szCs w:val="16"/>
              </w:rPr>
              <w:t>0%</w:t>
            </w:r>
          </w:p>
        </w:tc>
        <w:tc>
          <w:tcPr>
            <w:tcW w:w="715" w:type="pct"/>
            <w:vAlign w:val="center"/>
          </w:tcPr>
          <w:p w14:paraId="6ED6CF52" w14:textId="07C8F82B" w:rsidR="00D0796B" w:rsidRPr="00781112" w:rsidRDefault="00D0796B" w:rsidP="007C3622">
            <w:pPr>
              <w:spacing w:after="0"/>
              <w:jc w:val="center"/>
              <w:rPr>
                <w:rFonts w:cs="Arial"/>
                <w:color w:val="000000" w:themeColor="text1"/>
                <w:szCs w:val="16"/>
              </w:rPr>
            </w:pPr>
            <w:r w:rsidRPr="00781112">
              <w:rPr>
                <w:color w:val="000000" w:themeColor="text1"/>
                <w:szCs w:val="16"/>
              </w:rPr>
              <w:t>0%</w:t>
            </w:r>
          </w:p>
        </w:tc>
        <w:tc>
          <w:tcPr>
            <w:tcW w:w="714" w:type="pct"/>
            <w:vAlign w:val="center"/>
          </w:tcPr>
          <w:p w14:paraId="41DC7F3D" w14:textId="129F7B75" w:rsidR="00D0796B" w:rsidRPr="00781112" w:rsidRDefault="00D0796B" w:rsidP="007C3622">
            <w:pPr>
              <w:spacing w:after="0"/>
              <w:jc w:val="center"/>
              <w:rPr>
                <w:rFonts w:cs="Arial"/>
                <w:color w:val="000000" w:themeColor="text1"/>
                <w:szCs w:val="16"/>
              </w:rPr>
            </w:pPr>
            <w:r w:rsidRPr="00781112">
              <w:rPr>
                <w:color w:val="000000" w:themeColor="text1"/>
                <w:szCs w:val="16"/>
              </w:rPr>
              <w:t>0%</w:t>
            </w:r>
          </w:p>
        </w:tc>
        <w:tc>
          <w:tcPr>
            <w:tcW w:w="715" w:type="pct"/>
            <w:vAlign w:val="center"/>
          </w:tcPr>
          <w:p w14:paraId="430A2A24" w14:textId="13021BDA" w:rsidR="00D0796B" w:rsidRPr="00781112" w:rsidRDefault="00D0796B" w:rsidP="007C3622">
            <w:pPr>
              <w:spacing w:after="0"/>
              <w:jc w:val="center"/>
              <w:rPr>
                <w:rFonts w:cs="Arial"/>
                <w:color w:val="000000" w:themeColor="text1"/>
                <w:szCs w:val="16"/>
              </w:rPr>
            </w:pPr>
            <w:r w:rsidRPr="00781112">
              <w:rPr>
                <w:color w:val="000000" w:themeColor="text1"/>
                <w:szCs w:val="16"/>
              </w:rPr>
              <w:t>0%</w:t>
            </w:r>
          </w:p>
        </w:tc>
        <w:tc>
          <w:tcPr>
            <w:tcW w:w="714" w:type="pct"/>
            <w:vAlign w:val="center"/>
          </w:tcPr>
          <w:p w14:paraId="77FF7EE4" w14:textId="56DB4944" w:rsidR="00D0796B" w:rsidRPr="00781112" w:rsidRDefault="00D0796B" w:rsidP="007C3622">
            <w:pPr>
              <w:spacing w:after="0"/>
              <w:jc w:val="center"/>
              <w:rPr>
                <w:rFonts w:cs="Arial"/>
                <w:color w:val="000000" w:themeColor="text1"/>
                <w:szCs w:val="16"/>
              </w:rPr>
            </w:pPr>
            <w:r w:rsidRPr="00781112">
              <w:rPr>
                <w:color w:val="000000" w:themeColor="text1"/>
                <w:szCs w:val="16"/>
              </w:rPr>
              <w:t>0%</w:t>
            </w:r>
          </w:p>
        </w:tc>
        <w:tc>
          <w:tcPr>
            <w:tcW w:w="714" w:type="pct"/>
            <w:vAlign w:val="center"/>
          </w:tcPr>
          <w:p w14:paraId="1FB3EC89" w14:textId="6E8E9C53" w:rsidR="00D0796B" w:rsidRPr="00781112" w:rsidRDefault="00D0796B" w:rsidP="007C3622">
            <w:pPr>
              <w:spacing w:after="0"/>
              <w:jc w:val="center"/>
              <w:rPr>
                <w:rFonts w:cs="Arial"/>
                <w:color w:val="000000" w:themeColor="text1"/>
                <w:szCs w:val="16"/>
              </w:rPr>
            </w:pPr>
            <w:r w:rsidRPr="00781112">
              <w:rPr>
                <w:color w:val="000000" w:themeColor="text1"/>
                <w:szCs w:val="16"/>
              </w:rPr>
              <w:t>0%</w:t>
            </w:r>
          </w:p>
        </w:tc>
      </w:tr>
    </w:tbl>
    <w:p w14:paraId="7CAE922F" w14:textId="0CF8380A" w:rsidR="005A3C12" w:rsidRPr="00781112" w:rsidRDefault="00F6415A" w:rsidP="0041610C">
      <w:pPr>
        <w:pStyle w:val="Heading4"/>
      </w:pPr>
      <w:r w:rsidRPr="00781112">
        <w:t>FFY 2020 SPP/APR Data</w:t>
      </w:r>
    </w:p>
    <w:p w14:paraId="2910402D" w14:textId="579385FD" w:rsidR="00C2395D" w:rsidRPr="00781112" w:rsidRDefault="00C2395D" w:rsidP="00A22EB9">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2095AD97" w:rsidR="00C2395D" w:rsidRPr="00533C0E" w:rsidRDefault="00817775" w:rsidP="00314F94">
      <w:pPr>
        <w:pStyle w:val="ListParagraph"/>
        <w:numPr>
          <w:ilvl w:val="0"/>
          <w:numId w:val="200"/>
        </w:numPr>
        <w:rPr>
          <w:rFonts w:cs="Arial"/>
          <w:color w:val="000000" w:themeColor="text1"/>
          <w:szCs w:val="16"/>
        </w:rPr>
      </w:pPr>
      <w:bookmarkStart w:id="77" w:name="_Hlk20258880"/>
      <w:r w:rsidRPr="00533C0E">
        <w:rPr>
          <w:rFonts w:cs="Arial"/>
          <w:color w:val="000000" w:themeColor="text1"/>
          <w:szCs w:val="16"/>
        </w:rPr>
        <w:t>Yes</w:t>
      </w:r>
    </w:p>
    <w:bookmarkEnd w:id="77"/>
    <w:p w14:paraId="68C2343A" w14:textId="52DDFC94" w:rsidR="00C2395D" w:rsidRPr="00781112" w:rsidRDefault="00C2395D" w:rsidP="00A22EB9">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districts that met the State-established n and/or cell size. Report the number of districts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0B319A04" w14:textId="4C38CD10" w:rsidR="00C2395D" w:rsidRPr="00533C0E" w:rsidRDefault="00C2395D" w:rsidP="00314F94">
      <w:pPr>
        <w:pStyle w:val="ListParagraph"/>
        <w:numPr>
          <w:ilvl w:val="0"/>
          <w:numId w:val="201"/>
        </w:numPr>
        <w:rPr>
          <w:rFonts w:cs="Arial"/>
          <w:color w:val="000000" w:themeColor="text1"/>
          <w:szCs w:val="16"/>
        </w:rPr>
      </w:pPr>
      <w:r w:rsidRPr="00533C0E">
        <w:rPr>
          <w:rFonts w:cs="Arial"/>
          <w:color w:val="000000" w:themeColor="text1"/>
          <w:szCs w:val="16"/>
        </w:rPr>
        <w:t>17</w:t>
      </w:r>
    </w:p>
    <w:p w14:paraId="6DF45510" w14:textId="45AB22AD" w:rsidR="00C578AE" w:rsidRPr="00781112" w:rsidRDefault="00C578AE" w:rsidP="00C33455">
      <w:pPr>
        <w:pStyle w:val="Caption"/>
      </w:pPr>
      <w:r w:rsidRPr="00781112">
        <w:t>FFY 2020 SPP/APR Data</w:t>
      </w:r>
      <w:r>
        <w:t xml:space="preserv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2123"/>
        <w:gridCol w:w="2123"/>
        <w:gridCol w:w="1350"/>
        <w:gridCol w:w="897"/>
        <w:gridCol w:w="1233"/>
        <w:gridCol w:w="897"/>
        <w:gridCol w:w="950"/>
        <w:gridCol w:w="1217"/>
      </w:tblGrid>
      <w:tr w:rsidR="005C29F8" w:rsidRPr="00781112" w14:paraId="46B7EEE9" w14:textId="299BDFCD" w:rsidTr="00FD6103">
        <w:trPr>
          <w:trHeight w:val="354"/>
          <w:tblHeader/>
        </w:trPr>
        <w:tc>
          <w:tcPr>
            <w:tcW w:w="556" w:type="pct"/>
            <w:shd w:val="clear" w:color="auto" w:fill="D9D9D9" w:themeFill="background1" w:themeFillShade="D9"/>
            <w:vAlign w:val="center"/>
          </w:tcPr>
          <w:p w14:paraId="0E28349C" w14:textId="44D96017" w:rsidR="006A4596" w:rsidRPr="00781112" w:rsidRDefault="006A4596" w:rsidP="00FD6103">
            <w:pPr>
              <w:spacing w:after="0"/>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D9D9D9" w:themeFill="background1" w:themeFillShade="D9"/>
            <w:vAlign w:val="center"/>
          </w:tcPr>
          <w:p w14:paraId="3776FC0B" w14:textId="62483782" w:rsidR="006A4596" w:rsidRPr="00781112" w:rsidRDefault="006A4596" w:rsidP="00FD6103">
            <w:pPr>
              <w:spacing w:after="0"/>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D9D9D9" w:themeFill="background1" w:themeFillShade="D9"/>
            <w:vAlign w:val="center"/>
          </w:tcPr>
          <w:p w14:paraId="355E2973" w14:textId="61ADAAE7" w:rsidR="006A4596" w:rsidRPr="00781112" w:rsidRDefault="003D7F56" w:rsidP="00FD6103">
            <w:pPr>
              <w:spacing w:after="0"/>
              <w:jc w:val="center"/>
              <w:rPr>
                <w:b/>
                <w:color w:val="000000" w:themeColor="text1"/>
              </w:rPr>
            </w:pPr>
            <w:r w:rsidRPr="00781112">
              <w:rPr>
                <w:b/>
                <w:color w:val="000000" w:themeColor="text1"/>
              </w:rPr>
              <w:t>Number of districts that met the State</w:t>
            </w:r>
            <w:r w:rsidR="00FD6103">
              <w:rPr>
                <w:b/>
                <w:color w:val="000000" w:themeColor="text1"/>
              </w:rPr>
              <w:t>’</w:t>
            </w:r>
            <w:r w:rsidRPr="00781112">
              <w:rPr>
                <w:b/>
                <w:color w:val="000000" w:themeColor="text1"/>
              </w:rPr>
              <w:t>s minimum n and/or cell size</w:t>
            </w:r>
          </w:p>
        </w:tc>
        <w:tc>
          <w:tcPr>
            <w:tcW w:w="537" w:type="pct"/>
            <w:shd w:val="clear" w:color="auto" w:fill="D9D9D9" w:themeFill="background1" w:themeFillShade="D9"/>
            <w:vAlign w:val="center"/>
          </w:tcPr>
          <w:p w14:paraId="7466F790" w14:textId="298A9AEC" w:rsidR="006A4596" w:rsidRPr="00781112" w:rsidRDefault="00F6415A" w:rsidP="00FD6103">
            <w:pPr>
              <w:spacing w:after="0"/>
              <w:jc w:val="center"/>
              <w:rPr>
                <w:b/>
                <w:color w:val="000000" w:themeColor="text1"/>
              </w:rPr>
            </w:pPr>
            <w:r w:rsidRPr="00781112">
              <w:rPr>
                <w:b/>
                <w:color w:val="000000" w:themeColor="text1"/>
              </w:rPr>
              <w:t>FFY 2019 Data</w:t>
            </w:r>
          </w:p>
        </w:tc>
        <w:tc>
          <w:tcPr>
            <w:tcW w:w="799" w:type="pct"/>
            <w:shd w:val="clear" w:color="auto" w:fill="D9D9D9" w:themeFill="background1" w:themeFillShade="D9"/>
            <w:vAlign w:val="center"/>
          </w:tcPr>
          <w:p w14:paraId="72475F3B" w14:textId="4566078E" w:rsidR="006A4596" w:rsidRPr="00781112" w:rsidRDefault="00F6415A" w:rsidP="00FD6103">
            <w:pPr>
              <w:spacing w:after="0"/>
              <w:jc w:val="center"/>
              <w:rPr>
                <w:b/>
                <w:color w:val="000000" w:themeColor="text1"/>
              </w:rPr>
            </w:pPr>
            <w:r w:rsidRPr="00781112">
              <w:rPr>
                <w:b/>
                <w:color w:val="000000" w:themeColor="text1"/>
              </w:rPr>
              <w:t>FFY 2020 Target</w:t>
            </w:r>
          </w:p>
        </w:tc>
        <w:tc>
          <w:tcPr>
            <w:tcW w:w="484" w:type="pct"/>
            <w:shd w:val="clear" w:color="auto" w:fill="D9D9D9" w:themeFill="background1" w:themeFillShade="D9"/>
            <w:vAlign w:val="center"/>
          </w:tcPr>
          <w:p w14:paraId="71FC938A" w14:textId="763CB8C9" w:rsidR="006A4596" w:rsidRPr="00781112" w:rsidRDefault="00F6415A" w:rsidP="00FD6103">
            <w:pPr>
              <w:spacing w:after="0"/>
              <w:jc w:val="center"/>
              <w:rPr>
                <w:b/>
                <w:color w:val="000000" w:themeColor="text1"/>
              </w:rPr>
            </w:pPr>
            <w:r w:rsidRPr="00781112">
              <w:rPr>
                <w:b/>
                <w:color w:val="000000" w:themeColor="text1"/>
              </w:rPr>
              <w:t>FFY 2020 Data</w:t>
            </w:r>
          </w:p>
        </w:tc>
        <w:tc>
          <w:tcPr>
            <w:tcW w:w="611" w:type="pct"/>
            <w:shd w:val="clear" w:color="auto" w:fill="D9D9D9" w:themeFill="background1" w:themeFillShade="D9"/>
            <w:vAlign w:val="center"/>
          </w:tcPr>
          <w:p w14:paraId="3412B11F" w14:textId="60F985B5" w:rsidR="006A4596" w:rsidRPr="00781112" w:rsidRDefault="006A4596" w:rsidP="00FD6103">
            <w:pPr>
              <w:spacing w:after="0"/>
              <w:jc w:val="center"/>
              <w:rPr>
                <w:b/>
                <w:color w:val="000000" w:themeColor="text1"/>
              </w:rPr>
            </w:pPr>
            <w:r w:rsidRPr="00781112">
              <w:rPr>
                <w:b/>
                <w:color w:val="000000" w:themeColor="text1"/>
              </w:rPr>
              <w:t>Status</w:t>
            </w:r>
          </w:p>
        </w:tc>
        <w:tc>
          <w:tcPr>
            <w:tcW w:w="592" w:type="pct"/>
            <w:shd w:val="clear" w:color="auto" w:fill="D9D9D9" w:themeFill="background1" w:themeFillShade="D9"/>
            <w:vAlign w:val="center"/>
          </w:tcPr>
          <w:p w14:paraId="5BE578EA" w14:textId="42655681" w:rsidR="006A4596" w:rsidRPr="00781112" w:rsidRDefault="006A4596" w:rsidP="00FD6103">
            <w:pPr>
              <w:spacing w:after="0"/>
              <w:jc w:val="center"/>
              <w:rPr>
                <w:b/>
                <w:color w:val="000000" w:themeColor="text1"/>
              </w:rPr>
            </w:pPr>
            <w:r w:rsidRPr="00781112">
              <w:rPr>
                <w:b/>
                <w:color w:val="000000" w:themeColor="text1"/>
              </w:rPr>
              <w:t>Slippage</w:t>
            </w:r>
          </w:p>
        </w:tc>
      </w:tr>
      <w:tr w:rsidR="005C29F8" w:rsidRPr="00781112" w14:paraId="15B9A5E7" w14:textId="77777777" w:rsidTr="00FD6103">
        <w:tblPrEx>
          <w:jc w:val="center"/>
        </w:tblPrEx>
        <w:trPr>
          <w:trHeight w:val="432"/>
          <w:jc w:val="center"/>
        </w:trPr>
        <w:tc>
          <w:tcPr>
            <w:tcW w:w="556" w:type="pct"/>
            <w:shd w:val="clear" w:color="auto" w:fill="auto"/>
            <w:vAlign w:val="center"/>
          </w:tcPr>
          <w:p w14:paraId="4E60E5C8" w14:textId="6324B6DD" w:rsidR="00832807" w:rsidRPr="00781112" w:rsidRDefault="002B7490" w:rsidP="00FD6103">
            <w:pPr>
              <w:spacing w:after="0"/>
              <w:jc w:val="center"/>
              <w:rPr>
                <w:rFonts w:cs="Arial"/>
                <w:color w:val="000000" w:themeColor="text1"/>
                <w:szCs w:val="16"/>
              </w:rPr>
            </w:pPr>
            <w:r w:rsidRPr="00781112">
              <w:rPr>
                <w:rFonts w:cs="Arial"/>
                <w:color w:val="000000" w:themeColor="text1"/>
                <w:szCs w:val="16"/>
              </w:rPr>
              <w:t>59</w:t>
            </w:r>
          </w:p>
        </w:tc>
        <w:tc>
          <w:tcPr>
            <w:tcW w:w="583" w:type="pct"/>
            <w:shd w:val="clear" w:color="auto" w:fill="auto"/>
            <w:vAlign w:val="center"/>
          </w:tcPr>
          <w:p w14:paraId="765C1600" w14:textId="09979D5F" w:rsidR="00832807" w:rsidRPr="00781112" w:rsidRDefault="002B7490" w:rsidP="00FD6103">
            <w:pPr>
              <w:spacing w:after="0"/>
              <w:jc w:val="center"/>
              <w:rPr>
                <w:rFonts w:cs="Arial"/>
                <w:color w:val="000000" w:themeColor="text1"/>
                <w:szCs w:val="16"/>
              </w:rPr>
            </w:pPr>
            <w:r w:rsidRPr="00781112">
              <w:rPr>
                <w:rFonts w:cs="Arial"/>
                <w:color w:val="000000" w:themeColor="text1"/>
                <w:szCs w:val="16"/>
              </w:rPr>
              <w:t>1</w:t>
            </w:r>
          </w:p>
        </w:tc>
        <w:tc>
          <w:tcPr>
            <w:tcW w:w="837" w:type="pct"/>
            <w:shd w:val="clear" w:color="auto" w:fill="auto"/>
            <w:vAlign w:val="center"/>
          </w:tcPr>
          <w:p w14:paraId="2F5939A9" w14:textId="0BB9A6FC" w:rsidR="00832807" w:rsidRPr="00781112" w:rsidRDefault="002B7490" w:rsidP="00FD6103">
            <w:pPr>
              <w:spacing w:after="0"/>
              <w:jc w:val="center"/>
              <w:rPr>
                <w:rFonts w:cs="Arial"/>
                <w:color w:val="000000" w:themeColor="text1"/>
                <w:szCs w:val="16"/>
              </w:rPr>
            </w:pPr>
            <w:r w:rsidRPr="00781112">
              <w:rPr>
                <w:rFonts w:cs="Arial"/>
                <w:color w:val="000000" w:themeColor="text1"/>
                <w:szCs w:val="16"/>
              </w:rPr>
              <w:t>115</w:t>
            </w:r>
          </w:p>
        </w:tc>
        <w:tc>
          <w:tcPr>
            <w:tcW w:w="537" w:type="pct"/>
            <w:shd w:val="clear" w:color="auto" w:fill="auto"/>
            <w:vAlign w:val="center"/>
          </w:tcPr>
          <w:p w14:paraId="0D05C70A" w14:textId="18F3C221" w:rsidR="00832807" w:rsidRPr="00781112" w:rsidRDefault="002B7490" w:rsidP="00FD6103">
            <w:pPr>
              <w:spacing w:after="0"/>
              <w:jc w:val="center"/>
              <w:rPr>
                <w:rFonts w:cs="Arial"/>
                <w:color w:val="000000" w:themeColor="text1"/>
                <w:szCs w:val="16"/>
              </w:rPr>
            </w:pPr>
            <w:r w:rsidRPr="00781112">
              <w:rPr>
                <w:rFonts w:cs="Arial"/>
                <w:color w:val="000000" w:themeColor="text1"/>
                <w:szCs w:val="16"/>
              </w:rPr>
              <w:t>1.71%</w:t>
            </w:r>
          </w:p>
        </w:tc>
        <w:tc>
          <w:tcPr>
            <w:tcW w:w="799" w:type="pct"/>
            <w:shd w:val="clear" w:color="auto" w:fill="auto"/>
            <w:vAlign w:val="center"/>
          </w:tcPr>
          <w:p w14:paraId="31B1786A" w14:textId="1C0FB493" w:rsidR="00832807" w:rsidRPr="00781112" w:rsidRDefault="009C65E9" w:rsidP="00FD6103">
            <w:pPr>
              <w:spacing w:after="0"/>
              <w:jc w:val="center"/>
              <w:rPr>
                <w:rFonts w:cs="Arial"/>
                <w:color w:val="000000" w:themeColor="text1"/>
                <w:szCs w:val="16"/>
              </w:rPr>
            </w:pPr>
            <w:r w:rsidRPr="00781112">
              <w:rPr>
                <w:rFonts w:cs="Arial"/>
                <w:color w:val="000000" w:themeColor="text1"/>
                <w:szCs w:val="16"/>
              </w:rPr>
              <w:t>0%</w:t>
            </w:r>
          </w:p>
        </w:tc>
        <w:tc>
          <w:tcPr>
            <w:tcW w:w="484" w:type="pct"/>
            <w:shd w:val="clear" w:color="auto" w:fill="auto"/>
            <w:vAlign w:val="center"/>
          </w:tcPr>
          <w:p w14:paraId="006553AD" w14:textId="5CF8CF00" w:rsidR="00832807" w:rsidRPr="00781112" w:rsidRDefault="002B7490" w:rsidP="00FD6103">
            <w:pPr>
              <w:spacing w:after="0"/>
              <w:jc w:val="center"/>
              <w:rPr>
                <w:rFonts w:cs="Arial"/>
                <w:color w:val="000000" w:themeColor="text1"/>
                <w:szCs w:val="16"/>
              </w:rPr>
            </w:pPr>
            <w:r w:rsidRPr="00781112">
              <w:rPr>
                <w:rFonts w:cs="Arial"/>
                <w:color w:val="000000" w:themeColor="text1"/>
                <w:szCs w:val="16"/>
              </w:rPr>
              <w:t>0.87%</w:t>
            </w:r>
          </w:p>
        </w:tc>
        <w:tc>
          <w:tcPr>
            <w:tcW w:w="611" w:type="pct"/>
            <w:shd w:val="clear" w:color="auto" w:fill="auto"/>
            <w:vAlign w:val="center"/>
          </w:tcPr>
          <w:p w14:paraId="4A47CD2B" w14:textId="7BEFFB19" w:rsidR="00832807" w:rsidRPr="00781112" w:rsidRDefault="002B7490" w:rsidP="00FD6103">
            <w:pPr>
              <w:spacing w:after="0"/>
              <w:jc w:val="center"/>
              <w:rPr>
                <w:rFonts w:cs="Arial"/>
                <w:color w:val="000000" w:themeColor="text1"/>
                <w:szCs w:val="16"/>
              </w:rPr>
            </w:pPr>
            <w:r w:rsidRPr="00781112">
              <w:rPr>
                <w:rFonts w:cs="Arial"/>
                <w:color w:val="000000" w:themeColor="text1"/>
                <w:szCs w:val="16"/>
              </w:rPr>
              <w:t>N/A</w:t>
            </w:r>
          </w:p>
        </w:tc>
        <w:tc>
          <w:tcPr>
            <w:tcW w:w="592" w:type="pct"/>
            <w:shd w:val="clear" w:color="auto" w:fill="auto"/>
            <w:vAlign w:val="center"/>
          </w:tcPr>
          <w:p w14:paraId="3F96C2BD" w14:textId="2A9BD6CA" w:rsidR="00832807" w:rsidRPr="00781112" w:rsidRDefault="002B7490" w:rsidP="00FD6103">
            <w:pPr>
              <w:spacing w:after="0"/>
              <w:jc w:val="center"/>
              <w:rPr>
                <w:rFonts w:cs="Arial"/>
                <w:color w:val="000000" w:themeColor="text1"/>
                <w:szCs w:val="16"/>
              </w:rPr>
            </w:pPr>
            <w:r w:rsidRPr="00781112">
              <w:rPr>
                <w:rFonts w:cs="Arial"/>
                <w:color w:val="000000" w:themeColor="text1"/>
                <w:szCs w:val="16"/>
              </w:rPr>
              <w:t>N/A</w:t>
            </w:r>
          </w:p>
        </w:tc>
      </w:tr>
    </w:tbl>
    <w:p w14:paraId="59BA2CEF" w14:textId="604B6F9E" w:rsidR="00590296" w:rsidRPr="00781112" w:rsidRDefault="00A479A0" w:rsidP="007C3622">
      <w:pPr>
        <w:spacing w:before="240"/>
        <w:rPr>
          <w:rFonts w:cs="Arial"/>
          <w:b/>
          <w:color w:val="000000" w:themeColor="text1"/>
          <w:szCs w:val="16"/>
        </w:rPr>
      </w:pPr>
      <w:r w:rsidRPr="00781112">
        <w:rPr>
          <w:rFonts w:cs="Arial"/>
          <w:b/>
          <w:color w:val="000000" w:themeColor="text1"/>
          <w:szCs w:val="16"/>
        </w:rPr>
        <w:t>Were all races and ethnicities included in the review?</w:t>
      </w:r>
    </w:p>
    <w:p w14:paraId="1590ED0F" w14:textId="76F45792" w:rsidR="00590296" w:rsidRPr="00533C0E" w:rsidRDefault="00817775" w:rsidP="00314F94">
      <w:pPr>
        <w:pStyle w:val="ListParagraph"/>
        <w:numPr>
          <w:ilvl w:val="0"/>
          <w:numId w:val="202"/>
        </w:numPr>
        <w:rPr>
          <w:rFonts w:cs="Arial"/>
          <w:color w:val="000000" w:themeColor="text1"/>
          <w:szCs w:val="16"/>
        </w:rPr>
      </w:pPr>
      <w:r w:rsidRPr="00533C0E">
        <w:rPr>
          <w:rFonts w:cs="Arial"/>
          <w:color w:val="000000" w:themeColor="text1"/>
          <w:szCs w:val="16"/>
        </w:rPr>
        <w:t>Yes</w:t>
      </w:r>
    </w:p>
    <w:p w14:paraId="6EC83BB6" w14:textId="5E823B54" w:rsidR="0057259D" w:rsidRPr="00781112" w:rsidRDefault="0057259D" w:rsidP="00A22EB9">
      <w:pPr>
        <w:rPr>
          <w:b/>
          <w:color w:val="000000" w:themeColor="text1"/>
        </w:rPr>
      </w:pPr>
      <w:r w:rsidRPr="00781112">
        <w:rPr>
          <w:b/>
          <w:color w:val="000000" w:themeColor="text1"/>
        </w:rPr>
        <w:lastRenderedPageBreak/>
        <w:t>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5C0E7099" w14:textId="60F75C08" w:rsidR="00481536" w:rsidRPr="00533C0E" w:rsidRDefault="002B7490" w:rsidP="00314F94">
      <w:pPr>
        <w:pStyle w:val="ListParagraph"/>
        <w:numPr>
          <w:ilvl w:val="0"/>
          <w:numId w:val="203"/>
        </w:numPr>
        <w:rPr>
          <w:rFonts w:cs="Arial"/>
          <w:color w:val="000000" w:themeColor="text1"/>
          <w:szCs w:val="16"/>
        </w:rPr>
      </w:pPr>
      <w:r w:rsidRPr="00533C0E">
        <w:rPr>
          <w:rFonts w:cs="Arial"/>
          <w:color w:val="000000" w:themeColor="text1"/>
          <w:szCs w:val="16"/>
        </w:rPr>
        <w:t>The VDOE’s definition of “disproportionate representation” for Indicator 10 is as follows: 1) disproportionate representation of racial and ethnic groups in specific disability categories occurs when the percent of a particular racial or ethnic group in the disability categories of intellectual disability, specific learning disability, emotional disability, other health impairment, autism, or speech or language impairment is disproportionate to the percent of that racial or ethnic group relative to the percent of students with disabilities (SWD) in these disability categories in all other racial or ethnic groups using a risk ratio; 2) the threshold at which disproportionate representation is identified as a risk ratio of 2.0 or greater; 3) a single year of data is used in the calculation; and 4) a minimum cell size of more than ten (numerator) and/or minimum n-size of more than ten (denominator) were utilized.</w:t>
      </w:r>
    </w:p>
    <w:p w14:paraId="469A27F6" w14:textId="13AEF7C8" w:rsidR="0057259D" w:rsidRPr="00781112" w:rsidRDefault="0057259D" w:rsidP="00A22EB9">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15CAE35D" w14:textId="77777777" w:rsidR="007C3622" w:rsidRPr="00533C0E" w:rsidRDefault="002B7490" w:rsidP="00314F94">
      <w:pPr>
        <w:pStyle w:val="ListParagraph"/>
        <w:numPr>
          <w:ilvl w:val="0"/>
          <w:numId w:val="204"/>
        </w:numPr>
        <w:rPr>
          <w:rFonts w:cs="Arial"/>
          <w:color w:val="000000" w:themeColor="text1"/>
          <w:szCs w:val="16"/>
        </w:rPr>
      </w:pPr>
      <w:r w:rsidRPr="00533C0E">
        <w:rPr>
          <w:rFonts w:cs="Arial"/>
          <w:color w:val="000000" w:themeColor="text1"/>
          <w:szCs w:val="16"/>
        </w:rPr>
        <w:t>Level One: Data Analysis</w:t>
      </w:r>
    </w:p>
    <w:p w14:paraId="049BE4AA" w14:textId="77777777" w:rsidR="007C3622" w:rsidRDefault="002B7490" w:rsidP="00817775">
      <w:pPr>
        <w:ind w:left="720"/>
        <w:rPr>
          <w:rFonts w:cs="Arial"/>
          <w:color w:val="000000" w:themeColor="text1"/>
          <w:szCs w:val="16"/>
        </w:rPr>
      </w:pPr>
      <w:r w:rsidRPr="00781112">
        <w:rPr>
          <w:rFonts w:cs="Arial"/>
          <w:color w:val="000000" w:themeColor="text1"/>
          <w:szCs w:val="16"/>
        </w:rPr>
        <w:t>The VDOE used a risk ratio model to calculate and determine if districts had disproportionate representation. The VDOE evaluated the degree to which students in specific racial and ethnic groups may or may not be at higher risk for being identified as having a disability in a specific disability category compared to students not in that racial or ethnic group. This is accomplished by computing risk ratios depicting the proportion of SWD in a specific disability category in each racial and ethnic group relative to the proportion of SWD in the specific disability category in all other racial and ethnic groups. The computation was done at the district level and a minimum cell size of more than ten (numerator) and minimum n-size of more than ten (denominator) was applied to control very small populations.</w:t>
      </w:r>
    </w:p>
    <w:p w14:paraId="139F36E7" w14:textId="77777777" w:rsidR="007C3622" w:rsidRDefault="002B7490" w:rsidP="00817775">
      <w:pPr>
        <w:ind w:left="720"/>
        <w:rPr>
          <w:rFonts w:cs="Arial"/>
          <w:color w:val="000000" w:themeColor="text1"/>
          <w:szCs w:val="16"/>
        </w:rPr>
      </w:pPr>
      <w:r w:rsidRPr="00781112">
        <w:rPr>
          <w:rFonts w:cs="Arial"/>
          <w:color w:val="000000" w:themeColor="text1"/>
          <w:szCs w:val="16"/>
        </w:rPr>
        <w:t>Risk ratios were computed for districts that met the minimum cell size/n-size requirements of more than ten students with disabilities in the racial or ethnic group and more than ten students in the comparison group. Districts with racial and ethnic group(s) that met the minimum cell size/n-size with risk ratios 2.0 or greater were considered to have disproportionate representation and required to complete the level two analysis to determine if the disproportionate representation found was due to procedural violations during the eligibility and/or evaluation processes found at 8VAC20-81-80 and 8VAC20-81-70 of the Regulations Governing Special Education Programs for Children with Disabilities in Virginia (Regulations), respectively.</w:t>
      </w:r>
    </w:p>
    <w:p w14:paraId="79C428D9" w14:textId="77777777" w:rsidR="007C3622" w:rsidRDefault="002B7490" w:rsidP="00817775">
      <w:pPr>
        <w:ind w:left="720"/>
        <w:rPr>
          <w:rFonts w:cs="Arial"/>
          <w:color w:val="000000" w:themeColor="text1"/>
          <w:szCs w:val="16"/>
        </w:rPr>
      </w:pPr>
      <w:r w:rsidRPr="00781112">
        <w:rPr>
          <w:rFonts w:cs="Arial"/>
          <w:color w:val="000000" w:themeColor="text1"/>
          <w:szCs w:val="16"/>
        </w:rPr>
        <w:t xml:space="preserve">In 2020-2021, 17 districts were totally excluded from the calculation due to not meeting the minimum cell size requirements for any racial or ethnic group within specific disability categories. Fifty-nine districts were identified in the level one analysis and subjected to level </w:t>
      </w:r>
      <w:r w:rsidRPr="00781112">
        <w:rPr>
          <w:rFonts w:cs="Arial"/>
          <w:color w:val="000000" w:themeColor="text1"/>
          <w:szCs w:val="16"/>
        </w:rPr>
        <w:lastRenderedPageBreak/>
        <w:t>two analysis. The FFY 2020 data includes calculations from 115 school districts and captures all races and ethnicities as well as all six specific disability categories, creating a response group representative of the populations in each district.</w:t>
      </w:r>
    </w:p>
    <w:p w14:paraId="0F86A76B" w14:textId="77777777" w:rsidR="007C3622" w:rsidRDefault="002B7490" w:rsidP="00817775">
      <w:pPr>
        <w:ind w:left="720"/>
        <w:rPr>
          <w:rFonts w:cs="Arial"/>
          <w:color w:val="000000" w:themeColor="text1"/>
          <w:szCs w:val="16"/>
        </w:rPr>
      </w:pPr>
      <w:r w:rsidRPr="00781112">
        <w:rPr>
          <w:rFonts w:cs="Arial"/>
          <w:color w:val="000000" w:themeColor="text1"/>
          <w:szCs w:val="16"/>
        </w:rPr>
        <w:t>Level Two: Review of Superintendents’ Assurances of Policies, Procedures, and Practices that Prevent Disproportionate Representation and Individual Student Records</w:t>
      </w:r>
    </w:p>
    <w:p w14:paraId="3ADFCC6A" w14:textId="77777777" w:rsidR="007C3622" w:rsidRDefault="002B7490" w:rsidP="00817775">
      <w:pPr>
        <w:ind w:left="720"/>
        <w:rPr>
          <w:rFonts w:cs="Arial"/>
          <w:color w:val="000000" w:themeColor="text1"/>
          <w:szCs w:val="16"/>
        </w:rPr>
      </w:pPr>
      <w:r w:rsidRPr="00781112">
        <w:rPr>
          <w:rFonts w:cs="Arial"/>
          <w:color w:val="000000" w:themeColor="text1"/>
          <w:szCs w:val="16"/>
        </w:rPr>
        <w:t>Annually, each school district is required to provide the VDOE a written assurance, certified by signature of the superintendent/designee of the school district, that policies and procedures are in effect which are designed to prevent disproportionate representation in special education and related services by race and ethnicity within specific disability categories (refer to FFY 2019 Part B State Performance Plan/Annual Performance Report).</w:t>
      </w:r>
    </w:p>
    <w:p w14:paraId="37B23307" w14:textId="642D59ED" w:rsidR="00481536" w:rsidRPr="00781112" w:rsidRDefault="002B7490" w:rsidP="00817775">
      <w:pPr>
        <w:ind w:left="720"/>
        <w:rPr>
          <w:rFonts w:cs="Arial"/>
          <w:color w:val="000000" w:themeColor="text1"/>
          <w:szCs w:val="16"/>
        </w:rPr>
      </w:pPr>
      <w:r w:rsidRPr="00781112">
        <w:rPr>
          <w:rFonts w:cs="Arial"/>
          <w:color w:val="000000" w:themeColor="text1"/>
          <w:szCs w:val="16"/>
        </w:rPr>
        <w:t>Additionally, if a district was identified in the level one analysis for disproportionate representation, the district was required to review individual student records for the racial and ethnic group(s) and special education category(</w:t>
      </w:r>
      <w:proofErr w:type="spellStart"/>
      <w:r w:rsidRPr="00781112">
        <w:rPr>
          <w:rFonts w:cs="Arial"/>
          <w:color w:val="000000" w:themeColor="text1"/>
          <w:szCs w:val="16"/>
        </w:rPr>
        <w:t>ies</w:t>
      </w:r>
      <w:proofErr w:type="spellEnd"/>
      <w:r w:rsidRPr="00781112">
        <w:rPr>
          <w:rFonts w:cs="Arial"/>
          <w:color w:val="000000" w:themeColor="text1"/>
          <w:szCs w:val="16"/>
        </w:rPr>
        <w:t>) identified in the level one analysis. This record review required the use of a checklist that allowed the district to identify, by documented evidence only, any violations of procedural or regulatory requirements related to the identification of a student as a student with a disability. If there was no documented evidence found in a student’s record to support “appropriate identification” as defined by the VDOE, this counted as a procedural or regulatory violation. School districts submitted a written summary of their student record review to VDOE, and a final determination was made as to which districts had disproportionate representation of racial and ethnic groups in specific disability categories that was the result of inappropriate identification. For 2020-2021, one of the fifty-nine districts identified in the level one analysis and subjected to this level two analysis was determined to have violations of regulatory or procedural requirements related to the identification of students as students with disabilities in that racial and ethnic group and specific disability category(</w:t>
      </w:r>
      <w:proofErr w:type="spellStart"/>
      <w:r w:rsidRPr="00781112">
        <w:rPr>
          <w:rFonts w:cs="Arial"/>
          <w:color w:val="000000" w:themeColor="text1"/>
          <w:szCs w:val="16"/>
        </w:rPr>
        <w:t>ies</w:t>
      </w:r>
      <w:proofErr w:type="spellEnd"/>
      <w:r w:rsidRPr="00781112">
        <w:rPr>
          <w:rFonts w:cs="Arial"/>
          <w:color w:val="000000" w:themeColor="text1"/>
          <w:szCs w:val="16"/>
        </w:rPr>
        <w:t>).</w:t>
      </w:r>
    </w:p>
    <w:p w14:paraId="1FCF1BF3" w14:textId="77777777" w:rsidR="00DF1529" w:rsidRPr="00781112" w:rsidRDefault="00DF1529" w:rsidP="0041610C">
      <w:pPr>
        <w:pStyle w:val="Heading4"/>
      </w:pPr>
      <w:bookmarkStart w:id="78" w:name="_Toc381956338"/>
      <w:bookmarkStart w:id="79" w:name="_Toc384383352"/>
      <w:bookmarkStart w:id="80" w:name="_Toc392159320"/>
      <w:r w:rsidRPr="00781112">
        <w:t>Provide additional information about this indicator (optional)</w:t>
      </w:r>
    </w:p>
    <w:p w14:paraId="5591FE18" w14:textId="77777777" w:rsidR="007C3622" w:rsidRPr="00533C0E" w:rsidRDefault="002B7490" w:rsidP="00314F94">
      <w:pPr>
        <w:pStyle w:val="ListParagraph"/>
        <w:numPr>
          <w:ilvl w:val="0"/>
          <w:numId w:val="205"/>
        </w:numPr>
        <w:rPr>
          <w:rFonts w:cs="Arial"/>
          <w:color w:val="000000" w:themeColor="text1"/>
          <w:szCs w:val="16"/>
        </w:rPr>
      </w:pPr>
      <w:r w:rsidRPr="00533C0E">
        <w:rPr>
          <w:rFonts w:cs="Arial"/>
          <w:color w:val="000000" w:themeColor="text1"/>
          <w:szCs w:val="16"/>
        </w:rPr>
        <w:t>The VDOE uses a five-year cyclical approach to review special education data for all school districts in the Commonwealth, as recommended by OSEP. In doing so, the VDOE has a process for systematically auditing and validating school districts’ self-determinations of compliance with all Individuals with Disabilities Education Act (IDEA) compliance indicators submitted through its Single Sign-on for Web Systems (SSWS) Special Education Indicators application. The VDOE ensures, per OSEP guidance, all instances of noncompliance are reported as communicated by the LEAs to VDOE consistent with OSEP Memorandum 09-02.</w:t>
      </w:r>
    </w:p>
    <w:p w14:paraId="5486009F" w14:textId="77777777" w:rsidR="007C3622" w:rsidRDefault="002B7490" w:rsidP="00817775">
      <w:pPr>
        <w:ind w:left="720"/>
        <w:rPr>
          <w:rFonts w:cs="Arial"/>
          <w:color w:val="000000" w:themeColor="text1"/>
          <w:szCs w:val="16"/>
        </w:rPr>
      </w:pPr>
      <w:r w:rsidRPr="00781112">
        <w:rPr>
          <w:rFonts w:cs="Arial"/>
          <w:color w:val="000000" w:themeColor="text1"/>
          <w:szCs w:val="16"/>
        </w:rPr>
        <w:t>Each year, approximately 20 percent of the school districts in Virginia are selected for data validation of compliance indicators. Specifically, between the months of September and December, the regional VDOE monitor assigned to school districts within that current year’s cohort reviews a random sample of individual student files and specific policies, procedures, and practices to ensure the accuracy of the indicator information submitted to VDOE. The number of files reviewed is based on the number of records submitted for each indicator.</w:t>
      </w:r>
    </w:p>
    <w:p w14:paraId="4638F78F" w14:textId="33D2C581" w:rsidR="00BA687C" w:rsidRPr="007C3622" w:rsidRDefault="002B7490" w:rsidP="00817775">
      <w:pPr>
        <w:ind w:left="720"/>
        <w:rPr>
          <w:rFonts w:cs="Arial"/>
          <w:color w:val="000000" w:themeColor="text1"/>
          <w:szCs w:val="16"/>
        </w:rPr>
      </w:pPr>
      <w:r w:rsidRPr="00781112">
        <w:rPr>
          <w:rFonts w:cs="Arial"/>
          <w:color w:val="000000" w:themeColor="text1"/>
          <w:szCs w:val="16"/>
        </w:rPr>
        <w:lastRenderedPageBreak/>
        <w:t xml:space="preserve">Local educational agencies (LEAs) self-reporting less than 100 percent </w:t>
      </w:r>
      <w:proofErr w:type="gramStart"/>
      <w:r w:rsidRPr="00781112">
        <w:rPr>
          <w:rFonts w:cs="Arial"/>
          <w:color w:val="000000" w:themeColor="text1"/>
          <w:szCs w:val="16"/>
        </w:rPr>
        <w:t>receive</w:t>
      </w:r>
      <w:proofErr w:type="gramEnd"/>
      <w:r w:rsidRPr="00781112">
        <w:rPr>
          <w:rFonts w:cs="Arial"/>
          <w:color w:val="000000" w:themeColor="text1"/>
          <w:szCs w:val="16"/>
        </w:rPr>
        <w:t xml:space="preserve"> written notification of noncompliance, develop a corrective action plan (CAP) as determined by the Lead Monitor, and undergo the Prong 1 and Prong 2 process within one year of written notification. If it is determined that LEAs self-reporting 100 percent submitted inaccurate information, the school district is required to resubmit accurately. Following data resubmission, the district superintendent receives written notification of noncompliance, a CAP is developed as determined by the Lead Monitor, and the Prong 1 and Prong 2 process is completed within one year of written notification. Closure of indicator corrections is finalized with an email to special education administrators.</w:t>
      </w:r>
    </w:p>
    <w:p w14:paraId="6268B372" w14:textId="05E2C052" w:rsidR="009A755E" w:rsidRPr="00781112" w:rsidRDefault="009A755E" w:rsidP="00C33455">
      <w:pPr>
        <w:pStyle w:val="Caption"/>
      </w:pPr>
      <w:r w:rsidRPr="00781112">
        <w:t>Correction of Findings of Noncompliance Identified in FFY 2019</w:t>
      </w:r>
      <w:r w:rsidR="007B3230">
        <w:t xml:space="preserve"> (10)</w:t>
      </w:r>
    </w:p>
    <w:tbl>
      <w:tblPr>
        <w:tblStyle w:val="TableGrid"/>
        <w:tblW w:w="5000" w:type="pct"/>
        <w:tblLook w:val="04A0" w:firstRow="1" w:lastRow="0" w:firstColumn="1" w:lastColumn="0" w:noHBand="0" w:noVBand="1"/>
        <w:tblDescription w:val="Table provides identified, verified as corrected within one year, and subsequently corrected, and not yet verified findings of noncompliance for FFY 2019 for this indicator."/>
      </w:tblPr>
      <w:tblGrid>
        <w:gridCol w:w="2650"/>
        <w:gridCol w:w="2780"/>
        <w:gridCol w:w="2656"/>
        <w:gridCol w:w="2704"/>
      </w:tblGrid>
      <w:tr w:rsidR="005C29F8" w:rsidRPr="00781112" w14:paraId="56588706" w14:textId="77777777" w:rsidTr="00FD6103">
        <w:trPr>
          <w:trHeight w:val="389"/>
          <w:tblHeader/>
        </w:trPr>
        <w:tc>
          <w:tcPr>
            <w:tcW w:w="1228" w:type="pct"/>
            <w:shd w:val="clear" w:color="auto" w:fill="D9D9D9" w:themeFill="background1" w:themeFillShade="D9"/>
            <w:vAlign w:val="center"/>
          </w:tcPr>
          <w:p w14:paraId="65B8FFC5" w14:textId="77777777" w:rsidR="009A755E" w:rsidRPr="00781112" w:rsidRDefault="009A755E" w:rsidP="00FD6103">
            <w:pPr>
              <w:spacing w:after="0" w:line="276" w:lineRule="auto"/>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D9D9D9" w:themeFill="background1" w:themeFillShade="D9"/>
            <w:vAlign w:val="center"/>
          </w:tcPr>
          <w:p w14:paraId="053913DE" w14:textId="77777777" w:rsidR="009A755E" w:rsidRPr="00781112" w:rsidRDefault="009A755E" w:rsidP="00FD6103">
            <w:pPr>
              <w:spacing w:after="0" w:line="276" w:lineRule="auto"/>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D9D9D9" w:themeFill="background1" w:themeFillShade="D9"/>
            <w:vAlign w:val="center"/>
          </w:tcPr>
          <w:p w14:paraId="79BBE351" w14:textId="77777777" w:rsidR="009A755E" w:rsidRPr="00781112" w:rsidRDefault="009A755E" w:rsidP="00FD6103">
            <w:pPr>
              <w:spacing w:after="0" w:line="276" w:lineRule="auto"/>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D9D9D9" w:themeFill="background1" w:themeFillShade="D9"/>
            <w:vAlign w:val="center"/>
          </w:tcPr>
          <w:p w14:paraId="380C990E" w14:textId="77777777" w:rsidR="009A755E" w:rsidRPr="00781112" w:rsidRDefault="009A755E" w:rsidP="00FD6103">
            <w:pPr>
              <w:spacing w:after="0" w:line="276" w:lineRule="auto"/>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FD6103">
        <w:trPr>
          <w:trHeight w:val="377"/>
        </w:trPr>
        <w:tc>
          <w:tcPr>
            <w:tcW w:w="1228" w:type="pct"/>
            <w:shd w:val="clear" w:color="auto" w:fill="auto"/>
            <w:vAlign w:val="center"/>
          </w:tcPr>
          <w:p w14:paraId="1D40E253" w14:textId="63B8E0E2" w:rsidR="009A755E" w:rsidRPr="00781112" w:rsidRDefault="002B7490" w:rsidP="00FD6103">
            <w:pPr>
              <w:spacing w:after="0" w:line="276" w:lineRule="auto"/>
              <w:jc w:val="center"/>
              <w:rPr>
                <w:rFonts w:cs="Arial"/>
                <w:color w:val="000000" w:themeColor="text1"/>
                <w:szCs w:val="16"/>
              </w:rPr>
            </w:pPr>
            <w:r w:rsidRPr="00781112">
              <w:rPr>
                <w:rFonts w:cs="Arial"/>
                <w:color w:val="000000" w:themeColor="text1"/>
                <w:szCs w:val="16"/>
              </w:rPr>
              <w:t>2</w:t>
            </w:r>
          </w:p>
        </w:tc>
        <w:tc>
          <w:tcPr>
            <w:tcW w:w="1288" w:type="pct"/>
            <w:shd w:val="clear" w:color="auto" w:fill="auto"/>
            <w:vAlign w:val="center"/>
          </w:tcPr>
          <w:p w14:paraId="5D374844" w14:textId="5622CFF8" w:rsidR="009A755E" w:rsidRPr="00781112" w:rsidRDefault="002B7490" w:rsidP="00FD6103">
            <w:pPr>
              <w:spacing w:after="0" w:line="276" w:lineRule="auto"/>
              <w:jc w:val="center"/>
              <w:rPr>
                <w:rFonts w:cs="Arial"/>
                <w:color w:val="000000" w:themeColor="text1"/>
                <w:szCs w:val="16"/>
              </w:rPr>
            </w:pPr>
            <w:r w:rsidRPr="00781112">
              <w:rPr>
                <w:rFonts w:cs="Arial"/>
                <w:color w:val="000000" w:themeColor="text1"/>
                <w:szCs w:val="16"/>
              </w:rPr>
              <w:t>2</w:t>
            </w:r>
          </w:p>
        </w:tc>
        <w:tc>
          <w:tcPr>
            <w:tcW w:w="1231" w:type="pct"/>
            <w:shd w:val="clear" w:color="auto" w:fill="auto"/>
            <w:vAlign w:val="center"/>
          </w:tcPr>
          <w:p w14:paraId="2CDC48CC" w14:textId="2F009478" w:rsidR="009A755E" w:rsidRPr="00781112" w:rsidRDefault="002B7490" w:rsidP="00FD6103">
            <w:pPr>
              <w:spacing w:after="0" w:line="276" w:lineRule="auto"/>
              <w:jc w:val="center"/>
              <w:rPr>
                <w:rFonts w:cs="Arial"/>
                <w:color w:val="000000" w:themeColor="text1"/>
                <w:szCs w:val="16"/>
              </w:rPr>
            </w:pPr>
            <w:r w:rsidRPr="00781112">
              <w:rPr>
                <w:rFonts w:cs="Arial"/>
                <w:color w:val="000000" w:themeColor="text1"/>
                <w:szCs w:val="16"/>
              </w:rPr>
              <w:t>0</w:t>
            </w:r>
          </w:p>
        </w:tc>
        <w:tc>
          <w:tcPr>
            <w:tcW w:w="1254" w:type="pct"/>
            <w:shd w:val="clear" w:color="auto" w:fill="auto"/>
            <w:vAlign w:val="center"/>
          </w:tcPr>
          <w:p w14:paraId="19E189C3" w14:textId="39CA8E23" w:rsidR="009A755E" w:rsidRPr="00781112" w:rsidRDefault="002B7490" w:rsidP="00FD6103">
            <w:pPr>
              <w:spacing w:after="0" w:line="276" w:lineRule="auto"/>
              <w:jc w:val="center"/>
              <w:rPr>
                <w:rFonts w:cs="Arial"/>
                <w:color w:val="000000" w:themeColor="text1"/>
                <w:szCs w:val="16"/>
              </w:rPr>
            </w:pPr>
            <w:r w:rsidRPr="00781112">
              <w:rPr>
                <w:rFonts w:cs="Arial"/>
                <w:color w:val="000000" w:themeColor="text1"/>
                <w:szCs w:val="16"/>
              </w:rPr>
              <w:t>0</w:t>
            </w:r>
          </w:p>
        </w:tc>
      </w:tr>
    </w:tbl>
    <w:p w14:paraId="3E10DC89" w14:textId="5079A77D" w:rsidR="009A755E" w:rsidRPr="00781112" w:rsidRDefault="00F6415A" w:rsidP="0041610C">
      <w:pPr>
        <w:pStyle w:val="Heading4"/>
      </w:pPr>
      <w:r w:rsidRPr="00781112">
        <w:t>FFY 2019 Findings of Noncompliance Verified as Corrected</w:t>
      </w:r>
    </w:p>
    <w:p w14:paraId="27E95BD9" w14:textId="01753F63"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5C2199FC" w14:textId="017DB233" w:rsidR="00481536" w:rsidRPr="00533C0E" w:rsidRDefault="002B7490" w:rsidP="00314F94">
      <w:pPr>
        <w:pStyle w:val="ListParagraph"/>
        <w:numPr>
          <w:ilvl w:val="0"/>
          <w:numId w:val="206"/>
        </w:numPr>
        <w:rPr>
          <w:rFonts w:cs="Arial"/>
          <w:color w:val="000000" w:themeColor="text1"/>
          <w:szCs w:val="16"/>
        </w:rPr>
      </w:pPr>
      <w:r w:rsidRPr="00533C0E">
        <w:rPr>
          <w:rFonts w:cs="Arial"/>
          <w:color w:val="000000" w:themeColor="text1"/>
          <w:szCs w:val="16"/>
        </w:rPr>
        <w:t>The VDOE contacted the two districts that reported less than 100 percent compliance for FFY 2019. The districts reviewed their procedures and practices for compliance. Finding zero noncompliance in the aforementioned areas, the districts then provided training/technical assistance to applicable staff members. Additionally, the VDOE verified correction of the six individual cases of noncompliance (Prong 1) by reassessing the students’ records in the area(s)/question(s) originally reported as noncompliant. Subsequent Indicator 10 file assessments were conducted by VDOE monitoring staff of a sampling of each of the two noncompliant district’s newly developed student records (Prong 2). Specifically, the monitors randomly reviewed new student files for the identified disproportionately represented race/ethnicity and disability for each district reviewing for evidence of corrections in the part or parts of the process that caused the noncompliance. The Prong 2, Set 1 record review resulted in 100 percent compliance in both districts. Therefore, it was determined that no additional corrective steps were required by the districts. The two FFY 2019 districts that reported noncompliance specific to Indicator 10 are now at 100 percent compliance and are correctly implementing the regulatory requirements consistent with OSEP Memorandum 09-02.</w:t>
      </w:r>
    </w:p>
    <w:p w14:paraId="1C95262D" w14:textId="0A0D77FC"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58053C3C" w14:textId="62106B45" w:rsidR="007C3622" w:rsidRPr="00533C0E" w:rsidRDefault="002B7490" w:rsidP="00314F94">
      <w:pPr>
        <w:pStyle w:val="ListParagraph"/>
        <w:numPr>
          <w:ilvl w:val="0"/>
          <w:numId w:val="207"/>
        </w:numPr>
        <w:rPr>
          <w:rFonts w:cs="Arial"/>
          <w:color w:val="000000" w:themeColor="text1"/>
          <w:szCs w:val="16"/>
        </w:rPr>
      </w:pPr>
      <w:r w:rsidRPr="00533C0E">
        <w:rPr>
          <w:rFonts w:cs="Arial"/>
          <w:color w:val="000000" w:themeColor="text1"/>
          <w:szCs w:val="16"/>
        </w:rPr>
        <w:t xml:space="preserve">The VDOE has verified that the six incidents of student level noncompliance specific to Indicator 10 from the two school districts identified in FFY 2019 were corrected consistent with OSEP Memorandum 09-02. The districts with noncompliance have corrected their individual cases of noncompliance and are correctly implementing the specific regulatory requirements associated with Indicator 10. Specifically, written notification of the noncompliance was mailed </w:t>
      </w:r>
      <w:r w:rsidRPr="00533C0E">
        <w:rPr>
          <w:rFonts w:cs="Arial"/>
          <w:color w:val="000000" w:themeColor="text1"/>
          <w:szCs w:val="16"/>
        </w:rPr>
        <w:lastRenderedPageBreak/>
        <w:t>to the two district superintendents. Subsequently, one VDOE monitor per district was assigned to ensure Prong 1 and Prong 2 corrections.</w:t>
      </w:r>
    </w:p>
    <w:p w14:paraId="51AD234D" w14:textId="77777777" w:rsidR="007C3622" w:rsidRDefault="002B7490" w:rsidP="00817775">
      <w:pPr>
        <w:ind w:left="720"/>
        <w:rPr>
          <w:rFonts w:cs="Arial"/>
          <w:color w:val="000000" w:themeColor="text1"/>
          <w:szCs w:val="16"/>
        </w:rPr>
      </w:pPr>
      <w:r w:rsidRPr="00781112">
        <w:rPr>
          <w:rFonts w:cs="Arial"/>
          <w:color w:val="000000" w:themeColor="text1"/>
          <w:szCs w:val="16"/>
        </w:rPr>
        <w:t>Prior to conducting Prong 1, the VDOE monitors reviewed the processes used by the two districts to identify students under IDEA, more specifically the six specific disability categories captured under Indicator 10, to determine if they were compliant. This review also included an assessment as to whether there was racial/ethnic and/or cultural bias in the districts’ evaluation processes. Additionally, in each of the identified districts, the eligibility and evaluation processes were reviewed to discern if the identified noncompliance was a districtwide problem, a school-based problem, or an isolated occurrence. It was determined that the school districts’ identification processes were compliant, and that the identified cases of noncompliance were isolated.</w:t>
      </w:r>
    </w:p>
    <w:p w14:paraId="509F07B7" w14:textId="1290A240" w:rsidR="00481536" w:rsidRPr="00781112" w:rsidRDefault="002B7490" w:rsidP="00817775">
      <w:pPr>
        <w:ind w:left="720"/>
        <w:rPr>
          <w:rFonts w:cs="Arial"/>
          <w:color w:val="000000" w:themeColor="text1"/>
          <w:szCs w:val="16"/>
        </w:rPr>
      </w:pPr>
      <w:r w:rsidRPr="00781112">
        <w:rPr>
          <w:rFonts w:cs="Arial"/>
          <w:color w:val="000000" w:themeColor="text1"/>
          <w:szCs w:val="16"/>
        </w:rPr>
        <w:t>To complete the Prong 1 process, the VDOE monitors reassessed the records of the six individual cases of noncompliance and verified that all six records were corrected, and therefore 100 percent compliant. To satisfy Prong 2, the VDOE monitors reviewed the districts’ policies and procedures (e.g., documentation of training, meetings, guidance documents, procedural updates) implemented since noncompliance was identified. The monitors then randomly reviewed new student files (Prong 2) for the identified disproportionately represented race/ethnicity and disability in the two noncompliant districts, reviewing for evidence of corrections in the part or parts of their processes that caused the noncompliance. The Prong 2, Set 1 record reviews resulted in 100 percent compliance, and it was determined that no additional corrective steps were required by either of the districts. All steps took place within one calendar year of the date the districts were notified of noncompliance.</w:t>
      </w:r>
    </w:p>
    <w:p w14:paraId="53A11FEB" w14:textId="6CFF8254" w:rsidR="004E2151" w:rsidRPr="00781112" w:rsidRDefault="009F64D5" w:rsidP="007C3622">
      <w:pPr>
        <w:pStyle w:val="Heading3"/>
        <w:spacing w:before="240"/>
      </w:pPr>
      <w:r w:rsidRPr="00781112">
        <w:t>10</w:t>
      </w:r>
      <w:r w:rsidR="00596F4D" w:rsidRPr="00781112">
        <w:t xml:space="preserve"> </w:t>
      </w:r>
      <w:r w:rsidRPr="00781112">
        <w:t xml:space="preserve">- </w:t>
      </w:r>
      <w:r w:rsidR="004E2151" w:rsidRPr="00781112">
        <w:t>Prior FFY Required Actions</w:t>
      </w:r>
    </w:p>
    <w:p w14:paraId="6E5A22AB" w14:textId="77777777" w:rsidR="007C3622" w:rsidRPr="000F63C4" w:rsidRDefault="002B7490" w:rsidP="00314F94">
      <w:pPr>
        <w:pStyle w:val="ListParagraph"/>
        <w:numPr>
          <w:ilvl w:val="0"/>
          <w:numId w:val="208"/>
        </w:numPr>
        <w:rPr>
          <w:rFonts w:cs="Arial"/>
          <w:color w:val="000000" w:themeColor="text1"/>
          <w:szCs w:val="16"/>
        </w:rPr>
      </w:pPr>
      <w:r w:rsidRPr="000F63C4">
        <w:rPr>
          <w:rFonts w:cs="Arial"/>
          <w:color w:val="000000" w:themeColor="text1"/>
          <w:szCs w:val="16"/>
        </w:rPr>
        <w:t>Because the State reported less than 100% compliance for FFY 2019 (greater than 0% actual target data for this indicator), the State must report on the status of correction of noncompliance identified in FFY 2019 for this indicator. The State must demonstrate, in the FFY 2020 SPP/APR, that the 2 districts identified in FFY 2019 with disproportionate representation of racial and ethnic groups in specific disability categories that was the result of inappropriate identification [is/are] in compliance with the requirements in 34 C.F.R. §§ 300.111, 300.201, and 300.301 through 300.311,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2020 SPP/APR, the State must describe the specific actions that were taken to verify the correction.</w:t>
      </w:r>
    </w:p>
    <w:p w14:paraId="7C7C5568" w14:textId="12F0F202" w:rsidR="009F69E7" w:rsidRPr="00781112" w:rsidRDefault="002B7490" w:rsidP="00817775">
      <w:pPr>
        <w:ind w:left="720"/>
        <w:rPr>
          <w:rFonts w:cs="Arial"/>
          <w:color w:val="000000" w:themeColor="text1"/>
          <w:szCs w:val="16"/>
        </w:rPr>
      </w:pPr>
      <w:r w:rsidRPr="00781112">
        <w:rPr>
          <w:rFonts w:cs="Arial"/>
          <w:color w:val="000000" w:themeColor="text1"/>
          <w:szCs w:val="16"/>
        </w:rPr>
        <w:t>If the State did not identify any findings of noncompliance in FFY 2019, although its FFY 2019 data reflect less than 100% compliance (greater than 0% actual target data for this indicator), provide an explanation of why the State did not identify any findings of noncompliance in FFY 2019.</w:t>
      </w:r>
    </w:p>
    <w:p w14:paraId="5DF0DC37" w14:textId="1B20ACA5" w:rsidR="004E2151" w:rsidRPr="00781112" w:rsidRDefault="004E2151" w:rsidP="00D73ABA">
      <w:pPr>
        <w:pStyle w:val="Heading4"/>
      </w:pPr>
      <w:r w:rsidRPr="00781112">
        <w:lastRenderedPageBreak/>
        <w:t>Response to actions required in FFY 2019 SPP/APR</w:t>
      </w:r>
    </w:p>
    <w:p w14:paraId="7C3D22D6" w14:textId="4081022E" w:rsidR="004E2151" w:rsidRPr="000F63C4" w:rsidRDefault="002B7490" w:rsidP="00314F94">
      <w:pPr>
        <w:pStyle w:val="ListParagraph"/>
        <w:numPr>
          <w:ilvl w:val="0"/>
          <w:numId w:val="209"/>
        </w:numPr>
        <w:rPr>
          <w:rFonts w:cs="Arial"/>
          <w:color w:val="000000" w:themeColor="text1"/>
          <w:szCs w:val="16"/>
        </w:rPr>
      </w:pPr>
      <w:r w:rsidRPr="000F63C4">
        <w:rPr>
          <w:rFonts w:cs="Arial"/>
          <w:color w:val="000000" w:themeColor="text1"/>
          <w:szCs w:val="16"/>
        </w:rPr>
        <w:t>None</w:t>
      </w:r>
    </w:p>
    <w:p w14:paraId="024AE3FE" w14:textId="2137BFB6" w:rsidR="007F5071" w:rsidRPr="00781112" w:rsidRDefault="008B2598" w:rsidP="00A22EB9">
      <w:pPr>
        <w:pStyle w:val="Heading3"/>
      </w:pPr>
      <w:r w:rsidRPr="00781112">
        <w:t>10 - OSEP Response</w:t>
      </w:r>
    </w:p>
    <w:p w14:paraId="2E619711" w14:textId="73F005FC" w:rsidR="007C3622" w:rsidRPr="000F63C4" w:rsidRDefault="002B7490" w:rsidP="00314F94">
      <w:pPr>
        <w:pStyle w:val="ListParagraph"/>
        <w:numPr>
          <w:ilvl w:val="0"/>
          <w:numId w:val="210"/>
        </w:numPr>
        <w:rPr>
          <w:b/>
          <w:color w:val="000000" w:themeColor="text1"/>
          <w:szCs w:val="20"/>
        </w:rPr>
      </w:pPr>
      <w:r w:rsidRPr="000F63C4">
        <w:rPr>
          <w:rFonts w:cs="Arial"/>
          <w:color w:val="000000" w:themeColor="text1"/>
          <w:szCs w:val="16"/>
        </w:rPr>
        <w:t>The State has revised the baseline for this indicator, using data from FFY 2020, and OSEP accepts that revision.</w:t>
      </w:r>
    </w:p>
    <w:p w14:paraId="36F60250" w14:textId="2DA858C0" w:rsidR="007F5071" w:rsidRPr="00781112" w:rsidRDefault="007C1BCF" w:rsidP="00A22EB9">
      <w:pPr>
        <w:pStyle w:val="Heading3"/>
      </w:pPr>
      <w:r w:rsidRPr="00781112">
        <w:t xml:space="preserve">10 - </w:t>
      </w:r>
      <w:r w:rsidR="007F5071" w:rsidRPr="00781112">
        <w:t>Required Actions</w:t>
      </w:r>
    </w:p>
    <w:p w14:paraId="1D725795" w14:textId="77777777" w:rsidR="00817775" w:rsidRPr="000F63C4" w:rsidRDefault="002B7490" w:rsidP="00314F94">
      <w:pPr>
        <w:pStyle w:val="ListParagraph"/>
        <w:numPr>
          <w:ilvl w:val="0"/>
          <w:numId w:val="211"/>
        </w:numPr>
        <w:rPr>
          <w:rFonts w:eastAsiaTheme="majorEastAsia" w:cs="Arial"/>
          <w:b/>
          <w:bCs/>
          <w:color w:val="000000" w:themeColor="text1"/>
          <w:szCs w:val="16"/>
        </w:rPr>
      </w:pPr>
      <w:r w:rsidRPr="000F63C4">
        <w:rPr>
          <w:rFonts w:cs="Arial"/>
          <w:color w:val="000000" w:themeColor="text1"/>
          <w:szCs w:val="16"/>
        </w:rPr>
        <w:t>Because the State reported less than 100% compliance for FFY 2020 (greater than 0% actual target data for this indicator), the State must report on the status of correction of noncompliance identified in FFY 2020 for this indicator. The State must demonstrate, in the FFY 2021 SPP/APR, that the district identified in FFY 2020 with disproportionate representation of racial and ethnic groups in specific disability categories that was the result of inappropriate identification is in compliance with the requirements in 34 C.F.R. §§ 300.111, 300.201, and 300.301 through 300.311,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2021 SPP/APR, the State must describe the specific actions that were taken to verify the correction.</w:t>
      </w:r>
    </w:p>
    <w:p w14:paraId="2B0C5DE2" w14:textId="4696AE12" w:rsidR="00102FA3" w:rsidRPr="00817775" w:rsidRDefault="002B7490" w:rsidP="00817775">
      <w:pPr>
        <w:pStyle w:val="ListParagraph"/>
        <w:rPr>
          <w:rFonts w:eastAsiaTheme="majorEastAsia" w:cs="Arial"/>
          <w:b/>
          <w:bCs/>
          <w:color w:val="000000" w:themeColor="text1"/>
          <w:szCs w:val="16"/>
        </w:rPr>
      </w:pPr>
      <w:r w:rsidRPr="00817775">
        <w:rPr>
          <w:rFonts w:cs="Arial"/>
          <w:color w:val="000000" w:themeColor="text1"/>
          <w:szCs w:val="16"/>
        </w:rPr>
        <w:t>If the State did not identify any findings of noncompliance in FFY 2020, although its FFY 2020 data reflect less than 100% compliance (greater than 0% actual target data for this indicator), provide an explanation of why the State did not identify any findings of noncompliance in FFY 2020.</w:t>
      </w:r>
      <w:r w:rsidR="00102FA3" w:rsidRPr="00817775">
        <w:rPr>
          <w:rFonts w:cs="Arial"/>
          <w:color w:val="000000" w:themeColor="text1"/>
          <w:szCs w:val="16"/>
        </w:rPr>
        <w:br w:type="page"/>
      </w:r>
    </w:p>
    <w:p w14:paraId="11F067DF" w14:textId="45BAD1B8" w:rsidR="00D03701" w:rsidRPr="00781112" w:rsidRDefault="00D03701" w:rsidP="008143AB">
      <w:pPr>
        <w:pStyle w:val="Heading2"/>
      </w:pPr>
      <w:r w:rsidRPr="00781112">
        <w:lastRenderedPageBreak/>
        <w:t>Indicator 11: Child Find</w:t>
      </w:r>
      <w:bookmarkEnd w:id="78"/>
      <w:bookmarkEnd w:id="79"/>
      <w:bookmarkEnd w:id="80"/>
    </w:p>
    <w:p w14:paraId="4F5D642D" w14:textId="77777777" w:rsidR="00E119B0" w:rsidRPr="00FD6103" w:rsidRDefault="00E119B0" w:rsidP="00224F9D">
      <w:pPr>
        <w:pStyle w:val="Heading3"/>
        <w:spacing w:before="240"/>
      </w:pPr>
      <w:bookmarkStart w:id="81" w:name="_Toc384383353"/>
      <w:bookmarkStart w:id="82" w:name="_Toc392159321"/>
      <w:r w:rsidRPr="00FD6103">
        <w:t>Instructions and Measurement</w:t>
      </w:r>
    </w:p>
    <w:p w14:paraId="4ECD8CEF" w14:textId="094F874E" w:rsidR="001F3A65" w:rsidRPr="00781112" w:rsidRDefault="001F3A65" w:rsidP="00A22EB9">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5ECE52FB" w:rsidR="003356F1" w:rsidRPr="00781112" w:rsidRDefault="001F3A65" w:rsidP="00A22EB9">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children who were evaluated within 60 days of receiving parental consent for initial evaluation or, if the State establishes a timeframe within which the evaluation must be conducted, within that timeframe.</w:t>
      </w:r>
    </w:p>
    <w:p w14:paraId="3EA48C22" w14:textId="29F5D3F7" w:rsidR="001F3A65" w:rsidRPr="00781112" w:rsidRDefault="001F3A65" w:rsidP="00A22EB9">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224F9D">
      <w:pPr>
        <w:pStyle w:val="Heading4"/>
      </w:pPr>
      <w:r w:rsidRPr="00781112">
        <w:t>Data Source</w:t>
      </w:r>
    </w:p>
    <w:p w14:paraId="3741FEFD" w14:textId="2D50FC3E" w:rsidR="003356F1" w:rsidRPr="00781112" w:rsidRDefault="003356F1" w:rsidP="00A22EB9">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224F9D">
      <w:pPr>
        <w:pStyle w:val="Heading4"/>
      </w:pPr>
      <w:r w:rsidRPr="00781112">
        <w:t>Measurement</w:t>
      </w:r>
    </w:p>
    <w:p w14:paraId="6421FFFB" w14:textId="2F05C893" w:rsidR="003356F1" w:rsidRPr="00FD6103" w:rsidRDefault="003F4D08" w:rsidP="00155DFD">
      <w:pPr>
        <w:pStyle w:val="ListParagraph"/>
        <w:numPr>
          <w:ilvl w:val="0"/>
          <w:numId w:val="29"/>
        </w:numPr>
        <w:spacing w:after="0"/>
        <w:ind w:hanging="180"/>
        <w:rPr>
          <w:rFonts w:eastAsia="Times New Roman" w:cs="Arial"/>
          <w:color w:val="000000" w:themeColor="text1"/>
          <w:szCs w:val="16"/>
        </w:rPr>
      </w:pPr>
      <w:r w:rsidRPr="00FD6103">
        <w:rPr>
          <w:rFonts w:eastAsia="Times New Roman" w:cs="Arial"/>
          <w:color w:val="000000" w:themeColor="text1"/>
          <w:szCs w:val="16"/>
        </w:rPr>
        <w:t xml:space="preserve"># </w:t>
      </w:r>
      <w:proofErr w:type="gramStart"/>
      <w:r w:rsidRPr="00FD6103">
        <w:rPr>
          <w:rFonts w:eastAsia="Times New Roman" w:cs="Arial"/>
          <w:color w:val="000000" w:themeColor="text1"/>
          <w:szCs w:val="16"/>
        </w:rPr>
        <w:t>of</w:t>
      </w:r>
      <w:proofErr w:type="gramEnd"/>
      <w:r w:rsidRPr="00FD6103">
        <w:rPr>
          <w:rFonts w:eastAsia="Times New Roman" w:cs="Arial"/>
          <w:color w:val="000000" w:themeColor="text1"/>
          <w:szCs w:val="16"/>
        </w:rPr>
        <w:t xml:space="preserve"> children for whom parental consent to evaluate was received.</w:t>
      </w:r>
    </w:p>
    <w:p w14:paraId="781E83AA" w14:textId="0A21D39C" w:rsidR="00FD6103" w:rsidRPr="00FD6103" w:rsidRDefault="003F4D08" w:rsidP="00155DFD">
      <w:pPr>
        <w:pStyle w:val="ListParagraph"/>
        <w:numPr>
          <w:ilvl w:val="0"/>
          <w:numId w:val="29"/>
        </w:numPr>
        <w:ind w:left="734" w:hanging="187"/>
        <w:contextualSpacing w:val="0"/>
        <w:rPr>
          <w:rFonts w:eastAsia="Times New Roman" w:cs="Arial"/>
          <w:color w:val="000000" w:themeColor="text1"/>
          <w:szCs w:val="16"/>
        </w:rPr>
      </w:pPr>
      <w:r w:rsidRPr="00FD6103">
        <w:rPr>
          <w:rFonts w:eastAsia="Times New Roman" w:cs="Arial"/>
          <w:color w:val="000000" w:themeColor="text1"/>
          <w:szCs w:val="16"/>
        </w:rPr>
        <w:t xml:space="preserve"># </w:t>
      </w:r>
      <w:proofErr w:type="gramStart"/>
      <w:r w:rsidRPr="00FD6103">
        <w:rPr>
          <w:rFonts w:eastAsia="Times New Roman" w:cs="Arial"/>
          <w:color w:val="000000" w:themeColor="text1"/>
          <w:szCs w:val="16"/>
        </w:rPr>
        <w:t>of</w:t>
      </w:r>
      <w:proofErr w:type="gramEnd"/>
      <w:r w:rsidRPr="00FD6103">
        <w:rPr>
          <w:rFonts w:eastAsia="Times New Roman" w:cs="Arial"/>
          <w:color w:val="000000" w:themeColor="text1"/>
          <w:szCs w:val="16"/>
        </w:rPr>
        <w:t xml:space="preserve"> children whose evaluations were completed within 60 days (or State-established timeline).</w:t>
      </w:r>
    </w:p>
    <w:p w14:paraId="733D8722" w14:textId="4EBFBFF1" w:rsidR="003356F1" w:rsidRPr="00781112" w:rsidRDefault="003356F1" w:rsidP="00FD6103">
      <w:pPr>
        <w:spacing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FD6103">
      <w:pPr>
        <w:spacing w:after="21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224F9D">
      <w:pPr>
        <w:pStyle w:val="Heading4"/>
      </w:pPr>
      <w:r w:rsidRPr="00781112">
        <w:t>Instructions</w:t>
      </w:r>
    </w:p>
    <w:p w14:paraId="3DD8C135" w14:textId="77777777" w:rsidR="003356F1" w:rsidRPr="00781112" w:rsidRDefault="003356F1" w:rsidP="00A22EB9">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are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3F78D968" w14:textId="77777777" w:rsidR="003356F1" w:rsidRPr="00781112" w:rsidRDefault="003356F1" w:rsidP="00A22EB9">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A22EB9">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A22EB9">
      <w:pPr>
        <w:rPr>
          <w:rFonts w:cs="Arial"/>
          <w:color w:val="000000" w:themeColor="text1"/>
          <w:szCs w:val="16"/>
        </w:rPr>
      </w:pPr>
      <w:r w:rsidRPr="00781112">
        <w:rPr>
          <w:rFonts w:cs="Arial"/>
          <w:color w:val="000000" w:themeColor="text1"/>
          <w:szCs w:val="16"/>
        </w:rPr>
        <w:t>Targets must be 100%.</w:t>
      </w:r>
    </w:p>
    <w:p w14:paraId="6E371C53" w14:textId="77777777" w:rsidR="003356F1" w:rsidRPr="00781112" w:rsidRDefault="003356F1" w:rsidP="00A22EB9">
      <w:pPr>
        <w:rPr>
          <w:rFonts w:cs="Arial"/>
          <w:color w:val="000000" w:themeColor="text1"/>
          <w:szCs w:val="16"/>
        </w:rPr>
      </w:pPr>
      <w:r w:rsidRPr="00781112">
        <w:rPr>
          <w:rFonts w:cs="Arial"/>
          <w:color w:val="000000" w:themeColor="text1"/>
          <w:szCs w:val="16"/>
        </w:rPr>
        <w:lastRenderedPageBreak/>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458F1F28" w:rsidR="003356F1" w:rsidRPr="00781112" w:rsidRDefault="007A3964" w:rsidP="00A22EB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CA3F78B" w14:textId="72C271DF" w:rsidR="00DB20BC" w:rsidRPr="00781112" w:rsidRDefault="00C22B92" w:rsidP="00A22EB9">
      <w:pPr>
        <w:pStyle w:val="Heading3"/>
      </w:pPr>
      <w:bookmarkStart w:id="83" w:name="_Toc384383354"/>
      <w:bookmarkStart w:id="84" w:name="_Toc392159322"/>
      <w:bookmarkEnd w:id="81"/>
      <w:bookmarkEnd w:id="82"/>
      <w:r w:rsidRPr="00781112">
        <w:t>11</w:t>
      </w:r>
      <w:r w:rsidR="00596F4D" w:rsidRPr="00781112">
        <w:t xml:space="preserve"> </w:t>
      </w:r>
      <w:r w:rsidRPr="00781112">
        <w:t xml:space="preserve">- </w:t>
      </w:r>
      <w:r w:rsidR="00DB20BC" w:rsidRPr="00781112">
        <w:t>Indicator Data</w:t>
      </w:r>
    </w:p>
    <w:p w14:paraId="7C465821" w14:textId="66B766DE" w:rsidR="00B6413B" w:rsidRPr="00781112" w:rsidRDefault="00B6413B" w:rsidP="00C33455">
      <w:pPr>
        <w:pStyle w:val="Caption"/>
      </w:pPr>
      <w:r w:rsidRPr="00781112">
        <w:t>Historical Data</w:t>
      </w:r>
      <w:r w:rsidR="00472E7C">
        <w:t xml:space="preserve"> (11)</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607"/>
        <w:gridCol w:w="2608"/>
      </w:tblGrid>
      <w:tr w:rsidR="00126B45" w:rsidRPr="00781112" w14:paraId="1E9ECD4B" w14:textId="77777777" w:rsidTr="00FD6103">
        <w:trPr>
          <w:trHeight w:val="432"/>
          <w:tblHeader/>
        </w:trPr>
        <w:tc>
          <w:tcPr>
            <w:tcW w:w="2607" w:type="dxa"/>
            <w:shd w:val="clear" w:color="auto" w:fill="D9D9D9" w:themeFill="background1" w:themeFillShade="D9"/>
            <w:vAlign w:val="center"/>
          </w:tcPr>
          <w:p w14:paraId="7AF55935" w14:textId="77777777" w:rsidR="00126B45" w:rsidRPr="00781112" w:rsidRDefault="00126B45" w:rsidP="00FD6103">
            <w:pPr>
              <w:spacing w:after="0" w:line="276" w:lineRule="auto"/>
              <w:jc w:val="center"/>
              <w:rPr>
                <w:b/>
                <w:color w:val="000000" w:themeColor="text1"/>
              </w:rPr>
            </w:pPr>
            <w:r w:rsidRPr="00781112">
              <w:rPr>
                <w:rFonts w:cs="Arial"/>
                <w:b/>
                <w:color w:val="000000" w:themeColor="text1"/>
                <w:szCs w:val="16"/>
              </w:rPr>
              <w:t>Baseline Year</w:t>
            </w:r>
          </w:p>
        </w:tc>
        <w:tc>
          <w:tcPr>
            <w:tcW w:w="2608" w:type="dxa"/>
            <w:shd w:val="clear" w:color="auto" w:fill="D9D9D9" w:themeFill="background1" w:themeFillShade="D9"/>
            <w:vAlign w:val="center"/>
          </w:tcPr>
          <w:p w14:paraId="316C30F4" w14:textId="77777777" w:rsidR="00126B45" w:rsidRPr="00781112" w:rsidRDefault="00126B45" w:rsidP="00FD6103">
            <w:pPr>
              <w:spacing w:after="0" w:line="276" w:lineRule="auto"/>
              <w:jc w:val="center"/>
              <w:rPr>
                <w:b/>
                <w:color w:val="000000" w:themeColor="text1"/>
              </w:rPr>
            </w:pPr>
            <w:r w:rsidRPr="00781112">
              <w:rPr>
                <w:b/>
                <w:color w:val="000000" w:themeColor="text1"/>
              </w:rPr>
              <w:t>Baseline Data</w:t>
            </w:r>
          </w:p>
        </w:tc>
      </w:tr>
      <w:tr w:rsidR="00126B45" w:rsidRPr="00781112" w14:paraId="1CE17451" w14:textId="77777777" w:rsidTr="00FD6103">
        <w:trPr>
          <w:trHeight w:val="432"/>
        </w:trPr>
        <w:tc>
          <w:tcPr>
            <w:tcW w:w="2607" w:type="dxa"/>
            <w:vAlign w:val="center"/>
          </w:tcPr>
          <w:p w14:paraId="4D36891E" w14:textId="227D3313" w:rsidR="00126B45" w:rsidRPr="00781112" w:rsidRDefault="00126B45" w:rsidP="00FD6103">
            <w:pPr>
              <w:spacing w:after="0" w:line="276" w:lineRule="auto"/>
              <w:jc w:val="center"/>
              <w:rPr>
                <w:bCs/>
                <w:color w:val="000000" w:themeColor="text1"/>
              </w:rPr>
            </w:pPr>
            <w:r w:rsidRPr="00781112">
              <w:rPr>
                <w:bCs/>
                <w:color w:val="000000" w:themeColor="text1"/>
              </w:rPr>
              <w:t>2005</w:t>
            </w:r>
          </w:p>
        </w:tc>
        <w:tc>
          <w:tcPr>
            <w:tcW w:w="2608" w:type="dxa"/>
            <w:vAlign w:val="center"/>
          </w:tcPr>
          <w:p w14:paraId="403719B1" w14:textId="522EF75C" w:rsidR="00126B45" w:rsidRPr="00781112" w:rsidRDefault="00126B45" w:rsidP="00FD6103">
            <w:pPr>
              <w:spacing w:after="0" w:line="276" w:lineRule="auto"/>
              <w:jc w:val="center"/>
              <w:rPr>
                <w:bCs/>
                <w:color w:val="000000" w:themeColor="text1"/>
              </w:rPr>
            </w:pPr>
            <w:r w:rsidRPr="00781112">
              <w:rPr>
                <w:bCs/>
                <w:color w:val="000000" w:themeColor="text1"/>
              </w:rPr>
              <w:t>92.70%</w:t>
            </w:r>
          </w:p>
        </w:tc>
      </w:tr>
    </w:tbl>
    <w:p w14:paraId="27B33360" w14:textId="09DBC3B1" w:rsidR="004F0EE5" w:rsidRPr="004F0EE5" w:rsidRDefault="004F0EE5" w:rsidP="00C33455">
      <w:pPr>
        <w:pStyle w:val="Caption"/>
      </w:pPr>
      <w:r w:rsidRPr="00781112">
        <w:t>Historical Data</w:t>
      </w:r>
      <w:r>
        <w:t xml:space="preserve"> (FFY)</w:t>
      </w:r>
      <w:r w:rsidR="00472E7C">
        <w:t xml:space="preserv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185735BC" w14:textId="77777777" w:rsidTr="00FD6103">
        <w:trPr>
          <w:trHeight w:val="432"/>
        </w:trPr>
        <w:tc>
          <w:tcPr>
            <w:tcW w:w="833" w:type="pct"/>
            <w:tcBorders>
              <w:bottom w:val="single" w:sz="4" w:space="0" w:color="auto"/>
            </w:tcBorders>
            <w:shd w:val="clear" w:color="auto" w:fill="D9D9D9" w:themeFill="background1" w:themeFillShade="D9"/>
            <w:vAlign w:val="center"/>
          </w:tcPr>
          <w:p w14:paraId="40BFC57F" w14:textId="77777777" w:rsidR="00B6413B" w:rsidRPr="00781112" w:rsidRDefault="00B6413B" w:rsidP="00FD6103">
            <w:pPr>
              <w:spacing w:after="0"/>
              <w:jc w:val="center"/>
              <w:rPr>
                <w:rFonts w:cs="Arial"/>
                <w:b/>
                <w:color w:val="000000" w:themeColor="text1"/>
                <w:szCs w:val="16"/>
              </w:rPr>
            </w:pPr>
            <w:r w:rsidRPr="00781112">
              <w:rPr>
                <w:rFonts w:cs="Arial"/>
                <w:b/>
                <w:color w:val="000000" w:themeColor="text1"/>
                <w:szCs w:val="16"/>
              </w:rPr>
              <w:t>FFY</w:t>
            </w:r>
          </w:p>
        </w:tc>
        <w:tc>
          <w:tcPr>
            <w:tcW w:w="833" w:type="pct"/>
            <w:shd w:val="clear" w:color="auto" w:fill="D9D9D9" w:themeFill="background1" w:themeFillShade="D9"/>
            <w:vAlign w:val="center"/>
          </w:tcPr>
          <w:p w14:paraId="180872C1" w14:textId="09E6591B" w:rsidR="00B6413B" w:rsidRPr="00781112" w:rsidRDefault="002B7490" w:rsidP="00FD6103">
            <w:pPr>
              <w:spacing w:after="0"/>
              <w:jc w:val="center"/>
              <w:rPr>
                <w:rFonts w:cs="Arial"/>
                <w:b/>
                <w:color w:val="000000" w:themeColor="text1"/>
                <w:szCs w:val="16"/>
              </w:rPr>
            </w:pPr>
            <w:r w:rsidRPr="00781112">
              <w:rPr>
                <w:rFonts w:cs="Arial"/>
                <w:b/>
                <w:color w:val="000000" w:themeColor="text1"/>
                <w:szCs w:val="16"/>
              </w:rPr>
              <w:t>2015</w:t>
            </w:r>
          </w:p>
        </w:tc>
        <w:tc>
          <w:tcPr>
            <w:tcW w:w="833" w:type="pct"/>
            <w:shd w:val="clear" w:color="auto" w:fill="D9D9D9" w:themeFill="background1" w:themeFillShade="D9"/>
            <w:vAlign w:val="center"/>
          </w:tcPr>
          <w:p w14:paraId="172712E2" w14:textId="17CB7B21" w:rsidR="00B6413B" w:rsidRPr="00781112" w:rsidRDefault="002B7490" w:rsidP="00FD6103">
            <w:pPr>
              <w:spacing w:after="0"/>
              <w:jc w:val="center"/>
              <w:rPr>
                <w:rFonts w:cs="Arial"/>
                <w:b/>
                <w:color w:val="000000" w:themeColor="text1"/>
                <w:szCs w:val="16"/>
              </w:rPr>
            </w:pPr>
            <w:r w:rsidRPr="00781112">
              <w:rPr>
                <w:rFonts w:cs="Arial"/>
                <w:b/>
                <w:color w:val="000000" w:themeColor="text1"/>
                <w:szCs w:val="16"/>
              </w:rPr>
              <w:t>2016</w:t>
            </w:r>
          </w:p>
        </w:tc>
        <w:tc>
          <w:tcPr>
            <w:tcW w:w="833" w:type="pct"/>
            <w:shd w:val="clear" w:color="auto" w:fill="D9D9D9" w:themeFill="background1" w:themeFillShade="D9"/>
            <w:vAlign w:val="center"/>
          </w:tcPr>
          <w:p w14:paraId="510C277D" w14:textId="7361F007" w:rsidR="00B6413B" w:rsidRPr="00781112" w:rsidRDefault="002B7490" w:rsidP="00FD6103">
            <w:pPr>
              <w:spacing w:after="0"/>
              <w:jc w:val="center"/>
              <w:rPr>
                <w:rFonts w:cs="Arial"/>
                <w:b/>
                <w:color w:val="000000" w:themeColor="text1"/>
                <w:szCs w:val="16"/>
              </w:rPr>
            </w:pPr>
            <w:r w:rsidRPr="00781112">
              <w:rPr>
                <w:rFonts w:cs="Arial"/>
                <w:b/>
                <w:color w:val="000000" w:themeColor="text1"/>
                <w:szCs w:val="16"/>
              </w:rPr>
              <w:t>2017</w:t>
            </w:r>
          </w:p>
        </w:tc>
        <w:tc>
          <w:tcPr>
            <w:tcW w:w="833" w:type="pct"/>
            <w:shd w:val="clear" w:color="auto" w:fill="D9D9D9" w:themeFill="background1" w:themeFillShade="D9"/>
            <w:vAlign w:val="center"/>
          </w:tcPr>
          <w:p w14:paraId="5A53D9E0" w14:textId="2FECDD8F" w:rsidR="00B6413B" w:rsidRPr="00781112" w:rsidRDefault="002B7490" w:rsidP="00FD6103">
            <w:pPr>
              <w:spacing w:after="0"/>
              <w:jc w:val="center"/>
              <w:rPr>
                <w:rFonts w:cs="Arial"/>
                <w:b/>
                <w:color w:val="000000" w:themeColor="text1"/>
                <w:szCs w:val="16"/>
              </w:rPr>
            </w:pPr>
            <w:r w:rsidRPr="00781112">
              <w:rPr>
                <w:rFonts w:cs="Arial"/>
                <w:b/>
                <w:color w:val="000000" w:themeColor="text1"/>
                <w:szCs w:val="16"/>
              </w:rPr>
              <w:t>2018</w:t>
            </w:r>
          </w:p>
        </w:tc>
        <w:tc>
          <w:tcPr>
            <w:tcW w:w="834" w:type="pct"/>
            <w:shd w:val="clear" w:color="auto" w:fill="D9D9D9" w:themeFill="background1" w:themeFillShade="D9"/>
            <w:vAlign w:val="center"/>
          </w:tcPr>
          <w:p w14:paraId="5DDA3CB1" w14:textId="7CA07026" w:rsidR="00B6413B" w:rsidRPr="00781112" w:rsidRDefault="002B7490" w:rsidP="00FD6103">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1D8C5E85" w14:textId="77777777" w:rsidTr="00FD6103">
        <w:trPr>
          <w:trHeight w:val="432"/>
        </w:trPr>
        <w:tc>
          <w:tcPr>
            <w:tcW w:w="833" w:type="pct"/>
            <w:shd w:val="clear" w:color="auto" w:fill="auto"/>
            <w:vAlign w:val="center"/>
          </w:tcPr>
          <w:p w14:paraId="64B52232" w14:textId="6B815E3F" w:rsidR="00B6413B" w:rsidRPr="00781112" w:rsidRDefault="00B6413B" w:rsidP="00FD6103">
            <w:pPr>
              <w:spacing w:after="0"/>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13EDBB26" w14:textId="03929D2F" w:rsidR="00B6413B" w:rsidRPr="00781112" w:rsidRDefault="00B16A26" w:rsidP="00FD6103">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22315242" w14:textId="2AA4BC03" w:rsidR="00B6413B" w:rsidRPr="00781112" w:rsidRDefault="00B16A26" w:rsidP="00FD6103">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592D8352" w14:textId="0CCD91D0" w:rsidR="00B6413B" w:rsidRPr="00781112" w:rsidRDefault="00B16A26" w:rsidP="00FD6103">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4213B65B" w14:textId="455FA06B" w:rsidR="00B6413B" w:rsidRPr="00781112" w:rsidRDefault="00B16A26" w:rsidP="00FD6103">
            <w:pPr>
              <w:spacing w:after="0"/>
              <w:jc w:val="center"/>
              <w:rPr>
                <w:rFonts w:cs="Arial"/>
                <w:color w:val="000000" w:themeColor="text1"/>
                <w:szCs w:val="16"/>
              </w:rPr>
            </w:pPr>
            <w:r w:rsidRPr="00781112">
              <w:rPr>
                <w:rFonts w:cs="Arial"/>
                <w:color w:val="000000" w:themeColor="text1"/>
                <w:szCs w:val="16"/>
              </w:rPr>
              <w:t>100%</w:t>
            </w:r>
          </w:p>
        </w:tc>
        <w:tc>
          <w:tcPr>
            <w:tcW w:w="834" w:type="pct"/>
            <w:shd w:val="clear" w:color="auto" w:fill="auto"/>
            <w:vAlign w:val="center"/>
          </w:tcPr>
          <w:p w14:paraId="0947AB89" w14:textId="009A0A22" w:rsidR="00B6413B" w:rsidRPr="00781112" w:rsidRDefault="00B16A26" w:rsidP="00FD6103">
            <w:pPr>
              <w:spacing w:after="0"/>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FD6103">
        <w:trPr>
          <w:trHeight w:val="432"/>
        </w:trPr>
        <w:tc>
          <w:tcPr>
            <w:tcW w:w="833" w:type="pct"/>
            <w:shd w:val="clear" w:color="auto" w:fill="auto"/>
            <w:vAlign w:val="center"/>
          </w:tcPr>
          <w:p w14:paraId="2D12CD30" w14:textId="77777777" w:rsidR="00B6413B" w:rsidRPr="00781112" w:rsidRDefault="00B6413B" w:rsidP="00FD6103">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45567F1B" w14:textId="15BD6387" w:rsidR="00B6413B" w:rsidRPr="00781112" w:rsidRDefault="002B7490" w:rsidP="00FD6103">
            <w:pPr>
              <w:spacing w:after="0"/>
              <w:jc w:val="center"/>
              <w:rPr>
                <w:rFonts w:cs="Arial"/>
                <w:color w:val="000000" w:themeColor="text1"/>
                <w:szCs w:val="16"/>
              </w:rPr>
            </w:pPr>
            <w:r w:rsidRPr="00781112">
              <w:rPr>
                <w:rFonts w:cs="Arial"/>
                <w:color w:val="000000" w:themeColor="text1"/>
                <w:szCs w:val="16"/>
              </w:rPr>
              <w:t>98.95%</w:t>
            </w:r>
          </w:p>
        </w:tc>
        <w:tc>
          <w:tcPr>
            <w:tcW w:w="833" w:type="pct"/>
            <w:shd w:val="clear" w:color="auto" w:fill="auto"/>
            <w:vAlign w:val="center"/>
          </w:tcPr>
          <w:p w14:paraId="22571264" w14:textId="18DEE061" w:rsidR="00B6413B" w:rsidRPr="00781112" w:rsidRDefault="002B7490" w:rsidP="00FD6103">
            <w:pPr>
              <w:spacing w:after="0"/>
              <w:jc w:val="center"/>
              <w:rPr>
                <w:rFonts w:cs="Arial"/>
                <w:color w:val="000000" w:themeColor="text1"/>
                <w:szCs w:val="16"/>
              </w:rPr>
            </w:pPr>
            <w:r w:rsidRPr="00781112">
              <w:rPr>
                <w:rFonts w:cs="Arial"/>
                <w:color w:val="000000" w:themeColor="text1"/>
                <w:szCs w:val="16"/>
              </w:rPr>
              <w:t>99.36%</w:t>
            </w:r>
          </w:p>
        </w:tc>
        <w:tc>
          <w:tcPr>
            <w:tcW w:w="833" w:type="pct"/>
            <w:tcBorders>
              <w:bottom w:val="single" w:sz="4" w:space="0" w:color="auto"/>
            </w:tcBorders>
            <w:shd w:val="clear" w:color="auto" w:fill="auto"/>
            <w:vAlign w:val="center"/>
          </w:tcPr>
          <w:p w14:paraId="0169492B" w14:textId="35C25712" w:rsidR="00B6413B" w:rsidRPr="00781112" w:rsidRDefault="002B7490" w:rsidP="00FD6103">
            <w:pPr>
              <w:spacing w:after="0"/>
              <w:jc w:val="center"/>
              <w:rPr>
                <w:rFonts w:cs="Arial"/>
                <w:color w:val="000000" w:themeColor="text1"/>
                <w:szCs w:val="16"/>
              </w:rPr>
            </w:pPr>
            <w:r w:rsidRPr="00781112">
              <w:rPr>
                <w:rFonts w:cs="Arial"/>
                <w:color w:val="000000" w:themeColor="text1"/>
                <w:szCs w:val="16"/>
              </w:rPr>
              <w:t>99.25%</w:t>
            </w:r>
          </w:p>
        </w:tc>
        <w:tc>
          <w:tcPr>
            <w:tcW w:w="833" w:type="pct"/>
            <w:tcBorders>
              <w:bottom w:val="single" w:sz="4" w:space="0" w:color="auto"/>
            </w:tcBorders>
            <w:shd w:val="clear" w:color="auto" w:fill="auto"/>
            <w:vAlign w:val="center"/>
          </w:tcPr>
          <w:p w14:paraId="3F28AAFF" w14:textId="54CE0344" w:rsidR="00B6413B" w:rsidRPr="00781112" w:rsidRDefault="002B7490" w:rsidP="00FD6103">
            <w:pPr>
              <w:spacing w:after="0"/>
              <w:jc w:val="center"/>
              <w:rPr>
                <w:rFonts w:cs="Arial"/>
                <w:color w:val="000000" w:themeColor="text1"/>
                <w:szCs w:val="16"/>
              </w:rPr>
            </w:pPr>
            <w:r w:rsidRPr="00781112">
              <w:rPr>
                <w:rFonts w:cs="Arial"/>
                <w:color w:val="000000" w:themeColor="text1"/>
                <w:szCs w:val="16"/>
              </w:rPr>
              <w:t>98.85%</w:t>
            </w:r>
          </w:p>
        </w:tc>
        <w:tc>
          <w:tcPr>
            <w:tcW w:w="834" w:type="pct"/>
            <w:tcBorders>
              <w:bottom w:val="single" w:sz="4" w:space="0" w:color="auto"/>
            </w:tcBorders>
            <w:shd w:val="clear" w:color="auto" w:fill="auto"/>
            <w:vAlign w:val="center"/>
          </w:tcPr>
          <w:p w14:paraId="1634D135" w14:textId="4B1B8A56" w:rsidR="00B6413B" w:rsidRPr="00781112" w:rsidRDefault="002B7490" w:rsidP="00FD6103">
            <w:pPr>
              <w:spacing w:after="0"/>
              <w:jc w:val="center"/>
              <w:rPr>
                <w:rFonts w:cs="Arial"/>
                <w:color w:val="000000" w:themeColor="text1"/>
                <w:szCs w:val="16"/>
              </w:rPr>
            </w:pPr>
            <w:r w:rsidRPr="00781112">
              <w:rPr>
                <w:rFonts w:cs="Arial"/>
                <w:color w:val="000000" w:themeColor="text1"/>
                <w:szCs w:val="16"/>
              </w:rPr>
              <w:t>97.45%</w:t>
            </w:r>
          </w:p>
        </w:tc>
      </w:tr>
    </w:tbl>
    <w:p w14:paraId="665BBDF2" w14:textId="37F8D05D" w:rsidR="007A3964" w:rsidRPr="00781112" w:rsidRDefault="007A3964" w:rsidP="00C33455">
      <w:pPr>
        <w:pStyle w:val="Caption"/>
      </w:pPr>
      <w:r w:rsidRPr="00781112">
        <w:t>Targets</w:t>
      </w:r>
      <w:r w:rsidR="00472E7C">
        <w:t xml:space="preserv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targets for federal fiscal years 2020-2025 for this indicator."/>
      </w:tblPr>
      <w:tblGrid>
        <w:gridCol w:w="1074"/>
        <w:gridCol w:w="1618"/>
        <w:gridCol w:w="1618"/>
        <w:gridCol w:w="1621"/>
        <w:gridCol w:w="1619"/>
        <w:gridCol w:w="1619"/>
        <w:gridCol w:w="1621"/>
      </w:tblGrid>
      <w:tr w:rsidR="00487DD1" w:rsidRPr="00781112" w14:paraId="76DFECC2" w14:textId="07DDD47D" w:rsidTr="00FD6103">
        <w:trPr>
          <w:trHeight w:val="432"/>
        </w:trPr>
        <w:tc>
          <w:tcPr>
            <w:tcW w:w="498" w:type="pct"/>
            <w:tcBorders>
              <w:bottom w:val="single" w:sz="4" w:space="0" w:color="auto"/>
            </w:tcBorders>
            <w:shd w:val="clear" w:color="auto" w:fill="D9D9D9" w:themeFill="background1" w:themeFillShade="D9"/>
            <w:vAlign w:val="center"/>
          </w:tcPr>
          <w:p w14:paraId="6892E70C" w14:textId="77777777" w:rsidR="00487DD1" w:rsidRPr="00781112" w:rsidRDefault="00487DD1" w:rsidP="00FD6103">
            <w:pPr>
              <w:spacing w:after="0"/>
              <w:jc w:val="center"/>
              <w:rPr>
                <w:b/>
                <w:color w:val="000000" w:themeColor="text1"/>
              </w:rPr>
            </w:pPr>
            <w:r w:rsidRPr="00781112">
              <w:rPr>
                <w:b/>
                <w:color w:val="000000" w:themeColor="text1"/>
              </w:rPr>
              <w:t>FFY</w:t>
            </w:r>
          </w:p>
        </w:tc>
        <w:tc>
          <w:tcPr>
            <w:tcW w:w="750" w:type="pct"/>
            <w:shd w:val="clear" w:color="auto" w:fill="D9D9D9" w:themeFill="background1" w:themeFillShade="D9"/>
            <w:vAlign w:val="center"/>
          </w:tcPr>
          <w:p w14:paraId="66B6940B" w14:textId="77777777" w:rsidR="00487DD1" w:rsidRPr="00781112" w:rsidRDefault="00487DD1" w:rsidP="00FD6103">
            <w:pPr>
              <w:spacing w:after="0"/>
              <w:jc w:val="center"/>
              <w:rPr>
                <w:b/>
                <w:color w:val="000000" w:themeColor="text1"/>
              </w:rPr>
            </w:pPr>
            <w:r w:rsidRPr="00781112">
              <w:rPr>
                <w:b/>
                <w:color w:val="000000" w:themeColor="text1"/>
              </w:rPr>
              <w:t>2020</w:t>
            </w:r>
          </w:p>
        </w:tc>
        <w:tc>
          <w:tcPr>
            <w:tcW w:w="750" w:type="pct"/>
            <w:shd w:val="clear" w:color="auto" w:fill="D9D9D9" w:themeFill="background1" w:themeFillShade="D9"/>
            <w:vAlign w:val="center"/>
          </w:tcPr>
          <w:p w14:paraId="642D6D44" w14:textId="2A5BD9E4" w:rsidR="00487DD1" w:rsidRPr="00781112" w:rsidRDefault="00487DD1" w:rsidP="00FD6103">
            <w:pPr>
              <w:spacing w:after="0"/>
              <w:jc w:val="center"/>
              <w:rPr>
                <w:b/>
                <w:color w:val="000000" w:themeColor="text1"/>
              </w:rPr>
            </w:pPr>
            <w:r w:rsidRPr="00781112">
              <w:rPr>
                <w:rFonts w:cs="Arial"/>
                <w:b/>
                <w:color w:val="000000" w:themeColor="text1"/>
                <w:szCs w:val="16"/>
              </w:rPr>
              <w:t>2021</w:t>
            </w:r>
          </w:p>
        </w:tc>
        <w:tc>
          <w:tcPr>
            <w:tcW w:w="751" w:type="pct"/>
            <w:shd w:val="clear" w:color="auto" w:fill="D9D9D9" w:themeFill="background1" w:themeFillShade="D9"/>
            <w:vAlign w:val="center"/>
          </w:tcPr>
          <w:p w14:paraId="3DC5C0D5" w14:textId="20C2B807" w:rsidR="00487DD1" w:rsidRPr="00781112" w:rsidRDefault="00487DD1" w:rsidP="00FD6103">
            <w:pPr>
              <w:spacing w:after="0"/>
              <w:jc w:val="center"/>
              <w:rPr>
                <w:b/>
                <w:color w:val="000000" w:themeColor="text1"/>
              </w:rPr>
            </w:pPr>
            <w:r w:rsidRPr="00781112">
              <w:rPr>
                <w:rFonts w:cs="Arial"/>
                <w:b/>
                <w:color w:val="000000" w:themeColor="text1"/>
                <w:szCs w:val="16"/>
              </w:rPr>
              <w:t>2022</w:t>
            </w:r>
          </w:p>
        </w:tc>
        <w:tc>
          <w:tcPr>
            <w:tcW w:w="750" w:type="pct"/>
            <w:shd w:val="clear" w:color="auto" w:fill="D9D9D9" w:themeFill="background1" w:themeFillShade="D9"/>
            <w:vAlign w:val="center"/>
          </w:tcPr>
          <w:p w14:paraId="66836E96" w14:textId="691AA0DC" w:rsidR="00487DD1" w:rsidRPr="00781112" w:rsidRDefault="00487DD1" w:rsidP="00FD6103">
            <w:pPr>
              <w:spacing w:after="0"/>
              <w:jc w:val="center"/>
              <w:rPr>
                <w:b/>
                <w:color w:val="000000" w:themeColor="text1"/>
              </w:rPr>
            </w:pPr>
            <w:r w:rsidRPr="00781112">
              <w:rPr>
                <w:rFonts w:cs="Arial"/>
                <w:b/>
                <w:color w:val="000000" w:themeColor="text1"/>
                <w:szCs w:val="16"/>
              </w:rPr>
              <w:t>2023</w:t>
            </w:r>
          </w:p>
        </w:tc>
        <w:tc>
          <w:tcPr>
            <w:tcW w:w="750" w:type="pct"/>
            <w:shd w:val="clear" w:color="auto" w:fill="D9D9D9" w:themeFill="background1" w:themeFillShade="D9"/>
            <w:vAlign w:val="center"/>
          </w:tcPr>
          <w:p w14:paraId="5B366E12" w14:textId="3D99FA3A" w:rsidR="00487DD1" w:rsidRPr="00781112" w:rsidRDefault="00487DD1" w:rsidP="00FD6103">
            <w:pPr>
              <w:spacing w:after="0"/>
              <w:jc w:val="center"/>
              <w:rPr>
                <w:b/>
                <w:color w:val="000000" w:themeColor="text1"/>
              </w:rPr>
            </w:pPr>
            <w:r w:rsidRPr="00781112">
              <w:rPr>
                <w:rFonts w:cs="Arial"/>
                <w:b/>
                <w:color w:val="000000" w:themeColor="text1"/>
                <w:szCs w:val="16"/>
              </w:rPr>
              <w:t>2024</w:t>
            </w:r>
          </w:p>
        </w:tc>
        <w:tc>
          <w:tcPr>
            <w:tcW w:w="751" w:type="pct"/>
            <w:shd w:val="clear" w:color="auto" w:fill="D9D9D9" w:themeFill="background1" w:themeFillShade="D9"/>
            <w:vAlign w:val="center"/>
          </w:tcPr>
          <w:p w14:paraId="522992DD" w14:textId="572168E6" w:rsidR="00487DD1" w:rsidRPr="00781112" w:rsidRDefault="00487DD1" w:rsidP="00FD6103">
            <w:pPr>
              <w:spacing w:after="0"/>
              <w:jc w:val="center"/>
              <w:rPr>
                <w:b/>
                <w:color w:val="000000" w:themeColor="text1"/>
              </w:rPr>
            </w:pPr>
            <w:r w:rsidRPr="00781112">
              <w:rPr>
                <w:rFonts w:cs="Arial"/>
                <w:b/>
                <w:color w:val="000000" w:themeColor="text1"/>
                <w:szCs w:val="16"/>
              </w:rPr>
              <w:t>2025</w:t>
            </w:r>
          </w:p>
        </w:tc>
      </w:tr>
      <w:tr w:rsidR="00487DD1" w:rsidRPr="00781112" w14:paraId="3EC10007" w14:textId="1FF3F876" w:rsidTr="00FD6103">
        <w:trPr>
          <w:trHeight w:val="432"/>
        </w:trPr>
        <w:tc>
          <w:tcPr>
            <w:tcW w:w="498" w:type="pct"/>
            <w:shd w:val="clear" w:color="auto" w:fill="auto"/>
            <w:vAlign w:val="center"/>
          </w:tcPr>
          <w:p w14:paraId="078AD14E" w14:textId="5D09784B" w:rsidR="00487DD1" w:rsidRPr="00781112" w:rsidRDefault="00487DD1" w:rsidP="00FD6103">
            <w:pPr>
              <w:spacing w:after="0"/>
              <w:jc w:val="center"/>
              <w:rPr>
                <w:rFonts w:cs="Arial"/>
                <w:color w:val="000000" w:themeColor="text1"/>
                <w:szCs w:val="16"/>
              </w:rPr>
            </w:pPr>
            <w:r w:rsidRPr="00781112">
              <w:rPr>
                <w:rFonts w:cs="Arial"/>
                <w:color w:val="000000" w:themeColor="text1"/>
                <w:szCs w:val="16"/>
              </w:rPr>
              <w:t>Target</w:t>
            </w:r>
          </w:p>
        </w:tc>
        <w:tc>
          <w:tcPr>
            <w:tcW w:w="750" w:type="pct"/>
            <w:shd w:val="clear" w:color="auto" w:fill="auto"/>
            <w:vAlign w:val="center"/>
          </w:tcPr>
          <w:p w14:paraId="738C5681" w14:textId="308364FD" w:rsidR="00487DD1" w:rsidRPr="00781112" w:rsidRDefault="00487DD1" w:rsidP="00FD6103">
            <w:pPr>
              <w:spacing w:after="0"/>
              <w:jc w:val="center"/>
              <w:rPr>
                <w:rFonts w:cs="Arial"/>
                <w:color w:val="000000" w:themeColor="text1"/>
                <w:szCs w:val="16"/>
              </w:rPr>
            </w:pPr>
            <w:r w:rsidRPr="00781112">
              <w:rPr>
                <w:rFonts w:cs="Arial"/>
                <w:color w:val="000000" w:themeColor="text1"/>
                <w:szCs w:val="16"/>
              </w:rPr>
              <w:t>100%</w:t>
            </w:r>
          </w:p>
        </w:tc>
        <w:tc>
          <w:tcPr>
            <w:tcW w:w="750" w:type="pct"/>
            <w:vAlign w:val="center"/>
          </w:tcPr>
          <w:p w14:paraId="6D8F87FA" w14:textId="469699AF" w:rsidR="00487DD1" w:rsidRPr="00781112" w:rsidRDefault="00487DD1" w:rsidP="00FD6103">
            <w:pPr>
              <w:spacing w:after="0"/>
              <w:jc w:val="center"/>
              <w:rPr>
                <w:rFonts w:cs="Arial"/>
                <w:color w:val="000000" w:themeColor="text1"/>
                <w:szCs w:val="16"/>
              </w:rPr>
            </w:pPr>
            <w:r w:rsidRPr="00781112">
              <w:rPr>
                <w:color w:val="000000" w:themeColor="text1"/>
                <w:szCs w:val="16"/>
              </w:rPr>
              <w:t>100%</w:t>
            </w:r>
          </w:p>
        </w:tc>
        <w:tc>
          <w:tcPr>
            <w:tcW w:w="751" w:type="pct"/>
            <w:vAlign w:val="center"/>
          </w:tcPr>
          <w:p w14:paraId="36607C1B" w14:textId="54CF66D1" w:rsidR="00487DD1" w:rsidRPr="00781112" w:rsidRDefault="00487DD1" w:rsidP="00FD6103">
            <w:pPr>
              <w:spacing w:after="0"/>
              <w:jc w:val="center"/>
              <w:rPr>
                <w:rFonts w:cs="Arial"/>
                <w:color w:val="000000" w:themeColor="text1"/>
                <w:szCs w:val="16"/>
              </w:rPr>
            </w:pPr>
            <w:r w:rsidRPr="00781112">
              <w:rPr>
                <w:color w:val="000000" w:themeColor="text1"/>
                <w:szCs w:val="16"/>
              </w:rPr>
              <w:t>100%</w:t>
            </w:r>
          </w:p>
        </w:tc>
        <w:tc>
          <w:tcPr>
            <w:tcW w:w="750" w:type="pct"/>
            <w:vAlign w:val="center"/>
          </w:tcPr>
          <w:p w14:paraId="2E85DC12" w14:textId="59499407" w:rsidR="00487DD1" w:rsidRPr="00781112" w:rsidRDefault="00487DD1" w:rsidP="00FD6103">
            <w:pPr>
              <w:spacing w:after="0"/>
              <w:jc w:val="center"/>
              <w:rPr>
                <w:rFonts w:cs="Arial"/>
                <w:color w:val="000000" w:themeColor="text1"/>
                <w:szCs w:val="16"/>
              </w:rPr>
            </w:pPr>
            <w:r w:rsidRPr="00781112">
              <w:rPr>
                <w:color w:val="000000" w:themeColor="text1"/>
                <w:szCs w:val="16"/>
              </w:rPr>
              <w:t>100%</w:t>
            </w:r>
          </w:p>
        </w:tc>
        <w:tc>
          <w:tcPr>
            <w:tcW w:w="750" w:type="pct"/>
            <w:vAlign w:val="center"/>
          </w:tcPr>
          <w:p w14:paraId="60586439" w14:textId="48E3304A" w:rsidR="00487DD1" w:rsidRPr="00781112" w:rsidRDefault="00487DD1" w:rsidP="00FD6103">
            <w:pPr>
              <w:spacing w:after="0"/>
              <w:jc w:val="center"/>
              <w:rPr>
                <w:rFonts w:cs="Arial"/>
                <w:color w:val="000000" w:themeColor="text1"/>
                <w:szCs w:val="16"/>
              </w:rPr>
            </w:pPr>
            <w:r w:rsidRPr="00781112">
              <w:rPr>
                <w:color w:val="000000" w:themeColor="text1"/>
                <w:szCs w:val="16"/>
              </w:rPr>
              <w:t>100%</w:t>
            </w:r>
          </w:p>
        </w:tc>
        <w:tc>
          <w:tcPr>
            <w:tcW w:w="751" w:type="pct"/>
            <w:vAlign w:val="center"/>
          </w:tcPr>
          <w:p w14:paraId="3A09B5B3" w14:textId="439C3E47" w:rsidR="00487DD1" w:rsidRPr="00781112" w:rsidRDefault="00487DD1" w:rsidP="00FD6103">
            <w:pPr>
              <w:spacing w:after="0"/>
              <w:jc w:val="center"/>
              <w:rPr>
                <w:rFonts w:cs="Arial"/>
                <w:color w:val="000000" w:themeColor="text1"/>
                <w:szCs w:val="16"/>
              </w:rPr>
            </w:pPr>
            <w:r w:rsidRPr="00781112">
              <w:rPr>
                <w:color w:val="000000" w:themeColor="text1"/>
                <w:szCs w:val="16"/>
              </w:rPr>
              <w:t>100%</w:t>
            </w:r>
          </w:p>
        </w:tc>
      </w:tr>
    </w:tbl>
    <w:p w14:paraId="3FAEB3AB" w14:textId="34DB8C8E" w:rsidR="00D03701" w:rsidRPr="00781112" w:rsidRDefault="00F6415A" w:rsidP="00C33455">
      <w:pPr>
        <w:pStyle w:val="Caption"/>
      </w:pPr>
      <w:r w:rsidRPr="00781112">
        <w:t>FFY 2020 SPP/APR Data</w:t>
      </w:r>
      <w:bookmarkEnd w:id="83"/>
      <w:bookmarkEnd w:id="84"/>
      <w:r w:rsidR="00C578AE">
        <w:t xml:space="preserv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2113"/>
        <w:gridCol w:w="2113"/>
        <w:gridCol w:w="1260"/>
        <w:gridCol w:w="1260"/>
        <w:gridCol w:w="1260"/>
        <w:gridCol w:w="1530"/>
        <w:gridCol w:w="1254"/>
      </w:tblGrid>
      <w:tr w:rsidR="00FD6103" w:rsidRPr="00781112" w14:paraId="4D51CA61" w14:textId="77777777" w:rsidTr="00FD6103">
        <w:trPr>
          <w:trHeight w:val="2717"/>
          <w:tblHeader/>
        </w:trPr>
        <w:tc>
          <w:tcPr>
            <w:tcW w:w="979" w:type="pct"/>
            <w:shd w:val="clear" w:color="auto" w:fill="D9D9D9" w:themeFill="background1" w:themeFillShade="D9"/>
            <w:vAlign w:val="center"/>
          </w:tcPr>
          <w:p w14:paraId="2C2F9079" w14:textId="77777777" w:rsidR="003356F1" w:rsidRPr="00781112" w:rsidRDefault="003356F1" w:rsidP="00FD6103">
            <w:pPr>
              <w:spacing w:after="0"/>
              <w:jc w:val="center"/>
              <w:rPr>
                <w:rFonts w:cs="Arial"/>
                <w:b/>
                <w:color w:val="000000" w:themeColor="text1"/>
                <w:szCs w:val="16"/>
              </w:rPr>
            </w:pPr>
            <w:r w:rsidRPr="00781112">
              <w:rPr>
                <w:rFonts w:cs="Arial"/>
                <w:b/>
                <w:color w:val="000000" w:themeColor="text1"/>
                <w:szCs w:val="16"/>
              </w:rPr>
              <w:t>(a) Number of children for whom parental consent to evaluate was received</w:t>
            </w:r>
          </w:p>
        </w:tc>
        <w:tc>
          <w:tcPr>
            <w:tcW w:w="979" w:type="pct"/>
            <w:shd w:val="clear" w:color="auto" w:fill="D9D9D9" w:themeFill="background1" w:themeFillShade="D9"/>
            <w:vAlign w:val="center"/>
          </w:tcPr>
          <w:p w14:paraId="37C63445" w14:textId="77777777" w:rsidR="003356F1" w:rsidRPr="00781112" w:rsidRDefault="003356F1" w:rsidP="00FD6103">
            <w:pPr>
              <w:spacing w:after="0"/>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584" w:type="pct"/>
            <w:shd w:val="clear" w:color="auto" w:fill="D9D9D9" w:themeFill="background1" w:themeFillShade="D9"/>
            <w:vAlign w:val="center"/>
          </w:tcPr>
          <w:p w14:paraId="0F3587FA" w14:textId="235A534D" w:rsidR="003356F1" w:rsidRPr="00781112" w:rsidRDefault="00F6415A" w:rsidP="00FD6103">
            <w:pPr>
              <w:spacing w:after="0"/>
              <w:jc w:val="center"/>
              <w:rPr>
                <w:rFonts w:cs="Arial"/>
                <w:b/>
                <w:color w:val="000000" w:themeColor="text1"/>
                <w:szCs w:val="16"/>
              </w:rPr>
            </w:pPr>
            <w:r w:rsidRPr="00781112">
              <w:rPr>
                <w:rFonts w:cs="Arial"/>
                <w:b/>
                <w:color w:val="000000" w:themeColor="text1"/>
                <w:szCs w:val="16"/>
              </w:rPr>
              <w:t>FFY 2019 Data</w:t>
            </w:r>
          </w:p>
        </w:tc>
        <w:tc>
          <w:tcPr>
            <w:tcW w:w="584" w:type="pct"/>
            <w:shd w:val="clear" w:color="auto" w:fill="D9D9D9" w:themeFill="background1" w:themeFillShade="D9"/>
            <w:vAlign w:val="center"/>
          </w:tcPr>
          <w:p w14:paraId="46349806" w14:textId="5B3A7229" w:rsidR="003356F1" w:rsidRPr="00781112" w:rsidRDefault="00F6415A" w:rsidP="00FD6103">
            <w:pPr>
              <w:spacing w:after="0"/>
              <w:jc w:val="center"/>
              <w:rPr>
                <w:rFonts w:cs="Arial"/>
                <w:b/>
                <w:color w:val="000000" w:themeColor="text1"/>
                <w:szCs w:val="16"/>
              </w:rPr>
            </w:pPr>
            <w:r w:rsidRPr="00781112">
              <w:rPr>
                <w:rFonts w:cs="Arial"/>
                <w:b/>
                <w:color w:val="000000" w:themeColor="text1"/>
                <w:szCs w:val="16"/>
              </w:rPr>
              <w:t>FFY 2020 Target</w:t>
            </w:r>
          </w:p>
        </w:tc>
        <w:tc>
          <w:tcPr>
            <w:tcW w:w="584" w:type="pct"/>
            <w:shd w:val="clear" w:color="auto" w:fill="D9D9D9" w:themeFill="background1" w:themeFillShade="D9"/>
            <w:vAlign w:val="center"/>
          </w:tcPr>
          <w:p w14:paraId="789B0350" w14:textId="6C3A69C8" w:rsidR="003356F1" w:rsidRPr="00781112" w:rsidRDefault="00F6415A" w:rsidP="00FD6103">
            <w:pPr>
              <w:spacing w:after="0"/>
              <w:jc w:val="center"/>
              <w:rPr>
                <w:rFonts w:cs="Arial"/>
                <w:b/>
                <w:color w:val="000000" w:themeColor="text1"/>
                <w:szCs w:val="16"/>
              </w:rPr>
            </w:pPr>
            <w:r w:rsidRPr="00781112">
              <w:rPr>
                <w:rFonts w:cs="Arial"/>
                <w:b/>
                <w:color w:val="000000" w:themeColor="text1"/>
                <w:szCs w:val="16"/>
              </w:rPr>
              <w:t>FFY 2020 Data</w:t>
            </w:r>
          </w:p>
        </w:tc>
        <w:tc>
          <w:tcPr>
            <w:tcW w:w="709" w:type="pct"/>
            <w:shd w:val="clear" w:color="auto" w:fill="D9D9D9" w:themeFill="background1" w:themeFillShade="D9"/>
            <w:vAlign w:val="center"/>
          </w:tcPr>
          <w:p w14:paraId="1F8A5D0B" w14:textId="1CA25A33" w:rsidR="003356F1" w:rsidRPr="00781112" w:rsidRDefault="003356F1" w:rsidP="00FD6103">
            <w:pPr>
              <w:spacing w:after="0"/>
              <w:jc w:val="center"/>
              <w:rPr>
                <w:rFonts w:cs="Arial"/>
                <w:b/>
                <w:color w:val="000000" w:themeColor="text1"/>
                <w:szCs w:val="16"/>
              </w:rPr>
            </w:pPr>
            <w:r w:rsidRPr="00781112">
              <w:rPr>
                <w:rFonts w:cs="Arial"/>
                <w:b/>
                <w:color w:val="000000" w:themeColor="text1"/>
                <w:szCs w:val="16"/>
              </w:rPr>
              <w:t>Status</w:t>
            </w:r>
          </w:p>
        </w:tc>
        <w:tc>
          <w:tcPr>
            <w:tcW w:w="581" w:type="pct"/>
            <w:shd w:val="clear" w:color="auto" w:fill="D9D9D9" w:themeFill="background1" w:themeFillShade="D9"/>
            <w:vAlign w:val="center"/>
          </w:tcPr>
          <w:p w14:paraId="072F67FA" w14:textId="0AF25FE9" w:rsidR="003356F1" w:rsidRPr="00781112" w:rsidRDefault="003356F1" w:rsidP="00FD6103">
            <w:pPr>
              <w:spacing w:after="0"/>
              <w:jc w:val="center"/>
              <w:rPr>
                <w:rFonts w:cs="Arial"/>
                <w:b/>
                <w:color w:val="000000" w:themeColor="text1"/>
                <w:szCs w:val="16"/>
              </w:rPr>
            </w:pPr>
            <w:r w:rsidRPr="00781112">
              <w:rPr>
                <w:rFonts w:cs="Arial"/>
                <w:b/>
                <w:color w:val="000000" w:themeColor="text1"/>
                <w:szCs w:val="16"/>
              </w:rPr>
              <w:t>Slippage</w:t>
            </w:r>
          </w:p>
        </w:tc>
      </w:tr>
      <w:tr w:rsidR="00FD6103" w:rsidRPr="00781112" w14:paraId="601FAE62" w14:textId="77777777" w:rsidTr="00FD6103">
        <w:tblPrEx>
          <w:jc w:val="center"/>
        </w:tblPrEx>
        <w:trPr>
          <w:trHeight w:val="361"/>
          <w:jc w:val="center"/>
        </w:trPr>
        <w:tc>
          <w:tcPr>
            <w:tcW w:w="979" w:type="pct"/>
            <w:shd w:val="clear" w:color="auto" w:fill="auto"/>
            <w:vAlign w:val="center"/>
          </w:tcPr>
          <w:p w14:paraId="40E44618" w14:textId="45B3AEC4" w:rsidR="00227DE4" w:rsidRPr="00781112" w:rsidRDefault="002B7490" w:rsidP="00FD6103">
            <w:pPr>
              <w:spacing w:after="0"/>
              <w:jc w:val="center"/>
              <w:rPr>
                <w:rFonts w:cs="Arial"/>
                <w:color w:val="000000" w:themeColor="text1"/>
                <w:szCs w:val="16"/>
              </w:rPr>
            </w:pPr>
            <w:r w:rsidRPr="00781112">
              <w:rPr>
                <w:rFonts w:cs="Arial"/>
                <w:color w:val="000000" w:themeColor="text1"/>
                <w:szCs w:val="16"/>
              </w:rPr>
              <w:t>19,962</w:t>
            </w:r>
          </w:p>
        </w:tc>
        <w:tc>
          <w:tcPr>
            <w:tcW w:w="979" w:type="pct"/>
            <w:shd w:val="clear" w:color="auto" w:fill="auto"/>
            <w:vAlign w:val="center"/>
          </w:tcPr>
          <w:p w14:paraId="12D46373" w14:textId="70B5728E" w:rsidR="00227DE4" w:rsidRPr="00781112" w:rsidRDefault="002B7490" w:rsidP="00FD6103">
            <w:pPr>
              <w:spacing w:after="0"/>
              <w:jc w:val="center"/>
              <w:rPr>
                <w:rFonts w:cs="Arial"/>
                <w:color w:val="000000" w:themeColor="text1"/>
                <w:szCs w:val="16"/>
              </w:rPr>
            </w:pPr>
            <w:r w:rsidRPr="00781112">
              <w:rPr>
                <w:rFonts w:cs="Arial"/>
                <w:color w:val="000000" w:themeColor="text1"/>
                <w:szCs w:val="16"/>
              </w:rPr>
              <w:t>18,696</w:t>
            </w:r>
          </w:p>
        </w:tc>
        <w:tc>
          <w:tcPr>
            <w:tcW w:w="584" w:type="pct"/>
            <w:shd w:val="clear" w:color="auto" w:fill="auto"/>
            <w:vAlign w:val="center"/>
          </w:tcPr>
          <w:p w14:paraId="78F7DC6F" w14:textId="0C25E273" w:rsidR="00227DE4" w:rsidRPr="00781112" w:rsidRDefault="002B7490" w:rsidP="00FD6103">
            <w:pPr>
              <w:spacing w:after="0"/>
              <w:jc w:val="center"/>
              <w:rPr>
                <w:rFonts w:cs="Arial"/>
                <w:color w:val="000000" w:themeColor="text1"/>
                <w:szCs w:val="16"/>
              </w:rPr>
            </w:pPr>
            <w:r w:rsidRPr="00781112">
              <w:rPr>
                <w:rFonts w:cs="Arial"/>
                <w:color w:val="000000" w:themeColor="text1"/>
                <w:szCs w:val="16"/>
              </w:rPr>
              <w:t>97.45%</w:t>
            </w:r>
          </w:p>
        </w:tc>
        <w:tc>
          <w:tcPr>
            <w:tcW w:w="584" w:type="pct"/>
            <w:shd w:val="clear" w:color="auto" w:fill="auto"/>
            <w:vAlign w:val="center"/>
          </w:tcPr>
          <w:p w14:paraId="57D08E3A" w14:textId="02A6843C" w:rsidR="00227DE4" w:rsidRPr="00781112" w:rsidRDefault="00B16A26" w:rsidP="00FD6103">
            <w:pPr>
              <w:spacing w:after="0"/>
              <w:jc w:val="center"/>
              <w:rPr>
                <w:rFonts w:cs="Arial"/>
                <w:color w:val="000000" w:themeColor="text1"/>
                <w:szCs w:val="16"/>
              </w:rPr>
            </w:pPr>
            <w:r w:rsidRPr="00781112">
              <w:rPr>
                <w:rFonts w:cs="Arial"/>
                <w:color w:val="000000" w:themeColor="text1"/>
                <w:szCs w:val="16"/>
              </w:rPr>
              <w:t>100%</w:t>
            </w:r>
          </w:p>
        </w:tc>
        <w:tc>
          <w:tcPr>
            <w:tcW w:w="584" w:type="pct"/>
            <w:shd w:val="clear" w:color="auto" w:fill="auto"/>
            <w:vAlign w:val="center"/>
          </w:tcPr>
          <w:p w14:paraId="76ED234E" w14:textId="0761C4C5" w:rsidR="00227DE4" w:rsidRPr="00781112" w:rsidRDefault="002B7490" w:rsidP="00FD6103">
            <w:pPr>
              <w:spacing w:after="0"/>
              <w:jc w:val="center"/>
              <w:rPr>
                <w:rFonts w:cs="Arial"/>
                <w:color w:val="000000" w:themeColor="text1"/>
                <w:szCs w:val="16"/>
              </w:rPr>
            </w:pPr>
            <w:r w:rsidRPr="00781112">
              <w:rPr>
                <w:rFonts w:cs="Arial"/>
                <w:color w:val="000000" w:themeColor="text1"/>
                <w:szCs w:val="16"/>
              </w:rPr>
              <w:t>93.66%</w:t>
            </w:r>
          </w:p>
        </w:tc>
        <w:tc>
          <w:tcPr>
            <w:tcW w:w="709" w:type="pct"/>
            <w:shd w:val="clear" w:color="auto" w:fill="auto"/>
            <w:vAlign w:val="center"/>
          </w:tcPr>
          <w:p w14:paraId="0270582F" w14:textId="73E1CA33" w:rsidR="00227DE4" w:rsidRPr="00781112" w:rsidRDefault="002B7490" w:rsidP="00FD6103">
            <w:pPr>
              <w:spacing w:after="0"/>
              <w:jc w:val="center"/>
              <w:rPr>
                <w:rFonts w:cs="Arial"/>
                <w:color w:val="000000" w:themeColor="text1"/>
                <w:szCs w:val="16"/>
              </w:rPr>
            </w:pPr>
            <w:r w:rsidRPr="00781112">
              <w:rPr>
                <w:rFonts w:cs="Arial"/>
                <w:color w:val="000000" w:themeColor="text1"/>
                <w:szCs w:val="16"/>
              </w:rPr>
              <w:t>Did not meet target</w:t>
            </w:r>
          </w:p>
        </w:tc>
        <w:tc>
          <w:tcPr>
            <w:tcW w:w="581" w:type="pct"/>
            <w:shd w:val="clear" w:color="auto" w:fill="auto"/>
            <w:vAlign w:val="center"/>
          </w:tcPr>
          <w:p w14:paraId="2AF3A578" w14:textId="64369F07" w:rsidR="00227DE4" w:rsidRPr="00781112" w:rsidRDefault="002B7490" w:rsidP="00FD6103">
            <w:pPr>
              <w:spacing w:after="0"/>
              <w:jc w:val="center"/>
              <w:rPr>
                <w:rFonts w:cs="Arial"/>
                <w:color w:val="000000" w:themeColor="text1"/>
                <w:szCs w:val="16"/>
              </w:rPr>
            </w:pPr>
            <w:r w:rsidRPr="00781112">
              <w:rPr>
                <w:rFonts w:cs="Arial"/>
                <w:color w:val="000000" w:themeColor="text1"/>
                <w:szCs w:val="16"/>
              </w:rPr>
              <w:t>Slippage</w:t>
            </w:r>
          </w:p>
        </w:tc>
      </w:tr>
    </w:tbl>
    <w:p w14:paraId="67AFAA7F" w14:textId="77777777" w:rsidR="00FD6103" w:rsidRDefault="00FD6103">
      <w:pPr>
        <w:spacing w:after="200"/>
        <w:rPr>
          <w:rFonts w:cs="Arial"/>
          <w:b/>
          <w:color w:val="000000" w:themeColor="text1"/>
          <w:szCs w:val="16"/>
        </w:rPr>
      </w:pPr>
      <w:r>
        <w:rPr>
          <w:rFonts w:cs="Arial"/>
          <w:b/>
          <w:color w:val="000000" w:themeColor="text1"/>
          <w:szCs w:val="16"/>
        </w:rPr>
        <w:br w:type="page"/>
      </w:r>
    </w:p>
    <w:p w14:paraId="5D46E0B7" w14:textId="1CB85C0A" w:rsidR="00BC682D" w:rsidRPr="00781112" w:rsidRDefault="00481536" w:rsidP="00FD6103">
      <w:pPr>
        <w:spacing w:before="240"/>
        <w:rPr>
          <w:rFonts w:cs="Arial"/>
          <w:b/>
          <w:i/>
          <w:color w:val="000000" w:themeColor="text1"/>
          <w:szCs w:val="16"/>
        </w:rPr>
      </w:pPr>
      <w:r w:rsidRPr="00781112">
        <w:rPr>
          <w:rFonts w:cs="Arial"/>
          <w:b/>
          <w:color w:val="000000" w:themeColor="text1"/>
          <w:szCs w:val="16"/>
        </w:rPr>
        <w:lastRenderedPageBreak/>
        <w:t>Provide reasons for slippage</w:t>
      </w:r>
    </w:p>
    <w:p w14:paraId="1CA4022B" w14:textId="73E50EE0" w:rsidR="00481536" w:rsidRPr="000F63C4" w:rsidRDefault="002B7490" w:rsidP="00314F94">
      <w:pPr>
        <w:pStyle w:val="ListParagraph"/>
        <w:numPr>
          <w:ilvl w:val="0"/>
          <w:numId w:val="212"/>
        </w:numPr>
        <w:rPr>
          <w:rFonts w:cs="Arial"/>
          <w:color w:val="000000" w:themeColor="text1"/>
          <w:szCs w:val="16"/>
        </w:rPr>
      </w:pPr>
      <w:r w:rsidRPr="000F63C4">
        <w:rPr>
          <w:rFonts w:cs="Arial"/>
          <w:color w:val="000000" w:themeColor="text1"/>
          <w:szCs w:val="16"/>
        </w:rPr>
        <w:t xml:space="preserve">School districts continued to be impacted by the effects of COVID-19 during the 2020-2021 school year. School districts determined the format(s) of instruction offered to students to include an in-person instruction, a fully virtual instruction option, and a hybrid option in which students participated in a combination of in-person and virtual instruction. The VDOE issued guidance that reinforced the requirement that school districts must continue to accept referrals for evaluations for special education and timelines still applied. The VDOE also shared similar guidance from the U. S. Department of Education with school districts as available. Some school districts met challenges with the logistics of completing evaluations and conducting eligibility meetings on time. These challenges included: gaining access to students either in person or virtually </w:t>
      </w:r>
      <w:proofErr w:type="gramStart"/>
      <w:r w:rsidRPr="000F63C4">
        <w:rPr>
          <w:rFonts w:cs="Arial"/>
          <w:color w:val="000000" w:themeColor="text1"/>
          <w:szCs w:val="16"/>
        </w:rPr>
        <w:t>in order to</w:t>
      </w:r>
      <w:proofErr w:type="gramEnd"/>
      <w:r w:rsidRPr="000F63C4">
        <w:rPr>
          <w:rFonts w:cs="Arial"/>
          <w:color w:val="000000" w:themeColor="text1"/>
          <w:szCs w:val="16"/>
        </w:rPr>
        <w:t xml:space="preserve"> conduct evaluations; access to evaluation instruments that could be conducted in a virtual setting while meeting test instrument standardization; and frequent student and staff absences due to illness and/or quarantine impacted both the staff's ability to conduct evaluations in a timely manner and to conduct meetings with the required team participants. These challenges negatively impacted the number of children whose evaluations and eligibility determinations were completed within the State-established timeline.</w:t>
      </w:r>
    </w:p>
    <w:p w14:paraId="00FCD0E7" w14:textId="5068539E" w:rsidR="00596F83" w:rsidRPr="00781112" w:rsidRDefault="00596F83" w:rsidP="00A22EB9">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0F63C4" w:rsidRDefault="00596F83" w:rsidP="00314F94">
      <w:pPr>
        <w:pStyle w:val="ListParagraph"/>
        <w:numPr>
          <w:ilvl w:val="0"/>
          <w:numId w:val="213"/>
        </w:numPr>
        <w:rPr>
          <w:rFonts w:cs="Arial"/>
          <w:color w:val="000000" w:themeColor="text1"/>
          <w:szCs w:val="16"/>
        </w:rPr>
      </w:pPr>
      <w:r w:rsidRPr="000F63C4">
        <w:rPr>
          <w:rFonts w:cs="Arial"/>
          <w:color w:val="000000" w:themeColor="text1"/>
          <w:szCs w:val="16"/>
        </w:rPr>
        <w:t>1,266</w:t>
      </w:r>
    </w:p>
    <w:p w14:paraId="59300647" w14:textId="301BC4BA" w:rsidR="00E418E6" w:rsidRPr="00781112" w:rsidRDefault="00481536" w:rsidP="00A22EB9">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15550054" w14:textId="77777777" w:rsidR="00FD6103" w:rsidRPr="000F63C4" w:rsidRDefault="002B7490" w:rsidP="00314F94">
      <w:pPr>
        <w:pStyle w:val="ListParagraph"/>
        <w:numPr>
          <w:ilvl w:val="0"/>
          <w:numId w:val="214"/>
        </w:numPr>
        <w:rPr>
          <w:color w:val="000000" w:themeColor="text1"/>
        </w:rPr>
      </w:pPr>
      <w:r w:rsidRPr="000F63C4">
        <w:rPr>
          <w:color w:val="000000" w:themeColor="text1"/>
        </w:rPr>
        <w:t xml:space="preserve">Number of students / (Range of business days beyond required timeline) </w:t>
      </w:r>
    </w:p>
    <w:p w14:paraId="70B24B52" w14:textId="0A74F8CC" w:rsidR="00FD6103" w:rsidRPr="00FD6103" w:rsidRDefault="002B7490" w:rsidP="003C00E3">
      <w:pPr>
        <w:pStyle w:val="ListParagraph"/>
        <w:numPr>
          <w:ilvl w:val="0"/>
          <w:numId w:val="30"/>
        </w:numPr>
        <w:ind w:left="1440" w:hanging="270"/>
        <w:contextualSpacing w:val="0"/>
        <w:rPr>
          <w:color w:val="000000" w:themeColor="text1"/>
        </w:rPr>
      </w:pPr>
      <w:r w:rsidRPr="00FD6103">
        <w:rPr>
          <w:color w:val="000000" w:themeColor="text1"/>
        </w:rPr>
        <w:t>102 students (1-5 days)</w:t>
      </w:r>
    </w:p>
    <w:p w14:paraId="6BED0634" w14:textId="7CF72CF5" w:rsidR="00FD6103" w:rsidRPr="00FD6103" w:rsidRDefault="002B7490" w:rsidP="003C00E3">
      <w:pPr>
        <w:pStyle w:val="ListParagraph"/>
        <w:numPr>
          <w:ilvl w:val="0"/>
          <w:numId w:val="30"/>
        </w:numPr>
        <w:ind w:left="1440" w:hanging="270"/>
        <w:contextualSpacing w:val="0"/>
        <w:rPr>
          <w:color w:val="000000" w:themeColor="text1"/>
        </w:rPr>
      </w:pPr>
      <w:r w:rsidRPr="00FD6103">
        <w:rPr>
          <w:color w:val="000000" w:themeColor="text1"/>
        </w:rPr>
        <w:t>136 students (6-15 days)</w:t>
      </w:r>
    </w:p>
    <w:p w14:paraId="3C62C50D" w14:textId="49719A4C" w:rsidR="00FD6103" w:rsidRPr="00FD6103" w:rsidRDefault="002B7490" w:rsidP="003C00E3">
      <w:pPr>
        <w:pStyle w:val="ListParagraph"/>
        <w:numPr>
          <w:ilvl w:val="0"/>
          <w:numId w:val="30"/>
        </w:numPr>
        <w:ind w:left="1440" w:hanging="270"/>
        <w:contextualSpacing w:val="0"/>
        <w:rPr>
          <w:color w:val="000000" w:themeColor="text1"/>
        </w:rPr>
      </w:pPr>
      <w:r w:rsidRPr="00FD6103">
        <w:rPr>
          <w:color w:val="000000" w:themeColor="text1"/>
        </w:rPr>
        <w:t>78 students (16-25 days)</w:t>
      </w:r>
    </w:p>
    <w:p w14:paraId="5CADDB0D" w14:textId="792C13F9" w:rsidR="00FD6103" w:rsidRPr="00FD6103" w:rsidRDefault="002B7490" w:rsidP="003C00E3">
      <w:pPr>
        <w:pStyle w:val="ListParagraph"/>
        <w:numPr>
          <w:ilvl w:val="0"/>
          <w:numId w:val="30"/>
        </w:numPr>
        <w:ind w:left="1440" w:hanging="270"/>
        <w:contextualSpacing w:val="0"/>
        <w:rPr>
          <w:color w:val="000000" w:themeColor="text1"/>
        </w:rPr>
      </w:pPr>
      <w:r w:rsidRPr="00FD6103">
        <w:rPr>
          <w:color w:val="000000" w:themeColor="text1"/>
        </w:rPr>
        <w:t>57 students (26-35 days)</w:t>
      </w:r>
    </w:p>
    <w:p w14:paraId="4B99846F" w14:textId="5022B261" w:rsidR="00FD6103" w:rsidRPr="00FD6103" w:rsidRDefault="002B7490" w:rsidP="003C00E3">
      <w:pPr>
        <w:pStyle w:val="ListParagraph"/>
        <w:numPr>
          <w:ilvl w:val="0"/>
          <w:numId w:val="30"/>
        </w:numPr>
        <w:ind w:left="1440" w:hanging="270"/>
        <w:contextualSpacing w:val="0"/>
        <w:rPr>
          <w:color w:val="000000" w:themeColor="text1"/>
        </w:rPr>
      </w:pPr>
      <w:r w:rsidRPr="00FD6103">
        <w:rPr>
          <w:color w:val="000000" w:themeColor="text1"/>
        </w:rPr>
        <w:t>48 students (36-45 days)</w:t>
      </w:r>
    </w:p>
    <w:p w14:paraId="6B4B1C4F" w14:textId="5A8AB361" w:rsidR="00FD6103" w:rsidRPr="00FD6103" w:rsidRDefault="002B7490" w:rsidP="003C00E3">
      <w:pPr>
        <w:pStyle w:val="ListParagraph"/>
        <w:numPr>
          <w:ilvl w:val="0"/>
          <w:numId w:val="30"/>
        </w:numPr>
        <w:ind w:left="1440" w:hanging="270"/>
        <w:contextualSpacing w:val="0"/>
        <w:rPr>
          <w:color w:val="000000" w:themeColor="text1"/>
        </w:rPr>
      </w:pPr>
      <w:r w:rsidRPr="00FD6103">
        <w:rPr>
          <w:color w:val="000000" w:themeColor="text1"/>
        </w:rPr>
        <w:t>845 students (46+ days)</w:t>
      </w:r>
    </w:p>
    <w:p w14:paraId="29062C2D" w14:textId="6CD98A8E" w:rsidR="00DB1BCB" w:rsidRPr="000F63C4" w:rsidRDefault="002B7490" w:rsidP="00314F94">
      <w:pPr>
        <w:pStyle w:val="ListParagraph"/>
        <w:numPr>
          <w:ilvl w:val="0"/>
          <w:numId w:val="214"/>
        </w:numPr>
        <w:rPr>
          <w:color w:val="000000" w:themeColor="text1"/>
        </w:rPr>
      </w:pPr>
      <w:r w:rsidRPr="000F63C4">
        <w:rPr>
          <w:color w:val="000000" w:themeColor="text1"/>
        </w:rPr>
        <w:t>Number of students / (Reason for the delay)</w:t>
      </w:r>
    </w:p>
    <w:p w14:paraId="6DF5CE7D" w14:textId="38B3B095" w:rsidR="00DB1BCB" w:rsidRPr="00DB1BCB" w:rsidRDefault="002B7490" w:rsidP="003C00E3">
      <w:pPr>
        <w:pStyle w:val="ListParagraph"/>
        <w:numPr>
          <w:ilvl w:val="0"/>
          <w:numId w:val="31"/>
        </w:numPr>
        <w:ind w:left="1440" w:hanging="270"/>
        <w:contextualSpacing w:val="0"/>
        <w:rPr>
          <w:color w:val="000000" w:themeColor="text1"/>
        </w:rPr>
      </w:pPr>
      <w:r w:rsidRPr="00DB1BCB">
        <w:rPr>
          <w:color w:val="000000" w:themeColor="text1"/>
        </w:rPr>
        <w:t>16 students (Inclement weather)</w:t>
      </w:r>
    </w:p>
    <w:p w14:paraId="111BC8FA" w14:textId="2AF20432" w:rsidR="00DB1BCB" w:rsidRPr="00DB1BCB" w:rsidRDefault="002B7490" w:rsidP="003C00E3">
      <w:pPr>
        <w:pStyle w:val="ListParagraph"/>
        <w:numPr>
          <w:ilvl w:val="0"/>
          <w:numId w:val="31"/>
        </w:numPr>
        <w:ind w:left="1440" w:hanging="270"/>
        <w:contextualSpacing w:val="0"/>
        <w:rPr>
          <w:color w:val="000000" w:themeColor="text1"/>
        </w:rPr>
      </w:pPr>
      <w:r w:rsidRPr="00DB1BCB">
        <w:rPr>
          <w:color w:val="000000" w:themeColor="text1"/>
        </w:rPr>
        <w:t>75 students (Paperwork errors)</w:t>
      </w:r>
    </w:p>
    <w:p w14:paraId="5730A3A3" w14:textId="5241702C" w:rsidR="00DB1BCB" w:rsidRPr="00DB1BCB" w:rsidRDefault="002B7490" w:rsidP="003C00E3">
      <w:pPr>
        <w:pStyle w:val="ListParagraph"/>
        <w:numPr>
          <w:ilvl w:val="0"/>
          <w:numId w:val="31"/>
        </w:numPr>
        <w:ind w:left="1440" w:hanging="270"/>
        <w:contextualSpacing w:val="0"/>
        <w:rPr>
          <w:color w:val="000000" w:themeColor="text1"/>
        </w:rPr>
      </w:pPr>
      <w:r w:rsidRPr="00DB1BCB">
        <w:rPr>
          <w:color w:val="000000" w:themeColor="text1"/>
        </w:rPr>
        <w:t>3 students (Inconclusive testing results)</w:t>
      </w:r>
    </w:p>
    <w:p w14:paraId="3FBCD84D" w14:textId="48BA5155" w:rsidR="00DB1BCB" w:rsidRPr="00DB1BCB" w:rsidRDefault="002B7490" w:rsidP="003C00E3">
      <w:pPr>
        <w:pStyle w:val="ListParagraph"/>
        <w:numPr>
          <w:ilvl w:val="0"/>
          <w:numId w:val="31"/>
        </w:numPr>
        <w:ind w:left="1440" w:hanging="270"/>
        <w:contextualSpacing w:val="0"/>
        <w:rPr>
          <w:color w:val="000000" w:themeColor="text1"/>
        </w:rPr>
      </w:pPr>
      <w:r w:rsidRPr="00DB1BCB">
        <w:rPr>
          <w:color w:val="000000" w:themeColor="text1"/>
        </w:rPr>
        <w:t>0 students (Late referral due to Part B/C issues)</w:t>
      </w:r>
    </w:p>
    <w:p w14:paraId="618C1BE8" w14:textId="58A3066F" w:rsidR="00DB1BCB" w:rsidRPr="00DB1BCB" w:rsidRDefault="002B7490" w:rsidP="003C00E3">
      <w:pPr>
        <w:pStyle w:val="ListParagraph"/>
        <w:numPr>
          <w:ilvl w:val="0"/>
          <w:numId w:val="31"/>
        </w:numPr>
        <w:ind w:left="1440" w:hanging="270"/>
        <w:contextualSpacing w:val="0"/>
        <w:rPr>
          <w:color w:val="000000" w:themeColor="text1"/>
        </w:rPr>
      </w:pPr>
      <w:r w:rsidRPr="00DB1BCB">
        <w:rPr>
          <w:color w:val="000000" w:themeColor="text1"/>
        </w:rPr>
        <w:t>14 students (Child not available: not parent failure/child refusal)</w:t>
      </w:r>
    </w:p>
    <w:p w14:paraId="2F6F9828" w14:textId="47C7CD1D" w:rsidR="00DB1BCB" w:rsidRPr="00DB1BCB" w:rsidRDefault="002B7490" w:rsidP="003C00E3">
      <w:pPr>
        <w:pStyle w:val="ListParagraph"/>
        <w:numPr>
          <w:ilvl w:val="0"/>
          <w:numId w:val="31"/>
        </w:numPr>
        <w:ind w:left="1440" w:hanging="270"/>
        <w:contextualSpacing w:val="0"/>
        <w:rPr>
          <w:rFonts w:cs="Arial"/>
          <w:b/>
          <w:color w:val="000000" w:themeColor="text1"/>
          <w:szCs w:val="16"/>
        </w:rPr>
      </w:pPr>
      <w:r w:rsidRPr="00DB1BCB">
        <w:rPr>
          <w:color w:val="000000" w:themeColor="text1"/>
        </w:rPr>
        <w:lastRenderedPageBreak/>
        <w:t>1,158 students (Other) - Specifically, 877 meeting delays related school closures due to COVID; 227 meeting delays due to scheduling errors on behalf of the school district</w:t>
      </w:r>
    </w:p>
    <w:p w14:paraId="4FE2B83B" w14:textId="54327998" w:rsidR="00596F83" w:rsidRPr="00781112" w:rsidRDefault="00596F83" w:rsidP="00A22EB9">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0F63C4" w:rsidRDefault="00596F83" w:rsidP="00314F94">
      <w:pPr>
        <w:pStyle w:val="ListParagraph"/>
        <w:numPr>
          <w:ilvl w:val="0"/>
          <w:numId w:val="215"/>
        </w:numPr>
        <w:rPr>
          <w:rFonts w:cs="Arial"/>
          <w:color w:val="000000" w:themeColor="text1"/>
          <w:szCs w:val="16"/>
        </w:rPr>
      </w:pPr>
      <w:r w:rsidRPr="000F63C4">
        <w:rPr>
          <w:rFonts w:cs="Arial"/>
          <w:color w:val="000000" w:themeColor="text1"/>
          <w:szCs w:val="16"/>
        </w:rPr>
        <w:t>The State established a timeline within which the evaluation must be conducted</w:t>
      </w:r>
    </w:p>
    <w:p w14:paraId="7D54DFB3" w14:textId="4948BCA9" w:rsidR="00E418E6" w:rsidRPr="00781112" w:rsidRDefault="00481536" w:rsidP="00A22EB9">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7752260" w14:textId="77777777" w:rsidR="00DB1BCB" w:rsidRPr="000F63C4" w:rsidRDefault="002B7490" w:rsidP="00314F94">
      <w:pPr>
        <w:pStyle w:val="ListParagraph"/>
        <w:numPr>
          <w:ilvl w:val="0"/>
          <w:numId w:val="216"/>
        </w:numPr>
        <w:rPr>
          <w:rFonts w:cs="Arial"/>
          <w:color w:val="000000" w:themeColor="text1"/>
          <w:szCs w:val="16"/>
        </w:rPr>
      </w:pPr>
      <w:r w:rsidRPr="000F63C4">
        <w:rPr>
          <w:rFonts w:cs="Arial"/>
          <w:color w:val="000000" w:themeColor="text1"/>
          <w:szCs w:val="16"/>
        </w:rPr>
        <w:t>According to Virginia Regulations, 8VAC20-81-60 referral for initial evaluation, the district must ensure that all evaluations are completed and that decisions about eligibility are made within 65 business days of the receipt of the referral by the special education administrator or designee, including if the special education administrator or designee routes the referral to the school-based committee for review and action.</w:t>
      </w:r>
    </w:p>
    <w:p w14:paraId="4BC8265F" w14:textId="77777777" w:rsidR="00DB1BCB" w:rsidRDefault="002B7490" w:rsidP="003C00E3">
      <w:pPr>
        <w:ind w:left="720"/>
        <w:rPr>
          <w:rFonts w:cs="Arial"/>
          <w:color w:val="000000" w:themeColor="text1"/>
          <w:szCs w:val="16"/>
        </w:rPr>
      </w:pPr>
      <w:r w:rsidRPr="00781112">
        <w:rPr>
          <w:rFonts w:cs="Arial"/>
          <w:color w:val="000000" w:themeColor="text1"/>
          <w:szCs w:val="16"/>
        </w:rPr>
        <w:t>The time frame shall not apply to the local school district if:</w:t>
      </w:r>
    </w:p>
    <w:p w14:paraId="0BCD18A4" w14:textId="517A96F7" w:rsidR="00DB1BCB" w:rsidRPr="00DB1BCB" w:rsidRDefault="002B7490" w:rsidP="003C00E3">
      <w:pPr>
        <w:pStyle w:val="ListParagraph"/>
        <w:numPr>
          <w:ilvl w:val="0"/>
          <w:numId w:val="32"/>
        </w:numPr>
        <w:ind w:left="1260"/>
        <w:contextualSpacing w:val="0"/>
        <w:rPr>
          <w:rFonts w:cs="Arial"/>
          <w:color w:val="000000" w:themeColor="text1"/>
          <w:szCs w:val="16"/>
        </w:rPr>
      </w:pPr>
      <w:r w:rsidRPr="00DB1BCB">
        <w:rPr>
          <w:rFonts w:cs="Arial"/>
          <w:color w:val="000000" w:themeColor="text1"/>
          <w:szCs w:val="16"/>
        </w:rPr>
        <w:t>The parent(s) of the child repeatedly fails or refuses to produce the child for the evaluation; or</w:t>
      </w:r>
    </w:p>
    <w:p w14:paraId="07944B4A" w14:textId="66FE6515" w:rsidR="00DB1BCB" w:rsidRPr="00DB1BCB" w:rsidRDefault="002B7490" w:rsidP="003C00E3">
      <w:pPr>
        <w:pStyle w:val="ListParagraph"/>
        <w:numPr>
          <w:ilvl w:val="0"/>
          <w:numId w:val="32"/>
        </w:numPr>
        <w:ind w:left="1260"/>
        <w:rPr>
          <w:rFonts w:cs="Arial"/>
          <w:color w:val="000000" w:themeColor="text1"/>
          <w:szCs w:val="16"/>
        </w:rPr>
      </w:pPr>
      <w:r w:rsidRPr="00DB1BCB">
        <w:rPr>
          <w:rFonts w:cs="Arial"/>
          <w:color w:val="000000" w:themeColor="text1"/>
          <w:szCs w:val="16"/>
        </w:rPr>
        <w:t>If the child enrolls in a school served by the local school district after the required 65 business days has begun and prior to a determination by the child’s previous local school district as to whether the child is a child with a disability. This exception only applies if the local school district is making sufficient progress to ensure a prompt completion of the evaluation and the parent(s) and the local school district where the child is enrolled in school agree to a specific time when the evaluation will be completed.</w:t>
      </w:r>
    </w:p>
    <w:p w14:paraId="396060FF" w14:textId="5F190742" w:rsidR="00481536" w:rsidRPr="00781112" w:rsidRDefault="002B7490" w:rsidP="003C00E3">
      <w:pPr>
        <w:ind w:left="720"/>
        <w:rPr>
          <w:rFonts w:cs="Arial"/>
          <w:color w:val="000000" w:themeColor="text1"/>
          <w:szCs w:val="16"/>
        </w:rPr>
      </w:pPr>
      <w:r w:rsidRPr="00781112">
        <w:rPr>
          <w:rFonts w:cs="Arial"/>
          <w:color w:val="000000" w:themeColor="text1"/>
          <w:szCs w:val="16"/>
        </w:rPr>
        <w:t>In addition, the parent and eligibility group may agree in writing to extend the 65-day timeline to obtain additional data that cannot be obtained within the 65 business days.</w:t>
      </w:r>
    </w:p>
    <w:p w14:paraId="7B602C87" w14:textId="5714BBEF" w:rsidR="00596F83" w:rsidRPr="00781112" w:rsidRDefault="00030B45" w:rsidP="00A22EB9">
      <w:pPr>
        <w:rPr>
          <w:b/>
          <w:color w:val="000000" w:themeColor="text1"/>
        </w:rPr>
      </w:pPr>
      <w:r w:rsidRPr="00781112">
        <w:rPr>
          <w:b/>
          <w:color w:val="000000" w:themeColor="text1"/>
        </w:rPr>
        <w:t>What is the source of the data provided for this indicator?</w:t>
      </w:r>
    </w:p>
    <w:p w14:paraId="6EC5182D" w14:textId="7DE4D103" w:rsidR="00030B45" w:rsidRPr="000F63C4" w:rsidRDefault="002B7490" w:rsidP="00314F94">
      <w:pPr>
        <w:pStyle w:val="ListParagraph"/>
        <w:numPr>
          <w:ilvl w:val="0"/>
          <w:numId w:val="217"/>
        </w:numPr>
        <w:rPr>
          <w:iCs/>
          <w:color w:val="000000" w:themeColor="text1"/>
        </w:rPr>
      </w:pPr>
      <w:r w:rsidRPr="000F63C4">
        <w:rPr>
          <w:iCs/>
          <w:color w:val="000000" w:themeColor="text1"/>
        </w:rPr>
        <w:t>State database that includes data for the entire reporting year</w:t>
      </w:r>
    </w:p>
    <w:p w14:paraId="5C41E868" w14:textId="4878D149" w:rsidR="00030B45" w:rsidRPr="00781112" w:rsidRDefault="00030B45" w:rsidP="00A22EB9">
      <w:pPr>
        <w:rPr>
          <w:b/>
          <w:color w:val="000000" w:themeColor="text1"/>
        </w:rPr>
      </w:pPr>
      <w:r w:rsidRPr="00781112">
        <w:rPr>
          <w:b/>
          <w:color w:val="000000" w:themeColor="text1"/>
        </w:rPr>
        <w:t>Describe the method used to collect these data, and if data are from the State’s monitoring, describe the procedures used to collect these data.</w:t>
      </w:r>
    </w:p>
    <w:p w14:paraId="3C0D244A" w14:textId="77777777" w:rsidR="00DB1BCB" w:rsidRPr="000F63C4" w:rsidRDefault="002B7490" w:rsidP="00314F94">
      <w:pPr>
        <w:pStyle w:val="ListParagraph"/>
        <w:numPr>
          <w:ilvl w:val="0"/>
          <w:numId w:val="218"/>
        </w:numPr>
        <w:rPr>
          <w:rFonts w:cs="Arial"/>
          <w:color w:val="000000" w:themeColor="text1"/>
          <w:szCs w:val="16"/>
        </w:rPr>
      </w:pPr>
      <w:r w:rsidRPr="000F63C4">
        <w:rPr>
          <w:rFonts w:cs="Arial"/>
          <w:color w:val="000000" w:themeColor="text1"/>
          <w:szCs w:val="16"/>
        </w:rPr>
        <w:t>All school districts submitted data for Indicator 11 through a secure web-based application developed by VDOE. All components of Indicator 11 are included in the application, and data entered reflect the reporting period July 1, 2020-June 30, 2021, including edit checks to ensure consistency and accuracy in reporting. The VDOE staff members provided information to school district staff members regarding the data required for Indicator 11 and on procedures for submitting data to the VDOE through statewide training sessions. Data submitted by school districts were reviewed for accuracy, and school districts were notified when there appeared to be inaccurate reporting. In addition, numerous student records were reviewed remotely to verify accurate reporting.</w:t>
      </w:r>
    </w:p>
    <w:p w14:paraId="67802B57" w14:textId="77777777" w:rsidR="00DB1BCB" w:rsidRDefault="002B7490" w:rsidP="00452C88">
      <w:pPr>
        <w:ind w:left="720"/>
        <w:rPr>
          <w:rFonts w:cs="Arial"/>
          <w:color w:val="000000" w:themeColor="text1"/>
          <w:szCs w:val="16"/>
        </w:rPr>
      </w:pPr>
      <w:r w:rsidRPr="00781112">
        <w:rPr>
          <w:rFonts w:cs="Arial"/>
          <w:color w:val="000000" w:themeColor="text1"/>
          <w:szCs w:val="16"/>
        </w:rPr>
        <w:lastRenderedPageBreak/>
        <w:t>In addition, numerous verification visits were made to ensure accurate reporting. Specifically, the VDOE uses a five-year cyclical approach to review special education data for all school districts in the Commonwealth, as recommended by OSEP. In doing so, the VDOE has a process for systematically auditing and validating school districts’ self-determinations of compliance with all Individuals with Disabilities Education Act (IDEA) compliance indicators submitted through its Single Sign-on for Web Systems (SSWS) Special Education Indicators application. The VDOE ensures, per OSEP guidance, all instances of noncompliance are reported as communicated by the LEAs to VDOE consistent with OSEP Memorandum 09-02.</w:t>
      </w:r>
    </w:p>
    <w:p w14:paraId="41D2EA17" w14:textId="6B1D8B91" w:rsidR="00326C0B" w:rsidRPr="00781112" w:rsidRDefault="002B7490" w:rsidP="00452C88">
      <w:pPr>
        <w:ind w:left="720"/>
        <w:rPr>
          <w:rFonts w:cs="Arial"/>
          <w:color w:val="000000" w:themeColor="text1"/>
          <w:szCs w:val="16"/>
        </w:rPr>
      </w:pPr>
      <w:r w:rsidRPr="00781112">
        <w:rPr>
          <w:rFonts w:cs="Arial"/>
          <w:color w:val="000000" w:themeColor="text1"/>
          <w:szCs w:val="16"/>
        </w:rPr>
        <w:t xml:space="preserve">Each year, approximately 20 percent of the school districts in Virginia are selected for data validation of compliance indicators. Specifically, between the months of September and December, the regional VDOE monitor assigned to school districts within that current year’s cohort reviews a random sample of individual student files and specific policies, procedures, and practices to ensure the accuracy of the indicator information submitted to VDOE. The number of files reviewed is based on the number of records submitted for each indicator. Local educational agencies (LEAs) self-reporting less than 100 percent </w:t>
      </w:r>
      <w:proofErr w:type="gramStart"/>
      <w:r w:rsidRPr="00781112">
        <w:rPr>
          <w:rFonts w:cs="Arial"/>
          <w:color w:val="000000" w:themeColor="text1"/>
          <w:szCs w:val="16"/>
        </w:rPr>
        <w:t>receive</w:t>
      </w:r>
      <w:proofErr w:type="gramEnd"/>
      <w:r w:rsidRPr="00781112">
        <w:rPr>
          <w:rFonts w:cs="Arial"/>
          <w:color w:val="000000" w:themeColor="text1"/>
          <w:szCs w:val="16"/>
        </w:rPr>
        <w:t xml:space="preserve"> written notification of noncompliance, develop a corrective action plan (CAP) as determined by the Lead Monitor, and undergo the Prong 1 and Prong 2 process within one year of written notification. If it is determined that LEAs self-reporting 100 percent submitted inaccurate information, the school district is required to resubmit accurately. Following data resubmission, the district superintendent receives written notification of noncompliance, a CAP is developed as determined by the Lead Monitor, and the Prong 1 and Prong 2 process is completed within one year of written notification. Closure of indicator corrections is finalized with an email to special education administrators.</w:t>
      </w:r>
    </w:p>
    <w:p w14:paraId="4F981BFF" w14:textId="77777777" w:rsidR="00C86164" w:rsidRPr="00781112" w:rsidRDefault="00C86164" w:rsidP="00224F9D">
      <w:pPr>
        <w:pStyle w:val="Heading4"/>
      </w:pPr>
      <w:bookmarkStart w:id="85" w:name="_Toc381956339"/>
      <w:bookmarkStart w:id="86" w:name="_Toc384383357"/>
      <w:bookmarkStart w:id="87" w:name="_Toc392159325"/>
      <w:r w:rsidRPr="00781112">
        <w:t>Provide additional information about this indicator (optional)</w:t>
      </w:r>
    </w:p>
    <w:p w14:paraId="53B75C36" w14:textId="6B171764" w:rsidR="00DE2E22" w:rsidRPr="000F63C4" w:rsidRDefault="00DB1BCB" w:rsidP="00314F94">
      <w:pPr>
        <w:pStyle w:val="ListParagraph"/>
        <w:numPr>
          <w:ilvl w:val="0"/>
          <w:numId w:val="219"/>
        </w:numPr>
        <w:rPr>
          <w:color w:val="000000" w:themeColor="text1"/>
        </w:rPr>
      </w:pPr>
      <w:r w:rsidRPr="000F63C4">
        <w:rPr>
          <w:rFonts w:cs="Arial"/>
          <w:color w:val="000000" w:themeColor="text1"/>
          <w:szCs w:val="16"/>
        </w:rPr>
        <w:t>Not applicable</w:t>
      </w:r>
    </w:p>
    <w:p w14:paraId="3221D503" w14:textId="7CE0F26B" w:rsidR="009A755E" w:rsidRPr="00781112" w:rsidRDefault="009A755E" w:rsidP="00C33455">
      <w:pPr>
        <w:pStyle w:val="Caption"/>
      </w:pPr>
      <w:r w:rsidRPr="00781112">
        <w:t>Correction of Findings of Noncompliance Identified in FFY 2019</w:t>
      </w:r>
      <w:r w:rsidR="007B3230">
        <w:t xml:space="preserve"> (11)</w:t>
      </w:r>
    </w:p>
    <w:tbl>
      <w:tblPr>
        <w:tblStyle w:val="TableGrid"/>
        <w:tblW w:w="5000" w:type="pct"/>
        <w:tblLook w:val="04A0" w:firstRow="1" w:lastRow="0" w:firstColumn="1" w:lastColumn="0" w:noHBand="0" w:noVBand="1"/>
        <w:tblDescription w:val="Table provides identified, verified as corrected within one year, and subsequently corrected, and not yet verified findings of noncompliance for FFY 2019 for this indicator."/>
      </w:tblPr>
      <w:tblGrid>
        <w:gridCol w:w="2650"/>
        <w:gridCol w:w="2780"/>
        <w:gridCol w:w="2656"/>
        <w:gridCol w:w="2704"/>
      </w:tblGrid>
      <w:tr w:rsidR="005C29F8" w:rsidRPr="00781112" w14:paraId="19F31341" w14:textId="77777777" w:rsidTr="00DB1BCB">
        <w:trPr>
          <w:trHeight w:val="389"/>
          <w:tblHeader/>
        </w:trPr>
        <w:tc>
          <w:tcPr>
            <w:tcW w:w="1228" w:type="pct"/>
            <w:shd w:val="clear" w:color="auto" w:fill="D9D9D9" w:themeFill="background1" w:themeFillShade="D9"/>
            <w:vAlign w:val="center"/>
          </w:tcPr>
          <w:p w14:paraId="56F59E58" w14:textId="77777777" w:rsidR="009A755E" w:rsidRPr="00781112" w:rsidRDefault="009A755E" w:rsidP="00DB1BCB">
            <w:pPr>
              <w:spacing w:after="0" w:line="276" w:lineRule="auto"/>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D9D9D9" w:themeFill="background1" w:themeFillShade="D9"/>
            <w:vAlign w:val="center"/>
          </w:tcPr>
          <w:p w14:paraId="27C87009" w14:textId="77777777" w:rsidR="009A755E" w:rsidRPr="00781112" w:rsidRDefault="009A755E" w:rsidP="00DB1BCB">
            <w:pPr>
              <w:spacing w:after="0" w:line="276" w:lineRule="auto"/>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D9D9D9" w:themeFill="background1" w:themeFillShade="D9"/>
            <w:vAlign w:val="center"/>
          </w:tcPr>
          <w:p w14:paraId="4F7EC97C" w14:textId="77777777" w:rsidR="009A755E" w:rsidRPr="00781112" w:rsidRDefault="009A755E" w:rsidP="00DB1BCB">
            <w:pPr>
              <w:spacing w:after="0" w:line="276" w:lineRule="auto"/>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D9D9D9" w:themeFill="background1" w:themeFillShade="D9"/>
            <w:vAlign w:val="center"/>
          </w:tcPr>
          <w:p w14:paraId="4E046713" w14:textId="77777777" w:rsidR="009A755E" w:rsidRPr="00781112" w:rsidRDefault="009A755E" w:rsidP="00DB1BCB">
            <w:pPr>
              <w:spacing w:after="0" w:line="276" w:lineRule="auto"/>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DB1BCB">
        <w:trPr>
          <w:trHeight w:val="386"/>
        </w:trPr>
        <w:tc>
          <w:tcPr>
            <w:tcW w:w="1228" w:type="pct"/>
            <w:shd w:val="clear" w:color="auto" w:fill="auto"/>
            <w:vAlign w:val="center"/>
          </w:tcPr>
          <w:p w14:paraId="1D3665CE" w14:textId="31AA2004" w:rsidR="009A755E" w:rsidRPr="00781112" w:rsidRDefault="002B7490" w:rsidP="00DB1BCB">
            <w:pPr>
              <w:spacing w:after="0" w:line="276" w:lineRule="auto"/>
              <w:jc w:val="center"/>
              <w:rPr>
                <w:rFonts w:cs="Arial"/>
                <w:color w:val="000000" w:themeColor="text1"/>
                <w:szCs w:val="16"/>
              </w:rPr>
            </w:pPr>
            <w:r w:rsidRPr="00781112">
              <w:rPr>
                <w:rFonts w:cs="Arial"/>
                <w:color w:val="000000" w:themeColor="text1"/>
                <w:szCs w:val="16"/>
              </w:rPr>
              <w:t>596</w:t>
            </w:r>
          </w:p>
        </w:tc>
        <w:tc>
          <w:tcPr>
            <w:tcW w:w="1288" w:type="pct"/>
            <w:shd w:val="clear" w:color="auto" w:fill="auto"/>
            <w:vAlign w:val="center"/>
          </w:tcPr>
          <w:p w14:paraId="4AEC445C" w14:textId="6396B491" w:rsidR="009A755E" w:rsidRPr="00781112" w:rsidRDefault="002B7490" w:rsidP="00DB1BCB">
            <w:pPr>
              <w:spacing w:after="0" w:line="276" w:lineRule="auto"/>
              <w:jc w:val="center"/>
              <w:rPr>
                <w:rFonts w:cs="Arial"/>
                <w:color w:val="000000" w:themeColor="text1"/>
                <w:szCs w:val="16"/>
              </w:rPr>
            </w:pPr>
            <w:r w:rsidRPr="00781112">
              <w:rPr>
                <w:rFonts w:cs="Arial"/>
                <w:color w:val="000000" w:themeColor="text1"/>
                <w:szCs w:val="16"/>
              </w:rPr>
              <w:t>596</w:t>
            </w:r>
          </w:p>
        </w:tc>
        <w:tc>
          <w:tcPr>
            <w:tcW w:w="1231" w:type="pct"/>
            <w:shd w:val="clear" w:color="auto" w:fill="auto"/>
            <w:vAlign w:val="center"/>
          </w:tcPr>
          <w:p w14:paraId="650763EC" w14:textId="5B71F402" w:rsidR="009A755E" w:rsidRPr="00781112" w:rsidRDefault="002B7490" w:rsidP="00DB1BCB">
            <w:pPr>
              <w:spacing w:after="0" w:line="276" w:lineRule="auto"/>
              <w:jc w:val="center"/>
              <w:rPr>
                <w:rFonts w:cs="Arial"/>
                <w:color w:val="000000" w:themeColor="text1"/>
                <w:szCs w:val="16"/>
              </w:rPr>
            </w:pPr>
            <w:r w:rsidRPr="00781112">
              <w:rPr>
                <w:rFonts w:cs="Arial"/>
                <w:color w:val="000000" w:themeColor="text1"/>
                <w:szCs w:val="16"/>
              </w:rPr>
              <w:t>0</w:t>
            </w:r>
          </w:p>
        </w:tc>
        <w:tc>
          <w:tcPr>
            <w:tcW w:w="1254" w:type="pct"/>
            <w:shd w:val="clear" w:color="auto" w:fill="auto"/>
            <w:vAlign w:val="center"/>
          </w:tcPr>
          <w:p w14:paraId="67914127" w14:textId="0865F5F8" w:rsidR="009A755E" w:rsidRPr="00781112" w:rsidRDefault="002B7490" w:rsidP="00DB1BCB">
            <w:pPr>
              <w:spacing w:after="0" w:line="276" w:lineRule="auto"/>
              <w:jc w:val="center"/>
              <w:rPr>
                <w:rFonts w:cs="Arial"/>
                <w:color w:val="000000" w:themeColor="text1"/>
                <w:szCs w:val="16"/>
              </w:rPr>
            </w:pPr>
            <w:r w:rsidRPr="00781112">
              <w:rPr>
                <w:rFonts w:cs="Arial"/>
                <w:color w:val="000000" w:themeColor="text1"/>
                <w:szCs w:val="16"/>
              </w:rPr>
              <w:t>0</w:t>
            </w:r>
          </w:p>
        </w:tc>
      </w:tr>
    </w:tbl>
    <w:p w14:paraId="49183A2D" w14:textId="47215EF4" w:rsidR="009A755E" w:rsidRPr="00781112" w:rsidRDefault="00F6415A" w:rsidP="00224F9D">
      <w:pPr>
        <w:pStyle w:val="Heading4"/>
      </w:pPr>
      <w:r w:rsidRPr="00781112">
        <w:t>FFY 2019 Findings of Noncompliance Verified as Corrected</w:t>
      </w:r>
    </w:p>
    <w:p w14:paraId="417CAEC2" w14:textId="31AFF485"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0F63C4" w:rsidRDefault="002B7490" w:rsidP="00314F94">
      <w:pPr>
        <w:pStyle w:val="ListParagraph"/>
        <w:numPr>
          <w:ilvl w:val="0"/>
          <w:numId w:val="220"/>
        </w:numPr>
        <w:rPr>
          <w:rFonts w:cs="Arial"/>
          <w:color w:val="000000" w:themeColor="text1"/>
          <w:szCs w:val="16"/>
        </w:rPr>
      </w:pPr>
      <w:r w:rsidRPr="000F63C4">
        <w:rPr>
          <w:rFonts w:cs="Arial"/>
          <w:color w:val="000000" w:themeColor="text1"/>
          <w:szCs w:val="16"/>
        </w:rPr>
        <w:t xml:space="preserve">The assigned VDOE monitor contacted each of the 30 school districts that reported less than 100 percent compliance for FFY 2019. A discussion of activities, strategies, and barriers causing noncompliance was held with the director of special education, or the designee, for each of the 30 school districts. Directors of special education followed up with school </w:t>
      </w:r>
      <w:r w:rsidRPr="000F63C4">
        <w:rPr>
          <w:rFonts w:cs="Arial"/>
          <w:color w:val="000000" w:themeColor="text1"/>
          <w:szCs w:val="16"/>
        </w:rPr>
        <w:lastRenderedPageBreak/>
        <w:t xml:space="preserve">administrators and other staff members integral to the evaluation and eligibility process to ensure the implementation of activities and strategies discussed with the VDOE monitor. Through in-person or remote desk reviews of each of the 596 individual student records identified as noncompliant for Indicator 11 in FFY 2019, VDOE monitoring staff verified that, albeit late, all 596 initial eligibility meetings had been held (Prong 1). Additionally, a random sampling of newly completed Indicator 11 records (Prong 2) </w:t>
      </w:r>
      <w:proofErr w:type="gramStart"/>
      <w:r w:rsidRPr="000F63C4">
        <w:rPr>
          <w:rFonts w:cs="Arial"/>
          <w:color w:val="000000" w:themeColor="text1"/>
          <w:szCs w:val="16"/>
        </w:rPr>
        <w:t>were</w:t>
      </w:r>
      <w:proofErr w:type="gramEnd"/>
      <w:r w:rsidRPr="000F63C4">
        <w:rPr>
          <w:rFonts w:cs="Arial"/>
          <w:color w:val="000000" w:themeColor="text1"/>
          <w:szCs w:val="16"/>
        </w:rPr>
        <w:t xml:space="preserve"> reviewed by the VDOE in each of the 30 districts identified as noncompliant for this indicator in FFY 2019. The results of these Prong 1 and Prong 2 reviews revealed that all 30 districts previously identified as noncompliant in FFY 2019 for Indicator 11 are now at 100 percent compliance and are correctly implementing the regulatory requirements consistent with OSEP Memorandum 09-02.</w:t>
      </w:r>
    </w:p>
    <w:p w14:paraId="51512AE8" w14:textId="46445215"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22D2597" w14:textId="6907D8E3" w:rsidR="00DB1BCB" w:rsidRPr="000F63C4" w:rsidRDefault="002B7490" w:rsidP="00314F94">
      <w:pPr>
        <w:pStyle w:val="ListParagraph"/>
        <w:numPr>
          <w:ilvl w:val="0"/>
          <w:numId w:val="221"/>
        </w:numPr>
        <w:rPr>
          <w:rFonts w:cs="Arial"/>
          <w:color w:val="000000" w:themeColor="text1"/>
          <w:szCs w:val="16"/>
        </w:rPr>
      </w:pPr>
      <w:r w:rsidRPr="000F63C4">
        <w:rPr>
          <w:rFonts w:cs="Arial"/>
          <w:color w:val="000000" w:themeColor="text1"/>
          <w:szCs w:val="16"/>
        </w:rPr>
        <w:t xml:space="preserve">The VDOE has determined that </w:t>
      </w:r>
      <w:proofErr w:type="gramStart"/>
      <w:r w:rsidRPr="000F63C4">
        <w:rPr>
          <w:rFonts w:cs="Arial"/>
          <w:color w:val="000000" w:themeColor="text1"/>
          <w:szCs w:val="16"/>
        </w:rPr>
        <w:t>all of</w:t>
      </w:r>
      <w:proofErr w:type="gramEnd"/>
      <w:r w:rsidRPr="000F63C4">
        <w:rPr>
          <w:rFonts w:cs="Arial"/>
          <w:color w:val="000000" w:themeColor="text1"/>
          <w:szCs w:val="16"/>
        </w:rPr>
        <w:t xml:space="preserve"> the 596 items of student-level noncompliance specific to Indicator 11, identified in FFY 2019, were corrected consistent with OSEP Memorandum 09-02. Each of the 30 districts with noncompliance: 1) has completed the evaluation (including eligibility), although late, for any child whose initial evaluation was not timely, unless the child is no longer within the jurisdiction of the district; and 2) is correctly implementing the specific regulatory requirements.</w:t>
      </w:r>
    </w:p>
    <w:p w14:paraId="1D2403D9" w14:textId="35C99A31" w:rsidR="00326C0B" w:rsidRPr="00781112" w:rsidRDefault="002B7490" w:rsidP="00452C88">
      <w:pPr>
        <w:ind w:left="720"/>
        <w:rPr>
          <w:rFonts w:cs="Arial"/>
          <w:color w:val="000000" w:themeColor="text1"/>
          <w:szCs w:val="16"/>
        </w:rPr>
      </w:pPr>
      <w:r w:rsidRPr="00781112">
        <w:rPr>
          <w:rFonts w:cs="Arial"/>
          <w:color w:val="000000" w:themeColor="text1"/>
          <w:szCs w:val="16"/>
        </w:rPr>
        <w:t xml:space="preserve">Specifically, written notification of the noncompliance was sent to each of the 30 district superintendents, a VDOE monitor was assigned to each district, and corrective action plans were written by the district if deemed appropriate by the VDOE monitor. To satisfy Prong 1, in-person or remote desk reviews were completed for each of the 596 individual student records in the 30 districts that were identified as noncompliant for Indicator 11 in FFY 2019. The VDOE monitoring staff verified that, albeit late, all 596 initial eligibility meetings had been held, unless the child is no longer in the jurisdiction of the district. Local directors were reminded of their obligation to consider compensatory service for eligible students in instances where the timeline was not met. To satisfy Prong 2, the monitors reviewed revised policies, procedures, and practices (e.g., documentation of training, meetings, handbook update, guidance documents) the districts have implemented since noncompliance was identified. A random sampling of newly completed Indicator 11 records </w:t>
      </w:r>
      <w:proofErr w:type="gramStart"/>
      <w:r w:rsidRPr="00781112">
        <w:rPr>
          <w:rFonts w:cs="Arial"/>
          <w:color w:val="000000" w:themeColor="text1"/>
          <w:szCs w:val="16"/>
        </w:rPr>
        <w:t>were</w:t>
      </w:r>
      <w:proofErr w:type="gramEnd"/>
      <w:r w:rsidRPr="00781112">
        <w:rPr>
          <w:rFonts w:cs="Arial"/>
          <w:color w:val="000000" w:themeColor="text1"/>
          <w:szCs w:val="16"/>
        </w:rPr>
        <w:t xml:space="preserve"> reviewed by the VDOE in each of the 30 districts identified as noncompliant for this indicator in FFY 2019. The results of these reviews revealed that all 30 districts previously identified as noncompliant in FFY 2019 for Indicator 11, are now at 100 percent compliance and are correctly implementing the regulatory requirements consistent with OSEP Memorandum 09-02. All steps took place within one calendar year of the date each district was notified of noncompliance.</w:t>
      </w:r>
    </w:p>
    <w:p w14:paraId="6AA9F004" w14:textId="407DFBC2" w:rsidR="004E2151" w:rsidRPr="00781112" w:rsidRDefault="00C22B92" w:rsidP="00DB1BCB">
      <w:pPr>
        <w:pStyle w:val="Heading3"/>
        <w:spacing w:before="240"/>
      </w:pPr>
      <w:r w:rsidRPr="00781112">
        <w:t>11</w:t>
      </w:r>
      <w:r w:rsidR="004838A4" w:rsidRPr="00781112">
        <w:t xml:space="preserve"> </w:t>
      </w:r>
      <w:r w:rsidRPr="00781112">
        <w:t xml:space="preserve">- </w:t>
      </w:r>
      <w:r w:rsidR="004E2151" w:rsidRPr="00781112">
        <w:t>Prior FFY Required Actions</w:t>
      </w:r>
    </w:p>
    <w:p w14:paraId="3C261B66" w14:textId="77777777" w:rsidR="00DB1BCB" w:rsidRPr="000F63C4" w:rsidRDefault="002B7490" w:rsidP="00314F94">
      <w:pPr>
        <w:pStyle w:val="ListParagraph"/>
        <w:numPr>
          <w:ilvl w:val="0"/>
          <w:numId w:val="222"/>
        </w:numPr>
        <w:rPr>
          <w:rFonts w:cs="Arial"/>
          <w:color w:val="000000" w:themeColor="text1"/>
          <w:szCs w:val="16"/>
        </w:rPr>
      </w:pPr>
      <w:r w:rsidRPr="000F63C4">
        <w:rPr>
          <w:rFonts w:cs="Arial"/>
          <w:color w:val="000000" w:themeColor="text1"/>
          <w:szCs w:val="16"/>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w:t>
      </w:r>
      <w:r w:rsidRPr="000F63C4">
        <w:rPr>
          <w:rFonts w:cs="Arial"/>
          <w:color w:val="000000" w:themeColor="text1"/>
          <w:szCs w:val="16"/>
        </w:rPr>
        <w:lastRenderedPageBreak/>
        <w:t>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p>
    <w:p w14:paraId="314020BE" w14:textId="1CF5E682" w:rsidR="009F69E7" w:rsidRPr="00781112" w:rsidRDefault="002B7490" w:rsidP="00452C88">
      <w:pPr>
        <w:ind w:left="720"/>
        <w:rPr>
          <w:rFonts w:cs="Arial"/>
          <w:color w:val="000000" w:themeColor="text1"/>
          <w:szCs w:val="16"/>
        </w:rPr>
      </w:pPr>
      <w:r w:rsidRPr="00781112">
        <w:rPr>
          <w:rFonts w:cs="Arial"/>
          <w:color w:val="000000" w:themeColor="text1"/>
          <w:szCs w:val="16"/>
        </w:rPr>
        <w:t>If the State did not identify any findings of noncompliance in FFY 2019, although its FFY 2019 data reflect less than 100% compliance, provide an explanation of why the State did not identify any findings of noncompliance in FFY 2019.</w:t>
      </w:r>
    </w:p>
    <w:p w14:paraId="35EEEBCC" w14:textId="6FA8C203" w:rsidR="004E2151" w:rsidRDefault="004E2151" w:rsidP="00D73ABA">
      <w:pPr>
        <w:pStyle w:val="Heading4"/>
      </w:pPr>
      <w:r w:rsidRPr="00781112">
        <w:t>Response to actions required in FFY 2019 SPP/APR</w:t>
      </w:r>
    </w:p>
    <w:p w14:paraId="3827D5C4" w14:textId="26F839F7" w:rsidR="00DB1BCB" w:rsidRPr="000F63C4" w:rsidRDefault="00DB1BCB" w:rsidP="00314F94">
      <w:pPr>
        <w:pStyle w:val="ListParagraph"/>
        <w:numPr>
          <w:ilvl w:val="0"/>
          <w:numId w:val="223"/>
        </w:numPr>
        <w:rPr>
          <w:bCs/>
          <w:color w:val="000000" w:themeColor="text1"/>
        </w:rPr>
      </w:pPr>
      <w:r w:rsidRPr="000F63C4">
        <w:rPr>
          <w:bCs/>
          <w:color w:val="000000" w:themeColor="text1"/>
        </w:rPr>
        <w:t>None</w:t>
      </w:r>
    </w:p>
    <w:p w14:paraId="1D3AFFE6" w14:textId="5250F151" w:rsidR="007F5071" w:rsidRPr="00781112" w:rsidRDefault="00C22B92" w:rsidP="00A22EB9">
      <w:pPr>
        <w:pStyle w:val="Heading3"/>
      </w:pPr>
      <w:r w:rsidRPr="00781112">
        <w:t>11 - OSEP Response</w:t>
      </w:r>
    </w:p>
    <w:p w14:paraId="2479DA6D" w14:textId="1AF95ED9" w:rsidR="00326C0B" w:rsidRPr="000F63C4" w:rsidRDefault="00DB1BCB" w:rsidP="00314F94">
      <w:pPr>
        <w:pStyle w:val="ListParagraph"/>
        <w:numPr>
          <w:ilvl w:val="0"/>
          <w:numId w:val="224"/>
        </w:numPr>
        <w:rPr>
          <w:rFonts w:cs="Arial"/>
          <w:color w:val="000000" w:themeColor="text1"/>
          <w:szCs w:val="16"/>
        </w:rPr>
      </w:pPr>
      <w:r w:rsidRPr="000F63C4">
        <w:rPr>
          <w:rFonts w:cs="Arial"/>
          <w:color w:val="000000" w:themeColor="text1"/>
          <w:szCs w:val="16"/>
        </w:rPr>
        <w:t>Not applicable</w:t>
      </w:r>
    </w:p>
    <w:p w14:paraId="140652C1" w14:textId="064683E6" w:rsidR="007F5071" w:rsidRPr="00781112" w:rsidRDefault="00C22B92" w:rsidP="00A22EB9">
      <w:pPr>
        <w:pStyle w:val="Heading3"/>
      </w:pPr>
      <w:r w:rsidRPr="00781112">
        <w:t>11 - Required Actions</w:t>
      </w:r>
    </w:p>
    <w:p w14:paraId="4CF03900" w14:textId="77777777" w:rsidR="00DB1BCB" w:rsidRPr="000F63C4" w:rsidRDefault="002B7490" w:rsidP="00314F94">
      <w:pPr>
        <w:pStyle w:val="ListParagraph"/>
        <w:numPr>
          <w:ilvl w:val="0"/>
          <w:numId w:val="225"/>
        </w:numPr>
        <w:rPr>
          <w:rFonts w:cs="Arial"/>
          <w:color w:val="000000" w:themeColor="text1"/>
          <w:szCs w:val="16"/>
        </w:rPr>
      </w:pPr>
      <w:r w:rsidRPr="000F63C4">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p>
    <w:p w14:paraId="529C4C74" w14:textId="23FA1B26" w:rsidR="00102FA3" w:rsidRPr="00781112" w:rsidRDefault="002B7490" w:rsidP="00452C88">
      <w:pPr>
        <w:ind w:left="720"/>
        <w:rPr>
          <w:rFonts w:eastAsiaTheme="majorEastAsia" w:cs="Arial"/>
          <w:b/>
          <w:bCs/>
          <w:color w:val="000000" w:themeColor="text1"/>
          <w:szCs w:val="16"/>
        </w:rPr>
      </w:pPr>
      <w:r w:rsidRPr="00781112">
        <w:rPr>
          <w:rFonts w:cs="Arial"/>
          <w:color w:val="000000" w:themeColor="text1"/>
          <w:szCs w:val="16"/>
        </w:rPr>
        <w:t>If the State did not identify any findings of noncompliance in FFY 2020, although its FFY 2020 data reflect less than 100% compliance, provide an explanation of why the State did not identify any findings of noncompliance in FFY 2020.</w:t>
      </w:r>
      <w:r w:rsidR="00102FA3" w:rsidRPr="00781112">
        <w:rPr>
          <w:rFonts w:cs="Arial"/>
          <w:color w:val="000000" w:themeColor="text1"/>
          <w:szCs w:val="16"/>
        </w:rPr>
        <w:br w:type="page"/>
      </w:r>
    </w:p>
    <w:p w14:paraId="55C7C90D" w14:textId="1ACF121A" w:rsidR="00D03701" w:rsidRPr="00781112" w:rsidRDefault="00D03701" w:rsidP="008143AB">
      <w:pPr>
        <w:pStyle w:val="Heading2"/>
      </w:pPr>
      <w:r w:rsidRPr="00781112">
        <w:lastRenderedPageBreak/>
        <w:t>Indicator 12: Early Childhood Transition</w:t>
      </w:r>
      <w:bookmarkEnd w:id="85"/>
      <w:bookmarkEnd w:id="86"/>
      <w:bookmarkEnd w:id="87"/>
    </w:p>
    <w:p w14:paraId="435B75C0" w14:textId="77777777" w:rsidR="00652135" w:rsidRPr="00DB1BCB" w:rsidRDefault="00652135" w:rsidP="00224F9D">
      <w:pPr>
        <w:pStyle w:val="Heading3"/>
        <w:spacing w:before="240"/>
      </w:pPr>
      <w:r w:rsidRPr="00DB1BCB">
        <w:t>Instructions and Measurement</w:t>
      </w:r>
    </w:p>
    <w:p w14:paraId="6C78EC4F" w14:textId="77777777" w:rsidR="001F3A65" w:rsidRPr="00781112" w:rsidRDefault="001F3A65" w:rsidP="00A22EB9">
      <w:pPr>
        <w:rPr>
          <w:rFonts w:cs="Arial"/>
          <w:color w:val="000000" w:themeColor="text1"/>
          <w:szCs w:val="16"/>
        </w:rPr>
      </w:pPr>
      <w:bookmarkStart w:id="88" w:name="_Toc384383358"/>
      <w:bookmarkStart w:id="89"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0AF70A64" w:rsidR="00704E6A" w:rsidRPr="00781112" w:rsidRDefault="001F3A65" w:rsidP="00A22EB9">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children referred by Part C prior to age 3, who are found eligible for Part B, and who have an IEP developed and implemented by their third birthdays.</w:t>
      </w:r>
    </w:p>
    <w:p w14:paraId="760E84D0" w14:textId="3B0C2366" w:rsidR="001F3A65" w:rsidRPr="00781112" w:rsidRDefault="001F3A65" w:rsidP="00A22EB9">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224F9D">
      <w:pPr>
        <w:pStyle w:val="Heading4"/>
      </w:pPr>
      <w:r w:rsidRPr="00781112">
        <w:t>Data Source</w:t>
      </w:r>
    </w:p>
    <w:p w14:paraId="65642578" w14:textId="09D10273" w:rsidR="00704E6A" w:rsidRPr="00781112" w:rsidRDefault="00704E6A" w:rsidP="00A22EB9">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224F9D">
      <w:pPr>
        <w:pStyle w:val="Heading4"/>
      </w:pPr>
      <w:r w:rsidRPr="00781112">
        <w:t>Measurement</w:t>
      </w:r>
    </w:p>
    <w:p w14:paraId="577779AD" w14:textId="3C09541D" w:rsidR="00704E6A" w:rsidRPr="00DB1BCB" w:rsidRDefault="00A90E71" w:rsidP="00155DFD">
      <w:pPr>
        <w:pStyle w:val="ListParagraph"/>
        <w:numPr>
          <w:ilvl w:val="0"/>
          <w:numId w:val="33"/>
        </w:numPr>
        <w:spacing w:after="0"/>
        <w:ind w:left="360" w:hanging="90"/>
        <w:rPr>
          <w:rFonts w:eastAsia="Times New Roman" w:cs="Arial"/>
          <w:color w:val="000000" w:themeColor="text1"/>
          <w:szCs w:val="16"/>
        </w:rPr>
      </w:pPr>
      <w:r w:rsidRPr="00DB1BCB">
        <w:rPr>
          <w:rFonts w:eastAsia="Times New Roman" w:cs="Arial"/>
          <w:color w:val="000000" w:themeColor="text1"/>
          <w:szCs w:val="16"/>
        </w:rPr>
        <w:t xml:space="preserve"># </w:t>
      </w:r>
      <w:proofErr w:type="gramStart"/>
      <w:r w:rsidRPr="00DB1BCB">
        <w:rPr>
          <w:rFonts w:eastAsia="Times New Roman" w:cs="Arial"/>
          <w:color w:val="000000" w:themeColor="text1"/>
          <w:szCs w:val="16"/>
        </w:rPr>
        <w:t>of</w:t>
      </w:r>
      <w:proofErr w:type="gramEnd"/>
      <w:r w:rsidRPr="00DB1BCB">
        <w:rPr>
          <w:rFonts w:eastAsia="Times New Roman" w:cs="Arial"/>
          <w:color w:val="000000" w:themeColor="text1"/>
          <w:szCs w:val="16"/>
        </w:rPr>
        <w:t xml:space="preserve"> children who have been served in Part C and referred to Part B for Part B eligibility determination.</w:t>
      </w:r>
    </w:p>
    <w:p w14:paraId="1D83C19C" w14:textId="6A5F0F29" w:rsidR="00704E6A" w:rsidRPr="00DB1BCB" w:rsidRDefault="00A90E71" w:rsidP="00155DFD">
      <w:pPr>
        <w:pStyle w:val="ListParagraph"/>
        <w:numPr>
          <w:ilvl w:val="0"/>
          <w:numId w:val="33"/>
        </w:numPr>
        <w:spacing w:after="0"/>
        <w:ind w:left="360" w:hanging="90"/>
        <w:rPr>
          <w:rFonts w:eastAsia="Times New Roman" w:cs="Arial"/>
          <w:color w:val="000000" w:themeColor="text1"/>
          <w:szCs w:val="16"/>
        </w:rPr>
      </w:pPr>
      <w:r w:rsidRPr="00DB1BCB">
        <w:rPr>
          <w:rFonts w:eastAsia="Times New Roman" w:cs="Arial"/>
          <w:color w:val="000000" w:themeColor="text1"/>
          <w:szCs w:val="16"/>
        </w:rPr>
        <w:t xml:space="preserve"># </w:t>
      </w:r>
      <w:proofErr w:type="gramStart"/>
      <w:r w:rsidRPr="00DB1BCB">
        <w:rPr>
          <w:rFonts w:eastAsia="Times New Roman" w:cs="Arial"/>
          <w:color w:val="000000" w:themeColor="text1"/>
          <w:szCs w:val="16"/>
        </w:rPr>
        <w:t>of</w:t>
      </w:r>
      <w:proofErr w:type="gramEnd"/>
      <w:r w:rsidRPr="00DB1BCB">
        <w:rPr>
          <w:rFonts w:eastAsia="Times New Roman" w:cs="Arial"/>
          <w:color w:val="000000" w:themeColor="text1"/>
          <w:szCs w:val="16"/>
        </w:rPr>
        <w:t xml:space="preserve"> those referred determined to be NOT eligible and whose eligibility was determined prior to their third birthdays.</w:t>
      </w:r>
    </w:p>
    <w:p w14:paraId="62A73664" w14:textId="52941511" w:rsidR="00704E6A" w:rsidRPr="00DB1BCB" w:rsidRDefault="00A90E71" w:rsidP="00155DFD">
      <w:pPr>
        <w:pStyle w:val="ListParagraph"/>
        <w:numPr>
          <w:ilvl w:val="0"/>
          <w:numId w:val="33"/>
        </w:numPr>
        <w:spacing w:after="0"/>
        <w:ind w:left="360" w:hanging="90"/>
        <w:rPr>
          <w:rFonts w:eastAsia="Times New Roman" w:cs="Arial"/>
          <w:color w:val="000000" w:themeColor="text1"/>
          <w:szCs w:val="16"/>
        </w:rPr>
      </w:pPr>
      <w:r w:rsidRPr="00DB1BCB">
        <w:rPr>
          <w:rFonts w:eastAsia="Times New Roman" w:cs="Arial"/>
          <w:color w:val="000000" w:themeColor="text1"/>
          <w:szCs w:val="16"/>
        </w:rPr>
        <w:t xml:space="preserve"># </w:t>
      </w:r>
      <w:proofErr w:type="gramStart"/>
      <w:r w:rsidRPr="00DB1BCB">
        <w:rPr>
          <w:rFonts w:eastAsia="Times New Roman" w:cs="Arial"/>
          <w:color w:val="000000" w:themeColor="text1"/>
          <w:szCs w:val="16"/>
        </w:rPr>
        <w:t>of</w:t>
      </w:r>
      <w:proofErr w:type="gramEnd"/>
      <w:r w:rsidRPr="00DB1BCB">
        <w:rPr>
          <w:rFonts w:eastAsia="Times New Roman" w:cs="Arial"/>
          <w:color w:val="000000" w:themeColor="text1"/>
          <w:szCs w:val="16"/>
        </w:rPr>
        <w:t xml:space="preserve"> those found eligible who have an IEP developed and implemented by their third birthdays.</w:t>
      </w:r>
    </w:p>
    <w:p w14:paraId="43DE876C" w14:textId="1BBC07BA" w:rsidR="00704E6A" w:rsidRPr="00DB1BCB" w:rsidRDefault="00A90E71" w:rsidP="00155DFD">
      <w:pPr>
        <w:pStyle w:val="ListParagraph"/>
        <w:numPr>
          <w:ilvl w:val="0"/>
          <w:numId w:val="33"/>
        </w:numPr>
        <w:spacing w:after="0"/>
        <w:ind w:left="360" w:hanging="90"/>
        <w:rPr>
          <w:rFonts w:eastAsia="Times New Roman" w:cs="Arial"/>
          <w:color w:val="000000" w:themeColor="text1"/>
          <w:szCs w:val="16"/>
        </w:rPr>
      </w:pPr>
      <w:r w:rsidRPr="00DB1BCB">
        <w:rPr>
          <w:rFonts w:eastAsia="Times New Roman" w:cs="Arial"/>
          <w:color w:val="000000" w:themeColor="text1"/>
          <w:szCs w:val="16"/>
        </w:rPr>
        <w:t xml:space="preserve"># </w:t>
      </w:r>
      <w:proofErr w:type="gramStart"/>
      <w:r w:rsidRPr="00DB1BCB">
        <w:rPr>
          <w:rFonts w:eastAsia="Times New Roman" w:cs="Arial"/>
          <w:color w:val="000000" w:themeColor="text1"/>
          <w:szCs w:val="16"/>
        </w:rPr>
        <w:t>of</w:t>
      </w:r>
      <w:proofErr w:type="gramEnd"/>
      <w:r w:rsidRPr="00DB1BCB">
        <w:rPr>
          <w:rFonts w:eastAsia="Times New Roman" w:cs="Arial"/>
          <w:color w:val="000000" w:themeColor="text1"/>
          <w:szCs w:val="16"/>
        </w:rPr>
        <w:t xml:space="preserve"> children for whom parent refusal to provide consent caused delays in evaluation or initial services or to whom exceptions under 34 CFR </w:t>
      </w:r>
      <w:r w:rsidR="00704E6A" w:rsidRPr="00DB1BCB">
        <w:rPr>
          <w:rFonts w:eastAsia="Times New Roman" w:cs="Arial"/>
          <w:color w:val="000000" w:themeColor="text1"/>
          <w:szCs w:val="16"/>
        </w:rPr>
        <w:t>§300.301(d) applied.</w:t>
      </w:r>
    </w:p>
    <w:p w14:paraId="4AFE260E" w14:textId="30D91B57" w:rsidR="00704E6A" w:rsidRPr="00DB1BCB" w:rsidRDefault="00A90E71" w:rsidP="00155DFD">
      <w:pPr>
        <w:pStyle w:val="ListParagraph"/>
        <w:numPr>
          <w:ilvl w:val="0"/>
          <w:numId w:val="33"/>
        </w:numPr>
        <w:spacing w:after="0"/>
        <w:ind w:left="360" w:hanging="90"/>
        <w:rPr>
          <w:rFonts w:eastAsia="Times New Roman" w:cs="Arial"/>
          <w:color w:val="000000" w:themeColor="text1"/>
          <w:szCs w:val="16"/>
        </w:rPr>
      </w:pPr>
      <w:r w:rsidRPr="00DB1BCB">
        <w:rPr>
          <w:rFonts w:eastAsia="Times New Roman" w:cs="Arial"/>
          <w:color w:val="000000" w:themeColor="text1"/>
          <w:szCs w:val="16"/>
        </w:rPr>
        <w:t xml:space="preserve"># </w:t>
      </w:r>
      <w:proofErr w:type="gramStart"/>
      <w:r w:rsidRPr="00DB1BCB">
        <w:rPr>
          <w:rFonts w:eastAsia="Times New Roman" w:cs="Arial"/>
          <w:color w:val="000000" w:themeColor="text1"/>
          <w:szCs w:val="16"/>
        </w:rPr>
        <w:t>of</w:t>
      </w:r>
      <w:proofErr w:type="gramEnd"/>
      <w:r w:rsidRPr="00DB1BCB">
        <w:rPr>
          <w:rFonts w:eastAsia="Times New Roman" w:cs="Arial"/>
          <w:color w:val="000000" w:themeColor="text1"/>
          <w:szCs w:val="16"/>
        </w:rPr>
        <w:t xml:space="preserve"> children determined to be eligible for early intervention services under Part C less than 90 days before their third birthdays.</w:t>
      </w:r>
    </w:p>
    <w:p w14:paraId="1306CF8A" w14:textId="50244D73" w:rsidR="00704E6A" w:rsidRPr="00DB1BCB" w:rsidRDefault="00A90E71" w:rsidP="00155DFD">
      <w:pPr>
        <w:pStyle w:val="ListParagraph"/>
        <w:numPr>
          <w:ilvl w:val="0"/>
          <w:numId w:val="33"/>
        </w:numPr>
        <w:ind w:left="360" w:hanging="86"/>
        <w:contextualSpacing w:val="0"/>
        <w:rPr>
          <w:rFonts w:eastAsia="Times New Roman" w:cs="Arial"/>
          <w:color w:val="000000" w:themeColor="text1"/>
          <w:szCs w:val="16"/>
        </w:rPr>
      </w:pPr>
      <w:r w:rsidRPr="00DB1BCB">
        <w:rPr>
          <w:rFonts w:eastAsia="Times New Roman" w:cs="Arial"/>
          <w:color w:val="000000" w:themeColor="text1"/>
          <w:szCs w:val="16"/>
        </w:rPr>
        <w:t xml:space="preserve"># </w:t>
      </w:r>
      <w:proofErr w:type="gramStart"/>
      <w:r w:rsidRPr="00DB1BCB">
        <w:rPr>
          <w:rFonts w:eastAsia="Times New Roman" w:cs="Arial"/>
          <w:color w:val="000000" w:themeColor="text1"/>
          <w:szCs w:val="16"/>
        </w:rPr>
        <w:t>of</w:t>
      </w:r>
      <w:proofErr w:type="gramEnd"/>
      <w:r w:rsidRPr="00DB1BCB">
        <w:rPr>
          <w:rFonts w:eastAsia="Times New Roman" w:cs="Arial"/>
          <w:color w:val="000000" w:themeColor="text1"/>
          <w:szCs w:val="16"/>
        </w:rPr>
        <w:t xml:space="preserve"> children whose parents chose to continue early intervention services beyond the child’s third birthday through a State’s policy under 34 </w:t>
      </w:r>
      <w:r w:rsidR="00704E6A" w:rsidRPr="00DB1BCB">
        <w:rPr>
          <w:rFonts w:eastAsia="Times New Roman" w:cs="Arial"/>
          <w:color w:val="000000" w:themeColor="text1"/>
          <w:szCs w:val="16"/>
        </w:rPr>
        <w:t>CFR §303.211 or a similar State option.</w:t>
      </w:r>
    </w:p>
    <w:p w14:paraId="07549C8E" w14:textId="77777777" w:rsidR="00704E6A" w:rsidRPr="00781112" w:rsidRDefault="00704E6A" w:rsidP="00A22EB9">
      <w:pPr>
        <w:spacing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A22EB9">
      <w:pPr>
        <w:spacing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224F9D">
      <w:pPr>
        <w:pStyle w:val="Heading4"/>
      </w:pPr>
      <w:r w:rsidRPr="00781112">
        <w:t>Instructions</w:t>
      </w:r>
    </w:p>
    <w:p w14:paraId="26144B56" w14:textId="77777777" w:rsidR="00704E6A" w:rsidRPr="00781112" w:rsidRDefault="00704E6A" w:rsidP="00A22EB9">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are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739AF8C8" w14:textId="77777777" w:rsidR="00704E6A" w:rsidRPr="00781112" w:rsidRDefault="00704E6A" w:rsidP="00A22EB9">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A22EB9">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A22EB9">
      <w:pPr>
        <w:rPr>
          <w:rFonts w:cs="Arial"/>
          <w:color w:val="000000" w:themeColor="text1"/>
          <w:szCs w:val="16"/>
        </w:rPr>
      </w:pPr>
      <w:r w:rsidRPr="00781112">
        <w:rPr>
          <w:rFonts w:cs="Arial"/>
          <w:color w:val="000000" w:themeColor="text1"/>
          <w:szCs w:val="16"/>
        </w:rPr>
        <w:lastRenderedPageBreak/>
        <w:t>Category f is to be used only by States that have an approved policy for providing parents the option of continuing early intervention services beyond the child’s third birthday under 34 CFR §303.211 or a similar State option.</w:t>
      </w:r>
    </w:p>
    <w:p w14:paraId="5D5B86D4" w14:textId="77777777" w:rsidR="00704E6A" w:rsidRPr="00781112" w:rsidRDefault="00704E6A" w:rsidP="00A22EB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13EC4722" w:rsidR="00704E6A" w:rsidRPr="00781112" w:rsidRDefault="003A4027" w:rsidP="00A22EB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9824C1D" w14:textId="3C301685" w:rsidR="00FE7D29" w:rsidRPr="00781112" w:rsidRDefault="00056350" w:rsidP="00A22EB9">
      <w:pPr>
        <w:pStyle w:val="Heading3"/>
      </w:pPr>
      <w:bookmarkStart w:id="90" w:name="_Toc384383359"/>
      <w:bookmarkStart w:id="91" w:name="_Toc392159327"/>
      <w:bookmarkEnd w:id="88"/>
      <w:bookmarkEnd w:id="89"/>
      <w:r w:rsidRPr="00781112">
        <w:t>12</w:t>
      </w:r>
      <w:r w:rsidR="004838A4" w:rsidRPr="00781112">
        <w:t xml:space="preserve"> </w:t>
      </w:r>
      <w:r w:rsidRPr="00781112">
        <w:t xml:space="preserve">- </w:t>
      </w:r>
      <w:r w:rsidR="00211617" w:rsidRPr="00781112">
        <w:t>Indicator Data</w:t>
      </w:r>
    </w:p>
    <w:p w14:paraId="0150EC4C" w14:textId="77777777" w:rsidR="0091098C" w:rsidRPr="000F63C4" w:rsidRDefault="0091098C" w:rsidP="00314F94">
      <w:pPr>
        <w:pStyle w:val="ListParagraph"/>
        <w:numPr>
          <w:ilvl w:val="0"/>
          <w:numId w:val="226"/>
        </w:numPr>
        <w:rPr>
          <w:bCs/>
          <w:color w:val="000000" w:themeColor="text1"/>
        </w:rPr>
      </w:pPr>
      <w:r w:rsidRPr="000F63C4">
        <w:rPr>
          <w:bCs/>
          <w:color w:val="000000" w:themeColor="text1"/>
        </w:rPr>
        <w:t>Not Applicable</w:t>
      </w:r>
    </w:p>
    <w:p w14:paraId="1844E5CA" w14:textId="6EC3A331" w:rsidR="00A5601C" w:rsidRPr="00781112" w:rsidRDefault="005D604C" w:rsidP="00A22EB9">
      <w:pPr>
        <w:rPr>
          <w:b/>
          <w:color w:val="000000" w:themeColor="text1"/>
        </w:rPr>
      </w:pPr>
      <w:r w:rsidRPr="00781112">
        <w:rPr>
          <w:b/>
          <w:color w:val="000000" w:themeColor="text1"/>
        </w:rPr>
        <w:t>Select yes if this indicator is not applicable.</w:t>
      </w:r>
    </w:p>
    <w:p w14:paraId="5B7EBB05" w14:textId="2AEC22C9" w:rsidR="00043AC9" w:rsidRPr="000F63C4" w:rsidRDefault="00D05B63" w:rsidP="00314F94">
      <w:pPr>
        <w:pStyle w:val="ListParagraph"/>
        <w:numPr>
          <w:ilvl w:val="0"/>
          <w:numId w:val="227"/>
        </w:numPr>
        <w:rPr>
          <w:rFonts w:cs="Arial"/>
          <w:color w:val="000000" w:themeColor="text1"/>
          <w:szCs w:val="16"/>
        </w:rPr>
      </w:pPr>
      <w:r w:rsidRPr="000F63C4">
        <w:rPr>
          <w:rFonts w:cs="Arial"/>
          <w:color w:val="000000" w:themeColor="text1"/>
          <w:szCs w:val="16"/>
        </w:rPr>
        <w:t>No</w:t>
      </w:r>
    </w:p>
    <w:p w14:paraId="71DDF5C0" w14:textId="301F2875" w:rsidR="00EC46E4" w:rsidRPr="00781112" w:rsidRDefault="00EC46E4" w:rsidP="00C33455">
      <w:pPr>
        <w:pStyle w:val="Caption"/>
      </w:pPr>
      <w:r w:rsidRPr="00781112">
        <w:t>Historical Data</w:t>
      </w:r>
      <w:r w:rsidR="00EB500A">
        <w:t xml:space="preserve"> (12)</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562"/>
        <w:gridCol w:w="2563"/>
      </w:tblGrid>
      <w:tr w:rsidR="001875AF" w:rsidRPr="00781112" w14:paraId="056D9953" w14:textId="77777777" w:rsidTr="00DB1BCB">
        <w:trPr>
          <w:trHeight w:val="432"/>
          <w:tblHeader/>
        </w:trPr>
        <w:tc>
          <w:tcPr>
            <w:tcW w:w="2562" w:type="dxa"/>
            <w:shd w:val="clear" w:color="auto" w:fill="D9D9D9" w:themeFill="background1" w:themeFillShade="D9"/>
            <w:vAlign w:val="center"/>
          </w:tcPr>
          <w:p w14:paraId="3B806594" w14:textId="77777777" w:rsidR="001875AF" w:rsidRPr="00781112" w:rsidRDefault="001875AF" w:rsidP="00DB1BCB">
            <w:pPr>
              <w:spacing w:after="0" w:line="276" w:lineRule="auto"/>
              <w:jc w:val="center"/>
              <w:rPr>
                <w:b/>
                <w:color w:val="000000" w:themeColor="text1"/>
              </w:rPr>
            </w:pPr>
            <w:r w:rsidRPr="00781112">
              <w:rPr>
                <w:rFonts w:cs="Arial"/>
                <w:b/>
                <w:color w:val="000000" w:themeColor="text1"/>
                <w:szCs w:val="16"/>
              </w:rPr>
              <w:t>Baseline Year</w:t>
            </w:r>
          </w:p>
        </w:tc>
        <w:tc>
          <w:tcPr>
            <w:tcW w:w="2563" w:type="dxa"/>
            <w:shd w:val="clear" w:color="auto" w:fill="D9D9D9" w:themeFill="background1" w:themeFillShade="D9"/>
            <w:vAlign w:val="center"/>
          </w:tcPr>
          <w:p w14:paraId="47C5AC3E" w14:textId="77777777" w:rsidR="001875AF" w:rsidRPr="00781112" w:rsidRDefault="001875AF" w:rsidP="00DB1BCB">
            <w:pPr>
              <w:spacing w:after="0" w:line="276" w:lineRule="auto"/>
              <w:jc w:val="center"/>
              <w:rPr>
                <w:b/>
                <w:color w:val="000000" w:themeColor="text1"/>
              </w:rPr>
            </w:pPr>
            <w:r w:rsidRPr="00781112">
              <w:rPr>
                <w:b/>
                <w:color w:val="000000" w:themeColor="text1"/>
              </w:rPr>
              <w:t>Baseline Data</w:t>
            </w:r>
          </w:p>
        </w:tc>
      </w:tr>
      <w:tr w:rsidR="001875AF" w:rsidRPr="00781112" w14:paraId="693B925B" w14:textId="77777777" w:rsidTr="00DB1BCB">
        <w:trPr>
          <w:trHeight w:val="432"/>
        </w:trPr>
        <w:tc>
          <w:tcPr>
            <w:tcW w:w="2562" w:type="dxa"/>
            <w:vAlign w:val="center"/>
          </w:tcPr>
          <w:p w14:paraId="589FAD9D" w14:textId="6C47315C" w:rsidR="001875AF" w:rsidRPr="00781112" w:rsidRDefault="001875AF" w:rsidP="00DB1BCB">
            <w:pPr>
              <w:spacing w:after="0" w:line="276" w:lineRule="auto"/>
              <w:jc w:val="center"/>
              <w:rPr>
                <w:bCs/>
                <w:color w:val="000000" w:themeColor="text1"/>
              </w:rPr>
            </w:pPr>
            <w:r w:rsidRPr="00781112">
              <w:rPr>
                <w:bCs/>
                <w:color w:val="000000" w:themeColor="text1"/>
              </w:rPr>
              <w:t>2005</w:t>
            </w:r>
          </w:p>
        </w:tc>
        <w:tc>
          <w:tcPr>
            <w:tcW w:w="2563" w:type="dxa"/>
            <w:vAlign w:val="center"/>
          </w:tcPr>
          <w:p w14:paraId="00D43D2D" w14:textId="0C3ED28A" w:rsidR="001875AF" w:rsidRPr="00781112" w:rsidRDefault="001875AF" w:rsidP="00DB1BCB">
            <w:pPr>
              <w:spacing w:after="0" w:line="276" w:lineRule="auto"/>
              <w:jc w:val="center"/>
              <w:rPr>
                <w:bCs/>
                <w:color w:val="000000" w:themeColor="text1"/>
              </w:rPr>
            </w:pPr>
            <w:r w:rsidRPr="00781112">
              <w:rPr>
                <w:bCs/>
                <w:color w:val="000000" w:themeColor="text1"/>
              </w:rPr>
              <w:t>89.30%</w:t>
            </w:r>
          </w:p>
        </w:tc>
      </w:tr>
    </w:tbl>
    <w:p w14:paraId="62B88BDF" w14:textId="31C7D3B3" w:rsidR="004F0EE5" w:rsidRPr="004F0EE5" w:rsidRDefault="004F0EE5" w:rsidP="00C33455">
      <w:pPr>
        <w:pStyle w:val="Caption"/>
      </w:pPr>
      <w:r w:rsidRPr="00781112">
        <w:t>Historical Data</w:t>
      </w:r>
      <w:r>
        <w:t xml:space="preserve"> (FFY)</w:t>
      </w:r>
      <w:r w:rsidR="00EB500A">
        <w:t xml:space="preserv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641F8356" w14:textId="77777777" w:rsidTr="00DB1BCB">
        <w:trPr>
          <w:trHeight w:val="432"/>
        </w:trPr>
        <w:tc>
          <w:tcPr>
            <w:tcW w:w="833" w:type="pct"/>
            <w:tcBorders>
              <w:bottom w:val="single" w:sz="4" w:space="0" w:color="auto"/>
            </w:tcBorders>
            <w:shd w:val="clear" w:color="auto" w:fill="D9D9D9" w:themeFill="background1" w:themeFillShade="D9"/>
            <w:vAlign w:val="center"/>
          </w:tcPr>
          <w:bookmarkEnd w:id="90"/>
          <w:bookmarkEnd w:id="91"/>
          <w:p w14:paraId="5D9A28F2" w14:textId="77777777" w:rsidR="009447A3" w:rsidRPr="00781112" w:rsidRDefault="009447A3" w:rsidP="00DB1BCB">
            <w:pPr>
              <w:spacing w:after="0"/>
              <w:jc w:val="center"/>
              <w:rPr>
                <w:rFonts w:cs="Arial"/>
                <w:b/>
                <w:color w:val="000000" w:themeColor="text1"/>
                <w:szCs w:val="16"/>
              </w:rPr>
            </w:pPr>
            <w:r w:rsidRPr="00781112">
              <w:rPr>
                <w:rFonts w:cs="Arial"/>
                <w:b/>
                <w:color w:val="000000" w:themeColor="text1"/>
                <w:szCs w:val="16"/>
              </w:rPr>
              <w:t>FFY</w:t>
            </w:r>
          </w:p>
        </w:tc>
        <w:tc>
          <w:tcPr>
            <w:tcW w:w="833" w:type="pct"/>
            <w:shd w:val="clear" w:color="auto" w:fill="D9D9D9" w:themeFill="background1" w:themeFillShade="D9"/>
            <w:vAlign w:val="center"/>
          </w:tcPr>
          <w:p w14:paraId="7E21A227" w14:textId="61889525" w:rsidR="009447A3" w:rsidRPr="00781112" w:rsidRDefault="002B7490" w:rsidP="00DB1BCB">
            <w:pPr>
              <w:spacing w:after="0"/>
              <w:jc w:val="center"/>
              <w:rPr>
                <w:rFonts w:cs="Arial"/>
                <w:b/>
                <w:color w:val="000000" w:themeColor="text1"/>
                <w:szCs w:val="16"/>
              </w:rPr>
            </w:pPr>
            <w:r w:rsidRPr="00781112">
              <w:rPr>
                <w:rFonts w:cs="Arial"/>
                <w:b/>
                <w:color w:val="000000" w:themeColor="text1"/>
                <w:szCs w:val="16"/>
              </w:rPr>
              <w:t>2015</w:t>
            </w:r>
          </w:p>
        </w:tc>
        <w:tc>
          <w:tcPr>
            <w:tcW w:w="833" w:type="pct"/>
            <w:shd w:val="clear" w:color="auto" w:fill="D9D9D9" w:themeFill="background1" w:themeFillShade="D9"/>
            <w:vAlign w:val="center"/>
          </w:tcPr>
          <w:p w14:paraId="6B56B4FE" w14:textId="34D3DC5E" w:rsidR="009447A3" w:rsidRPr="00781112" w:rsidRDefault="002B7490" w:rsidP="00DB1BCB">
            <w:pPr>
              <w:spacing w:after="0"/>
              <w:jc w:val="center"/>
              <w:rPr>
                <w:rFonts w:cs="Arial"/>
                <w:b/>
                <w:color w:val="000000" w:themeColor="text1"/>
                <w:szCs w:val="16"/>
              </w:rPr>
            </w:pPr>
            <w:r w:rsidRPr="00781112">
              <w:rPr>
                <w:rFonts w:cs="Arial"/>
                <w:b/>
                <w:color w:val="000000" w:themeColor="text1"/>
                <w:szCs w:val="16"/>
              </w:rPr>
              <w:t>2016</w:t>
            </w:r>
          </w:p>
        </w:tc>
        <w:tc>
          <w:tcPr>
            <w:tcW w:w="833" w:type="pct"/>
            <w:shd w:val="clear" w:color="auto" w:fill="D9D9D9" w:themeFill="background1" w:themeFillShade="D9"/>
            <w:vAlign w:val="center"/>
          </w:tcPr>
          <w:p w14:paraId="786A53CE" w14:textId="3A94FF3D" w:rsidR="009447A3" w:rsidRPr="00781112" w:rsidRDefault="002B7490" w:rsidP="00DB1BCB">
            <w:pPr>
              <w:spacing w:after="0"/>
              <w:jc w:val="center"/>
              <w:rPr>
                <w:rFonts w:cs="Arial"/>
                <w:b/>
                <w:color w:val="000000" w:themeColor="text1"/>
                <w:szCs w:val="16"/>
              </w:rPr>
            </w:pPr>
            <w:r w:rsidRPr="00781112">
              <w:rPr>
                <w:rFonts w:cs="Arial"/>
                <w:b/>
                <w:color w:val="000000" w:themeColor="text1"/>
                <w:szCs w:val="16"/>
              </w:rPr>
              <w:t>2017</w:t>
            </w:r>
          </w:p>
        </w:tc>
        <w:tc>
          <w:tcPr>
            <w:tcW w:w="833" w:type="pct"/>
            <w:shd w:val="clear" w:color="auto" w:fill="D9D9D9" w:themeFill="background1" w:themeFillShade="D9"/>
            <w:vAlign w:val="center"/>
          </w:tcPr>
          <w:p w14:paraId="221DF675" w14:textId="00A1F14E" w:rsidR="009447A3" w:rsidRPr="00781112" w:rsidRDefault="002B7490" w:rsidP="00DB1BCB">
            <w:pPr>
              <w:spacing w:after="0"/>
              <w:jc w:val="center"/>
              <w:rPr>
                <w:rFonts w:cs="Arial"/>
                <w:b/>
                <w:color w:val="000000" w:themeColor="text1"/>
                <w:szCs w:val="16"/>
              </w:rPr>
            </w:pPr>
            <w:r w:rsidRPr="00781112">
              <w:rPr>
                <w:rFonts w:cs="Arial"/>
                <w:b/>
                <w:color w:val="000000" w:themeColor="text1"/>
                <w:szCs w:val="16"/>
              </w:rPr>
              <w:t>2018</w:t>
            </w:r>
          </w:p>
        </w:tc>
        <w:tc>
          <w:tcPr>
            <w:tcW w:w="834" w:type="pct"/>
            <w:shd w:val="clear" w:color="auto" w:fill="D9D9D9" w:themeFill="background1" w:themeFillShade="D9"/>
            <w:vAlign w:val="center"/>
          </w:tcPr>
          <w:p w14:paraId="72849A47" w14:textId="21327CD6" w:rsidR="009447A3" w:rsidRPr="00781112" w:rsidRDefault="002B7490" w:rsidP="00DB1BCB">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1A3B7AC8" w14:textId="77777777" w:rsidTr="00DB1BCB">
        <w:trPr>
          <w:trHeight w:val="432"/>
        </w:trPr>
        <w:tc>
          <w:tcPr>
            <w:tcW w:w="833" w:type="pct"/>
            <w:shd w:val="clear" w:color="auto" w:fill="auto"/>
            <w:vAlign w:val="center"/>
          </w:tcPr>
          <w:p w14:paraId="27FE69AA" w14:textId="697900D5" w:rsidR="009447A3" w:rsidRPr="00781112" w:rsidRDefault="009447A3" w:rsidP="00DB1BCB">
            <w:pPr>
              <w:spacing w:after="0"/>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6628560E" w14:textId="0BC45703" w:rsidR="009447A3" w:rsidRPr="00781112" w:rsidRDefault="00B16A26" w:rsidP="00DB1BCB">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347A32E0" w14:textId="064AD14E" w:rsidR="009447A3" w:rsidRPr="00781112" w:rsidRDefault="00B16A26" w:rsidP="00DB1BCB">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4EFE8268" w14:textId="7F4C4E30" w:rsidR="009447A3" w:rsidRPr="00781112" w:rsidRDefault="00B16A26" w:rsidP="00DB1BCB">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14DDB11E" w14:textId="2D6071C3" w:rsidR="009447A3" w:rsidRPr="00781112" w:rsidRDefault="00B16A26" w:rsidP="00DB1BCB">
            <w:pPr>
              <w:spacing w:after="0"/>
              <w:jc w:val="center"/>
              <w:rPr>
                <w:rFonts w:cs="Arial"/>
                <w:color w:val="000000" w:themeColor="text1"/>
                <w:szCs w:val="16"/>
              </w:rPr>
            </w:pPr>
            <w:r w:rsidRPr="00781112">
              <w:rPr>
                <w:rFonts w:cs="Arial"/>
                <w:color w:val="000000" w:themeColor="text1"/>
                <w:szCs w:val="16"/>
              </w:rPr>
              <w:t>100%</w:t>
            </w:r>
          </w:p>
        </w:tc>
        <w:tc>
          <w:tcPr>
            <w:tcW w:w="834" w:type="pct"/>
            <w:shd w:val="clear" w:color="auto" w:fill="auto"/>
            <w:vAlign w:val="center"/>
          </w:tcPr>
          <w:p w14:paraId="17E07D81" w14:textId="67F91616" w:rsidR="009447A3" w:rsidRPr="00781112" w:rsidRDefault="00B16A26" w:rsidP="00DB1BCB">
            <w:pPr>
              <w:spacing w:after="0"/>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DB1BCB">
        <w:trPr>
          <w:trHeight w:val="432"/>
        </w:trPr>
        <w:tc>
          <w:tcPr>
            <w:tcW w:w="833" w:type="pct"/>
            <w:shd w:val="clear" w:color="auto" w:fill="auto"/>
            <w:vAlign w:val="center"/>
          </w:tcPr>
          <w:p w14:paraId="76E217FB" w14:textId="77777777" w:rsidR="009447A3" w:rsidRPr="00781112" w:rsidRDefault="009447A3" w:rsidP="00DB1BCB">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5ABEE368" w14:textId="7DA2F686" w:rsidR="009447A3" w:rsidRPr="00781112" w:rsidRDefault="002B7490" w:rsidP="00DB1BCB">
            <w:pPr>
              <w:spacing w:after="0"/>
              <w:jc w:val="center"/>
              <w:rPr>
                <w:rFonts w:cs="Arial"/>
                <w:color w:val="000000" w:themeColor="text1"/>
                <w:szCs w:val="16"/>
              </w:rPr>
            </w:pPr>
            <w:r w:rsidRPr="00781112">
              <w:rPr>
                <w:rFonts w:cs="Arial"/>
                <w:color w:val="000000" w:themeColor="text1"/>
                <w:szCs w:val="16"/>
              </w:rPr>
              <w:t>99.46%</w:t>
            </w:r>
          </w:p>
        </w:tc>
        <w:tc>
          <w:tcPr>
            <w:tcW w:w="833" w:type="pct"/>
            <w:shd w:val="clear" w:color="auto" w:fill="auto"/>
            <w:vAlign w:val="center"/>
          </w:tcPr>
          <w:p w14:paraId="6826E3EC" w14:textId="5DEFD785" w:rsidR="009447A3" w:rsidRPr="00781112" w:rsidRDefault="002B7490" w:rsidP="00DB1BCB">
            <w:pPr>
              <w:spacing w:after="0"/>
              <w:jc w:val="center"/>
              <w:rPr>
                <w:rFonts w:cs="Arial"/>
                <w:color w:val="000000" w:themeColor="text1"/>
                <w:szCs w:val="16"/>
              </w:rPr>
            </w:pPr>
            <w:r w:rsidRPr="00781112">
              <w:rPr>
                <w:rFonts w:cs="Arial"/>
                <w:color w:val="000000" w:themeColor="text1"/>
                <w:szCs w:val="16"/>
              </w:rPr>
              <w:t>99.53%</w:t>
            </w:r>
          </w:p>
        </w:tc>
        <w:tc>
          <w:tcPr>
            <w:tcW w:w="833" w:type="pct"/>
            <w:tcBorders>
              <w:bottom w:val="single" w:sz="4" w:space="0" w:color="auto"/>
            </w:tcBorders>
            <w:shd w:val="clear" w:color="auto" w:fill="auto"/>
            <w:vAlign w:val="center"/>
          </w:tcPr>
          <w:p w14:paraId="3702B817" w14:textId="1114F76E" w:rsidR="009447A3" w:rsidRPr="00781112" w:rsidRDefault="002B7490" w:rsidP="00DB1BCB">
            <w:pPr>
              <w:spacing w:after="0"/>
              <w:jc w:val="center"/>
              <w:rPr>
                <w:rFonts w:cs="Arial"/>
                <w:color w:val="000000" w:themeColor="text1"/>
                <w:szCs w:val="16"/>
              </w:rPr>
            </w:pPr>
            <w:r w:rsidRPr="00781112">
              <w:rPr>
                <w:rFonts w:cs="Arial"/>
                <w:color w:val="000000" w:themeColor="text1"/>
                <w:szCs w:val="16"/>
              </w:rPr>
              <w:t>99.56%</w:t>
            </w:r>
          </w:p>
        </w:tc>
        <w:tc>
          <w:tcPr>
            <w:tcW w:w="833" w:type="pct"/>
            <w:tcBorders>
              <w:bottom w:val="single" w:sz="4" w:space="0" w:color="auto"/>
            </w:tcBorders>
            <w:shd w:val="clear" w:color="auto" w:fill="auto"/>
            <w:vAlign w:val="center"/>
          </w:tcPr>
          <w:p w14:paraId="7E5D1EA5" w14:textId="75D6241E" w:rsidR="009447A3" w:rsidRPr="00781112" w:rsidRDefault="002B7490" w:rsidP="00DB1BCB">
            <w:pPr>
              <w:spacing w:after="0"/>
              <w:jc w:val="center"/>
              <w:rPr>
                <w:rFonts w:cs="Arial"/>
                <w:color w:val="000000" w:themeColor="text1"/>
                <w:szCs w:val="16"/>
              </w:rPr>
            </w:pPr>
            <w:r w:rsidRPr="00781112">
              <w:rPr>
                <w:rFonts w:cs="Arial"/>
                <w:color w:val="000000" w:themeColor="text1"/>
                <w:szCs w:val="16"/>
              </w:rPr>
              <w:t>99.70%</w:t>
            </w:r>
          </w:p>
        </w:tc>
        <w:tc>
          <w:tcPr>
            <w:tcW w:w="834" w:type="pct"/>
            <w:tcBorders>
              <w:bottom w:val="single" w:sz="4" w:space="0" w:color="auto"/>
            </w:tcBorders>
            <w:shd w:val="clear" w:color="auto" w:fill="auto"/>
            <w:vAlign w:val="center"/>
          </w:tcPr>
          <w:p w14:paraId="556DAD68" w14:textId="7FC0436F" w:rsidR="009447A3" w:rsidRPr="00781112" w:rsidRDefault="002B7490" w:rsidP="00DB1BCB">
            <w:pPr>
              <w:spacing w:after="0"/>
              <w:jc w:val="center"/>
              <w:rPr>
                <w:rFonts w:cs="Arial"/>
                <w:color w:val="000000" w:themeColor="text1"/>
                <w:szCs w:val="16"/>
              </w:rPr>
            </w:pPr>
            <w:r w:rsidRPr="00781112">
              <w:rPr>
                <w:rFonts w:cs="Arial"/>
                <w:color w:val="000000" w:themeColor="text1"/>
                <w:szCs w:val="16"/>
              </w:rPr>
              <w:t>99.47%</w:t>
            </w:r>
          </w:p>
        </w:tc>
      </w:tr>
    </w:tbl>
    <w:p w14:paraId="32D6DA70" w14:textId="66950344" w:rsidR="007A3964" w:rsidRPr="00781112" w:rsidRDefault="007A3964" w:rsidP="00C33455">
      <w:pPr>
        <w:pStyle w:val="Caption"/>
      </w:pPr>
      <w:r w:rsidRPr="00781112">
        <w:t>Targets</w:t>
      </w:r>
      <w:r w:rsidR="00EB500A">
        <w:t xml:space="preserve"> (12)</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targets for federal fiscal years 2020-2025 for this indicator."/>
      </w:tblPr>
      <w:tblGrid>
        <w:gridCol w:w="1168"/>
        <w:gridCol w:w="1557"/>
        <w:gridCol w:w="1559"/>
        <w:gridCol w:w="1559"/>
        <w:gridCol w:w="1559"/>
        <w:gridCol w:w="1559"/>
        <w:gridCol w:w="1559"/>
      </w:tblGrid>
      <w:tr w:rsidR="00AF574F" w:rsidRPr="00781112" w14:paraId="41D3AE7A" w14:textId="578794F0" w:rsidTr="00DB1BCB">
        <w:trPr>
          <w:trHeight w:val="432"/>
        </w:trPr>
        <w:tc>
          <w:tcPr>
            <w:tcW w:w="555" w:type="pct"/>
            <w:tcBorders>
              <w:bottom w:val="single" w:sz="4" w:space="0" w:color="auto"/>
            </w:tcBorders>
            <w:shd w:val="clear" w:color="auto" w:fill="D9D9D9" w:themeFill="background1" w:themeFillShade="D9"/>
            <w:vAlign w:val="center"/>
          </w:tcPr>
          <w:p w14:paraId="7786D02D" w14:textId="77777777" w:rsidR="00AF574F" w:rsidRPr="00781112" w:rsidRDefault="00AF574F" w:rsidP="00DB1BCB">
            <w:pPr>
              <w:spacing w:after="0"/>
              <w:jc w:val="center"/>
              <w:rPr>
                <w:b/>
                <w:color w:val="000000" w:themeColor="text1"/>
              </w:rPr>
            </w:pPr>
            <w:r w:rsidRPr="00781112">
              <w:rPr>
                <w:b/>
                <w:color w:val="000000" w:themeColor="text1"/>
              </w:rPr>
              <w:t>FFY</w:t>
            </w:r>
          </w:p>
        </w:tc>
        <w:tc>
          <w:tcPr>
            <w:tcW w:w="740" w:type="pct"/>
            <w:shd w:val="clear" w:color="auto" w:fill="D9D9D9" w:themeFill="background1" w:themeFillShade="D9"/>
            <w:vAlign w:val="center"/>
          </w:tcPr>
          <w:p w14:paraId="09ED5838" w14:textId="77777777" w:rsidR="00AF574F" w:rsidRPr="00781112" w:rsidRDefault="00AF574F" w:rsidP="00DB1BCB">
            <w:pPr>
              <w:spacing w:after="0"/>
              <w:jc w:val="center"/>
              <w:rPr>
                <w:b/>
                <w:color w:val="000000" w:themeColor="text1"/>
              </w:rPr>
            </w:pPr>
            <w:r w:rsidRPr="00781112">
              <w:rPr>
                <w:b/>
                <w:color w:val="000000" w:themeColor="text1"/>
              </w:rPr>
              <w:t>2020</w:t>
            </w:r>
          </w:p>
        </w:tc>
        <w:tc>
          <w:tcPr>
            <w:tcW w:w="741" w:type="pct"/>
            <w:shd w:val="clear" w:color="auto" w:fill="D9D9D9" w:themeFill="background1" w:themeFillShade="D9"/>
            <w:vAlign w:val="center"/>
          </w:tcPr>
          <w:p w14:paraId="0769903C" w14:textId="05A227DB" w:rsidR="00AF574F" w:rsidRPr="00781112" w:rsidRDefault="00AF574F" w:rsidP="00DB1BCB">
            <w:pPr>
              <w:spacing w:after="0"/>
              <w:jc w:val="center"/>
              <w:rPr>
                <w:b/>
                <w:color w:val="000000" w:themeColor="text1"/>
              </w:rPr>
            </w:pPr>
            <w:r w:rsidRPr="00781112">
              <w:rPr>
                <w:rFonts w:cs="Arial"/>
                <w:b/>
                <w:color w:val="000000" w:themeColor="text1"/>
                <w:szCs w:val="16"/>
              </w:rPr>
              <w:t>2021</w:t>
            </w:r>
          </w:p>
        </w:tc>
        <w:tc>
          <w:tcPr>
            <w:tcW w:w="741" w:type="pct"/>
            <w:shd w:val="clear" w:color="auto" w:fill="D9D9D9" w:themeFill="background1" w:themeFillShade="D9"/>
            <w:vAlign w:val="center"/>
          </w:tcPr>
          <w:p w14:paraId="77CF077D" w14:textId="38DFC132" w:rsidR="00AF574F" w:rsidRPr="00781112" w:rsidRDefault="00AF574F" w:rsidP="00DB1BCB">
            <w:pPr>
              <w:spacing w:after="0"/>
              <w:jc w:val="center"/>
              <w:rPr>
                <w:b/>
                <w:color w:val="000000" w:themeColor="text1"/>
              </w:rPr>
            </w:pPr>
            <w:r w:rsidRPr="00781112">
              <w:rPr>
                <w:rFonts w:cs="Arial"/>
                <w:b/>
                <w:color w:val="000000" w:themeColor="text1"/>
                <w:szCs w:val="16"/>
              </w:rPr>
              <w:t>2022</w:t>
            </w:r>
          </w:p>
        </w:tc>
        <w:tc>
          <w:tcPr>
            <w:tcW w:w="741" w:type="pct"/>
            <w:shd w:val="clear" w:color="auto" w:fill="D9D9D9" w:themeFill="background1" w:themeFillShade="D9"/>
            <w:vAlign w:val="center"/>
          </w:tcPr>
          <w:p w14:paraId="5C5F415E" w14:textId="7B035D53" w:rsidR="00AF574F" w:rsidRPr="00781112" w:rsidRDefault="00AF574F" w:rsidP="00DB1BCB">
            <w:pPr>
              <w:spacing w:after="0"/>
              <w:jc w:val="center"/>
              <w:rPr>
                <w:b/>
                <w:color w:val="000000" w:themeColor="text1"/>
              </w:rPr>
            </w:pPr>
            <w:r w:rsidRPr="00781112">
              <w:rPr>
                <w:rFonts w:cs="Arial"/>
                <w:b/>
                <w:color w:val="000000" w:themeColor="text1"/>
                <w:szCs w:val="16"/>
              </w:rPr>
              <w:t>2023</w:t>
            </w:r>
          </w:p>
        </w:tc>
        <w:tc>
          <w:tcPr>
            <w:tcW w:w="741" w:type="pct"/>
            <w:shd w:val="clear" w:color="auto" w:fill="D9D9D9" w:themeFill="background1" w:themeFillShade="D9"/>
            <w:vAlign w:val="center"/>
          </w:tcPr>
          <w:p w14:paraId="4D5B8FD6" w14:textId="4B2021E7" w:rsidR="00AF574F" w:rsidRPr="00781112" w:rsidRDefault="00AF574F" w:rsidP="00DB1BCB">
            <w:pPr>
              <w:spacing w:after="0"/>
              <w:jc w:val="center"/>
              <w:rPr>
                <w:b/>
                <w:color w:val="000000" w:themeColor="text1"/>
              </w:rPr>
            </w:pPr>
            <w:r w:rsidRPr="00781112">
              <w:rPr>
                <w:rFonts w:cs="Arial"/>
                <w:b/>
                <w:color w:val="000000" w:themeColor="text1"/>
                <w:szCs w:val="16"/>
              </w:rPr>
              <w:t>2024</w:t>
            </w:r>
          </w:p>
        </w:tc>
        <w:tc>
          <w:tcPr>
            <w:tcW w:w="741" w:type="pct"/>
            <w:shd w:val="clear" w:color="auto" w:fill="D9D9D9" w:themeFill="background1" w:themeFillShade="D9"/>
            <w:vAlign w:val="center"/>
          </w:tcPr>
          <w:p w14:paraId="4CA9D2AB" w14:textId="2AC1725C" w:rsidR="00AF574F" w:rsidRPr="00781112" w:rsidRDefault="00AF574F" w:rsidP="00DB1BCB">
            <w:pPr>
              <w:spacing w:after="0"/>
              <w:jc w:val="center"/>
              <w:rPr>
                <w:b/>
                <w:color w:val="000000" w:themeColor="text1"/>
              </w:rPr>
            </w:pPr>
            <w:r w:rsidRPr="00781112">
              <w:rPr>
                <w:rFonts w:cs="Arial"/>
                <w:b/>
                <w:color w:val="000000" w:themeColor="text1"/>
                <w:szCs w:val="16"/>
              </w:rPr>
              <w:t>2025</w:t>
            </w:r>
          </w:p>
        </w:tc>
      </w:tr>
      <w:tr w:rsidR="00AF574F" w:rsidRPr="00781112" w14:paraId="2B267817" w14:textId="2A03C05D" w:rsidTr="00DB1BCB">
        <w:trPr>
          <w:trHeight w:val="432"/>
        </w:trPr>
        <w:tc>
          <w:tcPr>
            <w:tcW w:w="555" w:type="pct"/>
            <w:shd w:val="clear" w:color="auto" w:fill="auto"/>
            <w:vAlign w:val="center"/>
          </w:tcPr>
          <w:p w14:paraId="70D956A8" w14:textId="1ADBA514" w:rsidR="00AF574F" w:rsidRPr="00781112" w:rsidRDefault="00AF574F" w:rsidP="00DB1BCB">
            <w:pPr>
              <w:spacing w:after="0"/>
              <w:jc w:val="center"/>
              <w:rPr>
                <w:rFonts w:cs="Arial"/>
                <w:color w:val="000000" w:themeColor="text1"/>
                <w:szCs w:val="16"/>
              </w:rPr>
            </w:pPr>
            <w:r w:rsidRPr="00781112">
              <w:rPr>
                <w:rFonts w:cs="Arial"/>
                <w:color w:val="000000" w:themeColor="text1"/>
                <w:szCs w:val="16"/>
              </w:rPr>
              <w:t>Target</w:t>
            </w:r>
          </w:p>
        </w:tc>
        <w:tc>
          <w:tcPr>
            <w:tcW w:w="740" w:type="pct"/>
            <w:shd w:val="clear" w:color="auto" w:fill="auto"/>
            <w:vAlign w:val="center"/>
          </w:tcPr>
          <w:p w14:paraId="5CDE7127" w14:textId="59D1386F" w:rsidR="00AF574F" w:rsidRPr="00781112" w:rsidRDefault="00AF574F" w:rsidP="00DB1BCB">
            <w:pPr>
              <w:spacing w:after="0"/>
              <w:jc w:val="center"/>
              <w:rPr>
                <w:rFonts w:cs="Arial"/>
                <w:color w:val="000000" w:themeColor="text1"/>
                <w:szCs w:val="16"/>
              </w:rPr>
            </w:pPr>
            <w:r w:rsidRPr="00781112">
              <w:rPr>
                <w:rFonts w:cs="Arial"/>
                <w:color w:val="000000" w:themeColor="text1"/>
                <w:szCs w:val="16"/>
              </w:rPr>
              <w:t>100%</w:t>
            </w:r>
          </w:p>
        </w:tc>
        <w:tc>
          <w:tcPr>
            <w:tcW w:w="741" w:type="pct"/>
            <w:vAlign w:val="center"/>
          </w:tcPr>
          <w:p w14:paraId="6CF78C3F" w14:textId="1B45F3AE" w:rsidR="00AF574F" w:rsidRPr="00781112" w:rsidRDefault="00AF574F" w:rsidP="00DB1BCB">
            <w:pPr>
              <w:spacing w:after="0"/>
              <w:jc w:val="center"/>
              <w:rPr>
                <w:rFonts w:cs="Arial"/>
                <w:color w:val="000000" w:themeColor="text1"/>
                <w:szCs w:val="16"/>
              </w:rPr>
            </w:pPr>
            <w:r w:rsidRPr="00781112">
              <w:rPr>
                <w:color w:val="000000" w:themeColor="text1"/>
                <w:szCs w:val="16"/>
              </w:rPr>
              <w:t>100%</w:t>
            </w:r>
          </w:p>
        </w:tc>
        <w:tc>
          <w:tcPr>
            <w:tcW w:w="741" w:type="pct"/>
            <w:vAlign w:val="center"/>
          </w:tcPr>
          <w:p w14:paraId="6FCC2C45" w14:textId="5131688B" w:rsidR="00AF574F" w:rsidRPr="00781112" w:rsidRDefault="00AF574F" w:rsidP="00DB1BCB">
            <w:pPr>
              <w:spacing w:after="0"/>
              <w:jc w:val="center"/>
              <w:rPr>
                <w:rFonts w:cs="Arial"/>
                <w:color w:val="000000" w:themeColor="text1"/>
                <w:szCs w:val="16"/>
              </w:rPr>
            </w:pPr>
            <w:r w:rsidRPr="00781112">
              <w:rPr>
                <w:color w:val="000000" w:themeColor="text1"/>
                <w:szCs w:val="16"/>
              </w:rPr>
              <w:t>100%</w:t>
            </w:r>
          </w:p>
        </w:tc>
        <w:tc>
          <w:tcPr>
            <w:tcW w:w="741" w:type="pct"/>
            <w:vAlign w:val="center"/>
          </w:tcPr>
          <w:p w14:paraId="06CB35C0" w14:textId="66848221" w:rsidR="00AF574F" w:rsidRPr="00781112" w:rsidRDefault="00AF574F" w:rsidP="00DB1BCB">
            <w:pPr>
              <w:spacing w:after="0"/>
              <w:jc w:val="center"/>
              <w:rPr>
                <w:rFonts w:cs="Arial"/>
                <w:color w:val="000000" w:themeColor="text1"/>
                <w:szCs w:val="16"/>
              </w:rPr>
            </w:pPr>
            <w:r w:rsidRPr="00781112">
              <w:rPr>
                <w:color w:val="000000" w:themeColor="text1"/>
                <w:szCs w:val="16"/>
              </w:rPr>
              <w:t>100%</w:t>
            </w:r>
          </w:p>
        </w:tc>
        <w:tc>
          <w:tcPr>
            <w:tcW w:w="741" w:type="pct"/>
            <w:vAlign w:val="center"/>
          </w:tcPr>
          <w:p w14:paraId="3CD9C2C5" w14:textId="2066089A" w:rsidR="00AF574F" w:rsidRPr="00781112" w:rsidRDefault="00AF574F" w:rsidP="00DB1BCB">
            <w:pPr>
              <w:spacing w:after="0"/>
              <w:jc w:val="center"/>
              <w:rPr>
                <w:rFonts w:cs="Arial"/>
                <w:color w:val="000000" w:themeColor="text1"/>
                <w:szCs w:val="16"/>
              </w:rPr>
            </w:pPr>
            <w:r w:rsidRPr="00781112">
              <w:rPr>
                <w:color w:val="000000" w:themeColor="text1"/>
                <w:szCs w:val="16"/>
              </w:rPr>
              <w:t>100%</w:t>
            </w:r>
          </w:p>
        </w:tc>
        <w:tc>
          <w:tcPr>
            <w:tcW w:w="741" w:type="pct"/>
            <w:vAlign w:val="center"/>
          </w:tcPr>
          <w:p w14:paraId="0911C601" w14:textId="5D8A006D" w:rsidR="00AF574F" w:rsidRPr="00781112" w:rsidRDefault="00AF574F" w:rsidP="00DB1BCB">
            <w:pPr>
              <w:spacing w:after="0"/>
              <w:jc w:val="center"/>
              <w:rPr>
                <w:rFonts w:cs="Arial"/>
                <w:color w:val="000000" w:themeColor="text1"/>
                <w:szCs w:val="16"/>
              </w:rPr>
            </w:pPr>
            <w:r w:rsidRPr="00781112">
              <w:rPr>
                <w:color w:val="000000" w:themeColor="text1"/>
                <w:szCs w:val="16"/>
              </w:rPr>
              <w:t>100%</w:t>
            </w:r>
          </w:p>
        </w:tc>
      </w:tr>
    </w:tbl>
    <w:p w14:paraId="4C8DD49F" w14:textId="1AF6F646" w:rsidR="00634AD8" w:rsidRPr="00781112" w:rsidRDefault="00F6415A" w:rsidP="00C33455">
      <w:pPr>
        <w:pStyle w:val="Caption"/>
      </w:pPr>
      <w:bookmarkStart w:id="92" w:name="_Hlk121844495"/>
      <w:r w:rsidRPr="00781112">
        <w:t>FFY 2020 SPP/APR Data</w:t>
      </w:r>
      <w:r w:rsidR="00C578AE">
        <w:t xml:space="preserv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early childhood transition categories and total number of students for each for this indicator."/>
      </w:tblPr>
      <w:tblGrid>
        <w:gridCol w:w="9355"/>
        <w:gridCol w:w="1435"/>
      </w:tblGrid>
      <w:tr w:rsidR="007D0FFB" w:rsidRPr="00781112" w14:paraId="5714D025" w14:textId="77777777" w:rsidTr="007D0FFB">
        <w:trPr>
          <w:trHeight w:val="720"/>
          <w:tblHeader/>
        </w:trPr>
        <w:tc>
          <w:tcPr>
            <w:tcW w:w="4335" w:type="pct"/>
            <w:shd w:val="clear" w:color="auto" w:fill="D9D9D9" w:themeFill="background1" w:themeFillShade="D9"/>
            <w:vAlign w:val="center"/>
          </w:tcPr>
          <w:bookmarkEnd w:id="92"/>
          <w:p w14:paraId="078ED536" w14:textId="2B21235A" w:rsidR="007D0FFB" w:rsidRPr="00C578AE" w:rsidRDefault="00C578AE" w:rsidP="008143AB">
            <w:pPr>
              <w:pStyle w:val="Heading2"/>
            </w:pPr>
            <w:r w:rsidRPr="00C578AE">
              <w:t>Indicator 12: Early Childhood Transition</w:t>
            </w:r>
          </w:p>
        </w:tc>
        <w:tc>
          <w:tcPr>
            <w:tcW w:w="665" w:type="pct"/>
            <w:shd w:val="clear" w:color="auto" w:fill="D9D9D9" w:themeFill="background1" w:themeFillShade="D9"/>
            <w:vAlign w:val="center"/>
          </w:tcPr>
          <w:p w14:paraId="0D9638FC" w14:textId="0F03B4F9" w:rsidR="007D0FFB" w:rsidRPr="007D0FFB" w:rsidRDefault="007D0FFB" w:rsidP="007D0FFB">
            <w:pPr>
              <w:spacing w:after="0"/>
              <w:jc w:val="center"/>
              <w:rPr>
                <w:rFonts w:cs="Arial"/>
                <w:b/>
                <w:bCs/>
                <w:color w:val="000000" w:themeColor="text1"/>
                <w:szCs w:val="16"/>
              </w:rPr>
            </w:pPr>
            <w:r>
              <w:rPr>
                <w:rFonts w:cs="Arial"/>
                <w:b/>
                <w:bCs/>
                <w:color w:val="000000" w:themeColor="text1"/>
                <w:szCs w:val="16"/>
              </w:rPr>
              <w:t xml:space="preserve">Total </w:t>
            </w:r>
            <w:r w:rsidRPr="007D0FFB">
              <w:rPr>
                <w:rFonts w:cs="Arial"/>
                <w:b/>
                <w:bCs/>
                <w:color w:val="000000" w:themeColor="text1"/>
                <w:szCs w:val="16"/>
              </w:rPr>
              <w:t>Number</w:t>
            </w:r>
          </w:p>
        </w:tc>
      </w:tr>
      <w:tr w:rsidR="005C29F8" w:rsidRPr="00781112" w14:paraId="5DD64811" w14:textId="77777777" w:rsidTr="007D0FFB">
        <w:trPr>
          <w:trHeight w:val="720"/>
        </w:trPr>
        <w:tc>
          <w:tcPr>
            <w:tcW w:w="4335" w:type="pct"/>
            <w:vAlign w:val="center"/>
          </w:tcPr>
          <w:p w14:paraId="7822AF5A" w14:textId="0E4C20A8" w:rsidR="00634AD8" w:rsidRPr="00781112" w:rsidRDefault="00634AD8" w:rsidP="007D0FFB">
            <w:pPr>
              <w:spacing w:after="0"/>
              <w:rPr>
                <w:rFonts w:cs="Arial"/>
                <w:color w:val="000000" w:themeColor="text1"/>
                <w:szCs w:val="16"/>
              </w:rPr>
            </w:pPr>
            <w:r w:rsidRPr="00781112">
              <w:rPr>
                <w:rFonts w:cs="Arial"/>
                <w:color w:val="000000" w:themeColor="text1"/>
                <w:szCs w:val="16"/>
              </w:rPr>
              <w:t xml:space="preserve">a. Number of children who have been served in Part C and referred to Part B for </w:t>
            </w:r>
            <w:r w:rsidR="007D0FFB">
              <w:rPr>
                <w:rFonts w:cs="Arial"/>
                <w:color w:val="000000" w:themeColor="text1"/>
                <w:szCs w:val="16"/>
              </w:rPr>
              <w:br/>
            </w:r>
            <w:r w:rsidRPr="00781112">
              <w:rPr>
                <w:rFonts w:cs="Arial"/>
                <w:color w:val="000000" w:themeColor="text1"/>
                <w:szCs w:val="16"/>
              </w:rPr>
              <w:t xml:space="preserve">Part B eligibility determination. </w:t>
            </w:r>
          </w:p>
        </w:tc>
        <w:tc>
          <w:tcPr>
            <w:tcW w:w="665" w:type="pct"/>
            <w:shd w:val="clear" w:color="auto" w:fill="auto"/>
            <w:vAlign w:val="center"/>
          </w:tcPr>
          <w:p w14:paraId="65ADF67F" w14:textId="14592995" w:rsidR="00634AD8" w:rsidRPr="00781112" w:rsidRDefault="002B7490" w:rsidP="007D0FFB">
            <w:pPr>
              <w:spacing w:after="0"/>
              <w:jc w:val="center"/>
              <w:rPr>
                <w:rFonts w:cs="Arial"/>
                <w:color w:val="000000" w:themeColor="text1"/>
                <w:szCs w:val="16"/>
              </w:rPr>
            </w:pPr>
            <w:r w:rsidRPr="00781112">
              <w:rPr>
                <w:rFonts w:cs="Arial"/>
                <w:color w:val="000000" w:themeColor="text1"/>
                <w:szCs w:val="16"/>
              </w:rPr>
              <w:t>3,683</w:t>
            </w:r>
          </w:p>
        </w:tc>
      </w:tr>
      <w:tr w:rsidR="005C29F8" w:rsidRPr="00781112" w14:paraId="6497A162" w14:textId="77777777" w:rsidTr="007D0FFB">
        <w:trPr>
          <w:trHeight w:val="720"/>
        </w:trPr>
        <w:tc>
          <w:tcPr>
            <w:tcW w:w="4335" w:type="pct"/>
            <w:vAlign w:val="center"/>
          </w:tcPr>
          <w:p w14:paraId="00979D87" w14:textId="77777777" w:rsidR="00634AD8" w:rsidRPr="00781112" w:rsidRDefault="00634AD8" w:rsidP="007D0FFB">
            <w:pPr>
              <w:spacing w:after="0"/>
              <w:rPr>
                <w:rFonts w:cs="Arial"/>
                <w:color w:val="000000" w:themeColor="text1"/>
                <w:szCs w:val="16"/>
              </w:rPr>
            </w:pPr>
            <w:r w:rsidRPr="00781112">
              <w:rPr>
                <w:rFonts w:cs="Arial"/>
                <w:color w:val="000000" w:themeColor="text1"/>
                <w:szCs w:val="16"/>
              </w:rPr>
              <w:lastRenderedPageBreak/>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7D0FFB">
            <w:pPr>
              <w:spacing w:after="0"/>
              <w:jc w:val="center"/>
              <w:rPr>
                <w:rFonts w:cs="Arial"/>
                <w:color w:val="000000" w:themeColor="text1"/>
                <w:szCs w:val="16"/>
              </w:rPr>
            </w:pPr>
            <w:r w:rsidRPr="00781112">
              <w:rPr>
                <w:rFonts w:cs="Arial"/>
                <w:color w:val="000000" w:themeColor="text1"/>
                <w:szCs w:val="16"/>
              </w:rPr>
              <w:t>360</w:t>
            </w:r>
          </w:p>
        </w:tc>
      </w:tr>
      <w:tr w:rsidR="005C29F8" w:rsidRPr="00781112" w14:paraId="3372C19D" w14:textId="77777777" w:rsidTr="007D0FFB">
        <w:trPr>
          <w:trHeight w:val="720"/>
        </w:trPr>
        <w:tc>
          <w:tcPr>
            <w:tcW w:w="4335" w:type="pct"/>
            <w:vAlign w:val="center"/>
          </w:tcPr>
          <w:p w14:paraId="2817071E" w14:textId="77777777" w:rsidR="00634AD8" w:rsidRPr="00781112" w:rsidRDefault="00634AD8" w:rsidP="007D0FFB">
            <w:pPr>
              <w:spacing w:after="0"/>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7D0FFB">
            <w:pPr>
              <w:spacing w:after="0"/>
              <w:jc w:val="center"/>
              <w:rPr>
                <w:rFonts w:cs="Arial"/>
                <w:color w:val="000000" w:themeColor="text1"/>
                <w:szCs w:val="16"/>
              </w:rPr>
            </w:pPr>
            <w:r w:rsidRPr="00781112">
              <w:rPr>
                <w:rFonts w:cs="Arial"/>
                <w:color w:val="000000" w:themeColor="text1"/>
                <w:szCs w:val="16"/>
              </w:rPr>
              <w:t>2,213</w:t>
            </w:r>
          </w:p>
        </w:tc>
      </w:tr>
      <w:tr w:rsidR="005C29F8" w:rsidRPr="00781112" w14:paraId="00CE41C8" w14:textId="77777777" w:rsidTr="007D0FFB">
        <w:trPr>
          <w:trHeight w:val="720"/>
        </w:trPr>
        <w:tc>
          <w:tcPr>
            <w:tcW w:w="4335" w:type="pct"/>
            <w:vAlign w:val="center"/>
          </w:tcPr>
          <w:p w14:paraId="547A75A2" w14:textId="77777777" w:rsidR="00634AD8" w:rsidRPr="00781112" w:rsidRDefault="00634AD8" w:rsidP="007D0FFB">
            <w:pPr>
              <w:spacing w:after="0"/>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7D0FFB">
            <w:pPr>
              <w:spacing w:after="0"/>
              <w:jc w:val="center"/>
              <w:rPr>
                <w:rFonts w:cs="Arial"/>
                <w:color w:val="000000" w:themeColor="text1"/>
                <w:szCs w:val="16"/>
              </w:rPr>
            </w:pPr>
            <w:r w:rsidRPr="00781112">
              <w:rPr>
                <w:rFonts w:cs="Arial"/>
                <w:color w:val="000000" w:themeColor="text1"/>
                <w:szCs w:val="16"/>
              </w:rPr>
              <w:t>709</w:t>
            </w:r>
          </w:p>
        </w:tc>
      </w:tr>
      <w:tr w:rsidR="005C29F8" w:rsidRPr="00781112" w14:paraId="47C8B30F" w14:textId="77777777" w:rsidTr="007D0FFB">
        <w:trPr>
          <w:trHeight w:val="720"/>
        </w:trPr>
        <w:tc>
          <w:tcPr>
            <w:tcW w:w="4335" w:type="pct"/>
            <w:vAlign w:val="center"/>
          </w:tcPr>
          <w:p w14:paraId="03BE3AC0" w14:textId="77777777" w:rsidR="00634AD8" w:rsidRPr="00781112" w:rsidRDefault="00634AD8" w:rsidP="007D0FFB">
            <w:pPr>
              <w:spacing w:after="0"/>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7D0FFB">
            <w:pPr>
              <w:spacing w:after="0"/>
              <w:jc w:val="center"/>
              <w:rPr>
                <w:rFonts w:cs="Arial"/>
                <w:color w:val="000000" w:themeColor="text1"/>
                <w:szCs w:val="16"/>
              </w:rPr>
            </w:pPr>
            <w:r w:rsidRPr="00781112">
              <w:rPr>
                <w:rFonts w:cs="Arial"/>
                <w:color w:val="000000" w:themeColor="text1"/>
                <w:szCs w:val="16"/>
              </w:rPr>
              <w:t>291</w:t>
            </w:r>
          </w:p>
        </w:tc>
      </w:tr>
      <w:tr w:rsidR="004E67B3" w:rsidRPr="00781112" w14:paraId="19297440" w14:textId="77777777" w:rsidTr="007D0FFB">
        <w:trPr>
          <w:trHeight w:val="720"/>
        </w:trPr>
        <w:tc>
          <w:tcPr>
            <w:tcW w:w="4335" w:type="pct"/>
            <w:vAlign w:val="center"/>
          </w:tcPr>
          <w:p w14:paraId="592F3289" w14:textId="43CA733D" w:rsidR="004E67B3" w:rsidRPr="00781112" w:rsidRDefault="004E67B3" w:rsidP="007D0FFB">
            <w:pPr>
              <w:spacing w:after="0"/>
              <w:rPr>
                <w:rFonts w:cs="Arial"/>
                <w:color w:val="000000" w:themeColor="text1"/>
                <w:szCs w:val="16"/>
              </w:rPr>
            </w:pPr>
            <w:r w:rsidRPr="00781112">
              <w:rPr>
                <w:rFonts w:cs="Arial"/>
                <w:color w:val="000000" w:themeColor="text1"/>
                <w:szCs w:val="16"/>
              </w:rPr>
              <w:t xml:space="preserve">f. Number of children whose parents chose to continue early intervention services beyond the child’s third birthday through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policy under 34 CFR §303.211 or a similar State option.</w:t>
            </w:r>
          </w:p>
        </w:tc>
        <w:tc>
          <w:tcPr>
            <w:tcW w:w="665" w:type="pct"/>
            <w:shd w:val="clear" w:color="auto" w:fill="auto"/>
            <w:vAlign w:val="center"/>
          </w:tcPr>
          <w:p w14:paraId="02B29C79" w14:textId="62FEE650" w:rsidR="004E67B3" w:rsidRPr="00781112" w:rsidRDefault="002B7490" w:rsidP="007D0FFB">
            <w:pPr>
              <w:spacing w:after="0"/>
              <w:jc w:val="center"/>
              <w:rPr>
                <w:rFonts w:cs="Arial"/>
                <w:color w:val="000000" w:themeColor="text1"/>
                <w:szCs w:val="16"/>
              </w:rPr>
            </w:pPr>
            <w:r w:rsidRPr="00781112">
              <w:rPr>
                <w:rFonts w:cs="Arial"/>
                <w:color w:val="000000" w:themeColor="text1"/>
                <w:szCs w:val="16"/>
              </w:rPr>
              <w:t>0</w:t>
            </w:r>
          </w:p>
        </w:tc>
      </w:tr>
    </w:tbl>
    <w:p w14:paraId="2F1175D6" w14:textId="30B29718" w:rsidR="00DB1BCB" w:rsidRPr="00781112" w:rsidRDefault="00EB500A" w:rsidP="00C33455">
      <w:pPr>
        <w:pStyle w:val="Caption"/>
      </w:pPr>
      <w:bookmarkStart w:id="93" w:name="_Hlk121844307"/>
      <w:r>
        <w:t>Indicator 12: IEP Implemented by Third Birthday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his indicator measurement, its numerators and denominators, data for FFY 2019, target and data for FFY 2020, status, and slippage, when applicable."/>
      </w:tblPr>
      <w:tblGrid>
        <w:gridCol w:w="2065"/>
        <w:gridCol w:w="1530"/>
        <w:gridCol w:w="1800"/>
        <w:gridCol w:w="1051"/>
        <w:gridCol w:w="1051"/>
        <w:gridCol w:w="1051"/>
        <w:gridCol w:w="988"/>
        <w:gridCol w:w="1254"/>
      </w:tblGrid>
      <w:tr w:rsidR="007D0FFB" w:rsidRPr="00781112" w14:paraId="666B6B4E" w14:textId="2C1DC9A0" w:rsidTr="007D0FFB">
        <w:trPr>
          <w:trHeight w:val="340"/>
          <w:tblHeader/>
        </w:trPr>
        <w:tc>
          <w:tcPr>
            <w:tcW w:w="957" w:type="pct"/>
            <w:shd w:val="clear" w:color="auto" w:fill="D9D9D9" w:themeFill="background1" w:themeFillShade="D9"/>
            <w:vAlign w:val="center"/>
          </w:tcPr>
          <w:bookmarkEnd w:id="93"/>
          <w:p w14:paraId="5A0321EA" w14:textId="34C57852" w:rsidR="00704E6A" w:rsidRPr="00781112" w:rsidRDefault="00694A39" w:rsidP="007D0FFB">
            <w:pPr>
              <w:spacing w:after="0"/>
              <w:jc w:val="center"/>
              <w:rPr>
                <w:rFonts w:cs="Arial"/>
                <w:b/>
                <w:bCs/>
                <w:color w:val="000000" w:themeColor="text1"/>
                <w:szCs w:val="16"/>
              </w:rPr>
            </w:pPr>
            <w:r w:rsidRPr="00781112">
              <w:rPr>
                <w:rFonts w:cs="Arial"/>
                <w:b/>
                <w:bCs/>
                <w:color w:val="000000" w:themeColor="text1"/>
                <w:szCs w:val="16"/>
              </w:rPr>
              <w:t>Measure</w:t>
            </w:r>
          </w:p>
        </w:tc>
        <w:tc>
          <w:tcPr>
            <w:tcW w:w="709" w:type="pct"/>
            <w:shd w:val="clear" w:color="auto" w:fill="D9D9D9" w:themeFill="background1" w:themeFillShade="D9"/>
            <w:vAlign w:val="center"/>
          </w:tcPr>
          <w:p w14:paraId="45390059" w14:textId="77777777" w:rsidR="00704E6A" w:rsidRPr="00781112" w:rsidRDefault="00704E6A" w:rsidP="007D0FFB">
            <w:pPr>
              <w:spacing w:after="0"/>
              <w:jc w:val="center"/>
              <w:rPr>
                <w:rFonts w:cs="Arial"/>
                <w:b/>
                <w:color w:val="000000" w:themeColor="text1"/>
                <w:szCs w:val="16"/>
              </w:rPr>
            </w:pPr>
            <w:r w:rsidRPr="00781112">
              <w:rPr>
                <w:rFonts w:cs="Arial"/>
                <w:b/>
                <w:color w:val="000000" w:themeColor="text1"/>
                <w:szCs w:val="16"/>
              </w:rPr>
              <w:t>Numerator (c)</w:t>
            </w:r>
          </w:p>
        </w:tc>
        <w:tc>
          <w:tcPr>
            <w:tcW w:w="834" w:type="pct"/>
            <w:shd w:val="clear" w:color="auto" w:fill="D9D9D9" w:themeFill="background1" w:themeFillShade="D9"/>
            <w:vAlign w:val="center"/>
          </w:tcPr>
          <w:p w14:paraId="46860D80" w14:textId="5789EDF6" w:rsidR="00704E6A" w:rsidRPr="0075451F" w:rsidRDefault="00704E6A" w:rsidP="007D0FFB">
            <w:pPr>
              <w:spacing w:after="0"/>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w:t>
            </w:r>
            <w:r w:rsidR="007D0FFB">
              <w:rPr>
                <w:rFonts w:cs="Arial"/>
                <w:b/>
                <w:color w:val="000000" w:themeColor="text1"/>
                <w:szCs w:val="16"/>
                <w:lang w:val="es-ES"/>
              </w:rPr>
              <w:br/>
            </w:r>
            <w:r w:rsidRPr="0075451F">
              <w:rPr>
                <w:rFonts w:cs="Arial"/>
                <w:b/>
                <w:color w:val="000000" w:themeColor="text1"/>
                <w:szCs w:val="16"/>
                <w:lang w:val="es-ES"/>
              </w:rPr>
              <w:t>(a-b-d-e-f)</w:t>
            </w:r>
          </w:p>
        </w:tc>
        <w:tc>
          <w:tcPr>
            <w:tcW w:w="487" w:type="pct"/>
            <w:shd w:val="clear" w:color="auto" w:fill="D9D9D9" w:themeFill="background1" w:themeFillShade="D9"/>
            <w:vAlign w:val="center"/>
          </w:tcPr>
          <w:p w14:paraId="58F547FF" w14:textId="21FC1CF7" w:rsidR="00704E6A" w:rsidRPr="00781112" w:rsidRDefault="00F6415A" w:rsidP="007D0FFB">
            <w:pPr>
              <w:spacing w:after="0"/>
              <w:jc w:val="center"/>
              <w:rPr>
                <w:rFonts w:cs="Arial"/>
                <w:b/>
                <w:color w:val="000000" w:themeColor="text1"/>
                <w:szCs w:val="16"/>
              </w:rPr>
            </w:pPr>
            <w:r w:rsidRPr="00781112">
              <w:rPr>
                <w:rFonts w:cs="Arial"/>
                <w:b/>
                <w:color w:val="000000" w:themeColor="text1"/>
                <w:szCs w:val="16"/>
              </w:rPr>
              <w:t>FFY 2019 Data</w:t>
            </w:r>
          </w:p>
        </w:tc>
        <w:tc>
          <w:tcPr>
            <w:tcW w:w="487" w:type="pct"/>
            <w:shd w:val="clear" w:color="auto" w:fill="D9D9D9" w:themeFill="background1" w:themeFillShade="D9"/>
            <w:vAlign w:val="center"/>
          </w:tcPr>
          <w:p w14:paraId="36BD2BCA" w14:textId="5FF00453" w:rsidR="00704E6A" w:rsidRPr="00781112" w:rsidRDefault="00806C75" w:rsidP="007D0FFB">
            <w:pPr>
              <w:spacing w:after="0"/>
              <w:jc w:val="center"/>
              <w:rPr>
                <w:rFonts w:cs="Arial"/>
                <w:b/>
                <w:color w:val="000000" w:themeColor="text1"/>
                <w:szCs w:val="16"/>
              </w:rPr>
            </w:pPr>
            <w:r w:rsidRPr="00781112">
              <w:rPr>
                <w:rFonts w:cs="Arial"/>
                <w:b/>
                <w:color w:val="000000" w:themeColor="text1"/>
                <w:szCs w:val="16"/>
              </w:rPr>
              <w:t>FFY 2020 Target</w:t>
            </w:r>
          </w:p>
        </w:tc>
        <w:tc>
          <w:tcPr>
            <w:tcW w:w="487" w:type="pct"/>
            <w:shd w:val="clear" w:color="auto" w:fill="D9D9D9" w:themeFill="background1" w:themeFillShade="D9"/>
            <w:vAlign w:val="center"/>
          </w:tcPr>
          <w:p w14:paraId="0030B6C4" w14:textId="15E2C0C4" w:rsidR="00704E6A" w:rsidRPr="00781112" w:rsidRDefault="00806C75" w:rsidP="007D0FFB">
            <w:pPr>
              <w:spacing w:after="0"/>
              <w:jc w:val="center"/>
              <w:rPr>
                <w:rFonts w:cs="Arial"/>
                <w:b/>
                <w:color w:val="000000" w:themeColor="text1"/>
                <w:szCs w:val="16"/>
              </w:rPr>
            </w:pPr>
            <w:r w:rsidRPr="00781112">
              <w:rPr>
                <w:rFonts w:cs="Arial"/>
                <w:b/>
                <w:color w:val="000000" w:themeColor="text1"/>
                <w:szCs w:val="16"/>
              </w:rPr>
              <w:t>FFY 2020 Data</w:t>
            </w:r>
          </w:p>
        </w:tc>
        <w:tc>
          <w:tcPr>
            <w:tcW w:w="458" w:type="pct"/>
            <w:shd w:val="clear" w:color="auto" w:fill="D9D9D9" w:themeFill="background1" w:themeFillShade="D9"/>
            <w:vAlign w:val="center"/>
          </w:tcPr>
          <w:p w14:paraId="16905A6D" w14:textId="19A3632B" w:rsidR="00704E6A" w:rsidRPr="00781112" w:rsidRDefault="00704E6A" w:rsidP="007D0FFB">
            <w:pPr>
              <w:spacing w:after="0"/>
              <w:ind w:left="-113" w:right="-112"/>
              <w:jc w:val="center"/>
              <w:rPr>
                <w:rFonts w:cs="Arial"/>
                <w:b/>
                <w:color w:val="000000" w:themeColor="text1"/>
                <w:szCs w:val="16"/>
              </w:rPr>
            </w:pPr>
            <w:r w:rsidRPr="00781112">
              <w:rPr>
                <w:rFonts w:cs="Arial"/>
                <w:b/>
                <w:color w:val="000000" w:themeColor="text1"/>
                <w:szCs w:val="16"/>
              </w:rPr>
              <w:t>Status</w:t>
            </w:r>
          </w:p>
        </w:tc>
        <w:tc>
          <w:tcPr>
            <w:tcW w:w="581" w:type="pct"/>
            <w:shd w:val="clear" w:color="auto" w:fill="D9D9D9" w:themeFill="background1" w:themeFillShade="D9"/>
            <w:vAlign w:val="center"/>
          </w:tcPr>
          <w:p w14:paraId="0DCCD9DE" w14:textId="3F28AD62" w:rsidR="00704E6A" w:rsidRPr="00781112" w:rsidRDefault="00704E6A" w:rsidP="007D0FFB">
            <w:pPr>
              <w:spacing w:after="0"/>
              <w:ind w:left="-106" w:right="-109"/>
              <w:jc w:val="center"/>
              <w:rPr>
                <w:rFonts w:cs="Arial"/>
                <w:b/>
                <w:color w:val="000000" w:themeColor="text1"/>
                <w:szCs w:val="16"/>
              </w:rPr>
            </w:pPr>
            <w:r w:rsidRPr="00781112">
              <w:rPr>
                <w:rFonts w:cs="Arial"/>
                <w:b/>
                <w:color w:val="000000" w:themeColor="text1"/>
                <w:szCs w:val="16"/>
              </w:rPr>
              <w:t>Slippage</w:t>
            </w:r>
          </w:p>
        </w:tc>
      </w:tr>
      <w:tr w:rsidR="007D0FFB" w:rsidRPr="00781112" w14:paraId="1F7C0EED" w14:textId="06CECBDB" w:rsidTr="007D0FFB">
        <w:trPr>
          <w:trHeight w:val="3698"/>
        </w:trPr>
        <w:tc>
          <w:tcPr>
            <w:tcW w:w="957" w:type="pct"/>
            <w:shd w:val="clear" w:color="auto" w:fill="auto"/>
            <w:vAlign w:val="center"/>
          </w:tcPr>
          <w:p w14:paraId="42006EF2" w14:textId="30F01538" w:rsidR="009447A3" w:rsidRPr="00781112" w:rsidRDefault="00616BA4" w:rsidP="007D0FFB">
            <w:pPr>
              <w:spacing w:after="0"/>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709" w:type="pct"/>
            <w:shd w:val="clear" w:color="auto" w:fill="auto"/>
            <w:vAlign w:val="center"/>
          </w:tcPr>
          <w:p w14:paraId="25AD0B10" w14:textId="530E8072" w:rsidR="009447A3" w:rsidRPr="00781112" w:rsidRDefault="00FA318E" w:rsidP="007D0FFB">
            <w:pPr>
              <w:spacing w:after="0"/>
              <w:jc w:val="center"/>
              <w:rPr>
                <w:rFonts w:cs="Arial"/>
                <w:color w:val="000000" w:themeColor="text1"/>
                <w:szCs w:val="16"/>
              </w:rPr>
            </w:pPr>
            <w:r w:rsidRPr="00781112">
              <w:rPr>
                <w:rFonts w:cs="Arial"/>
                <w:color w:val="000000" w:themeColor="text1"/>
                <w:szCs w:val="16"/>
              </w:rPr>
              <w:t>2,213</w:t>
            </w:r>
          </w:p>
        </w:tc>
        <w:tc>
          <w:tcPr>
            <w:tcW w:w="834" w:type="pct"/>
            <w:shd w:val="clear" w:color="auto" w:fill="auto"/>
            <w:vAlign w:val="center"/>
          </w:tcPr>
          <w:p w14:paraId="7A8E33C9" w14:textId="2CE029E7" w:rsidR="009447A3" w:rsidRPr="00781112" w:rsidRDefault="00FA318E" w:rsidP="007D0FFB">
            <w:pPr>
              <w:spacing w:after="0"/>
              <w:jc w:val="center"/>
              <w:rPr>
                <w:rFonts w:cs="Arial"/>
                <w:color w:val="000000" w:themeColor="text1"/>
                <w:szCs w:val="16"/>
              </w:rPr>
            </w:pPr>
            <w:r w:rsidRPr="00781112">
              <w:rPr>
                <w:rFonts w:cs="Arial"/>
                <w:color w:val="000000" w:themeColor="text1"/>
                <w:szCs w:val="16"/>
              </w:rPr>
              <w:t>2,323</w:t>
            </w:r>
          </w:p>
        </w:tc>
        <w:tc>
          <w:tcPr>
            <w:tcW w:w="487" w:type="pct"/>
            <w:shd w:val="clear" w:color="auto" w:fill="auto"/>
            <w:vAlign w:val="center"/>
          </w:tcPr>
          <w:p w14:paraId="7A618E17" w14:textId="730CF37E" w:rsidR="009447A3" w:rsidRPr="00781112" w:rsidRDefault="002B7490" w:rsidP="007D0FFB">
            <w:pPr>
              <w:spacing w:after="0"/>
              <w:jc w:val="center"/>
              <w:rPr>
                <w:rFonts w:cs="Arial"/>
                <w:color w:val="000000" w:themeColor="text1"/>
                <w:szCs w:val="16"/>
              </w:rPr>
            </w:pPr>
            <w:r w:rsidRPr="00781112">
              <w:rPr>
                <w:rFonts w:cs="Arial"/>
                <w:color w:val="000000" w:themeColor="text1"/>
                <w:szCs w:val="16"/>
              </w:rPr>
              <w:t>99.47%</w:t>
            </w:r>
          </w:p>
        </w:tc>
        <w:tc>
          <w:tcPr>
            <w:tcW w:w="487" w:type="pct"/>
            <w:shd w:val="clear" w:color="auto" w:fill="auto"/>
            <w:vAlign w:val="center"/>
          </w:tcPr>
          <w:p w14:paraId="173DD24A" w14:textId="02E11A38" w:rsidR="009447A3" w:rsidRPr="00781112" w:rsidRDefault="00B16A26" w:rsidP="007D0FFB">
            <w:pPr>
              <w:spacing w:after="0"/>
              <w:jc w:val="center"/>
              <w:rPr>
                <w:rFonts w:cs="Arial"/>
                <w:color w:val="000000" w:themeColor="text1"/>
                <w:szCs w:val="16"/>
              </w:rPr>
            </w:pPr>
            <w:r w:rsidRPr="00781112">
              <w:rPr>
                <w:rFonts w:cs="Arial"/>
                <w:color w:val="000000" w:themeColor="text1"/>
                <w:szCs w:val="16"/>
              </w:rPr>
              <w:t>100%</w:t>
            </w:r>
          </w:p>
        </w:tc>
        <w:tc>
          <w:tcPr>
            <w:tcW w:w="487" w:type="pct"/>
            <w:shd w:val="clear" w:color="auto" w:fill="auto"/>
            <w:vAlign w:val="center"/>
          </w:tcPr>
          <w:p w14:paraId="1BEC9517" w14:textId="612C62AC" w:rsidR="009447A3" w:rsidRPr="00781112" w:rsidRDefault="002B7490" w:rsidP="007D0FFB">
            <w:pPr>
              <w:spacing w:after="0"/>
              <w:jc w:val="center"/>
              <w:rPr>
                <w:rFonts w:cs="Arial"/>
                <w:color w:val="000000" w:themeColor="text1"/>
                <w:szCs w:val="16"/>
              </w:rPr>
            </w:pPr>
            <w:r w:rsidRPr="00781112">
              <w:rPr>
                <w:rFonts w:cs="Arial"/>
                <w:color w:val="000000" w:themeColor="text1"/>
                <w:szCs w:val="16"/>
              </w:rPr>
              <w:t>95.26%</w:t>
            </w:r>
          </w:p>
        </w:tc>
        <w:tc>
          <w:tcPr>
            <w:tcW w:w="458" w:type="pct"/>
            <w:shd w:val="clear" w:color="auto" w:fill="auto"/>
            <w:vAlign w:val="center"/>
          </w:tcPr>
          <w:p w14:paraId="35C0024C" w14:textId="6347E5FC" w:rsidR="009447A3" w:rsidRPr="00781112" w:rsidRDefault="002B7490" w:rsidP="007D0FFB">
            <w:pPr>
              <w:spacing w:after="0"/>
              <w:ind w:left="-113" w:right="-112"/>
              <w:jc w:val="center"/>
              <w:rPr>
                <w:rFonts w:cs="Arial"/>
                <w:color w:val="000000" w:themeColor="text1"/>
                <w:szCs w:val="16"/>
              </w:rPr>
            </w:pPr>
            <w:r w:rsidRPr="00781112">
              <w:rPr>
                <w:rFonts w:cs="Arial"/>
                <w:color w:val="000000" w:themeColor="text1"/>
                <w:szCs w:val="16"/>
              </w:rPr>
              <w:t>Did not meet target</w:t>
            </w:r>
          </w:p>
        </w:tc>
        <w:tc>
          <w:tcPr>
            <w:tcW w:w="581" w:type="pct"/>
            <w:shd w:val="clear" w:color="auto" w:fill="auto"/>
            <w:vAlign w:val="center"/>
          </w:tcPr>
          <w:p w14:paraId="466F387F" w14:textId="652A9CC9" w:rsidR="009447A3" w:rsidRPr="00781112" w:rsidRDefault="002B7490" w:rsidP="007D0FFB">
            <w:pPr>
              <w:spacing w:after="0"/>
              <w:ind w:left="-106" w:right="-109"/>
              <w:jc w:val="center"/>
              <w:rPr>
                <w:rFonts w:cs="Arial"/>
                <w:color w:val="000000" w:themeColor="text1"/>
                <w:szCs w:val="16"/>
              </w:rPr>
            </w:pPr>
            <w:r w:rsidRPr="00781112">
              <w:rPr>
                <w:rFonts w:cs="Arial"/>
                <w:color w:val="000000" w:themeColor="text1"/>
                <w:szCs w:val="16"/>
              </w:rPr>
              <w:t>Slippage</w:t>
            </w:r>
          </w:p>
        </w:tc>
      </w:tr>
    </w:tbl>
    <w:p w14:paraId="6E881701" w14:textId="244CA8FB" w:rsidR="001F2870" w:rsidRPr="00781112" w:rsidRDefault="00326C0B" w:rsidP="00DB1BCB">
      <w:pPr>
        <w:spacing w:before="240"/>
        <w:rPr>
          <w:rFonts w:cs="Arial"/>
          <w:b/>
          <w:color w:val="000000" w:themeColor="text1"/>
          <w:szCs w:val="16"/>
        </w:rPr>
      </w:pPr>
      <w:r w:rsidRPr="00781112">
        <w:rPr>
          <w:rFonts w:cs="Arial"/>
          <w:b/>
          <w:color w:val="000000" w:themeColor="text1"/>
          <w:szCs w:val="16"/>
        </w:rPr>
        <w:t>Provide reasons for slippage, if applicable</w:t>
      </w:r>
    </w:p>
    <w:p w14:paraId="534101C3" w14:textId="6012D052" w:rsidR="00326C0B" w:rsidRPr="000F63C4" w:rsidRDefault="002B7490" w:rsidP="00314F94">
      <w:pPr>
        <w:pStyle w:val="ListParagraph"/>
        <w:numPr>
          <w:ilvl w:val="0"/>
          <w:numId w:val="228"/>
        </w:numPr>
        <w:rPr>
          <w:rFonts w:cs="Arial"/>
          <w:color w:val="000000" w:themeColor="text1"/>
          <w:szCs w:val="16"/>
        </w:rPr>
      </w:pPr>
      <w:r w:rsidRPr="000F63C4">
        <w:rPr>
          <w:rFonts w:cs="Arial"/>
          <w:color w:val="000000" w:themeColor="text1"/>
          <w:szCs w:val="16"/>
        </w:rPr>
        <w:t xml:space="preserve">School districts continued to be impacted by the effects of COVID-19 during the 2020-2021 school year. The VDOE issued guidance that reinforced the requirement that school districts must continue to accept referrals for evaluations for special education and timelines still applied. The VDOE also shared similar guidance from the U. S. Department of Education with school districts as available. Some school districts met challenges with the logistics of completing evaluations and conducting eligibility and IEP meetings on time. These challenges included gaining access to students either in-person or virtually </w:t>
      </w:r>
      <w:proofErr w:type="gramStart"/>
      <w:r w:rsidRPr="000F63C4">
        <w:rPr>
          <w:rFonts w:cs="Arial"/>
          <w:color w:val="000000" w:themeColor="text1"/>
          <w:szCs w:val="16"/>
        </w:rPr>
        <w:t>in order to</w:t>
      </w:r>
      <w:proofErr w:type="gramEnd"/>
      <w:r w:rsidRPr="000F63C4">
        <w:rPr>
          <w:rFonts w:cs="Arial"/>
          <w:color w:val="000000" w:themeColor="text1"/>
          <w:szCs w:val="16"/>
        </w:rPr>
        <w:t xml:space="preserve"> conduct evaluations; access to evaluation instruments that could be conducted in a virtual setting while meeting test instrument standardization; and frequent student and staff absences due to illness and/or quarantine impacted both the staff's ability to conduct evaluations in a timely manner </w:t>
      </w:r>
      <w:r w:rsidRPr="000F63C4">
        <w:rPr>
          <w:rFonts w:cs="Arial"/>
          <w:color w:val="000000" w:themeColor="text1"/>
          <w:szCs w:val="16"/>
        </w:rPr>
        <w:lastRenderedPageBreak/>
        <w:t>and to conduct meetings with the required team participants. These challenges negatively impacted the number of children whose evaluations and eligibility determinations were completed within the State-established timeline.</w:t>
      </w:r>
    </w:p>
    <w:p w14:paraId="0416C2F1" w14:textId="701A59F0" w:rsidR="00A5601C" w:rsidRPr="00781112" w:rsidRDefault="00A5601C" w:rsidP="00A22EB9">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0F63C4" w:rsidRDefault="00A5601C" w:rsidP="00314F94">
      <w:pPr>
        <w:pStyle w:val="ListParagraph"/>
        <w:numPr>
          <w:ilvl w:val="0"/>
          <w:numId w:val="229"/>
        </w:numPr>
        <w:rPr>
          <w:rFonts w:cs="Arial"/>
          <w:color w:val="000000" w:themeColor="text1"/>
          <w:szCs w:val="16"/>
        </w:rPr>
      </w:pPr>
      <w:r w:rsidRPr="000F63C4">
        <w:rPr>
          <w:rFonts w:cs="Arial"/>
          <w:color w:val="000000" w:themeColor="text1"/>
          <w:szCs w:val="16"/>
        </w:rPr>
        <w:t>110</w:t>
      </w:r>
    </w:p>
    <w:p w14:paraId="2DB77447" w14:textId="5C5B3699" w:rsidR="00E418E6" w:rsidRPr="00781112" w:rsidRDefault="00326C0B" w:rsidP="00A22EB9">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40CCE024" w14:textId="77777777" w:rsidR="007D0FFB" w:rsidRPr="000F63C4" w:rsidRDefault="002B7490" w:rsidP="00314F94">
      <w:pPr>
        <w:pStyle w:val="ListParagraph"/>
        <w:numPr>
          <w:ilvl w:val="0"/>
          <w:numId w:val="230"/>
        </w:numPr>
        <w:rPr>
          <w:bCs/>
          <w:color w:val="000000" w:themeColor="text1"/>
        </w:rPr>
      </w:pPr>
      <w:r w:rsidRPr="000F63C4">
        <w:rPr>
          <w:bCs/>
          <w:color w:val="000000" w:themeColor="text1"/>
        </w:rPr>
        <w:t xml:space="preserve">Number of students with disabilities / (Range of business days beyond required timeline) </w:t>
      </w:r>
    </w:p>
    <w:p w14:paraId="3D11B41F" w14:textId="008D66AC" w:rsidR="007D0FFB" w:rsidRPr="007D0FFB" w:rsidRDefault="002B7490" w:rsidP="00D05B63">
      <w:pPr>
        <w:pStyle w:val="ListParagraph"/>
        <w:numPr>
          <w:ilvl w:val="0"/>
          <w:numId w:val="34"/>
        </w:numPr>
        <w:ind w:left="1440" w:hanging="180"/>
        <w:contextualSpacing w:val="0"/>
        <w:rPr>
          <w:bCs/>
          <w:color w:val="000000" w:themeColor="text1"/>
        </w:rPr>
      </w:pPr>
      <w:r w:rsidRPr="007D0FFB">
        <w:rPr>
          <w:bCs/>
          <w:color w:val="000000" w:themeColor="text1"/>
        </w:rPr>
        <w:t>8 students (1-5 days)</w:t>
      </w:r>
    </w:p>
    <w:p w14:paraId="57657148" w14:textId="19A8CEBC" w:rsidR="007D0FFB" w:rsidRPr="007D0FFB" w:rsidRDefault="002B7490" w:rsidP="00D05B63">
      <w:pPr>
        <w:pStyle w:val="ListParagraph"/>
        <w:numPr>
          <w:ilvl w:val="0"/>
          <w:numId w:val="34"/>
        </w:numPr>
        <w:ind w:left="1440" w:hanging="180"/>
        <w:contextualSpacing w:val="0"/>
        <w:rPr>
          <w:bCs/>
          <w:color w:val="000000" w:themeColor="text1"/>
        </w:rPr>
      </w:pPr>
      <w:r w:rsidRPr="007D0FFB">
        <w:rPr>
          <w:bCs/>
          <w:color w:val="000000" w:themeColor="text1"/>
        </w:rPr>
        <w:t>13 students (6-15 days)</w:t>
      </w:r>
    </w:p>
    <w:p w14:paraId="69DED97C" w14:textId="0477BF2E" w:rsidR="007D0FFB" w:rsidRPr="007D0FFB" w:rsidRDefault="002B7490" w:rsidP="00D05B63">
      <w:pPr>
        <w:pStyle w:val="ListParagraph"/>
        <w:numPr>
          <w:ilvl w:val="0"/>
          <w:numId w:val="34"/>
        </w:numPr>
        <w:ind w:left="1440" w:hanging="180"/>
        <w:contextualSpacing w:val="0"/>
        <w:rPr>
          <w:bCs/>
          <w:color w:val="000000" w:themeColor="text1"/>
        </w:rPr>
      </w:pPr>
      <w:r w:rsidRPr="007D0FFB">
        <w:rPr>
          <w:bCs/>
          <w:color w:val="000000" w:themeColor="text1"/>
        </w:rPr>
        <w:t>8 students (16-25 days)</w:t>
      </w:r>
    </w:p>
    <w:p w14:paraId="5098E307" w14:textId="4423799C" w:rsidR="007D0FFB" w:rsidRPr="007D0FFB" w:rsidRDefault="002B7490" w:rsidP="00D05B63">
      <w:pPr>
        <w:pStyle w:val="ListParagraph"/>
        <w:numPr>
          <w:ilvl w:val="0"/>
          <w:numId w:val="34"/>
        </w:numPr>
        <w:ind w:left="1440" w:hanging="180"/>
        <w:contextualSpacing w:val="0"/>
        <w:rPr>
          <w:bCs/>
          <w:color w:val="000000" w:themeColor="text1"/>
        </w:rPr>
      </w:pPr>
      <w:r w:rsidRPr="007D0FFB">
        <w:rPr>
          <w:bCs/>
          <w:color w:val="000000" w:themeColor="text1"/>
        </w:rPr>
        <w:t>2 students (26-35 days)</w:t>
      </w:r>
    </w:p>
    <w:p w14:paraId="3B35354F" w14:textId="5056833E" w:rsidR="007D0FFB" w:rsidRPr="007D0FFB" w:rsidRDefault="002B7490" w:rsidP="00D05B63">
      <w:pPr>
        <w:pStyle w:val="ListParagraph"/>
        <w:numPr>
          <w:ilvl w:val="0"/>
          <w:numId w:val="34"/>
        </w:numPr>
        <w:ind w:left="1440" w:hanging="180"/>
        <w:contextualSpacing w:val="0"/>
        <w:rPr>
          <w:bCs/>
          <w:color w:val="000000" w:themeColor="text1"/>
        </w:rPr>
      </w:pPr>
      <w:r w:rsidRPr="007D0FFB">
        <w:rPr>
          <w:bCs/>
          <w:color w:val="000000" w:themeColor="text1"/>
        </w:rPr>
        <w:t>3 students (36-45 days)</w:t>
      </w:r>
    </w:p>
    <w:p w14:paraId="62AFE1E2" w14:textId="77777777" w:rsidR="002B48E1" w:rsidRDefault="002B7490" w:rsidP="002B48E1">
      <w:pPr>
        <w:pStyle w:val="ListParagraph"/>
        <w:numPr>
          <w:ilvl w:val="0"/>
          <w:numId w:val="34"/>
        </w:numPr>
        <w:ind w:left="1440" w:hanging="180"/>
        <w:contextualSpacing w:val="0"/>
        <w:rPr>
          <w:bCs/>
          <w:color w:val="000000" w:themeColor="text1"/>
        </w:rPr>
      </w:pPr>
      <w:r w:rsidRPr="007D0FFB">
        <w:rPr>
          <w:bCs/>
          <w:color w:val="000000" w:themeColor="text1"/>
        </w:rPr>
        <w:t>76 students (46+ days)</w:t>
      </w:r>
    </w:p>
    <w:p w14:paraId="1AC3846F" w14:textId="5E2F968F" w:rsidR="007D0FFB" w:rsidRPr="000F63C4" w:rsidRDefault="002B7490" w:rsidP="00314F94">
      <w:pPr>
        <w:pStyle w:val="ListParagraph"/>
        <w:numPr>
          <w:ilvl w:val="0"/>
          <w:numId w:val="230"/>
        </w:numPr>
        <w:rPr>
          <w:bCs/>
          <w:color w:val="000000" w:themeColor="text1"/>
        </w:rPr>
      </w:pPr>
      <w:r w:rsidRPr="000F63C4">
        <w:rPr>
          <w:bCs/>
          <w:color w:val="000000" w:themeColor="text1"/>
        </w:rPr>
        <w:t xml:space="preserve">Number of students with disabilities / (Reason for the delay) </w:t>
      </w:r>
    </w:p>
    <w:p w14:paraId="7568FD06" w14:textId="08356BA7" w:rsidR="007D0FFB" w:rsidRPr="007D0FFB" w:rsidRDefault="002B7490" w:rsidP="00D05B63">
      <w:pPr>
        <w:pStyle w:val="ListParagraph"/>
        <w:numPr>
          <w:ilvl w:val="0"/>
          <w:numId w:val="35"/>
        </w:numPr>
        <w:ind w:left="1440" w:hanging="180"/>
        <w:contextualSpacing w:val="0"/>
        <w:rPr>
          <w:bCs/>
          <w:color w:val="000000" w:themeColor="text1"/>
        </w:rPr>
      </w:pPr>
      <w:r w:rsidRPr="007D0FFB">
        <w:rPr>
          <w:bCs/>
          <w:color w:val="000000" w:themeColor="text1"/>
        </w:rPr>
        <w:t>0 students (Inclement weather)</w:t>
      </w:r>
    </w:p>
    <w:p w14:paraId="11E9C7B3" w14:textId="4924C8AC" w:rsidR="007D0FFB" w:rsidRPr="007D0FFB" w:rsidRDefault="002B7490" w:rsidP="00D05B63">
      <w:pPr>
        <w:pStyle w:val="ListParagraph"/>
        <w:numPr>
          <w:ilvl w:val="0"/>
          <w:numId w:val="35"/>
        </w:numPr>
        <w:ind w:left="1440" w:hanging="180"/>
        <w:contextualSpacing w:val="0"/>
        <w:rPr>
          <w:bCs/>
          <w:color w:val="000000" w:themeColor="text1"/>
        </w:rPr>
      </w:pPr>
      <w:r w:rsidRPr="007D0FFB">
        <w:rPr>
          <w:bCs/>
          <w:color w:val="000000" w:themeColor="text1"/>
        </w:rPr>
        <w:t>11 students (Paperwork errors)</w:t>
      </w:r>
    </w:p>
    <w:p w14:paraId="71F65F5B" w14:textId="02420021" w:rsidR="007D0FFB" w:rsidRPr="007D0FFB" w:rsidRDefault="002B7490" w:rsidP="00D05B63">
      <w:pPr>
        <w:pStyle w:val="ListParagraph"/>
        <w:numPr>
          <w:ilvl w:val="0"/>
          <w:numId w:val="35"/>
        </w:numPr>
        <w:ind w:left="1440" w:hanging="180"/>
        <w:contextualSpacing w:val="0"/>
        <w:rPr>
          <w:bCs/>
          <w:color w:val="000000" w:themeColor="text1"/>
        </w:rPr>
      </w:pPr>
      <w:r w:rsidRPr="007D0FFB">
        <w:rPr>
          <w:bCs/>
          <w:color w:val="000000" w:themeColor="text1"/>
        </w:rPr>
        <w:t>0 students (Inconclusive testing results)</w:t>
      </w:r>
    </w:p>
    <w:p w14:paraId="0F0C5721" w14:textId="0E72FC6F" w:rsidR="007D0FFB" w:rsidRPr="007D0FFB" w:rsidRDefault="002B7490" w:rsidP="00D05B63">
      <w:pPr>
        <w:pStyle w:val="ListParagraph"/>
        <w:numPr>
          <w:ilvl w:val="0"/>
          <w:numId w:val="35"/>
        </w:numPr>
        <w:ind w:left="1440" w:hanging="180"/>
        <w:contextualSpacing w:val="0"/>
        <w:rPr>
          <w:bCs/>
          <w:color w:val="000000" w:themeColor="text1"/>
        </w:rPr>
      </w:pPr>
      <w:r w:rsidRPr="007D0FFB">
        <w:rPr>
          <w:bCs/>
          <w:color w:val="000000" w:themeColor="text1"/>
        </w:rPr>
        <w:t>4 students (Late referral due to Part B/C issues)</w:t>
      </w:r>
    </w:p>
    <w:p w14:paraId="736EC42D" w14:textId="11C4F021" w:rsidR="007D0FFB" w:rsidRPr="007D0FFB" w:rsidRDefault="002B7490" w:rsidP="00D05B63">
      <w:pPr>
        <w:pStyle w:val="ListParagraph"/>
        <w:numPr>
          <w:ilvl w:val="0"/>
          <w:numId w:val="35"/>
        </w:numPr>
        <w:ind w:left="1440" w:hanging="180"/>
        <w:contextualSpacing w:val="0"/>
        <w:rPr>
          <w:bCs/>
          <w:color w:val="000000" w:themeColor="text1"/>
        </w:rPr>
      </w:pPr>
      <w:r w:rsidRPr="007D0FFB">
        <w:rPr>
          <w:bCs/>
          <w:color w:val="000000" w:themeColor="text1"/>
        </w:rPr>
        <w:t>2 students (Child not available: not parent failure/child refusal)</w:t>
      </w:r>
    </w:p>
    <w:p w14:paraId="542A680D" w14:textId="771290B2" w:rsidR="00326C0B" w:rsidRPr="007D0FFB" w:rsidRDefault="002B7490" w:rsidP="00D05B63">
      <w:pPr>
        <w:pStyle w:val="ListParagraph"/>
        <w:numPr>
          <w:ilvl w:val="0"/>
          <w:numId w:val="35"/>
        </w:numPr>
        <w:ind w:left="1440" w:hanging="180"/>
        <w:contextualSpacing w:val="0"/>
        <w:rPr>
          <w:bCs/>
          <w:color w:val="000000" w:themeColor="text1"/>
        </w:rPr>
      </w:pPr>
      <w:r w:rsidRPr="007D0FFB">
        <w:rPr>
          <w:bCs/>
          <w:color w:val="000000" w:themeColor="text1"/>
        </w:rPr>
        <w:t>93 students (Other) - Specifically, 86 meeting delays related school closures due to COVID; 7 meeting delays due to scheduling errors on behalf of the school district</w:t>
      </w:r>
    </w:p>
    <w:p w14:paraId="4BE9E8DB" w14:textId="127EF17F" w:rsidR="00A5601C" w:rsidRPr="00781112" w:rsidRDefault="00326C0B" w:rsidP="00A22EB9">
      <w:pPr>
        <w:rPr>
          <w:b/>
          <w:color w:val="000000" w:themeColor="text1"/>
        </w:rPr>
      </w:pPr>
      <w:r w:rsidRPr="00781112">
        <w:rPr>
          <w:b/>
          <w:color w:val="000000" w:themeColor="text1"/>
        </w:rPr>
        <w:t>Attach PDF table (optional)</w:t>
      </w:r>
    </w:p>
    <w:p w14:paraId="79E6A8DD" w14:textId="749CCC77" w:rsidR="00326C0B" w:rsidRPr="00D05B63" w:rsidRDefault="007D0FFB" w:rsidP="00314F94">
      <w:pPr>
        <w:pStyle w:val="ListParagraph"/>
        <w:numPr>
          <w:ilvl w:val="0"/>
          <w:numId w:val="55"/>
        </w:numPr>
        <w:rPr>
          <w:bCs/>
          <w:color w:val="000000" w:themeColor="text1"/>
        </w:rPr>
      </w:pPr>
      <w:bookmarkStart w:id="94" w:name="_Hlk20318414"/>
      <w:bookmarkEnd w:id="94"/>
      <w:r w:rsidRPr="00D05B63">
        <w:rPr>
          <w:bCs/>
          <w:color w:val="000000" w:themeColor="text1"/>
        </w:rPr>
        <w:t xml:space="preserve">Not </w:t>
      </w:r>
      <w:proofErr w:type="spellStart"/>
      <w:r w:rsidRPr="00D05B63">
        <w:rPr>
          <w:bCs/>
          <w:color w:val="000000" w:themeColor="text1"/>
        </w:rPr>
        <w:t>applcable</w:t>
      </w:r>
      <w:proofErr w:type="spellEnd"/>
    </w:p>
    <w:p w14:paraId="5E057416" w14:textId="77777777" w:rsidR="00A5601C" w:rsidRPr="00781112" w:rsidRDefault="009447A3" w:rsidP="00A22EB9">
      <w:pPr>
        <w:rPr>
          <w:b/>
          <w:color w:val="000000" w:themeColor="text1"/>
        </w:rPr>
      </w:pPr>
      <w:r w:rsidRPr="00781112">
        <w:rPr>
          <w:b/>
          <w:color w:val="000000" w:themeColor="text1"/>
        </w:rPr>
        <w:t>What is the source of the data provided for this indicator?</w:t>
      </w:r>
    </w:p>
    <w:p w14:paraId="50B7435C" w14:textId="024484CA" w:rsidR="009447A3" w:rsidRPr="000F63C4" w:rsidRDefault="002B7490" w:rsidP="00314F94">
      <w:pPr>
        <w:pStyle w:val="ListParagraph"/>
        <w:numPr>
          <w:ilvl w:val="0"/>
          <w:numId w:val="231"/>
        </w:numPr>
        <w:rPr>
          <w:color w:val="000000" w:themeColor="text1"/>
        </w:rPr>
      </w:pPr>
      <w:r w:rsidRPr="000F63C4">
        <w:rPr>
          <w:color w:val="000000" w:themeColor="text1"/>
        </w:rPr>
        <w:t>State database that includes data for the entire reporting year</w:t>
      </w:r>
    </w:p>
    <w:p w14:paraId="4558F99F" w14:textId="77777777" w:rsidR="009447A3" w:rsidRPr="00781112" w:rsidRDefault="009447A3" w:rsidP="00A22EB9">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33A9AB55" w14:textId="77777777" w:rsidR="007D0FFB" w:rsidRPr="000F63C4" w:rsidRDefault="002B7490" w:rsidP="00314F94">
      <w:pPr>
        <w:pStyle w:val="ListParagraph"/>
        <w:numPr>
          <w:ilvl w:val="0"/>
          <w:numId w:val="232"/>
        </w:numPr>
        <w:rPr>
          <w:rFonts w:cs="Arial"/>
          <w:color w:val="000000" w:themeColor="text1"/>
          <w:szCs w:val="16"/>
        </w:rPr>
      </w:pPr>
      <w:r w:rsidRPr="000F63C4">
        <w:rPr>
          <w:rFonts w:cs="Arial"/>
          <w:color w:val="000000" w:themeColor="text1"/>
          <w:szCs w:val="16"/>
        </w:rPr>
        <w:lastRenderedPageBreak/>
        <w:t>All school districts submitted data for Indicator 12 through a secure web-based application developed by VDOE. All components of Indicator 12 are included in the application and data entered reflect the reporting period July 1, 2020-June 30, 2021, and include all children referred by Part C prior to age three, who are found eligible for Part B, and who have an IEP developed and implemented by the beginning of the school year if they turn age two by September 30 of that school year or by their third birthday. Staff members from VDOE provided information related to data required for Indicator 12 and on procedures for submitting data to VDOE through statewide training sessions. Data submitted by school districts were reviewed for accuracy, and school districts were notified when there appeared to be inaccurate reporting. In addition, numerous on-site verification visits were made to ensure accurate reporting.</w:t>
      </w:r>
    </w:p>
    <w:p w14:paraId="22D4EA35" w14:textId="77777777" w:rsidR="007D0FFB" w:rsidRDefault="002B7490" w:rsidP="00D05B63">
      <w:pPr>
        <w:ind w:left="720"/>
        <w:rPr>
          <w:rFonts w:cs="Arial"/>
          <w:color w:val="000000" w:themeColor="text1"/>
          <w:szCs w:val="16"/>
        </w:rPr>
      </w:pPr>
      <w:r w:rsidRPr="00781112">
        <w:rPr>
          <w:rFonts w:cs="Arial"/>
          <w:color w:val="000000" w:themeColor="text1"/>
          <w:szCs w:val="16"/>
        </w:rPr>
        <w:t xml:space="preserve">In addition, numerous verification visits were made to ensure accurate reporting. Specifically, the VDOE uses a five-year cyclical approach to review special education data for all school districts in the Commonwealth, as recommended by OSEP. In doing so, the VDOE has a process for systematically auditing and validating school districts’ self-determinations of compliance with all Individuals with Disabilities Education Act (IDEA) compliance indicators submitted through its Single Sign-on for Web Systems (SSWS) Special Education Indicators application. The VDOE ensures, per OSEP guidance, all instances of noncompliance are reported as communicated by the LEAs to VDOE consistent with OSEP Memorandum 09-02. </w:t>
      </w:r>
    </w:p>
    <w:p w14:paraId="6C2B5D1A" w14:textId="546787E3" w:rsidR="00326C0B" w:rsidRPr="00781112" w:rsidRDefault="002B7490" w:rsidP="00D05B63">
      <w:pPr>
        <w:ind w:left="720"/>
        <w:rPr>
          <w:rFonts w:cs="Arial"/>
          <w:color w:val="000000" w:themeColor="text1"/>
          <w:szCs w:val="16"/>
        </w:rPr>
      </w:pPr>
      <w:r w:rsidRPr="00781112">
        <w:rPr>
          <w:rFonts w:cs="Arial"/>
          <w:color w:val="000000" w:themeColor="text1"/>
          <w:szCs w:val="16"/>
        </w:rPr>
        <w:t xml:space="preserve">Each year, approximately 20 percent of the school districts in Virginia are selected for data validation of compliance indicators. Specifically, between the months of September and December, the regional VDOE monitor assigned to school districts within that current year’s cohort reviews a random sample of individual student files and specific policies, procedures, and practices to ensure the accuracy of the indicator information submitted to VDOE. The number of files reviewed is based on the number of records submitted for each indicator. Local educational agencies (LEAs) self-reporting less than 100 percent </w:t>
      </w:r>
      <w:proofErr w:type="gramStart"/>
      <w:r w:rsidRPr="00781112">
        <w:rPr>
          <w:rFonts w:cs="Arial"/>
          <w:color w:val="000000" w:themeColor="text1"/>
          <w:szCs w:val="16"/>
        </w:rPr>
        <w:t>receive</w:t>
      </w:r>
      <w:proofErr w:type="gramEnd"/>
      <w:r w:rsidRPr="00781112">
        <w:rPr>
          <w:rFonts w:cs="Arial"/>
          <w:color w:val="000000" w:themeColor="text1"/>
          <w:szCs w:val="16"/>
        </w:rPr>
        <w:t xml:space="preserve"> written notification of noncompliance, develop a corrective action plan (CAP) as determined by the Lead Monitor, and undergo the Prong 1 and Prong 2 process within one year of written notification. If it is determined that LEAs self-reporting 100 percent submitted inaccurate information, the school district is required to resubmit accurately. Following data resubmission, the district superintendent receives written notification of noncompliance, a CAP is developed as determined by the Lead Monitor, and the Prong 1 and Prong 2 process is completed within one year of written notification. Closure of indicator corrections is finalized with an email to special education administrators.</w:t>
      </w:r>
    </w:p>
    <w:p w14:paraId="6353DD92" w14:textId="77777777" w:rsidR="00E46206" w:rsidRPr="00781112" w:rsidRDefault="00E46206" w:rsidP="00224F9D">
      <w:pPr>
        <w:pStyle w:val="Heading4"/>
      </w:pPr>
      <w:r w:rsidRPr="00781112">
        <w:t>Provide additional information about this indicator (optional)</w:t>
      </w:r>
    </w:p>
    <w:p w14:paraId="425161D4" w14:textId="7342005D" w:rsidR="009C5AE7" w:rsidRPr="000F63C4" w:rsidRDefault="007D0FFB" w:rsidP="00314F94">
      <w:pPr>
        <w:pStyle w:val="ListParagraph"/>
        <w:numPr>
          <w:ilvl w:val="0"/>
          <w:numId w:val="233"/>
        </w:numPr>
        <w:spacing w:after="200"/>
        <w:rPr>
          <w:rFonts w:cs="Arial"/>
          <w:color w:val="000000" w:themeColor="text1"/>
          <w:szCs w:val="16"/>
        </w:rPr>
      </w:pPr>
      <w:r w:rsidRPr="000F63C4">
        <w:rPr>
          <w:rFonts w:cs="Arial"/>
          <w:color w:val="000000" w:themeColor="text1"/>
          <w:szCs w:val="16"/>
        </w:rPr>
        <w:t>Not applicable</w:t>
      </w:r>
      <w:r w:rsidR="00D05B63" w:rsidRPr="000F63C4">
        <w:rPr>
          <w:rFonts w:cs="Arial"/>
          <w:color w:val="000000" w:themeColor="text1"/>
          <w:szCs w:val="16"/>
        </w:rPr>
        <w:br w:type="page"/>
      </w:r>
    </w:p>
    <w:p w14:paraId="7740DC21" w14:textId="0531345C" w:rsidR="009A755E" w:rsidRPr="00781112" w:rsidRDefault="009A755E" w:rsidP="00C33455">
      <w:pPr>
        <w:pStyle w:val="Caption"/>
      </w:pPr>
      <w:r w:rsidRPr="00781112">
        <w:lastRenderedPageBreak/>
        <w:t>Correction of Findings of Noncompliance Identified in FFY 2019</w:t>
      </w:r>
      <w:r w:rsidR="007B3230">
        <w:t xml:space="preserve"> (12)</w:t>
      </w:r>
    </w:p>
    <w:tbl>
      <w:tblPr>
        <w:tblStyle w:val="TableGrid"/>
        <w:tblW w:w="5000" w:type="pct"/>
        <w:tblLook w:val="04A0" w:firstRow="1" w:lastRow="0" w:firstColumn="1" w:lastColumn="0" w:noHBand="0" w:noVBand="1"/>
        <w:tblDescription w:val="Table provides identified, verified as corrected within one year, and subsequently corrected, and not yet verified findings of noncompliance for FFY 2019 for this indicator."/>
      </w:tblPr>
      <w:tblGrid>
        <w:gridCol w:w="2650"/>
        <w:gridCol w:w="2780"/>
        <w:gridCol w:w="2656"/>
        <w:gridCol w:w="2704"/>
      </w:tblGrid>
      <w:tr w:rsidR="005C29F8" w:rsidRPr="00781112" w14:paraId="716024C7" w14:textId="77777777" w:rsidTr="007D0FFB">
        <w:trPr>
          <w:trHeight w:val="389"/>
          <w:tblHeader/>
        </w:trPr>
        <w:tc>
          <w:tcPr>
            <w:tcW w:w="1228" w:type="pct"/>
            <w:shd w:val="clear" w:color="auto" w:fill="D9D9D9" w:themeFill="background1" w:themeFillShade="D9"/>
            <w:vAlign w:val="center"/>
          </w:tcPr>
          <w:p w14:paraId="0E49E3D0" w14:textId="77777777" w:rsidR="009A755E" w:rsidRPr="00781112" w:rsidRDefault="009A755E" w:rsidP="007D0FFB">
            <w:pPr>
              <w:spacing w:after="0" w:line="276" w:lineRule="auto"/>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D9D9D9" w:themeFill="background1" w:themeFillShade="D9"/>
            <w:vAlign w:val="center"/>
          </w:tcPr>
          <w:p w14:paraId="43B565EC" w14:textId="77777777" w:rsidR="009A755E" w:rsidRPr="00781112" w:rsidRDefault="009A755E" w:rsidP="007D0FFB">
            <w:pPr>
              <w:spacing w:after="0" w:line="276" w:lineRule="auto"/>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D9D9D9" w:themeFill="background1" w:themeFillShade="D9"/>
            <w:vAlign w:val="center"/>
          </w:tcPr>
          <w:p w14:paraId="2113F3E4" w14:textId="77777777" w:rsidR="009A755E" w:rsidRPr="00781112" w:rsidRDefault="009A755E" w:rsidP="007D0FFB">
            <w:pPr>
              <w:spacing w:after="0" w:line="276" w:lineRule="auto"/>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D9D9D9" w:themeFill="background1" w:themeFillShade="D9"/>
            <w:vAlign w:val="center"/>
          </w:tcPr>
          <w:p w14:paraId="15802D8D" w14:textId="77777777" w:rsidR="009A755E" w:rsidRPr="00781112" w:rsidRDefault="009A755E" w:rsidP="007D0FFB">
            <w:pPr>
              <w:spacing w:after="0" w:line="276" w:lineRule="auto"/>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7D0FFB">
        <w:trPr>
          <w:trHeight w:val="377"/>
        </w:trPr>
        <w:tc>
          <w:tcPr>
            <w:tcW w:w="1228" w:type="pct"/>
            <w:shd w:val="clear" w:color="auto" w:fill="auto"/>
            <w:vAlign w:val="center"/>
          </w:tcPr>
          <w:p w14:paraId="106FED18" w14:textId="3538FD80" w:rsidR="009A755E" w:rsidRPr="00781112" w:rsidRDefault="002B7490" w:rsidP="007D0FFB">
            <w:pPr>
              <w:spacing w:after="0" w:line="276" w:lineRule="auto"/>
              <w:jc w:val="center"/>
              <w:rPr>
                <w:rFonts w:cs="Arial"/>
                <w:color w:val="000000" w:themeColor="text1"/>
                <w:szCs w:val="16"/>
              </w:rPr>
            </w:pPr>
            <w:r w:rsidRPr="00781112">
              <w:rPr>
                <w:rFonts w:cs="Arial"/>
                <w:color w:val="000000" w:themeColor="text1"/>
                <w:szCs w:val="16"/>
              </w:rPr>
              <w:t>10</w:t>
            </w:r>
          </w:p>
        </w:tc>
        <w:tc>
          <w:tcPr>
            <w:tcW w:w="1288" w:type="pct"/>
            <w:shd w:val="clear" w:color="auto" w:fill="auto"/>
            <w:vAlign w:val="center"/>
          </w:tcPr>
          <w:p w14:paraId="30E75C81" w14:textId="5263D718" w:rsidR="009A755E" w:rsidRPr="00781112" w:rsidRDefault="002B7490" w:rsidP="007D0FFB">
            <w:pPr>
              <w:spacing w:after="0" w:line="276" w:lineRule="auto"/>
              <w:jc w:val="center"/>
              <w:rPr>
                <w:rFonts w:cs="Arial"/>
                <w:color w:val="000000" w:themeColor="text1"/>
                <w:szCs w:val="16"/>
              </w:rPr>
            </w:pPr>
            <w:r w:rsidRPr="00781112">
              <w:rPr>
                <w:rFonts w:cs="Arial"/>
                <w:color w:val="000000" w:themeColor="text1"/>
                <w:szCs w:val="16"/>
              </w:rPr>
              <w:t>10</w:t>
            </w:r>
          </w:p>
        </w:tc>
        <w:tc>
          <w:tcPr>
            <w:tcW w:w="1231" w:type="pct"/>
            <w:shd w:val="clear" w:color="auto" w:fill="auto"/>
            <w:vAlign w:val="center"/>
          </w:tcPr>
          <w:p w14:paraId="36D48FD7" w14:textId="2F6E80E6" w:rsidR="009A755E" w:rsidRPr="00781112" w:rsidRDefault="002B7490" w:rsidP="007D0FFB">
            <w:pPr>
              <w:spacing w:after="0" w:line="276" w:lineRule="auto"/>
              <w:jc w:val="center"/>
              <w:rPr>
                <w:rFonts w:cs="Arial"/>
                <w:color w:val="000000" w:themeColor="text1"/>
                <w:szCs w:val="16"/>
              </w:rPr>
            </w:pPr>
            <w:r w:rsidRPr="00781112">
              <w:rPr>
                <w:rFonts w:cs="Arial"/>
                <w:color w:val="000000" w:themeColor="text1"/>
                <w:szCs w:val="16"/>
              </w:rPr>
              <w:t>0</w:t>
            </w:r>
          </w:p>
        </w:tc>
        <w:tc>
          <w:tcPr>
            <w:tcW w:w="1254" w:type="pct"/>
            <w:shd w:val="clear" w:color="auto" w:fill="auto"/>
            <w:vAlign w:val="center"/>
          </w:tcPr>
          <w:p w14:paraId="139EEFD1" w14:textId="6A5591D3" w:rsidR="009A755E" w:rsidRPr="00781112" w:rsidRDefault="002B7490" w:rsidP="007D0FFB">
            <w:pPr>
              <w:spacing w:after="0" w:line="276" w:lineRule="auto"/>
              <w:jc w:val="center"/>
              <w:rPr>
                <w:rFonts w:cs="Arial"/>
                <w:color w:val="000000" w:themeColor="text1"/>
                <w:szCs w:val="16"/>
              </w:rPr>
            </w:pPr>
            <w:r w:rsidRPr="00781112">
              <w:rPr>
                <w:rFonts w:cs="Arial"/>
                <w:color w:val="000000" w:themeColor="text1"/>
                <w:szCs w:val="16"/>
              </w:rPr>
              <w:t>0</w:t>
            </w:r>
          </w:p>
        </w:tc>
      </w:tr>
    </w:tbl>
    <w:p w14:paraId="155373B8" w14:textId="11CF8D43" w:rsidR="009A755E" w:rsidRPr="00781112" w:rsidRDefault="00F6415A" w:rsidP="00224F9D">
      <w:pPr>
        <w:pStyle w:val="Heading4"/>
      </w:pPr>
      <w:r w:rsidRPr="00781112">
        <w:t>FFY 2019 Findings of Noncompliance Verified as Corrected</w:t>
      </w:r>
    </w:p>
    <w:p w14:paraId="3D8B0B26" w14:textId="565C69B4"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0F63C4" w:rsidRDefault="002B7490" w:rsidP="00314F94">
      <w:pPr>
        <w:pStyle w:val="ListParagraph"/>
        <w:numPr>
          <w:ilvl w:val="0"/>
          <w:numId w:val="234"/>
        </w:numPr>
        <w:rPr>
          <w:rFonts w:cs="Arial"/>
          <w:color w:val="000000" w:themeColor="text1"/>
          <w:szCs w:val="16"/>
        </w:rPr>
      </w:pPr>
      <w:r w:rsidRPr="000F63C4">
        <w:rPr>
          <w:rFonts w:cs="Arial"/>
          <w:color w:val="000000" w:themeColor="text1"/>
          <w:szCs w:val="16"/>
        </w:rPr>
        <w:t>The FFY 2019 data reflected ten total instances of noncompliance in eight school districts. The assigned VDOE monitor contacted each of the eight school districts that reported less than 100 percent compliance for FFY 2019. A discussion of activities, strategies, and barriers causing noncompliance was held with the director of special education, or the designee, for each of the eight school districts. Directors of special education followed up with school administrators and other staff members integral to the evaluation, eligibility, and IEP processes to ensure the implementation of activities and strategies discussed with the VDOE monitor. Through in-person or remote desk reviews of each of the ten individual student records identified as noncompliant for Indicator 12 in FFY 2019, VDOE monitoring staff verified that, albeit late, all ten initial eligibility meetings had been held and all ten IEPs were developed (Prong 1). Additionally, a random sampling of newly completed Indicator 12 records (Prong 2) in each of the eight districts identified as noncompliant for this indicator in FFY 2019 were reviewed by the VDOE. The results of these Prong 1 and Prong 2 reviews revealed that all eight districts previously identified as noncompliant in FFY 2019 for Indicator 12 are now at 100 percent compliance and are correctly implementing the regulatory requirements consistent with OSEP Memorandum 09-02.</w:t>
      </w:r>
    </w:p>
    <w:p w14:paraId="1F3D7853" w14:textId="324FF78E"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25184CA2" w14:textId="77777777" w:rsidR="007D0FFB" w:rsidRPr="000F63C4" w:rsidRDefault="002B7490" w:rsidP="00314F94">
      <w:pPr>
        <w:pStyle w:val="ListParagraph"/>
        <w:numPr>
          <w:ilvl w:val="0"/>
          <w:numId w:val="235"/>
        </w:numPr>
        <w:rPr>
          <w:rFonts w:cs="Arial"/>
          <w:color w:val="000000" w:themeColor="text1"/>
          <w:szCs w:val="16"/>
        </w:rPr>
      </w:pPr>
      <w:r w:rsidRPr="000F63C4">
        <w:rPr>
          <w:rFonts w:cs="Arial"/>
          <w:color w:val="000000" w:themeColor="text1"/>
          <w:szCs w:val="16"/>
        </w:rPr>
        <w:t>The VDOE has determined that all ten instances of student-level noncompliance specific to Indicator 12 identified in FFY 2019 were corrected consistent with OSEP Memorandum 09-02. Each of the eight districts with noncompliance: 1) has completed the eligibility and developed an initial IEP, although late, for any child whose initial eligibility and subsequent IEP was not timely, unless the child is no longer within the jurisdiction of the district; and 2) the VDOE has verified that the district is now correctly implementing the specific regulatory requirements with 100 percent compliance.</w:t>
      </w:r>
    </w:p>
    <w:p w14:paraId="1A909BBB" w14:textId="3040B7E5" w:rsidR="00455889" w:rsidRPr="007D0FFB" w:rsidRDefault="002B7490" w:rsidP="00BD3D80">
      <w:pPr>
        <w:ind w:left="720"/>
        <w:rPr>
          <w:rFonts w:cs="Arial"/>
          <w:color w:val="000000" w:themeColor="text1"/>
          <w:szCs w:val="16"/>
        </w:rPr>
      </w:pPr>
      <w:r w:rsidRPr="00781112">
        <w:rPr>
          <w:rFonts w:cs="Arial"/>
          <w:color w:val="000000" w:themeColor="text1"/>
          <w:szCs w:val="16"/>
        </w:rPr>
        <w:t xml:space="preserve">Specifically, written notification of the noncompliance was sent to each of the eight district superintendents, a VDOE monitor was assigned to each district, and corrective action plans were written by the district, if deemed appropriate by the VDOE monitor. To satisfy Prong 1, in-person or remote desk reviews were completed for each of the ten individual student records in the eight districts that were identified as noncompliant for Indicator 12 in FFY 2019. The VDOE monitor reviewed the eligibility determinations and IEP for each of the ten individual </w:t>
      </w:r>
      <w:r w:rsidRPr="00781112">
        <w:rPr>
          <w:rFonts w:cs="Arial"/>
          <w:color w:val="000000" w:themeColor="text1"/>
          <w:szCs w:val="16"/>
        </w:rPr>
        <w:lastRenderedPageBreak/>
        <w:t>cases of noncompliance and has determined that the LEA has completed the eligibility and IEP, although late, for any child whose initial eligibility and subsequent IEP was not timely, unless the child is no longer within the jurisdiction of the district, resulting in 100 percent compliance with the regulatory requirement. At the time of this review, monitors reminded local directors of their obligation to consider compensatory time in instances where the timeline was not met. To satisfy Prong 2, the VDOE monitors reviewed revised policies, procedures, and practices (e.g., documentation of training, meetings, handbook update, guidance documents) the districts have implemented since noncompliance was identified. A random sampling of newly completed Indicator 12 records in each of the eight districts identified as noncompliant for this indicator in FFY 2019 were reviewed by the VDOE. The results of these reviews revealed that all eight districts previously identified as noncompliant in FFY 2019 for Indicator 12, are now at 100 percent compliance and are correctly implementing the regulatory requirements consistent with OSEP Memorandum 09-02. All steps took place within one calendar year of the date each district was notified of noncompliance.</w:t>
      </w:r>
    </w:p>
    <w:p w14:paraId="2F3E7ED0" w14:textId="1BDCCC61" w:rsidR="004E2151" w:rsidRPr="00781112" w:rsidRDefault="00056350" w:rsidP="007D0FFB">
      <w:pPr>
        <w:pStyle w:val="Heading3"/>
        <w:spacing w:before="240"/>
      </w:pPr>
      <w:r w:rsidRPr="00781112">
        <w:t>12</w:t>
      </w:r>
      <w:r w:rsidR="004838A4" w:rsidRPr="00781112">
        <w:t xml:space="preserve"> </w:t>
      </w:r>
      <w:r w:rsidRPr="00781112">
        <w:t xml:space="preserve">- </w:t>
      </w:r>
      <w:r w:rsidR="004E2151" w:rsidRPr="00781112">
        <w:t>Prior FFY Required Actions</w:t>
      </w:r>
    </w:p>
    <w:p w14:paraId="36BB884D" w14:textId="77777777" w:rsidR="007D0FFB" w:rsidRPr="000F63C4" w:rsidRDefault="002B7490" w:rsidP="00314F94">
      <w:pPr>
        <w:pStyle w:val="ListParagraph"/>
        <w:numPr>
          <w:ilvl w:val="0"/>
          <w:numId w:val="236"/>
        </w:numPr>
        <w:rPr>
          <w:rFonts w:cs="Arial"/>
          <w:color w:val="000000" w:themeColor="text1"/>
          <w:szCs w:val="16"/>
        </w:rPr>
      </w:pPr>
      <w:r w:rsidRPr="000F63C4">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p>
    <w:p w14:paraId="3D03A210" w14:textId="4D865D71" w:rsidR="009F69E7" w:rsidRPr="00781112" w:rsidRDefault="002B7490" w:rsidP="00BD3D80">
      <w:pPr>
        <w:ind w:left="720"/>
        <w:rPr>
          <w:rFonts w:cs="Arial"/>
          <w:color w:val="000000" w:themeColor="text1"/>
          <w:szCs w:val="16"/>
        </w:rPr>
      </w:pPr>
      <w:r w:rsidRPr="00781112">
        <w:rPr>
          <w:rFonts w:cs="Arial"/>
          <w:color w:val="000000" w:themeColor="text1"/>
          <w:szCs w:val="16"/>
        </w:rPr>
        <w:t>If the State did not identify any findings of noncompliance in FFY 2019, although its FFY 2019 data reflect less than 100% compliance, provide an explanation of why the State did not identify any findings of noncompliance in FFY 2019.</w:t>
      </w:r>
    </w:p>
    <w:p w14:paraId="3F84A4E0" w14:textId="704BBBC3" w:rsidR="004E2151" w:rsidRPr="00781112" w:rsidRDefault="004E2151" w:rsidP="00224F9D">
      <w:pPr>
        <w:pStyle w:val="Heading4"/>
      </w:pPr>
      <w:r w:rsidRPr="00781112">
        <w:t>Response to actions required in FFY 2019 SPP/APR</w:t>
      </w:r>
    </w:p>
    <w:p w14:paraId="5EB5FDCA" w14:textId="424A5C44" w:rsidR="004E2151" w:rsidRPr="000F63C4" w:rsidRDefault="00DB1BCB" w:rsidP="00314F94">
      <w:pPr>
        <w:pStyle w:val="ListParagraph"/>
        <w:numPr>
          <w:ilvl w:val="0"/>
          <w:numId w:val="237"/>
        </w:numPr>
        <w:rPr>
          <w:bCs/>
          <w:color w:val="000000" w:themeColor="text1"/>
        </w:rPr>
      </w:pPr>
      <w:r w:rsidRPr="000F63C4">
        <w:rPr>
          <w:bCs/>
          <w:color w:val="000000" w:themeColor="text1"/>
        </w:rPr>
        <w:t>None</w:t>
      </w:r>
    </w:p>
    <w:p w14:paraId="29993C29" w14:textId="6BB8595C" w:rsidR="007F5071" w:rsidRDefault="00056350" w:rsidP="00A22EB9">
      <w:pPr>
        <w:pStyle w:val="Heading3"/>
      </w:pPr>
      <w:r w:rsidRPr="00781112">
        <w:t>12 - OSEP Response</w:t>
      </w:r>
    </w:p>
    <w:p w14:paraId="25E9178D" w14:textId="71237A40" w:rsidR="00326C0B" w:rsidRPr="000F63C4" w:rsidRDefault="00DB1BCB" w:rsidP="00314F94">
      <w:pPr>
        <w:pStyle w:val="ListParagraph"/>
        <w:numPr>
          <w:ilvl w:val="0"/>
          <w:numId w:val="238"/>
        </w:numPr>
        <w:rPr>
          <w:rFonts w:cs="Arial"/>
          <w:color w:val="000000" w:themeColor="text1"/>
          <w:szCs w:val="16"/>
        </w:rPr>
      </w:pPr>
      <w:r>
        <w:t>Not applicable</w:t>
      </w:r>
    </w:p>
    <w:p w14:paraId="06759F0A" w14:textId="1523FF35" w:rsidR="007F5071" w:rsidRPr="00781112" w:rsidRDefault="00056350" w:rsidP="00A22EB9">
      <w:pPr>
        <w:pStyle w:val="Heading3"/>
      </w:pPr>
      <w:r w:rsidRPr="00781112">
        <w:t>12 - Required Actions</w:t>
      </w:r>
    </w:p>
    <w:p w14:paraId="053D769C" w14:textId="77777777" w:rsidR="007D0FFB" w:rsidRPr="000F63C4" w:rsidRDefault="002B7490" w:rsidP="00314F94">
      <w:pPr>
        <w:pStyle w:val="ListParagraph"/>
        <w:numPr>
          <w:ilvl w:val="0"/>
          <w:numId w:val="239"/>
        </w:numPr>
        <w:rPr>
          <w:rFonts w:cs="Arial"/>
          <w:color w:val="000000" w:themeColor="text1"/>
          <w:szCs w:val="16"/>
        </w:rPr>
      </w:pPr>
      <w:r w:rsidRPr="000F63C4">
        <w:rPr>
          <w:rFonts w:cs="Arial"/>
          <w:color w:val="000000" w:themeColor="text1"/>
          <w:szCs w:val="16"/>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w:t>
      </w:r>
      <w:r w:rsidRPr="000F63C4">
        <w:rPr>
          <w:rFonts w:cs="Arial"/>
          <w:color w:val="000000" w:themeColor="text1"/>
          <w:szCs w:val="16"/>
        </w:rPr>
        <w:lastRenderedPageBreak/>
        <w:t>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p>
    <w:p w14:paraId="09BE7DCF" w14:textId="21FC010F" w:rsidR="00102FA3" w:rsidRPr="00781112" w:rsidRDefault="002B7490" w:rsidP="00204FDF">
      <w:pPr>
        <w:ind w:left="720"/>
        <w:rPr>
          <w:rFonts w:eastAsiaTheme="majorEastAsia" w:cs="Arial"/>
          <w:b/>
          <w:bCs/>
          <w:color w:val="000000" w:themeColor="text1"/>
          <w:szCs w:val="16"/>
        </w:rPr>
      </w:pPr>
      <w:r w:rsidRPr="00781112">
        <w:rPr>
          <w:rFonts w:cs="Arial"/>
          <w:color w:val="000000" w:themeColor="text1"/>
          <w:szCs w:val="16"/>
        </w:rPr>
        <w:t>If the State did not identify any findings of noncompliance in FFY 2020, although its FFY 2020 data reflect less than 100% compliance, provide an explanation of why the State did not identify any findings of noncompliance in FFY 2020.</w:t>
      </w:r>
      <w:r w:rsidR="00102FA3" w:rsidRPr="00781112">
        <w:rPr>
          <w:rFonts w:cs="Arial"/>
          <w:color w:val="000000" w:themeColor="text1"/>
          <w:szCs w:val="16"/>
        </w:rPr>
        <w:br w:type="page"/>
      </w:r>
    </w:p>
    <w:p w14:paraId="117517B2" w14:textId="1ECF1753" w:rsidR="00D03701" w:rsidRPr="00781112" w:rsidRDefault="00D03701" w:rsidP="008143AB">
      <w:pPr>
        <w:pStyle w:val="Heading2"/>
      </w:pPr>
      <w:r w:rsidRPr="00781112">
        <w:lastRenderedPageBreak/>
        <w:t>Indicator 13: Secondary Transition</w:t>
      </w:r>
    </w:p>
    <w:p w14:paraId="20F3CA53" w14:textId="77777777" w:rsidR="00D04044" w:rsidRPr="007D0FFB" w:rsidRDefault="00D04044" w:rsidP="00224F9D">
      <w:pPr>
        <w:pStyle w:val="Heading3"/>
        <w:spacing w:before="240"/>
      </w:pPr>
      <w:bookmarkStart w:id="95" w:name="_Toc384383363"/>
      <w:bookmarkStart w:id="96" w:name="_Toc392159331"/>
      <w:r w:rsidRPr="007D0FFB">
        <w:t>Instructions and Measurement</w:t>
      </w:r>
    </w:p>
    <w:p w14:paraId="541AD2D1" w14:textId="15B7D425" w:rsidR="001F3A65" w:rsidRPr="00781112" w:rsidRDefault="001F3A65" w:rsidP="00A22EB9">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A22EB9">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7EAF3B5" w:rsidR="001F3A65" w:rsidRPr="00781112" w:rsidRDefault="001F3A65" w:rsidP="00A22EB9">
      <w:pPr>
        <w:rPr>
          <w:rFonts w:cs="Arial"/>
          <w:color w:val="000000" w:themeColor="text1"/>
          <w:szCs w:val="16"/>
        </w:rPr>
      </w:pPr>
      <w:r w:rsidRPr="00781112">
        <w:rPr>
          <w:rFonts w:cs="Arial"/>
          <w:color w:val="000000" w:themeColor="text1"/>
          <w:szCs w:val="16"/>
        </w:rPr>
        <w:t>(20 U.S.C. 1416(a)(3)(B))</w:t>
      </w:r>
    </w:p>
    <w:p w14:paraId="1BD1BDBD" w14:textId="77777777" w:rsidR="0096257C" w:rsidRPr="00781112" w:rsidRDefault="0096257C" w:rsidP="00224F9D">
      <w:pPr>
        <w:pStyle w:val="Heading4"/>
      </w:pPr>
      <w:r w:rsidRPr="00781112">
        <w:t>Data Source</w:t>
      </w:r>
    </w:p>
    <w:p w14:paraId="5868BA99" w14:textId="77777777" w:rsidR="0096257C" w:rsidRPr="00781112" w:rsidRDefault="0096257C" w:rsidP="00A22EB9">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224F9D">
      <w:pPr>
        <w:pStyle w:val="Heading4"/>
      </w:pPr>
      <w:r w:rsidRPr="00781112">
        <w:t>Measurement</w:t>
      </w:r>
    </w:p>
    <w:p w14:paraId="780214FF" w14:textId="6A8C4134" w:rsidR="00B67038" w:rsidRPr="00781112" w:rsidRDefault="00B67038" w:rsidP="00A22EB9">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A22EB9">
      <w:pPr>
        <w:rPr>
          <w:rFonts w:cs="Arial"/>
          <w:color w:val="000000" w:themeColor="text1"/>
          <w:szCs w:val="16"/>
        </w:rPr>
      </w:pPr>
      <w:r w:rsidRPr="00781112">
        <w:rPr>
          <w:rFonts w:cs="Arial"/>
          <w:color w:val="000000" w:themeColor="text1"/>
          <w:szCs w:val="16"/>
        </w:rPr>
        <w:t xml:space="preserve">If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224F9D">
      <w:pPr>
        <w:pStyle w:val="Heading4"/>
      </w:pPr>
      <w:r w:rsidRPr="00781112">
        <w:t>Instructions</w:t>
      </w:r>
    </w:p>
    <w:p w14:paraId="7B194027" w14:textId="77777777" w:rsidR="00B67038" w:rsidRPr="00781112" w:rsidRDefault="00B67038" w:rsidP="00A22EB9">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are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12BF2230" w14:textId="77777777" w:rsidR="00B67038" w:rsidRPr="00781112" w:rsidRDefault="00B67038" w:rsidP="00A22EB9">
      <w:pPr>
        <w:rPr>
          <w:rFonts w:cs="Arial"/>
          <w:color w:val="000000" w:themeColor="text1"/>
          <w:szCs w:val="16"/>
        </w:rPr>
      </w:pPr>
      <w:r w:rsidRPr="00781112">
        <w:rPr>
          <w:rFonts w:cs="Arial"/>
          <w:color w:val="000000" w:themeColor="text1"/>
          <w:szCs w:val="16"/>
        </w:rPr>
        <w:lastRenderedPageBreak/>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A22EB9">
      <w:pPr>
        <w:rPr>
          <w:rFonts w:cs="Arial"/>
          <w:color w:val="000000" w:themeColor="text1"/>
          <w:szCs w:val="16"/>
        </w:rPr>
      </w:pPr>
      <w:r w:rsidRPr="00781112">
        <w:rPr>
          <w:rFonts w:cs="Arial"/>
          <w:color w:val="000000" w:themeColor="text1"/>
          <w:szCs w:val="16"/>
        </w:rPr>
        <w:t>Targets must be 100%.</w:t>
      </w:r>
    </w:p>
    <w:p w14:paraId="1ACBC1E2" w14:textId="77777777" w:rsidR="00B67038" w:rsidRPr="00781112" w:rsidRDefault="00B67038" w:rsidP="00A22EB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56ADC7C3" w:rsidR="00B67038" w:rsidRPr="00781112" w:rsidRDefault="003A4027" w:rsidP="00A22EB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3E6D66A" w14:textId="21025B37" w:rsidR="00D04044" w:rsidRPr="00781112" w:rsidRDefault="00056350" w:rsidP="00A22EB9">
      <w:pPr>
        <w:pStyle w:val="Heading3"/>
      </w:pPr>
      <w:bookmarkStart w:id="97" w:name="_Toc384383364"/>
      <w:bookmarkStart w:id="98" w:name="_Toc392159332"/>
      <w:bookmarkEnd w:id="95"/>
      <w:bookmarkEnd w:id="96"/>
      <w:r w:rsidRPr="00781112">
        <w:t>13</w:t>
      </w:r>
      <w:r w:rsidR="004838A4" w:rsidRPr="00781112">
        <w:t xml:space="preserve"> </w:t>
      </w:r>
      <w:r w:rsidRPr="00781112">
        <w:t xml:space="preserve">- </w:t>
      </w:r>
      <w:r w:rsidR="00D04044" w:rsidRPr="00781112">
        <w:t>Indicator Data</w:t>
      </w:r>
    </w:p>
    <w:p w14:paraId="61C4C68D" w14:textId="589E2579" w:rsidR="009447A3" w:rsidRPr="00781112" w:rsidRDefault="009447A3" w:rsidP="00C33455">
      <w:pPr>
        <w:pStyle w:val="Caption"/>
      </w:pPr>
      <w:r w:rsidRPr="00781112">
        <w:t>Historical Data</w:t>
      </w:r>
      <w:r w:rsidR="00EB500A">
        <w:t xml:space="preserve"> (13)</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607"/>
        <w:gridCol w:w="2608"/>
      </w:tblGrid>
      <w:tr w:rsidR="00694A39" w:rsidRPr="00781112" w14:paraId="03B988E1" w14:textId="77777777" w:rsidTr="007D0FFB">
        <w:trPr>
          <w:trHeight w:val="432"/>
          <w:tblHeader/>
        </w:trPr>
        <w:tc>
          <w:tcPr>
            <w:tcW w:w="2607" w:type="dxa"/>
            <w:shd w:val="clear" w:color="auto" w:fill="D9D9D9" w:themeFill="background1" w:themeFillShade="D9"/>
            <w:vAlign w:val="center"/>
          </w:tcPr>
          <w:p w14:paraId="74B6B294" w14:textId="77777777" w:rsidR="00694A39" w:rsidRPr="00781112" w:rsidRDefault="00694A39" w:rsidP="007D0FFB">
            <w:pPr>
              <w:spacing w:after="0" w:line="276" w:lineRule="auto"/>
              <w:jc w:val="center"/>
              <w:rPr>
                <w:b/>
                <w:color w:val="000000" w:themeColor="text1"/>
              </w:rPr>
            </w:pPr>
            <w:r w:rsidRPr="00781112">
              <w:rPr>
                <w:rFonts w:cs="Arial"/>
                <w:b/>
                <w:color w:val="000000" w:themeColor="text1"/>
                <w:szCs w:val="16"/>
              </w:rPr>
              <w:t>Baseline Year</w:t>
            </w:r>
          </w:p>
        </w:tc>
        <w:tc>
          <w:tcPr>
            <w:tcW w:w="2608" w:type="dxa"/>
            <w:shd w:val="clear" w:color="auto" w:fill="D9D9D9" w:themeFill="background1" w:themeFillShade="D9"/>
            <w:vAlign w:val="center"/>
          </w:tcPr>
          <w:p w14:paraId="1FEDE010" w14:textId="77777777" w:rsidR="00694A39" w:rsidRPr="00781112" w:rsidRDefault="00694A39" w:rsidP="007D0FFB">
            <w:pPr>
              <w:spacing w:after="0" w:line="276" w:lineRule="auto"/>
              <w:jc w:val="center"/>
              <w:rPr>
                <w:b/>
                <w:color w:val="000000" w:themeColor="text1"/>
              </w:rPr>
            </w:pPr>
            <w:r w:rsidRPr="00781112">
              <w:rPr>
                <w:b/>
                <w:color w:val="000000" w:themeColor="text1"/>
              </w:rPr>
              <w:t>Baseline Data</w:t>
            </w:r>
          </w:p>
        </w:tc>
      </w:tr>
      <w:tr w:rsidR="00694A39" w:rsidRPr="00781112" w14:paraId="6D8D944B" w14:textId="77777777" w:rsidTr="007D0FFB">
        <w:trPr>
          <w:trHeight w:val="432"/>
        </w:trPr>
        <w:tc>
          <w:tcPr>
            <w:tcW w:w="2607" w:type="dxa"/>
            <w:vAlign w:val="center"/>
          </w:tcPr>
          <w:p w14:paraId="7FC4C2A7" w14:textId="00CC5CF2" w:rsidR="00694A39" w:rsidRPr="00781112" w:rsidRDefault="00694A39" w:rsidP="007D0FFB">
            <w:pPr>
              <w:spacing w:after="0" w:line="276" w:lineRule="auto"/>
              <w:jc w:val="center"/>
              <w:rPr>
                <w:bCs/>
                <w:color w:val="000000" w:themeColor="text1"/>
              </w:rPr>
            </w:pPr>
            <w:r w:rsidRPr="00781112">
              <w:rPr>
                <w:bCs/>
                <w:color w:val="000000" w:themeColor="text1"/>
              </w:rPr>
              <w:t>2009</w:t>
            </w:r>
          </w:p>
        </w:tc>
        <w:tc>
          <w:tcPr>
            <w:tcW w:w="2608" w:type="dxa"/>
            <w:vAlign w:val="center"/>
          </w:tcPr>
          <w:p w14:paraId="3A6C733C" w14:textId="66F52DB8" w:rsidR="00694A39" w:rsidRPr="00781112" w:rsidRDefault="00694A39" w:rsidP="007D0FFB">
            <w:pPr>
              <w:spacing w:after="0" w:line="276" w:lineRule="auto"/>
              <w:jc w:val="center"/>
              <w:rPr>
                <w:bCs/>
                <w:color w:val="000000" w:themeColor="text1"/>
              </w:rPr>
            </w:pPr>
            <w:r w:rsidRPr="00781112">
              <w:rPr>
                <w:bCs/>
                <w:color w:val="000000" w:themeColor="text1"/>
              </w:rPr>
              <w:t>98.09%</w:t>
            </w:r>
          </w:p>
        </w:tc>
      </w:tr>
    </w:tbl>
    <w:p w14:paraId="1F09B079" w14:textId="4F415AB0" w:rsidR="004F0EE5" w:rsidRPr="004F0EE5" w:rsidRDefault="004F0EE5" w:rsidP="00C33455">
      <w:pPr>
        <w:pStyle w:val="Caption"/>
      </w:pPr>
      <w:r w:rsidRPr="00781112">
        <w:t>Historical Data</w:t>
      </w:r>
      <w:r>
        <w:t xml:space="preserve"> (FFY)</w:t>
      </w:r>
      <w:r w:rsidR="00EB500A">
        <w:t xml:space="preserve">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687251DC" w14:textId="77777777" w:rsidTr="007D0FFB">
        <w:trPr>
          <w:trHeight w:val="432"/>
        </w:trPr>
        <w:tc>
          <w:tcPr>
            <w:tcW w:w="833" w:type="pct"/>
            <w:tcBorders>
              <w:bottom w:val="single" w:sz="4" w:space="0" w:color="auto"/>
            </w:tcBorders>
            <w:shd w:val="clear" w:color="auto" w:fill="D9D9D9" w:themeFill="background1" w:themeFillShade="D9"/>
            <w:vAlign w:val="center"/>
          </w:tcPr>
          <w:p w14:paraId="14E01593" w14:textId="77777777" w:rsidR="009447A3" w:rsidRPr="00781112" w:rsidRDefault="009447A3" w:rsidP="007D0FFB">
            <w:pPr>
              <w:spacing w:after="0"/>
              <w:jc w:val="center"/>
              <w:rPr>
                <w:rFonts w:cs="Arial"/>
                <w:b/>
                <w:color w:val="000000" w:themeColor="text1"/>
                <w:szCs w:val="16"/>
              </w:rPr>
            </w:pPr>
            <w:r w:rsidRPr="00781112">
              <w:rPr>
                <w:rFonts w:cs="Arial"/>
                <w:b/>
                <w:color w:val="000000" w:themeColor="text1"/>
                <w:szCs w:val="16"/>
              </w:rPr>
              <w:t>FFY</w:t>
            </w:r>
          </w:p>
        </w:tc>
        <w:tc>
          <w:tcPr>
            <w:tcW w:w="833" w:type="pct"/>
            <w:shd w:val="clear" w:color="auto" w:fill="D9D9D9" w:themeFill="background1" w:themeFillShade="D9"/>
            <w:vAlign w:val="center"/>
          </w:tcPr>
          <w:p w14:paraId="73A85907" w14:textId="1D9118C1" w:rsidR="009447A3" w:rsidRPr="00781112" w:rsidRDefault="002B7490" w:rsidP="007D0FFB">
            <w:pPr>
              <w:spacing w:after="0"/>
              <w:jc w:val="center"/>
              <w:rPr>
                <w:rFonts w:cs="Arial"/>
                <w:b/>
                <w:color w:val="000000" w:themeColor="text1"/>
                <w:szCs w:val="16"/>
              </w:rPr>
            </w:pPr>
            <w:r w:rsidRPr="00781112">
              <w:rPr>
                <w:rFonts w:cs="Arial"/>
                <w:b/>
                <w:color w:val="000000" w:themeColor="text1"/>
                <w:szCs w:val="16"/>
              </w:rPr>
              <w:t>2015</w:t>
            </w:r>
          </w:p>
        </w:tc>
        <w:tc>
          <w:tcPr>
            <w:tcW w:w="833" w:type="pct"/>
            <w:shd w:val="clear" w:color="auto" w:fill="D9D9D9" w:themeFill="background1" w:themeFillShade="D9"/>
            <w:vAlign w:val="center"/>
          </w:tcPr>
          <w:p w14:paraId="1C6C5D54" w14:textId="213C7749" w:rsidR="009447A3" w:rsidRPr="00781112" w:rsidRDefault="002B7490" w:rsidP="007D0FFB">
            <w:pPr>
              <w:spacing w:after="0"/>
              <w:jc w:val="center"/>
              <w:rPr>
                <w:rFonts w:cs="Arial"/>
                <w:b/>
                <w:color w:val="000000" w:themeColor="text1"/>
                <w:szCs w:val="16"/>
              </w:rPr>
            </w:pPr>
            <w:r w:rsidRPr="00781112">
              <w:rPr>
                <w:rFonts w:cs="Arial"/>
                <w:b/>
                <w:color w:val="000000" w:themeColor="text1"/>
                <w:szCs w:val="16"/>
              </w:rPr>
              <w:t>2016</w:t>
            </w:r>
          </w:p>
        </w:tc>
        <w:tc>
          <w:tcPr>
            <w:tcW w:w="833" w:type="pct"/>
            <w:shd w:val="clear" w:color="auto" w:fill="D9D9D9" w:themeFill="background1" w:themeFillShade="D9"/>
            <w:vAlign w:val="center"/>
          </w:tcPr>
          <w:p w14:paraId="044515B1" w14:textId="14B45245" w:rsidR="009447A3" w:rsidRPr="00781112" w:rsidRDefault="002B7490" w:rsidP="007D0FFB">
            <w:pPr>
              <w:spacing w:after="0"/>
              <w:jc w:val="center"/>
              <w:rPr>
                <w:rFonts w:cs="Arial"/>
                <w:b/>
                <w:color w:val="000000" w:themeColor="text1"/>
                <w:szCs w:val="16"/>
              </w:rPr>
            </w:pPr>
            <w:r w:rsidRPr="00781112">
              <w:rPr>
                <w:rFonts w:cs="Arial"/>
                <w:b/>
                <w:color w:val="000000" w:themeColor="text1"/>
                <w:szCs w:val="16"/>
              </w:rPr>
              <w:t>2017</w:t>
            </w:r>
          </w:p>
        </w:tc>
        <w:tc>
          <w:tcPr>
            <w:tcW w:w="833" w:type="pct"/>
            <w:shd w:val="clear" w:color="auto" w:fill="D9D9D9" w:themeFill="background1" w:themeFillShade="D9"/>
            <w:vAlign w:val="center"/>
          </w:tcPr>
          <w:p w14:paraId="695DE74A" w14:textId="50B444D4" w:rsidR="009447A3" w:rsidRPr="00781112" w:rsidRDefault="002B7490" w:rsidP="007D0FFB">
            <w:pPr>
              <w:spacing w:after="0"/>
              <w:jc w:val="center"/>
              <w:rPr>
                <w:rFonts w:cs="Arial"/>
                <w:b/>
                <w:color w:val="000000" w:themeColor="text1"/>
                <w:szCs w:val="16"/>
              </w:rPr>
            </w:pPr>
            <w:r w:rsidRPr="00781112">
              <w:rPr>
                <w:rFonts w:cs="Arial"/>
                <w:b/>
                <w:color w:val="000000" w:themeColor="text1"/>
                <w:szCs w:val="16"/>
              </w:rPr>
              <w:t>2018</w:t>
            </w:r>
          </w:p>
        </w:tc>
        <w:tc>
          <w:tcPr>
            <w:tcW w:w="834" w:type="pct"/>
            <w:shd w:val="clear" w:color="auto" w:fill="D9D9D9" w:themeFill="background1" w:themeFillShade="D9"/>
            <w:vAlign w:val="center"/>
          </w:tcPr>
          <w:p w14:paraId="527EE05E" w14:textId="3E89E5BC" w:rsidR="009447A3" w:rsidRPr="00781112" w:rsidRDefault="002B7490" w:rsidP="007D0FFB">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0A07B33E" w14:textId="77777777" w:rsidTr="007D0FFB">
        <w:trPr>
          <w:trHeight w:val="432"/>
        </w:trPr>
        <w:tc>
          <w:tcPr>
            <w:tcW w:w="833" w:type="pct"/>
            <w:shd w:val="clear" w:color="auto" w:fill="auto"/>
            <w:vAlign w:val="center"/>
          </w:tcPr>
          <w:p w14:paraId="04BB4B5A" w14:textId="74791D23" w:rsidR="009447A3" w:rsidRPr="00781112" w:rsidRDefault="009447A3" w:rsidP="007D0FFB">
            <w:pPr>
              <w:spacing w:after="0"/>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20467ACA" w14:textId="658A99BC" w:rsidR="009447A3" w:rsidRPr="00781112" w:rsidRDefault="00B16A26" w:rsidP="007D0FFB">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4AE1489C" w14:textId="1138B823" w:rsidR="009447A3" w:rsidRPr="00781112" w:rsidRDefault="00B16A26" w:rsidP="007D0FFB">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3FAB6F79" w14:textId="47FCCD56" w:rsidR="009447A3" w:rsidRPr="00781112" w:rsidRDefault="00B16A26" w:rsidP="007D0FFB">
            <w:pPr>
              <w:spacing w:after="0"/>
              <w:jc w:val="center"/>
              <w:rPr>
                <w:rFonts w:cs="Arial"/>
                <w:color w:val="000000" w:themeColor="text1"/>
                <w:szCs w:val="16"/>
              </w:rPr>
            </w:pPr>
            <w:r w:rsidRPr="00781112">
              <w:rPr>
                <w:rFonts w:cs="Arial"/>
                <w:color w:val="000000" w:themeColor="text1"/>
                <w:szCs w:val="16"/>
              </w:rPr>
              <w:t>100%</w:t>
            </w:r>
          </w:p>
        </w:tc>
        <w:tc>
          <w:tcPr>
            <w:tcW w:w="833" w:type="pct"/>
            <w:shd w:val="clear" w:color="auto" w:fill="auto"/>
            <w:vAlign w:val="center"/>
          </w:tcPr>
          <w:p w14:paraId="2EE056E4" w14:textId="485E460A" w:rsidR="009447A3" w:rsidRPr="00781112" w:rsidRDefault="00B16A26" w:rsidP="007D0FFB">
            <w:pPr>
              <w:spacing w:after="0"/>
              <w:jc w:val="center"/>
              <w:rPr>
                <w:rFonts w:cs="Arial"/>
                <w:color w:val="000000" w:themeColor="text1"/>
                <w:szCs w:val="16"/>
              </w:rPr>
            </w:pPr>
            <w:r w:rsidRPr="00781112">
              <w:rPr>
                <w:rFonts w:cs="Arial"/>
                <w:color w:val="000000" w:themeColor="text1"/>
                <w:szCs w:val="16"/>
              </w:rPr>
              <w:t>100%</w:t>
            </w:r>
          </w:p>
        </w:tc>
        <w:tc>
          <w:tcPr>
            <w:tcW w:w="834" w:type="pct"/>
            <w:shd w:val="clear" w:color="auto" w:fill="auto"/>
            <w:vAlign w:val="center"/>
          </w:tcPr>
          <w:p w14:paraId="6F722BD0" w14:textId="06244133" w:rsidR="009447A3" w:rsidRPr="00781112" w:rsidRDefault="00B16A26" w:rsidP="007D0FFB">
            <w:pPr>
              <w:spacing w:after="0"/>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7D0FFB">
        <w:trPr>
          <w:trHeight w:val="432"/>
        </w:trPr>
        <w:tc>
          <w:tcPr>
            <w:tcW w:w="833" w:type="pct"/>
            <w:shd w:val="clear" w:color="auto" w:fill="auto"/>
            <w:vAlign w:val="center"/>
          </w:tcPr>
          <w:p w14:paraId="6473FB8E" w14:textId="77777777" w:rsidR="009447A3" w:rsidRPr="00781112" w:rsidRDefault="009447A3" w:rsidP="007D0FFB">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508672F7" w14:textId="4FDD51CC" w:rsidR="009447A3" w:rsidRPr="00781112" w:rsidRDefault="002B7490" w:rsidP="007D0FFB">
            <w:pPr>
              <w:spacing w:after="0"/>
              <w:jc w:val="center"/>
              <w:rPr>
                <w:rFonts w:cs="Arial"/>
                <w:color w:val="000000" w:themeColor="text1"/>
                <w:szCs w:val="16"/>
              </w:rPr>
            </w:pPr>
            <w:r w:rsidRPr="00781112">
              <w:rPr>
                <w:rFonts w:cs="Arial"/>
                <w:color w:val="000000" w:themeColor="text1"/>
                <w:szCs w:val="16"/>
              </w:rPr>
              <w:t>99.17%</w:t>
            </w:r>
          </w:p>
        </w:tc>
        <w:tc>
          <w:tcPr>
            <w:tcW w:w="833" w:type="pct"/>
            <w:shd w:val="clear" w:color="auto" w:fill="auto"/>
            <w:vAlign w:val="center"/>
          </w:tcPr>
          <w:p w14:paraId="50F55BA6" w14:textId="73CC9B0F" w:rsidR="009447A3" w:rsidRPr="00781112" w:rsidRDefault="002B7490" w:rsidP="007D0FFB">
            <w:pPr>
              <w:spacing w:after="0"/>
              <w:jc w:val="center"/>
              <w:rPr>
                <w:rFonts w:cs="Arial"/>
                <w:color w:val="000000" w:themeColor="text1"/>
                <w:szCs w:val="16"/>
              </w:rPr>
            </w:pPr>
            <w:r w:rsidRPr="00781112">
              <w:rPr>
                <w:rFonts w:cs="Arial"/>
                <w:color w:val="000000" w:themeColor="text1"/>
                <w:szCs w:val="16"/>
              </w:rPr>
              <w:t>99.37%</w:t>
            </w:r>
          </w:p>
        </w:tc>
        <w:tc>
          <w:tcPr>
            <w:tcW w:w="833" w:type="pct"/>
            <w:tcBorders>
              <w:bottom w:val="single" w:sz="4" w:space="0" w:color="auto"/>
            </w:tcBorders>
            <w:shd w:val="clear" w:color="auto" w:fill="auto"/>
            <w:vAlign w:val="center"/>
          </w:tcPr>
          <w:p w14:paraId="6FC9DB0D" w14:textId="5188F524" w:rsidR="009447A3" w:rsidRPr="00781112" w:rsidRDefault="002B7490" w:rsidP="007D0FFB">
            <w:pPr>
              <w:spacing w:after="0"/>
              <w:jc w:val="center"/>
              <w:rPr>
                <w:rFonts w:cs="Arial"/>
                <w:color w:val="000000" w:themeColor="text1"/>
                <w:szCs w:val="16"/>
              </w:rPr>
            </w:pPr>
            <w:r w:rsidRPr="00781112">
              <w:rPr>
                <w:rFonts w:cs="Arial"/>
                <w:color w:val="000000" w:themeColor="text1"/>
                <w:szCs w:val="16"/>
              </w:rPr>
              <w:t>99.71%</w:t>
            </w:r>
          </w:p>
        </w:tc>
        <w:tc>
          <w:tcPr>
            <w:tcW w:w="833" w:type="pct"/>
            <w:tcBorders>
              <w:bottom w:val="single" w:sz="4" w:space="0" w:color="auto"/>
            </w:tcBorders>
            <w:shd w:val="clear" w:color="auto" w:fill="auto"/>
            <w:vAlign w:val="center"/>
          </w:tcPr>
          <w:p w14:paraId="2DE56335" w14:textId="11069C36" w:rsidR="009447A3" w:rsidRPr="00781112" w:rsidRDefault="002B7490" w:rsidP="007D0FFB">
            <w:pPr>
              <w:spacing w:after="0"/>
              <w:jc w:val="center"/>
              <w:rPr>
                <w:rFonts w:cs="Arial"/>
                <w:color w:val="000000" w:themeColor="text1"/>
                <w:szCs w:val="16"/>
              </w:rPr>
            </w:pPr>
            <w:r w:rsidRPr="00781112">
              <w:rPr>
                <w:rFonts w:cs="Arial"/>
                <w:color w:val="000000" w:themeColor="text1"/>
                <w:szCs w:val="16"/>
              </w:rPr>
              <w:t>99.25%</w:t>
            </w:r>
          </w:p>
        </w:tc>
        <w:tc>
          <w:tcPr>
            <w:tcW w:w="834" w:type="pct"/>
            <w:tcBorders>
              <w:bottom w:val="single" w:sz="4" w:space="0" w:color="auto"/>
            </w:tcBorders>
            <w:shd w:val="clear" w:color="auto" w:fill="auto"/>
            <w:vAlign w:val="center"/>
          </w:tcPr>
          <w:p w14:paraId="541BA7DE" w14:textId="2D80E9D8" w:rsidR="009447A3" w:rsidRPr="00781112" w:rsidRDefault="002B7490" w:rsidP="007D0FFB">
            <w:pPr>
              <w:spacing w:after="0"/>
              <w:jc w:val="center"/>
              <w:rPr>
                <w:rFonts w:cs="Arial"/>
                <w:color w:val="000000" w:themeColor="text1"/>
                <w:szCs w:val="16"/>
              </w:rPr>
            </w:pPr>
            <w:r w:rsidRPr="00781112">
              <w:rPr>
                <w:rFonts w:cs="Arial"/>
                <w:color w:val="000000" w:themeColor="text1"/>
                <w:szCs w:val="16"/>
              </w:rPr>
              <w:t>98.41%</w:t>
            </w:r>
          </w:p>
        </w:tc>
      </w:tr>
    </w:tbl>
    <w:p w14:paraId="75465A8F" w14:textId="5C903E61" w:rsidR="007A3964" w:rsidRPr="00781112" w:rsidRDefault="007A3964" w:rsidP="00C33455">
      <w:pPr>
        <w:pStyle w:val="Caption"/>
      </w:pPr>
      <w:r w:rsidRPr="00781112">
        <w:t>Targets</w:t>
      </w:r>
      <w:r w:rsidR="00EB500A">
        <w:t xml:space="preserve">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345"/>
        <w:gridCol w:w="1574"/>
        <w:gridCol w:w="1574"/>
        <w:gridCol w:w="1576"/>
        <w:gridCol w:w="1573"/>
        <w:gridCol w:w="1573"/>
        <w:gridCol w:w="1575"/>
      </w:tblGrid>
      <w:tr w:rsidR="00456FF8" w:rsidRPr="00781112" w14:paraId="75609119" w14:textId="4FD44BFE" w:rsidTr="007D0FFB">
        <w:trPr>
          <w:trHeight w:val="432"/>
        </w:trPr>
        <w:tc>
          <w:tcPr>
            <w:tcW w:w="623" w:type="pct"/>
            <w:tcBorders>
              <w:bottom w:val="single" w:sz="4" w:space="0" w:color="auto"/>
            </w:tcBorders>
            <w:shd w:val="clear" w:color="auto" w:fill="D9D9D9" w:themeFill="background1" w:themeFillShade="D9"/>
            <w:vAlign w:val="center"/>
          </w:tcPr>
          <w:p w14:paraId="270D1909" w14:textId="77777777" w:rsidR="00AF574F" w:rsidRPr="00781112" w:rsidRDefault="00AF574F" w:rsidP="007D0FFB">
            <w:pPr>
              <w:spacing w:after="0"/>
              <w:jc w:val="center"/>
              <w:rPr>
                <w:b/>
                <w:color w:val="000000" w:themeColor="text1"/>
              </w:rPr>
            </w:pPr>
            <w:r w:rsidRPr="00781112">
              <w:rPr>
                <w:b/>
                <w:color w:val="000000" w:themeColor="text1"/>
              </w:rPr>
              <w:t>FFY</w:t>
            </w:r>
          </w:p>
        </w:tc>
        <w:tc>
          <w:tcPr>
            <w:tcW w:w="729" w:type="pct"/>
            <w:shd w:val="clear" w:color="auto" w:fill="D9D9D9" w:themeFill="background1" w:themeFillShade="D9"/>
            <w:vAlign w:val="center"/>
          </w:tcPr>
          <w:p w14:paraId="3C863620" w14:textId="77777777" w:rsidR="00AF574F" w:rsidRPr="00781112" w:rsidRDefault="00AF574F" w:rsidP="007D0FFB">
            <w:pPr>
              <w:spacing w:after="0"/>
              <w:jc w:val="center"/>
              <w:rPr>
                <w:b/>
                <w:color w:val="000000" w:themeColor="text1"/>
              </w:rPr>
            </w:pPr>
            <w:r w:rsidRPr="00781112">
              <w:rPr>
                <w:b/>
                <w:color w:val="000000" w:themeColor="text1"/>
              </w:rPr>
              <w:t>2020</w:t>
            </w:r>
          </w:p>
        </w:tc>
        <w:tc>
          <w:tcPr>
            <w:tcW w:w="729" w:type="pct"/>
            <w:shd w:val="clear" w:color="auto" w:fill="D9D9D9" w:themeFill="background1" w:themeFillShade="D9"/>
            <w:vAlign w:val="center"/>
          </w:tcPr>
          <w:p w14:paraId="1E742631" w14:textId="024F7853" w:rsidR="00AF574F" w:rsidRPr="00781112" w:rsidRDefault="00AF574F" w:rsidP="007D0FFB">
            <w:pPr>
              <w:spacing w:after="0"/>
              <w:jc w:val="center"/>
              <w:rPr>
                <w:b/>
                <w:color w:val="000000" w:themeColor="text1"/>
              </w:rPr>
            </w:pPr>
            <w:r w:rsidRPr="00781112">
              <w:rPr>
                <w:rFonts w:cs="Arial"/>
                <w:b/>
                <w:color w:val="000000" w:themeColor="text1"/>
                <w:szCs w:val="16"/>
              </w:rPr>
              <w:t>2021</w:t>
            </w:r>
          </w:p>
        </w:tc>
        <w:tc>
          <w:tcPr>
            <w:tcW w:w="730" w:type="pct"/>
            <w:shd w:val="clear" w:color="auto" w:fill="D9D9D9" w:themeFill="background1" w:themeFillShade="D9"/>
            <w:vAlign w:val="center"/>
          </w:tcPr>
          <w:p w14:paraId="68E9F440" w14:textId="3DC7BEDA" w:rsidR="00AF574F" w:rsidRPr="00781112" w:rsidRDefault="00AF574F" w:rsidP="007D0FFB">
            <w:pPr>
              <w:spacing w:after="0"/>
              <w:jc w:val="center"/>
              <w:rPr>
                <w:b/>
                <w:color w:val="000000" w:themeColor="text1"/>
              </w:rPr>
            </w:pPr>
            <w:r w:rsidRPr="00781112">
              <w:rPr>
                <w:rFonts w:cs="Arial"/>
                <w:b/>
                <w:color w:val="000000" w:themeColor="text1"/>
                <w:szCs w:val="16"/>
              </w:rPr>
              <w:t>2022</w:t>
            </w:r>
          </w:p>
        </w:tc>
        <w:tc>
          <w:tcPr>
            <w:tcW w:w="729" w:type="pct"/>
            <w:shd w:val="clear" w:color="auto" w:fill="D9D9D9" w:themeFill="background1" w:themeFillShade="D9"/>
            <w:vAlign w:val="center"/>
          </w:tcPr>
          <w:p w14:paraId="724C1BE8" w14:textId="32F17B9A" w:rsidR="00AF574F" w:rsidRPr="00781112" w:rsidRDefault="00AF574F" w:rsidP="007D0FFB">
            <w:pPr>
              <w:spacing w:after="0"/>
              <w:jc w:val="center"/>
              <w:rPr>
                <w:b/>
                <w:color w:val="000000" w:themeColor="text1"/>
              </w:rPr>
            </w:pPr>
            <w:r w:rsidRPr="00781112">
              <w:rPr>
                <w:rFonts w:cs="Arial"/>
                <w:b/>
                <w:color w:val="000000" w:themeColor="text1"/>
                <w:szCs w:val="16"/>
              </w:rPr>
              <w:t>2023</w:t>
            </w:r>
          </w:p>
        </w:tc>
        <w:tc>
          <w:tcPr>
            <w:tcW w:w="729" w:type="pct"/>
            <w:shd w:val="clear" w:color="auto" w:fill="D9D9D9" w:themeFill="background1" w:themeFillShade="D9"/>
            <w:vAlign w:val="center"/>
          </w:tcPr>
          <w:p w14:paraId="6CD77942" w14:textId="751F9B95" w:rsidR="00AF574F" w:rsidRPr="00781112" w:rsidRDefault="00AF574F" w:rsidP="007D0FFB">
            <w:pPr>
              <w:spacing w:after="0"/>
              <w:jc w:val="center"/>
              <w:rPr>
                <w:b/>
                <w:color w:val="000000" w:themeColor="text1"/>
              </w:rPr>
            </w:pPr>
            <w:r w:rsidRPr="00781112">
              <w:rPr>
                <w:rFonts w:cs="Arial"/>
                <w:b/>
                <w:color w:val="000000" w:themeColor="text1"/>
                <w:szCs w:val="16"/>
              </w:rPr>
              <w:t>2024</w:t>
            </w:r>
          </w:p>
        </w:tc>
        <w:tc>
          <w:tcPr>
            <w:tcW w:w="730" w:type="pct"/>
            <w:shd w:val="clear" w:color="auto" w:fill="D9D9D9" w:themeFill="background1" w:themeFillShade="D9"/>
            <w:vAlign w:val="center"/>
          </w:tcPr>
          <w:p w14:paraId="2153BB0F" w14:textId="58A09EC2" w:rsidR="00AF574F" w:rsidRPr="00781112" w:rsidRDefault="00AF574F" w:rsidP="007D0FFB">
            <w:pPr>
              <w:spacing w:after="0"/>
              <w:jc w:val="center"/>
              <w:rPr>
                <w:b/>
                <w:color w:val="000000" w:themeColor="text1"/>
              </w:rPr>
            </w:pPr>
            <w:r w:rsidRPr="00781112">
              <w:rPr>
                <w:rFonts w:cs="Arial"/>
                <w:b/>
                <w:color w:val="000000" w:themeColor="text1"/>
                <w:szCs w:val="16"/>
              </w:rPr>
              <w:t>2025</w:t>
            </w:r>
          </w:p>
        </w:tc>
      </w:tr>
      <w:tr w:rsidR="00456FF8" w:rsidRPr="00781112" w14:paraId="129EADEA" w14:textId="243BFF73" w:rsidTr="007D0FFB">
        <w:trPr>
          <w:trHeight w:val="432"/>
        </w:trPr>
        <w:tc>
          <w:tcPr>
            <w:tcW w:w="623" w:type="pct"/>
            <w:shd w:val="clear" w:color="auto" w:fill="auto"/>
            <w:vAlign w:val="center"/>
          </w:tcPr>
          <w:p w14:paraId="14AB537C" w14:textId="64ADA3FD" w:rsidR="00AF574F" w:rsidRPr="00781112" w:rsidRDefault="00AF574F" w:rsidP="007D0FFB">
            <w:pPr>
              <w:spacing w:after="0"/>
              <w:jc w:val="center"/>
              <w:rPr>
                <w:rFonts w:cs="Arial"/>
                <w:color w:val="000000" w:themeColor="text1"/>
                <w:szCs w:val="16"/>
              </w:rPr>
            </w:pPr>
            <w:r w:rsidRPr="00781112">
              <w:rPr>
                <w:rFonts w:cs="Arial"/>
                <w:color w:val="000000" w:themeColor="text1"/>
                <w:szCs w:val="16"/>
              </w:rPr>
              <w:t>Target</w:t>
            </w:r>
          </w:p>
        </w:tc>
        <w:tc>
          <w:tcPr>
            <w:tcW w:w="729" w:type="pct"/>
            <w:shd w:val="clear" w:color="auto" w:fill="auto"/>
            <w:vAlign w:val="center"/>
          </w:tcPr>
          <w:p w14:paraId="0BAE8900" w14:textId="37E5F8C0" w:rsidR="00AF574F" w:rsidRPr="00781112" w:rsidRDefault="00AF574F" w:rsidP="007D0FFB">
            <w:pPr>
              <w:spacing w:after="0"/>
              <w:jc w:val="center"/>
              <w:rPr>
                <w:rFonts w:cs="Arial"/>
                <w:color w:val="000000" w:themeColor="text1"/>
                <w:szCs w:val="16"/>
              </w:rPr>
            </w:pPr>
            <w:r w:rsidRPr="00781112">
              <w:rPr>
                <w:rFonts w:cs="Arial"/>
                <w:color w:val="000000" w:themeColor="text1"/>
                <w:szCs w:val="16"/>
              </w:rPr>
              <w:t>100%</w:t>
            </w:r>
          </w:p>
        </w:tc>
        <w:tc>
          <w:tcPr>
            <w:tcW w:w="729" w:type="pct"/>
            <w:vAlign w:val="center"/>
          </w:tcPr>
          <w:p w14:paraId="2CC39FD1" w14:textId="0A351FA5" w:rsidR="00AF574F" w:rsidRPr="00781112" w:rsidRDefault="00AF574F" w:rsidP="007D0FFB">
            <w:pPr>
              <w:spacing w:after="0"/>
              <w:jc w:val="center"/>
              <w:rPr>
                <w:rFonts w:cs="Arial"/>
                <w:color w:val="000000" w:themeColor="text1"/>
                <w:szCs w:val="16"/>
              </w:rPr>
            </w:pPr>
            <w:r w:rsidRPr="00781112">
              <w:rPr>
                <w:color w:val="000000" w:themeColor="text1"/>
                <w:szCs w:val="16"/>
              </w:rPr>
              <w:t>100%</w:t>
            </w:r>
          </w:p>
        </w:tc>
        <w:tc>
          <w:tcPr>
            <w:tcW w:w="730" w:type="pct"/>
            <w:vAlign w:val="center"/>
          </w:tcPr>
          <w:p w14:paraId="67D6E1E0" w14:textId="00533F6B" w:rsidR="00AF574F" w:rsidRPr="00781112" w:rsidRDefault="00AF574F" w:rsidP="007D0FFB">
            <w:pPr>
              <w:spacing w:after="0"/>
              <w:jc w:val="center"/>
              <w:rPr>
                <w:rFonts w:cs="Arial"/>
                <w:color w:val="000000" w:themeColor="text1"/>
                <w:szCs w:val="16"/>
              </w:rPr>
            </w:pPr>
            <w:r w:rsidRPr="00781112">
              <w:rPr>
                <w:color w:val="000000" w:themeColor="text1"/>
                <w:szCs w:val="16"/>
              </w:rPr>
              <w:t>100%</w:t>
            </w:r>
          </w:p>
        </w:tc>
        <w:tc>
          <w:tcPr>
            <w:tcW w:w="729" w:type="pct"/>
            <w:vAlign w:val="center"/>
          </w:tcPr>
          <w:p w14:paraId="39A43D1F" w14:textId="716B9E54" w:rsidR="00AF574F" w:rsidRPr="00781112" w:rsidRDefault="00AF574F" w:rsidP="007D0FFB">
            <w:pPr>
              <w:spacing w:after="0"/>
              <w:jc w:val="center"/>
              <w:rPr>
                <w:rFonts w:cs="Arial"/>
                <w:color w:val="000000" w:themeColor="text1"/>
                <w:szCs w:val="16"/>
              </w:rPr>
            </w:pPr>
            <w:r w:rsidRPr="00781112">
              <w:rPr>
                <w:color w:val="000000" w:themeColor="text1"/>
                <w:szCs w:val="16"/>
              </w:rPr>
              <w:t>100%</w:t>
            </w:r>
          </w:p>
        </w:tc>
        <w:tc>
          <w:tcPr>
            <w:tcW w:w="729" w:type="pct"/>
            <w:vAlign w:val="center"/>
          </w:tcPr>
          <w:p w14:paraId="6CC99391" w14:textId="2FAEBC53" w:rsidR="00AF574F" w:rsidRPr="00781112" w:rsidRDefault="00AF574F" w:rsidP="007D0FFB">
            <w:pPr>
              <w:spacing w:after="0"/>
              <w:jc w:val="center"/>
              <w:rPr>
                <w:rFonts w:cs="Arial"/>
                <w:color w:val="000000" w:themeColor="text1"/>
                <w:szCs w:val="16"/>
              </w:rPr>
            </w:pPr>
            <w:r w:rsidRPr="00781112">
              <w:rPr>
                <w:color w:val="000000" w:themeColor="text1"/>
                <w:szCs w:val="16"/>
              </w:rPr>
              <w:t>100%</w:t>
            </w:r>
          </w:p>
        </w:tc>
        <w:tc>
          <w:tcPr>
            <w:tcW w:w="730" w:type="pct"/>
            <w:vAlign w:val="center"/>
          </w:tcPr>
          <w:p w14:paraId="0C2F228E" w14:textId="40372095" w:rsidR="00AF574F" w:rsidRPr="00781112" w:rsidRDefault="00AF574F" w:rsidP="007D0FFB">
            <w:pPr>
              <w:spacing w:after="0"/>
              <w:jc w:val="center"/>
              <w:rPr>
                <w:rFonts w:cs="Arial"/>
                <w:color w:val="000000" w:themeColor="text1"/>
                <w:szCs w:val="16"/>
              </w:rPr>
            </w:pPr>
            <w:r w:rsidRPr="00781112">
              <w:rPr>
                <w:color w:val="000000" w:themeColor="text1"/>
                <w:szCs w:val="16"/>
              </w:rPr>
              <w:t>100%</w:t>
            </w:r>
          </w:p>
        </w:tc>
      </w:tr>
    </w:tbl>
    <w:p w14:paraId="596F7C13" w14:textId="063B405D" w:rsidR="00D03701" w:rsidRPr="00781112" w:rsidRDefault="00806C75" w:rsidP="00C33455">
      <w:pPr>
        <w:pStyle w:val="Caption"/>
      </w:pPr>
      <w:r w:rsidRPr="00781112">
        <w:t>FFY 2020 SPP/APR Data</w:t>
      </w:r>
      <w:bookmarkEnd w:id="97"/>
      <w:bookmarkEnd w:id="98"/>
      <w:r w:rsidR="00C578AE">
        <w:t xml:space="preserve">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target and data for FFY 2020, status, and slippage, when applicable."/>
      </w:tblPr>
      <w:tblGrid>
        <w:gridCol w:w="2787"/>
        <w:gridCol w:w="2162"/>
        <w:gridCol w:w="1053"/>
        <w:gridCol w:w="1053"/>
        <w:gridCol w:w="1053"/>
        <w:gridCol w:w="1465"/>
        <w:gridCol w:w="1217"/>
      </w:tblGrid>
      <w:tr w:rsidR="007D0FFB" w:rsidRPr="00781112" w14:paraId="22208B6A" w14:textId="2EBA1D17" w:rsidTr="007D0FFB">
        <w:trPr>
          <w:trHeight w:val="354"/>
          <w:tblHeader/>
        </w:trPr>
        <w:tc>
          <w:tcPr>
            <w:tcW w:w="1291" w:type="pct"/>
            <w:shd w:val="clear" w:color="auto" w:fill="D9D9D9" w:themeFill="background1" w:themeFillShade="D9"/>
            <w:vAlign w:val="center"/>
          </w:tcPr>
          <w:p w14:paraId="24F7C6E9" w14:textId="77777777" w:rsidR="00B67038" w:rsidRPr="00781112" w:rsidRDefault="00B67038" w:rsidP="007D0FFB">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aged 16 and above with IEPs that contain each of the required components for secondary transition</w:t>
            </w:r>
          </w:p>
        </w:tc>
        <w:tc>
          <w:tcPr>
            <w:tcW w:w="1002" w:type="pct"/>
            <w:shd w:val="clear" w:color="auto" w:fill="D9D9D9" w:themeFill="background1" w:themeFillShade="D9"/>
            <w:vAlign w:val="center"/>
          </w:tcPr>
          <w:p w14:paraId="5096A299" w14:textId="77777777" w:rsidR="00B67038" w:rsidRPr="00781112" w:rsidRDefault="00B67038" w:rsidP="007D0FFB">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aged 16 and above</w:t>
            </w:r>
          </w:p>
        </w:tc>
        <w:tc>
          <w:tcPr>
            <w:tcW w:w="488" w:type="pct"/>
            <w:shd w:val="clear" w:color="auto" w:fill="D9D9D9" w:themeFill="background1" w:themeFillShade="D9"/>
            <w:vAlign w:val="center"/>
          </w:tcPr>
          <w:p w14:paraId="77D0CB34" w14:textId="0A7D9923" w:rsidR="00B67038" w:rsidRPr="00781112" w:rsidRDefault="00F6415A" w:rsidP="007D0FFB">
            <w:pPr>
              <w:spacing w:after="0"/>
              <w:jc w:val="center"/>
              <w:rPr>
                <w:rFonts w:cs="Arial"/>
                <w:b/>
                <w:color w:val="000000" w:themeColor="text1"/>
                <w:szCs w:val="16"/>
              </w:rPr>
            </w:pPr>
            <w:r w:rsidRPr="00781112">
              <w:rPr>
                <w:rFonts w:cs="Arial"/>
                <w:b/>
                <w:color w:val="000000" w:themeColor="text1"/>
                <w:szCs w:val="16"/>
              </w:rPr>
              <w:t>FFY 2019 Data</w:t>
            </w:r>
          </w:p>
        </w:tc>
        <w:tc>
          <w:tcPr>
            <w:tcW w:w="488" w:type="pct"/>
            <w:shd w:val="clear" w:color="auto" w:fill="D9D9D9" w:themeFill="background1" w:themeFillShade="D9"/>
            <w:vAlign w:val="center"/>
          </w:tcPr>
          <w:p w14:paraId="0E375E75" w14:textId="0F689402" w:rsidR="00B67038" w:rsidRPr="00781112" w:rsidRDefault="00806C75" w:rsidP="007D0FFB">
            <w:pPr>
              <w:spacing w:after="0"/>
              <w:jc w:val="center"/>
              <w:rPr>
                <w:rFonts w:cs="Arial"/>
                <w:b/>
                <w:color w:val="000000" w:themeColor="text1"/>
                <w:szCs w:val="16"/>
              </w:rPr>
            </w:pPr>
            <w:r w:rsidRPr="00781112">
              <w:rPr>
                <w:rFonts w:cs="Arial"/>
                <w:b/>
                <w:color w:val="000000" w:themeColor="text1"/>
                <w:szCs w:val="16"/>
              </w:rPr>
              <w:t>FFY 2020 Target</w:t>
            </w:r>
          </w:p>
        </w:tc>
        <w:tc>
          <w:tcPr>
            <w:tcW w:w="488" w:type="pct"/>
            <w:shd w:val="clear" w:color="auto" w:fill="D9D9D9" w:themeFill="background1" w:themeFillShade="D9"/>
            <w:vAlign w:val="center"/>
          </w:tcPr>
          <w:p w14:paraId="58CCB0C1" w14:textId="3A02BE5C" w:rsidR="00B67038" w:rsidRPr="00781112" w:rsidRDefault="00806C75" w:rsidP="007D0FFB">
            <w:pPr>
              <w:spacing w:after="0"/>
              <w:jc w:val="center"/>
              <w:rPr>
                <w:rFonts w:cs="Arial"/>
                <w:b/>
                <w:color w:val="000000" w:themeColor="text1"/>
                <w:szCs w:val="16"/>
              </w:rPr>
            </w:pPr>
            <w:r w:rsidRPr="00781112">
              <w:rPr>
                <w:rFonts w:cs="Arial"/>
                <w:b/>
                <w:color w:val="000000" w:themeColor="text1"/>
                <w:szCs w:val="16"/>
              </w:rPr>
              <w:t>FFY 2020 Data</w:t>
            </w:r>
          </w:p>
        </w:tc>
        <w:tc>
          <w:tcPr>
            <w:tcW w:w="679" w:type="pct"/>
            <w:shd w:val="clear" w:color="auto" w:fill="D9D9D9" w:themeFill="background1" w:themeFillShade="D9"/>
            <w:vAlign w:val="center"/>
          </w:tcPr>
          <w:p w14:paraId="3A7C3260" w14:textId="5AACBA6E" w:rsidR="00B67038" w:rsidRPr="00781112" w:rsidRDefault="00B67038" w:rsidP="007D0FFB">
            <w:pPr>
              <w:spacing w:after="0"/>
              <w:jc w:val="center"/>
              <w:rPr>
                <w:rFonts w:cs="Arial"/>
                <w:b/>
                <w:color w:val="000000" w:themeColor="text1"/>
                <w:szCs w:val="16"/>
              </w:rPr>
            </w:pPr>
            <w:r w:rsidRPr="00781112">
              <w:rPr>
                <w:rFonts w:cs="Arial"/>
                <w:b/>
                <w:color w:val="000000" w:themeColor="text1"/>
                <w:szCs w:val="16"/>
              </w:rPr>
              <w:t>Status</w:t>
            </w:r>
          </w:p>
        </w:tc>
        <w:tc>
          <w:tcPr>
            <w:tcW w:w="564" w:type="pct"/>
            <w:shd w:val="clear" w:color="auto" w:fill="D9D9D9" w:themeFill="background1" w:themeFillShade="D9"/>
            <w:vAlign w:val="center"/>
          </w:tcPr>
          <w:p w14:paraId="34FABCEB" w14:textId="119B0EB2" w:rsidR="00B67038" w:rsidRPr="00781112" w:rsidRDefault="00B67038" w:rsidP="007D0FFB">
            <w:pPr>
              <w:spacing w:after="0"/>
              <w:jc w:val="center"/>
              <w:rPr>
                <w:rFonts w:cs="Arial"/>
                <w:b/>
                <w:color w:val="000000" w:themeColor="text1"/>
                <w:szCs w:val="16"/>
              </w:rPr>
            </w:pPr>
            <w:r w:rsidRPr="00781112">
              <w:rPr>
                <w:rFonts w:cs="Arial"/>
                <w:b/>
                <w:color w:val="000000" w:themeColor="text1"/>
                <w:szCs w:val="16"/>
              </w:rPr>
              <w:t>Slippage</w:t>
            </w:r>
          </w:p>
        </w:tc>
      </w:tr>
      <w:tr w:rsidR="007D0FFB" w:rsidRPr="00781112" w14:paraId="18CC159D" w14:textId="122E5ABE" w:rsidTr="007D0FFB">
        <w:trPr>
          <w:trHeight w:val="620"/>
        </w:trPr>
        <w:tc>
          <w:tcPr>
            <w:tcW w:w="1291" w:type="pct"/>
            <w:shd w:val="clear" w:color="auto" w:fill="auto"/>
            <w:vAlign w:val="center"/>
          </w:tcPr>
          <w:p w14:paraId="55912D09" w14:textId="371B119A" w:rsidR="00070D9E" w:rsidRPr="00781112" w:rsidRDefault="002B7490" w:rsidP="007D0FFB">
            <w:pPr>
              <w:spacing w:after="0"/>
              <w:jc w:val="center"/>
              <w:rPr>
                <w:rFonts w:cs="Arial"/>
                <w:color w:val="000000" w:themeColor="text1"/>
                <w:szCs w:val="16"/>
              </w:rPr>
            </w:pPr>
            <w:r w:rsidRPr="00781112">
              <w:rPr>
                <w:rFonts w:cs="Arial"/>
                <w:color w:val="000000" w:themeColor="text1"/>
                <w:szCs w:val="16"/>
              </w:rPr>
              <w:t>8,378</w:t>
            </w:r>
          </w:p>
        </w:tc>
        <w:tc>
          <w:tcPr>
            <w:tcW w:w="1002" w:type="pct"/>
            <w:shd w:val="clear" w:color="auto" w:fill="auto"/>
            <w:vAlign w:val="center"/>
          </w:tcPr>
          <w:p w14:paraId="3D798FB5" w14:textId="3B2AC314" w:rsidR="00070D9E" w:rsidRPr="00781112" w:rsidRDefault="002B7490" w:rsidP="007D0FFB">
            <w:pPr>
              <w:spacing w:after="0"/>
              <w:jc w:val="center"/>
              <w:rPr>
                <w:rFonts w:cs="Arial"/>
                <w:color w:val="000000" w:themeColor="text1"/>
                <w:szCs w:val="16"/>
              </w:rPr>
            </w:pPr>
            <w:r w:rsidRPr="00781112">
              <w:rPr>
                <w:rFonts w:cs="Arial"/>
                <w:color w:val="000000" w:themeColor="text1"/>
                <w:szCs w:val="16"/>
              </w:rPr>
              <w:t>8,624</w:t>
            </w:r>
          </w:p>
        </w:tc>
        <w:tc>
          <w:tcPr>
            <w:tcW w:w="488" w:type="pct"/>
            <w:shd w:val="clear" w:color="auto" w:fill="auto"/>
            <w:vAlign w:val="center"/>
          </w:tcPr>
          <w:p w14:paraId="36E1BD35" w14:textId="4F5BD8EB" w:rsidR="00070D9E" w:rsidRPr="00781112" w:rsidRDefault="002B7490" w:rsidP="007D0FFB">
            <w:pPr>
              <w:spacing w:after="0"/>
              <w:jc w:val="center"/>
              <w:rPr>
                <w:rFonts w:cs="Arial"/>
                <w:color w:val="000000" w:themeColor="text1"/>
                <w:szCs w:val="16"/>
              </w:rPr>
            </w:pPr>
            <w:r w:rsidRPr="00781112">
              <w:rPr>
                <w:rFonts w:cs="Arial"/>
                <w:color w:val="000000" w:themeColor="text1"/>
                <w:szCs w:val="16"/>
              </w:rPr>
              <w:t>98.41%</w:t>
            </w:r>
          </w:p>
        </w:tc>
        <w:tc>
          <w:tcPr>
            <w:tcW w:w="488" w:type="pct"/>
            <w:shd w:val="clear" w:color="auto" w:fill="auto"/>
            <w:vAlign w:val="center"/>
          </w:tcPr>
          <w:p w14:paraId="20E5284B" w14:textId="1FE0CF32" w:rsidR="00070D9E" w:rsidRPr="00781112" w:rsidRDefault="00B16A26" w:rsidP="007D0FFB">
            <w:pPr>
              <w:spacing w:after="0"/>
              <w:jc w:val="center"/>
              <w:rPr>
                <w:rFonts w:cs="Arial"/>
                <w:color w:val="000000" w:themeColor="text1"/>
                <w:szCs w:val="16"/>
              </w:rPr>
            </w:pPr>
            <w:r w:rsidRPr="00781112">
              <w:rPr>
                <w:rFonts w:cs="Arial"/>
                <w:color w:val="000000" w:themeColor="text1"/>
                <w:szCs w:val="16"/>
              </w:rPr>
              <w:t>100%</w:t>
            </w:r>
          </w:p>
        </w:tc>
        <w:tc>
          <w:tcPr>
            <w:tcW w:w="488" w:type="pct"/>
            <w:shd w:val="clear" w:color="auto" w:fill="auto"/>
            <w:vAlign w:val="center"/>
          </w:tcPr>
          <w:p w14:paraId="55A387E5" w14:textId="6321743C" w:rsidR="00070D9E" w:rsidRPr="00781112" w:rsidRDefault="002B7490" w:rsidP="007D0FFB">
            <w:pPr>
              <w:spacing w:after="0"/>
              <w:jc w:val="center"/>
              <w:rPr>
                <w:rFonts w:cs="Arial"/>
                <w:color w:val="000000" w:themeColor="text1"/>
                <w:szCs w:val="16"/>
              </w:rPr>
            </w:pPr>
            <w:r w:rsidRPr="00781112">
              <w:rPr>
                <w:rFonts w:cs="Arial"/>
                <w:color w:val="000000" w:themeColor="text1"/>
                <w:szCs w:val="16"/>
              </w:rPr>
              <w:t>97.15%</w:t>
            </w:r>
          </w:p>
        </w:tc>
        <w:tc>
          <w:tcPr>
            <w:tcW w:w="679" w:type="pct"/>
            <w:shd w:val="clear" w:color="auto" w:fill="auto"/>
            <w:vAlign w:val="center"/>
          </w:tcPr>
          <w:p w14:paraId="66968C5A" w14:textId="493EB054" w:rsidR="00070D9E" w:rsidRPr="00781112" w:rsidRDefault="002B7490" w:rsidP="007D0FFB">
            <w:pPr>
              <w:spacing w:after="0"/>
              <w:jc w:val="center"/>
              <w:rPr>
                <w:rFonts w:cs="Arial"/>
                <w:color w:val="000000" w:themeColor="text1"/>
                <w:szCs w:val="16"/>
              </w:rPr>
            </w:pPr>
            <w:r w:rsidRPr="00781112">
              <w:rPr>
                <w:rFonts w:cs="Arial"/>
                <w:color w:val="000000" w:themeColor="text1"/>
                <w:szCs w:val="16"/>
              </w:rPr>
              <w:t>Did not meet target</w:t>
            </w:r>
          </w:p>
        </w:tc>
        <w:tc>
          <w:tcPr>
            <w:tcW w:w="564" w:type="pct"/>
            <w:shd w:val="clear" w:color="auto" w:fill="auto"/>
            <w:vAlign w:val="center"/>
          </w:tcPr>
          <w:p w14:paraId="175BD68F" w14:textId="534B9E4D" w:rsidR="00070D9E" w:rsidRPr="00781112" w:rsidRDefault="002B7490" w:rsidP="007D0FFB">
            <w:pPr>
              <w:spacing w:after="0"/>
              <w:jc w:val="center"/>
              <w:rPr>
                <w:rFonts w:cs="Arial"/>
                <w:color w:val="000000" w:themeColor="text1"/>
                <w:szCs w:val="16"/>
              </w:rPr>
            </w:pPr>
            <w:r w:rsidRPr="00781112">
              <w:rPr>
                <w:rFonts w:cs="Arial"/>
                <w:color w:val="000000" w:themeColor="text1"/>
                <w:szCs w:val="16"/>
              </w:rPr>
              <w:t>Slippage</w:t>
            </w:r>
          </w:p>
        </w:tc>
      </w:tr>
    </w:tbl>
    <w:p w14:paraId="056B3BB4" w14:textId="223762EA" w:rsidR="004301DA" w:rsidRPr="00781112" w:rsidRDefault="00326C0B" w:rsidP="00A22EB9">
      <w:pPr>
        <w:rPr>
          <w:rFonts w:cs="Arial"/>
          <w:b/>
          <w:iCs/>
          <w:color w:val="000000" w:themeColor="text1"/>
          <w:szCs w:val="16"/>
        </w:rPr>
      </w:pPr>
      <w:r w:rsidRPr="00781112">
        <w:rPr>
          <w:rFonts w:cs="Arial"/>
          <w:b/>
          <w:color w:val="000000" w:themeColor="text1"/>
          <w:szCs w:val="16"/>
        </w:rPr>
        <w:lastRenderedPageBreak/>
        <w:t>Provide reasons for slippage, if applicable</w:t>
      </w:r>
    </w:p>
    <w:p w14:paraId="1C23CDFF" w14:textId="418FD34D" w:rsidR="00326C0B" w:rsidRPr="000F63C4" w:rsidRDefault="002B7490" w:rsidP="00314F94">
      <w:pPr>
        <w:pStyle w:val="ListParagraph"/>
        <w:numPr>
          <w:ilvl w:val="0"/>
          <w:numId w:val="240"/>
        </w:numPr>
        <w:rPr>
          <w:rFonts w:cs="Arial"/>
          <w:color w:val="000000" w:themeColor="text1"/>
          <w:szCs w:val="16"/>
        </w:rPr>
      </w:pPr>
      <w:r w:rsidRPr="000F63C4">
        <w:rPr>
          <w:rFonts w:cs="Arial"/>
          <w:color w:val="000000" w:themeColor="text1"/>
          <w:szCs w:val="16"/>
        </w:rPr>
        <w:t xml:space="preserve">School districts continued to be impacted by the effects of COVID-19 during the 2020-2021 school year. As with other states, the ongoing pandemic has greatly impacted staffing. This impact may account for the slippage experienced in this indicator. The VDOE is aligning funding priorities to the U. S. Department of Education’s COVID-19 Resources for Schools, Students and Families including the utilization of pandemic relief funds </w:t>
      </w:r>
      <w:proofErr w:type="gramStart"/>
      <w:r w:rsidRPr="000F63C4">
        <w:rPr>
          <w:rFonts w:cs="Arial"/>
          <w:color w:val="000000" w:themeColor="text1"/>
          <w:szCs w:val="16"/>
        </w:rPr>
        <w:t>as a way to</w:t>
      </w:r>
      <w:proofErr w:type="gramEnd"/>
      <w:r w:rsidRPr="000F63C4">
        <w:rPr>
          <w:rFonts w:cs="Arial"/>
          <w:color w:val="000000" w:themeColor="text1"/>
          <w:szCs w:val="16"/>
        </w:rPr>
        <w:t xml:space="preserve"> address concerns regarding staffing. The VDOE is also working to expand and increase district level support and assistance in the areas of planning, assessing, and developing IEPs focused on secondary transition.</w:t>
      </w:r>
    </w:p>
    <w:p w14:paraId="01C32496" w14:textId="45AA0B7C" w:rsidR="00A5601C" w:rsidRPr="00781112" w:rsidRDefault="00070D9E" w:rsidP="00A22EB9">
      <w:pPr>
        <w:rPr>
          <w:b/>
          <w:color w:val="000000" w:themeColor="text1"/>
        </w:rPr>
      </w:pPr>
      <w:r w:rsidRPr="00781112">
        <w:rPr>
          <w:b/>
          <w:color w:val="000000" w:themeColor="text1"/>
        </w:rPr>
        <w:t>What is the source of the data provided for this indicator?</w:t>
      </w:r>
    </w:p>
    <w:p w14:paraId="2BFF05E7" w14:textId="7BFBE390" w:rsidR="00070D9E" w:rsidRPr="000F63C4" w:rsidRDefault="002B7490" w:rsidP="00314F94">
      <w:pPr>
        <w:pStyle w:val="ListParagraph"/>
        <w:numPr>
          <w:ilvl w:val="0"/>
          <w:numId w:val="241"/>
        </w:numPr>
        <w:rPr>
          <w:iCs/>
          <w:color w:val="000000" w:themeColor="text1"/>
        </w:rPr>
      </w:pPr>
      <w:r w:rsidRPr="000F63C4">
        <w:rPr>
          <w:iCs/>
          <w:color w:val="000000" w:themeColor="text1"/>
        </w:rPr>
        <w:t>State database that includes data for the entire reporting year</w:t>
      </w:r>
    </w:p>
    <w:p w14:paraId="68493AF0" w14:textId="27877E12" w:rsidR="00070D9E" w:rsidRPr="00781112" w:rsidRDefault="00070D9E" w:rsidP="00A22EB9">
      <w:pPr>
        <w:rPr>
          <w:b/>
          <w:color w:val="000000" w:themeColor="text1"/>
        </w:rPr>
      </w:pPr>
      <w:r w:rsidRPr="00781112">
        <w:rPr>
          <w:b/>
          <w:color w:val="000000" w:themeColor="text1"/>
        </w:rPr>
        <w:t>Describe the method used to collect these data, and if data are from the State’s monitoring, describe the procedures used to collect these data.</w:t>
      </w:r>
    </w:p>
    <w:p w14:paraId="5401D7F3" w14:textId="77777777" w:rsidR="004924BE" w:rsidRPr="000F63C4" w:rsidRDefault="002B7490" w:rsidP="00314F94">
      <w:pPr>
        <w:pStyle w:val="ListParagraph"/>
        <w:numPr>
          <w:ilvl w:val="0"/>
          <w:numId w:val="242"/>
        </w:numPr>
        <w:rPr>
          <w:rFonts w:cs="Arial"/>
          <w:color w:val="000000" w:themeColor="text1"/>
          <w:szCs w:val="16"/>
        </w:rPr>
      </w:pPr>
      <w:r w:rsidRPr="000F63C4">
        <w:rPr>
          <w:rFonts w:cs="Arial"/>
          <w:color w:val="000000" w:themeColor="text1"/>
          <w:szCs w:val="16"/>
        </w:rPr>
        <w:t xml:space="preserve">All school districts complete an </w:t>
      </w:r>
      <w:proofErr w:type="gramStart"/>
      <w:r w:rsidRPr="000F63C4">
        <w:rPr>
          <w:rFonts w:cs="Arial"/>
          <w:color w:val="000000" w:themeColor="text1"/>
          <w:szCs w:val="16"/>
        </w:rPr>
        <w:t>eight question</w:t>
      </w:r>
      <w:proofErr w:type="gramEnd"/>
      <w:r w:rsidRPr="000F63C4">
        <w:rPr>
          <w:rFonts w:cs="Arial"/>
          <w:color w:val="000000" w:themeColor="text1"/>
          <w:szCs w:val="16"/>
        </w:rPr>
        <w:t xml:space="preserve"> checklist developed by VDOE that incorporates technical assistance provided by the National Technical Assistance Center on Transition (NTACT). The data is submitted through a secure web-based application developed by VDOE. All required components of Indicator 13 are included in the application, and data entered reflect the reporting period July 1, 2020-June 30, 2021, including edit checks to ensure consistency and accuracy in reporting. Staff members from VDOE provided information related to data required for Indicator 13 and on procedures for submitting data to the VDOE through statewide training sessions. Data submitted by school districts were reviewed for accuracy, and school districts were notified when there appeared to be inaccurate reporting.</w:t>
      </w:r>
    </w:p>
    <w:p w14:paraId="5A8BEB9C" w14:textId="77777777" w:rsidR="004924BE" w:rsidRDefault="002B7490" w:rsidP="006E55D1">
      <w:pPr>
        <w:ind w:left="720"/>
        <w:rPr>
          <w:rFonts w:cs="Arial"/>
          <w:color w:val="000000" w:themeColor="text1"/>
          <w:szCs w:val="16"/>
        </w:rPr>
      </w:pPr>
      <w:r w:rsidRPr="00781112">
        <w:rPr>
          <w:rFonts w:cs="Arial"/>
          <w:color w:val="000000" w:themeColor="text1"/>
          <w:szCs w:val="16"/>
        </w:rPr>
        <w:t>In addition, numerous verification visits were made to ensure accurate reporting. Specifically, the VDOE uses a five-year cyclical approach to review special education data for all school districts in the Commonwealth, as recommended by OSEP.  In doing so, the VDOE has a process for systematically auditing and validating school districts’ self-determinations of compliance with all Individuals with Disabilities Education Act (IDEA) compliance indicators submitted through its Single Sign-on for Web Systems (SSWS) Special Education Indicators application. The VDOE ensures, per OSEP guidance, all instances of noncompliance are reported as communicated by the LEAs to VDOE consistent with OSEP Memorandum 09-02.</w:t>
      </w:r>
    </w:p>
    <w:p w14:paraId="22E8774A" w14:textId="44DA9E02" w:rsidR="00326C0B" w:rsidRDefault="002B7490" w:rsidP="006E55D1">
      <w:pPr>
        <w:ind w:left="720"/>
        <w:rPr>
          <w:rFonts w:cs="Arial"/>
          <w:color w:val="000000" w:themeColor="text1"/>
          <w:szCs w:val="16"/>
        </w:rPr>
      </w:pPr>
      <w:r w:rsidRPr="00781112">
        <w:rPr>
          <w:rFonts w:cs="Arial"/>
          <w:color w:val="000000" w:themeColor="text1"/>
          <w:szCs w:val="16"/>
        </w:rPr>
        <w:t xml:space="preserve">Each year, approximately 20 percent of the school districts in Virginia are selected for data validation of compliance indicators. Specifically, between the months of September and December, the regional VDOE monitor assigned to school districts within that current year’s cohort reviews a random sample of individual student files and specific policies, procedures, and practices to ensure the accuracy of the indicator information submitted to VDOE. The number of files reviewed is based on the number of records submitted for each indicator. Local educational agencies (LEAs) self-reporting less than 100 percent </w:t>
      </w:r>
      <w:proofErr w:type="gramStart"/>
      <w:r w:rsidRPr="00781112">
        <w:rPr>
          <w:rFonts w:cs="Arial"/>
          <w:color w:val="000000" w:themeColor="text1"/>
          <w:szCs w:val="16"/>
        </w:rPr>
        <w:t>receive</w:t>
      </w:r>
      <w:proofErr w:type="gramEnd"/>
      <w:r w:rsidRPr="00781112">
        <w:rPr>
          <w:rFonts w:cs="Arial"/>
          <w:color w:val="000000" w:themeColor="text1"/>
          <w:szCs w:val="16"/>
        </w:rPr>
        <w:t xml:space="preserve"> written notification of noncompliance, develop a corrective action plan (CAP) as determined by the Lead Monitor, and undergo the Prong 1 and Prong 2 process within one year of written notification. If it is determined that LEAs self-reporting 100 percent submitted inaccurate information, the school </w:t>
      </w:r>
      <w:r w:rsidRPr="00781112">
        <w:rPr>
          <w:rFonts w:cs="Arial"/>
          <w:color w:val="000000" w:themeColor="text1"/>
          <w:szCs w:val="16"/>
        </w:rPr>
        <w:lastRenderedPageBreak/>
        <w:t>district is required to resubmit accurately. Following data resubmission, the district superintendent receives written notification of noncompliance, a CAP is developed as determined by the Lead Monitor, and the Prong 1 and Prong 2 process is completed within one year of written notification. Closure of indicator corrections is finalized with an email to special education administrators.</w:t>
      </w:r>
    </w:p>
    <w:p w14:paraId="11EC8081" w14:textId="05C40CC3" w:rsidR="004924BE" w:rsidRPr="004924BE" w:rsidRDefault="00EB500A" w:rsidP="00C33455">
      <w:pPr>
        <w:pStyle w:val="Caption"/>
      </w:pPr>
      <w:r>
        <w:t>Indicator 13 Questions</w:t>
      </w:r>
    </w:p>
    <w:tbl>
      <w:tblPr>
        <w:tblStyle w:val="TableGrid"/>
        <w:tblW w:w="5000" w:type="pct"/>
        <w:tblLook w:val="04A0" w:firstRow="1" w:lastRow="0" w:firstColumn="1" w:lastColumn="0" w:noHBand="0" w:noVBand="1"/>
        <w:tblDescription w:val="Table provides question(s) and answer(s) for this indicator."/>
      </w:tblPr>
      <w:tblGrid>
        <w:gridCol w:w="8503"/>
        <w:gridCol w:w="2287"/>
      </w:tblGrid>
      <w:tr w:rsidR="005C29F8" w:rsidRPr="00781112" w14:paraId="366D2592" w14:textId="77777777" w:rsidTr="004924BE">
        <w:trPr>
          <w:trHeight w:val="485"/>
          <w:tblHeader/>
        </w:trPr>
        <w:tc>
          <w:tcPr>
            <w:tcW w:w="3940" w:type="pct"/>
            <w:shd w:val="clear" w:color="auto" w:fill="D9D9D9" w:themeFill="background1" w:themeFillShade="D9"/>
            <w:vAlign w:val="center"/>
          </w:tcPr>
          <w:p w14:paraId="49221B81" w14:textId="4811C153" w:rsidR="006B4D98" w:rsidRPr="00781112" w:rsidRDefault="00694A39" w:rsidP="004924BE">
            <w:pPr>
              <w:spacing w:after="0" w:line="276" w:lineRule="auto"/>
              <w:rPr>
                <w:rFonts w:cs="Arial"/>
                <w:b/>
                <w:bCs/>
                <w:color w:val="000000" w:themeColor="text1"/>
                <w:szCs w:val="16"/>
              </w:rPr>
            </w:pPr>
            <w:r w:rsidRPr="00781112">
              <w:rPr>
                <w:rFonts w:cs="Arial"/>
                <w:b/>
                <w:bCs/>
                <w:color w:val="000000" w:themeColor="text1"/>
                <w:szCs w:val="16"/>
              </w:rPr>
              <w:t>Question</w:t>
            </w:r>
          </w:p>
        </w:tc>
        <w:tc>
          <w:tcPr>
            <w:tcW w:w="1060" w:type="pct"/>
            <w:shd w:val="clear" w:color="auto" w:fill="D9D9D9" w:themeFill="background1" w:themeFillShade="D9"/>
            <w:vAlign w:val="center"/>
          </w:tcPr>
          <w:p w14:paraId="3C85F11D" w14:textId="67F200AD" w:rsidR="006B4D98" w:rsidRPr="00781112" w:rsidRDefault="006B4D98" w:rsidP="004924BE">
            <w:pPr>
              <w:spacing w:after="0" w:line="276" w:lineRule="auto"/>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4924BE">
        <w:trPr>
          <w:trHeight w:val="719"/>
        </w:trPr>
        <w:tc>
          <w:tcPr>
            <w:tcW w:w="3940" w:type="pct"/>
            <w:vAlign w:val="center"/>
          </w:tcPr>
          <w:p w14:paraId="48B431E3" w14:textId="55B03061" w:rsidR="006B4D98" w:rsidRPr="00781112" w:rsidRDefault="006B4D98" w:rsidP="004924BE">
            <w:pPr>
              <w:spacing w:after="0" w:line="276" w:lineRule="auto"/>
              <w:rPr>
                <w:rFonts w:cs="Arial"/>
                <w:color w:val="000000" w:themeColor="text1"/>
                <w:szCs w:val="16"/>
              </w:rPr>
            </w:pPr>
            <w:r w:rsidRPr="00781112">
              <w:rPr>
                <w:rFonts w:cs="Arial"/>
                <w:color w:val="000000" w:themeColor="text1"/>
                <w:szCs w:val="16"/>
              </w:rPr>
              <w:t xml:space="preserve">Do the State’s policies and procedures provide </w:t>
            </w:r>
            <w:proofErr w:type="gramStart"/>
            <w:r w:rsidRPr="00781112">
              <w:rPr>
                <w:rFonts w:cs="Arial"/>
                <w:color w:val="000000" w:themeColor="text1"/>
                <w:szCs w:val="16"/>
              </w:rPr>
              <w:t>that public agencies</w:t>
            </w:r>
            <w:proofErr w:type="gramEnd"/>
            <w:r w:rsidRPr="00781112">
              <w:rPr>
                <w:rFonts w:cs="Arial"/>
                <w:color w:val="000000" w:themeColor="text1"/>
                <w:szCs w:val="16"/>
              </w:rPr>
              <w:t xml:space="preserve"> must meet these requirements at an age younger than 16? </w:t>
            </w:r>
          </w:p>
        </w:tc>
        <w:tc>
          <w:tcPr>
            <w:tcW w:w="1060" w:type="pct"/>
            <w:vAlign w:val="center"/>
          </w:tcPr>
          <w:p w14:paraId="15F6D513" w14:textId="633CDBEB" w:rsidR="006B4D98" w:rsidRPr="00781112" w:rsidRDefault="002B7490" w:rsidP="004924BE">
            <w:pPr>
              <w:spacing w:after="0" w:line="276" w:lineRule="auto"/>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4924BE">
        <w:trPr>
          <w:trHeight w:val="1061"/>
        </w:trPr>
        <w:tc>
          <w:tcPr>
            <w:tcW w:w="3940" w:type="pct"/>
            <w:vAlign w:val="center"/>
          </w:tcPr>
          <w:p w14:paraId="73B3F719" w14:textId="0391FF91" w:rsidR="006B4D98" w:rsidRPr="00781112" w:rsidRDefault="00AF30E8" w:rsidP="004924BE">
            <w:pPr>
              <w:spacing w:after="0" w:line="276" w:lineRule="auto"/>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vAlign w:val="center"/>
          </w:tcPr>
          <w:p w14:paraId="27A80519" w14:textId="1C51858B" w:rsidR="006B4D98" w:rsidRPr="00781112" w:rsidRDefault="002B7490" w:rsidP="004924BE">
            <w:pPr>
              <w:spacing w:after="0" w:line="276" w:lineRule="auto"/>
              <w:jc w:val="center"/>
              <w:rPr>
                <w:rFonts w:cs="Arial"/>
                <w:color w:val="000000" w:themeColor="text1"/>
                <w:szCs w:val="16"/>
              </w:rPr>
            </w:pPr>
            <w:r w:rsidRPr="00781112">
              <w:rPr>
                <w:rFonts w:cs="Arial"/>
                <w:color w:val="000000" w:themeColor="text1"/>
                <w:szCs w:val="16"/>
              </w:rPr>
              <w:t>NO</w:t>
            </w:r>
          </w:p>
        </w:tc>
      </w:tr>
    </w:tbl>
    <w:p w14:paraId="351FF0B8" w14:textId="0AE6898F" w:rsidR="00326C0B" w:rsidRPr="00781112" w:rsidRDefault="00AF30E8" w:rsidP="004924BE">
      <w:pPr>
        <w:spacing w:before="240"/>
        <w:rPr>
          <w:rFonts w:cs="Arial"/>
          <w:b/>
          <w:color w:val="000000" w:themeColor="text1"/>
          <w:szCs w:val="16"/>
        </w:rPr>
      </w:pPr>
      <w:r w:rsidRPr="00781112">
        <w:rPr>
          <w:rFonts w:cs="Arial"/>
          <w:b/>
          <w:color w:val="000000" w:themeColor="text1"/>
          <w:szCs w:val="16"/>
        </w:rPr>
        <w:t>If no, please explain</w:t>
      </w:r>
    </w:p>
    <w:p w14:paraId="2562A48D" w14:textId="1B6BD32F" w:rsidR="00326C0B" w:rsidRPr="000F63C4" w:rsidRDefault="002B7490" w:rsidP="00314F94">
      <w:pPr>
        <w:pStyle w:val="ListParagraph"/>
        <w:numPr>
          <w:ilvl w:val="0"/>
          <w:numId w:val="243"/>
        </w:numPr>
        <w:rPr>
          <w:rFonts w:cs="Arial"/>
          <w:color w:val="000000" w:themeColor="text1"/>
          <w:szCs w:val="16"/>
        </w:rPr>
      </w:pPr>
      <w:r w:rsidRPr="000F63C4">
        <w:rPr>
          <w:rFonts w:cs="Arial"/>
          <w:color w:val="000000" w:themeColor="text1"/>
          <w:szCs w:val="16"/>
        </w:rPr>
        <w:t xml:space="preserve">Although State regulations require transition planning to start at age 14, Virginia staff members met with stakeholders and elected to align the </w:t>
      </w:r>
      <w:proofErr w:type="gramStart"/>
      <w:r w:rsidRPr="000F63C4">
        <w:rPr>
          <w:rFonts w:cs="Arial"/>
          <w:color w:val="000000" w:themeColor="text1"/>
          <w:szCs w:val="16"/>
        </w:rPr>
        <w:t>Indicator</w:t>
      </w:r>
      <w:proofErr w:type="gramEnd"/>
      <w:r w:rsidRPr="000F63C4">
        <w:rPr>
          <w:rFonts w:cs="Arial"/>
          <w:color w:val="000000" w:themeColor="text1"/>
          <w:szCs w:val="16"/>
        </w:rPr>
        <w:t xml:space="preserve"> 13 data submission with Federal regulations as required in the FFY 2020 Part B Measurement Table. This decision was made to align with Federal regulations </w:t>
      </w:r>
      <w:proofErr w:type="gramStart"/>
      <w:r w:rsidRPr="000F63C4">
        <w:rPr>
          <w:rFonts w:cs="Arial"/>
          <w:color w:val="000000" w:themeColor="text1"/>
          <w:szCs w:val="16"/>
        </w:rPr>
        <w:t>in order to</w:t>
      </w:r>
      <w:proofErr w:type="gramEnd"/>
      <w:r w:rsidRPr="000F63C4">
        <w:rPr>
          <w:rFonts w:cs="Arial"/>
          <w:color w:val="000000" w:themeColor="text1"/>
          <w:szCs w:val="16"/>
        </w:rPr>
        <w:t xml:space="preserve"> minimize the variables for benchmarking purposes when utilizing the SPP/APR Indicator Analysis Booklet released annually by OSEP. The National Technical Assistance Center on Transition (NTACT) analysis of Indicator 13 is very useful when meeting with stakeholders. However, federal program monitors ensure that students younger than 16 also meet these requirements as identified by Virginia Regulations in their monitoring activities conducted in local districts. Virginia will revisit the decision to not include children younger than age 16 in our stakeholder discussions for the FFY 2021 Part B SPP/APR and beyond.</w:t>
      </w:r>
    </w:p>
    <w:p w14:paraId="735DB55A" w14:textId="18C77FF1" w:rsidR="00644AC8" w:rsidRPr="00781112" w:rsidRDefault="00644AC8" w:rsidP="00224F9D">
      <w:pPr>
        <w:pStyle w:val="Heading4"/>
      </w:pPr>
      <w:bookmarkStart w:id="99" w:name="_Toc392159335"/>
      <w:r w:rsidRPr="00781112">
        <w:t>Provide additional information about this indicator (optional)</w:t>
      </w:r>
    </w:p>
    <w:p w14:paraId="2F22AC76" w14:textId="0CA68D32" w:rsidR="00326C0B" w:rsidRPr="000F63C4" w:rsidRDefault="004924BE" w:rsidP="00314F94">
      <w:pPr>
        <w:pStyle w:val="ListParagraph"/>
        <w:numPr>
          <w:ilvl w:val="0"/>
          <w:numId w:val="244"/>
        </w:numPr>
        <w:rPr>
          <w:rFonts w:cs="Arial"/>
          <w:color w:val="000000" w:themeColor="text1"/>
          <w:szCs w:val="16"/>
        </w:rPr>
      </w:pPr>
      <w:r w:rsidRPr="000F63C4">
        <w:rPr>
          <w:rFonts w:cs="Arial"/>
          <w:color w:val="000000" w:themeColor="text1"/>
          <w:szCs w:val="16"/>
        </w:rPr>
        <w:t>Not applicable</w:t>
      </w:r>
    </w:p>
    <w:p w14:paraId="37C34CDA" w14:textId="1BC9A2B8" w:rsidR="009A755E" w:rsidRPr="00781112" w:rsidRDefault="009A755E" w:rsidP="00C33455">
      <w:pPr>
        <w:pStyle w:val="Caption"/>
      </w:pPr>
      <w:r w:rsidRPr="00781112">
        <w:t>Correction of Findings of Noncompliance Identified in FFY 2019</w:t>
      </w:r>
      <w:r w:rsidR="007B3230">
        <w:t xml:space="preserve"> (13)</w:t>
      </w:r>
    </w:p>
    <w:tbl>
      <w:tblPr>
        <w:tblStyle w:val="TableGrid"/>
        <w:tblW w:w="5000" w:type="pct"/>
        <w:tblLook w:val="04A0" w:firstRow="1" w:lastRow="0" w:firstColumn="1" w:lastColumn="0" w:noHBand="0" w:noVBand="1"/>
        <w:tblDescription w:val="Table provides identified, verified as corrected within one year, and subsequently corrected, and not yet verified findings of noncompliance for FFY 2019 for this indicator."/>
      </w:tblPr>
      <w:tblGrid>
        <w:gridCol w:w="2650"/>
        <w:gridCol w:w="2780"/>
        <w:gridCol w:w="2656"/>
        <w:gridCol w:w="2704"/>
      </w:tblGrid>
      <w:tr w:rsidR="005C29F8" w:rsidRPr="00781112" w14:paraId="6C308319" w14:textId="77777777" w:rsidTr="004924BE">
        <w:trPr>
          <w:trHeight w:val="389"/>
          <w:tblHeader/>
        </w:trPr>
        <w:tc>
          <w:tcPr>
            <w:tcW w:w="1228" w:type="pct"/>
            <w:shd w:val="clear" w:color="auto" w:fill="D9D9D9" w:themeFill="background1" w:themeFillShade="D9"/>
            <w:vAlign w:val="center"/>
          </w:tcPr>
          <w:p w14:paraId="5A6805D6" w14:textId="77777777" w:rsidR="009A755E" w:rsidRPr="00781112" w:rsidRDefault="009A755E" w:rsidP="004924BE">
            <w:pPr>
              <w:spacing w:after="0" w:line="276" w:lineRule="auto"/>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D9D9D9" w:themeFill="background1" w:themeFillShade="D9"/>
            <w:vAlign w:val="center"/>
          </w:tcPr>
          <w:p w14:paraId="63B4B6E3" w14:textId="77777777" w:rsidR="009A755E" w:rsidRPr="00781112" w:rsidRDefault="009A755E" w:rsidP="004924BE">
            <w:pPr>
              <w:spacing w:after="0" w:line="276" w:lineRule="auto"/>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D9D9D9" w:themeFill="background1" w:themeFillShade="D9"/>
            <w:vAlign w:val="center"/>
          </w:tcPr>
          <w:p w14:paraId="26D8FBA2" w14:textId="77777777" w:rsidR="009A755E" w:rsidRPr="00781112" w:rsidRDefault="009A755E" w:rsidP="004924BE">
            <w:pPr>
              <w:spacing w:after="0" w:line="276" w:lineRule="auto"/>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D9D9D9" w:themeFill="background1" w:themeFillShade="D9"/>
            <w:vAlign w:val="center"/>
          </w:tcPr>
          <w:p w14:paraId="6D3A2F2B" w14:textId="77777777" w:rsidR="009A755E" w:rsidRPr="00781112" w:rsidRDefault="009A755E" w:rsidP="004924BE">
            <w:pPr>
              <w:spacing w:after="0" w:line="276" w:lineRule="auto"/>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4924BE">
        <w:trPr>
          <w:trHeight w:val="467"/>
        </w:trPr>
        <w:tc>
          <w:tcPr>
            <w:tcW w:w="1228" w:type="pct"/>
            <w:shd w:val="clear" w:color="auto" w:fill="auto"/>
            <w:vAlign w:val="center"/>
          </w:tcPr>
          <w:p w14:paraId="1C22474D" w14:textId="5ECD77A3" w:rsidR="009A755E" w:rsidRPr="00781112" w:rsidRDefault="002B7490" w:rsidP="004924BE">
            <w:pPr>
              <w:spacing w:after="0" w:line="276" w:lineRule="auto"/>
              <w:jc w:val="center"/>
              <w:rPr>
                <w:rFonts w:cs="Arial"/>
                <w:color w:val="000000" w:themeColor="text1"/>
                <w:szCs w:val="16"/>
              </w:rPr>
            </w:pPr>
            <w:r w:rsidRPr="00781112">
              <w:rPr>
                <w:rFonts w:cs="Arial"/>
                <w:color w:val="000000" w:themeColor="text1"/>
                <w:szCs w:val="16"/>
              </w:rPr>
              <w:t>131</w:t>
            </w:r>
          </w:p>
        </w:tc>
        <w:tc>
          <w:tcPr>
            <w:tcW w:w="1288" w:type="pct"/>
            <w:shd w:val="clear" w:color="auto" w:fill="auto"/>
            <w:vAlign w:val="center"/>
          </w:tcPr>
          <w:p w14:paraId="6A161A21" w14:textId="698D820A" w:rsidR="009A755E" w:rsidRPr="00781112" w:rsidRDefault="002B7490" w:rsidP="004924BE">
            <w:pPr>
              <w:spacing w:after="0" w:line="276" w:lineRule="auto"/>
              <w:jc w:val="center"/>
              <w:rPr>
                <w:rFonts w:cs="Arial"/>
                <w:color w:val="000000" w:themeColor="text1"/>
                <w:szCs w:val="16"/>
              </w:rPr>
            </w:pPr>
            <w:r w:rsidRPr="00781112">
              <w:rPr>
                <w:rFonts w:cs="Arial"/>
                <w:color w:val="000000" w:themeColor="text1"/>
                <w:szCs w:val="16"/>
              </w:rPr>
              <w:t>131</w:t>
            </w:r>
          </w:p>
        </w:tc>
        <w:tc>
          <w:tcPr>
            <w:tcW w:w="1231" w:type="pct"/>
            <w:shd w:val="clear" w:color="auto" w:fill="auto"/>
            <w:vAlign w:val="center"/>
          </w:tcPr>
          <w:p w14:paraId="6CF556ED" w14:textId="6BD64A21" w:rsidR="009A755E" w:rsidRPr="00781112" w:rsidRDefault="002B7490" w:rsidP="004924BE">
            <w:pPr>
              <w:spacing w:after="0" w:line="276" w:lineRule="auto"/>
              <w:jc w:val="center"/>
              <w:rPr>
                <w:rFonts w:cs="Arial"/>
                <w:color w:val="000000" w:themeColor="text1"/>
                <w:szCs w:val="16"/>
              </w:rPr>
            </w:pPr>
            <w:r w:rsidRPr="00781112">
              <w:rPr>
                <w:rFonts w:cs="Arial"/>
                <w:color w:val="000000" w:themeColor="text1"/>
                <w:szCs w:val="16"/>
              </w:rPr>
              <w:t>0</w:t>
            </w:r>
          </w:p>
        </w:tc>
        <w:tc>
          <w:tcPr>
            <w:tcW w:w="1254" w:type="pct"/>
            <w:shd w:val="clear" w:color="auto" w:fill="auto"/>
            <w:vAlign w:val="center"/>
          </w:tcPr>
          <w:p w14:paraId="1B14B45E" w14:textId="6409289E" w:rsidR="009A755E" w:rsidRPr="00781112" w:rsidRDefault="002B7490" w:rsidP="004924BE">
            <w:pPr>
              <w:spacing w:after="0" w:line="276" w:lineRule="auto"/>
              <w:jc w:val="center"/>
              <w:rPr>
                <w:rFonts w:cs="Arial"/>
                <w:color w:val="000000" w:themeColor="text1"/>
                <w:szCs w:val="16"/>
              </w:rPr>
            </w:pPr>
            <w:r w:rsidRPr="00781112">
              <w:rPr>
                <w:rFonts w:cs="Arial"/>
                <w:color w:val="000000" w:themeColor="text1"/>
                <w:szCs w:val="16"/>
              </w:rPr>
              <w:t>0</w:t>
            </w:r>
          </w:p>
        </w:tc>
      </w:tr>
    </w:tbl>
    <w:p w14:paraId="45E0E48A" w14:textId="3A32BA3B" w:rsidR="009A755E" w:rsidRPr="00781112" w:rsidRDefault="00F6415A" w:rsidP="00224F9D">
      <w:pPr>
        <w:pStyle w:val="Heading4"/>
      </w:pPr>
      <w:r w:rsidRPr="00781112">
        <w:t>FFY 2019 Findings of Noncompliance Verified as Corrected</w:t>
      </w:r>
    </w:p>
    <w:p w14:paraId="5FAC5347" w14:textId="3A1B8056"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0F63C4" w:rsidRDefault="002B7490" w:rsidP="00314F94">
      <w:pPr>
        <w:pStyle w:val="ListParagraph"/>
        <w:numPr>
          <w:ilvl w:val="0"/>
          <w:numId w:val="245"/>
        </w:numPr>
        <w:rPr>
          <w:rFonts w:cs="Arial"/>
          <w:color w:val="000000" w:themeColor="text1"/>
          <w:szCs w:val="16"/>
        </w:rPr>
      </w:pPr>
      <w:r w:rsidRPr="000F63C4">
        <w:rPr>
          <w:rFonts w:cs="Arial"/>
          <w:color w:val="000000" w:themeColor="text1"/>
          <w:szCs w:val="16"/>
        </w:rPr>
        <w:lastRenderedPageBreak/>
        <w:t>The VDOE contacted each school district that reported less than 100 percent compliance for FFY 2018. The VDOE verified correction of individual cases of noncompliance identified in FFY 2019 through on-site visits and/or internal desk reviews of school districts’ data for Indicator 13. School districts were required to provide verification of corrections for individual cases of noncompliance and evidence that updated or new records were 100 percent compliant for the indicator. A discussion of activities, strategies, and barriers causing noncompliance was held with directors of special education. Directors of special education followed up with school administrators to ensure the implementation of activities and strategies discussed with VDOE. The VDOE’s procedure for corrections of noncompliance and verification of implementation of the specific regulatory requirement is consistent with OSEP Memorandum 09-02.</w:t>
      </w:r>
    </w:p>
    <w:p w14:paraId="580C3804" w14:textId="4C173B5C" w:rsidR="009A755E" w:rsidRPr="00781112" w:rsidRDefault="009A755E" w:rsidP="00A22EB9">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3A39BEE" w14:textId="77777777" w:rsidR="004924BE" w:rsidRPr="000F63C4" w:rsidRDefault="002B7490" w:rsidP="00314F94">
      <w:pPr>
        <w:pStyle w:val="ListParagraph"/>
        <w:numPr>
          <w:ilvl w:val="0"/>
          <w:numId w:val="246"/>
        </w:numPr>
        <w:rPr>
          <w:rFonts w:cs="Arial"/>
          <w:color w:val="000000" w:themeColor="text1"/>
          <w:szCs w:val="16"/>
        </w:rPr>
      </w:pPr>
      <w:r w:rsidRPr="000F63C4">
        <w:rPr>
          <w:rFonts w:cs="Arial"/>
          <w:color w:val="000000" w:themeColor="text1"/>
          <w:szCs w:val="16"/>
        </w:rPr>
        <w:t xml:space="preserve">The VDOE has determined that </w:t>
      </w:r>
      <w:proofErr w:type="gramStart"/>
      <w:r w:rsidRPr="000F63C4">
        <w:rPr>
          <w:rFonts w:cs="Arial"/>
          <w:color w:val="000000" w:themeColor="text1"/>
          <w:szCs w:val="16"/>
        </w:rPr>
        <w:t>all of</w:t>
      </w:r>
      <w:proofErr w:type="gramEnd"/>
      <w:r w:rsidRPr="000F63C4">
        <w:rPr>
          <w:rFonts w:cs="Arial"/>
          <w:color w:val="000000" w:themeColor="text1"/>
          <w:szCs w:val="16"/>
        </w:rPr>
        <w:t xml:space="preserve"> the 131 items of student-level noncompliance specific to Indicator 13, identified in FFY 2019, were corrected consistent with OSEP Memorandum 09-02. Each district with noncompliance findings: 1) has corrected each individual case of </w:t>
      </w:r>
      <w:proofErr w:type="gramStart"/>
      <w:r w:rsidRPr="000F63C4">
        <w:rPr>
          <w:rFonts w:cs="Arial"/>
          <w:color w:val="000000" w:themeColor="text1"/>
          <w:szCs w:val="16"/>
        </w:rPr>
        <w:t>noncompliance, unless</w:t>
      </w:r>
      <w:proofErr w:type="gramEnd"/>
      <w:r w:rsidRPr="000F63C4">
        <w:rPr>
          <w:rFonts w:cs="Arial"/>
          <w:color w:val="000000" w:themeColor="text1"/>
          <w:szCs w:val="16"/>
        </w:rPr>
        <w:t xml:space="preserve"> the student is no longer within the jurisdiction of the district; and 2) is correctly implementing the specific regulatory requirements.</w:t>
      </w:r>
    </w:p>
    <w:p w14:paraId="09CD9C74" w14:textId="26A1C032" w:rsidR="00A947D9" w:rsidRPr="004924BE" w:rsidRDefault="002B7490" w:rsidP="006E55D1">
      <w:pPr>
        <w:ind w:left="720"/>
        <w:rPr>
          <w:rFonts w:cs="Arial"/>
          <w:color w:val="000000" w:themeColor="text1"/>
          <w:szCs w:val="16"/>
        </w:rPr>
      </w:pPr>
      <w:r w:rsidRPr="00781112">
        <w:rPr>
          <w:rFonts w:cs="Arial"/>
          <w:color w:val="000000" w:themeColor="text1"/>
          <w:szCs w:val="16"/>
        </w:rPr>
        <w:t>Specifically, written notification of the noncompliance was sent to the district superintendent, a VDOE monitor was assigned, and corrective action plans were written by the districts if deemed appropriate by the VDOE monitor. To satisfy Prong 1, the VDOE monitor reviewed the IEP(s) that were out of compliance to make sure the noncompliance has been corrected. To satisfy Prong 2, the monitor reviewed revised policies, procedures, and practices (e.g., documentation of trainings, meetings, handbook update, guidance documents) the district has implemented since noncompliance was identified. Monitors then randomly selected new files for review that were completed following changes to policies, procedures, and practices reviewing for evidence of corrections in the part or parts of the process that caused the noncompliance. If Prong 2, Set 1 did not result in 100 percent compliance, additional corrective steps were implemented by the district, and Prong 2 is repeated as Set 2. This continued as necessary to result in 100 percent compliance. All steps took place within one calendar year of the date the district was notified of noncompliance.</w:t>
      </w:r>
    </w:p>
    <w:p w14:paraId="0764B6D1" w14:textId="7BF666C6" w:rsidR="004E2151" w:rsidRPr="00781112" w:rsidRDefault="00056350" w:rsidP="004924BE">
      <w:pPr>
        <w:pStyle w:val="Heading3"/>
        <w:spacing w:before="240"/>
      </w:pPr>
      <w:r w:rsidRPr="00781112">
        <w:t>13</w:t>
      </w:r>
      <w:r w:rsidR="001D508D" w:rsidRPr="00781112">
        <w:t xml:space="preserve"> </w:t>
      </w:r>
      <w:r w:rsidRPr="00781112">
        <w:t xml:space="preserve">- </w:t>
      </w:r>
      <w:r w:rsidR="004E2151" w:rsidRPr="00781112">
        <w:t>Prior FFY Required Actions</w:t>
      </w:r>
    </w:p>
    <w:p w14:paraId="59251AF1" w14:textId="77777777" w:rsidR="004924BE" w:rsidRPr="000F63C4" w:rsidRDefault="002B7490" w:rsidP="00314F94">
      <w:pPr>
        <w:pStyle w:val="ListParagraph"/>
        <w:numPr>
          <w:ilvl w:val="0"/>
          <w:numId w:val="247"/>
        </w:numPr>
        <w:rPr>
          <w:rFonts w:cs="Arial"/>
          <w:color w:val="000000" w:themeColor="text1"/>
          <w:szCs w:val="16"/>
        </w:rPr>
      </w:pPr>
      <w:r w:rsidRPr="000F63C4">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p>
    <w:p w14:paraId="1091BC04" w14:textId="633AB5DE" w:rsidR="004924BE" w:rsidRDefault="002B7490" w:rsidP="006E55D1">
      <w:pPr>
        <w:ind w:left="720"/>
        <w:rPr>
          <w:rFonts w:cs="Arial"/>
          <w:color w:val="000000" w:themeColor="text1"/>
          <w:szCs w:val="16"/>
        </w:rPr>
      </w:pPr>
      <w:r w:rsidRPr="00781112">
        <w:rPr>
          <w:rFonts w:cs="Arial"/>
          <w:color w:val="000000" w:themeColor="text1"/>
          <w:szCs w:val="16"/>
        </w:rPr>
        <w:lastRenderedPageBreak/>
        <w:t>If the State did not identify any findings of noncompliance in FFY 2019, although its FFY 2019 data reflect less than 100% compliance, provide an explanation of why the State did not identify any findings of noncompliance in FFY 2019.</w:t>
      </w:r>
    </w:p>
    <w:p w14:paraId="769948F5" w14:textId="7433E546" w:rsidR="004E2151" w:rsidRPr="004536A1" w:rsidRDefault="004E2151" w:rsidP="004536A1">
      <w:pPr>
        <w:pStyle w:val="Heading4"/>
      </w:pPr>
      <w:r w:rsidRPr="004536A1">
        <w:t>Response to actions required in FFY 2019 SPP/APR</w:t>
      </w:r>
    </w:p>
    <w:p w14:paraId="18FDD3C1" w14:textId="756FB6F9" w:rsidR="009F69E7" w:rsidRPr="000F63C4" w:rsidRDefault="00DB1BCB" w:rsidP="00314F94">
      <w:pPr>
        <w:pStyle w:val="ListParagraph"/>
        <w:numPr>
          <w:ilvl w:val="0"/>
          <w:numId w:val="248"/>
        </w:numPr>
        <w:rPr>
          <w:bCs/>
          <w:color w:val="000000" w:themeColor="text1"/>
        </w:rPr>
      </w:pPr>
      <w:r w:rsidRPr="000F63C4">
        <w:rPr>
          <w:bCs/>
          <w:color w:val="000000" w:themeColor="text1"/>
        </w:rPr>
        <w:t>None</w:t>
      </w:r>
    </w:p>
    <w:p w14:paraId="310A49DA" w14:textId="36D1B81C" w:rsidR="007F5071" w:rsidRPr="00781112" w:rsidRDefault="00056350" w:rsidP="00A22EB9">
      <w:pPr>
        <w:pStyle w:val="Heading3"/>
      </w:pPr>
      <w:r w:rsidRPr="00781112">
        <w:t>13 - OSEP Response</w:t>
      </w:r>
    </w:p>
    <w:p w14:paraId="55757593" w14:textId="067F88CA" w:rsidR="00293C7E" w:rsidRPr="000F63C4" w:rsidRDefault="00DB1BCB" w:rsidP="00314F94">
      <w:pPr>
        <w:pStyle w:val="ListParagraph"/>
        <w:numPr>
          <w:ilvl w:val="0"/>
          <w:numId w:val="249"/>
        </w:numPr>
        <w:rPr>
          <w:rFonts w:cs="Arial"/>
          <w:color w:val="000000" w:themeColor="text1"/>
          <w:szCs w:val="16"/>
        </w:rPr>
      </w:pPr>
      <w:r w:rsidRPr="000F63C4">
        <w:rPr>
          <w:rFonts w:cs="Arial"/>
          <w:color w:val="000000" w:themeColor="text1"/>
          <w:szCs w:val="16"/>
        </w:rPr>
        <w:t>Not applicable</w:t>
      </w:r>
    </w:p>
    <w:p w14:paraId="139D82E4" w14:textId="2690DF84" w:rsidR="007F5071" w:rsidRPr="00781112" w:rsidRDefault="00056350" w:rsidP="00A22EB9">
      <w:pPr>
        <w:pStyle w:val="Heading3"/>
      </w:pPr>
      <w:r w:rsidRPr="00781112">
        <w:t>13 - Required Actions</w:t>
      </w:r>
    </w:p>
    <w:p w14:paraId="01DC5CEC" w14:textId="77777777" w:rsidR="004924BE" w:rsidRPr="000F63C4" w:rsidRDefault="002B7490" w:rsidP="00314F94">
      <w:pPr>
        <w:pStyle w:val="ListParagraph"/>
        <w:numPr>
          <w:ilvl w:val="0"/>
          <w:numId w:val="250"/>
        </w:numPr>
        <w:rPr>
          <w:rFonts w:cs="Arial"/>
          <w:color w:val="000000" w:themeColor="text1"/>
          <w:szCs w:val="16"/>
        </w:rPr>
      </w:pPr>
      <w:r w:rsidRPr="000F63C4">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p>
    <w:p w14:paraId="2D88F5D3" w14:textId="6EC11F58" w:rsidR="00102FA3" w:rsidRPr="00781112" w:rsidRDefault="002B7490" w:rsidP="006E55D1">
      <w:pPr>
        <w:ind w:left="720"/>
        <w:rPr>
          <w:rFonts w:eastAsiaTheme="majorEastAsia" w:cs="Arial"/>
          <w:b/>
          <w:bCs/>
          <w:color w:val="000000" w:themeColor="text1"/>
          <w:szCs w:val="16"/>
        </w:rPr>
      </w:pPr>
      <w:r w:rsidRPr="00781112">
        <w:rPr>
          <w:rFonts w:cs="Arial"/>
          <w:color w:val="000000" w:themeColor="text1"/>
          <w:szCs w:val="16"/>
        </w:rPr>
        <w:t>If the State did not identify any findings of noncompliance in FFY 2020, although its FFY 2020 data reflect less than 100% compliance, provide an explanation of why the State did not identify any findings of noncompliance in FFY 2020.</w:t>
      </w:r>
      <w:r w:rsidR="00102FA3" w:rsidRPr="00781112">
        <w:rPr>
          <w:rFonts w:cs="Arial"/>
          <w:color w:val="000000" w:themeColor="text1"/>
          <w:szCs w:val="16"/>
        </w:rPr>
        <w:br w:type="page"/>
      </w:r>
    </w:p>
    <w:p w14:paraId="6BE48297" w14:textId="374F3BC7" w:rsidR="00B3462E" w:rsidRPr="00781112" w:rsidRDefault="00B3462E" w:rsidP="008143AB">
      <w:pPr>
        <w:pStyle w:val="Heading2"/>
      </w:pPr>
      <w:r w:rsidRPr="00781112">
        <w:lastRenderedPageBreak/>
        <w:t>Indicator 14: Post-School Outcomes</w:t>
      </w:r>
      <w:bookmarkEnd w:id="99"/>
    </w:p>
    <w:p w14:paraId="22761492" w14:textId="77777777" w:rsidR="005C50DB" w:rsidRPr="004924BE" w:rsidRDefault="005C50DB" w:rsidP="004536A1">
      <w:pPr>
        <w:pStyle w:val="Heading3"/>
        <w:spacing w:before="240"/>
      </w:pPr>
      <w:bookmarkStart w:id="100" w:name="_Toc392159336"/>
      <w:r w:rsidRPr="004924BE">
        <w:t>Instructions and Measurement</w:t>
      </w:r>
    </w:p>
    <w:p w14:paraId="3872DE81" w14:textId="173DF04F" w:rsidR="001F3A65" w:rsidRPr="00781112" w:rsidRDefault="001F3A65" w:rsidP="00A22EB9">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A22EB9">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BC37DEE" w:rsidR="001F3A65" w:rsidRPr="004924BE" w:rsidRDefault="00F52ED5" w:rsidP="00155DFD">
      <w:pPr>
        <w:pStyle w:val="ListParagraph"/>
        <w:numPr>
          <w:ilvl w:val="0"/>
          <w:numId w:val="36"/>
        </w:numPr>
        <w:contextualSpacing w:val="0"/>
        <w:rPr>
          <w:rFonts w:cs="Arial"/>
          <w:szCs w:val="16"/>
        </w:rPr>
      </w:pPr>
      <w:r w:rsidRPr="004924BE">
        <w:rPr>
          <w:rFonts w:cs="Arial"/>
          <w:szCs w:val="16"/>
        </w:rPr>
        <w:t>Enrolled in higher education within one year of leaving high school.</w:t>
      </w:r>
    </w:p>
    <w:p w14:paraId="72E90E1C" w14:textId="3236B551" w:rsidR="001F3A65" w:rsidRPr="004924BE" w:rsidRDefault="00F52ED5" w:rsidP="00155DFD">
      <w:pPr>
        <w:pStyle w:val="ListParagraph"/>
        <w:numPr>
          <w:ilvl w:val="0"/>
          <w:numId w:val="36"/>
        </w:numPr>
        <w:contextualSpacing w:val="0"/>
        <w:rPr>
          <w:rFonts w:cs="Arial"/>
          <w:szCs w:val="16"/>
        </w:rPr>
      </w:pPr>
      <w:r w:rsidRPr="004924BE">
        <w:rPr>
          <w:rFonts w:cs="Arial"/>
          <w:szCs w:val="16"/>
        </w:rPr>
        <w:t>Enrolled in higher education or competitively employed within one year of leaving high school.</w:t>
      </w:r>
    </w:p>
    <w:p w14:paraId="71CF3231" w14:textId="1924F5DB" w:rsidR="001F3A65" w:rsidRPr="004924BE" w:rsidRDefault="00F52ED5" w:rsidP="00155DFD">
      <w:pPr>
        <w:pStyle w:val="ListParagraph"/>
        <w:numPr>
          <w:ilvl w:val="0"/>
          <w:numId w:val="36"/>
        </w:numPr>
        <w:tabs>
          <w:tab w:val="left" w:pos="1440"/>
        </w:tabs>
        <w:contextualSpacing w:val="0"/>
        <w:rPr>
          <w:rFonts w:cs="Arial"/>
          <w:szCs w:val="16"/>
        </w:rPr>
      </w:pPr>
      <w:r w:rsidRPr="004924BE">
        <w:rPr>
          <w:rFonts w:cs="Arial"/>
          <w:szCs w:val="16"/>
        </w:rPr>
        <w:t>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A22EB9">
      <w:pPr>
        <w:rPr>
          <w:rFonts w:cs="Arial"/>
          <w:szCs w:val="16"/>
        </w:rPr>
      </w:pPr>
      <w:r w:rsidRPr="00781112">
        <w:rPr>
          <w:rFonts w:cs="Arial"/>
          <w:szCs w:val="16"/>
        </w:rPr>
        <w:t>(20 U.S.C. 1416(a)(3)(B))</w:t>
      </w:r>
    </w:p>
    <w:p w14:paraId="48D4CA91" w14:textId="77777777" w:rsidR="00B67038" w:rsidRPr="00781112" w:rsidRDefault="00B67038" w:rsidP="004536A1">
      <w:pPr>
        <w:pStyle w:val="Heading4"/>
      </w:pPr>
      <w:r w:rsidRPr="00781112">
        <w:t>Data Source</w:t>
      </w:r>
    </w:p>
    <w:p w14:paraId="266BF2FF" w14:textId="7EC5F0A3" w:rsidR="00B67038" w:rsidRPr="00781112" w:rsidRDefault="00B67038" w:rsidP="00A22EB9">
      <w:pPr>
        <w:rPr>
          <w:rFonts w:cs="Arial"/>
          <w:szCs w:val="16"/>
        </w:rPr>
      </w:pPr>
      <w:r w:rsidRPr="00781112">
        <w:rPr>
          <w:rFonts w:cs="Arial"/>
          <w:szCs w:val="16"/>
        </w:rPr>
        <w:t>State selected data source.</w:t>
      </w:r>
    </w:p>
    <w:p w14:paraId="1655DDB5" w14:textId="4F072B5B" w:rsidR="00B67038" w:rsidRPr="00781112" w:rsidRDefault="00B67038" w:rsidP="004536A1">
      <w:pPr>
        <w:pStyle w:val="Heading4"/>
      </w:pPr>
      <w:r w:rsidRPr="00781112">
        <w:t>Measurement</w:t>
      </w:r>
    </w:p>
    <w:p w14:paraId="0B074DD3" w14:textId="2289FE2F" w:rsidR="00B67038" w:rsidRDefault="009B2B72" w:rsidP="00155DFD">
      <w:pPr>
        <w:pStyle w:val="Numbering"/>
        <w:numPr>
          <w:ilvl w:val="0"/>
          <w:numId w:val="37"/>
        </w:numPr>
        <w:spacing w:after="240"/>
        <w:ind w:left="360"/>
        <w:rPr>
          <w:color w:val="auto"/>
        </w:rPr>
      </w:pPr>
      <w:r w:rsidRPr="00781112">
        <w:rPr>
          <w:color w:val="auto"/>
        </w:rPr>
        <w:t>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6EC2A837" w:rsidR="00B67038" w:rsidRDefault="009B2B72" w:rsidP="00155DFD">
      <w:pPr>
        <w:pStyle w:val="Numbering"/>
        <w:numPr>
          <w:ilvl w:val="0"/>
          <w:numId w:val="37"/>
        </w:numPr>
        <w:spacing w:after="240"/>
        <w:ind w:left="360"/>
        <w:rPr>
          <w:color w:val="auto"/>
        </w:rPr>
      </w:pPr>
      <w:r w:rsidRPr="00781112">
        <w:rPr>
          <w:color w:val="auto"/>
        </w:rPr>
        <w:t>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42045346" w:rsidR="00B67038" w:rsidRDefault="009B2B72" w:rsidP="00155DFD">
      <w:pPr>
        <w:pStyle w:val="Numbering"/>
        <w:numPr>
          <w:ilvl w:val="0"/>
          <w:numId w:val="37"/>
        </w:numPr>
        <w:spacing w:after="240"/>
        <w:ind w:left="360"/>
        <w:rPr>
          <w:color w:val="auto"/>
        </w:rPr>
      </w:pPr>
      <w:r w:rsidRPr="00781112">
        <w:rPr>
          <w:color w:val="auto"/>
        </w:rPr>
        <w:t>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536A1">
      <w:pPr>
        <w:pStyle w:val="Heading4"/>
      </w:pPr>
      <w:r w:rsidRPr="00781112">
        <w:t>Instructions</w:t>
      </w:r>
    </w:p>
    <w:p w14:paraId="4987E862" w14:textId="77777777" w:rsidR="00B67038" w:rsidRPr="00781112" w:rsidRDefault="00B67038" w:rsidP="00A22EB9">
      <w:pPr>
        <w:spacing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14:paraId="7DEAD51C" w14:textId="58CA5721" w:rsidR="00B67038" w:rsidRPr="00781112" w:rsidRDefault="003A4027" w:rsidP="00A22EB9">
      <w:pPr>
        <w:spacing w:after="210"/>
        <w:rPr>
          <w:rFonts w:eastAsia="Times New Roman" w:cs="Arial"/>
          <w:szCs w:val="16"/>
        </w:rPr>
      </w:pPr>
      <w:r w:rsidRPr="00781112">
        <w:rPr>
          <w:rFonts w:eastAsia="Times New Roman" w:cs="Arial"/>
          <w:szCs w:val="16"/>
        </w:rPr>
        <w:lastRenderedPageBreak/>
        <w:t>Collect data by September 2021 on students who left school during 2019-2020, timing the data collection so that at least one year has passed since the students left school. Include students who dropped out during 2019-2020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4924BE">
      <w:pPr>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A22EB9">
      <w:pPr>
        <w:spacing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w:t>
      </w:r>
      <w:proofErr w:type="gramStart"/>
      <w:r w:rsidRPr="00781112">
        <w:rPr>
          <w:rFonts w:eastAsia="Times New Roman" w:cs="Arial"/>
          <w:szCs w:val="16"/>
        </w:rPr>
        <w:t>four or more year</w:t>
      </w:r>
      <w:proofErr w:type="gramEnd"/>
      <w:r w:rsidRPr="00781112">
        <w:rPr>
          <w:rFonts w:eastAsia="Times New Roman" w:cs="Arial"/>
          <w:szCs w:val="16"/>
        </w:rPr>
        <w:t xml:space="preserve"> program) for at least one complete term, at any time in the year since leaving high school.</w:t>
      </w:r>
    </w:p>
    <w:p w14:paraId="4D24D49D" w14:textId="70217398" w:rsidR="00B67038" w:rsidRPr="00781112" w:rsidRDefault="003A4027" w:rsidP="00A22EB9">
      <w:pPr>
        <w:spacing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A22EB9">
      <w:pPr>
        <w:spacing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333BEB38" w14:textId="0910CB90" w:rsidR="00B67038" w:rsidRPr="004924BE" w:rsidRDefault="00B67038" w:rsidP="004924BE">
      <w:pPr>
        <w:rPr>
          <w:rFonts w:eastAsia="Times New Roman" w:cs="Arial"/>
          <w:szCs w:val="16"/>
        </w:rPr>
      </w:pPr>
      <w:r w:rsidRPr="00781112">
        <w:rPr>
          <w:rFonts w:eastAsia="Times New Roman" w:cs="Arial"/>
          <w:szCs w:val="16"/>
        </w:rPr>
        <w:t xml:space="preserve">Option 2: States report in alignment with the term “competitive integrated employment” and its definition, in section 7(5) of the Rehabilitation Act of 1973, as amended by Workforce Innovation and Opportunity Act (WIOA). </w:t>
      </w:r>
      <w:proofErr w:type="gramStart"/>
      <w:r w:rsidRPr="00781112">
        <w:rPr>
          <w:rFonts w:eastAsia="Times New Roman" w:cs="Arial"/>
          <w:szCs w:val="16"/>
        </w:rPr>
        <w:t>For the purpose of</w:t>
      </w:r>
      <w:proofErr w:type="gramEnd"/>
      <w:r w:rsidRPr="00781112">
        <w:rPr>
          <w:rFonts w:eastAsia="Times New Roman" w:cs="Arial"/>
          <w:szCs w:val="16"/>
        </w:rPr>
        <w:t xml:space="preserve">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1CBB96D1" w14:textId="18D4158D" w:rsidR="00B67038" w:rsidRPr="00781112" w:rsidRDefault="00B67038" w:rsidP="00A22EB9">
      <w:pPr>
        <w:spacing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F699AAF" w14:textId="645DFF38" w:rsidR="00A45E9F" w:rsidRPr="00781112" w:rsidRDefault="00B67038" w:rsidP="00A22EB9">
      <w:pPr>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7BDE8111" w14:textId="77777777" w:rsidR="00B67038" w:rsidRPr="00781112" w:rsidRDefault="00B67038" w:rsidP="004924BE">
      <w:pPr>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A22EB9">
      <w:pPr>
        <w:spacing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A22EB9">
      <w:pPr>
        <w:spacing w:after="0"/>
        <w:rPr>
          <w:rFonts w:eastAsia="Times New Roman" w:cs="Arial"/>
          <w:szCs w:val="16"/>
        </w:rPr>
      </w:pPr>
      <w:r w:rsidRPr="00781112">
        <w:rPr>
          <w:rFonts w:eastAsia="Times New Roman" w:cs="Arial"/>
          <w:szCs w:val="16"/>
        </w:rPr>
        <w:t xml:space="preserve">Provide the total number of targeted </w:t>
      </w:r>
      <w:proofErr w:type="gramStart"/>
      <w:r w:rsidRPr="00781112">
        <w:rPr>
          <w:rFonts w:eastAsia="Times New Roman" w:cs="Arial"/>
          <w:szCs w:val="16"/>
        </w:rPr>
        <w:t>youth</w:t>
      </w:r>
      <w:proofErr w:type="gramEnd"/>
      <w:r w:rsidRPr="00781112">
        <w:rPr>
          <w:rFonts w:eastAsia="Times New Roman" w:cs="Arial"/>
          <w:szCs w:val="16"/>
        </w:rPr>
        <w:t xml:space="preserve"> in the sample or census.</w:t>
      </w:r>
    </w:p>
    <w:p w14:paraId="220A6449" w14:textId="50017A86" w:rsidR="00B67038" w:rsidRPr="00781112" w:rsidRDefault="00B67038" w:rsidP="00A22EB9">
      <w:pPr>
        <w:spacing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06C139C7" w:rsidR="00B67038" w:rsidRPr="004924BE" w:rsidRDefault="006C58FD" w:rsidP="00155DFD">
      <w:pPr>
        <w:pStyle w:val="ListParagraph"/>
        <w:numPr>
          <w:ilvl w:val="0"/>
          <w:numId w:val="38"/>
        </w:numPr>
        <w:contextualSpacing w:val="0"/>
        <w:rPr>
          <w:rFonts w:eastAsia="Times New Roman" w:cs="Arial"/>
          <w:szCs w:val="16"/>
        </w:rPr>
      </w:pPr>
      <w:r w:rsidRPr="004924BE">
        <w:rPr>
          <w:rFonts w:eastAsia="Times New Roman" w:cs="Arial"/>
          <w:szCs w:val="16"/>
        </w:rPr>
        <w:t xml:space="preserve">Enrolled in higher education within one year of leaving high </w:t>
      </w:r>
      <w:proofErr w:type="gramStart"/>
      <w:r w:rsidRPr="004924BE">
        <w:rPr>
          <w:rFonts w:eastAsia="Times New Roman" w:cs="Arial"/>
          <w:szCs w:val="16"/>
        </w:rPr>
        <w:t>school;</w:t>
      </w:r>
      <w:proofErr w:type="gramEnd"/>
    </w:p>
    <w:p w14:paraId="2C583077" w14:textId="74961A68" w:rsidR="004924BE" w:rsidRPr="004924BE" w:rsidRDefault="006C58FD" w:rsidP="00155DFD">
      <w:pPr>
        <w:pStyle w:val="ListParagraph"/>
        <w:numPr>
          <w:ilvl w:val="0"/>
          <w:numId w:val="38"/>
        </w:numPr>
        <w:contextualSpacing w:val="0"/>
        <w:rPr>
          <w:rFonts w:eastAsia="Times New Roman" w:cs="Arial"/>
          <w:szCs w:val="16"/>
        </w:rPr>
      </w:pPr>
      <w:r w:rsidRPr="004924BE">
        <w:rPr>
          <w:rFonts w:eastAsia="Times New Roman" w:cs="Arial"/>
          <w:szCs w:val="16"/>
        </w:rPr>
        <w:t>Competitively employed within one year of leaving high school (but not enrolled in higher education</w:t>
      </w:r>
      <w:proofErr w:type="gramStart"/>
      <w:r w:rsidRPr="004924BE">
        <w:rPr>
          <w:rFonts w:eastAsia="Times New Roman" w:cs="Arial"/>
          <w:szCs w:val="16"/>
        </w:rPr>
        <w:t>);</w:t>
      </w:r>
      <w:proofErr w:type="gramEnd"/>
    </w:p>
    <w:p w14:paraId="17A92E9A" w14:textId="244377D9" w:rsidR="00B67038" w:rsidRPr="004924BE" w:rsidRDefault="006C58FD" w:rsidP="00155DFD">
      <w:pPr>
        <w:pStyle w:val="ListParagraph"/>
        <w:numPr>
          <w:ilvl w:val="0"/>
          <w:numId w:val="38"/>
        </w:numPr>
        <w:contextualSpacing w:val="0"/>
        <w:rPr>
          <w:rFonts w:eastAsia="Times New Roman" w:cs="Arial"/>
          <w:szCs w:val="16"/>
        </w:rPr>
      </w:pPr>
      <w:r w:rsidRPr="004924BE">
        <w:rPr>
          <w:rFonts w:eastAsia="Times New Roman" w:cs="Arial"/>
          <w:szCs w:val="16"/>
        </w:rPr>
        <w:lastRenderedPageBreak/>
        <w:t>Enrolled in some other postsecondary education or training program within one year of leaving high school (but not enrolled in higher education or competitively employed</w:t>
      </w:r>
      <w:proofErr w:type="gramStart"/>
      <w:r w:rsidRPr="004924BE">
        <w:rPr>
          <w:rFonts w:eastAsia="Times New Roman" w:cs="Arial"/>
          <w:szCs w:val="16"/>
        </w:rPr>
        <w:t>);</w:t>
      </w:r>
      <w:proofErr w:type="gramEnd"/>
    </w:p>
    <w:p w14:paraId="32C672D4" w14:textId="1DA875B7" w:rsidR="006C58FD" w:rsidRPr="004924BE" w:rsidRDefault="006C58FD" w:rsidP="00155DFD">
      <w:pPr>
        <w:pStyle w:val="ListParagraph"/>
        <w:numPr>
          <w:ilvl w:val="0"/>
          <w:numId w:val="38"/>
        </w:numPr>
        <w:contextualSpacing w:val="0"/>
        <w:rPr>
          <w:rFonts w:eastAsia="Times New Roman" w:cs="Arial"/>
          <w:szCs w:val="16"/>
        </w:rPr>
      </w:pPr>
      <w:r w:rsidRPr="004924BE">
        <w:rPr>
          <w:rFonts w:eastAsia="Times New Roman" w:cs="Arial"/>
          <w:szCs w:val="16"/>
        </w:rPr>
        <w:t>In some other employment within one year of leaving high school (but not enrolled in higher education, some other postsecondary education or training program, or competitively employed).</w:t>
      </w:r>
    </w:p>
    <w:p w14:paraId="12CAB169" w14:textId="34F2A4F0" w:rsidR="00B67038" w:rsidRPr="00781112" w:rsidRDefault="00B67038" w:rsidP="00A22EB9">
      <w:pPr>
        <w:ind w:left="432"/>
        <w:rPr>
          <w:rFonts w:eastAsia="Times New Roman" w:cs="Arial"/>
          <w:color w:val="000000" w:themeColor="text1"/>
          <w:szCs w:val="16"/>
        </w:rPr>
      </w:pPr>
      <w:r w:rsidRPr="00781112">
        <w:rPr>
          <w:rFonts w:eastAsia="Times New Roman" w:cs="Arial"/>
          <w:szCs w:val="16"/>
        </w:rPr>
        <w:t>“Leavers”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77777777" w:rsidR="00A45E9F" w:rsidRPr="00781112" w:rsidRDefault="00A45E9F" w:rsidP="00A22EB9">
      <w:pPr>
        <w:rPr>
          <w:rFonts w:eastAsia="Times New Roman" w:cs="Arial"/>
          <w:szCs w:val="16"/>
        </w:rPr>
      </w:pPr>
      <w:r w:rsidRPr="00781112">
        <w:rPr>
          <w:rFonts w:eastAsia="Times New Roman"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22EB9">
      <w:pPr>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0504C504" w14:textId="1B4B7E8B" w:rsidR="00B67038" w:rsidRPr="00781112" w:rsidRDefault="00B67038" w:rsidP="004924BE">
      <w:pPr>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A22EB9">
      <w:pPr>
        <w:spacing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A22EB9">
      <w:pPr>
        <w:spacing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A22EB9">
      <w:pPr>
        <w:spacing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7777777" w:rsidR="00B67038" w:rsidRPr="00781112" w:rsidRDefault="00B67038" w:rsidP="00A22EB9">
      <w:pPr>
        <w:spacing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3D129DCD" w14:textId="726F1AB7" w:rsidR="00B67038" w:rsidRPr="00781112" w:rsidRDefault="00B67038" w:rsidP="00A22EB9">
      <w:pPr>
        <w:spacing w:after="210"/>
        <w:rPr>
          <w:rFonts w:eastAsia="Times New Roman" w:cs="Arial"/>
          <w:color w:val="000000" w:themeColor="text1"/>
          <w:szCs w:val="16"/>
        </w:rPr>
      </w:pPr>
      <w:r w:rsidRPr="00781112">
        <w:rPr>
          <w:rFonts w:eastAsia="Times New Roman" w:cs="Arial"/>
          <w:color w:val="000000" w:themeColor="text1"/>
          <w:szCs w:val="16"/>
        </w:rPr>
        <w:t>Include the State’s analyses of the extent to which the response data are representative of the demographics of youth who are no longer in secondary school and had IEPs in effect at the time they left school. States should consider categories such as race/ethnicity, disability category, and geographic location in the State.</w:t>
      </w:r>
    </w:p>
    <w:p w14:paraId="0E3C94F2" w14:textId="24E7A97D" w:rsidR="00B67038" w:rsidRPr="00781112" w:rsidRDefault="00B67038" w:rsidP="00A22EB9">
      <w:pPr>
        <w:rPr>
          <w:rFonts w:eastAsia="Times New Roman" w:cs="Arial"/>
          <w:color w:val="000000" w:themeColor="text1"/>
          <w:szCs w:val="16"/>
        </w:rPr>
      </w:pPr>
      <w:r w:rsidRPr="00781112">
        <w:rPr>
          <w:rFonts w:eastAsia="Times New Roman" w:cs="Arial"/>
          <w:color w:val="000000" w:themeColor="text1"/>
          <w:szCs w:val="16"/>
        </w:rPr>
        <w:t xml:space="preserve">If the analysis shows that the response data are not representative of the demographics of youth who are no longer in secondary school and had IEPs in effect at the time they left school, describe the </w:t>
      </w:r>
      <w:r w:rsidRPr="00781112">
        <w:rPr>
          <w:rFonts w:eastAsia="Times New Roman" w:cs="Arial"/>
          <w:color w:val="000000" w:themeColor="text1"/>
          <w:szCs w:val="16"/>
        </w:rPr>
        <w:lastRenderedPageBreak/>
        <w:t>strategies that the State will use to ensure that in the future the response data are representative of those demographics. In identifying such strategies, the State should consider factors such as how the State collected the data.</w:t>
      </w:r>
    </w:p>
    <w:p w14:paraId="3A820706" w14:textId="590A380B" w:rsidR="00B1488E" w:rsidRPr="00781112" w:rsidRDefault="00B1488E" w:rsidP="00A22EB9">
      <w:pPr>
        <w:rPr>
          <w:rFonts w:eastAsia="Times New Roman" w:cs="Arial"/>
          <w:szCs w:val="16"/>
        </w:rPr>
      </w:pPr>
      <w:r w:rsidRPr="00781112">
        <w:rPr>
          <w:rFonts w:eastAsia="Times New Roman" w:cs="Arial"/>
          <w:b/>
          <w:szCs w:val="16"/>
        </w:rPr>
        <w:t xml:space="preserve">Beginning with the FFY 2021 SPP/APR, due Feb. 1, 2023, </w:t>
      </w:r>
      <w:r w:rsidRPr="00781112">
        <w:rPr>
          <w:rFonts w:eastAsia="Times New Roman" w:cs="Arial"/>
          <w:szCs w:val="16"/>
        </w:rPr>
        <w:t>when reporting the extent to which the demographics of respondents are representative of the demographics of youth who are no longer in secondary school and had IEPs in effect at the time they left school, States must include race</w:t>
      </w:r>
      <w:r w:rsidR="009F2D7B" w:rsidRPr="00781112">
        <w:rPr>
          <w:rFonts w:eastAsia="Times New Roman" w:cs="Arial"/>
          <w:szCs w:val="16"/>
        </w:rPr>
        <w:t>/</w:t>
      </w:r>
      <w:r w:rsidRPr="00781112">
        <w:rPr>
          <w:rFonts w:eastAsia="Times New Roman" w:cs="Arial"/>
          <w:szCs w:val="16"/>
        </w:rPr>
        <w:t>ethnicity in its analysis. In addition, the State’s analysis must include at least one of the following demographics: disability category, gender, geographic location, and/or another demographic category approved through the stakeholder input process.</w:t>
      </w:r>
    </w:p>
    <w:p w14:paraId="3FE9961A" w14:textId="1EDBA086" w:rsidR="000301BA" w:rsidRPr="00781112" w:rsidRDefault="00172058" w:rsidP="00A22EB9">
      <w:pPr>
        <w:pStyle w:val="Heading3"/>
      </w:pPr>
      <w:r w:rsidRPr="00781112">
        <w:t>14 - Indicator Data</w:t>
      </w:r>
    </w:p>
    <w:bookmarkEnd w:id="100"/>
    <w:p w14:paraId="373EDCC8" w14:textId="3F8F9EFA" w:rsidR="005F442C" w:rsidRPr="00781112" w:rsidRDefault="005F442C" w:rsidP="00C33455">
      <w:pPr>
        <w:pStyle w:val="Caption"/>
      </w:pPr>
      <w:r w:rsidRPr="00781112">
        <w:t>Historical Data</w:t>
      </w:r>
      <w:r w:rsidR="00EB500A">
        <w:t xml:space="preserv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provides baseline year and baseline data for this indicator."/>
      </w:tblPr>
      <w:tblGrid>
        <w:gridCol w:w="1192"/>
        <w:gridCol w:w="1628"/>
        <w:gridCol w:w="1290"/>
        <w:gridCol w:w="1336"/>
        <w:gridCol w:w="1336"/>
        <w:gridCol w:w="1336"/>
        <w:gridCol w:w="1336"/>
        <w:gridCol w:w="1336"/>
      </w:tblGrid>
      <w:tr w:rsidR="005C29F8" w:rsidRPr="00781112" w14:paraId="23017209" w14:textId="77777777" w:rsidTr="004924BE">
        <w:trPr>
          <w:trHeight w:val="432"/>
        </w:trPr>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8BBA7" w14:textId="09A1D650" w:rsidR="005F442C" w:rsidRPr="00781112" w:rsidRDefault="004E1996" w:rsidP="004924BE">
            <w:pPr>
              <w:spacing w:after="0"/>
              <w:jc w:val="center"/>
              <w:rPr>
                <w:rFonts w:cs="Arial"/>
                <w:b/>
                <w:color w:val="000000" w:themeColor="text1"/>
                <w:szCs w:val="16"/>
              </w:rPr>
            </w:pPr>
            <w:r w:rsidRPr="00781112">
              <w:rPr>
                <w:rFonts w:cs="Arial"/>
                <w:b/>
                <w:color w:val="000000" w:themeColor="text1"/>
                <w:szCs w:val="16"/>
              </w:rPr>
              <w:t>Measure</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3A4B9" w14:textId="6C60B813" w:rsidR="005F442C" w:rsidRPr="00781112" w:rsidRDefault="005F442C" w:rsidP="004924BE">
            <w:pPr>
              <w:spacing w:after="0"/>
              <w:jc w:val="center"/>
              <w:rPr>
                <w:rFonts w:cs="Arial"/>
                <w:b/>
                <w:color w:val="000000" w:themeColor="text1"/>
                <w:szCs w:val="16"/>
              </w:rPr>
            </w:pPr>
            <w:r w:rsidRPr="00781112">
              <w:rPr>
                <w:rFonts w:cs="Arial"/>
                <w:b/>
                <w:color w:val="000000" w:themeColor="text1"/>
                <w:szCs w:val="16"/>
              </w:rPr>
              <w:t xml:space="preserve">Baseline </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329BE" w14:textId="77777777" w:rsidR="005F442C" w:rsidRPr="00781112" w:rsidRDefault="005F442C" w:rsidP="004924BE">
            <w:pPr>
              <w:spacing w:after="0"/>
              <w:jc w:val="center"/>
              <w:rPr>
                <w:rFonts w:cs="Arial"/>
                <w:b/>
                <w:color w:val="000000" w:themeColor="text1"/>
                <w:szCs w:val="16"/>
              </w:rPr>
            </w:pPr>
            <w:r w:rsidRPr="00781112">
              <w:rPr>
                <w:rFonts w:cs="Arial"/>
                <w:b/>
                <w:color w:val="000000" w:themeColor="text1"/>
                <w:szCs w:val="16"/>
              </w:rPr>
              <w:t>FFY</w:t>
            </w:r>
          </w:p>
        </w:tc>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54FD7" w14:textId="7E2CC703" w:rsidR="005F442C" w:rsidRPr="00781112" w:rsidRDefault="002B7490" w:rsidP="004924BE">
            <w:pPr>
              <w:spacing w:after="0"/>
              <w:jc w:val="center"/>
              <w:rPr>
                <w:rFonts w:cs="Arial"/>
                <w:b/>
                <w:color w:val="000000" w:themeColor="text1"/>
                <w:szCs w:val="16"/>
              </w:rPr>
            </w:pPr>
            <w:r w:rsidRPr="00781112">
              <w:rPr>
                <w:rFonts w:cs="Arial"/>
                <w:b/>
                <w:color w:val="000000" w:themeColor="text1"/>
                <w:szCs w:val="16"/>
              </w:rPr>
              <w:t>2015</w:t>
            </w:r>
          </w:p>
        </w:tc>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4C1A5" w14:textId="184560DA" w:rsidR="005F442C" w:rsidRPr="00781112" w:rsidRDefault="002B7490" w:rsidP="004924BE">
            <w:pPr>
              <w:spacing w:after="0"/>
              <w:jc w:val="center"/>
              <w:rPr>
                <w:rFonts w:cs="Arial"/>
                <w:b/>
                <w:color w:val="000000" w:themeColor="text1"/>
                <w:szCs w:val="16"/>
              </w:rPr>
            </w:pPr>
            <w:r w:rsidRPr="00781112">
              <w:rPr>
                <w:rFonts w:cs="Arial"/>
                <w:b/>
                <w:color w:val="000000" w:themeColor="text1"/>
                <w:szCs w:val="16"/>
              </w:rPr>
              <w:t>2016</w:t>
            </w:r>
          </w:p>
        </w:tc>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5CF47" w14:textId="3E5885FF" w:rsidR="005F442C" w:rsidRPr="00781112" w:rsidRDefault="002B7490" w:rsidP="004924BE">
            <w:pPr>
              <w:spacing w:after="0"/>
              <w:jc w:val="center"/>
              <w:rPr>
                <w:rFonts w:cs="Arial"/>
                <w:b/>
                <w:color w:val="000000" w:themeColor="text1"/>
                <w:szCs w:val="16"/>
              </w:rPr>
            </w:pPr>
            <w:r w:rsidRPr="00781112">
              <w:rPr>
                <w:rFonts w:cs="Arial"/>
                <w:b/>
                <w:color w:val="000000" w:themeColor="text1"/>
                <w:szCs w:val="16"/>
              </w:rPr>
              <w:t>2017</w:t>
            </w:r>
          </w:p>
        </w:tc>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DA5B1" w14:textId="0E359AEC" w:rsidR="005F442C" w:rsidRPr="00781112" w:rsidRDefault="002B7490" w:rsidP="004924BE">
            <w:pPr>
              <w:spacing w:after="0"/>
              <w:jc w:val="center"/>
              <w:rPr>
                <w:rFonts w:cs="Arial"/>
                <w:b/>
                <w:color w:val="000000" w:themeColor="text1"/>
                <w:szCs w:val="16"/>
              </w:rPr>
            </w:pPr>
            <w:r w:rsidRPr="00781112">
              <w:rPr>
                <w:rFonts w:cs="Arial"/>
                <w:b/>
                <w:color w:val="000000" w:themeColor="text1"/>
                <w:szCs w:val="16"/>
              </w:rPr>
              <w:t>2018</w:t>
            </w:r>
          </w:p>
        </w:tc>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A5B67" w14:textId="00166B91" w:rsidR="005F442C" w:rsidRPr="00781112" w:rsidRDefault="002B7490" w:rsidP="004924BE">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083B463F" w14:textId="77777777" w:rsidTr="004924BE">
        <w:trPr>
          <w:trHeight w:val="432"/>
        </w:trPr>
        <w:tc>
          <w:tcPr>
            <w:tcW w:w="552"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rsidP="004924BE">
            <w:pPr>
              <w:spacing w:after="0"/>
              <w:jc w:val="center"/>
              <w:rPr>
                <w:rFonts w:cs="Arial"/>
                <w:color w:val="000000" w:themeColor="text1"/>
                <w:szCs w:val="16"/>
              </w:rPr>
            </w:pPr>
            <w:r w:rsidRPr="00781112">
              <w:rPr>
                <w:rFonts w:cs="Arial"/>
                <w:color w:val="000000" w:themeColor="text1"/>
                <w:szCs w:val="16"/>
              </w:rPr>
              <w:t>A</w:t>
            </w:r>
          </w:p>
        </w:tc>
        <w:tc>
          <w:tcPr>
            <w:tcW w:w="754" w:type="pct"/>
            <w:tcBorders>
              <w:top w:val="single" w:sz="4" w:space="0" w:color="auto"/>
              <w:left w:val="single" w:sz="4" w:space="0" w:color="auto"/>
              <w:right w:val="single" w:sz="4" w:space="0" w:color="auto"/>
            </w:tcBorders>
            <w:shd w:val="clear" w:color="auto" w:fill="auto"/>
            <w:vAlign w:val="center"/>
          </w:tcPr>
          <w:p w14:paraId="21EABCF5" w14:textId="1AD6B491"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2009</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4924BE">
            <w:pPr>
              <w:spacing w:after="0"/>
              <w:rPr>
                <w:rFonts w:cs="Arial"/>
                <w:color w:val="000000" w:themeColor="text1"/>
                <w:szCs w:val="16"/>
              </w:rPr>
            </w:pPr>
            <w:r w:rsidRPr="00781112">
              <w:rPr>
                <w:rFonts w:cs="Arial"/>
                <w:color w:val="000000" w:themeColor="text1"/>
                <w:szCs w:val="16"/>
              </w:rPr>
              <w:t>Target &gt;=</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39DA1B9" w14:textId="441A6795"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35.00%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151E14A" w14:textId="4DA0C6F7"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35.00%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36.00%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36.00%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35.00%</w:t>
            </w:r>
          </w:p>
        </w:tc>
      </w:tr>
      <w:tr w:rsidR="005C29F8" w:rsidRPr="00781112" w14:paraId="4DFAA88C" w14:textId="77777777" w:rsidTr="004924BE">
        <w:trPr>
          <w:trHeight w:val="432"/>
        </w:trPr>
        <w:tc>
          <w:tcPr>
            <w:tcW w:w="552" w:type="pct"/>
            <w:tcBorders>
              <w:left w:val="single" w:sz="4" w:space="0" w:color="auto"/>
              <w:right w:val="single" w:sz="4" w:space="0" w:color="auto"/>
            </w:tcBorders>
            <w:shd w:val="clear" w:color="auto" w:fill="auto"/>
            <w:vAlign w:val="center"/>
          </w:tcPr>
          <w:p w14:paraId="65028A7E" w14:textId="6CD117ED" w:rsidR="005F442C" w:rsidRPr="00781112" w:rsidRDefault="00676431" w:rsidP="004924BE">
            <w:pPr>
              <w:spacing w:after="0"/>
              <w:jc w:val="center"/>
              <w:rPr>
                <w:rFonts w:cs="Arial"/>
                <w:color w:val="000000" w:themeColor="text1"/>
                <w:szCs w:val="16"/>
              </w:rPr>
            </w:pPr>
            <w:r w:rsidRPr="00781112">
              <w:rPr>
                <w:rFonts w:cs="Arial"/>
                <w:color w:val="000000" w:themeColor="text1"/>
                <w:szCs w:val="16"/>
              </w:rPr>
              <w:t>A</w:t>
            </w:r>
          </w:p>
        </w:tc>
        <w:tc>
          <w:tcPr>
            <w:tcW w:w="754" w:type="pct"/>
            <w:tcBorders>
              <w:left w:val="single" w:sz="4" w:space="0" w:color="auto"/>
              <w:right w:val="single" w:sz="4" w:space="0" w:color="auto"/>
            </w:tcBorders>
            <w:shd w:val="clear" w:color="auto" w:fill="auto"/>
            <w:vAlign w:val="center"/>
          </w:tcPr>
          <w:p w14:paraId="2D87F90A" w14:textId="5AE78B73"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31.93%</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4924BE">
            <w:pPr>
              <w:spacing w:after="0"/>
              <w:rPr>
                <w:rFonts w:cs="Arial"/>
                <w:color w:val="000000" w:themeColor="text1"/>
                <w:szCs w:val="16"/>
              </w:rPr>
            </w:pPr>
            <w:r w:rsidRPr="00781112">
              <w:rPr>
                <w:rFonts w:cs="Arial"/>
                <w:color w:val="000000" w:themeColor="text1"/>
                <w:szCs w:val="16"/>
              </w:rPr>
              <w:t>Data</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5ECDA20" w14:textId="748C8CB2"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34.45%</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A78E1E2" w14:textId="126BA5B7"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32.85%</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32.57%</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34.87%</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34.44%</w:t>
            </w:r>
          </w:p>
        </w:tc>
      </w:tr>
      <w:tr w:rsidR="005C29F8" w:rsidRPr="00781112" w14:paraId="626D1DE5" w14:textId="77777777" w:rsidTr="004924BE">
        <w:trPr>
          <w:trHeight w:val="432"/>
        </w:trPr>
        <w:tc>
          <w:tcPr>
            <w:tcW w:w="552"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rsidP="004924BE">
            <w:pPr>
              <w:spacing w:after="0"/>
              <w:jc w:val="center"/>
              <w:rPr>
                <w:rFonts w:cs="Arial"/>
                <w:color w:val="000000" w:themeColor="text1"/>
                <w:szCs w:val="16"/>
              </w:rPr>
            </w:pPr>
            <w:r w:rsidRPr="00781112">
              <w:rPr>
                <w:rFonts w:cs="Arial"/>
                <w:color w:val="000000" w:themeColor="text1"/>
                <w:szCs w:val="16"/>
              </w:rPr>
              <w:t>B</w:t>
            </w:r>
          </w:p>
        </w:tc>
        <w:tc>
          <w:tcPr>
            <w:tcW w:w="754" w:type="pct"/>
            <w:tcBorders>
              <w:top w:val="single" w:sz="4" w:space="0" w:color="auto"/>
              <w:left w:val="single" w:sz="4" w:space="0" w:color="auto"/>
              <w:right w:val="single" w:sz="4" w:space="0" w:color="auto"/>
            </w:tcBorders>
            <w:shd w:val="clear" w:color="auto" w:fill="auto"/>
            <w:vAlign w:val="center"/>
          </w:tcPr>
          <w:p w14:paraId="1A949E27" w14:textId="6BA6427F"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2009</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4924BE">
            <w:pPr>
              <w:spacing w:after="0"/>
              <w:rPr>
                <w:rFonts w:cs="Arial"/>
                <w:color w:val="000000" w:themeColor="text1"/>
                <w:szCs w:val="16"/>
              </w:rPr>
            </w:pPr>
            <w:r w:rsidRPr="00781112">
              <w:rPr>
                <w:rFonts w:cs="Arial"/>
                <w:color w:val="000000" w:themeColor="text1"/>
                <w:szCs w:val="16"/>
              </w:rPr>
              <w:t>Target &gt;=</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BC5CE03" w14:textId="44707AE5"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62.75%</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E7D0375" w14:textId="72BE41AE"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62.75%</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63.50%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63.50%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65.00%</w:t>
            </w:r>
          </w:p>
        </w:tc>
      </w:tr>
      <w:tr w:rsidR="005C29F8" w:rsidRPr="00781112" w14:paraId="04BD4647" w14:textId="77777777" w:rsidTr="004924BE">
        <w:trPr>
          <w:trHeight w:val="432"/>
        </w:trPr>
        <w:tc>
          <w:tcPr>
            <w:tcW w:w="552" w:type="pct"/>
            <w:tcBorders>
              <w:left w:val="single" w:sz="4" w:space="0" w:color="auto"/>
              <w:right w:val="single" w:sz="4" w:space="0" w:color="auto"/>
            </w:tcBorders>
            <w:shd w:val="clear" w:color="auto" w:fill="auto"/>
            <w:vAlign w:val="center"/>
          </w:tcPr>
          <w:p w14:paraId="0F20B888" w14:textId="46217DEF" w:rsidR="005F442C" w:rsidRPr="00781112" w:rsidRDefault="00676431" w:rsidP="004924BE">
            <w:pPr>
              <w:spacing w:after="0"/>
              <w:jc w:val="center"/>
              <w:rPr>
                <w:rFonts w:cs="Arial"/>
                <w:color w:val="000000" w:themeColor="text1"/>
                <w:szCs w:val="16"/>
              </w:rPr>
            </w:pPr>
            <w:r w:rsidRPr="00781112">
              <w:rPr>
                <w:rFonts w:cs="Arial"/>
                <w:color w:val="000000" w:themeColor="text1"/>
                <w:szCs w:val="16"/>
              </w:rPr>
              <w:t>B</w:t>
            </w:r>
          </w:p>
        </w:tc>
        <w:tc>
          <w:tcPr>
            <w:tcW w:w="754" w:type="pct"/>
            <w:tcBorders>
              <w:left w:val="single" w:sz="4" w:space="0" w:color="auto"/>
              <w:right w:val="single" w:sz="4" w:space="0" w:color="auto"/>
            </w:tcBorders>
            <w:shd w:val="clear" w:color="auto" w:fill="auto"/>
            <w:vAlign w:val="center"/>
          </w:tcPr>
          <w:p w14:paraId="7553E0D1" w14:textId="50261931"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54.95%</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4924BE">
            <w:pPr>
              <w:spacing w:after="0"/>
              <w:rPr>
                <w:rFonts w:cs="Arial"/>
                <w:color w:val="000000" w:themeColor="text1"/>
                <w:szCs w:val="16"/>
              </w:rPr>
            </w:pPr>
            <w:r w:rsidRPr="00781112">
              <w:rPr>
                <w:rFonts w:cs="Arial"/>
                <w:color w:val="000000" w:themeColor="text1"/>
                <w:szCs w:val="16"/>
              </w:rPr>
              <w:t>Data</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36F1CC00" w14:textId="27BDC0A1"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64.81%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52BDB3D" w14:textId="7C9CDA00"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63.10%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64.08%</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66.11%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65.87%</w:t>
            </w:r>
          </w:p>
        </w:tc>
      </w:tr>
      <w:tr w:rsidR="005C29F8" w:rsidRPr="00781112" w14:paraId="3B4797BA" w14:textId="77777777" w:rsidTr="004924BE">
        <w:trPr>
          <w:trHeight w:val="432"/>
        </w:trPr>
        <w:tc>
          <w:tcPr>
            <w:tcW w:w="552"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rsidP="004924BE">
            <w:pPr>
              <w:spacing w:after="0"/>
              <w:jc w:val="center"/>
              <w:rPr>
                <w:rFonts w:cs="Arial"/>
                <w:color w:val="000000" w:themeColor="text1"/>
                <w:szCs w:val="16"/>
              </w:rPr>
            </w:pPr>
            <w:r w:rsidRPr="00781112">
              <w:rPr>
                <w:rFonts w:cs="Arial"/>
                <w:color w:val="000000" w:themeColor="text1"/>
                <w:szCs w:val="16"/>
              </w:rPr>
              <w:t>C</w:t>
            </w:r>
          </w:p>
        </w:tc>
        <w:tc>
          <w:tcPr>
            <w:tcW w:w="754" w:type="pct"/>
            <w:tcBorders>
              <w:top w:val="single" w:sz="4" w:space="0" w:color="auto"/>
              <w:left w:val="single" w:sz="4" w:space="0" w:color="auto"/>
              <w:right w:val="single" w:sz="4" w:space="0" w:color="auto"/>
            </w:tcBorders>
            <w:shd w:val="clear" w:color="auto" w:fill="auto"/>
            <w:vAlign w:val="center"/>
          </w:tcPr>
          <w:p w14:paraId="16F6EE90" w14:textId="5DB098B3"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2009</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4924BE">
            <w:pPr>
              <w:spacing w:after="0"/>
              <w:rPr>
                <w:rFonts w:cs="Arial"/>
                <w:color w:val="000000" w:themeColor="text1"/>
                <w:szCs w:val="16"/>
              </w:rPr>
            </w:pPr>
            <w:r w:rsidRPr="00781112">
              <w:rPr>
                <w:rFonts w:cs="Arial"/>
                <w:color w:val="000000" w:themeColor="text1"/>
                <w:szCs w:val="16"/>
              </w:rPr>
              <w:t>Target &gt;=</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6636D2C" w14:textId="048A2FD1"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71.50%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F601683" w14:textId="08666F48"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71.50%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72.00%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72.00%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72.00%</w:t>
            </w:r>
          </w:p>
        </w:tc>
      </w:tr>
      <w:tr w:rsidR="005C29F8" w:rsidRPr="00781112" w14:paraId="6F394366" w14:textId="77777777" w:rsidTr="004924BE">
        <w:trPr>
          <w:trHeight w:val="432"/>
        </w:trPr>
        <w:tc>
          <w:tcPr>
            <w:tcW w:w="552" w:type="pct"/>
            <w:tcBorders>
              <w:left w:val="single" w:sz="4" w:space="0" w:color="auto"/>
              <w:right w:val="single" w:sz="4" w:space="0" w:color="auto"/>
            </w:tcBorders>
            <w:shd w:val="clear" w:color="auto" w:fill="auto"/>
            <w:vAlign w:val="center"/>
          </w:tcPr>
          <w:p w14:paraId="44948B1E" w14:textId="67BC5CB9" w:rsidR="005F442C" w:rsidRPr="00781112" w:rsidRDefault="00676431" w:rsidP="004924BE">
            <w:pPr>
              <w:spacing w:after="0"/>
              <w:jc w:val="center"/>
              <w:rPr>
                <w:rFonts w:cs="Arial"/>
                <w:color w:val="000000" w:themeColor="text1"/>
                <w:szCs w:val="16"/>
              </w:rPr>
            </w:pPr>
            <w:r w:rsidRPr="00781112">
              <w:rPr>
                <w:rFonts w:cs="Arial"/>
                <w:color w:val="000000" w:themeColor="text1"/>
                <w:szCs w:val="16"/>
              </w:rPr>
              <w:t>C</w:t>
            </w:r>
          </w:p>
        </w:tc>
        <w:tc>
          <w:tcPr>
            <w:tcW w:w="754" w:type="pct"/>
            <w:tcBorders>
              <w:left w:val="single" w:sz="4" w:space="0" w:color="auto"/>
              <w:right w:val="single" w:sz="4" w:space="0" w:color="auto"/>
            </w:tcBorders>
            <w:shd w:val="clear" w:color="auto" w:fill="auto"/>
            <w:vAlign w:val="center"/>
          </w:tcPr>
          <w:p w14:paraId="11A9E1DB" w14:textId="6AB2315D"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63.32%</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4924BE">
            <w:pPr>
              <w:spacing w:after="0"/>
              <w:rPr>
                <w:rFonts w:cs="Arial"/>
                <w:color w:val="000000" w:themeColor="text1"/>
                <w:szCs w:val="16"/>
              </w:rPr>
            </w:pPr>
            <w:r w:rsidRPr="00781112">
              <w:rPr>
                <w:rFonts w:cs="Arial"/>
                <w:color w:val="000000" w:themeColor="text1"/>
                <w:szCs w:val="16"/>
              </w:rPr>
              <w:t>Data</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69A5081" w14:textId="5506F90A"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73.03%</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90F65AA" w14:textId="42AB492B"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71.98%</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73.39%</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74.34%</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4924BE">
            <w:pPr>
              <w:spacing w:after="0"/>
              <w:jc w:val="center"/>
              <w:rPr>
                <w:rFonts w:cs="Arial"/>
                <w:color w:val="000000" w:themeColor="text1"/>
                <w:szCs w:val="16"/>
              </w:rPr>
            </w:pPr>
            <w:r w:rsidRPr="00781112">
              <w:rPr>
                <w:rFonts w:cs="Arial"/>
                <w:color w:val="000000" w:themeColor="text1"/>
                <w:szCs w:val="16"/>
              </w:rPr>
              <w:t>73.66%</w:t>
            </w:r>
          </w:p>
        </w:tc>
      </w:tr>
    </w:tbl>
    <w:p w14:paraId="02DB82E4" w14:textId="3885A93B" w:rsidR="005F442C" w:rsidRPr="00781112" w:rsidRDefault="00806C75" w:rsidP="00C33455">
      <w:pPr>
        <w:pStyle w:val="Caption"/>
      </w:pPr>
      <w:r w:rsidRPr="00781112">
        <w:t>FFY 2020 Targets</w:t>
      </w:r>
      <w:r w:rsidR="00EB500A">
        <w:t xml:space="preserve"> (14)</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1704"/>
        <w:gridCol w:w="1516"/>
        <w:gridCol w:w="1517"/>
        <w:gridCol w:w="1517"/>
        <w:gridCol w:w="1517"/>
        <w:gridCol w:w="1517"/>
        <w:gridCol w:w="1515"/>
      </w:tblGrid>
      <w:tr w:rsidR="00AF574F" w:rsidRPr="00781112" w14:paraId="0D5EED67" w14:textId="79D43F28" w:rsidTr="004924BE">
        <w:trPr>
          <w:trHeight w:val="432"/>
        </w:trPr>
        <w:tc>
          <w:tcPr>
            <w:tcW w:w="789" w:type="pct"/>
            <w:tcBorders>
              <w:bottom w:val="single" w:sz="4" w:space="0" w:color="auto"/>
            </w:tcBorders>
            <w:shd w:val="clear" w:color="auto" w:fill="D9D9D9" w:themeFill="background1" w:themeFillShade="D9"/>
            <w:vAlign w:val="center"/>
          </w:tcPr>
          <w:p w14:paraId="3A39086B" w14:textId="77777777" w:rsidR="00AF574F" w:rsidRPr="00781112" w:rsidRDefault="00AF574F" w:rsidP="004924BE">
            <w:pPr>
              <w:spacing w:after="0"/>
              <w:jc w:val="center"/>
              <w:rPr>
                <w:b/>
                <w:color w:val="000000" w:themeColor="text1"/>
              </w:rPr>
            </w:pPr>
            <w:r w:rsidRPr="00781112">
              <w:rPr>
                <w:b/>
                <w:color w:val="000000" w:themeColor="text1"/>
              </w:rPr>
              <w:t>FFY</w:t>
            </w:r>
          </w:p>
        </w:tc>
        <w:tc>
          <w:tcPr>
            <w:tcW w:w="702" w:type="pct"/>
            <w:shd w:val="clear" w:color="auto" w:fill="D9D9D9" w:themeFill="background1" w:themeFillShade="D9"/>
            <w:vAlign w:val="center"/>
          </w:tcPr>
          <w:p w14:paraId="3904D56E" w14:textId="5A40B787" w:rsidR="00AF574F" w:rsidRPr="00781112" w:rsidRDefault="00AF574F" w:rsidP="004924BE">
            <w:pPr>
              <w:spacing w:after="0"/>
              <w:jc w:val="center"/>
              <w:rPr>
                <w:b/>
                <w:color w:val="000000" w:themeColor="text1"/>
              </w:rPr>
            </w:pPr>
            <w:r w:rsidRPr="00781112">
              <w:rPr>
                <w:b/>
                <w:color w:val="000000" w:themeColor="text1"/>
              </w:rPr>
              <w:t>2020</w:t>
            </w:r>
          </w:p>
        </w:tc>
        <w:tc>
          <w:tcPr>
            <w:tcW w:w="702" w:type="pct"/>
            <w:shd w:val="clear" w:color="auto" w:fill="D9D9D9" w:themeFill="background1" w:themeFillShade="D9"/>
            <w:vAlign w:val="center"/>
          </w:tcPr>
          <w:p w14:paraId="5E87DEBC" w14:textId="3C58C740" w:rsidR="00AF574F" w:rsidRPr="00781112" w:rsidRDefault="00AF574F" w:rsidP="004924BE">
            <w:pPr>
              <w:spacing w:after="0"/>
              <w:jc w:val="center"/>
              <w:rPr>
                <w:b/>
                <w:color w:val="000000" w:themeColor="text1"/>
              </w:rPr>
            </w:pPr>
            <w:r w:rsidRPr="00781112">
              <w:rPr>
                <w:rFonts w:cs="Arial"/>
                <w:b/>
                <w:color w:val="000000" w:themeColor="text1"/>
                <w:szCs w:val="16"/>
              </w:rPr>
              <w:t>2021</w:t>
            </w:r>
          </w:p>
        </w:tc>
        <w:tc>
          <w:tcPr>
            <w:tcW w:w="702" w:type="pct"/>
            <w:shd w:val="clear" w:color="auto" w:fill="D9D9D9" w:themeFill="background1" w:themeFillShade="D9"/>
            <w:vAlign w:val="center"/>
          </w:tcPr>
          <w:p w14:paraId="1D78C038" w14:textId="34E0A4B6" w:rsidR="00AF574F" w:rsidRPr="00781112" w:rsidRDefault="00AF574F" w:rsidP="004924BE">
            <w:pPr>
              <w:spacing w:after="0"/>
              <w:jc w:val="center"/>
              <w:rPr>
                <w:b/>
                <w:color w:val="000000" w:themeColor="text1"/>
              </w:rPr>
            </w:pPr>
            <w:r w:rsidRPr="00781112">
              <w:rPr>
                <w:rFonts w:cs="Arial"/>
                <w:b/>
                <w:color w:val="000000" w:themeColor="text1"/>
                <w:szCs w:val="16"/>
              </w:rPr>
              <w:t>2022</w:t>
            </w:r>
          </w:p>
        </w:tc>
        <w:tc>
          <w:tcPr>
            <w:tcW w:w="702" w:type="pct"/>
            <w:shd w:val="clear" w:color="auto" w:fill="D9D9D9" w:themeFill="background1" w:themeFillShade="D9"/>
            <w:vAlign w:val="center"/>
          </w:tcPr>
          <w:p w14:paraId="3C72E9BA" w14:textId="291BB861" w:rsidR="00AF574F" w:rsidRPr="00781112" w:rsidRDefault="00AF574F" w:rsidP="004924BE">
            <w:pPr>
              <w:spacing w:after="0"/>
              <w:jc w:val="center"/>
              <w:rPr>
                <w:b/>
                <w:color w:val="000000" w:themeColor="text1"/>
              </w:rPr>
            </w:pPr>
            <w:r w:rsidRPr="00781112">
              <w:rPr>
                <w:rFonts w:cs="Arial"/>
                <w:b/>
                <w:color w:val="000000" w:themeColor="text1"/>
                <w:szCs w:val="16"/>
              </w:rPr>
              <w:t>2023</w:t>
            </w:r>
          </w:p>
        </w:tc>
        <w:tc>
          <w:tcPr>
            <w:tcW w:w="702" w:type="pct"/>
            <w:shd w:val="clear" w:color="auto" w:fill="D9D9D9" w:themeFill="background1" w:themeFillShade="D9"/>
            <w:vAlign w:val="center"/>
          </w:tcPr>
          <w:p w14:paraId="1F7D660E" w14:textId="277D280C" w:rsidR="00AF574F" w:rsidRPr="00781112" w:rsidRDefault="00AF574F" w:rsidP="004924BE">
            <w:pPr>
              <w:spacing w:after="0"/>
              <w:jc w:val="center"/>
              <w:rPr>
                <w:b/>
                <w:color w:val="000000" w:themeColor="text1"/>
              </w:rPr>
            </w:pPr>
            <w:r w:rsidRPr="00781112">
              <w:rPr>
                <w:rFonts w:cs="Arial"/>
                <w:b/>
                <w:color w:val="000000" w:themeColor="text1"/>
                <w:szCs w:val="16"/>
              </w:rPr>
              <w:t>2024</w:t>
            </w:r>
          </w:p>
        </w:tc>
        <w:tc>
          <w:tcPr>
            <w:tcW w:w="702" w:type="pct"/>
            <w:shd w:val="clear" w:color="auto" w:fill="D9D9D9" w:themeFill="background1" w:themeFillShade="D9"/>
            <w:vAlign w:val="center"/>
          </w:tcPr>
          <w:p w14:paraId="28C0E6A0" w14:textId="077620CA" w:rsidR="00AF574F" w:rsidRPr="00781112" w:rsidRDefault="00AF574F" w:rsidP="004924BE">
            <w:pPr>
              <w:spacing w:after="0"/>
              <w:jc w:val="center"/>
              <w:rPr>
                <w:b/>
                <w:color w:val="000000" w:themeColor="text1"/>
              </w:rPr>
            </w:pPr>
            <w:r w:rsidRPr="00781112">
              <w:rPr>
                <w:rFonts w:cs="Arial"/>
                <w:b/>
                <w:color w:val="000000" w:themeColor="text1"/>
                <w:szCs w:val="16"/>
              </w:rPr>
              <w:t>2025</w:t>
            </w:r>
          </w:p>
        </w:tc>
      </w:tr>
      <w:tr w:rsidR="00AF574F" w:rsidRPr="00781112" w14:paraId="7E2B073B" w14:textId="0B5C632B" w:rsidTr="004924BE">
        <w:trPr>
          <w:trHeight w:val="432"/>
        </w:trPr>
        <w:tc>
          <w:tcPr>
            <w:tcW w:w="789" w:type="pct"/>
            <w:shd w:val="clear" w:color="auto" w:fill="auto"/>
            <w:vAlign w:val="center"/>
          </w:tcPr>
          <w:p w14:paraId="0DC64663" w14:textId="2175F0A9" w:rsidR="00AF574F" w:rsidRPr="00781112" w:rsidRDefault="00AF574F" w:rsidP="004924BE">
            <w:pPr>
              <w:spacing w:after="0"/>
              <w:rPr>
                <w:rFonts w:cs="Arial"/>
                <w:color w:val="000000" w:themeColor="text1"/>
                <w:szCs w:val="16"/>
              </w:rPr>
            </w:pPr>
            <w:r w:rsidRPr="00781112">
              <w:rPr>
                <w:rFonts w:cs="Arial"/>
                <w:color w:val="000000" w:themeColor="text1"/>
                <w:szCs w:val="16"/>
              </w:rPr>
              <w:t>Target A &gt;=</w:t>
            </w:r>
          </w:p>
        </w:tc>
        <w:tc>
          <w:tcPr>
            <w:tcW w:w="702" w:type="pct"/>
            <w:shd w:val="clear" w:color="auto" w:fill="auto"/>
            <w:vAlign w:val="center"/>
          </w:tcPr>
          <w:p w14:paraId="0A86FFC3" w14:textId="4AE9585E" w:rsidR="00AF574F" w:rsidRPr="00781112" w:rsidRDefault="00AF574F" w:rsidP="004924BE">
            <w:pPr>
              <w:spacing w:after="0"/>
              <w:jc w:val="center"/>
              <w:rPr>
                <w:rFonts w:cs="Arial"/>
                <w:color w:val="000000" w:themeColor="text1"/>
                <w:szCs w:val="16"/>
              </w:rPr>
            </w:pPr>
            <w:r w:rsidRPr="00781112">
              <w:rPr>
                <w:rFonts w:cs="Arial"/>
                <w:color w:val="000000" w:themeColor="text1"/>
                <w:szCs w:val="16"/>
              </w:rPr>
              <w:t>35.50%</w:t>
            </w:r>
          </w:p>
        </w:tc>
        <w:tc>
          <w:tcPr>
            <w:tcW w:w="702" w:type="pct"/>
            <w:vAlign w:val="center"/>
          </w:tcPr>
          <w:p w14:paraId="72551055" w14:textId="7A9EF926" w:rsidR="00AF574F" w:rsidRPr="00781112" w:rsidRDefault="00AF574F" w:rsidP="004924BE">
            <w:pPr>
              <w:spacing w:after="0"/>
              <w:jc w:val="center"/>
              <w:rPr>
                <w:rFonts w:cs="Arial"/>
                <w:color w:val="000000" w:themeColor="text1"/>
                <w:szCs w:val="16"/>
              </w:rPr>
            </w:pPr>
            <w:r w:rsidRPr="00781112">
              <w:rPr>
                <w:color w:val="000000" w:themeColor="text1"/>
                <w:szCs w:val="16"/>
              </w:rPr>
              <w:t>36.00%</w:t>
            </w:r>
          </w:p>
        </w:tc>
        <w:tc>
          <w:tcPr>
            <w:tcW w:w="702" w:type="pct"/>
            <w:vAlign w:val="center"/>
          </w:tcPr>
          <w:p w14:paraId="4460710F" w14:textId="653162EA" w:rsidR="00AF574F" w:rsidRPr="00781112" w:rsidRDefault="00AF574F" w:rsidP="004924BE">
            <w:pPr>
              <w:spacing w:after="0"/>
              <w:jc w:val="center"/>
              <w:rPr>
                <w:rFonts w:cs="Arial"/>
                <w:color w:val="000000" w:themeColor="text1"/>
                <w:szCs w:val="16"/>
              </w:rPr>
            </w:pPr>
            <w:r w:rsidRPr="00781112">
              <w:rPr>
                <w:color w:val="000000" w:themeColor="text1"/>
                <w:szCs w:val="16"/>
              </w:rPr>
              <w:t>36.50%</w:t>
            </w:r>
          </w:p>
        </w:tc>
        <w:tc>
          <w:tcPr>
            <w:tcW w:w="702" w:type="pct"/>
            <w:vAlign w:val="center"/>
          </w:tcPr>
          <w:p w14:paraId="42DE20BE" w14:textId="660F0A38" w:rsidR="00AF574F" w:rsidRPr="00781112" w:rsidRDefault="00AF574F" w:rsidP="004924BE">
            <w:pPr>
              <w:spacing w:after="0"/>
              <w:jc w:val="center"/>
              <w:rPr>
                <w:rFonts w:cs="Arial"/>
                <w:color w:val="000000" w:themeColor="text1"/>
                <w:szCs w:val="16"/>
              </w:rPr>
            </w:pPr>
            <w:r w:rsidRPr="00781112">
              <w:rPr>
                <w:color w:val="000000" w:themeColor="text1"/>
                <w:szCs w:val="16"/>
              </w:rPr>
              <w:t>37.00%</w:t>
            </w:r>
          </w:p>
        </w:tc>
        <w:tc>
          <w:tcPr>
            <w:tcW w:w="702" w:type="pct"/>
            <w:vAlign w:val="center"/>
          </w:tcPr>
          <w:p w14:paraId="5E9B0020" w14:textId="74258703" w:rsidR="00AF574F" w:rsidRPr="00781112" w:rsidRDefault="00AF574F" w:rsidP="004924BE">
            <w:pPr>
              <w:spacing w:after="0"/>
              <w:jc w:val="center"/>
              <w:rPr>
                <w:rFonts w:cs="Arial"/>
                <w:color w:val="000000" w:themeColor="text1"/>
                <w:szCs w:val="16"/>
              </w:rPr>
            </w:pPr>
            <w:r w:rsidRPr="00781112">
              <w:rPr>
                <w:color w:val="000000" w:themeColor="text1"/>
                <w:szCs w:val="16"/>
              </w:rPr>
              <w:t>37.50%</w:t>
            </w:r>
          </w:p>
        </w:tc>
        <w:tc>
          <w:tcPr>
            <w:tcW w:w="702" w:type="pct"/>
            <w:vAlign w:val="center"/>
          </w:tcPr>
          <w:p w14:paraId="7B60A310" w14:textId="3F13C352" w:rsidR="00AF574F" w:rsidRPr="00781112" w:rsidRDefault="00AF574F" w:rsidP="004924BE">
            <w:pPr>
              <w:spacing w:after="0"/>
              <w:jc w:val="center"/>
              <w:rPr>
                <w:rFonts w:cs="Arial"/>
                <w:color w:val="000000" w:themeColor="text1"/>
                <w:szCs w:val="16"/>
              </w:rPr>
            </w:pPr>
            <w:r w:rsidRPr="00781112">
              <w:rPr>
                <w:color w:val="000000" w:themeColor="text1"/>
                <w:szCs w:val="16"/>
              </w:rPr>
              <w:t>38.00%</w:t>
            </w:r>
          </w:p>
        </w:tc>
      </w:tr>
      <w:tr w:rsidR="00AF574F" w:rsidRPr="00781112" w14:paraId="0314BAE3" w14:textId="455C9C0A" w:rsidTr="004924BE">
        <w:trPr>
          <w:trHeight w:val="432"/>
        </w:trPr>
        <w:tc>
          <w:tcPr>
            <w:tcW w:w="789" w:type="pct"/>
            <w:shd w:val="clear" w:color="auto" w:fill="auto"/>
            <w:vAlign w:val="center"/>
          </w:tcPr>
          <w:p w14:paraId="53C1536D" w14:textId="615A342B" w:rsidR="00AF574F" w:rsidRPr="00781112" w:rsidRDefault="00AF574F" w:rsidP="004924BE">
            <w:pPr>
              <w:spacing w:after="0"/>
              <w:rPr>
                <w:rFonts w:cs="Arial"/>
                <w:color w:val="000000" w:themeColor="text1"/>
                <w:szCs w:val="16"/>
              </w:rPr>
            </w:pPr>
            <w:r w:rsidRPr="00781112">
              <w:rPr>
                <w:rFonts w:cs="Arial"/>
                <w:color w:val="000000" w:themeColor="text1"/>
                <w:szCs w:val="16"/>
              </w:rPr>
              <w:t>Target B &gt;=</w:t>
            </w:r>
          </w:p>
        </w:tc>
        <w:tc>
          <w:tcPr>
            <w:tcW w:w="702" w:type="pct"/>
            <w:shd w:val="clear" w:color="auto" w:fill="auto"/>
            <w:vAlign w:val="center"/>
          </w:tcPr>
          <w:p w14:paraId="3AAA5324" w14:textId="5539646A" w:rsidR="00AF574F" w:rsidRPr="00781112" w:rsidRDefault="00AF574F" w:rsidP="004924BE">
            <w:pPr>
              <w:spacing w:after="0"/>
              <w:jc w:val="center"/>
              <w:rPr>
                <w:rFonts w:cs="Arial"/>
                <w:color w:val="000000" w:themeColor="text1"/>
                <w:szCs w:val="16"/>
              </w:rPr>
            </w:pPr>
            <w:r w:rsidRPr="00781112">
              <w:rPr>
                <w:rFonts w:cs="Arial"/>
                <w:color w:val="000000" w:themeColor="text1"/>
                <w:szCs w:val="16"/>
              </w:rPr>
              <w:t>65.50%</w:t>
            </w:r>
          </w:p>
        </w:tc>
        <w:tc>
          <w:tcPr>
            <w:tcW w:w="702" w:type="pct"/>
            <w:vAlign w:val="center"/>
          </w:tcPr>
          <w:p w14:paraId="0CDB15F6" w14:textId="4F01BE13" w:rsidR="00AF574F" w:rsidRPr="00781112" w:rsidRDefault="00AF574F" w:rsidP="004924BE">
            <w:pPr>
              <w:spacing w:after="0"/>
              <w:jc w:val="center"/>
              <w:rPr>
                <w:rFonts w:cs="Arial"/>
                <w:color w:val="000000" w:themeColor="text1"/>
                <w:szCs w:val="16"/>
              </w:rPr>
            </w:pPr>
            <w:r w:rsidRPr="00781112">
              <w:rPr>
                <w:color w:val="000000" w:themeColor="text1"/>
                <w:szCs w:val="16"/>
              </w:rPr>
              <w:t>66.00%</w:t>
            </w:r>
          </w:p>
        </w:tc>
        <w:tc>
          <w:tcPr>
            <w:tcW w:w="702" w:type="pct"/>
            <w:vAlign w:val="center"/>
          </w:tcPr>
          <w:p w14:paraId="4BE6282D" w14:textId="241D14B5" w:rsidR="00AF574F" w:rsidRPr="00781112" w:rsidRDefault="00AF574F" w:rsidP="004924BE">
            <w:pPr>
              <w:spacing w:after="0"/>
              <w:jc w:val="center"/>
              <w:rPr>
                <w:rFonts w:cs="Arial"/>
                <w:color w:val="000000" w:themeColor="text1"/>
                <w:szCs w:val="16"/>
              </w:rPr>
            </w:pPr>
            <w:r w:rsidRPr="00781112">
              <w:rPr>
                <w:color w:val="000000" w:themeColor="text1"/>
                <w:szCs w:val="16"/>
              </w:rPr>
              <w:t>66.50%</w:t>
            </w:r>
          </w:p>
        </w:tc>
        <w:tc>
          <w:tcPr>
            <w:tcW w:w="702" w:type="pct"/>
            <w:vAlign w:val="center"/>
          </w:tcPr>
          <w:p w14:paraId="57A02DD3" w14:textId="4CEDC8B3" w:rsidR="00AF574F" w:rsidRPr="00781112" w:rsidRDefault="00AF574F" w:rsidP="004924BE">
            <w:pPr>
              <w:spacing w:after="0"/>
              <w:jc w:val="center"/>
              <w:rPr>
                <w:rFonts w:cs="Arial"/>
                <w:color w:val="000000" w:themeColor="text1"/>
                <w:szCs w:val="16"/>
              </w:rPr>
            </w:pPr>
            <w:r w:rsidRPr="00781112">
              <w:rPr>
                <w:color w:val="000000" w:themeColor="text1"/>
                <w:szCs w:val="16"/>
              </w:rPr>
              <w:t>67.00%</w:t>
            </w:r>
          </w:p>
        </w:tc>
        <w:tc>
          <w:tcPr>
            <w:tcW w:w="702" w:type="pct"/>
            <w:vAlign w:val="center"/>
          </w:tcPr>
          <w:p w14:paraId="370ACB93" w14:textId="0BC1C559" w:rsidR="00AF574F" w:rsidRPr="00781112" w:rsidRDefault="00AF574F" w:rsidP="004924BE">
            <w:pPr>
              <w:spacing w:after="0"/>
              <w:jc w:val="center"/>
              <w:rPr>
                <w:rFonts w:cs="Arial"/>
                <w:color w:val="000000" w:themeColor="text1"/>
                <w:szCs w:val="16"/>
              </w:rPr>
            </w:pPr>
            <w:r w:rsidRPr="00781112">
              <w:rPr>
                <w:color w:val="000000" w:themeColor="text1"/>
                <w:szCs w:val="16"/>
              </w:rPr>
              <w:t>67.50%</w:t>
            </w:r>
          </w:p>
        </w:tc>
        <w:tc>
          <w:tcPr>
            <w:tcW w:w="702" w:type="pct"/>
            <w:vAlign w:val="center"/>
          </w:tcPr>
          <w:p w14:paraId="34308AAA" w14:textId="48D9E553" w:rsidR="00AF574F" w:rsidRPr="00781112" w:rsidRDefault="00AF574F" w:rsidP="004924BE">
            <w:pPr>
              <w:spacing w:after="0"/>
              <w:jc w:val="center"/>
              <w:rPr>
                <w:rFonts w:cs="Arial"/>
                <w:color w:val="000000" w:themeColor="text1"/>
                <w:szCs w:val="16"/>
              </w:rPr>
            </w:pPr>
            <w:r w:rsidRPr="00781112">
              <w:rPr>
                <w:color w:val="000000" w:themeColor="text1"/>
                <w:szCs w:val="16"/>
              </w:rPr>
              <w:t>68.00%</w:t>
            </w:r>
          </w:p>
        </w:tc>
      </w:tr>
      <w:tr w:rsidR="00AF574F" w:rsidRPr="00781112" w14:paraId="571B685C" w14:textId="45446171" w:rsidTr="004924BE">
        <w:trPr>
          <w:trHeight w:val="432"/>
        </w:trPr>
        <w:tc>
          <w:tcPr>
            <w:tcW w:w="789" w:type="pct"/>
            <w:shd w:val="clear" w:color="auto" w:fill="auto"/>
            <w:vAlign w:val="center"/>
          </w:tcPr>
          <w:p w14:paraId="4D525255" w14:textId="5D1105EA" w:rsidR="00AF574F" w:rsidRPr="00781112" w:rsidRDefault="00AF574F" w:rsidP="004924BE">
            <w:pPr>
              <w:spacing w:after="0"/>
              <w:rPr>
                <w:rFonts w:cs="Arial"/>
                <w:color w:val="000000" w:themeColor="text1"/>
                <w:szCs w:val="16"/>
              </w:rPr>
            </w:pPr>
            <w:r w:rsidRPr="00781112">
              <w:rPr>
                <w:rFonts w:cs="Arial"/>
                <w:color w:val="000000" w:themeColor="text1"/>
                <w:szCs w:val="16"/>
              </w:rPr>
              <w:t>Target C &gt;=</w:t>
            </w:r>
          </w:p>
        </w:tc>
        <w:tc>
          <w:tcPr>
            <w:tcW w:w="702" w:type="pct"/>
            <w:shd w:val="clear" w:color="auto" w:fill="auto"/>
            <w:vAlign w:val="center"/>
          </w:tcPr>
          <w:p w14:paraId="6A2D65BD" w14:textId="1F6D3E1F" w:rsidR="00AF574F" w:rsidRPr="00781112" w:rsidRDefault="00AF574F" w:rsidP="004924BE">
            <w:pPr>
              <w:spacing w:after="0"/>
              <w:jc w:val="center"/>
              <w:rPr>
                <w:rFonts w:cs="Arial"/>
                <w:color w:val="000000" w:themeColor="text1"/>
                <w:szCs w:val="16"/>
              </w:rPr>
            </w:pPr>
            <w:r w:rsidRPr="00781112">
              <w:rPr>
                <w:rFonts w:cs="Arial"/>
                <w:color w:val="000000" w:themeColor="text1"/>
                <w:szCs w:val="16"/>
              </w:rPr>
              <w:t>72.50%</w:t>
            </w:r>
          </w:p>
        </w:tc>
        <w:tc>
          <w:tcPr>
            <w:tcW w:w="702" w:type="pct"/>
            <w:vAlign w:val="center"/>
          </w:tcPr>
          <w:p w14:paraId="6B5B030A" w14:textId="41C6CE98" w:rsidR="00AF574F" w:rsidRPr="00781112" w:rsidRDefault="00AF574F" w:rsidP="004924BE">
            <w:pPr>
              <w:spacing w:after="0"/>
              <w:jc w:val="center"/>
              <w:rPr>
                <w:rFonts w:cs="Arial"/>
                <w:color w:val="000000" w:themeColor="text1"/>
                <w:szCs w:val="16"/>
              </w:rPr>
            </w:pPr>
            <w:r w:rsidRPr="00781112">
              <w:rPr>
                <w:color w:val="000000" w:themeColor="text1"/>
                <w:szCs w:val="16"/>
              </w:rPr>
              <w:t>73.00%</w:t>
            </w:r>
          </w:p>
        </w:tc>
        <w:tc>
          <w:tcPr>
            <w:tcW w:w="702" w:type="pct"/>
            <w:vAlign w:val="center"/>
          </w:tcPr>
          <w:p w14:paraId="1D90926B" w14:textId="034D06FC" w:rsidR="00AF574F" w:rsidRPr="00781112" w:rsidRDefault="00AF574F" w:rsidP="004924BE">
            <w:pPr>
              <w:spacing w:after="0"/>
              <w:jc w:val="center"/>
              <w:rPr>
                <w:rFonts w:cs="Arial"/>
                <w:color w:val="000000" w:themeColor="text1"/>
                <w:szCs w:val="16"/>
              </w:rPr>
            </w:pPr>
            <w:r w:rsidRPr="00781112">
              <w:rPr>
                <w:color w:val="000000" w:themeColor="text1"/>
                <w:szCs w:val="16"/>
              </w:rPr>
              <w:t>73.50%</w:t>
            </w:r>
          </w:p>
        </w:tc>
        <w:tc>
          <w:tcPr>
            <w:tcW w:w="702" w:type="pct"/>
            <w:vAlign w:val="center"/>
          </w:tcPr>
          <w:p w14:paraId="4E4DC90B" w14:textId="096AE3F3" w:rsidR="00AF574F" w:rsidRPr="00781112" w:rsidRDefault="00AF574F" w:rsidP="004924BE">
            <w:pPr>
              <w:spacing w:after="0"/>
              <w:jc w:val="center"/>
              <w:rPr>
                <w:rFonts w:cs="Arial"/>
                <w:color w:val="000000" w:themeColor="text1"/>
                <w:szCs w:val="16"/>
              </w:rPr>
            </w:pPr>
            <w:r w:rsidRPr="00781112">
              <w:rPr>
                <w:color w:val="000000" w:themeColor="text1"/>
                <w:szCs w:val="16"/>
              </w:rPr>
              <w:t>74.00%</w:t>
            </w:r>
          </w:p>
        </w:tc>
        <w:tc>
          <w:tcPr>
            <w:tcW w:w="702" w:type="pct"/>
            <w:vAlign w:val="center"/>
          </w:tcPr>
          <w:p w14:paraId="1926915A" w14:textId="136C8151" w:rsidR="00AF574F" w:rsidRPr="00781112" w:rsidRDefault="00AF574F" w:rsidP="004924BE">
            <w:pPr>
              <w:spacing w:after="0"/>
              <w:jc w:val="center"/>
              <w:rPr>
                <w:rFonts w:cs="Arial"/>
                <w:color w:val="000000" w:themeColor="text1"/>
                <w:szCs w:val="16"/>
              </w:rPr>
            </w:pPr>
            <w:r w:rsidRPr="00781112">
              <w:rPr>
                <w:color w:val="000000" w:themeColor="text1"/>
                <w:szCs w:val="16"/>
              </w:rPr>
              <w:t>74.50%</w:t>
            </w:r>
          </w:p>
        </w:tc>
        <w:tc>
          <w:tcPr>
            <w:tcW w:w="702" w:type="pct"/>
            <w:vAlign w:val="center"/>
          </w:tcPr>
          <w:p w14:paraId="77A2E1D0" w14:textId="201EF6CB" w:rsidR="00AF574F" w:rsidRPr="00781112" w:rsidRDefault="00AF574F" w:rsidP="004924BE">
            <w:pPr>
              <w:spacing w:after="0"/>
              <w:jc w:val="center"/>
              <w:rPr>
                <w:rFonts w:cs="Arial"/>
                <w:color w:val="000000" w:themeColor="text1"/>
                <w:szCs w:val="16"/>
              </w:rPr>
            </w:pPr>
            <w:r w:rsidRPr="00781112">
              <w:rPr>
                <w:color w:val="000000" w:themeColor="text1"/>
                <w:szCs w:val="16"/>
              </w:rPr>
              <w:t>75.00%</w:t>
            </w:r>
          </w:p>
        </w:tc>
      </w:tr>
    </w:tbl>
    <w:p w14:paraId="007E6F50" w14:textId="4ED01A4B" w:rsidR="000A2C83" w:rsidRPr="00781112" w:rsidRDefault="000A2C83" w:rsidP="004536A1">
      <w:pPr>
        <w:pStyle w:val="Heading4"/>
      </w:pPr>
      <w:r w:rsidRPr="00781112">
        <w:t>Targets: Description of Stakeholder Input</w:t>
      </w:r>
    </w:p>
    <w:p w14:paraId="5CCBEDEC" w14:textId="77777777" w:rsidR="004924BE" w:rsidRPr="000F63C4" w:rsidRDefault="002B7490" w:rsidP="00314F94">
      <w:pPr>
        <w:pStyle w:val="ListParagraph"/>
        <w:numPr>
          <w:ilvl w:val="0"/>
          <w:numId w:val="251"/>
        </w:numPr>
        <w:rPr>
          <w:rFonts w:cs="Arial"/>
          <w:color w:val="000000" w:themeColor="text1"/>
          <w:szCs w:val="16"/>
        </w:rPr>
      </w:pPr>
      <w:r w:rsidRPr="000F63C4">
        <w:rPr>
          <w:rFonts w:cs="Arial"/>
          <w:color w:val="000000" w:themeColor="text1"/>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0D80EDD0" w14:textId="67770A1D" w:rsidR="000A2C83" w:rsidRPr="00781112" w:rsidRDefault="002B7490" w:rsidP="007F2369">
      <w:pPr>
        <w:ind w:left="720"/>
        <w:rPr>
          <w:rFonts w:cs="Arial"/>
          <w:color w:val="000000" w:themeColor="text1"/>
          <w:szCs w:val="16"/>
        </w:rPr>
      </w:pPr>
      <w:r w:rsidRPr="00781112">
        <w:rPr>
          <w:rFonts w:cs="Arial"/>
          <w:color w:val="000000" w:themeColor="text1"/>
          <w:szCs w:val="16"/>
        </w:rPr>
        <w:lastRenderedPageBreak/>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262FFC50" w14:textId="3E779EE8" w:rsidR="000A2C83" w:rsidRPr="00781112" w:rsidRDefault="002B7490" w:rsidP="007F2369">
      <w:pPr>
        <w:ind w:left="720"/>
        <w:rPr>
          <w:rFonts w:cs="Arial"/>
          <w:color w:val="000000" w:themeColor="text1"/>
          <w:szCs w:val="16"/>
        </w:rPr>
      </w:pPr>
      <w:r w:rsidRPr="00781112">
        <w:rPr>
          <w:rFonts w:cs="Arial"/>
          <w:color w:val="000000" w:themeColor="text1"/>
          <w:szCs w:val="16"/>
        </w:rPr>
        <w:t xml:space="preserve">In addition, during the FFY 2020 APR cycle, secondary transition stakeholder input was received from: youth with disabilities, parents, Parent Education Advocacy and Training Center, Disability Resource Center, resources for Independent Living, local education agency staff members, Virginia Commonwealth University-Center on Transition Innovations, Virginia Board for People with Disabilities, Department of Social Services, Department for Aging and Rehabilitative Services, Wilson Workforce Rehabilitation Center, and other state agencies. Stakeholders learned about the State Performance Plan requirements and reviewed data that included student attendance, testing, graduation, dropout, and post school outcomes. In addition, they discussed issues/descriptions of systems or processes related to secondary </w:t>
      </w:r>
      <w:proofErr w:type="gramStart"/>
      <w:r w:rsidRPr="00781112">
        <w:rPr>
          <w:rFonts w:cs="Arial"/>
          <w:color w:val="000000" w:themeColor="text1"/>
          <w:szCs w:val="16"/>
        </w:rPr>
        <w:t>transition, and</w:t>
      </w:r>
      <w:proofErr w:type="gramEnd"/>
      <w:r w:rsidRPr="00781112">
        <w:rPr>
          <w:rFonts w:cs="Arial"/>
          <w:color w:val="000000" w:themeColor="text1"/>
          <w:szCs w:val="16"/>
        </w:rPr>
        <w:t xml:space="preserve"> made recommendations to the Virginia Department of Education. Numerous resources were shared with and among the stakeholders.</w:t>
      </w:r>
    </w:p>
    <w:p w14:paraId="4202DC3A" w14:textId="73AF662A" w:rsidR="00A03EFA" w:rsidRPr="00781112" w:rsidRDefault="00806C75" w:rsidP="00C33455">
      <w:pPr>
        <w:pStyle w:val="Caption"/>
      </w:pPr>
      <w:bookmarkStart w:id="101" w:name="_Toc392159337"/>
      <w:bookmarkStart w:id="102" w:name="_Hlk121844664"/>
      <w:r w:rsidRPr="00781112">
        <w:t>FFY 2020 SPP/APR Data</w:t>
      </w:r>
      <w:bookmarkEnd w:id="101"/>
      <w:r w:rsidR="00C578AE">
        <w:t xml:space="preserv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post-school outcome categories and total number of students for each for this indicator."/>
      </w:tblPr>
      <w:tblGrid>
        <w:gridCol w:w="8395"/>
        <w:gridCol w:w="2395"/>
      </w:tblGrid>
      <w:tr w:rsidR="004924BE" w:rsidRPr="00781112" w14:paraId="0DAD2A68" w14:textId="77777777" w:rsidTr="004924BE">
        <w:trPr>
          <w:trHeight w:val="665"/>
        </w:trPr>
        <w:tc>
          <w:tcPr>
            <w:tcW w:w="3890" w:type="pct"/>
            <w:shd w:val="clear" w:color="auto" w:fill="D9D9D9" w:themeFill="background1" w:themeFillShade="D9"/>
            <w:vAlign w:val="center"/>
          </w:tcPr>
          <w:bookmarkEnd w:id="102"/>
          <w:p w14:paraId="205EE111" w14:textId="4E20063F" w:rsidR="004924BE" w:rsidRPr="00C578AE" w:rsidRDefault="00C578AE" w:rsidP="00C578AE">
            <w:pPr>
              <w:spacing w:after="0"/>
              <w:rPr>
                <w:rFonts w:cs="Arial"/>
                <w:b/>
                <w:bCs/>
                <w:szCs w:val="16"/>
              </w:rPr>
            </w:pPr>
            <w:r w:rsidRPr="00C578AE">
              <w:rPr>
                <w:rFonts w:cs="Arial"/>
                <w:b/>
                <w:bCs/>
                <w:szCs w:val="16"/>
              </w:rPr>
              <w:t>Indicator 14: Post-School Outcomes</w:t>
            </w:r>
          </w:p>
        </w:tc>
        <w:tc>
          <w:tcPr>
            <w:tcW w:w="1110" w:type="pct"/>
            <w:shd w:val="clear" w:color="auto" w:fill="D9D9D9" w:themeFill="background1" w:themeFillShade="D9"/>
            <w:vAlign w:val="center"/>
          </w:tcPr>
          <w:p w14:paraId="72ED1E37" w14:textId="1A042349" w:rsidR="004924BE" w:rsidRPr="004924BE" w:rsidRDefault="009744FD" w:rsidP="004924BE">
            <w:pPr>
              <w:spacing w:after="0"/>
              <w:jc w:val="center"/>
              <w:rPr>
                <w:rFonts w:cs="Arial"/>
                <w:b/>
                <w:bCs/>
                <w:color w:val="000000" w:themeColor="text1"/>
                <w:szCs w:val="16"/>
              </w:rPr>
            </w:pPr>
            <w:r>
              <w:rPr>
                <w:rFonts w:cs="Arial"/>
                <w:b/>
                <w:bCs/>
                <w:color w:val="000000" w:themeColor="text1"/>
                <w:szCs w:val="16"/>
              </w:rPr>
              <w:t>Number</w:t>
            </w:r>
          </w:p>
        </w:tc>
      </w:tr>
      <w:tr w:rsidR="00090132" w:rsidRPr="00781112" w14:paraId="207EB2D1" w14:textId="77777777" w:rsidTr="004924BE">
        <w:trPr>
          <w:trHeight w:val="576"/>
        </w:trPr>
        <w:tc>
          <w:tcPr>
            <w:tcW w:w="3890" w:type="pct"/>
            <w:vAlign w:val="center"/>
          </w:tcPr>
          <w:p w14:paraId="67362B4A" w14:textId="3209EFE1" w:rsidR="00090132" w:rsidRPr="00781112" w:rsidRDefault="00090132" w:rsidP="004924BE">
            <w:pPr>
              <w:keepNext/>
              <w:spacing w:after="0"/>
              <w:rPr>
                <w:rFonts w:cs="Arial"/>
                <w:color w:val="000000" w:themeColor="text1"/>
                <w:szCs w:val="16"/>
              </w:rPr>
            </w:pPr>
            <w:r>
              <w:rPr>
                <w:rFonts w:cs="Arial"/>
                <w:szCs w:val="16"/>
              </w:rPr>
              <w:t>Total</w:t>
            </w:r>
            <w:r w:rsidRPr="000B10B6">
              <w:rPr>
                <w:rFonts w:eastAsia="Times New Roman" w:cs="Arial"/>
                <w:szCs w:val="16"/>
              </w:rPr>
              <w:t xml:space="preserve"> number of targeted </w:t>
            </w:r>
            <w:proofErr w:type="gramStart"/>
            <w:r w:rsidRPr="000B10B6">
              <w:rPr>
                <w:rFonts w:eastAsia="Times New Roman" w:cs="Arial"/>
                <w:szCs w:val="16"/>
              </w:rPr>
              <w:t>youth</w:t>
            </w:r>
            <w:proofErr w:type="gramEnd"/>
            <w:r w:rsidRPr="000B10B6">
              <w:rPr>
                <w:rFonts w:eastAsia="Times New Roman" w:cs="Arial"/>
                <w:szCs w:val="16"/>
              </w:rPr>
              <w:t xml:space="preserve"> in the sample or census</w:t>
            </w:r>
          </w:p>
        </w:tc>
        <w:tc>
          <w:tcPr>
            <w:tcW w:w="1110" w:type="pct"/>
            <w:vAlign w:val="center"/>
          </w:tcPr>
          <w:p w14:paraId="2427A8AD" w14:textId="54179547" w:rsidR="00090132" w:rsidRPr="00781112" w:rsidRDefault="00090132" w:rsidP="004924BE">
            <w:pPr>
              <w:spacing w:after="0"/>
              <w:jc w:val="center"/>
              <w:rPr>
                <w:rFonts w:cs="Arial"/>
                <w:color w:val="000000" w:themeColor="text1"/>
                <w:szCs w:val="16"/>
              </w:rPr>
            </w:pPr>
            <w:r>
              <w:rPr>
                <w:rFonts w:cs="Arial"/>
                <w:color w:val="000000" w:themeColor="text1"/>
                <w:szCs w:val="16"/>
              </w:rPr>
              <w:t>10,830</w:t>
            </w:r>
          </w:p>
        </w:tc>
      </w:tr>
      <w:tr w:rsidR="00090132" w:rsidRPr="00781112" w14:paraId="4BEBCF45" w14:textId="77777777" w:rsidTr="004924BE">
        <w:trPr>
          <w:trHeight w:val="827"/>
        </w:trPr>
        <w:tc>
          <w:tcPr>
            <w:tcW w:w="3890" w:type="pct"/>
            <w:vAlign w:val="center"/>
          </w:tcPr>
          <w:p w14:paraId="362898CB" w14:textId="77777777" w:rsidR="00090132" w:rsidRPr="00781112" w:rsidRDefault="00090132" w:rsidP="004924BE">
            <w:pPr>
              <w:keepNext/>
              <w:spacing w:after="0"/>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4924BE">
            <w:pPr>
              <w:spacing w:after="0"/>
              <w:jc w:val="center"/>
              <w:rPr>
                <w:rFonts w:cs="Arial"/>
                <w:color w:val="000000" w:themeColor="text1"/>
                <w:szCs w:val="16"/>
              </w:rPr>
            </w:pPr>
            <w:r w:rsidRPr="00781112">
              <w:rPr>
                <w:rFonts w:cs="Arial"/>
                <w:color w:val="000000" w:themeColor="text1"/>
                <w:szCs w:val="16"/>
              </w:rPr>
              <w:t>6,557</w:t>
            </w:r>
          </w:p>
        </w:tc>
      </w:tr>
      <w:tr w:rsidR="00090132" w:rsidRPr="00781112" w14:paraId="099154C0" w14:textId="77777777" w:rsidTr="004924BE">
        <w:trPr>
          <w:trHeight w:val="576"/>
        </w:trPr>
        <w:tc>
          <w:tcPr>
            <w:tcW w:w="3890" w:type="pct"/>
            <w:vAlign w:val="center"/>
          </w:tcPr>
          <w:p w14:paraId="5A4C399B" w14:textId="5923727A" w:rsidR="00090132" w:rsidRPr="00781112" w:rsidRDefault="00090132" w:rsidP="004924BE">
            <w:pPr>
              <w:spacing w:after="0"/>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4924BE">
            <w:pPr>
              <w:spacing w:after="0"/>
              <w:jc w:val="center"/>
              <w:rPr>
                <w:rFonts w:cs="Arial"/>
                <w:color w:val="000000" w:themeColor="text1"/>
                <w:szCs w:val="16"/>
              </w:rPr>
            </w:pPr>
            <w:r w:rsidRPr="00ED172B">
              <w:rPr>
                <w:rFonts w:cs="Arial"/>
                <w:color w:val="000000" w:themeColor="text1"/>
                <w:szCs w:val="16"/>
              </w:rPr>
              <w:t>60.54%</w:t>
            </w:r>
          </w:p>
        </w:tc>
      </w:tr>
      <w:tr w:rsidR="00090132" w:rsidRPr="00781112" w14:paraId="5E0C2D8D" w14:textId="77777777" w:rsidTr="004924BE">
        <w:trPr>
          <w:trHeight w:val="764"/>
        </w:trPr>
        <w:tc>
          <w:tcPr>
            <w:tcW w:w="3890" w:type="pct"/>
            <w:vAlign w:val="center"/>
          </w:tcPr>
          <w:p w14:paraId="307B7092" w14:textId="77777777" w:rsidR="00090132" w:rsidRPr="00781112" w:rsidRDefault="00090132" w:rsidP="004924BE">
            <w:pPr>
              <w:spacing w:after="0"/>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4924BE">
            <w:pPr>
              <w:spacing w:after="0"/>
              <w:jc w:val="center"/>
              <w:rPr>
                <w:rFonts w:cs="Arial"/>
                <w:color w:val="000000" w:themeColor="text1"/>
                <w:szCs w:val="16"/>
              </w:rPr>
            </w:pPr>
            <w:r w:rsidRPr="00781112">
              <w:rPr>
                <w:rFonts w:cs="Arial"/>
                <w:color w:val="000000" w:themeColor="text1"/>
                <w:szCs w:val="16"/>
              </w:rPr>
              <w:t>2,185</w:t>
            </w:r>
          </w:p>
        </w:tc>
      </w:tr>
      <w:tr w:rsidR="00090132" w:rsidRPr="00781112" w14:paraId="7827FDF9" w14:textId="77777777" w:rsidTr="004924BE">
        <w:trPr>
          <w:trHeight w:val="755"/>
        </w:trPr>
        <w:tc>
          <w:tcPr>
            <w:tcW w:w="3890" w:type="pct"/>
            <w:vAlign w:val="center"/>
          </w:tcPr>
          <w:p w14:paraId="143C6167" w14:textId="77777777" w:rsidR="00090132" w:rsidRPr="00781112" w:rsidRDefault="00090132" w:rsidP="004924BE">
            <w:pPr>
              <w:spacing w:after="0"/>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4924BE">
            <w:pPr>
              <w:spacing w:after="0"/>
              <w:jc w:val="center"/>
              <w:rPr>
                <w:rFonts w:cs="Arial"/>
                <w:color w:val="000000" w:themeColor="text1"/>
                <w:szCs w:val="16"/>
              </w:rPr>
            </w:pPr>
            <w:r w:rsidRPr="00781112">
              <w:rPr>
                <w:rFonts w:cs="Arial"/>
                <w:color w:val="000000" w:themeColor="text1"/>
                <w:szCs w:val="16"/>
              </w:rPr>
              <w:t>2,513</w:t>
            </w:r>
          </w:p>
        </w:tc>
      </w:tr>
      <w:tr w:rsidR="00090132" w:rsidRPr="00781112" w14:paraId="5F3556EC" w14:textId="77777777" w:rsidTr="004924BE">
        <w:trPr>
          <w:trHeight w:val="1115"/>
        </w:trPr>
        <w:tc>
          <w:tcPr>
            <w:tcW w:w="3890" w:type="pct"/>
            <w:vAlign w:val="center"/>
          </w:tcPr>
          <w:p w14:paraId="31472415" w14:textId="77777777" w:rsidR="00090132" w:rsidRPr="00781112" w:rsidRDefault="00090132" w:rsidP="004924BE">
            <w:pPr>
              <w:spacing w:after="0"/>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4924BE">
            <w:pPr>
              <w:spacing w:after="0"/>
              <w:jc w:val="center"/>
              <w:rPr>
                <w:rFonts w:cs="Arial"/>
                <w:color w:val="000000" w:themeColor="text1"/>
                <w:szCs w:val="16"/>
              </w:rPr>
            </w:pPr>
            <w:r w:rsidRPr="00781112">
              <w:rPr>
                <w:rFonts w:cs="Arial"/>
                <w:color w:val="000000" w:themeColor="text1"/>
                <w:szCs w:val="16"/>
              </w:rPr>
              <w:t>131</w:t>
            </w:r>
          </w:p>
        </w:tc>
      </w:tr>
      <w:tr w:rsidR="00090132" w:rsidRPr="00781112" w14:paraId="781804C6" w14:textId="77777777" w:rsidTr="004924BE">
        <w:trPr>
          <w:trHeight w:val="1430"/>
        </w:trPr>
        <w:tc>
          <w:tcPr>
            <w:tcW w:w="3890" w:type="pct"/>
            <w:vAlign w:val="center"/>
          </w:tcPr>
          <w:p w14:paraId="1C549366" w14:textId="77777777" w:rsidR="00090132" w:rsidRPr="00781112" w:rsidRDefault="00090132" w:rsidP="004924BE">
            <w:pPr>
              <w:spacing w:after="0"/>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4924BE">
            <w:pPr>
              <w:spacing w:after="0"/>
              <w:jc w:val="center"/>
              <w:rPr>
                <w:rFonts w:cs="Arial"/>
                <w:color w:val="000000" w:themeColor="text1"/>
                <w:szCs w:val="16"/>
              </w:rPr>
            </w:pPr>
            <w:r w:rsidRPr="00781112">
              <w:rPr>
                <w:rFonts w:cs="Arial"/>
                <w:color w:val="000000" w:themeColor="text1"/>
                <w:szCs w:val="16"/>
              </w:rPr>
              <w:t>259</w:t>
            </w:r>
          </w:p>
        </w:tc>
      </w:tr>
    </w:tbl>
    <w:p w14:paraId="3460F1B2" w14:textId="77777777" w:rsidR="009744FD" w:rsidRDefault="009744FD">
      <w:pPr>
        <w:spacing w:after="200"/>
        <w:rPr>
          <w:rFonts w:cs="Arial"/>
          <w:b/>
          <w:color w:val="000000" w:themeColor="text1"/>
          <w:szCs w:val="16"/>
          <w:highlight w:val="yellow"/>
        </w:rPr>
      </w:pPr>
      <w:r>
        <w:rPr>
          <w:rFonts w:cs="Arial"/>
          <w:b/>
          <w:color w:val="000000" w:themeColor="text1"/>
          <w:szCs w:val="16"/>
          <w:highlight w:val="yellow"/>
        </w:rPr>
        <w:br w:type="page"/>
      </w:r>
    </w:p>
    <w:p w14:paraId="651438F7" w14:textId="159CCD77" w:rsidR="004924BE" w:rsidRPr="00781112" w:rsidRDefault="00C578AE" w:rsidP="00C33455">
      <w:pPr>
        <w:pStyle w:val="Caption"/>
      </w:pPr>
      <w:bookmarkStart w:id="103" w:name="_Hlk121844692"/>
      <w:r w:rsidRPr="00EB500A">
        <w:lastRenderedPageBreak/>
        <w:t>Indicator 14: Measurements A, B, and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target and data for FFY 2020, status, and slippage, when applicable."/>
      </w:tblPr>
      <w:tblGrid>
        <w:gridCol w:w="2066"/>
        <w:gridCol w:w="1535"/>
        <w:gridCol w:w="1718"/>
        <w:gridCol w:w="1057"/>
        <w:gridCol w:w="1057"/>
        <w:gridCol w:w="1057"/>
        <w:gridCol w:w="1057"/>
        <w:gridCol w:w="1243"/>
      </w:tblGrid>
      <w:tr w:rsidR="009744FD" w:rsidRPr="00781112" w14:paraId="5EEC1BAF" w14:textId="0A8A2949" w:rsidTr="009744FD">
        <w:trPr>
          <w:trHeight w:val="358"/>
          <w:tblHeader/>
        </w:trPr>
        <w:tc>
          <w:tcPr>
            <w:tcW w:w="957" w:type="pct"/>
            <w:shd w:val="clear" w:color="auto" w:fill="D9D9D9" w:themeFill="background1" w:themeFillShade="D9"/>
            <w:vAlign w:val="center"/>
          </w:tcPr>
          <w:bookmarkEnd w:id="103"/>
          <w:p w14:paraId="4E882584" w14:textId="038C3477" w:rsidR="00B67038" w:rsidRPr="00781112" w:rsidRDefault="004E1996" w:rsidP="009744FD">
            <w:pPr>
              <w:spacing w:after="0"/>
              <w:jc w:val="center"/>
              <w:rPr>
                <w:rFonts w:cs="Arial"/>
                <w:b/>
                <w:color w:val="000000" w:themeColor="text1"/>
                <w:szCs w:val="16"/>
              </w:rPr>
            </w:pPr>
            <w:r w:rsidRPr="00781112">
              <w:rPr>
                <w:rFonts w:cs="Arial"/>
                <w:b/>
                <w:color w:val="000000" w:themeColor="text1"/>
                <w:szCs w:val="16"/>
              </w:rPr>
              <w:t>Measure</w:t>
            </w:r>
          </w:p>
        </w:tc>
        <w:tc>
          <w:tcPr>
            <w:tcW w:w="711" w:type="pct"/>
            <w:shd w:val="clear" w:color="auto" w:fill="D9D9D9" w:themeFill="background1" w:themeFillShade="D9"/>
            <w:vAlign w:val="center"/>
          </w:tcPr>
          <w:p w14:paraId="5814109E" w14:textId="77777777" w:rsidR="00B67038" w:rsidRPr="00781112" w:rsidRDefault="00B67038" w:rsidP="009744FD">
            <w:pPr>
              <w:spacing w:after="0"/>
              <w:jc w:val="center"/>
              <w:rPr>
                <w:rFonts w:cs="Arial"/>
                <w:b/>
                <w:color w:val="000000" w:themeColor="text1"/>
                <w:szCs w:val="16"/>
              </w:rPr>
            </w:pPr>
            <w:r w:rsidRPr="00781112">
              <w:rPr>
                <w:rFonts w:cs="Arial"/>
                <w:b/>
                <w:color w:val="000000" w:themeColor="text1"/>
                <w:szCs w:val="16"/>
              </w:rPr>
              <w:t>Number of respondent youth</w:t>
            </w:r>
          </w:p>
        </w:tc>
        <w:tc>
          <w:tcPr>
            <w:tcW w:w="796" w:type="pct"/>
            <w:shd w:val="clear" w:color="auto" w:fill="D9D9D9" w:themeFill="background1" w:themeFillShade="D9"/>
            <w:vAlign w:val="center"/>
          </w:tcPr>
          <w:p w14:paraId="14CE6B2C" w14:textId="77777777" w:rsidR="00B67038" w:rsidRPr="00781112" w:rsidRDefault="00B67038" w:rsidP="009744FD">
            <w:pPr>
              <w:spacing w:after="0"/>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490" w:type="pct"/>
            <w:shd w:val="clear" w:color="auto" w:fill="D9D9D9" w:themeFill="background1" w:themeFillShade="D9"/>
            <w:vAlign w:val="center"/>
          </w:tcPr>
          <w:p w14:paraId="12E02A36" w14:textId="0DAD7157" w:rsidR="00B67038" w:rsidRPr="00781112" w:rsidRDefault="00F6415A" w:rsidP="009744FD">
            <w:pPr>
              <w:spacing w:after="0"/>
              <w:jc w:val="center"/>
              <w:rPr>
                <w:rFonts w:cs="Arial"/>
                <w:b/>
                <w:color w:val="000000" w:themeColor="text1"/>
                <w:szCs w:val="16"/>
              </w:rPr>
            </w:pPr>
            <w:r w:rsidRPr="00781112">
              <w:rPr>
                <w:rFonts w:cs="Arial"/>
                <w:b/>
                <w:color w:val="000000" w:themeColor="text1"/>
                <w:szCs w:val="16"/>
              </w:rPr>
              <w:t>FFY 2019 Data</w:t>
            </w:r>
          </w:p>
        </w:tc>
        <w:tc>
          <w:tcPr>
            <w:tcW w:w="490" w:type="pct"/>
            <w:shd w:val="clear" w:color="auto" w:fill="D9D9D9" w:themeFill="background1" w:themeFillShade="D9"/>
            <w:vAlign w:val="center"/>
          </w:tcPr>
          <w:p w14:paraId="5152926B" w14:textId="51E1C3DD" w:rsidR="00B67038" w:rsidRPr="00781112" w:rsidRDefault="00806C75" w:rsidP="009744FD">
            <w:pPr>
              <w:spacing w:after="0"/>
              <w:jc w:val="center"/>
              <w:rPr>
                <w:rFonts w:cs="Arial"/>
                <w:b/>
                <w:color w:val="000000" w:themeColor="text1"/>
                <w:szCs w:val="16"/>
              </w:rPr>
            </w:pPr>
            <w:r w:rsidRPr="00781112">
              <w:rPr>
                <w:rFonts w:cs="Arial"/>
                <w:b/>
                <w:color w:val="000000" w:themeColor="text1"/>
                <w:szCs w:val="16"/>
              </w:rPr>
              <w:t>FFY 2020 Target</w:t>
            </w:r>
          </w:p>
        </w:tc>
        <w:tc>
          <w:tcPr>
            <w:tcW w:w="490" w:type="pct"/>
            <w:shd w:val="clear" w:color="auto" w:fill="D9D9D9" w:themeFill="background1" w:themeFillShade="D9"/>
            <w:vAlign w:val="center"/>
          </w:tcPr>
          <w:p w14:paraId="520BBB1B" w14:textId="5D23C409" w:rsidR="00B67038" w:rsidRPr="00781112" w:rsidRDefault="00806C75" w:rsidP="009744FD">
            <w:pPr>
              <w:spacing w:after="0"/>
              <w:jc w:val="center"/>
              <w:rPr>
                <w:rFonts w:cs="Arial"/>
                <w:b/>
                <w:color w:val="000000" w:themeColor="text1"/>
                <w:szCs w:val="16"/>
              </w:rPr>
            </w:pPr>
            <w:r w:rsidRPr="00781112">
              <w:rPr>
                <w:rFonts w:cs="Arial"/>
                <w:b/>
                <w:color w:val="000000" w:themeColor="text1"/>
                <w:szCs w:val="16"/>
              </w:rPr>
              <w:t>FFY 2020 Data</w:t>
            </w:r>
          </w:p>
        </w:tc>
        <w:tc>
          <w:tcPr>
            <w:tcW w:w="490" w:type="pct"/>
            <w:shd w:val="clear" w:color="auto" w:fill="D9D9D9" w:themeFill="background1" w:themeFillShade="D9"/>
            <w:vAlign w:val="center"/>
          </w:tcPr>
          <w:p w14:paraId="4E9CD96E" w14:textId="648B12FE" w:rsidR="00B67038" w:rsidRPr="00781112" w:rsidRDefault="00B67038" w:rsidP="009744FD">
            <w:pPr>
              <w:spacing w:after="0"/>
              <w:jc w:val="center"/>
              <w:rPr>
                <w:rFonts w:cs="Arial"/>
                <w:b/>
                <w:color w:val="000000" w:themeColor="text1"/>
                <w:szCs w:val="16"/>
              </w:rPr>
            </w:pPr>
            <w:r w:rsidRPr="00781112">
              <w:rPr>
                <w:rFonts w:cs="Arial"/>
                <w:b/>
                <w:color w:val="000000" w:themeColor="text1"/>
                <w:szCs w:val="16"/>
              </w:rPr>
              <w:t>Status</w:t>
            </w:r>
          </w:p>
        </w:tc>
        <w:tc>
          <w:tcPr>
            <w:tcW w:w="577" w:type="pct"/>
            <w:shd w:val="clear" w:color="auto" w:fill="D9D9D9" w:themeFill="background1" w:themeFillShade="D9"/>
            <w:vAlign w:val="center"/>
          </w:tcPr>
          <w:p w14:paraId="715E8BB1" w14:textId="2FE9D03B" w:rsidR="00B67038" w:rsidRPr="00781112" w:rsidRDefault="00B67038" w:rsidP="009744FD">
            <w:pPr>
              <w:spacing w:after="0"/>
              <w:jc w:val="center"/>
              <w:rPr>
                <w:rFonts w:cs="Arial"/>
                <w:b/>
                <w:color w:val="000000" w:themeColor="text1"/>
                <w:szCs w:val="16"/>
              </w:rPr>
            </w:pPr>
            <w:r w:rsidRPr="00781112">
              <w:rPr>
                <w:rFonts w:cs="Arial"/>
                <w:b/>
                <w:color w:val="000000" w:themeColor="text1"/>
                <w:szCs w:val="16"/>
              </w:rPr>
              <w:t>Slippage</w:t>
            </w:r>
          </w:p>
        </w:tc>
      </w:tr>
      <w:tr w:rsidR="009744FD" w:rsidRPr="00781112" w14:paraId="2526E003" w14:textId="5321EBA7" w:rsidTr="009744FD">
        <w:trPr>
          <w:trHeight w:val="1160"/>
        </w:trPr>
        <w:tc>
          <w:tcPr>
            <w:tcW w:w="957" w:type="pct"/>
            <w:shd w:val="clear" w:color="auto" w:fill="auto"/>
            <w:vAlign w:val="center"/>
          </w:tcPr>
          <w:p w14:paraId="4322DAA7" w14:textId="775B971A" w:rsidR="00C66181" w:rsidRPr="00781112" w:rsidRDefault="00C66181" w:rsidP="009744FD">
            <w:pPr>
              <w:spacing w:after="0"/>
              <w:rPr>
                <w:rFonts w:cs="Arial"/>
                <w:color w:val="000000" w:themeColor="text1"/>
                <w:szCs w:val="16"/>
              </w:rPr>
            </w:pPr>
            <w:r w:rsidRPr="00781112">
              <w:rPr>
                <w:rFonts w:cs="Arial"/>
                <w:color w:val="000000" w:themeColor="text1"/>
                <w:szCs w:val="16"/>
              </w:rPr>
              <w:t>A. Enrolled in higher education (1)</w:t>
            </w:r>
          </w:p>
        </w:tc>
        <w:tc>
          <w:tcPr>
            <w:tcW w:w="711" w:type="pct"/>
            <w:shd w:val="clear" w:color="auto" w:fill="auto"/>
            <w:vAlign w:val="center"/>
          </w:tcPr>
          <w:p w14:paraId="2B2B0998" w14:textId="349D0F93"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2,185</w:t>
            </w:r>
          </w:p>
        </w:tc>
        <w:tc>
          <w:tcPr>
            <w:tcW w:w="796" w:type="pct"/>
            <w:shd w:val="clear" w:color="auto" w:fill="auto"/>
            <w:vAlign w:val="center"/>
          </w:tcPr>
          <w:p w14:paraId="2D1BC64A" w14:textId="15C5A024"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6,557</w:t>
            </w:r>
          </w:p>
        </w:tc>
        <w:tc>
          <w:tcPr>
            <w:tcW w:w="490" w:type="pct"/>
            <w:shd w:val="clear" w:color="auto" w:fill="auto"/>
            <w:vAlign w:val="center"/>
          </w:tcPr>
          <w:p w14:paraId="3243FB0B" w14:textId="028EEEBB"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34.44%</w:t>
            </w:r>
          </w:p>
        </w:tc>
        <w:tc>
          <w:tcPr>
            <w:tcW w:w="490" w:type="pct"/>
            <w:shd w:val="clear" w:color="auto" w:fill="auto"/>
            <w:vAlign w:val="center"/>
          </w:tcPr>
          <w:p w14:paraId="7BCB140B" w14:textId="02D0AFDC"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35.50%</w:t>
            </w:r>
          </w:p>
        </w:tc>
        <w:tc>
          <w:tcPr>
            <w:tcW w:w="490" w:type="pct"/>
            <w:shd w:val="clear" w:color="auto" w:fill="auto"/>
            <w:vAlign w:val="center"/>
          </w:tcPr>
          <w:p w14:paraId="0D6600A4" w14:textId="4E0FD8C8"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33.32%</w:t>
            </w:r>
          </w:p>
        </w:tc>
        <w:tc>
          <w:tcPr>
            <w:tcW w:w="490" w:type="pct"/>
            <w:shd w:val="clear" w:color="auto" w:fill="auto"/>
            <w:vAlign w:val="center"/>
          </w:tcPr>
          <w:p w14:paraId="3C766484" w14:textId="7B272BC5"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Did not meet target</w:t>
            </w:r>
          </w:p>
        </w:tc>
        <w:tc>
          <w:tcPr>
            <w:tcW w:w="577" w:type="pct"/>
            <w:shd w:val="clear" w:color="auto" w:fill="auto"/>
            <w:vAlign w:val="center"/>
          </w:tcPr>
          <w:p w14:paraId="575A444D" w14:textId="78F1C14C"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Slippage</w:t>
            </w:r>
          </w:p>
        </w:tc>
      </w:tr>
      <w:tr w:rsidR="009744FD" w:rsidRPr="00781112" w14:paraId="490D8194" w14:textId="3CFB279F" w:rsidTr="009744FD">
        <w:trPr>
          <w:trHeight w:val="2411"/>
        </w:trPr>
        <w:tc>
          <w:tcPr>
            <w:tcW w:w="957" w:type="pct"/>
            <w:shd w:val="clear" w:color="auto" w:fill="auto"/>
            <w:vAlign w:val="center"/>
          </w:tcPr>
          <w:p w14:paraId="64A6757D" w14:textId="0FC0A9B9" w:rsidR="00C66181" w:rsidRPr="00781112" w:rsidRDefault="00C66181" w:rsidP="009744FD">
            <w:pPr>
              <w:spacing w:after="0"/>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711" w:type="pct"/>
            <w:shd w:val="clear" w:color="auto" w:fill="auto"/>
            <w:vAlign w:val="center"/>
          </w:tcPr>
          <w:p w14:paraId="60F6248F" w14:textId="7EC302DD"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4,698</w:t>
            </w:r>
          </w:p>
        </w:tc>
        <w:tc>
          <w:tcPr>
            <w:tcW w:w="796" w:type="pct"/>
            <w:shd w:val="clear" w:color="auto" w:fill="auto"/>
            <w:vAlign w:val="center"/>
          </w:tcPr>
          <w:p w14:paraId="5DE56E38" w14:textId="525AF49A"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6,557</w:t>
            </w:r>
          </w:p>
        </w:tc>
        <w:tc>
          <w:tcPr>
            <w:tcW w:w="490" w:type="pct"/>
            <w:shd w:val="clear" w:color="auto" w:fill="auto"/>
            <w:vAlign w:val="center"/>
          </w:tcPr>
          <w:p w14:paraId="7FF1FC54" w14:textId="2A5DA1E3"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65.87%</w:t>
            </w:r>
          </w:p>
        </w:tc>
        <w:tc>
          <w:tcPr>
            <w:tcW w:w="490" w:type="pct"/>
            <w:shd w:val="clear" w:color="auto" w:fill="auto"/>
            <w:vAlign w:val="center"/>
          </w:tcPr>
          <w:p w14:paraId="296C6AD3" w14:textId="560D60D3"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65.50%</w:t>
            </w:r>
          </w:p>
        </w:tc>
        <w:tc>
          <w:tcPr>
            <w:tcW w:w="490" w:type="pct"/>
            <w:shd w:val="clear" w:color="auto" w:fill="auto"/>
            <w:vAlign w:val="center"/>
          </w:tcPr>
          <w:p w14:paraId="54BDC44C" w14:textId="0AE0B920"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71.65%</w:t>
            </w:r>
          </w:p>
        </w:tc>
        <w:tc>
          <w:tcPr>
            <w:tcW w:w="490" w:type="pct"/>
            <w:shd w:val="clear" w:color="auto" w:fill="auto"/>
            <w:vAlign w:val="center"/>
          </w:tcPr>
          <w:p w14:paraId="48B49570" w14:textId="038E3826"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vAlign w:val="center"/>
          </w:tcPr>
          <w:p w14:paraId="0A2BDCF3" w14:textId="3B0044C6"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No Slippage</w:t>
            </w:r>
          </w:p>
        </w:tc>
      </w:tr>
      <w:tr w:rsidR="009744FD" w:rsidRPr="00781112" w14:paraId="493DA09A" w14:textId="4FC8161E" w:rsidTr="009744FD">
        <w:trPr>
          <w:trHeight w:val="3680"/>
        </w:trPr>
        <w:tc>
          <w:tcPr>
            <w:tcW w:w="957" w:type="pct"/>
            <w:shd w:val="clear" w:color="auto" w:fill="auto"/>
            <w:vAlign w:val="center"/>
          </w:tcPr>
          <w:p w14:paraId="3D517963" w14:textId="6D3BD99F" w:rsidR="00C66181" w:rsidRPr="00781112" w:rsidRDefault="00C66181" w:rsidP="009744FD">
            <w:pPr>
              <w:spacing w:after="0"/>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711" w:type="pct"/>
            <w:shd w:val="clear" w:color="auto" w:fill="auto"/>
            <w:vAlign w:val="center"/>
          </w:tcPr>
          <w:p w14:paraId="79AA91FE" w14:textId="0803E2EE"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5,088</w:t>
            </w:r>
          </w:p>
        </w:tc>
        <w:tc>
          <w:tcPr>
            <w:tcW w:w="796" w:type="pct"/>
            <w:shd w:val="clear" w:color="auto" w:fill="auto"/>
            <w:vAlign w:val="center"/>
          </w:tcPr>
          <w:p w14:paraId="1FAFC4F9" w14:textId="70DE7F33"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6,557</w:t>
            </w:r>
          </w:p>
        </w:tc>
        <w:tc>
          <w:tcPr>
            <w:tcW w:w="490" w:type="pct"/>
            <w:shd w:val="clear" w:color="auto" w:fill="auto"/>
            <w:vAlign w:val="center"/>
          </w:tcPr>
          <w:p w14:paraId="5FB73F1B" w14:textId="26275AAA"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73.66%</w:t>
            </w:r>
          </w:p>
        </w:tc>
        <w:tc>
          <w:tcPr>
            <w:tcW w:w="490" w:type="pct"/>
            <w:shd w:val="clear" w:color="auto" w:fill="auto"/>
            <w:vAlign w:val="center"/>
          </w:tcPr>
          <w:p w14:paraId="3A75A593" w14:textId="74B21849"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72.50%</w:t>
            </w:r>
          </w:p>
        </w:tc>
        <w:tc>
          <w:tcPr>
            <w:tcW w:w="490" w:type="pct"/>
            <w:shd w:val="clear" w:color="auto" w:fill="auto"/>
            <w:vAlign w:val="center"/>
          </w:tcPr>
          <w:p w14:paraId="6D78DA3F" w14:textId="61DB3CB1"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77.60%</w:t>
            </w:r>
          </w:p>
        </w:tc>
        <w:tc>
          <w:tcPr>
            <w:tcW w:w="490" w:type="pct"/>
            <w:shd w:val="clear" w:color="auto" w:fill="auto"/>
            <w:vAlign w:val="center"/>
          </w:tcPr>
          <w:p w14:paraId="6E5BDC78" w14:textId="48EDE622"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vAlign w:val="center"/>
          </w:tcPr>
          <w:p w14:paraId="4A054D72" w14:textId="19B24E43" w:rsidR="00C66181" w:rsidRPr="00781112" w:rsidRDefault="002B7490" w:rsidP="009744FD">
            <w:pPr>
              <w:spacing w:after="0"/>
              <w:jc w:val="center"/>
              <w:rPr>
                <w:rFonts w:cs="Arial"/>
                <w:color w:val="000000" w:themeColor="text1"/>
                <w:szCs w:val="16"/>
              </w:rPr>
            </w:pPr>
            <w:r w:rsidRPr="00781112">
              <w:rPr>
                <w:rFonts w:cs="Arial"/>
                <w:color w:val="000000" w:themeColor="text1"/>
                <w:szCs w:val="16"/>
              </w:rPr>
              <w:t>No Slippage</w:t>
            </w:r>
          </w:p>
        </w:tc>
      </w:tr>
    </w:tbl>
    <w:p w14:paraId="657F3BD8" w14:textId="64D3B83C" w:rsidR="004924BE" w:rsidRPr="004924BE" w:rsidRDefault="00C578AE" w:rsidP="00C33455">
      <w:pPr>
        <w:pStyle w:val="Caption"/>
      </w:pPr>
      <w:bookmarkStart w:id="104" w:name="_Hlk121844735"/>
      <w:r w:rsidRPr="00EB500A">
        <w:t>Indicator 14: Reasons for Slippage</w:t>
      </w:r>
    </w:p>
    <w:tbl>
      <w:tblPr>
        <w:tblStyle w:val="TableGrid"/>
        <w:tblW w:w="10795" w:type="dxa"/>
        <w:shd w:val="clear" w:color="auto" w:fill="FBD4B4" w:themeFill="accent6" w:themeFillTint="66"/>
        <w:tblLook w:val="04A0" w:firstRow="1" w:lastRow="0" w:firstColumn="1" w:lastColumn="0" w:noHBand="0" w:noVBand="1"/>
        <w:tblDescription w:val="Table provides Part A reasons for slippage for this indicator."/>
      </w:tblPr>
      <w:tblGrid>
        <w:gridCol w:w="715"/>
        <w:gridCol w:w="10080"/>
      </w:tblGrid>
      <w:tr w:rsidR="005C29F8" w:rsidRPr="00781112" w14:paraId="049EEA4C" w14:textId="77777777" w:rsidTr="009744FD">
        <w:trPr>
          <w:trHeight w:val="432"/>
          <w:tblHeader/>
        </w:trPr>
        <w:tc>
          <w:tcPr>
            <w:tcW w:w="715" w:type="dxa"/>
            <w:shd w:val="clear" w:color="auto" w:fill="D9D9D9" w:themeFill="background1" w:themeFillShade="D9"/>
            <w:vAlign w:val="center"/>
          </w:tcPr>
          <w:bookmarkEnd w:id="104"/>
          <w:p w14:paraId="2E1368A0" w14:textId="77777777" w:rsidR="001773E7" w:rsidRPr="00781112" w:rsidRDefault="001773E7" w:rsidP="009744FD">
            <w:pPr>
              <w:spacing w:after="0" w:line="276" w:lineRule="auto"/>
              <w:jc w:val="center"/>
              <w:rPr>
                <w:color w:val="000000" w:themeColor="text1"/>
              </w:rPr>
            </w:pPr>
            <w:r w:rsidRPr="00781112">
              <w:rPr>
                <w:b/>
                <w:color w:val="000000" w:themeColor="text1"/>
              </w:rPr>
              <w:t>Part</w:t>
            </w:r>
          </w:p>
        </w:tc>
        <w:tc>
          <w:tcPr>
            <w:tcW w:w="10080" w:type="dxa"/>
            <w:shd w:val="clear" w:color="auto" w:fill="D9D9D9" w:themeFill="background1" w:themeFillShade="D9"/>
            <w:vAlign w:val="center"/>
          </w:tcPr>
          <w:p w14:paraId="39A18603" w14:textId="77777777" w:rsidR="001773E7" w:rsidRPr="00781112" w:rsidRDefault="001773E7" w:rsidP="009744FD">
            <w:pPr>
              <w:spacing w:after="0" w:line="276" w:lineRule="auto"/>
              <w:jc w:val="center"/>
              <w:rPr>
                <w:color w:val="000000" w:themeColor="text1"/>
              </w:rPr>
            </w:pPr>
            <w:r w:rsidRPr="00781112">
              <w:rPr>
                <w:b/>
                <w:color w:val="000000" w:themeColor="text1"/>
              </w:rPr>
              <w:t>Reasons for slippage, if applicable</w:t>
            </w:r>
          </w:p>
        </w:tc>
      </w:tr>
      <w:tr w:rsidR="005C29F8" w:rsidRPr="00781112" w14:paraId="3F4E853C" w14:textId="77777777" w:rsidTr="009744FD">
        <w:trPr>
          <w:trHeight w:val="1016"/>
        </w:trPr>
        <w:tc>
          <w:tcPr>
            <w:tcW w:w="715" w:type="dxa"/>
            <w:vAlign w:val="center"/>
          </w:tcPr>
          <w:p w14:paraId="5F8F2AD7" w14:textId="77777777" w:rsidR="001773E7" w:rsidRPr="00781112" w:rsidRDefault="001773E7" w:rsidP="009744FD">
            <w:pPr>
              <w:spacing w:after="0" w:line="276" w:lineRule="auto"/>
              <w:jc w:val="center"/>
              <w:rPr>
                <w:b/>
                <w:color w:val="000000" w:themeColor="text1"/>
              </w:rPr>
            </w:pPr>
            <w:r w:rsidRPr="00781112">
              <w:rPr>
                <w:b/>
                <w:color w:val="000000" w:themeColor="text1"/>
              </w:rPr>
              <w:t>A</w:t>
            </w:r>
          </w:p>
        </w:tc>
        <w:tc>
          <w:tcPr>
            <w:tcW w:w="10080" w:type="dxa"/>
            <w:shd w:val="clear" w:color="auto" w:fill="auto"/>
            <w:vAlign w:val="center"/>
          </w:tcPr>
          <w:p w14:paraId="126B7404" w14:textId="7F4A2633" w:rsidR="001773E7" w:rsidRPr="00781112" w:rsidRDefault="001773E7" w:rsidP="009744FD">
            <w:pPr>
              <w:spacing w:after="0" w:line="276" w:lineRule="auto"/>
              <w:rPr>
                <w:color w:val="000000" w:themeColor="text1"/>
              </w:rPr>
            </w:pPr>
            <w:r w:rsidRPr="00781112">
              <w:rPr>
                <w:rFonts w:cs="Arial"/>
                <w:color w:val="000000" w:themeColor="text1"/>
                <w:szCs w:val="16"/>
              </w:rPr>
              <w:t xml:space="preserve">The impact of COVID-19 has been substantial on higher education in Virginia and across the nation. In a study published in </w:t>
            </w:r>
            <w:proofErr w:type="gramStart"/>
            <w:r w:rsidRPr="00781112">
              <w:rPr>
                <w:rFonts w:cs="Arial"/>
                <w:color w:val="000000" w:themeColor="text1"/>
                <w:szCs w:val="16"/>
              </w:rPr>
              <w:t>October,</w:t>
            </w:r>
            <w:proofErr w:type="gramEnd"/>
            <w:r w:rsidRPr="00781112">
              <w:rPr>
                <w:rFonts w:cs="Arial"/>
                <w:color w:val="000000" w:themeColor="text1"/>
                <w:szCs w:val="16"/>
              </w:rPr>
              <w:t xml:space="preserve"> 2021 the State Council of Higher Education for Virginia detailed the short term and long term impact of the pandemic on students accessing, enrolling and completing higher education programs and coursework. Youth, including recent graduates, continue to be impacted by the effects of COVID-19 in these areas. The VDOE </w:t>
            </w:r>
            <w:r w:rsidRPr="00781112">
              <w:rPr>
                <w:rFonts w:cs="Arial"/>
                <w:color w:val="000000" w:themeColor="text1"/>
                <w:szCs w:val="16"/>
              </w:rPr>
              <w:lastRenderedPageBreak/>
              <w:t xml:space="preserve">believes, and is bolstered by state level data and reports, that these challenges negatively impacted the 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enrolled in higher education within one year of leaving high school in this period of data collection.</w:t>
            </w:r>
          </w:p>
        </w:tc>
      </w:tr>
    </w:tbl>
    <w:p w14:paraId="2B9D1101" w14:textId="35B9092D" w:rsidR="00C95094" w:rsidRPr="00781112" w:rsidRDefault="0077712B" w:rsidP="004924BE">
      <w:pPr>
        <w:spacing w:before="240"/>
        <w:rPr>
          <w:rFonts w:cs="Arial"/>
          <w:b/>
          <w:color w:val="000000" w:themeColor="text1"/>
          <w:szCs w:val="16"/>
        </w:rPr>
      </w:pPr>
      <w:r w:rsidRPr="00781112">
        <w:rPr>
          <w:rFonts w:cs="Arial"/>
          <w:b/>
          <w:color w:val="000000" w:themeColor="text1"/>
          <w:szCs w:val="16"/>
        </w:rPr>
        <w:lastRenderedPageBreak/>
        <w:t>Please select the reporting option your State is using:</w:t>
      </w:r>
    </w:p>
    <w:p w14:paraId="5C46FD26" w14:textId="5673980D" w:rsidR="000070D5" w:rsidRPr="000F63C4" w:rsidRDefault="002B7490" w:rsidP="00314F94">
      <w:pPr>
        <w:pStyle w:val="ListParagraph"/>
        <w:numPr>
          <w:ilvl w:val="0"/>
          <w:numId w:val="252"/>
        </w:numPr>
        <w:rPr>
          <w:rFonts w:cs="Arial"/>
          <w:color w:val="000000" w:themeColor="text1"/>
          <w:szCs w:val="16"/>
        </w:rPr>
      </w:pPr>
      <w:r w:rsidRPr="000F63C4">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18E71DFF" w14:textId="6FF36304" w:rsidR="00090132" w:rsidRPr="00E578E2" w:rsidRDefault="00EB500A" w:rsidP="00C33455">
      <w:pPr>
        <w:pStyle w:val="Caption"/>
      </w:pPr>
      <w:bookmarkStart w:id="105" w:name="_Hlk121844781"/>
      <w:r>
        <w:t xml:space="preserve">Indicator 14: </w:t>
      </w:r>
      <w:r w:rsidR="00090132" w:rsidRPr="00E578E2">
        <w:t>Response Rate</w:t>
      </w:r>
    </w:p>
    <w:tbl>
      <w:tblPr>
        <w:tblStyle w:val="TableGrid"/>
        <w:tblW w:w="0" w:type="auto"/>
        <w:tblLook w:val="04A0" w:firstRow="1" w:lastRow="0" w:firstColumn="1" w:lastColumn="0" w:noHBand="0" w:noVBand="1"/>
        <w:tblDescription w:val="Table provides response rates for FFY 2019 and FFY 2020 for this indicator."/>
      </w:tblPr>
      <w:tblGrid>
        <w:gridCol w:w="2155"/>
        <w:gridCol w:w="1530"/>
        <w:gridCol w:w="1530"/>
      </w:tblGrid>
      <w:tr w:rsidR="00090132" w:rsidRPr="00353E62" w14:paraId="5280416F" w14:textId="77777777" w:rsidTr="009744FD">
        <w:trPr>
          <w:trHeight w:val="432"/>
        </w:trPr>
        <w:tc>
          <w:tcPr>
            <w:tcW w:w="2155" w:type="dxa"/>
            <w:shd w:val="clear" w:color="auto" w:fill="D9D9D9" w:themeFill="background1" w:themeFillShade="D9"/>
            <w:vAlign w:val="center"/>
          </w:tcPr>
          <w:bookmarkEnd w:id="105"/>
          <w:p w14:paraId="7576786E" w14:textId="77777777" w:rsidR="00090132" w:rsidRPr="008D51F2" w:rsidRDefault="00090132" w:rsidP="009744FD">
            <w:pPr>
              <w:spacing w:after="0" w:line="276" w:lineRule="auto"/>
              <w:jc w:val="center"/>
              <w:rPr>
                <w:rFonts w:cs="Arial"/>
                <w:b/>
                <w:szCs w:val="16"/>
              </w:rPr>
            </w:pPr>
            <w:r w:rsidRPr="008D51F2">
              <w:rPr>
                <w:rFonts w:cs="Arial"/>
                <w:b/>
                <w:szCs w:val="16"/>
              </w:rPr>
              <w:t>FFY</w:t>
            </w:r>
          </w:p>
        </w:tc>
        <w:tc>
          <w:tcPr>
            <w:tcW w:w="1530" w:type="dxa"/>
            <w:shd w:val="clear" w:color="auto" w:fill="D9D9D9" w:themeFill="background1" w:themeFillShade="D9"/>
            <w:vAlign w:val="center"/>
          </w:tcPr>
          <w:p w14:paraId="5CF70806" w14:textId="77777777" w:rsidR="00090132" w:rsidRPr="008D51F2" w:rsidRDefault="00090132" w:rsidP="009744FD">
            <w:pPr>
              <w:spacing w:after="0" w:line="276" w:lineRule="auto"/>
              <w:jc w:val="center"/>
              <w:rPr>
                <w:rFonts w:cs="Arial"/>
                <w:b/>
                <w:szCs w:val="16"/>
              </w:rPr>
            </w:pPr>
            <w:r w:rsidRPr="008D51F2">
              <w:rPr>
                <w:rFonts w:cs="Arial"/>
                <w:b/>
                <w:color w:val="000000" w:themeColor="text1"/>
                <w:szCs w:val="16"/>
              </w:rPr>
              <w:t>2019</w:t>
            </w:r>
          </w:p>
        </w:tc>
        <w:tc>
          <w:tcPr>
            <w:tcW w:w="1530" w:type="dxa"/>
            <w:shd w:val="clear" w:color="auto" w:fill="D9D9D9" w:themeFill="background1" w:themeFillShade="D9"/>
            <w:vAlign w:val="center"/>
          </w:tcPr>
          <w:p w14:paraId="0BFBB5F5" w14:textId="77777777" w:rsidR="00090132" w:rsidRPr="008D51F2" w:rsidRDefault="00090132" w:rsidP="009744FD">
            <w:pPr>
              <w:spacing w:after="0" w:line="276" w:lineRule="auto"/>
              <w:jc w:val="center"/>
              <w:rPr>
                <w:rFonts w:cs="Arial"/>
                <w:b/>
                <w:szCs w:val="16"/>
              </w:rPr>
            </w:pPr>
            <w:r w:rsidRPr="008D51F2">
              <w:rPr>
                <w:rFonts w:cs="Arial"/>
                <w:b/>
                <w:color w:val="000000" w:themeColor="text1"/>
                <w:szCs w:val="16"/>
              </w:rPr>
              <w:t>2020</w:t>
            </w:r>
          </w:p>
        </w:tc>
      </w:tr>
      <w:tr w:rsidR="00090132" w14:paraId="576CCA3B" w14:textId="77777777" w:rsidTr="009744FD">
        <w:trPr>
          <w:trHeight w:val="432"/>
        </w:trPr>
        <w:tc>
          <w:tcPr>
            <w:tcW w:w="2155" w:type="dxa"/>
            <w:shd w:val="clear" w:color="auto" w:fill="auto"/>
            <w:vAlign w:val="center"/>
          </w:tcPr>
          <w:p w14:paraId="1D5B1977" w14:textId="77777777" w:rsidR="00090132" w:rsidRPr="008D51F2" w:rsidRDefault="00090132" w:rsidP="009744FD">
            <w:pPr>
              <w:spacing w:after="0" w:line="276" w:lineRule="auto"/>
              <w:rPr>
                <w:rFonts w:cs="Arial"/>
                <w:szCs w:val="16"/>
              </w:rPr>
            </w:pPr>
            <w:r w:rsidRPr="008D51F2">
              <w:rPr>
                <w:rFonts w:cs="Arial"/>
                <w:szCs w:val="16"/>
              </w:rPr>
              <w:t xml:space="preserve">Response Rate </w:t>
            </w:r>
          </w:p>
        </w:tc>
        <w:tc>
          <w:tcPr>
            <w:tcW w:w="1530" w:type="dxa"/>
            <w:shd w:val="clear" w:color="auto" w:fill="auto"/>
            <w:vAlign w:val="center"/>
          </w:tcPr>
          <w:p w14:paraId="4AECB169" w14:textId="3ECBE4F7" w:rsidR="00090132" w:rsidRPr="008D51F2" w:rsidRDefault="00090132" w:rsidP="009744FD">
            <w:pPr>
              <w:spacing w:after="0" w:line="276" w:lineRule="auto"/>
              <w:jc w:val="center"/>
              <w:rPr>
                <w:rFonts w:cs="Arial"/>
                <w:szCs w:val="16"/>
              </w:rPr>
            </w:pPr>
            <w:r w:rsidRPr="008D51F2">
              <w:rPr>
                <w:color w:val="000000" w:themeColor="text1"/>
              </w:rPr>
              <w:t>66.60%</w:t>
            </w:r>
          </w:p>
        </w:tc>
        <w:tc>
          <w:tcPr>
            <w:tcW w:w="1530" w:type="dxa"/>
            <w:shd w:val="clear" w:color="auto" w:fill="auto"/>
            <w:vAlign w:val="center"/>
          </w:tcPr>
          <w:p w14:paraId="755EF869" w14:textId="2F1BA7D5" w:rsidR="00090132" w:rsidRPr="008D51F2" w:rsidRDefault="00090132" w:rsidP="009744FD">
            <w:pPr>
              <w:spacing w:after="0" w:line="276" w:lineRule="auto"/>
              <w:jc w:val="center"/>
              <w:rPr>
                <w:rFonts w:cs="Arial"/>
                <w:szCs w:val="16"/>
              </w:rPr>
            </w:pPr>
            <w:r w:rsidRPr="008D51F2">
              <w:rPr>
                <w:rFonts w:cs="Arial"/>
                <w:color w:val="000000" w:themeColor="text1"/>
                <w:szCs w:val="16"/>
              </w:rPr>
              <w:t>60.54%</w:t>
            </w:r>
          </w:p>
        </w:tc>
      </w:tr>
    </w:tbl>
    <w:p w14:paraId="57522483" w14:textId="77777777" w:rsidR="00090132" w:rsidRPr="00002B33" w:rsidRDefault="00090132" w:rsidP="004924BE">
      <w:pPr>
        <w:spacing w:before="240"/>
        <w:rPr>
          <w:b/>
          <w:bCs/>
        </w:rPr>
      </w:pPr>
      <w:r w:rsidRPr="00002B33">
        <w:rPr>
          <w:b/>
          <w:bCs/>
        </w:rPr>
        <w:t>Describe strategies that will be implemented which are expected to increase the response rate year over year, particularly for those groups that are underrepresented.</w:t>
      </w:r>
    </w:p>
    <w:p w14:paraId="054F9DF8" w14:textId="41413CD1" w:rsidR="00090132" w:rsidRPr="00B551F2" w:rsidRDefault="00090132" w:rsidP="00314F94">
      <w:pPr>
        <w:pStyle w:val="ListParagraph"/>
        <w:numPr>
          <w:ilvl w:val="0"/>
          <w:numId w:val="253"/>
        </w:numPr>
      </w:pPr>
      <w:r w:rsidRPr="00B551F2">
        <w:t xml:space="preserve">The state of Virginia is using several strategies to increase the response rate year after year. The VDOE works closely with their State-funded transition center to distribute information and training through their website on collecting and utilizing Indicator 14 data. A webpage is devoted to Indicator 14, including recordings of </w:t>
      </w:r>
      <w:proofErr w:type="gramStart"/>
      <w:r w:rsidRPr="00B551F2">
        <w:t>question and answer</w:t>
      </w:r>
      <w:proofErr w:type="gramEnd"/>
      <w:r w:rsidRPr="00B551F2">
        <w:t xml:space="preserve"> sessions held through Zoom meetings for school districts to attend and to answer any questions they might have; tips are provided on how to increase a school district’s response rate; and information on implementing Indicator 14 and submitting follow-up data. Other strategies that are planned include revising a webinar on implementing Indicator 14 that will be available to school districts on demand and working directly with special education directors through trainings on using the data for transition planning. In addition, we will work directly with transition personnel on Indicator 14 (</w:t>
      </w:r>
      <w:proofErr w:type="gramStart"/>
      <w:r w:rsidRPr="00B551F2">
        <w:t>e.g.</w:t>
      </w:r>
      <w:proofErr w:type="gramEnd"/>
      <w:r w:rsidRPr="00B551F2">
        <w:t xml:space="preserve"> sharing information, providing training) through Communities of Practice that are being established in regions across the Commonwealth.</w:t>
      </w:r>
    </w:p>
    <w:p w14:paraId="5A6BE78B" w14:textId="77777777" w:rsidR="00090132" w:rsidRPr="00002B33" w:rsidRDefault="00090132" w:rsidP="00A22EB9">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314F94">
      <w:pPr>
        <w:pStyle w:val="ListParagraph"/>
        <w:numPr>
          <w:ilvl w:val="0"/>
          <w:numId w:val="254"/>
        </w:numPr>
      </w:pPr>
      <w:r w:rsidRPr="00B551F2">
        <w:t xml:space="preserve">To ensure minimal non-response bias, the school systems employed a variety of efforts to reach students and families. They reached out to community agencies for current contact information when needed; they made multiple attempts using all phone numbers on record to contact each family, calling at different days and different times. The Virginia sample demographics were so similar to the population (all </w:t>
      </w:r>
      <w:proofErr w:type="spellStart"/>
      <w:r w:rsidRPr="00B551F2">
        <w:t>exiters</w:t>
      </w:r>
      <w:proofErr w:type="spellEnd"/>
      <w:r w:rsidRPr="00B551F2">
        <w:t xml:space="preserve">) demographics that no propensity </w:t>
      </w:r>
      <w:proofErr w:type="gramStart"/>
      <w:r w:rsidRPr="00B551F2">
        <w:t>matching</w:t>
      </w:r>
      <w:proofErr w:type="gramEnd"/>
      <w:r w:rsidRPr="00B551F2">
        <w:t xml:space="preserve"> or other statistical adjustments were needed.</w:t>
      </w:r>
    </w:p>
    <w:p w14:paraId="7847C015" w14:textId="77777777" w:rsidR="00090132" w:rsidRPr="008D51F2" w:rsidRDefault="00090132" w:rsidP="00A22EB9">
      <w:pPr>
        <w:rPr>
          <w:b/>
          <w:bCs/>
        </w:rPr>
      </w:pPr>
      <w:r w:rsidRPr="008D51F2">
        <w:rPr>
          <w:b/>
          <w:bCs/>
        </w:rPr>
        <w:lastRenderedPageBreak/>
        <w:t>Include the State’s analyses of the extent to which the response data are representative of the demographics of youth who are no longer in secondary school and had IEPs in effect at the time they left school.</w:t>
      </w:r>
    </w:p>
    <w:p w14:paraId="7D24C6FF" w14:textId="6A7C929C" w:rsidR="009744FD" w:rsidRDefault="00090132" w:rsidP="00314F94">
      <w:pPr>
        <w:pStyle w:val="ListParagraph"/>
        <w:numPr>
          <w:ilvl w:val="0"/>
          <w:numId w:val="255"/>
        </w:numPr>
        <w:contextualSpacing w:val="0"/>
      </w:pPr>
      <w:proofErr w:type="gramStart"/>
      <w:r w:rsidRPr="008D51F2">
        <w:t>In order to</w:t>
      </w:r>
      <w:proofErr w:type="gramEnd"/>
      <w:r w:rsidRPr="008D51F2">
        <w:t xml:space="preserve"> deem the response data is representative of the demographics of youth who are no longer in school and had IEPs in effect at the time they left school, Virginia chose to analyze primary disability, race/ethnicity, and gender as the demographics using a +/- 3 percentage point discrepancy in the proportion of responders compared to the target group. The results of the analysis showed completed surveys were within a +/- less than 1.5 percentage point discrepancy in every primary disability and both genders, and a +/- less than 3 percentage point discrepancy in race/ethnicity when compared to all </w:t>
      </w:r>
      <w:proofErr w:type="spellStart"/>
      <w:r w:rsidRPr="008D51F2">
        <w:t>exiters</w:t>
      </w:r>
      <w:proofErr w:type="spellEnd"/>
      <w:r w:rsidRPr="008D51F2">
        <w:t xml:space="preserve"> in the census population, with exception of the White racial group which was slightly </w:t>
      </w:r>
      <w:proofErr w:type="gramStart"/>
      <w:r w:rsidRPr="008D51F2">
        <w:t>over represented</w:t>
      </w:r>
      <w:proofErr w:type="gramEnd"/>
      <w:r w:rsidRPr="008D51F2">
        <w:t xml:space="preserve"> at a 3.25 percentage point difference.</w:t>
      </w:r>
    </w:p>
    <w:p w14:paraId="481155E5" w14:textId="2E74D9AB" w:rsidR="007F6D6B" w:rsidRDefault="007F6D6B" w:rsidP="00314F94">
      <w:pPr>
        <w:pStyle w:val="ListParagraph"/>
        <w:numPr>
          <w:ilvl w:val="0"/>
          <w:numId w:val="255"/>
        </w:numPr>
      </w:pPr>
      <w:r w:rsidRPr="00A631AE">
        <w:t>In the tables below, &lt; = cell size of less than 10</w:t>
      </w:r>
    </w:p>
    <w:p w14:paraId="54D4DCCA" w14:textId="0D0D9DE6" w:rsidR="007F6D6B" w:rsidRPr="007F6D6B" w:rsidRDefault="00C578AE" w:rsidP="00C33455">
      <w:pPr>
        <w:pStyle w:val="Caption"/>
      </w:pPr>
      <w:bookmarkStart w:id="106" w:name="_Hlk121844811"/>
      <w:r>
        <w:t>Indicator 14 by Disability</w:t>
      </w:r>
    </w:p>
    <w:tbl>
      <w:tblPr>
        <w:tblStyle w:val="TableGrid"/>
        <w:tblW w:w="10440" w:type="dxa"/>
        <w:tblInd w:w="-5" w:type="dxa"/>
        <w:tblLook w:val="04A0" w:firstRow="1" w:lastRow="0" w:firstColumn="1" w:lastColumn="0" w:noHBand="0" w:noVBand="1"/>
        <w:tblDescription w:val="Table provides all exiters and percentages, completed surveys and percentages, and percentage point differences by disability for this indicator."/>
      </w:tblPr>
      <w:tblGrid>
        <w:gridCol w:w="2934"/>
        <w:gridCol w:w="1483"/>
        <w:gridCol w:w="1510"/>
        <w:gridCol w:w="1493"/>
        <w:gridCol w:w="1510"/>
        <w:gridCol w:w="1510"/>
      </w:tblGrid>
      <w:tr w:rsidR="00A102BF" w14:paraId="1FEC1E94" w14:textId="77777777" w:rsidTr="00A102BF">
        <w:trPr>
          <w:trHeight w:val="432"/>
          <w:tblHeader/>
        </w:trPr>
        <w:tc>
          <w:tcPr>
            <w:tcW w:w="2934" w:type="dxa"/>
            <w:shd w:val="clear" w:color="auto" w:fill="D9D9D9" w:themeFill="background1" w:themeFillShade="D9"/>
            <w:vAlign w:val="center"/>
          </w:tcPr>
          <w:bookmarkEnd w:id="106"/>
          <w:p w14:paraId="740AEA5E" w14:textId="77777777" w:rsidR="00A102BF" w:rsidRPr="00EE6263" w:rsidRDefault="00A102BF" w:rsidP="00A102BF">
            <w:pPr>
              <w:spacing w:after="0" w:line="276" w:lineRule="auto"/>
              <w:jc w:val="center"/>
              <w:rPr>
                <w:b/>
                <w:bCs/>
              </w:rPr>
            </w:pPr>
            <w:r>
              <w:rPr>
                <w:b/>
                <w:bCs/>
              </w:rPr>
              <w:t>Disability</w:t>
            </w:r>
          </w:p>
        </w:tc>
        <w:tc>
          <w:tcPr>
            <w:tcW w:w="1483" w:type="dxa"/>
            <w:shd w:val="clear" w:color="auto" w:fill="D9D9D9" w:themeFill="background1" w:themeFillShade="D9"/>
            <w:vAlign w:val="center"/>
          </w:tcPr>
          <w:p w14:paraId="61CE00E5" w14:textId="77777777" w:rsidR="00A102BF" w:rsidRPr="00EE6263" w:rsidRDefault="00A102BF" w:rsidP="00A102BF">
            <w:pPr>
              <w:spacing w:after="0" w:line="276" w:lineRule="auto"/>
              <w:jc w:val="center"/>
              <w:rPr>
                <w:b/>
                <w:bCs/>
              </w:rPr>
            </w:pPr>
            <w:r>
              <w:rPr>
                <w:b/>
                <w:bCs/>
              </w:rPr>
              <w:t xml:space="preserve">All </w:t>
            </w:r>
            <w:proofErr w:type="spellStart"/>
            <w:r>
              <w:rPr>
                <w:b/>
                <w:bCs/>
              </w:rPr>
              <w:t>Exiters</w:t>
            </w:r>
            <w:proofErr w:type="spellEnd"/>
          </w:p>
        </w:tc>
        <w:tc>
          <w:tcPr>
            <w:tcW w:w="1510" w:type="dxa"/>
            <w:shd w:val="clear" w:color="auto" w:fill="D9D9D9" w:themeFill="background1" w:themeFillShade="D9"/>
            <w:vAlign w:val="center"/>
          </w:tcPr>
          <w:p w14:paraId="61B46580" w14:textId="2542B037" w:rsidR="00A102BF" w:rsidRPr="00EE6263" w:rsidRDefault="00A102BF" w:rsidP="00A102BF">
            <w:pPr>
              <w:spacing w:after="0" w:line="276" w:lineRule="auto"/>
              <w:jc w:val="center"/>
              <w:rPr>
                <w:b/>
                <w:bCs/>
              </w:rPr>
            </w:pPr>
            <w:r>
              <w:rPr>
                <w:b/>
                <w:bCs/>
              </w:rPr>
              <w:t xml:space="preserve">All </w:t>
            </w:r>
            <w:proofErr w:type="spellStart"/>
            <w:r>
              <w:rPr>
                <w:b/>
                <w:bCs/>
              </w:rPr>
              <w:t>Exiters</w:t>
            </w:r>
            <w:proofErr w:type="spellEnd"/>
            <w:r>
              <w:rPr>
                <w:b/>
                <w:bCs/>
              </w:rPr>
              <w:t xml:space="preserve"> </w:t>
            </w:r>
            <w:r w:rsidRPr="00EE6263">
              <w:rPr>
                <w:b/>
                <w:bCs/>
              </w:rPr>
              <w:t>Percentage</w:t>
            </w:r>
          </w:p>
        </w:tc>
        <w:tc>
          <w:tcPr>
            <w:tcW w:w="1493" w:type="dxa"/>
            <w:shd w:val="clear" w:color="auto" w:fill="D9D9D9" w:themeFill="background1" w:themeFillShade="D9"/>
            <w:vAlign w:val="center"/>
          </w:tcPr>
          <w:p w14:paraId="60A6C9AC" w14:textId="11CF82F2" w:rsidR="00A102BF" w:rsidRPr="00EE6263" w:rsidRDefault="00A102BF" w:rsidP="00A102BF">
            <w:pPr>
              <w:spacing w:after="0" w:line="276" w:lineRule="auto"/>
              <w:jc w:val="center"/>
              <w:rPr>
                <w:b/>
                <w:bCs/>
              </w:rPr>
            </w:pPr>
            <w:r>
              <w:rPr>
                <w:b/>
                <w:bCs/>
              </w:rPr>
              <w:t xml:space="preserve">Completed </w:t>
            </w:r>
            <w:r w:rsidRPr="00EE6263">
              <w:rPr>
                <w:b/>
                <w:bCs/>
              </w:rPr>
              <w:t>Survey</w:t>
            </w:r>
            <w:r>
              <w:rPr>
                <w:b/>
                <w:bCs/>
              </w:rPr>
              <w:t>s</w:t>
            </w:r>
          </w:p>
        </w:tc>
        <w:tc>
          <w:tcPr>
            <w:tcW w:w="1510" w:type="dxa"/>
            <w:shd w:val="clear" w:color="auto" w:fill="D9D9D9" w:themeFill="background1" w:themeFillShade="D9"/>
            <w:vAlign w:val="center"/>
          </w:tcPr>
          <w:p w14:paraId="7993B415" w14:textId="60DF28D9" w:rsidR="00A102BF" w:rsidRPr="00EE6263" w:rsidRDefault="00A102BF" w:rsidP="00A102BF">
            <w:pPr>
              <w:spacing w:after="0" w:line="276" w:lineRule="auto"/>
              <w:jc w:val="center"/>
              <w:rPr>
                <w:b/>
                <w:bCs/>
              </w:rPr>
            </w:pPr>
            <w:r>
              <w:rPr>
                <w:b/>
                <w:bCs/>
              </w:rPr>
              <w:t xml:space="preserve">Completed Surveys </w:t>
            </w:r>
            <w:r w:rsidRPr="00EE6263">
              <w:rPr>
                <w:b/>
                <w:bCs/>
              </w:rPr>
              <w:t>Percentage</w:t>
            </w:r>
          </w:p>
        </w:tc>
        <w:tc>
          <w:tcPr>
            <w:tcW w:w="1510" w:type="dxa"/>
            <w:shd w:val="clear" w:color="auto" w:fill="D9D9D9" w:themeFill="background1" w:themeFillShade="D9"/>
            <w:vAlign w:val="center"/>
          </w:tcPr>
          <w:p w14:paraId="32707959" w14:textId="77777777" w:rsidR="00A102BF" w:rsidRPr="00EE6263" w:rsidRDefault="00A102BF" w:rsidP="00A102BF">
            <w:pPr>
              <w:spacing w:after="0" w:line="276" w:lineRule="auto"/>
              <w:jc w:val="center"/>
              <w:rPr>
                <w:b/>
                <w:bCs/>
              </w:rPr>
            </w:pPr>
            <w:r w:rsidRPr="00EE6263">
              <w:rPr>
                <w:b/>
                <w:bCs/>
              </w:rPr>
              <w:t>Percentage Point Difference</w:t>
            </w:r>
          </w:p>
        </w:tc>
      </w:tr>
      <w:tr w:rsidR="00A102BF" w14:paraId="2C645CC9" w14:textId="77777777" w:rsidTr="00A102BF">
        <w:trPr>
          <w:trHeight w:val="432"/>
        </w:trPr>
        <w:tc>
          <w:tcPr>
            <w:tcW w:w="2934" w:type="dxa"/>
            <w:vAlign w:val="center"/>
          </w:tcPr>
          <w:p w14:paraId="405DE60A" w14:textId="77777777" w:rsidR="00A102BF" w:rsidRDefault="00A102BF" w:rsidP="00A102BF">
            <w:pPr>
              <w:spacing w:after="0" w:line="276" w:lineRule="auto"/>
            </w:pPr>
            <w:r>
              <w:t>Autism</w:t>
            </w:r>
          </w:p>
        </w:tc>
        <w:tc>
          <w:tcPr>
            <w:tcW w:w="1483" w:type="dxa"/>
            <w:vAlign w:val="center"/>
          </w:tcPr>
          <w:p w14:paraId="6D4ED20A" w14:textId="77777777" w:rsidR="00A102BF" w:rsidRDefault="00A102BF" w:rsidP="00A102BF">
            <w:pPr>
              <w:spacing w:after="0" w:line="276" w:lineRule="auto"/>
              <w:jc w:val="center"/>
            </w:pPr>
            <w:r>
              <w:t>1,201</w:t>
            </w:r>
          </w:p>
        </w:tc>
        <w:tc>
          <w:tcPr>
            <w:tcW w:w="1510" w:type="dxa"/>
            <w:vAlign w:val="center"/>
          </w:tcPr>
          <w:p w14:paraId="03DCC39F" w14:textId="77777777" w:rsidR="00A102BF" w:rsidRDefault="00A102BF" w:rsidP="00A102BF">
            <w:pPr>
              <w:spacing w:after="0" w:line="276" w:lineRule="auto"/>
              <w:jc w:val="center"/>
            </w:pPr>
            <w:r>
              <w:t>11.09%</w:t>
            </w:r>
          </w:p>
        </w:tc>
        <w:tc>
          <w:tcPr>
            <w:tcW w:w="1493" w:type="dxa"/>
            <w:vAlign w:val="center"/>
          </w:tcPr>
          <w:p w14:paraId="47495326" w14:textId="77777777" w:rsidR="00A102BF" w:rsidRDefault="00A102BF" w:rsidP="00A102BF">
            <w:pPr>
              <w:spacing w:after="0" w:line="276" w:lineRule="auto"/>
              <w:jc w:val="center"/>
            </w:pPr>
            <w:r>
              <w:t>768</w:t>
            </w:r>
          </w:p>
        </w:tc>
        <w:tc>
          <w:tcPr>
            <w:tcW w:w="1510" w:type="dxa"/>
            <w:vAlign w:val="center"/>
          </w:tcPr>
          <w:p w14:paraId="6307AEF8" w14:textId="77777777" w:rsidR="00A102BF" w:rsidRDefault="00A102BF" w:rsidP="00A102BF">
            <w:pPr>
              <w:spacing w:after="0" w:line="276" w:lineRule="auto"/>
              <w:jc w:val="center"/>
            </w:pPr>
            <w:r>
              <w:t>11.71%</w:t>
            </w:r>
          </w:p>
        </w:tc>
        <w:tc>
          <w:tcPr>
            <w:tcW w:w="1510" w:type="dxa"/>
            <w:vAlign w:val="center"/>
          </w:tcPr>
          <w:p w14:paraId="38D05BF3" w14:textId="77777777" w:rsidR="00A102BF" w:rsidRDefault="00A102BF" w:rsidP="00A102BF">
            <w:pPr>
              <w:spacing w:after="0" w:line="276" w:lineRule="auto"/>
              <w:jc w:val="center"/>
            </w:pPr>
            <w:r>
              <w:t>0.62%</w:t>
            </w:r>
          </w:p>
        </w:tc>
      </w:tr>
      <w:tr w:rsidR="00A102BF" w14:paraId="2703B427" w14:textId="77777777" w:rsidTr="00A102BF">
        <w:trPr>
          <w:trHeight w:val="432"/>
        </w:trPr>
        <w:tc>
          <w:tcPr>
            <w:tcW w:w="2934" w:type="dxa"/>
            <w:vAlign w:val="center"/>
          </w:tcPr>
          <w:p w14:paraId="214846E4" w14:textId="77777777" w:rsidR="00A102BF" w:rsidRDefault="00A102BF" w:rsidP="00A102BF">
            <w:pPr>
              <w:spacing w:after="0" w:line="276" w:lineRule="auto"/>
            </w:pPr>
            <w:proofErr w:type="gramStart"/>
            <w:r>
              <w:t>Deaf-blindness</w:t>
            </w:r>
            <w:proofErr w:type="gramEnd"/>
          </w:p>
        </w:tc>
        <w:tc>
          <w:tcPr>
            <w:tcW w:w="1483" w:type="dxa"/>
            <w:vAlign w:val="center"/>
          </w:tcPr>
          <w:p w14:paraId="6CD45152" w14:textId="77777777" w:rsidR="00A102BF" w:rsidRDefault="00A102BF" w:rsidP="00A102BF">
            <w:pPr>
              <w:spacing w:after="0" w:line="276" w:lineRule="auto"/>
              <w:jc w:val="center"/>
            </w:pPr>
            <w:r>
              <w:t>&lt;</w:t>
            </w:r>
          </w:p>
        </w:tc>
        <w:tc>
          <w:tcPr>
            <w:tcW w:w="1510" w:type="dxa"/>
            <w:vAlign w:val="center"/>
          </w:tcPr>
          <w:p w14:paraId="2840B558" w14:textId="77777777" w:rsidR="00A102BF" w:rsidRDefault="00A102BF" w:rsidP="00A102BF">
            <w:pPr>
              <w:spacing w:after="0" w:line="276" w:lineRule="auto"/>
              <w:jc w:val="center"/>
            </w:pPr>
            <w:r>
              <w:t>0.04%</w:t>
            </w:r>
          </w:p>
        </w:tc>
        <w:tc>
          <w:tcPr>
            <w:tcW w:w="1493" w:type="dxa"/>
            <w:vAlign w:val="center"/>
          </w:tcPr>
          <w:p w14:paraId="5579C2DD" w14:textId="77777777" w:rsidR="00A102BF" w:rsidRDefault="00A102BF" w:rsidP="00A102BF">
            <w:pPr>
              <w:spacing w:after="0" w:line="276" w:lineRule="auto"/>
              <w:jc w:val="center"/>
            </w:pPr>
            <w:r>
              <w:t>&lt;</w:t>
            </w:r>
          </w:p>
        </w:tc>
        <w:tc>
          <w:tcPr>
            <w:tcW w:w="1510" w:type="dxa"/>
            <w:vAlign w:val="center"/>
          </w:tcPr>
          <w:p w14:paraId="3B358695" w14:textId="77777777" w:rsidR="00A102BF" w:rsidRDefault="00A102BF" w:rsidP="00A102BF">
            <w:pPr>
              <w:spacing w:after="0" w:line="276" w:lineRule="auto"/>
              <w:jc w:val="center"/>
            </w:pPr>
            <w:r>
              <w:t>0.02%</w:t>
            </w:r>
          </w:p>
        </w:tc>
        <w:tc>
          <w:tcPr>
            <w:tcW w:w="1510" w:type="dxa"/>
            <w:vAlign w:val="center"/>
          </w:tcPr>
          <w:p w14:paraId="0F78C3FF" w14:textId="77777777" w:rsidR="00A102BF" w:rsidRDefault="00A102BF" w:rsidP="00A102BF">
            <w:pPr>
              <w:spacing w:after="0" w:line="276" w:lineRule="auto"/>
              <w:jc w:val="center"/>
            </w:pPr>
            <w:r>
              <w:t>0.02%</w:t>
            </w:r>
          </w:p>
        </w:tc>
      </w:tr>
      <w:tr w:rsidR="00A102BF" w14:paraId="2FC1FC09" w14:textId="77777777" w:rsidTr="00A102BF">
        <w:trPr>
          <w:trHeight w:val="432"/>
        </w:trPr>
        <w:tc>
          <w:tcPr>
            <w:tcW w:w="2934" w:type="dxa"/>
            <w:vAlign w:val="center"/>
          </w:tcPr>
          <w:p w14:paraId="5422FD94" w14:textId="77777777" w:rsidR="00A102BF" w:rsidRDefault="00A102BF" w:rsidP="00A102BF">
            <w:pPr>
              <w:spacing w:after="0" w:line="276" w:lineRule="auto"/>
            </w:pPr>
            <w:r>
              <w:t>Emotional disability</w:t>
            </w:r>
          </w:p>
        </w:tc>
        <w:tc>
          <w:tcPr>
            <w:tcW w:w="1483" w:type="dxa"/>
            <w:vAlign w:val="center"/>
          </w:tcPr>
          <w:p w14:paraId="5D67068F" w14:textId="77777777" w:rsidR="00A102BF" w:rsidRDefault="00A102BF" w:rsidP="00A102BF">
            <w:pPr>
              <w:spacing w:after="0" w:line="276" w:lineRule="auto"/>
              <w:jc w:val="center"/>
            </w:pPr>
            <w:r>
              <w:t>1,040</w:t>
            </w:r>
          </w:p>
        </w:tc>
        <w:tc>
          <w:tcPr>
            <w:tcW w:w="1510" w:type="dxa"/>
            <w:vAlign w:val="center"/>
          </w:tcPr>
          <w:p w14:paraId="54737616" w14:textId="77777777" w:rsidR="00A102BF" w:rsidRDefault="00A102BF" w:rsidP="00A102BF">
            <w:pPr>
              <w:spacing w:after="0" w:line="276" w:lineRule="auto"/>
              <w:jc w:val="center"/>
            </w:pPr>
            <w:r>
              <w:t>9.60%</w:t>
            </w:r>
          </w:p>
        </w:tc>
        <w:tc>
          <w:tcPr>
            <w:tcW w:w="1493" w:type="dxa"/>
            <w:vAlign w:val="center"/>
          </w:tcPr>
          <w:p w14:paraId="6C861789" w14:textId="77777777" w:rsidR="00A102BF" w:rsidRDefault="00A102BF" w:rsidP="00A102BF">
            <w:pPr>
              <w:spacing w:after="0" w:line="276" w:lineRule="auto"/>
              <w:jc w:val="center"/>
            </w:pPr>
            <w:r>
              <w:t>581</w:t>
            </w:r>
          </w:p>
        </w:tc>
        <w:tc>
          <w:tcPr>
            <w:tcW w:w="1510" w:type="dxa"/>
            <w:vAlign w:val="center"/>
          </w:tcPr>
          <w:p w14:paraId="6F41D209" w14:textId="77777777" w:rsidR="00A102BF" w:rsidRDefault="00A102BF" w:rsidP="00A102BF">
            <w:pPr>
              <w:spacing w:after="0" w:line="276" w:lineRule="auto"/>
              <w:jc w:val="center"/>
            </w:pPr>
            <w:r>
              <w:t>8.86%</w:t>
            </w:r>
          </w:p>
        </w:tc>
        <w:tc>
          <w:tcPr>
            <w:tcW w:w="1510" w:type="dxa"/>
            <w:vAlign w:val="center"/>
          </w:tcPr>
          <w:p w14:paraId="4B23996E" w14:textId="77777777" w:rsidR="00A102BF" w:rsidRDefault="00A102BF" w:rsidP="00A102BF">
            <w:pPr>
              <w:spacing w:after="0" w:line="276" w:lineRule="auto"/>
              <w:jc w:val="center"/>
            </w:pPr>
            <w:r>
              <w:t>-0.74%</w:t>
            </w:r>
          </w:p>
        </w:tc>
      </w:tr>
      <w:tr w:rsidR="00A102BF" w14:paraId="47E30F89" w14:textId="77777777" w:rsidTr="00A102BF">
        <w:trPr>
          <w:trHeight w:val="432"/>
        </w:trPr>
        <w:tc>
          <w:tcPr>
            <w:tcW w:w="2934" w:type="dxa"/>
            <w:vAlign w:val="center"/>
          </w:tcPr>
          <w:p w14:paraId="3FEEAE66" w14:textId="77777777" w:rsidR="00A102BF" w:rsidRDefault="00A102BF" w:rsidP="00A102BF">
            <w:pPr>
              <w:spacing w:after="0" w:line="276" w:lineRule="auto"/>
            </w:pPr>
            <w:r>
              <w:t>Hearing impairment</w:t>
            </w:r>
          </w:p>
        </w:tc>
        <w:tc>
          <w:tcPr>
            <w:tcW w:w="1483" w:type="dxa"/>
            <w:vAlign w:val="center"/>
          </w:tcPr>
          <w:p w14:paraId="42A563AF" w14:textId="77777777" w:rsidR="00A102BF" w:rsidRDefault="00A102BF" w:rsidP="00A102BF">
            <w:pPr>
              <w:spacing w:after="0" w:line="276" w:lineRule="auto"/>
              <w:jc w:val="center"/>
            </w:pPr>
            <w:r>
              <w:t>74</w:t>
            </w:r>
          </w:p>
        </w:tc>
        <w:tc>
          <w:tcPr>
            <w:tcW w:w="1510" w:type="dxa"/>
            <w:vAlign w:val="center"/>
          </w:tcPr>
          <w:p w14:paraId="5DEE083D" w14:textId="77777777" w:rsidR="00A102BF" w:rsidRDefault="00A102BF" w:rsidP="00A102BF">
            <w:pPr>
              <w:spacing w:after="0" w:line="276" w:lineRule="auto"/>
              <w:jc w:val="center"/>
            </w:pPr>
            <w:r>
              <w:t>0.68%</w:t>
            </w:r>
          </w:p>
        </w:tc>
        <w:tc>
          <w:tcPr>
            <w:tcW w:w="1493" w:type="dxa"/>
            <w:vAlign w:val="center"/>
          </w:tcPr>
          <w:p w14:paraId="0FBEF9EF" w14:textId="77777777" w:rsidR="00A102BF" w:rsidRDefault="00A102BF" w:rsidP="00A102BF">
            <w:pPr>
              <w:spacing w:after="0" w:line="276" w:lineRule="auto"/>
              <w:jc w:val="center"/>
            </w:pPr>
            <w:r>
              <w:t>48</w:t>
            </w:r>
          </w:p>
        </w:tc>
        <w:tc>
          <w:tcPr>
            <w:tcW w:w="1510" w:type="dxa"/>
            <w:vAlign w:val="center"/>
          </w:tcPr>
          <w:p w14:paraId="2C86FD46" w14:textId="77777777" w:rsidR="00A102BF" w:rsidRDefault="00A102BF" w:rsidP="00A102BF">
            <w:pPr>
              <w:spacing w:after="0" w:line="276" w:lineRule="auto"/>
              <w:jc w:val="center"/>
            </w:pPr>
            <w:r>
              <w:t>0.73%</w:t>
            </w:r>
          </w:p>
        </w:tc>
        <w:tc>
          <w:tcPr>
            <w:tcW w:w="1510" w:type="dxa"/>
            <w:vAlign w:val="center"/>
          </w:tcPr>
          <w:p w14:paraId="51AF29CA" w14:textId="77777777" w:rsidR="00A102BF" w:rsidRDefault="00A102BF" w:rsidP="00A102BF">
            <w:pPr>
              <w:spacing w:after="0" w:line="276" w:lineRule="auto"/>
              <w:jc w:val="center"/>
            </w:pPr>
            <w:r>
              <w:t>0.05%</w:t>
            </w:r>
          </w:p>
        </w:tc>
      </w:tr>
      <w:tr w:rsidR="00A102BF" w14:paraId="519C1C78" w14:textId="77777777" w:rsidTr="00A102BF">
        <w:trPr>
          <w:trHeight w:val="432"/>
        </w:trPr>
        <w:tc>
          <w:tcPr>
            <w:tcW w:w="2934" w:type="dxa"/>
            <w:vAlign w:val="center"/>
          </w:tcPr>
          <w:p w14:paraId="6CD7DCD9" w14:textId="77777777" w:rsidR="00A102BF" w:rsidRDefault="00A102BF" w:rsidP="00A102BF">
            <w:pPr>
              <w:spacing w:after="0" w:line="276" w:lineRule="auto"/>
            </w:pPr>
            <w:r>
              <w:t>Intellectual disability</w:t>
            </w:r>
          </w:p>
        </w:tc>
        <w:tc>
          <w:tcPr>
            <w:tcW w:w="1483" w:type="dxa"/>
            <w:vAlign w:val="center"/>
          </w:tcPr>
          <w:p w14:paraId="3040681F" w14:textId="77777777" w:rsidR="00A102BF" w:rsidRDefault="00A102BF" w:rsidP="00A102BF">
            <w:pPr>
              <w:spacing w:after="0" w:line="276" w:lineRule="auto"/>
              <w:jc w:val="center"/>
            </w:pPr>
            <w:r>
              <w:t>707</w:t>
            </w:r>
          </w:p>
        </w:tc>
        <w:tc>
          <w:tcPr>
            <w:tcW w:w="1510" w:type="dxa"/>
            <w:vAlign w:val="center"/>
          </w:tcPr>
          <w:p w14:paraId="31E72755" w14:textId="77777777" w:rsidR="00A102BF" w:rsidRDefault="00A102BF" w:rsidP="00A102BF">
            <w:pPr>
              <w:spacing w:after="0" w:line="276" w:lineRule="auto"/>
              <w:jc w:val="center"/>
            </w:pPr>
            <w:r>
              <w:t>6.53%</w:t>
            </w:r>
          </w:p>
        </w:tc>
        <w:tc>
          <w:tcPr>
            <w:tcW w:w="1493" w:type="dxa"/>
            <w:vAlign w:val="center"/>
          </w:tcPr>
          <w:p w14:paraId="0BDCB8F4" w14:textId="77777777" w:rsidR="00A102BF" w:rsidRDefault="00A102BF" w:rsidP="00A102BF">
            <w:pPr>
              <w:spacing w:after="0" w:line="276" w:lineRule="auto"/>
              <w:jc w:val="center"/>
            </w:pPr>
            <w:r>
              <w:t>457</w:t>
            </w:r>
          </w:p>
        </w:tc>
        <w:tc>
          <w:tcPr>
            <w:tcW w:w="1510" w:type="dxa"/>
            <w:vAlign w:val="center"/>
          </w:tcPr>
          <w:p w14:paraId="2DB030A6" w14:textId="77777777" w:rsidR="00A102BF" w:rsidRDefault="00A102BF" w:rsidP="00A102BF">
            <w:pPr>
              <w:spacing w:after="0" w:line="276" w:lineRule="auto"/>
              <w:jc w:val="center"/>
            </w:pPr>
            <w:r>
              <w:t>6.97%</w:t>
            </w:r>
          </w:p>
        </w:tc>
        <w:tc>
          <w:tcPr>
            <w:tcW w:w="1510" w:type="dxa"/>
            <w:vAlign w:val="center"/>
          </w:tcPr>
          <w:p w14:paraId="5B471922" w14:textId="77777777" w:rsidR="00A102BF" w:rsidRDefault="00A102BF" w:rsidP="00A102BF">
            <w:pPr>
              <w:spacing w:after="0" w:line="276" w:lineRule="auto"/>
              <w:jc w:val="center"/>
            </w:pPr>
            <w:r>
              <w:t>0.44%</w:t>
            </w:r>
          </w:p>
        </w:tc>
      </w:tr>
      <w:tr w:rsidR="00A102BF" w14:paraId="6F7C70D3" w14:textId="77777777" w:rsidTr="00A102BF">
        <w:trPr>
          <w:trHeight w:val="432"/>
        </w:trPr>
        <w:tc>
          <w:tcPr>
            <w:tcW w:w="2934" w:type="dxa"/>
            <w:vAlign w:val="center"/>
          </w:tcPr>
          <w:p w14:paraId="6CFD0FBE" w14:textId="77777777" w:rsidR="00A102BF" w:rsidRDefault="00A102BF" w:rsidP="00A102BF">
            <w:pPr>
              <w:spacing w:after="0" w:line="276" w:lineRule="auto"/>
            </w:pPr>
            <w:r>
              <w:t>Multiple disabilities</w:t>
            </w:r>
          </w:p>
        </w:tc>
        <w:tc>
          <w:tcPr>
            <w:tcW w:w="1483" w:type="dxa"/>
            <w:vAlign w:val="center"/>
          </w:tcPr>
          <w:p w14:paraId="4351D84C" w14:textId="77777777" w:rsidR="00A102BF" w:rsidRDefault="00A102BF" w:rsidP="00A102BF">
            <w:pPr>
              <w:spacing w:after="0" w:line="276" w:lineRule="auto"/>
              <w:jc w:val="center"/>
            </w:pPr>
            <w:r>
              <w:t>178</w:t>
            </w:r>
          </w:p>
        </w:tc>
        <w:tc>
          <w:tcPr>
            <w:tcW w:w="1510" w:type="dxa"/>
            <w:vAlign w:val="center"/>
          </w:tcPr>
          <w:p w14:paraId="35E3A138" w14:textId="77777777" w:rsidR="00A102BF" w:rsidRDefault="00A102BF" w:rsidP="00A102BF">
            <w:pPr>
              <w:spacing w:after="0" w:line="276" w:lineRule="auto"/>
              <w:jc w:val="center"/>
            </w:pPr>
            <w:r>
              <w:t>1.64%</w:t>
            </w:r>
          </w:p>
        </w:tc>
        <w:tc>
          <w:tcPr>
            <w:tcW w:w="1493" w:type="dxa"/>
            <w:vAlign w:val="center"/>
          </w:tcPr>
          <w:p w14:paraId="78ACB15D" w14:textId="77777777" w:rsidR="00A102BF" w:rsidRDefault="00A102BF" w:rsidP="00A102BF">
            <w:pPr>
              <w:spacing w:after="0" w:line="276" w:lineRule="auto"/>
              <w:jc w:val="center"/>
            </w:pPr>
            <w:r>
              <w:t>107</w:t>
            </w:r>
          </w:p>
        </w:tc>
        <w:tc>
          <w:tcPr>
            <w:tcW w:w="1510" w:type="dxa"/>
            <w:vAlign w:val="center"/>
          </w:tcPr>
          <w:p w14:paraId="141D3CB1" w14:textId="77777777" w:rsidR="00A102BF" w:rsidRDefault="00A102BF" w:rsidP="00A102BF">
            <w:pPr>
              <w:spacing w:after="0" w:line="276" w:lineRule="auto"/>
              <w:jc w:val="center"/>
            </w:pPr>
            <w:r>
              <w:t>1.63%</w:t>
            </w:r>
          </w:p>
        </w:tc>
        <w:tc>
          <w:tcPr>
            <w:tcW w:w="1510" w:type="dxa"/>
            <w:vAlign w:val="center"/>
          </w:tcPr>
          <w:p w14:paraId="40AE082D" w14:textId="77777777" w:rsidR="00A102BF" w:rsidRDefault="00A102BF" w:rsidP="00A102BF">
            <w:pPr>
              <w:spacing w:after="0" w:line="276" w:lineRule="auto"/>
              <w:jc w:val="center"/>
            </w:pPr>
            <w:r>
              <w:t>-0.01%</w:t>
            </w:r>
          </w:p>
        </w:tc>
      </w:tr>
      <w:tr w:rsidR="00A102BF" w14:paraId="5F940AC1" w14:textId="77777777" w:rsidTr="00A102BF">
        <w:trPr>
          <w:trHeight w:val="432"/>
        </w:trPr>
        <w:tc>
          <w:tcPr>
            <w:tcW w:w="2934" w:type="dxa"/>
            <w:vAlign w:val="center"/>
          </w:tcPr>
          <w:p w14:paraId="14013DA0" w14:textId="77777777" w:rsidR="00A102BF" w:rsidRDefault="00A102BF" w:rsidP="00A102BF">
            <w:pPr>
              <w:spacing w:after="0" w:line="276" w:lineRule="auto"/>
            </w:pPr>
            <w:r w:rsidRPr="000A2B9F">
              <w:rPr>
                <w:bCs/>
                <w:color w:val="000000" w:themeColor="text1"/>
              </w:rPr>
              <w:t>Orthopedic impairment</w:t>
            </w:r>
          </w:p>
        </w:tc>
        <w:tc>
          <w:tcPr>
            <w:tcW w:w="1483" w:type="dxa"/>
            <w:vAlign w:val="center"/>
          </w:tcPr>
          <w:p w14:paraId="0EA5D70E" w14:textId="77777777" w:rsidR="00A102BF" w:rsidRDefault="00A102BF" w:rsidP="00A102BF">
            <w:pPr>
              <w:spacing w:after="0" w:line="276" w:lineRule="auto"/>
              <w:jc w:val="center"/>
            </w:pPr>
            <w:r>
              <w:t>48</w:t>
            </w:r>
          </w:p>
        </w:tc>
        <w:tc>
          <w:tcPr>
            <w:tcW w:w="1510" w:type="dxa"/>
            <w:vAlign w:val="center"/>
          </w:tcPr>
          <w:p w14:paraId="0B37E2D8" w14:textId="77777777" w:rsidR="00A102BF" w:rsidRDefault="00A102BF" w:rsidP="00A102BF">
            <w:pPr>
              <w:spacing w:after="0" w:line="276" w:lineRule="auto"/>
              <w:jc w:val="center"/>
            </w:pPr>
            <w:r>
              <w:t>0.44%</w:t>
            </w:r>
          </w:p>
        </w:tc>
        <w:tc>
          <w:tcPr>
            <w:tcW w:w="1493" w:type="dxa"/>
            <w:vAlign w:val="center"/>
          </w:tcPr>
          <w:p w14:paraId="7A063921" w14:textId="77777777" w:rsidR="00A102BF" w:rsidRDefault="00A102BF" w:rsidP="00A102BF">
            <w:pPr>
              <w:spacing w:after="0" w:line="276" w:lineRule="auto"/>
              <w:jc w:val="center"/>
            </w:pPr>
            <w:r>
              <w:t>31</w:t>
            </w:r>
          </w:p>
        </w:tc>
        <w:tc>
          <w:tcPr>
            <w:tcW w:w="1510" w:type="dxa"/>
            <w:vAlign w:val="center"/>
          </w:tcPr>
          <w:p w14:paraId="5BCA9DD3" w14:textId="77777777" w:rsidR="00A102BF" w:rsidRDefault="00A102BF" w:rsidP="00A102BF">
            <w:pPr>
              <w:spacing w:after="0" w:line="276" w:lineRule="auto"/>
              <w:jc w:val="center"/>
            </w:pPr>
            <w:r>
              <w:t>0.47%</w:t>
            </w:r>
          </w:p>
        </w:tc>
        <w:tc>
          <w:tcPr>
            <w:tcW w:w="1510" w:type="dxa"/>
            <w:vAlign w:val="center"/>
          </w:tcPr>
          <w:p w14:paraId="071584CB" w14:textId="77777777" w:rsidR="00A102BF" w:rsidRDefault="00A102BF" w:rsidP="00A102BF">
            <w:pPr>
              <w:spacing w:after="0" w:line="276" w:lineRule="auto"/>
              <w:jc w:val="center"/>
            </w:pPr>
            <w:r>
              <w:t>0.03%</w:t>
            </w:r>
          </w:p>
        </w:tc>
      </w:tr>
      <w:tr w:rsidR="00A102BF" w14:paraId="702BBDDD" w14:textId="77777777" w:rsidTr="00A102BF">
        <w:trPr>
          <w:trHeight w:val="432"/>
        </w:trPr>
        <w:tc>
          <w:tcPr>
            <w:tcW w:w="2934" w:type="dxa"/>
            <w:vAlign w:val="center"/>
          </w:tcPr>
          <w:p w14:paraId="4D6D71FE" w14:textId="77777777" w:rsidR="00A102BF" w:rsidRDefault="00A102BF" w:rsidP="00A102BF">
            <w:pPr>
              <w:spacing w:after="0" w:line="276" w:lineRule="auto"/>
            </w:pPr>
            <w:r w:rsidRPr="000A2B9F">
              <w:rPr>
                <w:bCs/>
                <w:color w:val="000000" w:themeColor="text1"/>
              </w:rPr>
              <w:t>Other health impairment</w:t>
            </w:r>
          </w:p>
        </w:tc>
        <w:tc>
          <w:tcPr>
            <w:tcW w:w="1483" w:type="dxa"/>
            <w:vAlign w:val="center"/>
          </w:tcPr>
          <w:p w14:paraId="7ABAFBFB" w14:textId="77777777" w:rsidR="00A102BF" w:rsidRDefault="00A102BF" w:rsidP="00A102BF">
            <w:pPr>
              <w:spacing w:after="0" w:line="276" w:lineRule="auto"/>
              <w:jc w:val="center"/>
            </w:pPr>
            <w:r>
              <w:t>2,674</w:t>
            </w:r>
          </w:p>
        </w:tc>
        <w:tc>
          <w:tcPr>
            <w:tcW w:w="1510" w:type="dxa"/>
            <w:vAlign w:val="center"/>
          </w:tcPr>
          <w:p w14:paraId="7261BCCC" w14:textId="77777777" w:rsidR="00A102BF" w:rsidRDefault="00A102BF" w:rsidP="00A102BF">
            <w:pPr>
              <w:spacing w:after="0" w:line="276" w:lineRule="auto"/>
              <w:jc w:val="center"/>
            </w:pPr>
            <w:r>
              <w:t>24.69%</w:t>
            </w:r>
          </w:p>
        </w:tc>
        <w:tc>
          <w:tcPr>
            <w:tcW w:w="1493" w:type="dxa"/>
            <w:vAlign w:val="center"/>
          </w:tcPr>
          <w:p w14:paraId="2A94DE9D" w14:textId="77777777" w:rsidR="00A102BF" w:rsidRDefault="00A102BF" w:rsidP="00A102BF">
            <w:pPr>
              <w:spacing w:after="0" w:line="276" w:lineRule="auto"/>
              <w:jc w:val="center"/>
            </w:pPr>
            <w:r>
              <w:t>1,687</w:t>
            </w:r>
          </w:p>
        </w:tc>
        <w:tc>
          <w:tcPr>
            <w:tcW w:w="1510" w:type="dxa"/>
            <w:vAlign w:val="center"/>
          </w:tcPr>
          <w:p w14:paraId="2C2CF44B" w14:textId="77777777" w:rsidR="00A102BF" w:rsidRDefault="00A102BF" w:rsidP="00A102BF">
            <w:pPr>
              <w:spacing w:after="0" w:line="276" w:lineRule="auto"/>
              <w:jc w:val="center"/>
            </w:pPr>
            <w:r>
              <w:t>25.73%</w:t>
            </w:r>
          </w:p>
        </w:tc>
        <w:tc>
          <w:tcPr>
            <w:tcW w:w="1510" w:type="dxa"/>
            <w:vAlign w:val="center"/>
          </w:tcPr>
          <w:p w14:paraId="53A4B11E" w14:textId="77777777" w:rsidR="00A102BF" w:rsidRDefault="00A102BF" w:rsidP="00A102BF">
            <w:pPr>
              <w:spacing w:after="0" w:line="276" w:lineRule="auto"/>
              <w:jc w:val="center"/>
            </w:pPr>
            <w:r>
              <w:t>1.04%</w:t>
            </w:r>
          </w:p>
        </w:tc>
      </w:tr>
      <w:tr w:rsidR="00A102BF" w14:paraId="12E19A3A" w14:textId="77777777" w:rsidTr="00A102BF">
        <w:trPr>
          <w:trHeight w:val="432"/>
        </w:trPr>
        <w:tc>
          <w:tcPr>
            <w:tcW w:w="2934" w:type="dxa"/>
            <w:vAlign w:val="center"/>
          </w:tcPr>
          <w:p w14:paraId="591FABB0" w14:textId="77777777" w:rsidR="00A102BF" w:rsidRDefault="00A102BF" w:rsidP="00A102BF">
            <w:pPr>
              <w:spacing w:after="0" w:line="276" w:lineRule="auto"/>
            </w:pPr>
            <w:r w:rsidRPr="000A2B9F">
              <w:rPr>
                <w:bCs/>
                <w:color w:val="000000" w:themeColor="text1"/>
              </w:rPr>
              <w:t>Specific learning disability</w:t>
            </w:r>
          </w:p>
        </w:tc>
        <w:tc>
          <w:tcPr>
            <w:tcW w:w="1483" w:type="dxa"/>
            <w:vAlign w:val="center"/>
          </w:tcPr>
          <w:p w14:paraId="2F0A6810" w14:textId="77777777" w:rsidR="00A102BF" w:rsidRDefault="00A102BF" w:rsidP="00A102BF">
            <w:pPr>
              <w:spacing w:after="0" w:line="276" w:lineRule="auto"/>
              <w:jc w:val="center"/>
            </w:pPr>
            <w:r>
              <w:t>4,704</w:t>
            </w:r>
          </w:p>
        </w:tc>
        <w:tc>
          <w:tcPr>
            <w:tcW w:w="1510" w:type="dxa"/>
            <w:vAlign w:val="center"/>
          </w:tcPr>
          <w:p w14:paraId="3D470195" w14:textId="77777777" w:rsidR="00A102BF" w:rsidRDefault="00A102BF" w:rsidP="00A102BF">
            <w:pPr>
              <w:spacing w:after="0" w:line="276" w:lineRule="auto"/>
              <w:jc w:val="center"/>
            </w:pPr>
            <w:r>
              <w:t>43.43%</w:t>
            </w:r>
          </w:p>
        </w:tc>
        <w:tc>
          <w:tcPr>
            <w:tcW w:w="1493" w:type="dxa"/>
            <w:vAlign w:val="center"/>
          </w:tcPr>
          <w:p w14:paraId="68148DD0" w14:textId="77777777" w:rsidR="00A102BF" w:rsidRDefault="00A102BF" w:rsidP="00A102BF">
            <w:pPr>
              <w:spacing w:after="0" w:line="276" w:lineRule="auto"/>
              <w:jc w:val="center"/>
            </w:pPr>
            <w:r>
              <w:t>2,760</w:t>
            </w:r>
          </w:p>
        </w:tc>
        <w:tc>
          <w:tcPr>
            <w:tcW w:w="1510" w:type="dxa"/>
            <w:vAlign w:val="center"/>
          </w:tcPr>
          <w:p w14:paraId="779158D9" w14:textId="77777777" w:rsidR="00A102BF" w:rsidRDefault="00A102BF" w:rsidP="00A102BF">
            <w:pPr>
              <w:spacing w:after="0" w:line="276" w:lineRule="auto"/>
              <w:jc w:val="center"/>
            </w:pPr>
            <w:r>
              <w:t>42.09%</w:t>
            </w:r>
          </w:p>
        </w:tc>
        <w:tc>
          <w:tcPr>
            <w:tcW w:w="1510" w:type="dxa"/>
            <w:vAlign w:val="center"/>
          </w:tcPr>
          <w:p w14:paraId="1E0A7971" w14:textId="77777777" w:rsidR="00A102BF" w:rsidRDefault="00A102BF" w:rsidP="00A102BF">
            <w:pPr>
              <w:spacing w:after="0" w:line="276" w:lineRule="auto"/>
              <w:jc w:val="center"/>
            </w:pPr>
            <w:r>
              <w:t>1.34%</w:t>
            </w:r>
          </w:p>
        </w:tc>
      </w:tr>
      <w:tr w:rsidR="00A102BF" w14:paraId="7B896D14" w14:textId="77777777" w:rsidTr="00A102BF">
        <w:trPr>
          <w:trHeight w:val="432"/>
        </w:trPr>
        <w:tc>
          <w:tcPr>
            <w:tcW w:w="2934" w:type="dxa"/>
            <w:vAlign w:val="center"/>
          </w:tcPr>
          <w:p w14:paraId="73E6630E" w14:textId="77777777" w:rsidR="00A102BF" w:rsidRDefault="00A102BF" w:rsidP="00A102BF">
            <w:pPr>
              <w:spacing w:after="0" w:line="276" w:lineRule="auto"/>
            </w:pPr>
            <w:r w:rsidRPr="000A2B9F">
              <w:rPr>
                <w:bCs/>
                <w:color w:val="000000" w:themeColor="text1"/>
              </w:rPr>
              <w:t>Speech or language impairment</w:t>
            </w:r>
          </w:p>
        </w:tc>
        <w:tc>
          <w:tcPr>
            <w:tcW w:w="1483" w:type="dxa"/>
            <w:vAlign w:val="center"/>
          </w:tcPr>
          <w:p w14:paraId="687314EF" w14:textId="77777777" w:rsidR="00A102BF" w:rsidRDefault="00A102BF" w:rsidP="00A102BF">
            <w:pPr>
              <w:spacing w:after="0" w:line="276" w:lineRule="auto"/>
              <w:jc w:val="center"/>
            </w:pPr>
            <w:r>
              <w:t>96</w:t>
            </w:r>
          </w:p>
        </w:tc>
        <w:tc>
          <w:tcPr>
            <w:tcW w:w="1510" w:type="dxa"/>
            <w:vAlign w:val="center"/>
          </w:tcPr>
          <w:p w14:paraId="21F6F09D" w14:textId="77777777" w:rsidR="00A102BF" w:rsidRDefault="00A102BF" w:rsidP="00A102BF">
            <w:pPr>
              <w:spacing w:after="0" w:line="276" w:lineRule="auto"/>
              <w:jc w:val="center"/>
            </w:pPr>
            <w:r>
              <w:t>0.89%</w:t>
            </w:r>
          </w:p>
        </w:tc>
        <w:tc>
          <w:tcPr>
            <w:tcW w:w="1493" w:type="dxa"/>
            <w:vAlign w:val="center"/>
          </w:tcPr>
          <w:p w14:paraId="19797E12" w14:textId="77777777" w:rsidR="00A102BF" w:rsidRDefault="00A102BF" w:rsidP="00A102BF">
            <w:pPr>
              <w:spacing w:after="0" w:line="276" w:lineRule="auto"/>
              <w:jc w:val="center"/>
            </w:pPr>
            <w:r>
              <w:t>47</w:t>
            </w:r>
          </w:p>
        </w:tc>
        <w:tc>
          <w:tcPr>
            <w:tcW w:w="1510" w:type="dxa"/>
            <w:vAlign w:val="center"/>
          </w:tcPr>
          <w:p w14:paraId="64E63381" w14:textId="77777777" w:rsidR="00A102BF" w:rsidRDefault="00A102BF" w:rsidP="00A102BF">
            <w:pPr>
              <w:spacing w:after="0" w:line="276" w:lineRule="auto"/>
              <w:jc w:val="center"/>
            </w:pPr>
            <w:r>
              <w:t>0.72%</w:t>
            </w:r>
          </w:p>
        </w:tc>
        <w:tc>
          <w:tcPr>
            <w:tcW w:w="1510" w:type="dxa"/>
            <w:vAlign w:val="center"/>
          </w:tcPr>
          <w:p w14:paraId="6E52DA31" w14:textId="77777777" w:rsidR="00A102BF" w:rsidRDefault="00A102BF" w:rsidP="00A102BF">
            <w:pPr>
              <w:spacing w:after="0" w:line="276" w:lineRule="auto"/>
              <w:jc w:val="center"/>
            </w:pPr>
            <w:r>
              <w:t>0.17%</w:t>
            </w:r>
          </w:p>
        </w:tc>
      </w:tr>
      <w:tr w:rsidR="00A102BF" w14:paraId="1B6D7F20" w14:textId="77777777" w:rsidTr="00A102BF">
        <w:trPr>
          <w:trHeight w:val="432"/>
        </w:trPr>
        <w:tc>
          <w:tcPr>
            <w:tcW w:w="2934" w:type="dxa"/>
            <w:vAlign w:val="center"/>
          </w:tcPr>
          <w:p w14:paraId="622A8C07" w14:textId="77777777" w:rsidR="00A102BF" w:rsidRDefault="00A102BF" w:rsidP="00A102BF">
            <w:pPr>
              <w:spacing w:after="0" w:line="276" w:lineRule="auto"/>
            </w:pPr>
            <w:r w:rsidRPr="000A2B9F">
              <w:rPr>
                <w:bCs/>
                <w:color w:val="000000" w:themeColor="text1"/>
              </w:rPr>
              <w:t>Traumatic brain injury</w:t>
            </w:r>
          </w:p>
        </w:tc>
        <w:tc>
          <w:tcPr>
            <w:tcW w:w="1483" w:type="dxa"/>
            <w:vAlign w:val="center"/>
          </w:tcPr>
          <w:p w14:paraId="154ADAD0" w14:textId="77777777" w:rsidR="00A102BF" w:rsidRDefault="00A102BF" w:rsidP="00A102BF">
            <w:pPr>
              <w:spacing w:after="0" w:line="276" w:lineRule="auto"/>
              <w:jc w:val="center"/>
            </w:pPr>
            <w:r>
              <w:t>43</w:t>
            </w:r>
          </w:p>
        </w:tc>
        <w:tc>
          <w:tcPr>
            <w:tcW w:w="1510" w:type="dxa"/>
            <w:vAlign w:val="center"/>
          </w:tcPr>
          <w:p w14:paraId="73B9111C" w14:textId="77777777" w:rsidR="00A102BF" w:rsidRDefault="00A102BF" w:rsidP="00A102BF">
            <w:pPr>
              <w:spacing w:after="0" w:line="276" w:lineRule="auto"/>
              <w:jc w:val="center"/>
            </w:pPr>
            <w:r>
              <w:t>0.40%</w:t>
            </w:r>
          </w:p>
        </w:tc>
        <w:tc>
          <w:tcPr>
            <w:tcW w:w="1493" w:type="dxa"/>
            <w:vAlign w:val="center"/>
          </w:tcPr>
          <w:p w14:paraId="1DD25E2E" w14:textId="77777777" w:rsidR="00A102BF" w:rsidRDefault="00A102BF" w:rsidP="00A102BF">
            <w:pPr>
              <w:spacing w:after="0" w:line="276" w:lineRule="auto"/>
              <w:jc w:val="center"/>
            </w:pPr>
            <w:r>
              <w:t>25</w:t>
            </w:r>
          </w:p>
        </w:tc>
        <w:tc>
          <w:tcPr>
            <w:tcW w:w="1510" w:type="dxa"/>
            <w:vAlign w:val="center"/>
          </w:tcPr>
          <w:p w14:paraId="2A73B9B1" w14:textId="77777777" w:rsidR="00A102BF" w:rsidRDefault="00A102BF" w:rsidP="00A102BF">
            <w:pPr>
              <w:spacing w:after="0" w:line="276" w:lineRule="auto"/>
              <w:jc w:val="center"/>
            </w:pPr>
            <w:r>
              <w:t>0.38%</w:t>
            </w:r>
          </w:p>
        </w:tc>
        <w:tc>
          <w:tcPr>
            <w:tcW w:w="1510" w:type="dxa"/>
            <w:vAlign w:val="center"/>
          </w:tcPr>
          <w:p w14:paraId="34A790DF" w14:textId="77777777" w:rsidR="00A102BF" w:rsidRDefault="00A102BF" w:rsidP="00A102BF">
            <w:pPr>
              <w:spacing w:after="0" w:line="276" w:lineRule="auto"/>
              <w:jc w:val="center"/>
            </w:pPr>
            <w:r>
              <w:t>-0.02%</w:t>
            </w:r>
          </w:p>
        </w:tc>
      </w:tr>
      <w:tr w:rsidR="00A102BF" w14:paraId="3A1AC597" w14:textId="77777777" w:rsidTr="00A102BF">
        <w:trPr>
          <w:trHeight w:val="432"/>
        </w:trPr>
        <w:tc>
          <w:tcPr>
            <w:tcW w:w="2934" w:type="dxa"/>
            <w:vAlign w:val="center"/>
          </w:tcPr>
          <w:p w14:paraId="52B2A65F" w14:textId="77777777" w:rsidR="00A102BF" w:rsidRDefault="00A102BF" w:rsidP="00A102BF">
            <w:pPr>
              <w:spacing w:after="0" w:line="276" w:lineRule="auto"/>
            </w:pPr>
            <w:r w:rsidRPr="000A2B9F">
              <w:rPr>
                <w:bCs/>
                <w:color w:val="000000" w:themeColor="text1"/>
              </w:rPr>
              <w:t>Visual impairment</w:t>
            </w:r>
          </w:p>
        </w:tc>
        <w:tc>
          <w:tcPr>
            <w:tcW w:w="1483" w:type="dxa"/>
            <w:vAlign w:val="center"/>
          </w:tcPr>
          <w:p w14:paraId="2AA569BF" w14:textId="77777777" w:rsidR="00A102BF" w:rsidRDefault="00A102BF" w:rsidP="00A102BF">
            <w:pPr>
              <w:spacing w:after="0" w:line="276" w:lineRule="auto"/>
              <w:jc w:val="center"/>
            </w:pPr>
            <w:r>
              <w:t>46</w:t>
            </w:r>
          </w:p>
        </w:tc>
        <w:tc>
          <w:tcPr>
            <w:tcW w:w="1510" w:type="dxa"/>
            <w:vAlign w:val="center"/>
          </w:tcPr>
          <w:p w14:paraId="26D6990F" w14:textId="77777777" w:rsidR="00A102BF" w:rsidRDefault="00A102BF" w:rsidP="00A102BF">
            <w:pPr>
              <w:spacing w:after="0" w:line="276" w:lineRule="auto"/>
              <w:jc w:val="center"/>
            </w:pPr>
            <w:r>
              <w:t>0.42%</w:t>
            </w:r>
          </w:p>
        </w:tc>
        <w:tc>
          <w:tcPr>
            <w:tcW w:w="1493" w:type="dxa"/>
            <w:vAlign w:val="center"/>
          </w:tcPr>
          <w:p w14:paraId="11BA91AB" w14:textId="77777777" w:rsidR="00A102BF" w:rsidRDefault="00A102BF" w:rsidP="00A102BF">
            <w:pPr>
              <w:spacing w:after="0" w:line="276" w:lineRule="auto"/>
              <w:jc w:val="center"/>
            </w:pPr>
            <w:r>
              <w:t>32</w:t>
            </w:r>
          </w:p>
        </w:tc>
        <w:tc>
          <w:tcPr>
            <w:tcW w:w="1510" w:type="dxa"/>
            <w:vAlign w:val="center"/>
          </w:tcPr>
          <w:p w14:paraId="3D730FF5" w14:textId="77777777" w:rsidR="00A102BF" w:rsidRDefault="00A102BF" w:rsidP="00A102BF">
            <w:pPr>
              <w:spacing w:after="0" w:line="276" w:lineRule="auto"/>
              <w:jc w:val="center"/>
            </w:pPr>
            <w:r>
              <w:t>0.49%</w:t>
            </w:r>
          </w:p>
        </w:tc>
        <w:tc>
          <w:tcPr>
            <w:tcW w:w="1510" w:type="dxa"/>
            <w:vAlign w:val="center"/>
          </w:tcPr>
          <w:p w14:paraId="023804BF" w14:textId="77777777" w:rsidR="00A102BF" w:rsidRDefault="00A102BF" w:rsidP="00A102BF">
            <w:pPr>
              <w:spacing w:after="0" w:line="276" w:lineRule="auto"/>
              <w:jc w:val="center"/>
            </w:pPr>
            <w:r>
              <w:t>0.07%</w:t>
            </w:r>
          </w:p>
        </w:tc>
      </w:tr>
    </w:tbl>
    <w:p w14:paraId="425CB1B3" w14:textId="50939A62" w:rsidR="00A102BF" w:rsidRPr="00A102BF" w:rsidRDefault="00C578AE" w:rsidP="00C33455">
      <w:pPr>
        <w:pStyle w:val="Caption"/>
      </w:pPr>
      <w:bookmarkStart w:id="107" w:name="_Hlk121844816"/>
      <w:r>
        <w:t>Indicator 14 by Gender</w:t>
      </w:r>
    </w:p>
    <w:tbl>
      <w:tblPr>
        <w:tblStyle w:val="TableGrid"/>
        <w:tblW w:w="10440" w:type="dxa"/>
        <w:tblInd w:w="-5" w:type="dxa"/>
        <w:tblLook w:val="04A0" w:firstRow="1" w:lastRow="0" w:firstColumn="1" w:lastColumn="0" w:noHBand="0" w:noVBand="1"/>
        <w:tblDescription w:val="Table provides all exiters and percentages, completed surveys and percentages, and percentage point differences by gender for this indicator."/>
      </w:tblPr>
      <w:tblGrid>
        <w:gridCol w:w="2932"/>
        <w:gridCol w:w="1485"/>
        <w:gridCol w:w="1510"/>
        <w:gridCol w:w="1493"/>
        <w:gridCol w:w="1510"/>
        <w:gridCol w:w="1510"/>
      </w:tblGrid>
      <w:tr w:rsidR="009C6183" w14:paraId="14D107E5" w14:textId="77777777" w:rsidTr="009C6183">
        <w:trPr>
          <w:trHeight w:val="432"/>
          <w:tblHeader/>
        </w:trPr>
        <w:tc>
          <w:tcPr>
            <w:tcW w:w="2932" w:type="dxa"/>
            <w:shd w:val="clear" w:color="auto" w:fill="D9D9D9" w:themeFill="background1" w:themeFillShade="D9"/>
            <w:vAlign w:val="center"/>
          </w:tcPr>
          <w:bookmarkEnd w:id="107"/>
          <w:p w14:paraId="342C5B63" w14:textId="77777777" w:rsidR="009C6183" w:rsidRPr="00EE6263" w:rsidRDefault="009C6183" w:rsidP="009C6183">
            <w:pPr>
              <w:spacing w:after="0" w:line="276" w:lineRule="auto"/>
              <w:jc w:val="center"/>
              <w:rPr>
                <w:b/>
                <w:bCs/>
              </w:rPr>
            </w:pPr>
            <w:r>
              <w:rPr>
                <w:b/>
                <w:bCs/>
              </w:rPr>
              <w:t>Gender</w:t>
            </w:r>
          </w:p>
        </w:tc>
        <w:tc>
          <w:tcPr>
            <w:tcW w:w="1485" w:type="dxa"/>
            <w:shd w:val="clear" w:color="auto" w:fill="D9D9D9" w:themeFill="background1" w:themeFillShade="D9"/>
            <w:vAlign w:val="center"/>
          </w:tcPr>
          <w:p w14:paraId="24BABD9B" w14:textId="77777777" w:rsidR="009C6183" w:rsidRPr="00EE6263" w:rsidRDefault="009C6183" w:rsidP="009C6183">
            <w:pPr>
              <w:spacing w:after="0" w:line="276" w:lineRule="auto"/>
              <w:jc w:val="center"/>
              <w:rPr>
                <w:b/>
                <w:bCs/>
              </w:rPr>
            </w:pPr>
            <w:r>
              <w:rPr>
                <w:b/>
                <w:bCs/>
              </w:rPr>
              <w:t xml:space="preserve">All </w:t>
            </w:r>
            <w:proofErr w:type="spellStart"/>
            <w:r>
              <w:rPr>
                <w:b/>
                <w:bCs/>
              </w:rPr>
              <w:t>Exiters</w:t>
            </w:r>
            <w:proofErr w:type="spellEnd"/>
          </w:p>
        </w:tc>
        <w:tc>
          <w:tcPr>
            <w:tcW w:w="1510" w:type="dxa"/>
            <w:shd w:val="clear" w:color="auto" w:fill="D9D9D9" w:themeFill="background1" w:themeFillShade="D9"/>
            <w:vAlign w:val="center"/>
          </w:tcPr>
          <w:p w14:paraId="089DD45E" w14:textId="46C20FD8" w:rsidR="009C6183" w:rsidRPr="00EE6263" w:rsidRDefault="009C6183" w:rsidP="009C6183">
            <w:pPr>
              <w:spacing w:after="0" w:line="276" w:lineRule="auto"/>
              <w:jc w:val="center"/>
              <w:rPr>
                <w:b/>
                <w:bCs/>
              </w:rPr>
            </w:pPr>
            <w:r>
              <w:rPr>
                <w:b/>
                <w:bCs/>
              </w:rPr>
              <w:t xml:space="preserve">All </w:t>
            </w:r>
            <w:proofErr w:type="spellStart"/>
            <w:r>
              <w:rPr>
                <w:b/>
                <w:bCs/>
              </w:rPr>
              <w:t>Exiters</w:t>
            </w:r>
            <w:proofErr w:type="spellEnd"/>
            <w:r>
              <w:rPr>
                <w:b/>
                <w:bCs/>
              </w:rPr>
              <w:t xml:space="preserve"> </w:t>
            </w:r>
            <w:r w:rsidRPr="00EE6263">
              <w:rPr>
                <w:b/>
                <w:bCs/>
              </w:rPr>
              <w:t>Percentage</w:t>
            </w:r>
          </w:p>
        </w:tc>
        <w:tc>
          <w:tcPr>
            <w:tcW w:w="1493" w:type="dxa"/>
            <w:shd w:val="clear" w:color="auto" w:fill="D9D9D9" w:themeFill="background1" w:themeFillShade="D9"/>
            <w:vAlign w:val="center"/>
          </w:tcPr>
          <w:p w14:paraId="29E8E262" w14:textId="77777777" w:rsidR="009C6183" w:rsidRPr="00EE6263" w:rsidRDefault="009C6183" w:rsidP="009C6183">
            <w:pPr>
              <w:spacing w:after="0" w:line="276" w:lineRule="auto"/>
              <w:jc w:val="center"/>
              <w:rPr>
                <w:b/>
                <w:bCs/>
              </w:rPr>
            </w:pPr>
            <w:r>
              <w:rPr>
                <w:b/>
                <w:bCs/>
              </w:rPr>
              <w:t xml:space="preserve">Completed </w:t>
            </w:r>
            <w:r w:rsidRPr="00EE6263">
              <w:rPr>
                <w:b/>
                <w:bCs/>
              </w:rPr>
              <w:t>Survey</w:t>
            </w:r>
            <w:r>
              <w:rPr>
                <w:b/>
                <w:bCs/>
              </w:rPr>
              <w:t>s</w:t>
            </w:r>
          </w:p>
        </w:tc>
        <w:tc>
          <w:tcPr>
            <w:tcW w:w="1510" w:type="dxa"/>
            <w:shd w:val="clear" w:color="auto" w:fill="D9D9D9" w:themeFill="background1" w:themeFillShade="D9"/>
            <w:vAlign w:val="center"/>
          </w:tcPr>
          <w:p w14:paraId="664180F9" w14:textId="77777777" w:rsidR="009C6183" w:rsidRPr="00EE6263" w:rsidRDefault="009C6183" w:rsidP="009C6183">
            <w:pPr>
              <w:spacing w:after="0" w:line="276" w:lineRule="auto"/>
              <w:jc w:val="center"/>
              <w:rPr>
                <w:b/>
                <w:bCs/>
              </w:rPr>
            </w:pPr>
            <w:r>
              <w:rPr>
                <w:b/>
                <w:bCs/>
              </w:rPr>
              <w:t xml:space="preserve">Completed Surveys </w:t>
            </w:r>
            <w:r w:rsidRPr="00EE6263">
              <w:rPr>
                <w:b/>
                <w:bCs/>
              </w:rPr>
              <w:t>Percentage</w:t>
            </w:r>
          </w:p>
        </w:tc>
        <w:tc>
          <w:tcPr>
            <w:tcW w:w="1510" w:type="dxa"/>
            <w:shd w:val="clear" w:color="auto" w:fill="D9D9D9" w:themeFill="background1" w:themeFillShade="D9"/>
            <w:vAlign w:val="center"/>
          </w:tcPr>
          <w:p w14:paraId="79FDB336" w14:textId="77777777" w:rsidR="009C6183" w:rsidRPr="00EE6263" w:rsidRDefault="009C6183" w:rsidP="009C6183">
            <w:pPr>
              <w:spacing w:after="0" w:line="276" w:lineRule="auto"/>
              <w:jc w:val="center"/>
              <w:rPr>
                <w:b/>
                <w:bCs/>
              </w:rPr>
            </w:pPr>
            <w:r w:rsidRPr="00EE6263">
              <w:rPr>
                <w:b/>
                <w:bCs/>
              </w:rPr>
              <w:t>Percentage Point Difference</w:t>
            </w:r>
          </w:p>
        </w:tc>
      </w:tr>
      <w:tr w:rsidR="009C6183" w14:paraId="64F29051" w14:textId="77777777" w:rsidTr="009C6183">
        <w:trPr>
          <w:trHeight w:val="432"/>
        </w:trPr>
        <w:tc>
          <w:tcPr>
            <w:tcW w:w="2932" w:type="dxa"/>
            <w:vAlign w:val="center"/>
          </w:tcPr>
          <w:p w14:paraId="3228979C" w14:textId="77777777" w:rsidR="009C6183" w:rsidRDefault="009C6183" w:rsidP="009C6183">
            <w:pPr>
              <w:spacing w:after="0" w:line="276" w:lineRule="auto"/>
            </w:pPr>
            <w:r>
              <w:t>Female</w:t>
            </w:r>
          </w:p>
        </w:tc>
        <w:tc>
          <w:tcPr>
            <w:tcW w:w="1485" w:type="dxa"/>
            <w:vAlign w:val="center"/>
          </w:tcPr>
          <w:p w14:paraId="5A4D1715" w14:textId="77777777" w:rsidR="009C6183" w:rsidRDefault="009C6183" w:rsidP="009C6183">
            <w:pPr>
              <w:spacing w:after="0" w:line="276" w:lineRule="auto"/>
              <w:jc w:val="center"/>
            </w:pPr>
            <w:r>
              <w:t>3,868</w:t>
            </w:r>
          </w:p>
        </w:tc>
        <w:tc>
          <w:tcPr>
            <w:tcW w:w="1510" w:type="dxa"/>
            <w:vAlign w:val="center"/>
          </w:tcPr>
          <w:p w14:paraId="5A7B718B" w14:textId="77777777" w:rsidR="009C6183" w:rsidRDefault="009C6183" w:rsidP="009C6183">
            <w:pPr>
              <w:spacing w:after="0" w:line="276" w:lineRule="auto"/>
              <w:jc w:val="center"/>
            </w:pPr>
            <w:r>
              <w:t>35.72%</w:t>
            </w:r>
          </w:p>
        </w:tc>
        <w:tc>
          <w:tcPr>
            <w:tcW w:w="1493" w:type="dxa"/>
            <w:vAlign w:val="center"/>
          </w:tcPr>
          <w:p w14:paraId="4CBFD76F" w14:textId="77777777" w:rsidR="009C6183" w:rsidRDefault="009C6183" w:rsidP="009C6183">
            <w:pPr>
              <w:spacing w:after="0" w:line="276" w:lineRule="auto"/>
              <w:jc w:val="center"/>
            </w:pPr>
            <w:r>
              <w:t>2,326</w:t>
            </w:r>
          </w:p>
        </w:tc>
        <w:tc>
          <w:tcPr>
            <w:tcW w:w="1510" w:type="dxa"/>
            <w:vAlign w:val="center"/>
          </w:tcPr>
          <w:p w14:paraId="76B8936A" w14:textId="77777777" w:rsidR="009C6183" w:rsidRDefault="009C6183" w:rsidP="009C6183">
            <w:pPr>
              <w:spacing w:after="0" w:line="276" w:lineRule="auto"/>
              <w:jc w:val="center"/>
            </w:pPr>
            <w:r>
              <w:t>35.47%</w:t>
            </w:r>
          </w:p>
        </w:tc>
        <w:tc>
          <w:tcPr>
            <w:tcW w:w="1510" w:type="dxa"/>
            <w:vAlign w:val="center"/>
          </w:tcPr>
          <w:p w14:paraId="21FC3E66" w14:textId="77777777" w:rsidR="009C6183" w:rsidRDefault="009C6183" w:rsidP="009C6183">
            <w:pPr>
              <w:spacing w:after="0" w:line="276" w:lineRule="auto"/>
              <w:jc w:val="center"/>
            </w:pPr>
            <w:r>
              <w:t>-0.25%</w:t>
            </w:r>
          </w:p>
        </w:tc>
      </w:tr>
      <w:tr w:rsidR="009C6183" w14:paraId="77612469" w14:textId="77777777" w:rsidTr="009C6183">
        <w:trPr>
          <w:trHeight w:val="432"/>
        </w:trPr>
        <w:tc>
          <w:tcPr>
            <w:tcW w:w="2932" w:type="dxa"/>
            <w:vAlign w:val="center"/>
          </w:tcPr>
          <w:p w14:paraId="48975548" w14:textId="77777777" w:rsidR="009C6183" w:rsidRDefault="009C6183" w:rsidP="009C6183">
            <w:pPr>
              <w:spacing w:after="0" w:line="276" w:lineRule="auto"/>
            </w:pPr>
            <w:r>
              <w:lastRenderedPageBreak/>
              <w:t>Male</w:t>
            </w:r>
          </w:p>
        </w:tc>
        <w:tc>
          <w:tcPr>
            <w:tcW w:w="1485" w:type="dxa"/>
            <w:vAlign w:val="center"/>
          </w:tcPr>
          <w:p w14:paraId="70AF8D89" w14:textId="77777777" w:rsidR="009C6183" w:rsidRDefault="009C6183" w:rsidP="009C6183">
            <w:pPr>
              <w:spacing w:after="0" w:line="276" w:lineRule="auto"/>
              <w:jc w:val="center"/>
            </w:pPr>
            <w:r>
              <w:t>6,962</w:t>
            </w:r>
          </w:p>
        </w:tc>
        <w:tc>
          <w:tcPr>
            <w:tcW w:w="1510" w:type="dxa"/>
            <w:vAlign w:val="center"/>
          </w:tcPr>
          <w:p w14:paraId="19D5AD91" w14:textId="77777777" w:rsidR="009C6183" w:rsidRDefault="009C6183" w:rsidP="009C6183">
            <w:pPr>
              <w:spacing w:after="0" w:line="276" w:lineRule="auto"/>
              <w:jc w:val="center"/>
            </w:pPr>
            <w:r>
              <w:t>64.28%</w:t>
            </w:r>
          </w:p>
        </w:tc>
        <w:tc>
          <w:tcPr>
            <w:tcW w:w="1493" w:type="dxa"/>
            <w:vAlign w:val="center"/>
          </w:tcPr>
          <w:p w14:paraId="357063A0" w14:textId="77777777" w:rsidR="009C6183" w:rsidRDefault="009C6183" w:rsidP="009C6183">
            <w:pPr>
              <w:spacing w:after="0" w:line="276" w:lineRule="auto"/>
              <w:jc w:val="center"/>
            </w:pPr>
            <w:r>
              <w:t>4,231</w:t>
            </w:r>
          </w:p>
        </w:tc>
        <w:tc>
          <w:tcPr>
            <w:tcW w:w="1510" w:type="dxa"/>
            <w:vAlign w:val="center"/>
          </w:tcPr>
          <w:p w14:paraId="33AAC3B2" w14:textId="77777777" w:rsidR="009C6183" w:rsidRDefault="009C6183" w:rsidP="009C6183">
            <w:pPr>
              <w:spacing w:after="0" w:line="276" w:lineRule="auto"/>
              <w:jc w:val="center"/>
            </w:pPr>
            <w:r>
              <w:t>64.53%</w:t>
            </w:r>
          </w:p>
        </w:tc>
        <w:tc>
          <w:tcPr>
            <w:tcW w:w="1510" w:type="dxa"/>
            <w:vAlign w:val="center"/>
          </w:tcPr>
          <w:p w14:paraId="392263F3" w14:textId="77777777" w:rsidR="009C6183" w:rsidRDefault="009C6183" w:rsidP="009C6183">
            <w:pPr>
              <w:spacing w:after="0" w:line="276" w:lineRule="auto"/>
              <w:jc w:val="center"/>
            </w:pPr>
            <w:r>
              <w:t>0.25%</w:t>
            </w:r>
          </w:p>
        </w:tc>
      </w:tr>
    </w:tbl>
    <w:p w14:paraId="1AF6BD24" w14:textId="22BB9730" w:rsidR="00A102BF" w:rsidRPr="00A102BF" w:rsidRDefault="00C578AE" w:rsidP="00C33455">
      <w:pPr>
        <w:pStyle w:val="Caption"/>
      </w:pPr>
      <w:bookmarkStart w:id="108" w:name="_Hlk121844821"/>
      <w:r>
        <w:t>Indicator 14 by Race/Ethnicity</w:t>
      </w:r>
    </w:p>
    <w:tbl>
      <w:tblPr>
        <w:tblStyle w:val="TableGrid"/>
        <w:tblW w:w="10440" w:type="dxa"/>
        <w:tblInd w:w="-5" w:type="dxa"/>
        <w:tblLook w:val="04A0" w:firstRow="1" w:lastRow="0" w:firstColumn="1" w:lastColumn="0" w:noHBand="0" w:noVBand="1"/>
        <w:tblDescription w:val="Table provides all exiters and percentages, completed surveys and percentages, and percentage point differences by race/ethnicity for this indicator."/>
      </w:tblPr>
      <w:tblGrid>
        <w:gridCol w:w="2937"/>
        <w:gridCol w:w="1480"/>
        <w:gridCol w:w="1510"/>
        <w:gridCol w:w="1493"/>
        <w:gridCol w:w="1510"/>
        <w:gridCol w:w="1510"/>
      </w:tblGrid>
      <w:tr w:rsidR="002F42BE" w14:paraId="6C4CE63A" w14:textId="77777777" w:rsidTr="002F42BE">
        <w:trPr>
          <w:trHeight w:val="432"/>
          <w:tblHeader/>
        </w:trPr>
        <w:tc>
          <w:tcPr>
            <w:tcW w:w="2937" w:type="dxa"/>
            <w:shd w:val="clear" w:color="auto" w:fill="D9D9D9" w:themeFill="background1" w:themeFillShade="D9"/>
            <w:vAlign w:val="center"/>
          </w:tcPr>
          <w:bookmarkEnd w:id="108"/>
          <w:p w14:paraId="5758870F" w14:textId="77777777" w:rsidR="002F42BE" w:rsidRPr="00EE6263" w:rsidRDefault="002F42BE" w:rsidP="002F42BE">
            <w:pPr>
              <w:spacing w:after="0" w:line="276" w:lineRule="auto"/>
              <w:jc w:val="center"/>
              <w:rPr>
                <w:b/>
                <w:bCs/>
              </w:rPr>
            </w:pPr>
            <w:r>
              <w:rPr>
                <w:b/>
                <w:bCs/>
              </w:rPr>
              <w:t>Race/Ethnicity</w:t>
            </w:r>
          </w:p>
        </w:tc>
        <w:tc>
          <w:tcPr>
            <w:tcW w:w="1480" w:type="dxa"/>
            <w:shd w:val="clear" w:color="auto" w:fill="D9D9D9" w:themeFill="background1" w:themeFillShade="D9"/>
            <w:vAlign w:val="center"/>
          </w:tcPr>
          <w:p w14:paraId="7A42409C" w14:textId="77777777" w:rsidR="002F42BE" w:rsidRPr="00EE6263" w:rsidRDefault="002F42BE" w:rsidP="002F42BE">
            <w:pPr>
              <w:spacing w:after="0" w:line="276" w:lineRule="auto"/>
              <w:jc w:val="center"/>
              <w:rPr>
                <w:b/>
                <w:bCs/>
              </w:rPr>
            </w:pPr>
            <w:r>
              <w:rPr>
                <w:b/>
                <w:bCs/>
              </w:rPr>
              <w:t xml:space="preserve">All </w:t>
            </w:r>
            <w:proofErr w:type="spellStart"/>
            <w:r>
              <w:rPr>
                <w:b/>
                <w:bCs/>
              </w:rPr>
              <w:t>Exiters</w:t>
            </w:r>
            <w:proofErr w:type="spellEnd"/>
          </w:p>
        </w:tc>
        <w:tc>
          <w:tcPr>
            <w:tcW w:w="1510" w:type="dxa"/>
            <w:shd w:val="clear" w:color="auto" w:fill="D9D9D9" w:themeFill="background1" w:themeFillShade="D9"/>
            <w:vAlign w:val="center"/>
          </w:tcPr>
          <w:p w14:paraId="01BC07A6" w14:textId="408C96F9" w:rsidR="002F42BE" w:rsidRPr="00EE6263" w:rsidRDefault="002F42BE" w:rsidP="002F42BE">
            <w:pPr>
              <w:spacing w:after="0" w:line="276" w:lineRule="auto"/>
              <w:jc w:val="center"/>
              <w:rPr>
                <w:b/>
                <w:bCs/>
              </w:rPr>
            </w:pPr>
            <w:r>
              <w:rPr>
                <w:b/>
                <w:bCs/>
              </w:rPr>
              <w:t xml:space="preserve">All </w:t>
            </w:r>
            <w:proofErr w:type="spellStart"/>
            <w:r>
              <w:rPr>
                <w:b/>
                <w:bCs/>
              </w:rPr>
              <w:t>Exiters</w:t>
            </w:r>
            <w:proofErr w:type="spellEnd"/>
            <w:r>
              <w:rPr>
                <w:b/>
                <w:bCs/>
              </w:rPr>
              <w:t xml:space="preserve"> </w:t>
            </w:r>
            <w:r w:rsidRPr="00EE6263">
              <w:rPr>
                <w:b/>
                <w:bCs/>
              </w:rPr>
              <w:t>Percentage</w:t>
            </w:r>
          </w:p>
        </w:tc>
        <w:tc>
          <w:tcPr>
            <w:tcW w:w="1493" w:type="dxa"/>
            <w:shd w:val="clear" w:color="auto" w:fill="D9D9D9" w:themeFill="background1" w:themeFillShade="D9"/>
            <w:vAlign w:val="center"/>
          </w:tcPr>
          <w:p w14:paraId="257E2DB1" w14:textId="77777777" w:rsidR="002F42BE" w:rsidRPr="00EE6263" w:rsidRDefault="002F42BE" w:rsidP="002F42BE">
            <w:pPr>
              <w:spacing w:after="0" w:line="276" w:lineRule="auto"/>
              <w:jc w:val="center"/>
              <w:rPr>
                <w:b/>
                <w:bCs/>
              </w:rPr>
            </w:pPr>
            <w:r>
              <w:rPr>
                <w:b/>
                <w:bCs/>
              </w:rPr>
              <w:t xml:space="preserve">Completed </w:t>
            </w:r>
            <w:r w:rsidRPr="00EE6263">
              <w:rPr>
                <w:b/>
                <w:bCs/>
              </w:rPr>
              <w:t>Survey</w:t>
            </w:r>
            <w:r>
              <w:rPr>
                <w:b/>
                <w:bCs/>
              </w:rPr>
              <w:t>s</w:t>
            </w:r>
          </w:p>
        </w:tc>
        <w:tc>
          <w:tcPr>
            <w:tcW w:w="1510" w:type="dxa"/>
            <w:shd w:val="clear" w:color="auto" w:fill="D9D9D9" w:themeFill="background1" w:themeFillShade="D9"/>
            <w:vAlign w:val="center"/>
          </w:tcPr>
          <w:p w14:paraId="74ABB697" w14:textId="77777777" w:rsidR="002F42BE" w:rsidRPr="00EE6263" w:rsidRDefault="002F42BE" w:rsidP="002F42BE">
            <w:pPr>
              <w:spacing w:after="0" w:line="276" w:lineRule="auto"/>
              <w:jc w:val="center"/>
              <w:rPr>
                <w:b/>
                <w:bCs/>
              </w:rPr>
            </w:pPr>
            <w:r>
              <w:rPr>
                <w:b/>
                <w:bCs/>
              </w:rPr>
              <w:t xml:space="preserve">Completed Surveys </w:t>
            </w:r>
            <w:r w:rsidRPr="00EE6263">
              <w:rPr>
                <w:b/>
                <w:bCs/>
              </w:rPr>
              <w:t>Percentage</w:t>
            </w:r>
          </w:p>
        </w:tc>
        <w:tc>
          <w:tcPr>
            <w:tcW w:w="1510" w:type="dxa"/>
            <w:shd w:val="clear" w:color="auto" w:fill="D9D9D9" w:themeFill="background1" w:themeFillShade="D9"/>
            <w:vAlign w:val="center"/>
          </w:tcPr>
          <w:p w14:paraId="7A88C726" w14:textId="77777777" w:rsidR="002F42BE" w:rsidRPr="00EE6263" w:rsidRDefault="002F42BE" w:rsidP="002F42BE">
            <w:pPr>
              <w:spacing w:after="0" w:line="276" w:lineRule="auto"/>
              <w:jc w:val="center"/>
              <w:rPr>
                <w:b/>
                <w:bCs/>
              </w:rPr>
            </w:pPr>
            <w:r w:rsidRPr="00EE6263">
              <w:rPr>
                <w:b/>
                <w:bCs/>
              </w:rPr>
              <w:t>Percentage Point Difference</w:t>
            </w:r>
          </w:p>
        </w:tc>
      </w:tr>
      <w:tr w:rsidR="002F42BE" w14:paraId="72323701" w14:textId="77777777" w:rsidTr="002F42BE">
        <w:trPr>
          <w:trHeight w:val="432"/>
        </w:trPr>
        <w:tc>
          <w:tcPr>
            <w:tcW w:w="2937" w:type="dxa"/>
            <w:vAlign w:val="center"/>
          </w:tcPr>
          <w:p w14:paraId="5D292EC9" w14:textId="77777777" w:rsidR="002F42BE" w:rsidRDefault="002F42BE" w:rsidP="002F42BE">
            <w:pPr>
              <w:spacing w:after="0" w:line="276" w:lineRule="auto"/>
            </w:pPr>
            <w:r>
              <w:t>American Indian</w:t>
            </w:r>
          </w:p>
        </w:tc>
        <w:tc>
          <w:tcPr>
            <w:tcW w:w="1480" w:type="dxa"/>
            <w:vAlign w:val="center"/>
          </w:tcPr>
          <w:p w14:paraId="0FF4CEA2" w14:textId="77777777" w:rsidR="002F42BE" w:rsidRDefault="002F42BE" w:rsidP="002F42BE">
            <w:pPr>
              <w:spacing w:after="0" w:line="276" w:lineRule="auto"/>
              <w:jc w:val="center"/>
            </w:pPr>
            <w:r>
              <w:t>69</w:t>
            </w:r>
          </w:p>
        </w:tc>
        <w:tc>
          <w:tcPr>
            <w:tcW w:w="1510" w:type="dxa"/>
            <w:vAlign w:val="center"/>
          </w:tcPr>
          <w:p w14:paraId="3DA7C8C3" w14:textId="77777777" w:rsidR="002F42BE" w:rsidRDefault="002F42BE" w:rsidP="002F42BE">
            <w:pPr>
              <w:spacing w:after="0" w:line="276" w:lineRule="auto"/>
              <w:jc w:val="center"/>
            </w:pPr>
            <w:r>
              <w:t>0.64%</w:t>
            </w:r>
          </w:p>
        </w:tc>
        <w:tc>
          <w:tcPr>
            <w:tcW w:w="1493" w:type="dxa"/>
            <w:vAlign w:val="center"/>
          </w:tcPr>
          <w:p w14:paraId="68CDA53F" w14:textId="77777777" w:rsidR="002F42BE" w:rsidRDefault="002F42BE" w:rsidP="002F42BE">
            <w:pPr>
              <w:spacing w:after="0" w:line="276" w:lineRule="auto"/>
              <w:jc w:val="center"/>
            </w:pPr>
            <w:r>
              <w:t>46</w:t>
            </w:r>
          </w:p>
        </w:tc>
        <w:tc>
          <w:tcPr>
            <w:tcW w:w="1510" w:type="dxa"/>
            <w:vAlign w:val="center"/>
          </w:tcPr>
          <w:p w14:paraId="34495BDF" w14:textId="77777777" w:rsidR="002F42BE" w:rsidRDefault="002F42BE" w:rsidP="002F42BE">
            <w:pPr>
              <w:spacing w:after="0" w:line="276" w:lineRule="auto"/>
              <w:jc w:val="center"/>
            </w:pPr>
            <w:r>
              <w:t>0.70%</w:t>
            </w:r>
          </w:p>
        </w:tc>
        <w:tc>
          <w:tcPr>
            <w:tcW w:w="1510" w:type="dxa"/>
            <w:vAlign w:val="center"/>
          </w:tcPr>
          <w:p w14:paraId="7D5648C2" w14:textId="77777777" w:rsidR="002F42BE" w:rsidRDefault="002F42BE" w:rsidP="002F42BE">
            <w:pPr>
              <w:spacing w:after="0" w:line="276" w:lineRule="auto"/>
              <w:jc w:val="center"/>
            </w:pPr>
            <w:r>
              <w:t>0.06%</w:t>
            </w:r>
          </w:p>
        </w:tc>
      </w:tr>
      <w:tr w:rsidR="002F42BE" w14:paraId="4DBA59A9" w14:textId="77777777" w:rsidTr="002F42BE">
        <w:trPr>
          <w:trHeight w:val="432"/>
        </w:trPr>
        <w:tc>
          <w:tcPr>
            <w:tcW w:w="2937" w:type="dxa"/>
            <w:vAlign w:val="center"/>
          </w:tcPr>
          <w:p w14:paraId="0B751D60" w14:textId="77777777" w:rsidR="002F42BE" w:rsidRDefault="002F42BE" w:rsidP="002F42BE">
            <w:pPr>
              <w:spacing w:after="0" w:line="276" w:lineRule="auto"/>
            </w:pPr>
            <w:r>
              <w:t>Asian</w:t>
            </w:r>
          </w:p>
        </w:tc>
        <w:tc>
          <w:tcPr>
            <w:tcW w:w="1480" w:type="dxa"/>
            <w:vAlign w:val="center"/>
          </w:tcPr>
          <w:p w14:paraId="26F490AB" w14:textId="77777777" w:rsidR="002F42BE" w:rsidRDefault="002F42BE" w:rsidP="002F42BE">
            <w:pPr>
              <w:spacing w:after="0" w:line="276" w:lineRule="auto"/>
              <w:jc w:val="center"/>
            </w:pPr>
            <w:r>
              <w:t>364</w:t>
            </w:r>
          </w:p>
        </w:tc>
        <w:tc>
          <w:tcPr>
            <w:tcW w:w="1510" w:type="dxa"/>
            <w:vAlign w:val="center"/>
          </w:tcPr>
          <w:p w14:paraId="0F5EAAB8" w14:textId="77777777" w:rsidR="002F42BE" w:rsidRDefault="002F42BE" w:rsidP="002F42BE">
            <w:pPr>
              <w:spacing w:after="0" w:line="276" w:lineRule="auto"/>
              <w:jc w:val="center"/>
            </w:pPr>
            <w:r>
              <w:t>3.36%</w:t>
            </w:r>
          </w:p>
        </w:tc>
        <w:tc>
          <w:tcPr>
            <w:tcW w:w="1493" w:type="dxa"/>
            <w:vAlign w:val="center"/>
          </w:tcPr>
          <w:p w14:paraId="3DC809F8" w14:textId="77777777" w:rsidR="002F42BE" w:rsidRDefault="002F42BE" w:rsidP="002F42BE">
            <w:pPr>
              <w:spacing w:after="0" w:line="276" w:lineRule="auto"/>
              <w:jc w:val="center"/>
            </w:pPr>
            <w:r>
              <w:t>181</w:t>
            </w:r>
          </w:p>
        </w:tc>
        <w:tc>
          <w:tcPr>
            <w:tcW w:w="1510" w:type="dxa"/>
            <w:vAlign w:val="center"/>
          </w:tcPr>
          <w:p w14:paraId="3E33409E" w14:textId="77777777" w:rsidR="002F42BE" w:rsidRDefault="002F42BE" w:rsidP="002F42BE">
            <w:pPr>
              <w:spacing w:after="0" w:line="276" w:lineRule="auto"/>
              <w:jc w:val="center"/>
            </w:pPr>
            <w:r>
              <w:t>2.76%</w:t>
            </w:r>
          </w:p>
        </w:tc>
        <w:tc>
          <w:tcPr>
            <w:tcW w:w="1510" w:type="dxa"/>
            <w:vAlign w:val="center"/>
          </w:tcPr>
          <w:p w14:paraId="4F42B8DA" w14:textId="77777777" w:rsidR="002F42BE" w:rsidRDefault="002F42BE" w:rsidP="002F42BE">
            <w:pPr>
              <w:spacing w:after="0" w:line="276" w:lineRule="auto"/>
              <w:jc w:val="center"/>
            </w:pPr>
            <w:r>
              <w:t>-0.60%</w:t>
            </w:r>
          </w:p>
        </w:tc>
      </w:tr>
      <w:tr w:rsidR="002F42BE" w14:paraId="72137CAC" w14:textId="77777777" w:rsidTr="002F42BE">
        <w:trPr>
          <w:trHeight w:val="432"/>
        </w:trPr>
        <w:tc>
          <w:tcPr>
            <w:tcW w:w="2937" w:type="dxa"/>
            <w:vAlign w:val="center"/>
          </w:tcPr>
          <w:p w14:paraId="010E99C4" w14:textId="77777777" w:rsidR="002F42BE" w:rsidRDefault="002F42BE" w:rsidP="002F42BE">
            <w:pPr>
              <w:spacing w:after="0" w:line="276" w:lineRule="auto"/>
            </w:pPr>
            <w:r>
              <w:t>Black</w:t>
            </w:r>
          </w:p>
        </w:tc>
        <w:tc>
          <w:tcPr>
            <w:tcW w:w="1480" w:type="dxa"/>
            <w:vAlign w:val="center"/>
          </w:tcPr>
          <w:p w14:paraId="282DA0DD" w14:textId="77777777" w:rsidR="002F42BE" w:rsidRDefault="002F42BE" w:rsidP="002F42BE">
            <w:pPr>
              <w:spacing w:after="0" w:line="276" w:lineRule="auto"/>
              <w:jc w:val="center"/>
            </w:pPr>
            <w:r>
              <w:t>3,317</w:t>
            </w:r>
          </w:p>
        </w:tc>
        <w:tc>
          <w:tcPr>
            <w:tcW w:w="1510" w:type="dxa"/>
            <w:vAlign w:val="center"/>
          </w:tcPr>
          <w:p w14:paraId="7980FBA6" w14:textId="77777777" w:rsidR="002F42BE" w:rsidRDefault="002F42BE" w:rsidP="002F42BE">
            <w:pPr>
              <w:spacing w:after="0" w:line="276" w:lineRule="auto"/>
              <w:jc w:val="center"/>
            </w:pPr>
            <w:r>
              <w:t>30.63%</w:t>
            </w:r>
          </w:p>
        </w:tc>
        <w:tc>
          <w:tcPr>
            <w:tcW w:w="1493" w:type="dxa"/>
            <w:vAlign w:val="center"/>
          </w:tcPr>
          <w:p w14:paraId="644311F1" w14:textId="77777777" w:rsidR="002F42BE" w:rsidRDefault="002F42BE" w:rsidP="002F42BE">
            <w:pPr>
              <w:spacing w:after="0" w:line="276" w:lineRule="auto"/>
              <w:jc w:val="center"/>
            </w:pPr>
            <w:r>
              <w:t>1,946</w:t>
            </w:r>
          </w:p>
        </w:tc>
        <w:tc>
          <w:tcPr>
            <w:tcW w:w="1510" w:type="dxa"/>
            <w:vAlign w:val="center"/>
          </w:tcPr>
          <w:p w14:paraId="7C142BBB" w14:textId="77777777" w:rsidR="002F42BE" w:rsidRDefault="002F42BE" w:rsidP="002F42BE">
            <w:pPr>
              <w:spacing w:after="0" w:line="276" w:lineRule="auto"/>
              <w:jc w:val="center"/>
            </w:pPr>
            <w:r>
              <w:t>29.68%</w:t>
            </w:r>
          </w:p>
        </w:tc>
        <w:tc>
          <w:tcPr>
            <w:tcW w:w="1510" w:type="dxa"/>
            <w:vAlign w:val="center"/>
          </w:tcPr>
          <w:p w14:paraId="2CDE9554" w14:textId="77777777" w:rsidR="002F42BE" w:rsidRDefault="002F42BE" w:rsidP="002F42BE">
            <w:pPr>
              <w:spacing w:after="0" w:line="276" w:lineRule="auto"/>
              <w:jc w:val="center"/>
            </w:pPr>
            <w:r>
              <w:t>-0.95%</w:t>
            </w:r>
          </w:p>
        </w:tc>
      </w:tr>
      <w:tr w:rsidR="002F42BE" w14:paraId="2A6D1D47" w14:textId="77777777" w:rsidTr="002F42BE">
        <w:trPr>
          <w:trHeight w:val="432"/>
        </w:trPr>
        <w:tc>
          <w:tcPr>
            <w:tcW w:w="2937" w:type="dxa"/>
            <w:vAlign w:val="center"/>
          </w:tcPr>
          <w:p w14:paraId="70A2C56C" w14:textId="77777777" w:rsidR="002F42BE" w:rsidRDefault="002F42BE" w:rsidP="002F42BE">
            <w:pPr>
              <w:spacing w:after="0" w:line="276" w:lineRule="auto"/>
            </w:pPr>
            <w:r>
              <w:t>Pacific Islander</w:t>
            </w:r>
          </w:p>
        </w:tc>
        <w:tc>
          <w:tcPr>
            <w:tcW w:w="1480" w:type="dxa"/>
            <w:vAlign w:val="center"/>
          </w:tcPr>
          <w:p w14:paraId="2F7CB2A7" w14:textId="77777777" w:rsidR="002F42BE" w:rsidRDefault="002F42BE" w:rsidP="002F42BE">
            <w:pPr>
              <w:spacing w:after="0" w:line="276" w:lineRule="auto"/>
              <w:jc w:val="center"/>
            </w:pPr>
            <w:r>
              <w:t>15</w:t>
            </w:r>
          </w:p>
        </w:tc>
        <w:tc>
          <w:tcPr>
            <w:tcW w:w="1510" w:type="dxa"/>
            <w:vAlign w:val="center"/>
          </w:tcPr>
          <w:p w14:paraId="5DDE723B" w14:textId="77777777" w:rsidR="002F42BE" w:rsidRDefault="002F42BE" w:rsidP="002F42BE">
            <w:pPr>
              <w:spacing w:after="0" w:line="276" w:lineRule="auto"/>
              <w:jc w:val="center"/>
            </w:pPr>
            <w:r>
              <w:t>0.14%</w:t>
            </w:r>
          </w:p>
        </w:tc>
        <w:tc>
          <w:tcPr>
            <w:tcW w:w="1493" w:type="dxa"/>
            <w:vAlign w:val="center"/>
          </w:tcPr>
          <w:p w14:paraId="39D118CD" w14:textId="77777777" w:rsidR="002F42BE" w:rsidRDefault="002F42BE" w:rsidP="002F42BE">
            <w:pPr>
              <w:spacing w:after="0" w:line="276" w:lineRule="auto"/>
              <w:jc w:val="center"/>
            </w:pPr>
            <w:r>
              <w:t>&lt;</w:t>
            </w:r>
          </w:p>
        </w:tc>
        <w:tc>
          <w:tcPr>
            <w:tcW w:w="1510" w:type="dxa"/>
            <w:vAlign w:val="center"/>
          </w:tcPr>
          <w:p w14:paraId="25B1425F" w14:textId="77777777" w:rsidR="002F42BE" w:rsidRDefault="002F42BE" w:rsidP="002F42BE">
            <w:pPr>
              <w:spacing w:after="0" w:line="276" w:lineRule="auto"/>
              <w:jc w:val="center"/>
            </w:pPr>
            <w:r>
              <w:t>0.12%</w:t>
            </w:r>
          </w:p>
        </w:tc>
        <w:tc>
          <w:tcPr>
            <w:tcW w:w="1510" w:type="dxa"/>
            <w:vAlign w:val="center"/>
          </w:tcPr>
          <w:p w14:paraId="1C4BFE72" w14:textId="77777777" w:rsidR="002F42BE" w:rsidRDefault="002F42BE" w:rsidP="002F42BE">
            <w:pPr>
              <w:spacing w:after="0" w:line="276" w:lineRule="auto"/>
              <w:jc w:val="center"/>
            </w:pPr>
            <w:r>
              <w:t>-0.02%</w:t>
            </w:r>
          </w:p>
        </w:tc>
      </w:tr>
      <w:tr w:rsidR="002F42BE" w14:paraId="3E3C7358" w14:textId="77777777" w:rsidTr="002F42BE">
        <w:trPr>
          <w:trHeight w:val="432"/>
        </w:trPr>
        <w:tc>
          <w:tcPr>
            <w:tcW w:w="2937" w:type="dxa"/>
            <w:vAlign w:val="center"/>
          </w:tcPr>
          <w:p w14:paraId="3708F9AC" w14:textId="77777777" w:rsidR="002F42BE" w:rsidRDefault="002F42BE" w:rsidP="002F42BE">
            <w:pPr>
              <w:spacing w:after="0" w:line="276" w:lineRule="auto"/>
            </w:pPr>
            <w:r>
              <w:t>Hispanic/Latino</w:t>
            </w:r>
          </w:p>
        </w:tc>
        <w:tc>
          <w:tcPr>
            <w:tcW w:w="1480" w:type="dxa"/>
            <w:vAlign w:val="center"/>
          </w:tcPr>
          <w:p w14:paraId="6E5EFCE5" w14:textId="77777777" w:rsidR="002F42BE" w:rsidRDefault="002F42BE" w:rsidP="002F42BE">
            <w:pPr>
              <w:spacing w:after="0" w:line="276" w:lineRule="auto"/>
              <w:jc w:val="center"/>
            </w:pPr>
            <w:r>
              <w:t>1,391</w:t>
            </w:r>
          </w:p>
        </w:tc>
        <w:tc>
          <w:tcPr>
            <w:tcW w:w="1510" w:type="dxa"/>
            <w:vAlign w:val="center"/>
          </w:tcPr>
          <w:p w14:paraId="4D18CCFC" w14:textId="77777777" w:rsidR="002F42BE" w:rsidRDefault="002F42BE" w:rsidP="002F42BE">
            <w:pPr>
              <w:spacing w:after="0" w:line="276" w:lineRule="auto"/>
              <w:jc w:val="center"/>
            </w:pPr>
            <w:r>
              <w:t>12.84%</w:t>
            </w:r>
          </w:p>
        </w:tc>
        <w:tc>
          <w:tcPr>
            <w:tcW w:w="1493" w:type="dxa"/>
            <w:vAlign w:val="center"/>
          </w:tcPr>
          <w:p w14:paraId="4B7CB9AF" w14:textId="77777777" w:rsidR="002F42BE" w:rsidRDefault="002F42BE" w:rsidP="002F42BE">
            <w:pPr>
              <w:spacing w:after="0" w:line="276" w:lineRule="auto"/>
              <w:jc w:val="center"/>
            </w:pPr>
            <w:r>
              <w:t>742</w:t>
            </w:r>
          </w:p>
        </w:tc>
        <w:tc>
          <w:tcPr>
            <w:tcW w:w="1510" w:type="dxa"/>
            <w:vAlign w:val="center"/>
          </w:tcPr>
          <w:p w14:paraId="0AEC5C1F" w14:textId="77777777" w:rsidR="002F42BE" w:rsidRDefault="002F42BE" w:rsidP="002F42BE">
            <w:pPr>
              <w:spacing w:after="0" w:line="276" w:lineRule="auto"/>
              <w:jc w:val="center"/>
            </w:pPr>
            <w:r>
              <w:t>11.32%</w:t>
            </w:r>
          </w:p>
        </w:tc>
        <w:tc>
          <w:tcPr>
            <w:tcW w:w="1510" w:type="dxa"/>
            <w:vAlign w:val="center"/>
          </w:tcPr>
          <w:p w14:paraId="2896DA2B" w14:textId="77777777" w:rsidR="002F42BE" w:rsidRDefault="002F42BE" w:rsidP="002F42BE">
            <w:pPr>
              <w:spacing w:after="0" w:line="276" w:lineRule="auto"/>
              <w:jc w:val="center"/>
            </w:pPr>
            <w:r>
              <w:t>-1.52%</w:t>
            </w:r>
          </w:p>
        </w:tc>
      </w:tr>
      <w:tr w:rsidR="002F42BE" w14:paraId="2ECC29D7" w14:textId="77777777" w:rsidTr="002F42BE">
        <w:trPr>
          <w:trHeight w:val="432"/>
        </w:trPr>
        <w:tc>
          <w:tcPr>
            <w:tcW w:w="2937" w:type="dxa"/>
            <w:vAlign w:val="center"/>
          </w:tcPr>
          <w:p w14:paraId="3021DB00" w14:textId="77777777" w:rsidR="002F42BE" w:rsidRDefault="002F42BE" w:rsidP="002F42BE">
            <w:pPr>
              <w:spacing w:after="0" w:line="276" w:lineRule="auto"/>
            </w:pPr>
            <w:r>
              <w:t>White (not Hispanic)</w:t>
            </w:r>
          </w:p>
        </w:tc>
        <w:tc>
          <w:tcPr>
            <w:tcW w:w="1480" w:type="dxa"/>
            <w:vAlign w:val="center"/>
          </w:tcPr>
          <w:p w14:paraId="1DDB5549" w14:textId="77777777" w:rsidR="002F42BE" w:rsidRDefault="002F42BE" w:rsidP="002F42BE">
            <w:pPr>
              <w:spacing w:after="0" w:line="276" w:lineRule="auto"/>
              <w:jc w:val="center"/>
            </w:pPr>
            <w:r>
              <w:t>5,163</w:t>
            </w:r>
          </w:p>
        </w:tc>
        <w:tc>
          <w:tcPr>
            <w:tcW w:w="1510" w:type="dxa"/>
            <w:vAlign w:val="center"/>
          </w:tcPr>
          <w:p w14:paraId="02639389" w14:textId="77777777" w:rsidR="002F42BE" w:rsidRDefault="002F42BE" w:rsidP="002F42BE">
            <w:pPr>
              <w:spacing w:after="0" w:line="276" w:lineRule="auto"/>
              <w:jc w:val="center"/>
            </w:pPr>
            <w:r>
              <w:t>47.67%</w:t>
            </w:r>
          </w:p>
        </w:tc>
        <w:tc>
          <w:tcPr>
            <w:tcW w:w="1493" w:type="dxa"/>
            <w:vAlign w:val="center"/>
          </w:tcPr>
          <w:p w14:paraId="411FA338" w14:textId="77777777" w:rsidR="002F42BE" w:rsidRDefault="002F42BE" w:rsidP="002F42BE">
            <w:pPr>
              <w:spacing w:after="0" w:line="276" w:lineRule="auto"/>
              <w:jc w:val="center"/>
            </w:pPr>
            <w:r>
              <w:t>3,339</w:t>
            </w:r>
          </w:p>
        </w:tc>
        <w:tc>
          <w:tcPr>
            <w:tcW w:w="1510" w:type="dxa"/>
            <w:vAlign w:val="center"/>
          </w:tcPr>
          <w:p w14:paraId="75C57AE0" w14:textId="77777777" w:rsidR="002F42BE" w:rsidRDefault="002F42BE" w:rsidP="002F42BE">
            <w:pPr>
              <w:spacing w:after="0" w:line="276" w:lineRule="auto"/>
              <w:jc w:val="center"/>
            </w:pPr>
            <w:r>
              <w:t>50.92%</w:t>
            </w:r>
          </w:p>
        </w:tc>
        <w:tc>
          <w:tcPr>
            <w:tcW w:w="1510" w:type="dxa"/>
            <w:vAlign w:val="center"/>
          </w:tcPr>
          <w:p w14:paraId="3407EAEC" w14:textId="77777777" w:rsidR="002F42BE" w:rsidRDefault="002F42BE" w:rsidP="002F42BE">
            <w:pPr>
              <w:spacing w:after="0" w:line="276" w:lineRule="auto"/>
              <w:jc w:val="center"/>
            </w:pPr>
            <w:r>
              <w:t>3.25%</w:t>
            </w:r>
          </w:p>
        </w:tc>
      </w:tr>
      <w:tr w:rsidR="002F42BE" w14:paraId="665FD380" w14:textId="77777777" w:rsidTr="002F42BE">
        <w:trPr>
          <w:trHeight w:val="432"/>
        </w:trPr>
        <w:tc>
          <w:tcPr>
            <w:tcW w:w="2937" w:type="dxa"/>
            <w:vAlign w:val="center"/>
          </w:tcPr>
          <w:p w14:paraId="696DE93B" w14:textId="77777777" w:rsidR="002F42BE" w:rsidRDefault="002F42BE" w:rsidP="002F42BE">
            <w:pPr>
              <w:spacing w:after="0" w:line="276" w:lineRule="auto"/>
            </w:pPr>
            <w:r>
              <w:rPr>
                <w:bCs/>
                <w:color w:val="000000" w:themeColor="text1"/>
              </w:rPr>
              <w:t>Two or more races</w:t>
            </w:r>
          </w:p>
        </w:tc>
        <w:tc>
          <w:tcPr>
            <w:tcW w:w="1480" w:type="dxa"/>
            <w:vAlign w:val="center"/>
          </w:tcPr>
          <w:p w14:paraId="38996B41" w14:textId="77777777" w:rsidR="002F42BE" w:rsidRDefault="002F42BE" w:rsidP="002F42BE">
            <w:pPr>
              <w:spacing w:after="0" w:line="276" w:lineRule="auto"/>
              <w:jc w:val="center"/>
            </w:pPr>
            <w:r>
              <w:t>424</w:t>
            </w:r>
          </w:p>
        </w:tc>
        <w:tc>
          <w:tcPr>
            <w:tcW w:w="1510" w:type="dxa"/>
            <w:vAlign w:val="center"/>
          </w:tcPr>
          <w:p w14:paraId="70B468E3" w14:textId="77777777" w:rsidR="002F42BE" w:rsidRDefault="002F42BE" w:rsidP="002F42BE">
            <w:pPr>
              <w:spacing w:after="0" w:line="276" w:lineRule="auto"/>
              <w:jc w:val="center"/>
            </w:pPr>
            <w:r>
              <w:t>3.92%</w:t>
            </w:r>
          </w:p>
        </w:tc>
        <w:tc>
          <w:tcPr>
            <w:tcW w:w="1493" w:type="dxa"/>
            <w:vAlign w:val="center"/>
          </w:tcPr>
          <w:p w14:paraId="5428C938" w14:textId="77777777" w:rsidR="002F42BE" w:rsidRDefault="002F42BE" w:rsidP="002F42BE">
            <w:pPr>
              <w:spacing w:after="0" w:line="276" w:lineRule="auto"/>
              <w:jc w:val="center"/>
            </w:pPr>
            <w:r>
              <w:t>248</w:t>
            </w:r>
          </w:p>
        </w:tc>
        <w:tc>
          <w:tcPr>
            <w:tcW w:w="1510" w:type="dxa"/>
            <w:vAlign w:val="center"/>
          </w:tcPr>
          <w:p w14:paraId="3BBC53D1" w14:textId="77777777" w:rsidR="002F42BE" w:rsidRDefault="002F42BE" w:rsidP="002F42BE">
            <w:pPr>
              <w:spacing w:after="0" w:line="276" w:lineRule="auto"/>
              <w:jc w:val="center"/>
            </w:pPr>
            <w:r>
              <w:t>3.78%</w:t>
            </w:r>
          </w:p>
        </w:tc>
        <w:tc>
          <w:tcPr>
            <w:tcW w:w="1510" w:type="dxa"/>
            <w:vAlign w:val="center"/>
          </w:tcPr>
          <w:p w14:paraId="42E85709" w14:textId="77777777" w:rsidR="002F42BE" w:rsidRDefault="002F42BE" w:rsidP="002F42BE">
            <w:pPr>
              <w:spacing w:after="0" w:line="276" w:lineRule="auto"/>
              <w:jc w:val="center"/>
            </w:pPr>
            <w:r>
              <w:t>-0.14%</w:t>
            </w:r>
          </w:p>
        </w:tc>
      </w:tr>
    </w:tbl>
    <w:p w14:paraId="1D22DE1D" w14:textId="77777777" w:rsidR="007F2369" w:rsidRDefault="00090132" w:rsidP="007F2369">
      <w:pPr>
        <w:spacing w:before="240"/>
        <w:rPr>
          <w:b/>
          <w:bCs/>
        </w:rPr>
      </w:pPr>
      <w:r w:rsidRPr="005C202C">
        <w:rPr>
          <w:b/>
          <w:bCs/>
        </w:rPr>
        <w:t>The response data is representative of the demographics of youth who are no longer in school and had IEPs in effect at the time they left school. (yes/no)</w:t>
      </w:r>
    </w:p>
    <w:p w14:paraId="2390BBAE" w14:textId="48078194" w:rsidR="00090132" w:rsidRPr="000F63C4" w:rsidRDefault="007F2369" w:rsidP="00314F94">
      <w:pPr>
        <w:pStyle w:val="ListParagraph"/>
        <w:numPr>
          <w:ilvl w:val="0"/>
          <w:numId w:val="256"/>
        </w:numPr>
        <w:spacing w:before="240"/>
        <w:rPr>
          <w:b/>
          <w:bCs/>
        </w:rPr>
      </w:pPr>
      <w:r w:rsidRPr="000F63C4">
        <w:rPr>
          <w:bCs/>
        </w:rPr>
        <w:t>Yes</w:t>
      </w:r>
    </w:p>
    <w:p w14:paraId="4F04746F" w14:textId="77777777" w:rsidR="007F2369" w:rsidRDefault="00090132" w:rsidP="007F2369">
      <w:pPr>
        <w:rPr>
          <w:b/>
          <w:bCs/>
        </w:rPr>
      </w:pPr>
      <w:r w:rsidRPr="005C202C">
        <w:rPr>
          <w:b/>
          <w:bCs/>
        </w:rPr>
        <w:t>If no, describe the strategies that the State will use to ensure that in the future the response data are representative of those demographics.</w:t>
      </w:r>
    </w:p>
    <w:p w14:paraId="0A943617" w14:textId="38E547E8" w:rsidR="00090132" w:rsidRPr="000F63C4" w:rsidRDefault="004924BE" w:rsidP="00314F94">
      <w:pPr>
        <w:pStyle w:val="ListParagraph"/>
        <w:numPr>
          <w:ilvl w:val="0"/>
          <w:numId w:val="257"/>
        </w:numPr>
        <w:rPr>
          <w:b/>
          <w:bCs/>
        </w:rPr>
      </w:pPr>
      <w:r>
        <w:t>Not applicable</w:t>
      </w:r>
    </w:p>
    <w:p w14:paraId="5DF3CFD2" w14:textId="77777777" w:rsidR="007F2369" w:rsidRDefault="00090132" w:rsidP="007F2369">
      <w:pPr>
        <w:rPr>
          <w:b/>
          <w:bCs/>
        </w:rPr>
      </w:pPr>
      <w:r w:rsidRPr="005C202C">
        <w:rPr>
          <w:b/>
          <w:bCs/>
        </w:rPr>
        <w:t>Describe the metric used to determine representativeness (e.g., +/- 3% discrepancy in the proportion of responders compared to target group).</w:t>
      </w:r>
    </w:p>
    <w:p w14:paraId="72289DFC" w14:textId="36906EB4" w:rsidR="009C6183" w:rsidRPr="000F63C4" w:rsidRDefault="00090132" w:rsidP="00314F94">
      <w:pPr>
        <w:pStyle w:val="ListParagraph"/>
        <w:numPr>
          <w:ilvl w:val="0"/>
          <w:numId w:val="258"/>
        </w:numPr>
        <w:rPr>
          <w:b/>
          <w:bCs/>
        </w:rPr>
      </w:pPr>
      <w:r w:rsidRPr="008D51F2">
        <w:t xml:space="preserve">Virginia chose to use a discrepancy model with a +/- 3 percentage point difference in the proportion of responders (completed surveys) compared to the target group (all </w:t>
      </w:r>
      <w:proofErr w:type="spellStart"/>
      <w:r w:rsidRPr="008D51F2">
        <w:t>exiters</w:t>
      </w:r>
      <w:proofErr w:type="spellEnd"/>
      <w:r w:rsidRPr="008D51F2">
        <w:t>) across the demographic areas of primary disability, race/ethnicity, and gender as the primary metric. Additional statistical analysis methods were also applied to support representativeness of the demographics. Specifically, because of the dichotomous and categorical variables, the phi coefficient was used to determine any differences in the demographics of responders and non-responders. The phi value can range from 1 to -1. If the value is close to zero (0) (as in this dataset), we know that the demographic variables of primary disability, race/ethnicity, and gender are not statistically different between the two groups. Therefore, the sample of the responders is representative of the population.</w:t>
      </w:r>
      <w:r w:rsidR="009C6183" w:rsidRPr="000F63C4">
        <w:rPr>
          <w:bCs/>
          <w:color w:val="000000" w:themeColor="text1"/>
          <w:highlight w:val="yellow"/>
        </w:rPr>
        <w:br w:type="page"/>
      </w:r>
    </w:p>
    <w:p w14:paraId="2BBD8FB1" w14:textId="7ED514CC" w:rsidR="004924BE" w:rsidRPr="004924BE" w:rsidRDefault="00C578AE" w:rsidP="00C33455">
      <w:pPr>
        <w:pStyle w:val="Caption"/>
      </w:pPr>
      <w:r>
        <w:lastRenderedPageBreak/>
        <w:t>Indicator 14 Sampling Questions</w:t>
      </w:r>
    </w:p>
    <w:tbl>
      <w:tblPr>
        <w:tblStyle w:val="TableGrid"/>
        <w:tblW w:w="0" w:type="auto"/>
        <w:tblLook w:val="04A0" w:firstRow="1" w:lastRow="0" w:firstColumn="1" w:lastColumn="0" w:noHBand="0" w:noVBand="1"/>
        <w:tblDescription w:val="Table provides sampling question(s) and answer(s) for this indicator."/>
      </w:tblPr>
      <w:tblGrid>
        <w:gridCol w:w="8306"/>
        <w:gridCol w:w="2484"/>
      </w:tblGrid>
      <w:tr w:rsidR="005C29F8" w:rsidRPr="00781112" w14:paraId="10AC36E3" w14:textId="77777777" w:rsidTr="002F42BE">
        <w:trPr>
          <w:trHeight w:val="432"/>
          <w:tblHeader/>
        </w:trPr>
        <w:tc>
          <w:tcPr>
            <w:tcW w:w="8306" w:type="dxa"/>
            <w:tcBorders>
              <w:top w:val="single" w:sz="4" w:space="0" w:color="auto"/>
              <w:left w:val="single" w:sz="4" w:space="0" w:color="auto"/>
            </w:tcBorders>
            <w:shd w:val="clear" w:color="auto" w:fill="D9D9D9" w:themeFill="background1" w:themeFillShade="D9"/>
            <w:vAlign w:val="center"/>
          </w:tcPr>
          <w:p w14:paraId="01371920" w14:textId="2568990B" w:rsidR="00763780" w:rsidRPr="00781112" w:rsidRDefault="00CC2002" w:rsidP="002F42BE">
            <w:pPr>
              <w:spacing w:after="0" w:line="276" w:lineRule="auto"/>
              <w:rPr>
                <w:rFonts w:cs="Arial"/>
                <w:b/>
                <w:bCs/>
                <w:color w:val="000000" w:themeColor="text1"/>
                <w:szCs w:val="16"/>
              </w:rPr>
            </w:pPr>
            <w:r w:rsidRPr="00781112">
              <w:rPr>
                <w:rFonts w:cs="Arial"/>
                <w:b/>
                <w:bCs/>
                <w:color w:val="000000" w:themeColor="text1"/>
                <w:szCs w:val="16"/>
              </w:rPr>
              <w:t>Sampling Question</w:t>
            </w:r>
          </w:p>
        </w:tc>
        <w:tc>
          <w:tcPr>
            <w:tcW w:w="2484" w:type="dxa"/>
            <w:tcBorders>
              <w:top w:val="single" w:sz="4" w:space="0" w:color="auto"/>
            </w:tcBorders>
            <w:shd w:val="clear" w:color="auto" w:fill="D9D9D9" w:themeFill="background1" w:themeFillShade="D9"/>
            <w:vAlign w:val="center"/>
          </w:tcPr>
          <w:p w14:paraId="39CB8232" w14:textId="5BE196A9" w:rsidR="00763780" w:rsidRPr="00781112" w:rsidRDefault="00763780" w:rsidP="002F42BE">
            <w:pPr>
              <w:spacing w:after="0" w:line="276" w:lineRule="auto"/>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2F42BE">
        <w:trPr>
          <w:trHeight w:val="432"/>
        </w:trPr>
        <w:tc>
          <w:tcPr>
            <w:tcW w:w="8306" w:type="dxa"/>
            <w:shd w:val="clear" w:color="auto" w:fill="auto"/>
            <w:vAlign w:val="center"/>
          </w:tcPr>
          <w:p w14:paraId="0472BB53" w14:textId="55673E5F" w:rsidR="00763780" w:rsidRPr="00781112" w:rsidRDefault="00763780" w:rsidP="002F42BE">
            <w:pPr>
              <w:spacing w:after="0" w:line="276" w:lineRule="auto"/>
              <w:rPr>
                <w:rFonts w:cs="Arial"/>
                <w:color w:val="000000" w:themeColor="text1"/>
                <w:szCs w:val="16"/>
              </w:rPr>
            </w:pPr>
            <w:r w:rsidRPr="00781112">
              <w:rPr>
                <w:rFonts w:cs="Arial"/>
                <w:color w:val="000000" w:themeColor="text1"/>
                <w:szCs w:val="16"/>
              </w:rPr>
              <w:t xml:space="preserve">Was sampling used? </w:t>
            </w:r>
          </w:p>
        </w:tc>
        <w:tc>
          <w:tcPr>
            <w:tcW w:w="2484" w:type="dxa"/>
            <w:shd w:val="clear" w:color="auto" w:fill="auto"/>
            <w:vAlign w:val="center"/>
          </w:tcPr>
          <w:p w14:paraId="0BA01DE6" w14:textId="013EE38E" w:rsidR="00763780" w:rsidRPr="00781112" w:rsidRDefault="002B7490" w:rsidP="002F42BE">
            <w:pPr>
              <w:spacing w:after="0" w:line="276" w:lineRule="auto"/>
              <w:jc w:val="center"/>
              <w:rPr>
                <w:rFonts w:cs="Arial"/>
                <w:color w:val="000000" w:themeColor="text1"/>
                <w:szCs w:val="16"/>
              </w:rPr>
            </w:pPr>
            <w:r w:rsidRPr="00781112">
              <w:rPr>
                <w:rFonts w:cs="Arial"/>
                <w:color w:val="000000" w:themeColor="text1"/>
                <w:szCs w:val="16"/>
              </w:rPr>
              <w:t>NO</w:t>
            </w:r>
          </w:p>
        </w:tc>
      </w:tr>
      <w:tr w:rsidR="005C29F8" w:rsidRPr="00781112" w14:paraId="6901B015" w14:textId="2CE4C417" w:rsidTr="002F42BE">
        <w:trPr>
          <w:trHeight w:val="432"/>
        </w:trPr>
        <w:tc>
          <w:tcPr>
            <w:tcW w:w="8306" w:type="dxa"/>
            <w:shd w:val="clear" w:color="auto" w:fill="auto"/>
            <w:vAlign w:val="center"/>
          </w:tcPr>
          <w:p w14:paraId="0856121E" w14:textId="5B1AD843" w:rsidR="00BC4655" w:rsidRPr="00781112" w:rsidRDefault="00BC4655" w:rsidP="002F42BE">
            <w:pPr>
              <w:spacing w:after="0" w:line="276" w:lineRule="auto"/>
              <w:rPr>
                <w:rFonts w:cs="Arial"/>
                <w:color w:val="000000" w:themeColor="text1"/>
                <w:szCs w:val="16"/>
              </w:rPr>
            </w:pPr>
            <w:r w:rsidRPr="00781112">
              <w:rPr>
                <w:rFonts w:cs="Arial"/>
                <w:color w:val="000000" w:themeColor="text1"/>
                <w:szCs w:val="16"/>
              </w:rPr>
              <w:t xml:space="preserve">Was a survey used? </w:t>
            </w:r>
          </w:p>
        </w:tc>
        <w:tc>
          <w:tcPr>
            <w:tcW w:w="2484" w:type="dxa"/>
            <w:shd w:val="clear" w:color="auto" w:fill="auto"/>
            <w:vAlign w:val="center"/>
          </w:tcPr>
          <w:p w14:paraId="47AE85B8" w14:textId="2FE77A74" w:rsidR="00BC4655" w:rsidRPr="00781112" w:rsidRDefault="002B7490" w:rsidP="002F42BE">
            <w:pPr>
              <w:spacing w:after="0" w:line="276" w:lineRule="auto"/>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2F42BE">
        <w:trPr>
          <w:trHeight w:val="432"/>
        </w:trPr>
        <w:tc>
          <w:tcPr>
            <w:tcW w:w="8306" w:type="dxa"/>
            <w:shd w:val="clear" w:color="auto" w:fill="auto"/>
            <w:vAlign w:val="center"/>
          </w:tcPr>
          <w:p w14:paraId="56C87E2E" w14:textId="1890EBD8" w:rsidR="00BC4655" w:rsidRPr="00781112" w:rsidRDefault="003805D3" w:rsidP="002F42BE">
            <w:pPr>
              <w:spacing w:after="0" w:line="276" w:lineRule="auto"/>
              <w:rPr>
                <w:rFonts w:cs="Arial"/>
                <w:color w:val="000000" w:themeColor="text1"/>
                <w:szCs w:val="16"/>
              </w:rPr>
            </w:pPr>
            <w:r w:rsidRPr="00781112">
              <w:rPr>
                <w:rFonts w:cs="Arial"/>
                <w:color w:val="000000" w:themeColor="text1"/>
                <w:szCs w:val="16"/>
              </w:rPr>
              <w:t>If yes, is it a new or revised survey?</w:t>
            </w:r>
          </w:p>
        </w:tc>
        <w:tc>
          <w:tcPr>
            <w:tcW w:w="2484" w:type="dxa"/>
            <w:shd w:val="clear" w:color="auto" w:fill="auto"/>
            <w:vAlign w:val="center"/>
          </w:tcPr>
          <w:p w14:paraId="53803AF8" w14:textId="54EB33AD" w:rsidR="00BC4655" w:rsidRPr="00781112" w:rsidRDefault="002B7490" w:rsidP="002F42BE">
            <w:pPr>
              <w:spacing w:after="0" w:line="276" w:lineRule="auto"/>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4536A1">
      <w:pPr>
        <w:pStyle w:val="Heading4"/>
      </w:pPr>
      <w:bookmarkStart w:id="109" w:name="_Toc382082390"/>
      <w:bookmarkStart w:id="110" w:name="_Toc392159339"/>
      <w:r w:rsidRPr="00781112">
        <w:t>Provide additional information about this indicator (optional)</w:t>
      </w:r>
    </w:p>
    <w:p w14:paraId="30BD41D2" w14:textId="1BF906DD" w:rsidR="00293C7E" w:rsidRPr="000F63C4" w:rsidRDefault="004924BE" w:rsidP="00314F94">
      <w:pPr>
        <w:pStyle w:val="ListParagraph"/>
        <w:numPr>
          <w:ilvl w:val="0"/>
          <w:numId w:val="259"/>
        </w:numPr>
        <w:rPr>
          <w:rFonts w:cs="Arial"/>
          <w:color w:val="000000" w:themeColor="text1"/>
          <w:szCs w:val="16"/>
        </w:rPr>
      </w:pPr>
      <w:r w:rsidRPr="000F63C4">
        <w:rPr>
          <w:rFonts w:cs="Arial"/>
          <w:color w:val="000000" w:themeColor="text1"/>
          <w:szCs w:val="16"/>
        </w:rPr>
        <w:t>Not applicable</w:t>
      </w:r>
    </w:p>
    <w:p w14:paraId="7B9DDAF2" w14:textId="6AA9F8CA" w:rsidR="000A2C83" w:rsidRPr="00781112" w:rsidRDefault="00172058" w:rsidP="00A22EB9">
      <w:pPr>
        <w:pStyle w:val="Heading3"/>
      </w:pPr>
      <w:r w:rsidRPr="00781112">
        <w:t>14</w:t>
      </w:r>
      <w:r w:rsidR="001D508D" w:rsidRPr="00781112">
        <w:t xml:space="preserve"> </w:t>
      </w:r>
      <w:r w:rsidRPr="00781112">
        <w:t xml:space="preserve">- </w:t>
      </w:r>
      <w:r w:rsidR="000A2C83" w:rsidRPr="00781112">
        <w:t>Prior FFY Required Actions</w:t>
      </w:r>
    </w:p>
    <w:p w14:paraId="3812AD37" w14:textId="58CBF83D" w:rsidR="009F69E7" w:rsidRPr="000F63C4" w:rsidRDefault="002B7490" w:rsidP="00314F94">
      <w:pPr>
        <w:pStyle w:val="ListParagraph"/>
        <w:numPr>
          <w:ilvl w:val="0"/>
          <w:numId w:val="260"/>
        </w:numPr>
        <w:rPr>
          <w:rFonts w:cs="Arial"/>
          <w:color w:val="000000" w:themeColor="text1"/>
          <w:szCs w:val="16"/>
        </w:rPr>
      </w:pPr>
      <w:r w:rsidRPr="000F63C4">
        <w:rPr>
          <w:rFonts w:cs="Arial"/>
          <w:color w:val="000000" w:themeColor="text1"/>
          <w:szCs w:val="16"/>
        </w:rPr>
        <w:t>None</w:t>
      </w:r>
    </w:p>
    <w:p w14:paraId="59CF3C2B" w14:textId="15BA3B7F" w:rsidR="00644AC8" w:rsidRPr="00781112" w:rsidRDefault="00172058" w:rsidP="00A22EB9">
      <w:pPr>
        <w:pStyle w:val="Heading3"/>
      </w:pPr>
      <w:r w:rsidRPr="00781112">
        <w:t>14 - OSEP Response</w:t>
      </w:r>
    </w:p>
    <w:p w14:paraId="29D70E23" w14:textId="165DA616" w:rsidR="00293C7E" w:rsidRPr="000F63C4" w:rsidRDefault="002B7490" w:rsidP="00314F94">
      <w:pPr>
        <w:pStyle w:val="ListParagraph"/>
        <w:numPr>
          <w:ilvl w:val="0"/>
          <w:numId w:val="261"/>
        </w:numPr>
        <w:rPr>
          <w:rFonts w:cs="Arial"/>
          <w:color w:val="000000" w:themeColor="text1"/>
          <w:szCs w:val="16"/>
        </w:rPr>
      </w:pPr>
      <w:r w:rsidRPr="000F63C4">
        <w:rPr>
          <w:rFonts w:cs="Arial"/>
          <w:color w:val="000000" w:themeColor="text1"/>
          <w:szCs w:val="16"/>
        </w:rPr>
        <w:t>The State provided targets for FFYs 2020 through 2025 for this indicator, and OSEP accepts those targets.</w:t>
      </w:r>
    </w:p>
    <w:p w14:paraId="18F151E0" w14:textId="24893002" w:rsidR="00644AC8" w:rsidRPr="00781112" w:rsidRDefault="00172058" w:rsidP="00A22EB9">
      <w:pPr>
        <w:pStyle w:val="Heading3"/>
      </w:pPr>
      <w:r w:rsidRPr="00781112">
        <w:t>14 - Required Actions</w:t>
      </w:r>
    </w:p>
    <w:p w14:paraId="1ADD288B" w14:textId="39DFF345" w:rsidR="00102FA3" w:rsidRPr="000F63C4" w:rsidRDefault="004924BE" w:rsidP="00314F94">
      <w:pPr>
        <w:pStyle w:val="ListParagraph"/>
        <w:numPr>
          <w:ilvl w:val="0"/>
          <w:numId w:val="262"/>
        </w:numPr>
        <w:rPr>
          <w:rFonts w:eastAsiaTheme="majorEastAsia" w:cs="Arial"/>
          <w:b/>
          <w:bCs/>
          <w:color w:val="000000" w:themeColor="text1"/>
          <w:szCs w:val="16"/>
        </w:rPr>
      </w:pPr>
      <w:r w:rsidRPr="000F63C4">
        <w:rPr>
          <w:rFonts w:cs="Arial"/>
          <w:color w:val="000000" w:themeColor="text1"/>
          <w:szCs w:val="16"/>
        </w:rPr>
        <w:t>Not applicable</w:t>
      </w:r>
      <w:r w:rsidR="00102FA3" w:rsidRPr="000F63C4">
        <w:rPr>
          <w:rFonts w:cs="Arial"/>
          <w:color w:val="000000" w:themeColor="text1"/>
          <w:szCs w:val="16"/>
        </w:rPr>
        <w:br w:type="page"/>
      </w:r>
    </w:p>
    <w:p w14:paraId="7E15DEAF" w14:textId="72984127" w:rsidR="00B3462E" w:rsidRPr="00781112" w:rsidRDefault="00B3462E" w:rsidP="008143AB">
      <w:pPr>
        <w:pStyle w:val="Heading2"/>
      </w:pPr>
      <w:r w:rsidRPr="00781112">
        <w:lastRenderedPageBreak/>
        <w:t>Indicator 15: Resolution Sessions</w:t>
      </w:r>
      <w:bookmarkEnd w:id="109"/>
      <w:bookmarkEnd w:id="110"/>
    </w:p>
    <w:p w14:paraId="7EA31497" w14:textId="77777777" w:rsidR="005B0B58" w:rsidRPr="002F42BE" w:rsidRDefault="005B0B58" w:rsidP="004536A1">
      <w:pPr>
        <w:pStyle w:val="Heading3"/>
        <w:spacing w:before="240"/>
      </w:pPr>
      <w:bookmarkStart w:id="111" w:name="_Toc381786822"/>
      <w:bookmarkStart w:id="112" w:name="_Toc382731911"/>
      <w:bookmarkStart w:id="113" w:name="_Toc382731912"/>
      <w:bookmarkStart w:id="114" w:name="_Toc392159340"/>
      <w:bookmarkEnd w:id="111"/>
      <w:bookmarkEnd w:id="112"/>
      <w:r w:rsidRPr="002F42BE">
        <w:t>Instructions and Measurement</w:t>
      </w:r>
    </w:p>
    <w:p w14:paraId="280CD956" w14:textId="60A4C66A" w:rsidR="009B6586" w:rsidRPr="00781112" w:rsidRDefault="009B6586" w:rsidP="00A22EB9">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A22EB9">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9E426EF" w:rsidR="009B6586" w:rsidRPr="00781112" w:rsidRDefault="009B6586" w:rsidP="00A22EB9">
      <w:pPr>
        <w:rPr>
          <w:rFonts w:cs="Arial"/>
          <w:color w:val="000000" w:themeColor="text1"/>
          <w:szCs w:val="16"/>
        </w:rPr>
      </w:pPr>
      <w:r w:rsidRPr="00781112">
        <w:rPr>
          <w:rFonts w:cs="Arial"/>
          <w:color w:val="000000" w:themeColor="text1"/>
          <w:szCs w:val="16"/>
        </w:rPr>
        <w:t>(20 U.S.C. 1416(a)(3)(B))</w:t>
      </w:r>
    </w:p>
    <w:p w14:paraId="40DC2407" w14:textId="77777777" w:rsidR="00B14746" w:rsidRPr="00781112" w:rsidRDefault="00B14746" w:rsidP="004536A1">
      <w:pPr>
        <w:pStyle w:val="Heading4"/>
      </w:pPr>
      <w:r w:rsidRPr="00781112">
        <w:t>Data Source</w:t>
      </w:r>
    </w:p>
    <w:p w14:paraId="585EF86F" w14:textId="2E239104" w:rsidR="00B14746" w:rsidRPr="00781112" w:rsidRDefault="00B14746" w:rsidP="00A22EB9">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536A1">
      <w:pPr>
        <w:pStyle w:val="Heading4"/>
      </w:pPr>
      <w:r w:rsidRPr="00781112">
        <w:t>Measurement</w:t>
      </w:r>
    </w:p>
    <w:p w14:paraId="64AA8A3E" w14:textId="743F9348" w:rsidR="00B14746" w:rsidRPr="00781112" w:rsidRDefault="00B14746" w:rsidP="00A22EB9">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536A1">
      <w:pPr>
        <w:pStyle w:val="Heading4"/>
      </w:pPr>
      <w:r w:rsidRPr="00781112">
        <w:t>Instructions</w:t>
      </w:r>
    </w:p>
    <w:p w14:paraId="7F1341EF" w14:textId="77777777" w:rsidR="00B14746" w:rsidRPr="00781112" w:rsidRDefault="00B14746" w:rsidP="00A22EB9">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A22EB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A22EB9">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A22EB9">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A22EB9">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A22EB9">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A22EB9">
      <w:pPr>
        <w:pStyle w:val="Heading3"/>
      </w:pPr>
      <w:r w:rsidRPr="00781112">
        <w:t>15</w:t>
      </w:r>
      <w:r w:rsidR="001D508D" w:rsidRPr="00781112">
        <w:t xml:space="preserve"> </w:t>
      </w:r>
      <w:r w:rsidRPr="00781112">
        <w:t xml:space="preserve">- </w:t>
      </w:r>
      <w:r w:rsidR="00575F02" w:rsidRPr="00781112">
        <w:t>Indicator Data</w:t>
      </w:r>
    </w:p>
    <w:p w14:paraId="787F4BF1" w14:textId="4407EA15" w:rsidR="004A33CD" w:rsidRPr="003E706D" w:rsidRDefault="00E31E29" w:rsidP="00A22EB9">
      <w:pPr>
        <w:rPr>
          <w:rFonts w:cs="Arial"/>
          <w:b/>
          <w:bCs/>
          <w:color w:val="000000" w:themeColor="text1"/>
          <w:szCs w:val="16"/>
        </w:rPr>
      </w:pPr>
      <w:r w:rsidRPr="003E706D">
        <w:rPr>
          <w:rFonts w:cs="Arial"/>
          <w:b/>
          <w:bCs/>
          <w:color w:val="000000" w:themeColor="text1"/>
          <w:szCs w:val="16"/>
        </w:rPr>
        <w:t>Select yes to use target ranges</w:t>
      </w:r>
    </w:p>
    <w:p w14:paraId="28345E9C" w14:textId="1A461958" w:rsidR="004A33CD" w:rsidRPr="000F63C4" w:rsidRDefault="004A33CD" w:rsidP="00314F94">
      <w:pPr>
        <w:pStyle w:val="ListParagraph"/>
        <w:numPr>
          <w:ilvl w:val="0"/>
          <w:numId w:val="263"/>
        </w:numPr>
        <w:rPr>
          <w:color w:val="000000" w:themeColor="text1"/>
        </w:rPr>
      </w:pPr>
      <w:r w:rsidRPr="000F63C4">
        <w:rPr>
          <w:rFonts w:cs="Arial"/>
          <w:color w:val="000000" w:themeColor="text1"/>
          <w:szCs w:val="16"/>
        </w:rPr>
        <w:t>Target Range is used</w:t>
      </w:r>
    </w:p>
    <w:bookmarkEnd w:id="113"/>
    <w:bookmarkEnd w:id="114"/>
    <w:p w14:paraId="23EC0320" w14:textId="686BEE58" w:rsidR="00372DF8" w:rsidRPr="00781112" w:rsidRDefault="00372DF8" w:rsidP="00C33455">
      <w:pPr>
        <w:pStyle w:val="Caption"/>
      </w:pPr>
      <w:r w:rsidRPr="00781112">
        <w:t>Prepopulated Data</w:t>
      </w:r>
      <w:r w:rsidR="00EB500A">
        <w:t xml:space="preserve">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Description w:val="Table provides numbers of youth with IEPs exiting special education, by various explanations, for this indicator. Data source provided for each."/>
      </w:tblPr>
      <w:tblGrid>
        <w:gridCol w:w="2966"/>
        <w:gridCol w:w="2339"/>
        <w:gridCol w:w="3571"/>
        <w:gridCol w:w="1914"/>
      </w:tblGrid>
      <w:tr w:rsidR="005C29F8" w:rsidRPr="00781112" w14:paraId="6639EAF6" w14:textId="77777777" w:rsidTr="00C578AE">
        <w:trPr>
          <w:trHeight w:val="372"/>
          <w:tblHeader/>
        </w:trPr>
        <w:tc>
          <w:tcPr>
            <w:tcW w:w="1374" w:type="pct"/>
            <w:shd w:val="clear" w:color="auto" w:fill="D9D9D9" w:themeFill="background1" w:themeFillShade="D9"/>
            <w:vAlign w:val="center"/>
          </w:tcPr>
          <w:p w14:paraId="3040A217" w14:textId="77777777" w:rsidR="00372DF8" w:rsidRPr="00781112" w:rsidRDefault="00372DF8" w:rsidP="002F42BE">
            <w:pPr>
              <w:spacing w:after="0"/>
              <w:jc w:val="center"/>
              <w:rPr>
                <w:rFonts w:cs="Arial"/>
                <w:b/>
                <w:color w:val="000000" w:themeColor="text1"/>
                <w:szCs w:val="16"/>
              </w:rPr>
            </w:pPr>
            <w:r w:rsidRPr="00781112">
              <w:rPr>
                <w:rFonts w:cs="Arial"/>
                <w:b/>
                <w:color w:val="000000" w:themeColor="text1"/>
                <w:szCs w:val="16"/>
              </w:rPr>
              <w:t>Source</w:t>
            </w:r>
          </w:p>
        </w:tc>
        <w:tc>
          <w:tcPr>
            <w:tcW w:w="1084" w:type="pct"/>
            <w:shd w:val="clear" w:color="auto" w:fill="D9D9D9" w:themeFill="background1" w:themeFillShade="D9"/>
            <w:vAlign w:val="center"/>
          </w:tcPr>
          <w:p w14:paraId="3A97206D" w14:textId="77777777" w:rsidR="00372DF8" w:rsidRPr="00781112" w:rsidRDefault="00372DF8" w:rsidP="002F42BE">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D9D9D9" w:themeFill="background1" w:themeFillShade="D9"/>
            <w:vAlign w:val="center"/>
          </w:tcPr>
          <w:p w14:paraId="52C3C7CB" w14:textId="77777777" w:rsidR="00372DF8" w:rsidRPr="00781112" w:rsidRDefault="00372DF8" w:rsidP="002F42BE">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D9D9D9" w:themeFill="background1" w:themeFillShade="D9"/>
            <w:vAlign w:val="center"/>
          </w:tcPr>
          <w:p w14:paraId="3BD49A8D" w14:textId="77777777" w:rsidR="00372DF8" w:rsidRPr="00781112" w:rsidRDefault="00372DF8" w:rsidP="002F42BE">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52002E">
        <w:trPr>
          <w:trHeight w:val="233"/>
        </w:trPr>
        <w:tc>
          <w:tcPr>
            <w:tcW w:w="1374" w:type="pct"/>
            <w:shd w:val="clear" w:color="auto" w:fill="auto"/>
            <w:vAlign w:val="center"/>
          </w:tcPr>
          <w:p w14:paraId="56F7D41B" w14:textId="55A36B40" w:rsidR="001126C3" w:rsidRPr="00781112" w:rsidRDefault="002B7490" w:rsidP="002F42BE">
            <w:pPr>
              <w:spacing w:after="0"/>
              <w:jc w:val="center"/>
              <w:rPr>
                <w:rFonts w:cs="Arial"/>
                <w:color w:val="000000" w:themeColor="text1"/>
                <w:szCs w:val="16"/>
              </w:rPr>
            </w:pPr>
            <w:r w:rsidRPr="00781112">
              <w:rPr>
                <w:rFonts w:cs="Arial"/>
                <w:color w:val="000000" w:themeColor="text1"/>
                <w:szCs w:val="16"/>
              </w:rPr>
              <w:t xml:space="preserve">SY 2020-21 EMAPS IDEA Part B Dispute Resolution Survey; </w:t>
            </w:r>
            <w:r w:rsidRPr="00781112">
              <w:rPr>
                <w:rFonts w:cs="Arial"/>
                <w:color w:val="000000" w:themeColor="text1"/>
                <w:szCs w:val="16"/>
              </w:rPr>
              <w:lastRenderedPageBreak/>
              <w:t>Section C: Due Process Complaints</w:t>
            </w:r>
          </w:p>
        </w:tc>
        <w:tc>
          <w:tcPr>
            <w:tcW w:w="1084" w:type="pct"/>
            <w:shd w:val="clear" w:color="auto" w:fill="auto"/>
            <w:vAlign w:val="center"/>
          </w:tcPr>
          <w:p w14:paraId="7C90E97F" w14:textId="79564898" w:rsidR="001126C3" w:rsidRPr="00781112" w:rsidRDefault="008174C3" w:rsidP="002F42BE">
            <w:pPr>
              <w:spacing w:after="0"/>
              <w:jc w:val="center"/>
              <w:rPr>
                <w:rFonts w:cs="Arial"/>
                <w:color w:val="000000" w:themeColor="text1"/>
                <w:szCs w:val="16"/>
              </w:rPr>
            </w:pPr>
            <w:r w:rsidRPr="00781112">
              <w:rPr>
                <w:rFonts w:cs="Arial"/>
                <w:color w:val="000000" w:themeColor="text1"/>
                <w:szCs w:val="16"/>
              </w:rPr>
              <w:lastRenderedPageBreak/>
              <w:t>11/03/2021</w:t>
            </w:r>
          </w:p>
        </w:tc>
        <w:tc>
          <w:tcPr>
            <w:tcW w:w="1655" w:type="pct"/>
            <w:shd w:val="clear" w:color="auto" w:fill="auto"/>
            <w:vAlign w:val="center"/>
          </w:tcPr>
          <w:p w14:paraId="5E5A973C" w14:textId="77777777" w:rsidR="001126C3" w:rsidRPr="00781112" w:rsidRDefault="001126C3" w:rsidP="002F42BE">
            <w:pPr>
              <w:spacing w:after="0"/>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vAlign w:val="center"/>
          </w:tcPr>
          <w:p w14:paraId="5468BA6D" w14:textId="1A6A859B" w:rsidR="001126C3" w:rsidRPr="00781112" w:rsidRDefault="002B7490" w:rsidP="002F42BE">
            <w:pPr>
              <w:spacing w:after="0"/>
              <w:jc w:val="center"/>
              <w:rPr>
                <w:rFonts w:cs="Arial"/>
                <w:color w:val="000000" w:themeColor="text1"/>
                <w:szCs w:val="16"/>
              </w:rPr>
            </w:pPr>
            <w:r w:rsidRPr="00781112">
              <w:rPr>
                <w:rFonts w:cs="Arial"/>
                <w:color w:val="000000" w:themeColor="text1"/>
                <w:szCs w:val="16"/>
              </w:rPr>
              <w:t>27</w:t>
            </w:r>
          </w:p>
        </w:tc>
      </w:tr>
      <w:tr w:rsidR="005C29F8" w:rsidRPr="00781112" w14:paraId="2E50DA19" w14:textId="77777777" w:rsidTr="00C578AE">
        <w:trPr>
          <w:trHeight w:val="1619"/>
        </w:trPr>
        <w:tc>
          <w:tcPr>
            <w:tcW w:w="1374" w:type="pct"/>
            <w:shd w:val="clear" w:color="auto" w:fill="auto"/>
            <w:vAlign w:val="center"/>
          </w:tcPr>
          <w:p w14:paraId="2B232A7C" w14:textId="7E2BE0F5" w:rsidR="001126C3" w:rsidRPr="00781112" w:rsidRDefault="008174C3" w:rsidP="002F42BE">
            <w:pPr>
              <w:spacing w:after="0"/>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084" w:type="pct"/>
            <w:shd w:val="clear" w:color="auto" w:fill="auto"/>
            <w:vAlign w:val="center"/>
          </w:tcPr>
          <w:p w14:paraId="7F21A5DE" w14:textId="74620D03" w:rsidR="001126C3" w:rsidRPr="00781112" w:rsidRDefault="008174C3" w:rsidP="002F42BE">
            <w:pPr>
              <w:spacing w:after="0"/>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vAlign w:val="center"/>
          </w:tcPr>
          <w:p w14:paraId="48E53926" w14:textId="77777777" w:rsidR="001126C3" w:rsidRPr="00781112" w:rsidRDefault="001126C3" w:rsidP="002F42BE">
            <w:pPr>
              <w:spacing w:after="0"/>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vAlign w:val="center"/>
          </w:tcPr>
          <w:p w14:paraId="1CCE3841" w14:textId="455ECD7A" w:rsidR="001126C3" w:rsidRPr="00781112" w:rsidRDefault="002B7490" w:rsidP="002F42BE">
            <w:pPr>
              <w:spacing w:after="0"/>
              <w:jc w:val="center"/>
              <w:rPr>
                <w:rFonts w:cs="Arial"/>
                <w:color w:val="000000" w:themeColor="text1"/>
                <w:szCs w:val="16"/>
              </w:rPr>
            </w:pPr>
            <w:r w:rsidRPr="00781112">
              <w:rPr>
                <w:rFonts w:cs="Arial"/>
                <w:color w:val="000000" w:themeColor="text1"/>
                <w:szCs w:val="16"/>
              </w:rPr>
              <w:t>14</w:t>
            </w:r>
          </w:p>
        </w:tc>
      </w:tr>
    </w:tbl>
    <w:p w14:paraId="162CEFB3" w14:textId="55A4ED3A" w:rsidR="004A33CD" w:rsidRPr="00781112" w:rsidRDefault="00E31E29" w:rsidP="002F42BE">
      <w:pPr>
        <w:spacing w:before="240"/>
        <w:rPr>
          <w:b/>
          <w:color w:val="000000" w:themeColor="text1"/>
        </w:rPr>
      </w:pPr>
      <w:bookmarkStart w:id="115" w:name="_Toc382731913"/>
      <w:bookmarkStart w:id="116" w:name="_Toc392159341"/>
      <w:r w:rsidRPr="00781112">
        <w:rPr>
          <w:b/>
          <w:color w:val="000000" w:themeColor="text1"/>
        </w:rPr>
        <w:t>Select yes if the data reported in this indicator are not the same as the State’s data reported under section 618 of the IDEA.</w:t>
      </w:r>
    </w:p>
    <w:p w14:paraId="619A5AA7" w14:textId="1E1987F6" w:rsidR="004A33CD" w:rsidRPr="000F63C4" w:rsidRDefault="00106F5A" w:rsidP="00314F94">
      <w:pPr>
        <w:pStyle w:val="ListParagraph"/>
        <w:numPr>
          <w:ilvl w:val="0"/>
          <w:numId w:val="264"/>
        </w:numPr>
        <w:rPr>
          <w:color w:val="000000" w:themeColor="text1"/>
        </w:rPr>
      </w:pPr>
      <w:r w:rsidRPr="000F63C4">
        <w:rPr>
          <w:color w:val="000000" w:themeColor="text1"/>
        </w:rPr>
        <w:t>No</w:t>
      </w:r>
    </w:p>
    <w:p w14:paraId="2AFA559A" w14:textId="1E7F001F" w:rsidR="000A2C83" w:rsidRPr="00781112" w:rsidRDefault="000A2C83" w:rsidP="004536A1">
      <w:pPr>
        <w:pStyle w:val="Heading4"/>
      </w:pPr>
      <w:r w:rsidRPr="00781112">
        <w:t>Targets: Description of Stakeholder Input</w:t>
      </w:r>
    </w:p>
    <w:p w14:paraId="42479DE6" w14:textId="77777777" w:rsidR="002F42BE" w:rsidRPr="000F63C4" w:rsidRDefault="002B7490" w:rsidP="00314F94">
      <w:pPr>
        <w:pStyle w:val="ListParagraph"/>
        <w:numPr>
          <w:ilvl w:val="0"/>
          <w:numId w:val="265"/>
        </w:numPr>
        <w:rPr>
          <w:rFonts w:cs="Arial"/>
          <w:color w:val="000000" w:themeColor="text1"/>
          <w:szCs w:val="16"/>
        </w:rPr>
      </w:pPr>
      <w:r w:rsidRPr="000F63C4">
        <w:rPr>
          <w:rFonts w:cs="Arial"/>
          <w:color w:val="000000" w:themeColor="text1"/>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60B2BAB4" w14:textId="1BFFE02B" w:rsidR="000A2C83" w:rsidRPr="00781112" w:rsidRDefault="002B7490" w:rsidP="00106F5A">
      <w:pPr>
        <w:ind w:left="720"/>
        <w:rPr>
          <w:rFonts w:cs="Arial"/>
          <w:color w:val="000000" w:themeColor="text1"/>
          <w:szCs w:val="16"/>
        </w:rPr>
      </w:pPr>
      <w:r w:rsidRPr="00781112">
        <w:rPr>
          <w:rFonts w:cs="Arial"/>
          <w:color w:val="000000" w:themeColor="text1"/>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1898DDBF" w14:textId="3B7F9A5D" w:rsidR="002F42BE" w:rsidRDefault="002B7490" w:rsidP="00106F5A">
      <w:pPr>
        <w:ind w:left="720"/>
        <w:rPr>
          <w:b/>
          <w:color w:val="000000" w:themeColor="text1"/>
        </w:rPr>
      </w:pPr>
      <w:r w:rsidRPr="00781112">
        <w:rPr>
          <w:rFonts w:cs="Arial"/>
          <w:color w:val="000000" w:themeColor="text1"/>
          <w:szCs w:val="16"/>
        </w:rPr>
        <w:t xml:space="preserve">In addition, the VDOE utilizes a consumer survey that is provided to the participants in the hearing. Following a hearing, a survey is provided to each party for return to the VDOE office that reflects their experience in the hearing process, including resolution sessions. When VDOE receives the surveys, they are </w:t>
      </w:r>
      <w:proofErr w:type="gramStart"/>
      <w:r w:rsidRPr="00781112">
        <w:rPr>
          <w:rFonts w:cs="Arial"/>
          <w:color w:val="000000" w:themeColor="text1"/>
          <w:szCs w:val="16"/>
        </w:rPr>
        <w:t>reviewed</w:t>
      </w:r>
      <w:proofErr w:type="gramEnd"/>
      <w:r w:rsidRPr="00781112">
        <w:rPr>
          <w:rFonts w:cs="Arial"/>
          <w:color w:val="000000" w:themeColor="text1"/>
          <w:szCs w:val="16"/>
        </w:rPr>
        <w:t xml:space="preserve"> and areas of concern are investigated. Changes to targets, policies, and practices are based on input received. In addition, VDOE monitors the hearing process </w:t>
      </w:r>
      <w:proofErr w:type="gramStart"/>
      <w:r w:rsidRPr="00781112">
        <w:rPr>
          <w:rFonts w:cs="Arial"/>
          <w:color w:val="000000" w:themeColor="text1"/>
          <w:szCs w:val="16"/>
        </w:rPr>
        <w:t>through the use of</w:t>
      </w:r>
      <w:proofErr w:type="gramEnd"/>
      <w:r w:rsidRPr="00781112">
        <w:rPr>
          <w:rFonts w:cs="Arial"/>
          <w:color w:val="000000" w:themeColor="text1"/>
          <w:szCs w:val="16"/>
        </w:rPr>
        <w:t xml:space="preserve"> specially assigned former hearing officers. These hearing reviewers also receive useful input from the parties that is shared with VDOE staff members and the hearing officers. The ongoing review process assists VDOE in continuing to monitor any useful changes or updates.</w:t>
      </w:r>
      <w:bookmarkEnd w:id="115"/>
      <w:bookmarkEnd w:id="116"/>
      <w:r w:rsidR="002F42BE">
        <w:rPr>
          <w:b/>
          <w:color w:val="000000" w:themeColor="text1"/>
        </w:rPr>
        <w:br w:type="page"/>
      </w:r>
    </w:p>
    <w:p w14:paraId="4E8407A2" w14:textId="502945AF" w:rsidR="00EC46E4" w:rsidRPr="00781112" w:rsidRDefault="00EC46E4" w:rsidP="00C33455">
      <w:pPr>
        <w:pStyle w:val="Caption"/>
      </w:pPr>
      <w:r w:rsidRPr="00781112">
        <w:lastRenderedPageBreak/>
        <w:t>Historical Data</w:t>
      </w:r>
      <w:r w:rsidR="00EB500A">
        <w:t xml:space="preserve"> (15)</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562"/>
        <w:gridCol w:w="2563"/>
      </w:tblGrid>
      <w:tr w:rsidR="00956DFE" w:rsidRPr="00781112" w14:paraId="4BC2AEC0" w14:textId="77777777" w:rsidTr="002F42BE">
        <w:trPr>
          <w:trHeight w:val="432"/>
          <w:tblHeader/>
        </w:trPr>
        <w:tc>
          <w:tcPr>
            <w:tcW w:w="2562" w:type="dxa"/>
            <w:shd w:val="clear" w:color="auto" w:fill="D9D9D9" w:themeFill="background1" w:themeFillShade="D9"/>
            <w:vAlign w:val="center"/>
          </w:tcPr>
          <w:p w14:paraId="5C965FC2" w14:textId="77777777" w:rsidR="00956DFE" w:rsidRPr="00781112" w:rsidRDefault="00956DFE" w:rsidP="002F42BE">
            <w:pPr>
              <w:spacing w:after="0" w:line="276" w:lineRule="auto"/>
              <w:jc w:val="center"/>
              <w:rPr>
                <w:b/>
                <w:color w:val="000000" w:themeColor="text1"/>
              </w:rPr>
            </w:pPr>
            <w:r w:rsidRPr="00781112">
              <w:rPr>
                <w:rFonts w:cs="Arial"/>
                <w:b/>
                <w:color w:val="000000" w:themeColor="text1"/>
                <w:szCs w:val="16"/>
              </w:rPr>
              <w:t>Baseline Year</w:t>
            </w:r>
          </w:p>
        </w:tc>
        <w:tc>
          <w:tcPr>
            <w:tcW w:w="2563" w:type="dxa"/>
            <w:shd w:val="clear" w:color="auto" w:fill="D9D9D9" w:themeFill="background1" w:themeFillShade="D9"/>
            <w:vAlign w:val="center"/>
          </w:tcPr>
          <w:p w14:paraId="0FE47E01" w14:textId="77777777" w:rsidR="00956DFE" w:rsidRPr="00781112" w:rsidRDefault="00956DFE" w:rsidP="002F42BE">
            <w:pPr>
              <w:spacing w:after="0" w:line="276" w:lineRule="auto"/>
              <w:jc w:val="center"/>
              <w:rPr>
                <w:b/>
                <w:color w:val="000000" w:themeColor="text1"/>
              </w:rPr>
            </w:pPr>
            <w:r w:rsidRPr="00781112">
              <w:rPr>
                <w:b/>
                <w:color w:val="000000" w:themeColor="text1"/>
              </w:rPr>
              <w:t>Baseline Data</w:t>
            </w:r>
          </w:p>
        </w:tc>
      </w:tr>
      <w:tr w:rsidR="00956DFE" w:rsidRPr="00781112" w14:paraId="4061AB26" w14:textId="77777777" w:rsidTr="002F42BE">
        <w:trPr>
          <w:trHeight w:val="432"/>
        </w:trPr>
        <w:tc>
          <w:tcPr>
            <w:tcW w:w="2562" w:type="dxa"/>
            <w:vAlign w:val="center"/>
          </w:tcPr>
          <w:p w14:paraId="06B6D30C" w14:textId="2AF9B55C" w:rsidR="00956DFE" w:rsidRPr="00781112" w:rsidRDefault="00956DFE" w:rsidP="002F42BE">
            <w:pPr>
              <w:spacing w:after="0" w:line="276" w:lineRule="auto"/>
              <w:jc w:val="center"/>
              <w:rPr>
                <w:bCs/>
                <w:color w:val="000000" w:themeColor="text1"/>
              </w:rPr>
            </w:pPr>
            <w:r w:rsidRPr="00781112">
              <w:rPr>
                <w:bCs/>
                <w:color w:val="000000" w:themeColor="text1"/>
              </w:rPr>
              <w:t>2005</w:t>
            </w:r>
          </w:p>
        </w:tc>
        <w:tc>
          <w:tcPr>
            <w:tcW w:w="2563" w:type="dxa"/>
            <w:vAlign w:val="center"/>
          </w:tcPr>
          <w:p w14:paraId="2ECB17ED" w14:textId="53ECEEAF" w:rsidR="00956DFE" w:rsidRPr="00781112" w:rsidRDefault="00956DFE" w:rsidP="002F42BE">
            <w:pPr>
              <w:spacing w:after="0" w:line="276" w:lineRule="auto"/>
              <w:jc w:val="center"/>
              <w:rPr>
                <w:bCs/>
                <w:color w:val="000000" w:themeColor="text1"/>
              </w:rPr>
            </w:pPr>
            <w:r w:rsidRPr="00781112">
              <w:rPr>
                <w:bCs/>
                <w:color w:val="000000" w:themeColor="text1"/>
              </w:rPr>
              <w:t>27.00%</w:t>
            </w:r>
          </w:p>
        </w:tc>
      </w:tr>
    </w:tbl>
    <w:p w14:paraId="5D9E57DC" w14:textId="5D39D49E" w:rsidR="004F0EE5" w:rsidRPr="004F0EE5" w:rsidRDefault="004F0EE5" w:rsidP="00C33455">
      <w:pPr>
        <w:pStyle w:val="Caption"/>
      </w:pPr>
      <w:r w:rsidRPr="00781112">
        <w:t>Historical Data</w:t>
      </w:r>
      <w:r>
        <w:t xml:space="preserve"> (FFY)</w:t>
      </w:r>
      <w:r w:rsidR="00EB500A">
        <w:t xml:space="preserve">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8"/>
        <w:gridCol w:w="1798"/>
        <w:gridCol w:w="1798"/>
        <w:gridCol w:w="1798"/>
        <w:gridCol w:w="1798"/>
        <w:gridCol w:w="1800"/>
      </w:tblGrid>
      <w:tr w:rsidR="005C29F8" w:rsidRPr="00781112" w14:paraId="4E412341" w14:textId="77777777" w:rsidTr="002F42BE">
        <w:trPr>
          <w:trHeight w:val="432"/>
        </w:trPr>
        <w:tc>
          <w:tcPr>
            <w:tcW w:w="833" w:type="pct"/>
            <w:tcBorders>
              <w:bottom w:val="single" w:sz="4" w:space="0" w:color="auto"/>
            </w:tcBorders>
            <w:shd w:val="clear" w:color="auto" w:fill="D9D9D9" w:themeFill="background1" w:themeFillShade="D9"/>
            <w:vAlign w:val="center"/>
          </w:tcPr>
          <w:p w14:paraId="3BCF53D4" w14:textId="77777777" w:rsidR="00206890" w:rsidRPr="00781112" w:rsidRDefault="00206890" w:rsidP="002F42BE">
            <w:pPr>
              <w:spacing w:after="0"/>
              <w:jc w:val="center"/>
              <w:rPr>
                <w:rFonts w:cs="Arial"/>
                <w:b/>
                <w:color w:val="000000" w:themeColor="text1"/>
                <w:szCs w:val="16"/>
              </w:rPr>
            </w:pPr>
            <w:r w:rsidRPr="00781112">
              <w:rPr>
                <w:rFonts w:cs="Arial"/>
                <w:b/>
                <w:color w:val="000000" w:themeColor="text1"/>
                <w:szCs w:val="16"/>
              </w:rPr>
              <w:t>FFY</w:t>
            </w:r>
          </w:p>
        </w:tc>
        <w:tc>
          <w:tcPr>
            <w:tcW w:w="833" w:type="pct"/>
            <w:shd w:val="clear" w:color="auto" w:fill="D9D9D9" w:themeFill="background1" w:themeFillShade="D9"/>
            <w:vAlign w:val="center"/>
          </w:tcPr>
          <w:p w14:paraId="1BCFC70E" w14:textId="1BB5B5A8" w:rsidR="00206890" w:rsidRPr="00781112" w:rsidRDefault="002B7490" w:rsidP="002F42BE">
            <w:pPr>
              <w:spacing w:after="0"/>
              <w:jc w:val="center"/>
              <w:rPr>
                <w:rFonts w:cs="Arial"/>
                <w:b/>
                <w:color w:val="000000" w:themeColor="text1"/>
                <w:szCs w:val="16"/>
              </w:rPr>
            </w:pPr>
            <w:r w:rsidRPr="00781112">
              <w:rPr>
                <w:rFonts w:cs="Arial"/>
                <w:b/>
                <w:color w:val="000000" w:themeColor="text1"/>
                <w:szCs w:val="16"/>
              </w:rPr>
              <w:t>2015</w:t>
            </w:r>
          </w:p>
        </w:tc>
        <w:tc>
          <w:tcPr>
            <w:tcW w:w="833" w:type="pct"/>
            <w:shd w:val="clear" w:color="auto" w:fill="D9D9D9" w:themeFill="background1" w:themeFillShade="D9"/>
            <w:vAlign w:val="center"/>
          </w:tcPr>
          <w:p w14:paraId="0D14322A" w14:textId="6BD4D2D0" w:rsidR="00206890" w:rsidRPr="00781112" w:rsidRDefault="002B7490" w:rsidP="002F42BE">
            <w:pPr>
              <w:spacing w:after="0"/>
              <w:jc w:val="center"/>
              <w:rPr>
                <w:rFonts w:cs="Arial"/>
                <w:b/>
                <w:color w:val="000000" w:themeColor="text1"/>
                <w:szCs w:val="16"/>
              </w:rPr>
            </w:pPr>
            <w:r w:rsidRPr="00781112">
              <w:rPr>
                <w:rFonts w:cs="Arial"/>
                <w:b/>
                <w:color w:val="000000" w:themeColor="text1"/>
                <w:szCs w:val="16"/>
              </w:rPr>
              <w:t>2016</w:t>
            </w:r>
          </w:p>
        </w:tc>
        <w:tc>
          <w:tcPr>
            <w:tcW w:w="833" w:type="pct"/>
            <w:shd w:val="clear" w:color="auto" w:fill="D9D9D9" w:themeFill="background1" w:themeFillShade="D9"/>
            <w:vAlign w:val="center"/>
          </w:tcPr>
          <w:p w14:paraId="5AD53313" w14:textId="5FC8C632" w:rsidR="00206890" w:rsidRPr="00781112" w:rsidRDefault="002B7490" w:rsidP="002F42BE">
            <w:pPr>
              <w:spacing w:after="0"/>
              <w:jc w:val="center"/>
              <w:rPr>
                <w:rFonts w:cs="Arial"/>
                <w:b/>
                <w:color w:val="000000" w:themeColor="text1"/>
                <w:szCs w:val="16"/>
              </w:rPr>
            </w:pPr>
            <w:r w:rsidRPr="00781112">
              <w:rPr>
                <w:rFonts w:cs="Arial"/>
                <w:b/>
                <w:color w:val="000000" w:themeColor="text1"/>
                <w:szCs w:val="16"/>
              </w:rPr>
              <w:t>2017</w:t>
            </w:r>
          </w:p>
        </w:tc>
        <w:tc>
          <w:tcPr>
            <w:tcW w:w="833" w:type="pct"/>
            <w:shd w:val="clear" w:color="auto" w:fill="D9D9D9" w:themeFill="background1" w:themeFillShade="D9"/>
            <w:vAlign w:val="center"/>
          </w:tcPr>
          <w:p w14:paraId="4015341F" w14:textId="703AE838" w:rsidR="00206890" w:rsidRPr="00781112" w:rsidRDefault="002B7490" w:rsidP="002F42BE">
            <w:pPr>
              <w:spacing w:after="0"/>
              <w:jc w:val="center"/>
              <w:rPr>
                <w:rFonts w:cs="Arial"/>
                <w:b/>
                <w:color w:val="000000" w:themeColor="text1"/>
                <w:szCs w:val="16"/>
              </w:rPr>
            </w:pPr>
            <w:r w:rsidRPr="00781112">
              <w:rPr>
                <w:rFonts w:cs="Arial"/>
                <w:b/>
                <w:color w:val="000000" w:themeColor="text1"/>
                <w:szCs w:val="16"/>
              </w:rPr>
              <w:t>2018</w:t>
            </w:r>
          </w:p>
        </w:tc>
        <w:tc>
          <w:tcPr>
            <w:tcW w:w="834" w:type="pct"/>
            <w:shd w:val="clear" w:color="auto" w:fill="D9D9D9" w:themeFill="background1" w:themeFillShade="D9"/>
            <w:vAlign w:val="center"/>
          </w:tcPr>
          <w:p w14:paraId="087D6966" w14:textId="6C948B8E" w:rsidR="00206890" w:rsidRPr="00781112" w:rsidRDefault="002B7490" w:rsidP="002F42BE">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2C55BF13" w14:textId="77777777" w:rsidTr="002F42BE">
        <w:trPr>
          <w:trHeight w:val="432"/>
        </w:trPr>
        <w:tc>
          <w:tcPr>
            <w:tcW w:w="833" w:type="pct"/>
            <w:shd w:val="clear" w:color="auto" w:fill="auto"/>
            <w:vAlign w:val="center"/>
          </w:tcPr>
          <w:p w14:paraId="33F24D1B" w14:textId="209B7194" w:rsidR="00206890" w:rsidRPr="00781112" w:rsidRDefault="00206890" w:rsidP="002F42BE">
            <w:pPr>
              <w:spacing w:after="0"/>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7184CC23" w14:textId="0660F716"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50.00%</w:t>
            </w:r>
          </w:p>
        </w:tc>
        <w:tc>
          <w:tcPr>
            <w:tcW w:w="833" w:type="pct"/>
            <w:shd w:val="clear" w:color="auto" w:fill="auto"/>
            <w:vAlign w:val="center"/>
          </w:tcPr>
          <w:p w14:paraId="0E9857EC" w14:textId="50F3C2EF"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50.00%</w:t>
            </w:r>
          </w:p>
        </w:tc>
        <w:tc>
          <w:tcPr>
            <w:tcW w:w="833" w:type="pct"/>
            <w:shd w:val="clear" w:color="auto" w:fill="auto"/>
            <w:vAlign w:val="center"/>
          </w:tcPr>
          <w:p w14:paraId="0571C04B" w14:textId="328A30A7"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50.00%</w:t>
            </w:r>
          </w:p>
        </w:tc>
        <w:tc>
          <w:tcPr>
            <w:tcW w:w="833" w:type="pct"/>
            <w:shd w:val="clear" w:color="auto" w:fill="auto"/>
            <w:vAlign w:val="center"/>
          </w:tcPr>
          <w:p w14:paraId="77EAC2A0" w14:textId="7A794ABC"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50.00%</w:t>
            </w:r>
          </w:p>
        </w:tc>
        <w:tc>
          <w:tcPr>
            <w:tcW w:w="834" w:type="pct"/>
            <w:shd w:val="clear" w:color="auto" w:fill="auto"/>
            <w:vAlign w:val="center"/>
          </w:tcPr>
          <w:p w14:paraId="04397BF9" w14:textId="1A3506DC"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50.00%</w:t>
            </w:r>
          </w:p>
        </w:tc>
      </w:tr>
      <w:tr w:rsidR="005C29F8" w:rsidRPr="00781112" w14:paraId="10C8B4B5" w14:textId="77777777" w:rsidTr="002F42BE">
        <w:trPr>
          <w:trHeight w:val="432"/>
        </w:trPr>
        <w:tc>
          <w:tcPr>
            <w:tcW w:w="833" w:type="pct"/>
            <w:shd w:val="clear" w:color="auto" w:fill="auto"/>
            <w:vAlign w:val="center"/>
          </w:tcPr>
          <w:p w14:paraId="708FF78B" w14:textId="77777777" w:rsidR="00206890" w:rsidRPr="00781112" w:rsidRDefault="00206890" w:rsidP="002F42BE">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5E187FD0" w14:textId="3237A264"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61.76%</w:t>
            </w:r>
          </w:p>
        </w:tc>
        <w:tc>
          <w:tcPr>
            <w:tcW w:w="833" w:type="pct"/>
            <w:shd w:val="clear" w:color="auto" w:fill="auto"/>
            <w:vAlign w:val="center"/>
          </w:tcPr>
          <w:p w14:paraId="6CEC3330" w14:textId="5E8A3E06"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60.29%</w:t>
            </w:r>
          </w:p>
        </w:tc>
        <w:tc>
          <w:tcPr>
            <w:tcW w:w="833" w:type="pct"/>
            <w:tcBorders>
              <w:bottom w:val="single" w:sz="4" w:space="0" w:color="auto"/>
            </w:tcBorders>
            <w:shd w:val="clear" w:color="auto" w:fill="auto"/>
            <w:vAlign w:val="center"/>
          </w:tcPr>
          <w:p w14:paraId="3C74B678" w14:textId="22746FF8"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32.26%</w:t>
            </w:r>
          </w:p>
        </w:tc>
        <w:tc>
          <w:tcPr>
            <w:tcW w:w="833" w:type="pct"/>
            <w:tcBorders>
              <w:bottom w:val="single" w:sz="4" w:space="0" w:color="auto"/>
            </w:tcBorders>
            <w:shd w:val="clear" w:color="auto" w:fill="auto"/>
            <w:vAlign w:val="center"/>
          </w:tcPr>
          <w:p w14:paraId="6488E126" w14:textId="74B63322"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13.79%</w:t>
            </w:r>
          </w:p>
        </w:tc>
        <w:tc>
          <w:tcPr>
            <w:tcW w:w="834" w:type="pct"/>
            <w:tcBorders>
              <w:bottom w:val="single" w:sz="4" w:space="0" w:color="auto"/>
            </w:tcBorders>
            <w:shd w:val="clear" w:color="auto" w:fill="auto"/>
            <w:vAlign w:val="center"/>
          </w:tcPr>
          <w:p w14:paraId="72325A8D" w14:textId="79CE876D" w:rsidR="00206890" w:rsidRPr="00781112" w:rsidRDefault="002B7490" w:rsidP="002F42BE">
            <w:pPr>
              <w:spacing w:after="0"/>
              <w:jc w:val="center"/>
              <w:rPr>
                <w:rFonts w:cs="Arial"/>
                <w:color w:val="000000" w:themeColor="text1"/>
                <w:szCs w:val="16"/>
              </w:rPr>
            </w:pPr>
            <w:r w:rsidRPr="00781112">
              <w:rPr>
                <w:rFonts w:cs="Arial"/>
                <w:color w:val="000000" w:themeColor="text1"/>
                <w:szCs w:val="16"/>
              </w:rPr>
              <w:t>40.43%</w:t>
            </w:r>
          </w:p>
        </w:tc>
      </w:tr>
    </w:tbl>
    <w:p w14:paraId="3D302901" w14:textId="26F142B7" w:rsidR="008E31C4" w:rsidRPr="00781112" w:rsidRDefault="008E31C4" w:rsidP="00C33455">
      <w:pPr>
        <w:pStyle w:val="Caption"/>
      </w:pPr>
      <w:bookmarkStart w:id="117" w:name="_Hlk121845038"/>
      <w:r w:rsidRPr="00781112">
        <w:t>Targets</w:t>
      </w:r>
      <w:r w:rsidR="00EB500A">
        <w:t xml:space="preserve"> (15)</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low and high targets for federal fiscal years 2020-2025 for this indicator."/>
      </w:tblPr>
      <w:tblGrid>
        <w:gridCol w:w="896"/>
        <w:gridCol w:w="823"/>
        <w:gridCol w:w="823"/>
        <w:gridCol w:w="823"/>
        <w:gridCol w:w="823"/>
        <w:gridCol w:w="823"/>
        <w:gridCol w:w="824"/>
        <w:gridCol w:w="824"/>
        <w:gridCol w:w="824"/>
        <w:gridCol w:w="824"/>
        <w:gridCol w:w="824"/>
        <w:gridCol w:w="824"/>
        <w:gridCol w:w="824"/>
      </w:tblGrid>
      <w:tr w:rsidR="000A20EF" w:rsidRPr="00781112" w14:paraId="644B64CC" w14:textId="054608F6" w:rsidTr="000A20EF">
        <w:trPr>
          <w:trHeight w:val="432"/>
          <w:tblHeader/>
        </w:trPr>
        <w:tc>
          <w:tcPr>
            <w:tcW w:w="416" w:type="pct"/>
            <w:tcBorders>
              <w:bottom w:val="single" w:sz="4" w:space="0" w:color="auto"/>
            </w:tcBorders>
            <w:shd w:val="clear" w:color="auto" w:fill="D9D9D9" w:themeFill="background1" w:themeFillShade="D9"/>
            <w:vAlign w:val="center"/>
          </w:tcPr>
          <w:bookmarkEnd w:id="117"/>
          <w:p w14:paraId="7BA1EAE5" w14:textId="77777777" w:rsidR="009B1384" w:rsidRPr="00781112" w:rsidRDefault="009B1384" w:rsidP="002F42BE">
            <w:pPr>
              <w:spacing w:after="0"/>
              <w:ind w:left="-118" w:right="-109"/>
              <w:jc w:val="center"/>
              <w:rPr>
                <w:b/>
                <w:color w:val="000000" w:themeColor="text1"/>
              </w:rPr>
            </w:pPr>
            <w:r w:rsidRPr="00781112">
              <w:rPr>
                <w:b/>
                <w:color w:val="000000" w:themeColor="text1"/>
              </w:rPr>
              <w:t>FFY</w:t>
            </w:r>
          </w:p>
        </w:tc>
        <w:tc>
          <w:tcPr>
            <w:tcW w:w="382" w:type="pct"/>
            <w:shd w:val="clear" w:color="auto" w:fill="D9D9D9" w:themeFill="background1" w:themeFillShade="D9"/>
            <w:vAlign w:val="center"/>
          </w:tcPr>
          <w:p w14:paraId="23DAA64E" w14:textId="191590DB" w:rsidR="009B1384" w:rsidRPr="00781112" w:rsidRDefault="009B1384" w:rsidP="000A20EF">
            <w:pPr>
              <w:spacing w:after="0"/>
              <w:ind w:left="-105" w:right="-95"/>
              <w:jc w:val="center"/>
              <w:rPr>
                <w:b/>
                <w:color w:val="000000" w:themeColor="text1"/>
              </w:rPr>
            </w:pPr>
            <w:r w:rsidRPr="00781112">
              <w:rPr>
                <w:b/>
                <w:color w:val="000000" w:themeColor="text1"/>
              </w:rPr>
              <w:t>2020 (low)</w:t>
            </w:r>
          </w:p>
        </w:tc>
        <w:tc>
          <w:tcPr>
            <w:tcW w:w="382" w:type="pct"/>
            <w:shd w:val="clear" w:color="auto" w:fill="D9D9D9" w:themeFill="background1" w:themeFillShade="D9"/>
            <w:vAlign w:val="center"/>
          </w:tcPr>
          <w:p w14:paraId="0DBD43BD" w14:textId="6B62D568" w:rsidR="009B1384" w:rsidRPr="00781112" w:rsidRDefault="009B1384" w:rsidP="000A20EF">
            <w:pPr>
              <w:spacing w:after="0"/>
              <w:ind w:left="-100" w:right="-95"/>
              <w:jc w:val="center"/>
              <w:rPr>
                <w:b/>
                <w:color w:val="000000" w:themeColor="text1"/>
              </w:rPr>
            </w:pPr>
            <w:r w:rsidRPr="00781112">
              <w:rPr>
                <w:b/>
                <w:color w:val="000000" w:themeColor="text1"/>
              </w:rPr>
              <w:t>2020 (high)</w:t>
            </w:r>
          </w:p>
        </w:tc>
        <w:tc>
          <w:tcPr>
            <w:tcW w:w="382" w:type="pct"/>
            <w:shd w:val="clear" w:color="auto" w:fill="D9D9D9" w:themeFill="background1" w:themeFillShade="D9"/>
            <w:vAlign w:val="center"/>
          </w:tcPr>
          <w:p w14:paraId="6AD281FB" w14:textId="59DA3DC8" w:rsidR="009B1384" w:rsidRPr="00781112" w:rsidRDefault="009B1384" w:rsidP="000A20EF">
            <w:pPr>
              <w:spacing w:after="0"/>
              <w:ind w:left="-105" w:right="-95"/>
              <w:jc w:val="center"/>
              <w:rPr>
                <w:b/>
                <w:color w:val="000000" w:themeColor="text1"/>
              </w:rPr>
            </w:pPr>
            <w:r w:rsidRPr="00781112">
              <w:rPr>
                <w:b/>
                <w:color w:val="000000" w:themeColor="text1"/>
              </w:rPr>
              <w:t>2021 (low)</w:t>
            </w:r>
          </w:p>
        </w:tc>
        <w:tc>
          <w:tcPr>
            <w:tcW w:w="382" w:type="pct"/>
            <w:shd w:val="clear" w:color="auto" w:fill="D9D9D9" w:themeFill="background1" w:themeFillShade="D9"/>
            <w:vAlign w:val="center"/>
          </w:tcPr>
          <w:p w14:paraId="28D1785D" w14:textId="24810D2E" w:rsidR="009B1384" w:rsidRPr="00781112" w:rsidRDefault="009B1384" w:rsidP="000A20EF">
            <w:pPr>
              <w:spacing w:after="0"/>
              <w:ind w:left="-100" w:right="-95"/>
              <w:jc w:val="center"/>
              <w:rPr>
                <w:b/>
                <w:color w:val="000000" w:themeColor="text1"/>
              </w:rPr>
            </w:pPr>
            <w:r w:rsidRPr="00781112">
              <w:rPr>
                <w:b/>
                <w:color w:val="000000" w:themeColor="text1"/>
              </w:rPr>
              <w:t>2021 (high)</w:t>
            </w:r>
          </w:p>
        </w:tc>
        <w:tc>
          <w:tcPr>
            <w:tcW w:w="382" w:type="pct"/>
            <w:shd w:val="clear" w:color="auto" w:fill="D9D9D9" w:themeFill="background1" w:themeFillShade="D9"/>
            <w:vAlign w:val="center"/>
          </w:tcPr>
          <w:p w14:paraId="07035D22" w14:textId="05E36A4B" w:rsidR="009B1384" w:rsidRPr="00781112" w:rsidRDefault="009B1384" w:rsidP="000A20EF">
            <w:pPr>
              <w:spacing w:after="0"/>
              <w:ind w:left="-105" w:right="-95"/>
              <w:jc w:val="center"/>
              <w:rPr>
                <w:b/>
                <w:color w:val="000000" w:themeColor="text1"/>
              </w:rPr>
            </w:pPr>
            <w:r w:rsidRPr="00781112">
              <w:rPr>
                <w:b/>
                <w:color w:val="000000" w:themeColor="text1"/>
              </w:rPr>
              <w:t>2022 (low)</w:t>
            </w:r>
          </w:p>
        </w:tc>
        <w:tc>
          <w:tcPr>
            <w:tcW w:w="382" w:type="pct"/>
            <w:shd w:val="clear" w:color="auto" w:fill="D9D9D9" w:themeFill="background1" w:themeFillShade="D9"/>
            <w:vAlign w:val="center"/>
          </w:tcPr>
          <w:p w14:paraId="2718908F" w14:textId="007164CA" w:rsidR="009B1384" w:rsidRPr="00781112" w:rsidRDefault="009B1384" w:rsidP="000A20EF">
            <w:pPr>
              <w:spacing w:after="0"/>
              <w:ind w:left="-100" w:right="-95"/>
              <w:jc w:val="center"/>
              <w:rPr>
                <w:b/>
                <w:color w:val="000000" w:themeColor="text1"/>
              </w:rPr>
            </w:pPr>
            <w:r w:rsidRPr="00781112">
              <w:rPr>
                <w:b/>
                <w:color w:val="000000" w:themeColor="text1"/>
              </w:rPr>
              <w:t>2022 (high)</w:t>
            </w:r>
          </w:p>
        </w:tc>
        <w:tc>
          <w:tcPr>
            <w:tcW w:w="382" w:type="pct"/>
            <w:shd w:val="clear" w:color="auto" w:fill="D9D9D9" w:themeFill="background1" w:themeFillShade="D9"/>
            <w:vAlign w:val="center"/>
          </w:tcPr>
          <w:p w14:paraId="746E820E" w14:textId="19344CF0" w:rsidR="009B1384" w:rsidRPr="00781112" w:rsidRDefault="009B1384" w:rsidP="000A20EF">
            <w:pPr>
              <w:spacing w:after="0"/>
              <w:ind w:left="-105" w:right="-95"/>
              <w:jc w:val="center"/>
              <w:rPr>
                <w:b/>
                <w:color w:val="000000" w:themeColor="text1"/>
              </w:rPr>
            </w:pPr>
            <w:r w:rsidRPr="00781112">
              <w:rPr>
                <w:b/>
                <w:color w:val="000000" w:themeColor="text1"/>
              </w:rPr>
              <w:t>2023 (low)</w:t>
            </w:r>
          </w:p>
        </w:tc>
        <w:tc>
          <w:tcPr>
            <w:tcW w:w="382" w:type="pct"/>
            <w:shd w:val="clear" w:color="auto" w:fill="D9D9D9" w:themeFill="background1" w:themeFillShade="D9"/>
            <w:vAlign w:val="center"/>
          </w:tcPr>
          <w:p w14:paraId="4E80578F" w14:textId="06784578" w:rsidR="009B1384" w:rsidRPr="00781112" w:rsidRDefault="009B1384" w:rsidP="000A20EF">
            <w:pPr>
              <w:spacing w:after="0"/>
              <w:ind w:left="-100" w:right="-95"/>
              <w:jc w:val="center"/>
              <w:rPr>
                <w:b/>
                <w:color w:val="000000" w:themeColor="text1"/>
              </w:rPr>
            </w:pPr>
            <w:r w:rsidRPr="00781112">
              <w:rPr>
                <w:b/>
                <w:color w:val="000000" w:themeColor="text1"/>
              </w:rPr>
              <w:t>2023 (high)</w:t>
            </w:r>
          </w:p>
        </w:tc>
        <w:tc>
          <w:tcPr>
            <w:tcW w:w="382" w:type="pct"/>
            <w:shd w:val="clear" w:color="auto" w:fill="D9D9D9" w:themeFill="background1" w:themeFillShade="D9"/>
            <w:vAlign w:val="center"/>
          </w:tcPr>
          <w:p w14:paraId="2CABE82F" w14:textId="4F0DC700" w:rsidR="009B1384" w:rsidRPr="00781112" w:rsidRDefault="009B1384" w:rsidP="000A20EF">
            <w:pPr>
              <w:spacing w:after="0"/>
              <w:ind w:left="-105" w:right="-95"/>
              <w:jc w:val="center"/>
              <w:rPr>
                <w:b/>
                <w:color w:val="000000" w:themeColor="text1"/>
              </w:rPr>
            </w:pPr>
            <w:r w:rsidRPr="00781112">
              <w:rPr>
                <w:b/>
                <w:color w:val="000000" w:themeColor="text1"/>
              </w:rPr>
              <w:t>2024 (low)</w:t>
            </w:r>
          </w:p>
        </w:tc>
        <w:tc>
          <w:tcPr>
            <w:tcW w:w="382" w:type="pct"/>
            <w:shd w:val="clear" w:color="auto" w:fill="D9D9D9" w:themeFill="background1" w:themeFillShade="D9"/>
            <w:vAlign w:val="center"/>
          </w:tcPr>
          <w:p w14:paraId="59F727BE" w14:textId="5E98283F" w:rsidR="009B1384" w:rsidRPr="00781112" w:rsidRDefault="009B1384" w:rsidP="000A20EF">
            <w:pPr>
              <w:spacing w:after="0"/>
              <w:ind w:left="-100" w:right="-95"/>
              <w:jc w:val="center"/>
              <w:rPr>
                <w:b/>
                <w:color w:val="000000" w:themeColor="text1"/>
              </w:rPr>
            </w:pPr>
            <w:r w:rsidRPr="00781112">
              <w:rPr>
                <w:b/>
                <w:color w:val="000000" w:themeColor="text1"/>
              </w:rPr>
              <w:t>2024 (high)</w:t>
            </w:r>
          </w:p>
        </w:tc>
        <w:tc>
          <w:tcPr>
            <w:tcW w:w="382" w:type="pct"/>
            <w:shd w:val="clear" w:color="auto" w:fill="D9D9D9" w:themeFill="background1" w:themeFillShade="D9"/>
            <w:vAlign w:val="center"/>
          </w:tcPr>
          <w:p w14:paraId="79BC879A" w14:textId="0E4CE7EF" w:rsidR="009B1384" w:rsidRPr="00781112" w:rsidRDefault="009B1384" w:rsidP="000A20EF">
            <w:pPr>
              <w:spacing w:after="0"/>
              <w:ind w:left="-105" w:right="-95"/>
              <w:jc w:val="center"/>
              <w:rPr>
                <w:b/>
                <w:color w:val="000000" w:themeColor="text1"/>
              </w:rPr>
            </w:pPr>
            <w:r w:rsidRPr="00781112">
              <w:rPr>
                <w:b/>
                <w:color w:val="000000" w:themeColor="text1"/>
              </w:rPr>
              <w:t>2025 (low)</w:t>
            </w:r>
          </w:p>
        </w:tc>
        <w:tc>
          <w:tcPr>
            <w:tcW w:w="382" w:type="pct"/>
            <w:shd w:val="clear" w:color="auto" w:fill="D9D9D9" w:themeFill="background1" w:themeFillShade="D9"/>
            <w:vAlign w:val="center"/>
          </w:tcPr>
          <w:p w14:paraId="50AB0825" w14:textId="376A76A5" w:rsidR="009B1384" w:rsidRPr="00781112" w:rsidRDefault="009B1384" w:rsidP="000A20EF">
            <w:pPr>
              <w:spacing w:after="0"/>
              <w:ind w:left="-100" w:right="-95"/>
              <w:jc w:val="center"/>
              <w:rPr>
                <w:b/>
                <w:color w:val="000000" w:themeColor="text1"/>
              </w:rPr>
            </w:pPr>
            <w:r w:rsidRPr="00781112">
              <w:rPr>
                <w:b/>
                <w:color w:val="000000" w:themeColor="text1"/>
              </w:rPr>
              <w:t>2025 (high)</w:t>
            </w:r>
          </w:p>
        </w:tc>
      </w:tr>
      <w:tr w:rsidR="000A20EF" w:rsidRPr="00781112" w14:paraId="6C97BE7D" w14:textId="4C644E2E" w:rsidTr="000A20EF">
        <w:trPr>
          <w:trHeight w:val="432"/>
        </w:trPr>
        <w:tc>
          <w:tcPr>
            <w:tcW w:w="416" w:type="pct"/>
            <w:shd w:val="clear" w:color="auto" w:fill="auto"/>
            <w:vAlign w:val="center"/>
          </w:tcPr>
          <w:p w14:paraId="3B66E2A4" w14:textId="3F1055B0" w:rsidR="00643D78" w:rsidRPr="00781112" w:rsidRDefault="00643D78" w:rsidP="002F42BE">
            <w:pPr>
              <w:spacing w:after="0"/>
              <w:ind w:left="-118" w:right="-109"/>
              <w:jc w:val="center"/>
              <w:rPr>
                <w:rFonts w:cs="Arial"/>
                <w:color w:val="000000" w:themeColor="text1"/>
                <w:szCs w:val="16"/>
              </w:rPr>
            </w:pPr>
            <w:r w:rsidRPr="00781112">
              <w:rPr>
                <w:rFonts w:cs="Arial"/>
                <w:color w:val="000000" w:themeColor="text1"/>
                <w:szCs w:val="16"/>
              </w:rPr>
              <w:t>Target &gt;=</w:t>
            </w:r>
          </w:p>
        </w:tc>
        <w:tc>
          <w:tcPr>
            <w:tcW w:w="382" w:type="pct"/>
            <w:shd w:val="clear" w:color="auto" w:fill="auto"/>
            <w:vAlign w:val="center"/>
          </w:tcPr>
          <w:p w14:paraId="079136BB" w14:textId="5FB572C1" w:rsidR="00643D78" w:rsidRPr="00781112" w:rsidRDefault="00643D78" w:rsidP="000A20EF">
            <w:pPr>
              <w:spacing w:after="0"/>
              <w:ind w:left="-105" w:right="-95"/>
              <w:jc w:val="center"/>
              <w:rPr>
                <w:rFonts w:cs="Arial"/>
                <w:color w:val="000000" w:themeColor="text1"/>
                <w:szCs w:val="16"/>
              </w:rPr>
            </w:pPr>
            <w:r w:rsidRPr="00781112">
              <w:rPr>
                <w:rFonts w:cs="Arial"/>
                <w:color w:val="000000" w:themeColor="text1"/>
                <w:szCs w:val="16"/>
              </w:rPr>
              <w:t>34.00%</w:t>
            </w:r>
          </w:p>
        </w:tc>
        <w:tc>
          <w:tcPr>
            <w:tcW w:w="382" w:type="pct"/>
            <w:shd w:val="clear" w:color="auto" w:fill="auto"/>
            <w:vAlign w:val="center"/>
          </w:tcPr>
          <w:p w14:paraId="75118312" w14:textId="5B296FF3" w:rsidR="00643D78" w:rsidRPr="00781112" w:rsidRDefault="00643D78" w:rsidP="000A20EF">
            <w:pPr>
              <w:spacing w:after="0"/>
              <w:ind w:left="-100" w:right="-95"/>
              <w:jc w:val="center"/>
              <w:rPr>
                <w:rFonts w:cs="Arial"/>
                <w:color w:val="000000" w:themeColor="text1"/>
                <w:szCs w:val="16"/>
              </w:rPr>
            </w:pPr>
            <w:r w:rsidRPr="00781112">
              <w:rPr>
                <w:rFonts w:cs="Arial"/>
                <w:color w:val="000000" w:themeColor="text1"/>
                <w:szCs w:val="16"/>
              </w:rPr>
              <w:t>39.00%</w:t>
            </w:r>
          </w:p>
        </w:tc>
        <w:tc>
          <w:tcPr>
            <w:tcW w:w="382" w:type="pct"/>
            <w:vAlign w:val="center"/>
          </w:tcPr>
          <w:p w14:paraId="3F181347" w14:textId="445996E0" w:rsidR="00643D78" w:rsidRPr="00781112" w:rsidRDefault="00643D78" w:rsidP="000A20EF">
            <w:pPr>
              <w:spacing w:after="0"/>
              <w:ind w:left="-105" w:right="-95"/>
              <w:jc w:val="center"/>
              <w:rPr>
                <w:rFonts w:cs="Arial"/>
                <w:color w:val="000000" w:themeColor="text1"/>
                <w:szCs w:val="16"/>
              </w:rPr>
            </w:pPr>
            <w:r w:rsidRPr="00781112">
              <w:rPr>
                <w:rFonts w:cs="Arial"/>
                <w:color w:val="000000" w:themeColor="text1"/>
                <w:szCs w:val="16"/>
              </w:rPr>
              <w:t>34.00%</w:t>
            </w:r>
          </w:p>
        </w:tc>
        <w:tc>
          <w:tcPr>
            <w:tcW w:w="382" w:type="pct"/>
            <w:vAlign w:val="center"/>
          </w:tcPr>
          <w:p w14:paraId="19A85918" w14:textId="494A2267" w:rsidR="00643D78" w:rsidRPr="00781112" w:rsidRDefault="00643D78" w:rsidP="000A20EF">
            <w:pPr>
              <w:spacing w:after="0"/>
              <w:ind w:left="-100" w:right="-95"/>
              <w:jc w:val="center"/>
              <w:rPr>
                <w:rFonts w:cs="Arial"/>
                <w:color w:val="000000" w:themeColor="text1"/>
                <w:szCs w:val="16"/>
              </w:rPr>
            </w:pPr>
            <w:r w:rsidRPr="00781112">
              <w:rPr>
                <w:rFonts w:cs="Arial"/>
                <w:color w:val="000000" w:themeColor="text1"/>
                <w:szCs w:val="16"/>
              </w:rPr>
              <w:t>39.00%</w:t>
            </w:r>
          </w:p>
        </w:tc>
        <w:tc>
          <w:tcPr>
            <w:tcW w:w="382" w:type="pct"/>
            <w:vAlign w:val="center"/>
          </w:tcPr>
          <w:p w14:paraId="6A6EC070" w14:textId="2D306454" w:rsidR="00643D78" w:rsidRPr="00781112" w:rsidRDefault="00643D78" w:rsidP="000A20EF">
            <w:pPr>
              <w:spacing w:after="0"/>
              <w:ind w:left="-105" w:right="-95"/>
              <w:jc w:val="center"/>
              <w:rPr>
                <w:rFonts w:cs="Arial"/>
                <w:color w:val="000000" w:themeColor="text1"/>
                <w:szCs w:val="16"/>
              </w:rPr>
            </w:pPr>
            <w:r w:rsidRPr="00781112">
              <w:rPr>
                <w:rFonts w:cs="Arial"/>
                <w:color w:val="000000" w:themeColor="text1"/>
                <w:szCs w:val="16"/>
              </w:rPr>
              <w:t>34.00%</w:t>
            </w:r>
          </w:p>
        </w:tc>
        <w:tc>
          <w:tcPr>
            <w:tcW w:w="382" w:type="pct"/>
            <w:vAlign w:val="center"/>
          </w:tcPr>
          <w:p w14:paraId="35D976E8" w14:textId="49E9BF03" w:rsidR="00643D78" w:rsidRPr="00781112" w:rsidRDefault="00643D78" w:rsidP="000A20EF">
            <w:pPr>
              <w:spacing w:after="0"/>
              <w:ind w:left="-100" w:right="-95"/>
              <w:jc w:val="center"/>
              <w:rPr>
                <w:rFonts w:cs="Arial"/>
                <w:color w:val="000000" w:themeColor="text1"/>
                <w:szCs w:val="16"/>
              </w:rPr>
            </w:pPr>
            <w:r w:rsidRPr="00781112">
              <w:rPr>
                <w:rFonts w:cs="Arial"/>
                <w:color w:val="000000" w:themeColor="text1"/>
                <w:szCs w:val="16"/>
              </w:rPr>
              <w:t>39.00%</w:t>
            </w:r>
          </w:p>
        </w:tc>
        <w:tc>
          <w:tcPr>
            <w:tcW w:w="382" w:type="pct"/>
            <w:vAlign w:val="center"/>
          </w:tcPr>
          <w:p w14:paraId="72B38389" w14:textId="24A25CD2" w:rsidR="00643D78" w:rsidRPr="00781112" w:rsidRDefault="00643D78" w:rsidP="000A20EF">
            <w:pPr>
              <w:spacing w:after="0"/>
              <w:ind w:left="-105" w:right="-95"/>
              <w:jc w:val="center"/>
              <w:rPr>
                <w:rFonts w:cs="Arial"/>
                <w:color w:val="000000" w:themeColor="text1"/>
                <w:szCs w:val="16"/>
              </w:rPr>
            </w:pPr>
            <w:r w:rsidRPr="00781112">
              <w:rPr>
                <w:rFonts w:cs="Arial"/>
                <w:color w:val="000000" w:themeColor="text1"/>
                <w:szCs w:val="16"/>
              </w:rPr>
              <w:t>34.00%</w:t>
            </w:r>
          </w:p>
        </w:tc>
        <w:tc>
          <w:tcPr>
            <w:tcW w:w="382" w:type="pct"/>
            <w:vAlign w:val="center"/>
          </w:tcPr>
          <w:p w14:paraId="6BCA1621" w14:textId="2751B939" w:rsidR="00643D78" w:rsidRPr="00781112" w:rsidRDefault="00643D78" w:rsidP="000A20EF">
            <w:pPr>
              <w:spacing w:after="0"/>
              <w:ind w:left="-100" w:right="-95"/>
              <w:jc w:val="center"/>
              <w:rPr>
                <w:rFonts w:cs="Arial"/>
                <w:color w:val="000000" w:themeColor="text1"/>
                <w:szCs w:val="16"/>
              </w:rPr>
            </w:pPr>
            <w:r w:rsidRPr="00781112">
              <w:rPr>
                <w:rFonts w:cs="Arial"/>
                <w:color w:val="000000" w:themeColor="text1"/>
                <w:szCs w:val="16"/>
              </w:rPr>
              <w:t>39.00%</w:t>
            </w:r>
          </w:p>
        </w:tc>
        <w:tc>
          <w:tcPr>
            <w:tcW w:w="382" w:type="pct"/>
            <w:vAlign w:val="center"/>
          </w:tcPr>
          <w:p w14:paraId="42BFD777" w14:textId="5B810178" w:rsidR="00643D78" w:rsidRPr="00781112" w:rsidRDefault="00643D78" w:rsidP="000A20EF">
            <w:pPr>
              <w:spacing w:after="0"/>
              <w:ind w:left="-105" w:right="-95"/>
              <w:jc w:val="center"/>
              <w:rPr>
                <w:rFonts w:cs="Arial"/>
                <w:color w:val="000000" w:themeColor="text1"/>
                <w:szCs w:val="16"/>
              </w:rPr>
            </w:pPr>
            <w:r w:rsidRPr="00781112">
              <w:rPr>
                <w:rFonts w:cs="Arial"/>
                <w:color w:val="000000" w:themeColor="text1"/>
                <w:szCs w:val="16"/>
              </w:rPr>
              <w:t>34.00%</w:t>
            </w:r>
          </w:p>
        </w:tc>
        <w:tc>
          <w:tcPr>
            <w:tcW w:w="382" w:type="pct"/>
            <w:vAlign w:val="center"/>
          </w:tcPr>
          <w:p w14:paraId="54B9C439" w14:textId="053B7F1A" w:rsidR="00643D78" w:rsidRPr="00781112" w:rsidRDefault="00643D78" w:rsidP="000A20EF">
            <w:pPr>
              <w:spacing w:after="0"/>
              <w:ind w:left="-100" w:right="-95"/>
              <w:jc w:val="center"/>
              <w:rPr>
                <w:rFonts w:cs="Arial"/>
                <w:color w:val="000000" w:themeColor="text1"/>
                <w:szCs w:val="16"/>
              </w:rPr>
            </w:pPr>
            <w:r w:rsidRPr="00781112">
              <w:rPr>
                <w:rFonts w:cs="Arial"/>
                <w:color w:val="000000" w:themeColor="text1"/>
                <w:szCs w:val="16"/>
              </w:rPr>
              <w:t>39.00%</w:t>
            </w:r>
          </w:p>
        </w:tc>
        <w:tc>
          <w:tcPr>
            <w:tcW w:w="382" w:type="pct"/>
            <w:vAlign w:val="center"/>
          </w:tcPr>
          <w:p w14:paraId="75A9B04C" w14:textId="06079264" w:rsidR="00643D78" w:rsidRPr="00781112" w:rsidRDefault="00643D78" w:rsidP="000A20EF">
            <w:pPr>
              <w:spacing w:after="0"/>
              <w:ind w:left="-105" w:right="-95"/>
              <w:jc w:val="center"/>
              <w:rPr>
                <w:rFonts w:cs="Arial"/>
                <w:color w:val="000000" w:themeColor="text1"/>
                <w:szCs w:val="16"/>
              </w:rPr>
            </w:pPr>
            <w:r w:rsidRPr="00781112">
              <w:rPr>
                <w:rFonts w:cs="Arial"/>
                <w:color w:val="000000" w:themeColor="text1"/>
                <w:szCs w:val="16"/>
              </w:rPr>
              <w:t>34.00%</w:t>
            </w:r>
          </w:p>
        </w:tc>
        <w:tc>
          <w:tcPr>
            <w:tcW w:w="382" w:type="pct"/>
            <w:vAlign w:val="center"/>
          </w:tcPr>
          <w:p w14:paraId="09DD3B8A" w14:textId="5687AF2F" w:rsidR="00643D78" w:rsidRPr="00781112" w:rsidRDefault="00643D78" w:rsidP="000A20EF">
            <w:pPr>
              <w:spacing w:after="0"/>
              <w:ind w:left="-100" w:right="-95"/>
              <w:jc w:val="center"/>
              <w:rPr>
                <w:rFonts w:cs="Arial"/>
                <w:color w:val="000000" w:themeColor="text1"/>
                <w:szCs w:val="16"/>
              </w:rPr>
            </w:pPr>
            <w:r w:rsidRPr="00781112">
              <w:rPr>
                <w:rFonts w:cs="Arial"/>
                <w:color w:val="000000" w:themeColor="text1"/>
                <w:szCs w:val="16"/>
              </w:rPr>
              <w:t>39.00%</w:t>
            </w:r>
          </w:p>
        </w:tc>
      </w:tr>
    </w:tbl>
    <w:p w14:paraId="666D91C8" w14:textId="557EC445" w:rsidR="008E31C4" w:rsidRPr="00781112" w:rsidRDefault="00806C75" w:rsidP="00C33455">
      <w:pPr>
        <w:pStyle w:val="Caption"/>
      </w:pPr>
      <w:bookmarkStart w:id="118" w:name="_Hlk121845043"/>
      <w:r w:rsidRPr="00781112">
        <w:t>FFY 2020 SPP/APR Data</w:t>
      </w:r>
      <w:r w:rsidR="00C578AE">
        <w:t xml:space="preserve">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indicator data for FFY 2019, low and high targets and data for FFY 2020, status, and slippage, when applicable."/>
      </w:tblPr>
      <w:tblGrid>
        <w:gridCol w:w="1565"/>
        <w:gridCol w:w="1582"/>
        <w:gridCol w:w="1353"/>
        <w:gridCol w:w="1353"/>
        <w:gridCol w:w="1353"/>
        <w:gridCol w:w="1340"/>
        <w:gridCol w:w="1027"/>
        <w:gridCol w:w="1217"/>
      </w:tblGrid>
      <w:tr w:rsidR="005C29F8" w:rsidRPr="00781112" w14:paraId="7C632FC4" w14:textId="77777777" w:rsidTr="000A20EF">
        <w:trPr>
          <w:trHeight w:val="354"/>
          <w:tblHeader/>
        </w:trPr>
        <w:tc>
          <w:tcPr>
            <w:tcW w:w="725" w:type="pct"/>
            <w:shd w:val="clear" w:color="auto" w:fill="D9D9D9" w:themeFill="background1" w:themeFillShade="D9"/>
            <w:vAlign w:val="center"/>
          </w:tcPr>
          <w:bookmarkEnd w:id="118"/>
          <w:p w14:paraId="147E9035" w14:textId="77777777" w:rsidR="0087456C" w:rsidRPr="00781112" w:rsidRDefault="0087456C" w:rsidP="002F42BE">
            <w:pPr>
              <w:spacing w:after="0"/>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33" w:type="pct"/>
            <w:shd w:val="clear" w:color="auto" w:fill="D9D9D9" w:themeFill="background1" w:themeFillShade="D9"/>
            <w:vAlign w:val="center"/>
          </w:tcPr>
          <w:p w14:paraId="566EFFF8" w14:textId="77777777" w:rsidR="0087456C" w:rsidRPr="00781112" w:rsidRDefault="0087456C" w:rsidP="002F42BE">
            <w:pPr>
              <w:spacing w:after="0"/>
              <w:jc w:val="center"/>
              <w:rPr>
                <w:rFonts w:cs="Arial"/>
                <w:b/>
                <w:color w:val="000000" w:themeColor="text1"/>
                <w:szCs w:val="16"/>
              </w:rPr>
            </w:pPr>
            <w:r w:rsidRPr="00781112">
              <w:rPr>
                <w:rFonts w:cs="Arial"/>
                <w:b/>
                <w:color w:val="000000" w:themeColor="text1"/>
                <w:szCs w:val="16"/>
              </w:rPr>
              <w:t>3.1 Number of resolutions sessions</w:t>
            </w:r>
          </w:p>
        </w:tc>
        <w:tc>
          <w:tcPr>
            <w:tcW w:w="627" w:type="pct"/>
            <w:shd w:val="clear" w:color="auto" w:fill="D9D9D9" w:themeFill="background1" w:themeFillShade="D9"/>
            <w:vAlign w:val="center"/>
          </w:tcPr>
          <w:p w14:paraId="7B5EA834" w14:textId="7D938EE9" w:rsidR="0087456C" w:rsidRPr="00781112" w:rsidRDefault="00F6415A" w:rsidP="002F42BE">
            <w:pPr>
              <w:spacing w:after="0"/>
              <w:jc w:val="center"/>
              <w:rPr>
                <w:rFonts w:cs="Arial"/>
                <w:b/>
                <w:color w:val="000000" w:themeColor="text1"/>
                <w:szCs w:val="16"/>
              </w:rPr>
            </w:pPr>
            <w:r w:rsidRPr="00781112">
              <w:rPr>
                <w:rFonts w:cs="Arial"/>
                <w:b/>
                <w:color w:val="000000" w:themeColor="text1"/>
                <w:szCs w:val="16"/>
              </w:rPr>
              <w:t>FFY 2019 Data</w:t>
            </w:r>
          </w:p>
        </w:tc>
        <w:tc>
          <w:tcPr>
            <w:tcW w:w="627" w:type="pct"/>
            <w:shd w:val="clear" w:color="auto" w:fill="D9D9D9" w:themeFill="background1" w:themeFillShade="D9"/>
            <w:vAlign w:val="center"/>
          </w:tcPr>
          <w:p w14:paraId="01013E6D" w14:textId="20DE7097" w:rsidR="0087456C" w:rsidRPr="00781112" w:rsidRDefault="00806C75" w:rsidP="002F42BE">
            <w:pPr>
              <w:spacing w:after="0"/>
              <w:jc w:val="center"/>
              <w:rPr>
                <w:rFonts w:cs="Arial"/>
                <w:b/>
                <w:color w:val="000000" w:themeColor="text1"/>
                <w:szCs w:val="16"/>
              </w:rPr>
            </w:pPr>
            <w:r w:rsidRPr="00781112">
              <w:rPr>
                <w:rFonts w:cs="Arial"/>
                <w:b/>
                <w:color w:val="000000" w:themeColor="text1"/>
                <w:szCs w:val="16"/>
              </w:rPr>
              <w:t>FFY 2020 Target (low)</w:t>
            </w:r>
          </w:p>
        </w:tc>
        <w:tc>
          <w:tcPr>
            <w:tcW w:w="627" w:type="pct"/>
            <w:shd w:val="clear" w:color="auto" w:fill="D9D9D9" w:themeFill="background1" w:themeFillShade="D9"/>
            <w:vAlign w:val="center"/>
          </w:tcPr>
          <w:p w14:paraId="7967CE4B" w14:textId="109212B8" w:rsidR="0087456C" w:rsidRPr="00781112" w:rsidRDefault="00806C75" w:rsidP="002F42BE">
            <w:pPr>
              <w:spacing w:after="0"/>
              <w:jc w:val="center"/>
              <w:rPr>
                <w:rFonts w:cs="Arial"/>
                <w:b/>
                <w:color w:val="000000" w:themeColor="text1"/>
                <w:szCs w:val="16"/>
              </w:rPr>
            </w:pPr>
            <w:r w:rsidRPr="00781112">
              <w:rPr>
                <w:rFonts w:cs="Arial"/>
                <w:b/>
                <w:color w:val="000000" w:themeColor="text1"/>
                <w:szCs w:val="16"/>
              </w:rPr>
              <w:t>FFY 2020 Target (high)</w:t>
            </w:r>
          </w:p>
        </w:tc>
        <w:tc>
          <w:tcPr>
            <w:tcW w:w="621" w:type="pct"/>
            <w:shd w:val="clear" w:color="auto" w:fill="D9D9D9" w:themeFill="background1" w:themeFillShade="D9"/>
            <w:vAlign w:val="center"/>
          </w:tcPr>
          <w:p w14:paraId="1E6219BF" w14:textId="4EE4E9B8" w:rsidR="0087456C" w:rsidRPr="00781112" w:rsidRDefault="00806C75" w:rsidP="002F42BE">
            <w:pPr>
              <w:spacing w:after="0"/>
              <w:jc w:val="center"/>
              <w:rPr>
                <w:rFonts w:cs="Arial"/>
                <w:b/>
                <w:color w:val="000000" w:themeColor="text1"/>
                <w:szCs w:val="16"/>
              </w:rPr>
            </w:pPr>
            <w:r w:rsidRPr="00781112">
              <w:rPr>
                <w:rFonts w:cs="Arial"/>
                <w:b/>
                <w:color w:val="000000" w:themeColor="text1"/>
                <w:szCs w:val="16"/>
              </w:rPr>
              <w:t>FFY 2020 Data</w:t>
            </w:r>
          </w:p>
        </w:tc>
        <w:tc>
          <w:tcPr>
            <w:tcW w:w="476" w:type="pct"/>
            <w:shd w:val="clear" w:color="auto" w:fill="D9D9D9" w:themeFill="background1" w:themeFillShade="D9"/>
            <w:vAlign w:val="center"/>
          </w:tcPr>
          <w:p w14:paraId="348269A9" w14:textId="77777777" w:rsidR="0087456C" w:rsidRPr="00781112" w:rsidRDefault="0087456C" w:rsidP="002F42BE">
            <w:pPr>
              <w:spacing w:after="0"/>
              <w:jc w:val="center"/>
              <w:rPr>
                <w:rFonts w:cs="Arial"/>
                <w:b/>
                <w:color w:val="000000" w:themeColor="text1"/>
                <w:szCs w:val="16"/>
              </w:rPr>
            </w:pPr>
            <w:r w:rsidRPr="00781112">
              <w:rPr>
                <w:rFonts w:cs="Arial"/>
                <w:b/>
                <w:color w:val="000000" w:themeColor="text1"/>
                <w:szCs w:val="16"/>
              </w:rPr>
              <w:t>Status</w:t>
            </w:r>
          </w:p>
        </w:tc>
        <w:tc>
          <w:tcPr>
            <w:tcW w:w="564" w:type="pct"/>
            <w:shd w:val="clear" w:color="auto" w:fill="D9D9D9" w:themeFill="background1" w:themeFillShade="D9"/>
            <w:vAlign w:val="center"/>
          </w:tcPr>
          <w:p w14:paraId="0A1C57DB" w14:textId="77777777" w:rsidR="0087456C" w:rsidRPr="00781112" w:rsidRDefault="0087456C" w:rsidP="002F42BE">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01BF03A2" w14:textId="77777777" w:rsidTr="000A20EF">
        <w:trPr>
          <w:trHeight w:val="361"/>
        </w:trPr>
        <w:tc>
          <w:tcPr>
            <w:tcW w:w="725" w:type="pct"/>
            <w:shd w:val="clear" w:color="auto" w:fill="auto"/>
            <w:vAlign w:val="center"/>
          </w:tcPr>
          <w:p w14:paraId="042C6FC9" w14:textId="30986772"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14</w:t>
            </w:r>
          </w:p>
        </w:tc>
        <w:tc>
          <w:tcPr>
            <w:tcW w:w="733" w:type="pct"/>
            <w:shd w:val="clear" w:color="auto" w:fill="auto"/>
            <w:vAlign w:val="center"/>
          </w:tcPr>
          <w:p w14:paraId="37C935FB" w14:textId="6AA57901"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27</w:t>
            </w:r>
          </w:p>
        </w:tc>
        <w:tc>
          <w:tcPr>
            <w:tcW w:w="627" w:type="pct"/>
            <w:shd w:val="clear" w:color="auto" w:fill="auto"/>
            <w:vAlign w:val="center"/>
          </w:tcPr>
          <w:p w14:paraId="3D28AE5B" w14:textId="4019A491"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40.43%</w:t>
            </w:r>
          </w:p>
        </w:tc>
        <w:tc>
          <w:tcPr>
            <w:tcW w:w="627" w:type="pct"/>
            <w:shd w:val="clear" w:color="auto" w:fill="auto"/>
            <w:vAlign w:val="center"/>
          </w:tcPr>
          <w:p w14:paraId="1CF4FBE5" w14:textId="7792CBB8"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34.00%</w:t>
            </w:r>
          </w:p>
        </w:tc>
        <w:tc>
          <w:tcPr>
            <w:tcW w:w="627" w:type="pct"/>
            <w:shd w:val="clear" w:color="auto" w:fill="auto"/>
            <w:vAlign w:val="center"/>
          </w:tcPr>
          <w:p w14:paraId="5CB5C088" w14:textId="342A9F8C"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39.00%</w:t>
            </w:r>
          </w:p>
        </w:tc>
        <w:tc>
          <w:tcPr>
            <w:tcW w:w="621" w:type="pct"/>
            <w:shd w:val="clear" w:color="auto" w:fill="auto"/>
            <w:vAlign w:val="center"/>
          </w:tcPr>
          <w:p w14:paraId="43A81BB0" w14:textId="762C21AF"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51.85%</w:t>
            </w:r>
          </w:p>
        </w:tc>
        <w:tc>
          <w:tcPr>
            <w:tcW w:w="476" w:type="pct"/>
            <w:shd w:val="clear" w:color="auto" w:fill="auto"/>
            <w:vAlign w:val="center"/>
          </w:tcPr>
          <w:p w14:paraId="233B1990" w14:textId="453F94EC"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Met target</w:t>
            </w:r>
          </w:p>
        </w:tc>
        <w:tc>
          <w:tcPr>
            <w:tcW w:w="564" w:type="pct"/>
            <w:shd w:val="clear" w:color="auto" w:fill="auto"/>
            <w:vAlign w:val="center"/>
          </w:tcPr>
          <w:p w14:paraId="2D506EFF" w14:textId="5E2871C6" w:rsidR="008E31C4" w:rsidRPr="00781112" w:rsidRDefault="002B7490" w:rsidP="002F42BE">
            <w:pPr>
              <w:spacing w:after="0"/>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4536A1">
      <w:pPr>
        <w:pStyle w:val="Heading4"/>
      </w:pPr>
      <w:r w:rsidRPr="00781112">
        <w:t>Provide additional information about this indicator (optional)</w:t>
      </w:r>
    </w:p>
    <w:p w14:paraId="1C1B038C" w14:textId="77777777" w:rsidR="000A20EF" w:rsidRPr="000F63C4" w:rsidRDefault="002B7490" w:rsidP="00314F94">
      <w:pPr>
        <w:pStyle w:val="ListParagraph"/>
        <w:numPr>
          <w:ilvl w:val="0"/>
          <w:numId w:val="266"/>
        </w:numPr>
        <w:rPr>
          <w:rFonts w:cs="Arial"/>
          <w:color w:val="000000" w:themeColor="text1"/>
          <w:szCs w:val="16"/>
        </w:rPr>
      </w:pPr>
      <w:r w:rsidRPr="000F63C4">
        <w:rPr>
          <w:rFonts w:cs="Arial"/>
          <w:color w:val="000000" w:themeColor="text1"/>
          <w:szCs w:val="16"/>
        </w:rPr>
        <w:t xml:space="preserve">Pursuant to a Corrective Action Plan from OSEP, due process procedures were updated in September 2020 to reflect that hearing officers must require parties to confirm when a resolution meeting occurs so that it may be documented on the record, with copy to VDOE. Hearing officers are required to delineate the end of the 30-day resolution period, any adjustments to the 30-day period, and the first day of the 45-day period on the record, with copy to VDOE. Fully adjudicated decisions are required to include a procedural history section that includes all relevant timeline information, including whether and when a resolution meeting occurred. Hearing officers are required to provide VDOE with a case closure report that outlines case timelines, including but not limited to resolution meeting and resolution period information, and any continuances or extensions of any period. The VDOE prepared a sample closure report for hearing officers to be attached to VDOE’s guidance document for hearing officers. For expedited cases, hearing officers must outline the case timeline and decision due </w:t>
      </w:r>
      <w:r w:rsidRPr="000F63C4">
        <w:rPr>
          <w:rFonts w:cs="Arial"/>
          <w:color w:val="000000" w:themeColor="text1"/>
          <w:szCs w:val="16"/>
        </w:rPr>
        <w:lastRenderedPageBreak/>
        <w:t>date in a Pre-Hearing Report or Order, with copy to VDOE; the report should include the hearing officer’s factual findings regarding which days are “school days” for purposes of calculating expedited timelines (this determination is often relevant during the summer and when holidays fall during the relevant period).</w:t>
      </w:r>
    </w:p>
    <w:p w14:paraId="772C1703" w14:textId="77777777" w:rsidR="000A20EF" w:rsidRDefault="002B7490" w:rsidP="00106F5A">
      <w:pPr>
        <w:ind w:left="720"/>
        <w:rPr>
          <w:rFonts w:cs="Arial"/>
          <w:color w:val="000000" w:themeColor="text1"/>
          <w:szCs w:val="16"/>
        </w:rPr>
      </w:pPr>
      <w:r w:rsidRPr="00781112">
        <w:rPr>
          <w:rFonts w:cs="Arial"/>
          <w:color w:val="000000" w:themeColor="text1"/>
          <w:szCs w:val="16"/>
        </w:rPr>
        <w:t>The VDOE updated its hearing officer guidance document with emphasis on documenting adjustments to the 30-day resolution period and 45-day period in non-expedited cases, documenting when and whether a resolution meeting occurred, and on clearly documenting how the expedited timeline was calculated (including documenting days determined to be “school days”).</w:t>
      </w:r>
    </w:p>
    <w:p w14:paraId="225AF7B0" w14:textId="0849180B" w:rsidR="00293C7E" w:rsidRPr="00781112" w:rsidRDefault="002B7490" w:rsidP="00106F5A">
      <w:pPr>
        <w:ind w:left="720"/>
        <w:rPr>
          <w:rFonts w:cs="Arial"/>
          <w:color w:val="000000" w:themeColor="text1"/>
          <w:szCs w:val="16"/>
        </w:rPr>
      </w:pPr>
      <w:r w:rsidRPr="00781112">
        <w:rPr>
          <w:rFonts w:cs="Arial"/>
          <w:color w:val="000000" w:themeColor="text1"/>
          <w:szCs w:val="16"/>
        </w:rPr>
        <w:t>The VDOE is also tracking, inter alia, the resolution meeting due date (7 days in expedited cases, 15 days in non-expedited cases); original resolution period end date (15 days in expedited cases, 30 days in non-expedited cases); adjusted end of resolution period (if applicable); first day of 45-day period (adjusted as necessary); resolution meeting held (yes/no); date of resolution meeting; written agreement reached at resolution meeting (yes/no); resolution meeting timely (yes/no); and the original decision due date (45 days from end of final resolution period for non-expedited cases). For expedited cases, this will be case specific and based on hearing officer orders calculating filing date, school days, hearing date, and decision date; continued decision due date (non-expedited cases in which a continuance to the 45-day period was granted); date final decision issued; whether the final decision was within the original timeline; and whether the final decision was within the extended timeline (there are no continuances in expedited cases).</w:t>
      </w:r>
    </w:p>
    <w:p w14:paraId="69486921" w14:textId="29EDB346" w:rsidR="00293C7E" w:rsidRPr="00781112" w:rsidRDefault="00DF2D3A" w:rsidP="00A22EB9">
      <w:pPr>
        <w:pStyle w:val="Heading3"/>
      </w:pPr>
      <w:r w:rsidRPr="00781112">
        <w:t>15</w:t>
      </w:r>
      <w:r w:rsidR="001D508D" w:rsidRPr="00781112">
        <w:t xml:space="preserve"> </w:t>
      </w:r>
      <w:r w:rsidRPr="00781112">
        <w:t xml:space="preserve">- </w:t>
      </w:r>
      <w:r w:rsidR="00293C7E" w:rsidRPr="00781112">
        <w:t>Prior FFY Required Actions</w:t>
      </w:r>
    </w:p>
    <w:p w14:paraId="19F5FEB1" w14:textId="2905DE18" w:rsidR="00293C7E" w:rsidRPr="000F63C4" w:rsidRDefault="002B7490" w:rsidP="00314F94">
      <w:pPr>
        <w:pStyle w:val="ListParagraph"/>
        <w:numPr>
          <w:ilvl w:val="0"/>
          <w:numId w:val="267"/>
        </w:numPr>
        <w:rPr>
          <w:rFonts w:cs="Arial"/>
          <w:color w:val="000000" w:themeColor="text1"/>
          <w:szCs w:val="16"/>
        </w:rPr>
      </w:pPr>
      <w:r w:rsidRPr="000F63C4">
        <w:rPr>
          <w:rFonts w:cs="Arial"/>
          <w:color w:val="000000" w:themeColor="text1"/>
          <w:szCs w:val="16"/>
        </w:rPr>
        <w:t>None</w:t>
      </w:r>
    </w:p>
    <w:p w14:paraId="6506D351" w14:textId="1F034745" w:rsidR="00913A33" w:rsidRPr="00781112" w:rsidRDefault="00DF2D3A" w:rsidP="00A22EB9">
      <w:pPr>
        <w:pStyle w:val="Heading3"/>
      </w:pPr>
      <w:r w:rsidRPr="00781112">
        <w:t>15 - OSEP Response</w:t>
      </w:r>
    </w:p>
    <w:p w14:paraId="639FEA08" w14:textId="30C19155" w:rsidR="00293C7E" w:rsidRPr="000F63C4" w:rsidRDefault="002B7490" w:rsidP="00314F94">
      <w:pPr>
        <w:pStyle w:val="ListParagraph"/>
        <w:numPr>
          <w:ilvl w:val="0"/>
          <w:numId w:val="268"/>
        </w:numPr>
        <w:rPr>
          <w:rFonts w:cs="Arial"/>
          <w:color w:val="000000" w:themeColor="text1"/>
          <w:szCs w:val="16"/>
        </w:rPr>
      </w:pPr>
      <w:r w:rsidRPr="000F63C4">
        <w:rPr>
          <w:rFonts w:cs="Arial"/>
          <w:color w:val="000000" w:themeColor="text1"/>
          <w:szCs w:val="16"/>
        </w:rPr>
        <w:t>The State provided targets for this indicator, and OSEP accepts those targets.</w:t>
      </w:r>
    </w:p>
    <w:p w14:paraId="7634025D" w14:textId="5BD1D671" w:rsidR="00913A33" w:rsidRPr="00781112" w:rsidRDefault="00DF2D3A" w:rsidP="00A22EB9">
      <w:pPr>
        <w:pStyle w:val="Heading3"/>
      </w:pPr>
      <w:r w:rsidRPr="00781112">
        <w:t>15 - Required Actions</w:t>
      </w:r>
    </w:p>
    <w:p w14:paraId="259DEDCC" w14:textId="5545810E" w:rsidR="000C60E1" w:rsidRPr="000F63C4" w:rsidRDefault="000A20EF" w:rsidP="00314F94">
      <w:pPr>
        <w:pStyle w:val="ListParagraph"/>
        <w:numPr>
          <w:ilvl w:val="0"/>
          <w:numId w:val="269"/>
        </w:numPr>
        <w:rPr>
          <w:rFonts w:eastAsiaTheme="majorEastAsia" w:cs="Arial"/>
          <w:b/>
          <w:bCs/>
          <w:color w:val="000000" w:themeColor="text1"/>
          <w:szCs w:val="16"/>
        </w:rPr>
      </w:pPr>
      <w:r w:rsidRPr="000F63C4">
        <w:rPr>
          <w:rFonts w:cs="Arial"/>
          <w:color w:val="000000" w:themeColor="text1"/>
          <w:szCs w:val="16"/>
        </w:rPr>
        <w:t>Not applicable</w:t>
      </w:r>
      <w:r w:rsidR="000C60E1" w:rsidRPr="000F63C4">
        <w:rPr>
          <w:rFonts w:cs="Arial"/>
          <w:color w:val="000000" w:themeColor="text1"/>
          <w:szCs w:val="16"/>
        </w:rPr>
        <w:br w:type="page"/>
      </w:r>
    </w:p>
    <w:p w14:paraId="53B0D4FE" w14:textId="34B4FBB0" w:rsidR="007F0CEC" w:rsidRPr="00781112" w:rsidRDefault="007F0CEC" w:rsidP="008143AB">
      <w:pPr>
        <w:pStyle w:val="Heading2"/>
      </w:pPr>
      <w:r w:rsidRPr="00781112">
        <w:lastRenderedPageBreak/>
        <w:t>Indicator 16: Mediation</w:t>
      </w:r>
    </w:p>
    <w:p w14:paraId="589E185D" w14:textId="77777777" w:rsidR="00BF232E" w:rsidRPr="000A20EF" w:rsidRDefault="00BF232E" w:rsidP="004536A1">
      <w:pPr>
        <w:pStyle w:val="Heading3"/>
        <w:spacing w:before="240"/>
      </w:pPr>
      <w:bookmarkStart w:id="119" w:name="_Toc382731916"/>
      <w:bookmarkStart w:id="120" w:name="_Toc392159344"/>
      <w:r w:rsidRPr="000A20EF">
        <w:t>Instructions and Measurement</w:t>
      </w:r>
    </w:p>
    <w:p w14:paraId="41E7E4F9" w14:textId="500BC36F" w:rsidR="009B6586" w:rsidRPr="00781112" w:rsidRDefault="009B6586" w:rsidP="00A22EB9">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291F550A" w:rsidR="00692B95" w:rsidRPr="00781112" w:rsidRDefault="009B6586" w:rsidP="00A22EB9">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p>
    <w:p w14:paraId="7847EFFB" w14:textId="03A11F4B" w:rsidR="009B6586" w:rsidRPr="00781112" w:rsidRDefault="009B6586" w:rsidP="00A22EB9">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536A1">
      <w:pPr>
        <w:pStyle w:val="Heading4"/>
      </w:pPr>
      <w:r w:rsidRPr="00781112">
        <w:t>Data Source</w:t>
      </w:r>
    </w:p>
    <w:p w14:paraId="1400D43F" w14:textId="253D0B1A" w:rsidR="00692B95" w:rsidRPr="00781112" w:rsidRDefault="00692B95" w:rsidP="00A22EB9">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536A1">
      <w:pPr>
        <w:pStyle w:val="Heading4"/>
      </w:pPr>
      <w:r w:rsidRPr="00781112">
        <w:t>Measurement</w:t>
      </w:r>
    </w:p>
    <w:p w14:paraId="38C2284B" w14:textId="1E75D304" w:rsidR="00692B95" w:rsidRPr="00781112" w:rsidRDefault="00692B95" w:rsidP="00A22EB9">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536A1">
      <w:pPr>
        <w:pStyle w:val="Heading4"/>
      </w:pPr>
      <w:r w:rsidRPr="00781112">
        <w:t>Instructions</w:t>
      </w:r>
    </w:p>
    <w:p w14:paraId="46565F1D" w14:textId="77777777" w:rsidR="00692B95" w:rsidRPr="00781112" w:rsidRDefault="00692B95" w:rsidP="00A22EB9">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A22EB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6DE2BA12" w:rsidR="00692B95" w:rsidRPr="00781112" w:rsidRDefault="00692B95" w:rsidP="00A22EB9">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resolution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A22EB9">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A22EB9">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A22EB9">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A22EB9">
      <w:pPr>
        <w:pStyle w:val="Heading3"/>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A22EB9">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0F63C4" w:rsidRDefault="00F31AD8" w:rsidP="00314F94">
      <w:pPr>
        <w:pStyle w:val="ListParagraph"/>
        <w:numPr>
          <w:ilvl w:val="0"/>
          <w:numId w:val="270"/>
        </w:numPr>
        <w:rPr>
          <w:color w:val="000000" w:themeColor="text1"/>
        </w:rPr>
      </w:pPr>
      <w:r w:rsidRPr="000F63C4">
        <w:rPr>
          <w:rFonts w:cs="Arial"/>
          <w:color w:val="000000" w:themeColor="text1"/>
          <w:szCs w:val="16"/>
        </w:rPr>
        <w:t>Target Range is used</w:t>
      </w:r>
    </w:p>
    <w:bookmarkEnd w:id="119"/>
    <w:bookmarkEnd w:id="120"/>
    <w:p w14:paraId="118840D3" w14:textId="349130DD" w:rsidR="008E31C4" w:rsidRPr="00781112" w:rsidRDefault="008E31C4" w:rsidP="00C33455">
      <w:pPr>
        <w:pStyle w:val="Caption"/>
      </w:pPr>
      <w:r w:rsidRPr="00781112">
        <w:t>Prepopulated Data</w:t>
      </w:r>
      <w:r w:rsidR="00EB500A">
        <w:t xml:space="preserve">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Description w:val="Table provides numbers of youth with IEPs exiting special education, by various explanations, for this indicator. Data source provided for each."/>
      </w:tblPr>
      <w:tblGrid>
        <w:gridCol w:w="3055"/>
        <w:gridCol w:w="2430"/>
        <w:gridCol w:w="3522"/>
        <w:gridCol w:w="1783"/>
      </w:tblGrid>
      <w:tr w:rsidR="005C29F8" w:rsidRPr="00781112" w14:paraId="61A5E3A0" w14:textId="77777777" w:rsidTr="00C578AE">
        <w:trPr>
          <w:trHeight w:val="432"/>
          <w:tblHeader/>
        </w:trPr>
        <w:tc>
          <w:tcPr>
            <w:tcW w:w="1416" w:type="pct"/>
            <w:shd w:val="clear" w:color="auto" w:fill="D9D9D9" w:themeFill="background1" w:themeFillShade="D9"/>
            <w:vAlign w:val="center"/>
          </w:tcPr>
          <w:p w14:paraId="332BA503" w14:textId="77777777" w:rsidR="008E31C4" w:rsidRPr="00781112" w:rsidRDefault="008E31C4" w:rsidP="000A20EF">
            <w:pPr>
              <w:spacing w:after="0"/>
              <w:jc w:val="center"/>
              <w:rPr>
                <w:rFonts w:cs="Arial"/>
                <w:b/>
                <w:color w:val="000000" w:themeColor="text1"/>
                <w:szCs w:val="16"/>
              </w:rPr>
            </w:pPr>
            <w:r w:rsidRPr="00781112">
              <w:rPr>
                <w:rFonts w:cs="Arial"/>
                <w:b/>
                <w:color w:val="000000" w:themeColor="text1"/>
                <w:szCs w:val="16"/>
              </w:rPr>
              <w:t>Source</w:t>
            </w:r>
          </w:p>
        </w:tc>
        <w:tc>
          <w:tcPr>
            <w:tcW w:w="1126" w:type="pct"/>
            <w:shd w:val="clear" w:color="auto" w:fill="D9D9D9" w:themeFill="background1" w:themeFillShade="D9"/>
            <w:vAlign w:val="center"/>
          </w:tcPr>
          <w:p w14:paraId="2C662D12" w14:textId="77777777" w:rsidR="008E31C4" w:rsidRPr="00781112" w:rsidRDefault="008E31C4" w:rsidP="000A20EF">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D9D9D9" w:themeFill="background1" w:themeFillShade="D9"/>
            <w:vAlign w:val="center"/>
          </w:tcPr>
          <w:p w14:paraId="66DBE23B" w14:textId="77777777" w:rsidR="008E31C4" w:rsidRPr="00781112" w:rsidRDefault="008E31C4" w:rsidP="000A20EF">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D9D9D9" w:themeFill="background1" w:themeFillShade="D9"/>
            <w:vAlign w:val="center"/>
          </w:tcPr>
          <w:p w14:paraId="1C82D158" w14:textId="77777777" w:rsidR="008E31C4" w:rsidRPr="00781112" w:rsidRDefault="008E31C4" w:rsidP="000A20EF">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C578AE">
        <w:trPr>
          <w:trHeight w:val="692"/>
        </w:trPr>
        <w:tc>
          <w:tcPr>
            <w:tcW w:w="1416" w:type="pct"/>
            <w:shd w:val="clear" w:color="auto" w:fill="auto"/>
            <w:vAlign w:val="center"/>
          </w:tcPr>
          <w:p w14:paraId="341A55FB" w14:textId="389190B6" w:rsidR="001126C3" w:rsidRPr="00781112" w:rsidRDefault="002B7490" w:rsidP="000A20EF">
            <w:pPr>
              <w:spacing w:after="0"/>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126" w:type="pct"/>
            <w:shd w:val="clear" w:color="auto" w:fill="auto"/>
            <w:vAlign w:val="center"/>
          </w:tcPr>
          <w:p w14:paraId="71614464" w14:textId="4369755A" w:rsidR="001126C3" w:rsidRPr="00781112" w:rsidRDefault="008174C3" w:rsidP="000A20EF">
            <w:pPr>
              <w:spacing w:after="0"/>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vAlign w:val="center"/>
          </w:tcPr>
          <w:p w14:paraId="3B8991BC" w14:textId="35D24A7C" w:rsidR="001126C3" w:rsidRPr="00781112" w:rsidRDefault="001126C3" w:rsidP="000A20EF">
            <w:pPr>
              <w:spacing w:after="0"/>
              <w:rPr>
                <w:rFonts w:cs="Arial"/>
                <w:color w:val="000000" w:themeColor="text1"/>
                <w:szCs w:val="16"/>
              </w:rPr>
            </w:pPr>
            <w:r w:rsidRPr="00781112">
              <w:rPr>
                <w:rFonts w:cs="Arial"/>
                <w:color w:val="000000" w:themeColor="text1"/>
                <w:szCs w:val="16"/>
              </w:rPr>
              <w:t>2.1 Mediations held</w:t>
            </w:r>
          </w:p>
        </w:tc>
        <w:tc>
          <w:tcPr>
            <w:tcW w:w="826" w:type="pct"/>
            <w:shd w:val="clear" w:color="auto" w:fill="auto"/>
            <w:vAlign w:val="center"/>
          </w:tcPr>
          <w:p w14:paraId="27A8B83C" w14:textId="708549A5" w:rsidR="001126C3" w:rsidRPr="00781112" w:rsidRDefault="002B7490" w:rsidP="000A20EF">
            <w:pPr>
              <w:spacing w:after="0"/>
              <w:jc w:val="center"/>
              <w:rPr>
                <w:rFonts w:cs="Arial"/>
                <w:color w:val="000000" w:themeColor="text1"/>
                <w:szCs w:val="16"/>
              </w:rPr>
            </w:pPr>
            <w:r w:rsidRPr="00781112">
              <w:rPr>
                <w:rFonts w:cs="Arial"/>
                <w:color w:val="000000" w:themeColor="text1"/>
                <w:szCs w:val="16"/>
              </w:rPr>
              <w:t>73</w:t>
            </w:r>
          </w:p>
        </w:tc>
      </w:tr>
      <w:tr w:rsidR="005C29F8" w:rsidRPr="00781112" w14:paraId="438B012B" w14:textId="77777777" w:rsidTr="00C578AE">
        <w:trPr>
          <w:trHeight w:val="1529"/>
        </w:trPr>
        <w:tc>
          <w:tcPr>
            <w:tcW w:w="1416" w:type="pct"/>
            <w:shd w:val="clear" w:color="auto" w:fill="auto"/>
            <w:vAlign w:val="center"/>
          </w:tcPr>
          <w:p w14:paraId="265B2AEC" w14:textId="3FC7D25D" w:rsidR="001126C3" w:rsidRPr="00781112" w:rsidRDefault="008174C3" w:rsidP="000A20EF">
            <w:pPr>
              <w:spacing w:after="0"/>
              <w:jc w:val="center"/>
              <w:rPr>
                <w:rFonts w:cs="Arial"/>
                <w:color w:val="000000" w:themeColor="text1"/>
                <w:szCs w:val="16"/>
              </w:rPr>
            </w:pPr>
            <w:r w:rsidRPr="00781112">
              <w:rPr>
                <w:rFonts w:cs="Arial"/>
                <w:color w:val="000000" w:themeColor="text1"/>
                <w:szCs w:val="16"/>
              </w:rPr>
              <w:lastRenderedPageBreak/>
              <w:t>SY 2020-21 EMAPS IDEA Part B Dispute Resolution Survey; Section B: Mediation Requests</w:t>
            </w:r>
          </w:p>
        </w:tc>
        <w:tc>
          <w:tcPr>
            <w:tcW w:w="1126" w:type="pct"/>
            <w:shd w:val="clear" w:color="auto" w:fill="auto"/>
            <w:vAlign w:val="center"/>
          </w:tcPr>
          <w:p w14:paraId="128A6113" w14:textId="6FDE1D5D" w:rsidR="001126C3" w:rsidRPr="00781112" w:rsidRDefault="008174C3" w:rsidP="000A20EF">
            <w:pPr>
              <w:spacing w:after="0"/>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vAlign w:val="center"/>
          </w:tcPr>
          <w:p w14:paraId="61BAD85D" w14:textId="300FEE8B" w:rsidR="001126C3" w:rsidRPr="00781112" w:rsidRDefault="001126C3" w:rsidP="000A20EF">
            <w:pPr>
              <w:spacing w:after="0"/>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vAlign w:val="center"/>
          </w:tcPr>
          <w:p w14:paraId="580B460B" w14:textId="49FBB0F1" w:rsidR="001126C3" w:rsidRPr="00781112" w:rsidRDefault="002B7490" w:rsidP="000A20EF">
            <w:pPr>
              <w:spacing w:after="0"/>
              <w:jc w:val="center"/>
              <w:rPr>
                <w:rFonts w:cs="Arial"/>
                <w:color w:val="000000" w:themeColor="text1"/>
                <w:szCs w:val="16"/>
              </w:rPr>
            </w:pPr>
            <w:r w:rsidRPr="00781112">
              <w:rPr>
                <w:rFonts w:cs="Arial"/>
                <w:color w:val="000000" w:themeColor="text1"/>
                <w:szCs w:val="16"/>
              </w:rPr>
              <w:t>10</w:t>
            </w:r>
          </w:p>
        </w:tc>
      </w:tr>
      <w:tr w:rsidR="005C29F8" w:rsidRPr="00781112" w14:paraId="53310D0D" w14:textId="77777777" w:rsidTr="00C578AE">
        <w:trPr>
          <w:trHeight w:val="1421"/>
        </w:trPr>
        <w:tc>
          <w:tcPr>
            <w:tcW w:w="1416" w:type="pct"/>
            <w:shd w:val="clear" w:color="auto" w:fill="auto"/>
            <w:vAlign w:val="center"/>
          </w:tcPr>
          <w:p w14:paraId="295563AC" w14:textId="371961FC" w:rsidR="001126C3" w:rsidRPr="00781112" w:rsidRDefault="008174C3" w:rsidP="000A20EF">
            <w:pPr>
              <w:spacing w:after="0"/>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126" w:type="pct"/>
            <w:shd w:val="clear" w:color="auto" w:fill="auto"/>
            <w:vAlign w:val="center"/>
          </w:tcPr>
          <w:p w14:paraId="4BDD8D48" w14:textId="63D0DB48" w:rsidR="001126C3" w:rsidRPr="00781112" w:rsidRDefault="008174C3" w:rsidP="000A20EF">
            <w:pPr>
              <w:spacing w:after="0"/>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vAlign w:val="center"/>
          </w:tcPr>
          <w:p w14:paraId="0D81EE28" w14:textId="0901AFA3" w:rsidR="001126C3" w:rsidRPr="00781112" w:rsidRDefault="001126C3" w:rsidP="000A20EF">
            <w:pPr>
              <w:spacing w:after="0"/>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vAlign w:val="center"/>
          </w:tcPr>
          <w:p w14:paraId="4C9A36B1" w14:textId="285B67BA" w:rsidR="001126C3" w:rsidRPr="00781112" w:rsidRDefault="002B7490" w:rsidP="000A20EF">
            <w:pPr>
              <w:spacing w:after="0"/>
              <w:jc w:val="center"/>
              <w:rPr>
                <w:rFonts w:cs="Arial"/>
                <w:color w:val="000000" w:themeColor="text1"/>
                <w:szCs w:val="16"/>
              </w:rPr>
            </w:pPr>
            <w:r w:rsidRPr="00781112">
              <w:rPr>
                <w:rFonts w:cs="Arial"/>
                <w:color w:val="000000" w:themeColor="text1"/>
                <w:szCs w:val="16"/>
              </w:rPr>
              <w:t>44</w:t>
            </w:r>
          </w:p>
        </w:tc>
      </w:tr>
    </w:tbl>
    <w:p w14:paraId="2C4CE14C" w14:textId="5AC27D72" w:rsidR="00E8514E" w:rsidRPr="00781112" w:rsidRDefault="007D219D" w:rsidP="000A20EF">
      <w:pPr>
        <w:spacing w:before="240"/>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2327DF9D" w:rsidR="00E8514E" w:rsidRPr="000F63C4" w:rsidRDefault="003E706D" w:rsidP="00314F94">
      <w:pPr>
        <w:pStyle w:val="ListParagraph"/>
        <w:numPr>
          <w:ilvl w:val="0"/>
          <w:numId w:val="271"/>
        </w:numPr>
        <w:rPr>
          <w:color w:val="000000" w:themeColor="text1"/>
        </w:rPr>
      </w:pPr>
      <w:r w:rsidRPr="000F63C4">
        <w:rPr>
          <w:color w:val="000000" w:themeColor="text1"/>
        </w:rPr>
        <w:t>No</w:t>
      </w:r>
    </w:p>
    <w:p w14:paraId="58C79350" w14:textId="4B66723D" w:rsidR="000A2C83" w:rsidRPr="00781112" w:rsidRDefault="000A2C83" w:rsidP="004536A1">
      <w:pPr>
        <w:pStyle w:val="Heading4"/>
      </w:pPr>
      <w:r w:rsidRPr="00781112">
        <w:t>Targets: Description of Stakeholder Input</w:t>
      </w:r>
    </w:p>
    <w:p w14:paraId="658EFBCF" w14:textId="77777777" w:rsidR="000A20EF" w:rsidRPr="000F63C4" w:rsidRDefault="002B7490" w:rsidP="00314F94">
      <w:pPr>
        <w:pStyle w:val="ListParagraph"/>
        <w:numPr>
          <w:ilvl w:val="0"/>
          <w:numId w:val="272"/>
        </w:numPr>
        <w:rPr>
          <w:rFonts w:cs="Arial"/>
          <w:color w:val="000000" w:themeColor="text1"/>
          <w:szCs w:val="16"/>
        </w:rPr>
      </w:pPr>
      <w:r w:rsidRPr="000F63C4">
        <w:rPr>
          <w:rFonts w:cs="Arial"/>
          <w:color w:val="000000" w:themeColor="text1"/>
          <w:szCs w:val="16"/>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7B6B5101" w14:textId="7269F2A8" w:rsidR="000A2C83" w:rsidRPr="00781112" w:rsidRDefault="002B7490" w:rsidP="00B84C9D">
      <w:pPr>
        <w:ind w:left="720"/>
        <w:rPr>
          <w:rFonts w:cs="Arial"/>
          <w:color w:val="000000" w:themeColor="text1"/>
          <w:szCs w:val="16"/>
        </w:rPr>
      </w:pPr>
      <w:r w:rsidRPr="00781112">
        <w:rPr>
          <w:rFonts w:cs="Arial"/>
          <w:color w:val="000000" w:themeColor="text1"/>
          <w:szCs w:val="16"/>
        </w:rPr>
        <w:t>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were administered to ensure all stakeholders have equal opportunity to be heard and have led to additional initiatives and resources.</w:t>
      </w:r>
    </w:p>
    <w:p w14:paraId="4B57D1D5" w14:textId="77777777" w:rsidR="000A20EF" w:rsidRDefault="002B7490" w:rsidP="00B84C9D">
      <w:pPr>
        <w:ind w:left="720"/>
        <w:rPr>
          <w:rFonts w:cs="Arial"/>
          <w:color w:val="000000" w:themeColor="text1"/>
          <w:szCs w:val="16"/>
        </w:rPr>
      </w:pPr>
      <w:r w:rsidRPr="00781112">
        <w:rPr>
          <w:rFonts w:cs="Arial"/>
          <w:color w:val="000000" w:themeColor="text1"/>
          <w:szCs w:val="16"/>
        </w:rPr>
        <w:t xml:space="preserve">Participants in mediation are always provided with consumer evaluations to complete and forward to the VDOE Coordinator of Mediation Services. The coordinator reviews the evaluations and addresses concerns. The coordinator considers changes in targets, policies, and practices based on the evaluations received. The comments, written and verbal, may be used by the coordinator with the mediators. Administration takes input from a variety of sources and determines where additional mediator training may be </w:t>
      </w:r>
      <w:proofErr w:type="gramStart"/>
      <w:r w:rsidRPr="00781112">
        <w:rPr>
          <w:rFonts w:cs="Arial"/>
          <w:color w:val="000000" w:themeColor="text1"/>
          <w:szCs w:val="16"/>
        </w:rPr>
        <w:t>helpful..</w:t>
      </w:r>
      <w:proofErr w:type="gramEnd"/>
      <w:r w:rsidRPr="00781112">
        <w:rPr>
          <w:rFonts w:cs="Arial"/>
          <w:color w:val="000000" w:themeColor="text1"/>
          <w:szCs w:val="16"/>
        </w:rPr>
        <w:t xml:space="preserve"> Presenting at parent and educator conferences provides another means of stakeholders expressing their experiences with the mediation process.</w:t>
      </w:r>
    </w:p>
    <w:p w14:paraId="5F0F979C" w14:textId="1BCA16BF" w:rsidR="000A2C83" w:rsidRPr="00781112" w:rsidRDefault="002B5D98" w:rsidP="00B84C9D">
      <w:pPr>
        <w:ind w:left="720"/>
        <w:rPr>
          <w:rFonts w:cs="Arial"/>
          <w:color w:val="000000" w:themeColor="text1"/>
          <w:szCs w:val="16"/>
        </w:rPr>
      </w:pPr>
      <w:hyperlink r:id="rId21" w:history="1">
        <w:r w:rsidR="002B7490" w:rsidRPr="000A20EF">
          <w:rPr>
            <w:rStyle w:val="Hyperlink"/>
            <w:rFonts w:cs="Arial"/>
            <w:szCs w:val="16"/>
          </w:rPr>
          <w:t>Website</w:t>
        </w:r>
      </w:hyperlink>
      <w:r w:rsidR="002B7490" w:rsidRPr="00781112">
        <w:rPr>
          <w:rFonts w:cs="Arial"/>
          <w:color w:val="000000" w:themeColor="text1"/>
          <w:szCs w:val="16"/>
        </w:rPr>
        <w:t>:</w:t>
      </w:r>
      <w:r w:rsidR="009615F9" w:rsidRPr="009615F9">
        <w:t xml:space="preserve"> </w:t>
      </w:r>
      <w:r w:rsidR="009615F9" w:rsidRPr="009615F9">
        <w:rPr>
          <w:rFonts w:cs="Arial"/>
          <w:color w:val="000000" w:themeColor="text1"/>
          <w:szCs w:val="16"/>
        </w:rPr>
        <w:t>https://www.doe.virginia.gov/?navid=650</w:t>
      </w:r>
      <w:r w:rsidR="002B7490" w:rsidRPr="00781112">
        <w:rPr>
          <w:rFonts w:cs="Arial"/>
          <w:color w:val="000000" w:themeColor="text1"/>
          <w:szCs w:val="16"/>
        </w:rPr>
        <w:t>.</w:t>
      </w:r>
    </w:p>
    <w:p w14:paraId="48B9C9FE" w14:textId="15D2A67C" w:rsidR="008E31C4" w:rsidRPr="00781112" w:rsidRDefault="008E31C4" w:rsidP="00C33455">
      <w:pPr>
        <w:pStyle w:val="Caption"/>
      </w:pPr>
      <w:r w:rsidRPr="00781112">
        <w:t>Historical Data</w:t>
      </w:r>
      <w:r w:rsidR="00EB500A">
        <w:t xml:space="preserve"> (16)</w:t>
      </w:r>
    </w:p>
    <w:tbl>
      <w:tblPr>
        <w:tblStyle w:val="TableGrid"/>
        <w:tblW w:w="0" w:type="auto"/>
        <w:tblLayout w:type="fixed"/>
        <w:tblLook w:val="04A0" w:firstRow="1" w:lastRow="0" w:firstColumn="1" w:lastColumn="0" w:noHBand="0" w:noVBand="1"/>
        <w:tblDescription w:val="Table provides baseline year and baseline data for this indicator."/>
      </w:tblPr>
      <w:tblGrid>
        <w:gridCol w:w="2562"/>
        <w:gridCol w:w="2563"/>
      </w:tblGrid>
      <w:tr w:rsidR="00D75351" w:rsidRPr="00781112" w14:paraId="57AEABC0" w14:textId="77777777" w:rsidTr="000A20EF">
        <w:trPr>
          <w:trHeight w:val="432"/>
          <w:tblHeader/>
        </w:trPr>
        <w:tc>
          <w:tcPr>
            <w:tcW w:w="2562" w:type="dxa"/>
            <w:shd w:val="clear" w:color="auto" w:fill="D9D9D9" w:themeFill="background1" w:themeFillShade="D9"/>
            <w:vAlign w:val="center"/>
          </w:tcPr>
          <w:p w14:paraId="38CE882B" w14:textId="77777777" w:rsidR="00D75351" w:rsidRPr="00781112" w:rsidRDefault="00D75351" w:rsidP="000A20EF">
            <w:pPr>
              <w:spacing w:after="0" w:line="276" w:lineRule="auto"/>
              <w:jc w:val="center"/>
              <w:rPr>
                <w:b/>
                <w:color w:val="000000" w:themeColor="text1"/>
              </w:rPr>
            </w:pPr>
            <w:r w:rsidRPr="00781112">
              <w:rPr>
                <w:rFonts w:cs="Arial"/>
                <w:b/>
                <w:color w:val="000000" w:themeColor="text1"/>
                <w:szCs w:val="16"/>
              </w:rPr>
              <w:t>Baseline Year</w:t>
            </w:r>
          </w:p>
        </w:tc>
        <w:tc>
          <w:tcPr>
            <w:tcW w:w="2563" w:type="dxa"/>
            <w:shd w:val="clear" w:color="auto" w:fill="D9D9D9" w:themeFill="background1" w:themeFillShade="D9"/>
            <w:vAlign w:val="center"/>
          </w:tcPr>
          <w:p w14:paraId="664A9E7A" w14:textId="77777777" w:rsidR="00D75351" w:rsidRPr="00781112" w:rsidRDefault="00D75351" w:rsidP="000A20EF">
            <w:pPr>
              <w:spacing w:after="0" w:line="276" w:lineRule="auto"/>
              <w:jc w:val="center"/>
              <w:rPr>
                <w:b/>
                <w:color w:val="000000" w:themeColor="text1"/>
              </w:rPr>
            </w:pPr>
            <w:r w:rsidRPr="00781112">
              <w:rPr>
                <w:b/>
                <w:color w:val="000000" w:themeColor="text1"/>
              </w:rPr>
              <w:t>Baseline Data</w:t>
            </w:r>
          </w:p>
        </w:tc>
      </w:tr>
      <w:tr w:rsidR="00D75351" w:rsidRPr="00781112" w14:paraId="2B59BCB7" w14:textId="77777777" w:rsidTr="000A20EF">
        <w:trPr>
          <w:trHeight w:val="432"/>
        </w:trPr>
        <w:tc>
          <w:tcPr>
            <w:tcW w:w="2562" w:type="dxa"/>
            <w:vAlign w:val="center"/>
          </w:tcPr>
          <w:p w14:paraId="62FFC123" w14:textId="008A4386" w:rsidR="00D75351" w:rsidRPr="00781112" w:rsidRDefault="00D75351" w:rsidP="000A20EF">
            <w:pPr>
              <w:spacing w:after="0" w:line="276" w:lineRule="auto"/>
              <w:jc w:val="center"/>
              <w:rPr>
                <w:bCs/>
                <w:color w:val="000000" w:themeColor="text1"/>
              </w:rPr>
            </w:pPr>
            <w:r w:rsidRPr="00781112">
              <w:rPr>
                <w:bCs/>
                <w:color w:val="000000" w:themeColor="text1"/>
              </w:rPr>
              <w:t>2005</w:t>
            </w:r>
          </w:p>
        </w:tc>
        <w:tc>
          <w:tcPr>
            <w:tcW w:w="2563" w:type="dxa"/>
            <w:vAlign w:val="center"/>
          </w:tcPr>
          <w:p w14:paraId="08A13422" w14:textId="52DBDA3E" w:rsidR="00D75351" w:rsidRPr="00781112" w:rsidRDefault="00D75351" w:rsidP="000A20EF">
            <w:pPr>
              <w:spacing w:after="0" w:line="276" w:lineRule="auto"/>
              <w:jc w:val="center"/>
              <w:rPr>
                <w:bCs/>
                <w:color w:val="000000" w:themeColor="text1"/>
              </w:rPr>
            </w:pPr>
            <w:r w:rsidRPr="00781112">
              <w:rPr>
                <w:bCs/>
                <w:color w:val="000000" w:themeColor="text1"/>
              </w:rPr>
              <w:t>75.00%</w:t>
            </w:r>
          </w:p>
        </w:tc>
      </w:tr>
    </w:tbl>
    <w:p w14:paraId="20C428E3" w14:textId="6B05A1F4" w:rsidR="004F0EE5" w:rsidRPr="004F0EE5" w:rsidRDefault="004F0EE5" w:rsidP="00C33455">
      <w:pPr>
        <w:pStyle w:val="Caption"/>
      </w:pPr>
      <w:r w:rsidRPr="00EB500A">
        <w:t>Historical Data (FFY)</w:t>
      </w:r>
      <w:r w:rsidR="00EB500A" w:rsidRPr="00EB500A">
        <w:t xml:space="preserve">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 data for this indicator for federal fiscal years 2015-2019 for this indicator."/>
      </w:tblPr>
      <w:tblGrid>
        <w:gridCol w:w="1797"/>
        <w:gridCol w:w="1797"/>
        <w:gridCol w:w="1800"/>
        <w:gridCol w:w="1798"/>
        <w:gridCol w:w="1798"/>
        <w:gridCol w:w="1800"/>
      </w:tblGrid>
      <w:tr w:rsidR="005C29F8" w:rsidRPr="00781112" w14:paraId="3061AAFC" w14:textId="77777777" w:rsidTr="000A20EF">
        <w:trPr>
          <w:trHeight w:val="432"/>
        </w:trPr>
        <w:tc>
          <w:tcPr>
            <w:tcW w:w="833" w:type="pct"/>
            <w:tcBorders>
              <w:bottom w:val="single" w:sz="4" w:space="0" w:color="auto"/>
            </w:tcBorders>
            <w:shd w:val="clear" w:color="auto" w:fill="D9D9D9" w:themeFill="background1" w:themeFillShade="D9"/>
            <w:vAlign w:val="center"/>
          </w:tcPr>
          <w:p w14:paraId="6D321354" w14:textId="77777777" w:rsidR="008E31C4" w:rsidRPr="00781112" w:rsidRDefault="008E31C4" w:rsidP="006D0DC2">
            <w:pPr>
              <w:spacing w:after="0"/>
              <w:jc w:val="center"/>
              <w:rPr>
                <w:rFonts w:cs="Arial"/>
                <w:b/>
                <w:color w:val="000000" w:themeColor="text1"/>
                <w:szCs w:val="16"/>
              </w:rPr>
            </w:pPr>
            <w:r w:rsidRPr="00781112">
              <w:rPr>
                <w:rFonts w:cs="Arial"/>
                <w:b/>
                <w:color w:val="000000" w:themeColor="text1"/>
                <w:szCs w:val="16"/>
              </w:rPr>
              <w:t>FFY</w:t>
            </w:r>
          </w:p>
        </w:tc>
        <w:tc>
          <w:tcPr>
            <w:tcW w:w="833" w:type="pct"/>
            <w:shd w:val="clear" w:color="auto" w:fill="D9D9D9" w:themeFill="background1" w:themeFillShade="D9"/>
            <w:vAlign w:val="center"/>
          </w:tcPr>
          <w:p w14:paraId="351C61C5" w14:textId="1A27A18C" w:rsidR="008E31C4" w:rsidRPr="00781112" w:rsidRDefault="002B7490" w:rsidP="000A20EF">
            <w:pPr>
              <w:spacing w:after="0"/>
              <w:jc w:val="center"/>
              <w:rPr>
                <w:rFonts w:cs="Arial"/>
                <w:b/>
                <w:color w:val="000000" w:themeColor="text1"/>
                <w:szCs w:val="16"/>
              </w:rPr>
            </w:pPr>
            <w:r w:rsidRPr="00781112">
              <w:rPr>
                <w:rFonts w:cs="Arial"/>
                <w:b/>
                <w:color w:val="000000" w:themeColor="text1"/>
                <w:szCs w:val="16"/>
              </w:rPr>
              <w:t>2015</w:t>
            </w:r>
          </w:p>
        </w:tc>
        <w:tc>
          <w:tcPr>
            <w:tcW w:w="834" w:type="pct"/>
            <w:shd w:val="clear" w:color="auto" w:fill="D9D9D9" w:themeFill="background1" w:themeFillShade="D9"/>
            <w:vAlign w:val="center"/>
          </w:tcPr>
          <w:p w14:paraId="1CDF9DE8" w14:textId="0FE9038E" w:rsidR="008E31C4" w:rsidRPr="00781112" w:rsidRDefault="002B7490" w:rsidP="000A20EF">
            <w:pPr>
              <w:spacing w:after="0"/>
              <w:jc w:val="center"/>
              <w:rPr>
                <w:rFonts w:cs="Arial"/>
                <w:b/>
                <w:color w:val="000000" w:themeColor="text1"/>
                <w:szCs w:val="16"/>
              </w:rPr>
            </w:pPr>
            <w:r w:rsidRPr="00781112">
              <w:rPr>
                <w:rFonts w:cs="Arial"/>
                <w:b/>
                <w:color w:val="000000" w:themeColor="text1"/>
                <w:szCs w:val="16"/>
              </w:rPr>
              <w:t>2016</w:t>
            </w:r>
          </w:p>
        </w:tc>
        <w:tc>
          <w:tcPr>
            <w:tcW w:w="833" w:type="pct"/>
            <w:shd w:val="clear" w:color="auto" w:fill="D9D9D9" w:themeFill="background1" w:themeFillShade="D9"/>
            <w:vAlign w:val="center"/>
          </w:tcPr>
          <w:p w14:paraId="49B990DE" w14:textId="2B6E5021" w:rsidR="008E31C4" w:rsidRPr="00781112" w:rsidRDefault="002B7490" w:rsidP="000A20EF">
            <w:pPr>
              <w:spacing w:after="0"/>
              <w:jc w:val="center"/>
              <w:rPr>
                <w:rFonts w:cs="Arial"/>
                <w:b/>
                <w:color w:val="000000" w:themeColor="text1"/>
                <w:szCs w:val="16"/>
              </w:rPr>
            </w:pPr>
            <w:r w:rsidRPr="00781112">
              <w:rPr>
                <w:rFonts w:cs="Arial"/>
                <w:b/>
                <w:color w:val="000000" w:themeColor="text1"/>
                <w:szCs w:val="16"/>
              </w:rPr>
              <w:t>2017</w:t>
            </w:r>
          </w:p>
        </w:tc>
        <w:tc>
          <w:tcPr>
            <w:tcW w:w="833" w:type="pct"/>
            <w:shd w:val="clear" w:color="auto" w:fill="D9D9D9" w:themeFill="background1" w:themeFillShade="D9"/>
            <w:vAlign w:val="center"/>
          </w:tcPr>
          <w:p w14:paraId="6EF76857" w14:textId="0F124C26" w:rsidR="008E31C4" w:rsidRPr="00781112" w:rsidRDefault="002B7490" w:rsidP="000A20EF">
            <w:pPr>
              <w:spacing w:after="0"/>
              <w:jc w:val="center"/>
              <w:rPr>
                <w:rFonts w:cs="Arial"/>
                <w:b/>
                <w:color w:val="000000" w:themeColor="text1"/>
                <w:szCs w:val="16"/>
              </w:rPr>
            </w:pPr>
            <w:r w:rsidRPr="00781112">
              <w:rPr>
                <w:rFonts w:cs="Arial"/>
                <w:b/>
                <w:color w:val="000000" w:themeColor="text1"/>
                <w:szCs w:val="16"/>
              </w:rPr>
              <w:t>2018</w:t>
            </w:r>
          </w:p>
        </w:tc>
        <w:tc>
          <w:tcPr>
            <w:tcW w:w="834" w:type="pct"/>
            <w:shd w:val="clear" w:color="auto" w:fill="D9D9D9" w:themeFill="background1" w:themeFillShade="D9"/>
            <w:vAlign w:val="center"/>
          </w:tcPr>
          <w:p w14:paraId="246ACDB0" w14:textId="7F251A7E" w:rsidR="008E31C4" w:rsidRPr="00781112" w:rsidRDefault="002B7490" w:rsidP="000A20EF">
            <w:pPr>
              <w:spacing w:after="0"/>
              <w:jc w:val="center"/>
              <w:rPr>
                <w:rFonts w:cs="Arial"/>
                <w:b/>
                <w:color w:val="000000" w:themeColor="text1"/>
                <w:szCs w:val="16"/>
              </w:rPr>
            </w:pPr>
            <w:r w:rsidRPr="00781112">
              <w:rPr>
                <w:rFonts w:cs="Arial"/>
                <w:b/>
                <w:color w:val="000000" w:themeColor="text1"/>
                <w:szCs w:val="16"/>
              </w:rPr>
              <w:t>2019</w:t>
            </w:r>
          </w:p>
        </w:tc>
      </w:tr>
      <w:tr w:rsidR="005C29F8" w:rsidRPr="00781112" w14:paraId="2A876A9F" w14:textId="77777777" w:rsidTr="000A20EF">
        <w:trPr>
          <w:trHeight w:val="432"/>
        </w:trPr>
        <w:tc>
          <w:tcPr>
            <w:tcW w:w="833" w:type="pct"/>
            <w:shd w:val="clear" w:color="auto" w:fill="auto"/>
            <w:vAlign w:val="center"/>
          </w:tcPr>
          <w:p w14:paraId="2DE95B6B" w14:textId="04DB6250" w:rsidR="008E31C4" w:rsidRPr="00781112" w:rsidRDefault="008E31C4" w:rsidP="006D0DC2">
            <w:pPr>
              <w:spacing w:after="0"/>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6C64D17D" w14:textId="6F575CE5"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76.00% - 80.00%</w:t>
            </w:r>
          </w:p>
        </w:tc>
        <w:tc>
          <w:tcPr>
            <w:tcW w:w="834" w:type="pct"/>
            <w:shd w:val="clear" w:color="auto" w:fill="auto"/>
            <w:vAlign w:val="center"/>
          </w:tcPr>
          <w:p w14:paraId="72C59C65" w14:textId="44E721D8"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76.00% - 80.00%</w:t>
            </w:r>
          </w:p>
        </w:tc>
        <w:tc>
          <w:tcPr>
            <w:tcW w:w="833" w:type="pct"/>
            <w:shd w:val="clear" w:color="auto" w:fill="auto"/>
            <w:vAlign w:val="center"/>
          </w:tcPr>
          <w:p w14:paraId="220DD5CA" w14:textId="720A36A7"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76.00% - 80.00%</w:t>
            </w:r>
          </w:p>
        </w:tc>
        <w:tc>
          <w:tcPr>
            <w:tcW w:w="833" w:type="pct"/>
            <w:shd w:val="clear" w:color="auto" w:fill="auto"/>
            <w:vAlign w:val="center"/>
          </w:tcPr>
          <w:p w14:paraId="07CF6D0B" w14:textId="0CDFA70C"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76.00% - 80.00%</w:t>
            </w:r>
          </w:p>
        </w:tc>
        <w:tc>
          <w:tcPr>
            <w:tcW w:w="834" w:type="pct"/>
            <w:shd w:val="clear" w:color="auto" w:fill="auto"/>
            <w:vAlign w:val="center"/>
          </w:tcPr>
          <w:p w14:paraId="3B96FD7D" w14:textId="1B0E0944"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76.00%</w:t>
            </w:r>
            <w:r w:rsidR="000A20EF" w:rsidRPr="00781112">
              <w:rPr>
                <w:rFonts w:cs="Arial"/>
                <w:color w:val="000000" w:themeColor="text1"/>
                <w:szCs w:val="16"/>
              </w:rPr>
              <w:t xml:space="preserve"> - </w:t>
            </w:r>
            <w:r w:rsidRPr="00781112">
              <w:rPr>
                <w:rFonts w:cs="Arial"/>
                <w:color w:val="000000" w:themeColor="text1"/>
                <w:szCs w:val="16"/>
              </w:rPr>
              <w:t>80.00%</w:t>
            </w:r>
          </w:p>
        </w:tc>
      </w:tr>
      <w:tr w:rsidR="005C29F8" w:rsidRPr="00781112" w14:paraId="34F84ECE" w14:textId="77777777" w:rsidTr="000A20EF">
        <w:trPr>
          <w:trHeight w:val="432"/>
        </w:trPr>
        <w:tc>
          <w:tcPr>
            <w:tcW w:w="833" w:type="pct"/>
            <w:shd w:val="clear" w:color="auto" w:fill="auto"/>
            <w:vAlign w:val="center"/>
          </w:tcPr>
          <w:p w14:paraId="281210CF" w14:textId="77777777" w:rsidR="008E31C4" w:rsidRPr="00781112" w:rsidRDefault="008E31C4" w:rsidP="006D0DC2">
            <w:pPr>
              <w:spacing w:after="0"/>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581B8DC5" w14:textId="4F71DCFC"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82.30%</w:t>
            </w:r>
          </w:p>
        </w:tc>
        <w:tc>
          <w:tcPr>
            <w:tcW w:w="834" w:type="pct"/>
            <w:shd w:val="clear" w:color="auto" w:fill="auto"/>
            <w:vAlign w:val="center"/>
          </w:tcPr>
          <w:p w14:paraId="341A9DBA" w14:textId="51769052"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76.15%</w:t>
            </w:r>
          </w:p>
        </w:tc>
        <w:tc>
          <w:tcPr>
            <w:tcW w:w="833" w:type="pct"/>
            <w:tcBorders>
              <w:bottom w:val="single" w:sz="4" w:space="0" w:color="auto"/>
            </w:tcBorders>
            <w:shd w:val="clear" w:color="auto" w:fill="auto"/>
            <w:vAlign w:val="center"/>
          </w:tcPr>
          <w:p w14:paraId="7C21B645" w14:textId="348DEE4D"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77.01%</w:t>
            </w:r>
          </w:p>
        </w:tc>
        <w:tc>
          <w:tcPr>
            <w:tcW w:w="833" w:type="pct"/>
            <w:tcBorders>
              <w:bottom w:val="single" w:sz="4" w:space="0" w:color="auto"/>
            </w:tcBorders>
            <w:shd w:val="clear" w:color="auto" w:fill="auto"/>
            <w:vAlign w:val="center"/>
          </w:tcPr>
          <w:p w14:paraId="345A5CC5" w14:textId="67CE713B"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71.03%</w:t>
            </w:r>
          </w:p>
        </w:tc>
        <w:tc>
          <w:tcPr>
            <w:tcW w:w="834" w:type="pct"/>
            <w:tcBorders>
              <w:bottom w:val="single" w:sz="4" w:space="0" w:color="auto"/>
            </w:tcBorders>
            <w:shd w:val="clear" w:color="auto" w:fill="auto"/>
            <w:vAlign w:val="center"/>
          </w:tcPr>
          <w:p w14:paraId="09A5B408" w14:textId="4B0EB3D1" w:rsidR="008E31C4" w:rsidRPr="00781112" w:rsidRDefault="002B7490" w:rsidP="000A20EF">
            <w:pPr>
              <w:spacing w:after="0"/>
              <w:jc w:val="center"/>
              <w:rPr>
                <w:rFonts w:cs="Arial"/>
                <w:color w:val="000000" w:themeColor="text1"/>
                <w:szCs w:val="16"/>
              </w:rPr>
            </w:pPr>
            <w:r w:rsidRPr="00781112">
              <w:rPr>
                <w:rFonts w:cs="Arial"/>
                <w:color w:val="000000" w:themeColor="text1"/>
                <w:szCs w:val="16"/>
              </w:rPr>
              <w:t>75.34%</w:t>
            </w:r>
          </w:p>
        </w:tc>
      </w:tr>
    </w:tbl>
    <w:p w14:paraId="287DA72B" w14:textId="6DC317FC" w:rsidR="008E31C4" w:rsidRPr="00781112" w:rsidRDefault="008E31C4" w:rsidP="00C33455">
      <w:pPr>
        <w:pStyle w:val="Caption"/>
      </w:pPr>
      <w:bookmarkStart w:id="121" w:name="_Hlk121845058"/>
      <w:r w:rsidRPr="00781112">
        <w:t>Targets</w:t>
      </w:r>
      <w:r w:rsidR="00EB500A">
        <w:t xml:space="preserve"> (16)</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low and high targets for federal fiscal years 2020-2025 for this indicator."/>
      </w:tblPr>
      <w:tblGrid>
        <w:gridCol w:w="985"/>
        <w:gridCol w:w="835"/>
        <w:gridCol w:w="835"/>
        <w:gridCol w:w="835"/>
        <w:gridCol w:w="838"/>
        <w:gridCol w:w="835"/>
        <w:gridCol w:w="835"/>
        <w:gridCol w:w="834"/>
        <w:gridCol w:w="837"/>
        <w:gridCol w:w="834"/>
        <w:gridCol w:w="834"/>
        <w:gridCol w:w="834"/>
        <w:gridCol w:w="837"/>
      </w:tblGrid>
      <w:tr w:rsidR="00643D78" w:rsidRPr="00781112" w14:paraId="7594DC8D" w14:textId="0DC8B565" w:rsidTr="000A20EF">
        <w:trPr>
          <w:trHeight w:val="432"/>
          <w:tblHeader/>
        </w:trPr>
        <w:tc>
          <w:tcPr>
            <w:tcW w:w="447" w:type="pct"/>
            <w:tcBorders>
              <w:bottom w:val="single" w:sz="4" w:space="0" w:color="auto"/>
            </w:tcBorders>
            <w:shd w:val="clear" w:color="auto" w:fill="D9D9D9" w:themeFill="background1" w:themeFillShade="D9"/>
            <w:vAlign w:val="center"/>
          </w:tcPr>
          <w:bookmarkEnd w:id="121"/>
          <w:p w14:paraId="7782F422" w14:textId="77777777" w:rsidR="00643D78" w:rsidRPr="00781112" w:rsidRDefault="00643D78" w:rsidP="000A20EF">
            <w:pPr>
              <w:spacing w:after="0"/>
              <w:jc w:val="center"/>
              <w:rPr>
                <w:b/>
                <w:color w:val="000000" w:themeColor="text1"/>
              </w:rPr>
            </w:pPr>
            <w:r w:rsidRPr="00781112">
              <w:rPr>
                <w:b/>
                <w:color w:val="000000" w:themeColor="text1"/>
              </w:rPr>
              <w:t>FFY</w:t>
            </w:r>
          </w:p>
        </w:tc>
        <w:tc>
          <w:tcPr>
            <w:tcW w:w="379" w:type="pct"/>
            <w:shd w:val="clear" w:color="auto" w:fill="D9D9D9" w:themeFill="background1" w:themeFillShade="D9"/>
            <w:vAlign w:val="center"/>
          </w:tcPr>
          <w:p w14:paraId="0940A41B" w14:textId="1CD12010" w:rsidR="00643D78" w:rsidRPr="00781112" w:rsidRDefault="00643D78" w:rsidP="000A20EF">
            <w:pPr>
              <w:tabs>
                <w:tab w:val="left" w:pos="652"/>
              </w:tabs>
              <w:spacing w:after="0"/>
              <w:ind w:left="-43" w:right="-25"/>
              <w:jc w:val="center"/>
              <w:rPr>
                <w:b/>
                <w:color w:val="000000" w:themeColor="text1"/>
              </w:rPr>
            </w:pPr>
            <w:r w:rsidRPr="00781112">
              <w:rPr>
                <w:b/>
                <w:color w:val="000000" w:themeColor="text1"/>
              </w:rPr>
              <w:t>2020 (low)</w:t>
            </w:r>
          </w:p>
        </w:tc>
        <w:tc>
          <w:tcPr>
            <w:tcW w:w="379" w:type="pct"/>
            <w:shd w:val="clear" w:color="auto" w:fill="D9D9D9" w:themeFill="background1" w:themeFillShade="D9"/>
            <w:vAlign w:val="center"/>
          </w:tcPr>
          <w:p w14:paraId="75DCC28C" w14:textId="1DC7CE7F" w:rsidR="00643D78" w:rsidRPr="00781112" w:rsidRDefault="00643D78" w:rsidP="000A20EF">
            <w:pPr>
              <w:spacing w:after="0"/>
              <w:ind w:left="-57" w:right="-101"/>
              <w:jc w:val="center"/>
              <w:rPr>
                <w:b/>
                <w:color w:val="000000" w:themeColor="text1"/>
              </w:rPr>
            </w:pPr>
            <w:r w:rsidRPr="00781112">
              <w:rPr>
                <w:b/>
                <w:color w:val="000000" w:themeColor="text1"/>
              </w:rPr>
              <w:t>2020 (high)</w:t>
            </w:r>
          </w:p>
        </w:tc>
        <w:tc>
          <w:tcPr>
            <w:tcW w:w="379" w:type="pct"/>
            <w:shd w:val="clear" w:color="auto" w:fill="D9D9D9" w:themeFill="background1" w:themeFillShade="D9"/>
            <w:vAlign w:val="center"/>
          </w:tcPr>
          <w:p w14:paraId="67E399A3" w14:textId="67CD8BC1" w:rsidR="00643D78" w:rsidRPr="00781112" w:rsidRDefault="00643D78" w:rsidP="000A20EF">
            <w:pPr>
              <w:tabs>
                <w:tab w:val="left" w:pos="652"/>
              </w:tabs>
              <w:spacing w:after="0"/>
              <w:ind w:left="-43" w:right="-25"/>
              <w:jc w:val="center"/>
              <w:rPr>
                <w:b/>
                <w:color w:val="000000" w:themeColor="text1"/>
              </w:rPr>
            </w:pPr>
            <w:r w:rsidRPr="00781112">
              <w:rPr>
                <w:b/>
                <w:color w:val="000000" w:themeColor="text1"/>
              </w:rPr>
              <w:t>2021 (low)</w:t>
            </w:r>
          </w:p>
        </w:tc>
        <w:tc>
          <w:tcPr>
            <w:tcW w:w="380" w:type="pct"/>
            <w:shd w:val="clear" w:color="auto" w:fill="D9D9D9" w:themeFill="background1" w:themeFillShade="D9"/>
            <w:vAlign w:val="center"/>
          </w:tcPr>
          <w:p w14:paraId="2189FA07" w14:textId="537756B6" w:rsidR="00643D78" w:rsidRPr="00781112" w:rsidRDefault="00643D78" w:rsidP="000A20EF">
            <w:pPr>
              <w:spacing w:after="0"/>
              <w:ind w:left="-57" w:right="-101"/>
              <w:jc w:val="center"/>
              <w:rPr>
                <w:b/>
                <w:color w:val="000000" w:themeColor="text1"/>
              </w:rPr>
            </w:pPr>
            <w:r w:rsidRPr="00781112">
              <w:rPr>
                <w:b/>
                <w:color w:val="000000" w:themeColor="text1"/>
              </w:rPr>
              <w:t>2021 (high)</w:t>
            </w:r>
          </w:p>
        </w:tc>
        <w:tc>
          <w:tcPr>
            <w:tcW w:w="379" w:type="pct"/>
            <w:shd w:val="clear" w:color="auto" w:fill="D9D9D9" w:themeFill="background1" w:themeFillShade="D9"/>
            <w:vAlign w:val="center"/>
          </w:tcPr>
          <w:p w14:paraId="4549A307" w14:textId="244657AA" w:rsidR="00643D78" w:rsidRPr="00781112" w:rsidRDefault="00643D78" w:rsidP="000A20EF">
            <w:pPr>
              <w:tabs>
                <w:tab w:val="left" w:pos="652"/>
              </w:tabs>
              <w:spacing w:after="0"/>
              <w:ind w:left="-43" w:right="-25"/>
              <w:jc w:val="center"/>
              <w:rPr>
                <w:b/>
                <w:color w:val="000000" w:themeColor="text1"/>
              </w:rPr>
            </w:pPr>
            <w:r w:rsidRPr="00781112">
              <w:rPr>
                <w:b/>
                <w:color w:val="000000" w:themeColor="text1"/>
              </w:rPr>
              <w:t>2022 (low)</w:t>
            </w:r>
          </w:p>
        </w:tc>
        <w:tc>
          <w:tcPr>
            <w:tcW w:w="379" w:type="pct"/>
            <w:shd w:val="clear" w:color="auto" w:fill="D9D9D9" w:themeFill="background1" w:themeFillShade="D9"/>
            <w:vAlign w:val="center"/>
          </w:tcPr>
          <w:p w14:paraId="35001E22" w14:textId="399DDC8A" w:rsidR="00643D78" w:rsidRPr="00781112" w:rsidRDefault="00643D78" w:rsidP="000A20EF">
            <w:pPr>
              <w:spacing w:after="0"/>
              <w:ind w:left="-57" w:right="-101"/>
              <w:jc w:val="center"/>
              <w:rPr>
                <w:b/>
                <w:color w:val="000000" w:themeColor="text1"/>
              </w:rPr>
            </w:pPr>
            <w:r w:rsidRPr="00781112">
              <w:rPr>
                <w:b/>
                <w:color w:val="000000" w:themeColor="text1"/>
              </w:rPr>
              <w:t>2022 (high)</w:t>
            </w:r>
          </w:p>
        </w:tc>
        <w:tc>
          <w:tcPr>
            <w:tcW w:w="379" w:type="pct"/>
            <w:shd w:val="clear" w:color="auto" w:fill="D9D9D9" w:themeFill="background1" w:themeFillShade="D9"/>
            <w:vAlign w:val="center"/>
          </w:tcPr>
          <w:p w14:paraId="6090C8FA" w14:textId="7822746B" w:rsidR="00643D78" w:rsidRPr="00781112" w:rsidRDefault="00643D78" w:rsidP="000A20EF">
            <w:pPr>
              <w:tabs>
                <w:tab w:val="left" w:pos="652"/>
              </w:tabs>
              <w:spacing w:after="0"/>
              <w:ind w:left="-43" w:right="-25"/>
              <w:jc w:val="center"/>
              <w:rPr>
                <w:b/>
                <w:color w:val="000000" w:themeColor="text1"/>
              </w:rPr>
            </w:pPr>
            <w:r w:rsidRPr="00781112">
              <w:rPr>
                <w:b/>
                <w:color w:val="000000" w:themeColor="text1"/>
              </w:rPr>
              <w:t>2023 (low)</w:t>
            </w:r>
          </w:p>
        </w:tc>
        <w:tc>
          <w:tcPr>
            <w:tcW w:w="380" w:type="pct"/>
            <w:shd w:val="clear" w:color="auto" w:fill="D9D9D9" w:themeFill="background1" w:themeFillShade="D9"/>
            <w:vAlign w:val="center"/>
          </w:tcPr>
          <w:p w14:paraId="2D7B1BBA" w14:textId="5CD9285A" w:rsidR="00643D78" w:rsidRPr="00781112" w:rsidRDefault="00643D78" w:rsidP="000A20EF">
            <w:pPr>
              <w:spacing w:after="0"/>
              <w:ind w:left="-57" w:right="-101"/>
              <w:jc w:val="center"/>
              <w:rPr>
                <w:b/>
                <w:color w:val="000000" w:themeColor="text1"/>
              </w:rPr>
            </w:pPr>
            <w:r w:rsidRPr="00781112">
              <w:rPr>
                <w:b/>
                <w:color w:val="000000" w:themeColor="text1"/>
              </w:rPr>
              <w:t>2023 (high)</w:t>
            </w:r>
          </w:p>
        </w:tc>
        <w:tc>
          <w:tcPr>
            <w:tcW w:w="379" w:type="pct"/>
            <w:shd w:val="clear" w:color="auto" w:fill="D9D9D9" w:themeFill="background1" w:themeFillShade="D9"/>
            <w:vAlign w:val="center"/>
          </w:tcPr>
          <w:p w14:paraId="66E3808A" w14:textId="11EDEBBA" w:rsidR="00643D78" w:rsidRPr="00781112" w:rsidRDefault="00643D78" w:rsidP="000A20EF">
            <w:pPr>
              <w:tabs>
                <w:tab w:val="left" w:pos="652"/>
              </w:tabs>
              <w:spacing w:after="0"/>
              <w:ind w:left="-43" w:right="-25"/>
              <w:jc w:val="center"/>
              <w:rPr>
                <w:b/>
                <w:color w:val="000000" w:themeColor="text1"/>
              </w:rPr>
            </w:pPr>
            <w:r w:rsidRPr="00781112">
              <w:rPr>
                <w:b/>
                <w:color w:val="000000" w:themeColor="text1"/>
              </w:rPr>
              <w:t>2024 (low)</w:t>
            </w:r>
          </w:p>
        </w:tc>
        <w:tc>
          <w:tcPr>
            <w:tcW w:w="379" w:type="pct"/>
            <w:shd w:val="clear" w:color="auto" w:fill="D9D9D9" w:themeFill="background1" w:themeFillShade="D9"/>
            <w:vAlign w:val="center"/>
          </w:tcPr>
          <w:p w14:paraId="40C72365" w14:textId="6F78E8AD" w:rsidR="00643D78" w:rsidRPr="00781112" w:rsidRDefault="00643D78" w:rsidP="000A20EF">
            <w:pPr>
              <w:spacing w:after="0"/>
              <w:ind w:left="-57" w:right="-101"/>
              <w:jc w:val="center"/>
              <w:rPr>
                <w:b/>
                <w:color w:val="000000" w:themeColor="text1"/>
              </w:rPr>
            </w:pPr>
            <w:r w:rsidRPr="00781112">
              <w:rPr>
                <w:b/>
                <w:color w:val="000000" w:themeColor="text1"/>
              </w:rPr>
              <w:t>2024 (high)</w:t>
            </w:r>
          </w:p>
        </w:tc>
        <w:tc>
          <w:tcPr>
            <w:tcW w:w="379" w:type="pct"/>
            <w:shd w:val="clear" w:color="auto" w:fill="D9D9D9" w:themeFill="background1" w:themeFillShade="D9"/>
            <w:vAlign w:val="center"/>
          </w:tcPr>
          <w:p w14:paraId="32A5BDCC" w14:textId="0C833833" w:rsidR="00643D78" w:rsidRPr="00781112" w:rsidRDefault="00643D78" w:rsidP="000A20EF">
            <w:pPr>
              <w:tabs>
                <w:tab w:val="left" w:pos="652"/>
              </w:tabs>
              <w:spacing w:after="0"/>
              <w:ind w:left="-43" w:right="-25"/>
              <w:jc w:val="center"/>
              <w:rPr>
                <w:b/>
                <w:color w:val="000000" w:themeColor="text1"/>
              </w:rPr>
            </w:pPr>
            <w:r w:rsidRPr="00781112">
              <w:rPr>
                <w:b/>
                <w:color w:val="000000" w:themeColor="text1"/>
              </w:rPr>
              <w:t>2025 (low)</w:t>
            </w:r>
          </w:p>
        </w:tc>
        <w:tc>
          <w:tcPr>
            <w:tcW w:w="380" w:type="pct"/>
            <w:shd w:val="clear" w:color="auto" w:fill="D9D9D9" w:themeFill="background1" w:themeFillShade="D9"/>
            <w:vAlign w:val="center"/>
          </w:tcPr>
          <w:p w14:paraId="1B6F085D" w14:textId="210FC00A" w:rsidR="00643D78" w:rsidRPr="00781112" w:rsidRDefault="00643D78" w:rsidP="000A20EF">
            <w:pPr>
              <w:spacing w:after="0"/>
              <w:ind w:left="-57" w:right="-101"/>
              <w:jc w:val="center"/>
              <w:rPr>
                <w:b/>
                <w:color w:val="000000" w:themeColor="text1"/>
              </w:rPr>
            </w:pPr>
            <w:r w:rsidRPr="00781112">
              <w:rPr>
                <w:b/>
                <w:color w:val="000000" w:themeColor="text1"/>
              </w:rPr>
              <w:t>2025 (high)</w:t>
            </w:r>
          </w:p>
        </w:tc>
      </w:tr>
      <w:tr w:rsidR="00643D78" w:rsidRPr="00781112" w14:paraId="0CEA7EF8" w14:textId="0DA095AE" w:rsidTr="000A20EF">
        <w:trPr>
          <w:trHeight w:val="432"/>
        </w:trPr>
        <w:tc>
          <w:tcPr>
            <w:tcW w:w="447" w:type="pct"/>
            <w:shd w:val="clear" w:color="auto" w:fill="auto"/>
            <w:vAlign w:val="center"/>
          </w:tcPr>
          <w:p w14:paraId="6ADDF8BE" w14:textId="11FEAEBB" w:rsidR="00643D78" w:rsidRPr="00781112" w:rsidRDefault="00643D78" w:rsidP="000A20EF">
            <w:pPr>
              <w:spacing w:after="0"/>
              <w:jc w:val="center"/>
              <w:rPr>
                <w:rFonts w:cs="Arial"/>
                <w:color w:val="000000" w:themeColor="text1"/>
                <w:szCs w:val="16"/>
              </w:rPr>
            </w:pPr>
            <w:r w:rsidRPr="00781112">
              <w:rPr>
                <w:rFonts w:cs="Arial"/>
                <w:color w:val="000000" w:themeColor="text1"/>
                <w:szCs w:val="16"/>
              </w:rPr>
              <w:t>Target &gt;=</w:t>
            </w:r>
          </w:p>
        </w:tc>
        <w:tc>
          <w:tcPr>
            <w:tcW w:w="379" w:type="pct"/>
            <w:shd w:val="clear" w:color="auto" w:fill="auto"/>
            <w:vAlign w:val="center"/>
          </w:tcPr>
          <w:p w14:paraId="609C8409" w14:textId="492FAFE6" w:rsidR="00643D78" w:rsidRPr="00781112" w:rsidRDefault="00643D78" w:rsidP="000A20EF">
            <w:pPr>
              <w:tabs>
                <w:tab w:val="left" w:pos="652"/>
              </w:tabs>
              <w:spacing w:after="0"/>
              <w:ind w:left="-43" w:right="-25"/>
              <w:jc w:val="center"/>
              <w:rPr>
                <w:rFonts w:cs="Arial"/>
                <w:color w:val="000000" w:themeColor="text1"/>
                <w:szCs w:val="16"/>
              </w:rPr>
            </w:pPr>
            <w:r w:rsidRPr="00781112">
              <w:rPr>
                <w:rFonts w:cs="Arial"/>
                <w:color w:val="000000" w:themeColor="text1"/>
                <w:szCs w:val="16"/>
              </w:rPr>
              <w:t>76.00%</w:t>
            </w:r>
          </w:p>
        </w:tc>
        <w:tc>
          <w:tcPr>
            <w:tcW w:w="379" w:type="pct"/>
            <w:shd w:val="clear" w:color="auto" w:fill="auto"/>
            <w:vAlign w:val="center"/>
          </w:tcPr>
          <w:p w14:paraId="6F824693" w14:textId="4FFC86A6" w:rsidR="00643D78" w:rsidRPr="00781112" w:rsidRDefault="00643D78" w:rsidP="000A20EF">
            <w:pPr>
              <w:spacing w:after="0"/>
              <w:ind w:left="-57" w:right="-101"/>
              <w:jc w:val="center"/>
              <w:rPr>
                <w:rFonts w:cs="Arial"/>
                <w:color w:val="000000" w:themeColor="text1"/>
                <w:szCs w:val="16"/>
              </w:rPr>
            </w:pPr>
            <w:r w:rsidRPr="00781112">
              <w:rPr>
                <w:rFonts w:cs="Arial"/>
                <w:color w:val="000000" w:themeColor="text1"/>
                <w:szCs w:val="16"/>
              </w:rPr>
              <w:t>80.00%</w:t>
            </w:r>
          </w:p>
        </w:tc>
        <w:tc>
          <w:tcPr>
            <w:tcW w:w="379" w:type="pct"/>
            <w:vAlign w:val="center"/>
          </w:tcPr>
          <w:p w14:paraId="649AE909" w14:textId="0F92F564" w:rsidR="00643D78" w:rsidRPr="00781112" w:rsidRDefault="00643D78" w:rsidP="000A20EF">
            <w:pPr>
              <w:tabs>
                <w:tab w:val="left" w:pos="652"/>
              </w:tabs>
              <w:spacing w:after="0"/>
              <w:ind w:left="-43" w:right="-25"/>
              <w:jc w:val="center"/>
              <w:rPr>
                <w:rFonts w:cs="Arial"/>
                <w:color w:val="000000" w:themeColor="text1"/>
                <w:szCs w:val="16"/>
              </w:rPr>
            </w:pPr>
            <w:r w:rsidRPr="00781112">
              <w:rPr>
                <w:rFonts w:cs="Arial"/>
                <w:color w:val="000000" w:themeColor="text1"/>
                <w:szCs w:val="16"/>
              </w:rPr>
              <w:t>76.00%</w:t>
            </w:r>
          </w:p>
        </w:tc>
        <w:tc>
          <w:tcPr>
            <w:tcW w:w="380" w:type="pct"/>
            <w:vAlign w:val="center"/>
          </w:tcPr>
          <w:p w14:paraId="25EADA49" w14:textId="5D988809" w:rsidR="00643D78" w:rsidRPr="00781112" w:rsidRDefault="00643D78" w:rsidP="000A20EF">
            <w:pPr>
              <w:spacing w:after="0"/>
              <w:ind w:left="-57" w:right="-101"/>
              <w:jc w:val="center"/>
              <w:rPr>
                <w:rFonts w:cs="Arial"/>
                <w:color w:val="000000" w:themeColor="text1"/>
                <w:szCs w:val="16"/>
              </w:rPr>
            </w:pPr>
            <w:r w:rsidRPr="00781112">
              <w:rPr>
                <w:rFonts w:cs="Arial"/>
                <w:color w:val="000000" w:themeColor="text1"/>
                <w:szCs w:val="16"/>
              </w:rPr>
              <w:t>80.00%</w:t>
            </w:r>
          </w:p>
        </w:tc>
        <w:tc>
          <w:tcPr>
            <w:tcW w:w="379" w:type="pct"/>
            <w:vAlign w:val="center"/>
          </w:tcPr>
          <w:p w14:paraId="3DC4D818" w14:textId="0C27E24D" w:rsidR="00643D78" w:rsidRPr="00781112" w:rsidRDefault="00643D78" w:rsidP="000A20EF">
            <w:pPr>
              <w:tabs>
                <w:tab w:val="left" w:pos="652"/>
              </w:tabs>
              <w:spacing w:after="0"/>
              <w:ind w:left="-43" w:right="-25"/>
              <w:jc w:val="center"/>
              <w:rPr>
                <w:rFonts w:cs="Arial"/>
                <w:color w:val="000000" w:themeColor="text1"/>
                <w:szCs w:val="16"/>
              </w:rPr>
            </w:pPr>
            <w:r w:rsidRPr="00781112">
              <w:rPr>
                <w:rFonts w:cs="Arial"/>
                <w:color w:val="000000" w:themeColor="text1"/>
                <w:szCs w:val="16"/>
              </w:rPr>
              <w:t>76.00%</w:t>
            </w:r>
          </w:p>
        </w:tc>
        <w:tc>
          <w:tcPr>
            <w:tcW w:w="379" w:type="pct"/>
            <w:vAlign w:val="center"/>
          </w:tcPr>
          <w:p w14:paraId="43A2E5B0" w14:textId="3FA796D7" w:rsidR="00643D78" w:rsidRPr="00781112" w:rsidRDefault="00643D78" w:rsidP="000A20EF">
            <w:pPr>
              <w:spacing w:after="0"/>
              <w:ind w:left="-57" w:right="-101"/>
              <w:jc w:val="center"/>
              <w:rPr>
                <w:rFonts w:cs="Arial"/>
                <w:color w:val="000000" w:themeColor="text1"/>
                <w:szCs w:val="16"/>
              </w:rPr>
            </w:pPr>
            <w:r w:rsidRPr="00781112">
              <w:rPr>
                <w:rFonts w:cs="Arial"/>
                <w:color w:val="000000" w:themeColor="text1"/>
                <w:szCs w:val="16"/>
              </w:rPr>
              <w:t>80.00%</w:t>
            </w:r>
          </w:p>
        </w:tc>
        <w:tc>
          <w:tcPr>
            <w:tcW w:w="379" w:type="pct"/>
            <w:vAlign w:val="center"/>
          </w:tcPr>
          <w:p w14:paraId="5B526A07" w14:textId="0569A055" w:rsidR="00643D78" w:rsidRPr="00781112" w:rsidRDefault="00643D78" w:rsidP="000A20EF">
            <w:pPr>
              <w:tabs>
                <w:tab w:val="left" w:pos="652"/>
              </w:tabs>
              <w:spacing w:after="0"/>
              <w:ind w:left="-43" w:right="-25"/>
              <w:jc w:val="center"/>
              <w:rPr>
                <w:rFonts w:cs="Arial"/>
                <w:color w:val="000000" w:themeColor="text1"/>
                <w:szCs w:val="16"/>
              </w:rPr>
            </w:pPr>
            <w:r w:rsidRPr="00781112">
              <w:rPr>
                <w:rFonts w:cs="Arial"/>
                <w:color w:val="000000" w:themeColor="text1"/>
                <w:szCs w:val="16"/>
              </w:rPr>
              <w:t>76.00%</w:t>
            </w:r>
          </w:p>
        </w:tc>
        <w:tc>
          <w:tcPr>
            <w:tcW w:w="380" w:type="pct"/>
            <w:vAlign w:val="center"/>
          </w:tcPr>
          <w:p w14:paraId="03BA6743" w14:textId="1B527A38" w:rsidR="00643D78" w:rsidRPr="00781112" w:rsidRDefault="00643D78" w:rsidP="000A20EF">
            <w:pPr>
              <w:spacing w:after="0"/>
              <w:ind w:left="-57" w:right="-101"/>
              <w:jc w:val="center"/>
              <w:rPr>
                <w:rFonts w:cs="Arial"/>
                <w:color w:val="000000" w:themeColor="text1"/>
                <w:szCs w:val="16"/>
              </w:rPr>
            </w:pPr>
            <w:r w:rsidRPr="00781112">
              <w:rPr>
                <w:rFonts w:cs="Arial"/>
                <w:color w:val="000000" w:themeColor="text1"/>
                <w:szCs w:val="16"/>
              </w:rPr>
              <w:t>80.00%</w:t>
            </w:r>
          </w:p>
        </w:tc>
        <w:tc>
          <w:tcPr>
            <w:tcW w:w="379" w:type="pct"/>
            <w:vAlign w:val="center"/>
          </w:tcPr>
          <w:p w14:paraId="21182B37" w14:textId="3F967812" w:rsidR="00643D78" w:rsidRPr="00781112" w:rsidRDefault="00643D78" w:rsidP="000A20EF">
            <w:pPr>
              <w:tabs>
                <w:tab w:val="left" w:pos="652"/>
              </w:tabs>
              <w:spacing w:after="0"/>
              <w:ind w:left="-43" w:right="-25"/>
              <w:jc w:val="center"/>
              <w:rPr>
                <w:rFonts w:cs="Arial"/>
                <w:color w:val="000000" w:themeColor="text1"/>
                <w:szCs w:val="16"/>
              </w:rPr>
            </w:pPr>
            <w:r w:rsidRPr="00781112">
              <w:rPr>
                <w:rFonts w:cs="Arial"/>
                <w:color w:val="000000" w:themeColor="text1"/>
                <w:szCs w:val="16"/>
              </w:rPr>
              <w:t>76.00%</w:t>
            </w:r>
          </w:p>
        </w:tc>
        <w:tc>
          <w:tcPr>
            <w:tcW w:w="379" w:type="pct"/>
            <w:vAlign w:val="center"/>
          </w:tcPr>
          <w:p w14:paraId="373EA776" w14:textId="46276E17" w:rsidR="00643D78" w:rsidRPr="00781112" w:rsidRDefault="00643D78" w:rsidP="000A20EF">
            <w:pPr>
              <w:spacing w:after="0"/>
              <w:ind w:left="-57" w:right="-101"/>
              <w:jc w:val="center"/>
              <w:rPr>
                <w:rFonts w:cs="Arial"/>
                <w:color w:val="000000" w:themeColor="text1"/>
                <w:szCs w:val="16"/>
              </w:rPr>
            </w:pPr>
            <w:r w:rsidRPr="00781112">
              <w:rPr>
                <w:rFonts w:cs="Arial"/>
                <w:color w:val="000000" w:themeColor="text1"/>
                <w:szCs w:val="16"/>
              </w:rPr>
              <w:t>80.00%</w:t>
            </w:r>
          </w:p>
        </w:tc>
        <w:tc>
          <w:tcPr>
            <w:tcW w:w="379" w:type="pct"/>
            <w:vAlign w:val="center"/>
          </w:tcPr>
          <w:p w14:paraId="79AB2278" w14:textId="20EEF8A6" w:rsidR="00643D78" w:rsidRPr="00781112" w:rsidRDefault="00643D78" w:rsidP="000A20EF">
            <w:pPr>
              <w:tabs>
                <w:tab w:val="left" w:pos="652"/>
              </w:tabs>
              <w:spacing w:after="0"/>
              <w:ind w:left="-43" w:right="-25"/>
              <w:jc w:val="center"/>
              <w:rPr>
                <w:rFonts w:cs="Arial"/>
                <w:color w:val="000000" w:themeColor="text1"/>
                <w:szCs w:val="16"/>
              </w:rPr>
            </w:pPr>
            <w:r w:rsidRPr="00781112">
              <w:rPr>
                <w:rFonts w:cs="Arial"/>
                <w:color w:val="000000" w:themeColor="text1"/>
                <w:szCs w:val="16"/>
              </w:rPr>
              <w:t>76.00%</w:t>
            </w:r>
          </w:p>
        </w:tc>
        <w:tc>
          <w:tcPr>
            <w:tcW w:w="380" w:type="pct"/>
            <w:vAlign w:val="center"/>
          </w:tcPr>
          <w:p w14:paraId="3556562C" w14:textId="71B74796" w:rsidR="00643D78" w:rsidRPr="00781112" w:rsidRDefault="00643D78" w:rsidP="000A20EF">
            <w:pPr>
              <w:spacing w:after="0"/>
              <w:ind w:left="-57" w:right="-101"/>
              <w:jc w:val="center"/>
              <w:rPr>
                <w:rFonts w:cs="Arial"/>
                <w:color w:val="000000" w:themeColor="text1"/>
                <w:szCs w:val="16"/>
              </w:rPr>
            </w:pPr>
            <w:r w:rsidRPr="00781112">
              <w:rPr>
                <w:rFonts w:cs="Arial"/>
                <w:color w:val="000000" w:themeColor="text1"/>
                <w:szCs w:val="16"/>
              </w:rPr>
              <w:t>80.00%</w:t>
            </w:r>
          </w:p>
        </w:tc>
      </w:tr>
    </w:tbl>
    <w:p w14:paraId="0068FA77" w14:textId="3EB640A5" w:rsidR="00BB79DA" w:rsidRPr="00781112" w:rsidRDefault="00806C75" w:rsidP="00C33455">
      <w:pPr>
        <w:pStyle w:val="Caption"/>
      </w:pPr>
      <w:bookmarkStart w:id="122" w:name="_Hlk121845062"/>
      <w:r w:rsidRPr="00781112">
        <w:t>FFY 2020 SPP/APR Data</w:t>
      </w:r>
      <w:r w:rsidR="000B7629">
        <w:t xml:space="preserve">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low and high targets and data for FFY 2020, status, and slippage, when applicable."/>
      </w:tblPr>
      <w:tblGrid>
        <w:gridCol w:w="1525"/>
        <w:gridCol w:w="1707"/>
        <w:gridCol w:w="1353"/>
        <w:gridCol w:w="1036"/>
        <w:gridCol w:w="1036"/>
        <w:gridCol w:w="1036"/>
        <w:gridCol w:w="1036"/>
        <w:gridCol w:w="900"/>
        <w:gridCol w:w="1161"/>
      </w:tblGrid>
      <w:tr w:rsidR="009C6183" w:rsidRPr="00781112" w14:paraId="5D1C0564" w14:textId="77777777" w:rsidTr="009C6183">
        <w:trPr>
          <w:trHeight w:val="2051"/>
          <w:tblHeader/>
        </w:trPr>
        <w:tc>
          <w:tcPr>
            <w:tcW w:w="707" w:type="pct"/>
            <w:shd w:val="clear" w:color="auto" w:fill="D9D9D9" w:themeFill="background1" w:themeFillShade="D9"/>
            <w:vAlign w:val="center"/>
          </w:tcPr>
          <w:bookmarkEnd w:id="122"/>
          <w:p w14:paraId="0EA7D355" w14:textId="554AED11" w:rsidR="0087456C" w:rsidRPr="00781112" w:rsidRDefault="0087456C" w:rsidP="000A20EF">
            <w:pPr>
              <w:spacing w:after="0"/>
              <w:ind w:left="-23" w:right="-107"/>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791" w:type="pct"/>
            <w:shd w:val="clear" w:color="auto" w:fill="D9D9D9" w:themeFill="background1" w:themeFillShade="D9"/>
            <w:vAlign w:val="center"/>
          </w:tcPr>
          <w:p w14:paraId="2A61707E" w14:textId="546E4FEF" w:rsidR="0087456C" w:rsidRPr="00781112" w:rsidRDefault="0087456C" w:rsidP="000A20EF">
            <w:pPr>
              <w:spacing w:after="0"/>
              <w:ind w:left="-20" w:right="-104"/>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27" w:type="pct"/>
            <w:shd w:val="clear" w:color="auto" w:fill="D9D9D9" w:themeFill="background1" w:themeFillShade="D9"/>
            <w:vAlign w:val="center"/>
          </w:tcPr>
          <w:p w14:paraId="501F61F7" w14:textId="77777777" w:rsidR="000A20EF" w:rsidRDefault="0087456C" w:rsidP="009C6183">
            <w:pPr>
              <w:spacing w:after="0"/>
              <w:ind w:left="-103" w:right="-112"/>
              <w:jc w:val="center"/>
              <w:rPr>
                <w:rFonts w:cs="Arial"/>
                <w:b/>
                <w:color w:val="000000" w:themeColor="text1"/>
                <w:szCs w:val="16"/>
              </w:rPr>
            </w:pPr>
            <w:r w:rsidRPr="00781112">
              <w:rPr>
                <w:rFonts w:cs="Arial"/>
                <w:b/>
                <w:color w:val="000000" w:themeColor="text1"/>
                <w:szCs w:val="16"/>
              </w:rPr>
              <w:t xml:space="preserve">2.1 </w:t>
            </w:r>
          </w:p>
          <w:p w14:paraId="77256D2F" w14:textId="30B94F2E" w:rsidR="0087456C" w:rsidRPr="00781112" w:rsidRDefault="0087456C" w:rsidP="009C6183">
            <w:pPr>
              <w:spacing w:after="0"/>
              <w:ind w:left="-103" w:right="-112"/>
              <w:jc w:val="center"/>
              <w:rPr>
                <w:rFonts w:cs="Arial"/>
                <w:b/>
                <w:color w:val="000000" w:themeColor="text1"/>
                <w:szCs w:val="16"/>
              </w:rPr>
            </w:pPr>
            <w:r w:rsidRPr="00781112">
              <w:rPr>
                <w:rFonts w:cs="Arial"/>
                <w:b/>
                <w:color w:val="000000" w:themeColor="text1"/>
                <w:szCs w:val="16"/>
              </w:rPr>
              <w:t>Number of mediations held</w:t>
            </w:r>
          </w:p>
        </w:tc>
        <w:tc>
          <w:tcPr>
            <w:tcW w:w="480" w:type="pct"/>
            <w:shd w:val="clear" w:color="auto" w:fill="D9D9D9" w:themeFill="background1" w:themeFillShade="D9"/>
            <w:vAlign w:val="center"/>
          </w:tcPr>
          <w:p w14:paraId="71DA94FD" w14:textId="136953C2" w:rsidR="0087456C" w:rsidRPr="00781112" w:rsidRDefault="00F6415A" w:rsidP="009C6183">
            <w:pPr>
              <w:spacing w:after="0"/>
              <w:ind w:left="-105" w:right="-58"/>
              <w:jc w:val="center"/>
              <w:rPr>
                <w:rFonts w:cs="Arial"/>
                <w:b/>
                <w:color w:val="000000" w:themeColor="text1"/>
                <w:szCs w:val="16"/>
              </w:rPr>
            </w:pPr>
            <w:r w:rsidRPr="00781112">
              <w:rPr>
                <w:rFonts w:cs="Arial"/>
                <w:b/>
                <w:color w:val="000000" w:themeColor="text1"/>
                <w:szCs w:val="16"/>
              </w:rPr>
              <w:t>FFY 2019 Data</w:t>
            </w:r>
          </w:p>
        </w:tc>
        <w:tc>
          <w:tcPr>
            <w:tcW w:w="480" w:type="pct"/>
            <w:shd w:val="clear" w:color="auto" w:fill="D9D9D9" w:themeFill="background1" w:themeFillShade="D9"/>
            <w:vAlign w:val="center"/>
          </w:tcPr>
          <w:p w14:paraId="5E2122E9" w14:textId="4ABF03A8" w:rsidR="0087456C" w:rsidRPr="00781112" w:rsidRDefault="00806C75" w:rsidP="009C6183">
            <w:pPr>
              <w:spacing w:after="0"/>
              <w:ind w:left="-65" w:right="-21"/>
              <w:jc w:val="center"/>
              <w:rPr>
                <w:rFonts w:cs="Arial"/>
                <w:b/>
                <w:color w:val="000000" w:themeColor="text1"/>
                <w:szCs w:val="16"/>
              </w:rPr>
            </w:pPr>
            <w:r w:rsidRPr="00781112">
              <w:rPr>
                <w:rFonts w:cs="Arial"/>
                <w:b/>
                <w:color w:val="000000" w:themeColor="text1"/>
                <w:szCs w:val="16"/>
              </w:rPr>
              <w:t>FFY 2020 Target (low)</w:t>
            </w:r>
          </w:p>
        </w:tc>
        <w:tc>
          <w:tcPr>
            <w:tcW w:w="480" w:type="pct"/>
            <w:shd w:val="clear" w:color="auto" w:fill="D9D9D9" w:themeFill="background1" w:themeFillShade="D9"/>
            <w:vAlign w:val="center"/>
          </w:tcPr>
          <w:p w14:paraId="6992A3EC" w14:textId="1CFC1721" w:rsidR="0087456C" w:rsidRPr="00781112" w:rsidRDefault="00806C75" w:rsidP="009C6183">
            <w:pPr>
              <w:spacing w:after="0"/>
              <w:ind w:left="-114"/>
              <w:jc w:val="center"/>
              <w:rPr>
                <w:rFonts w:cs="Arial"/>
                <w:b/>
                <w:color w:val="000000" w:themeColor="text1"/>
                <w:szCs w:val="16"/>
              </w:rPr>
            </w:pPr>
            <w:r w:rsidRPr="00781112">
              <w:rPr>
                <w:rFonts w:cs="Arial"/>
                <w:b/>
                <w:color w:val="000000" w:themeColor="text1"/>
                <w:szCs w:val="16"/>
              </w:rPr>
              <w:t>FFY 2020 Target (high)</w:t>
            </w:r>
          </w:p>
        </w:tc>
        <w:tc>
          <w:tcPr>
            <w:tcW w:w="480" w:type="pct"/>
            <w:shd w:val="clear" w:color="auto" w:fill="D9D9D9" w:themeFill="background1" w:themeFillShade="D9"/>
            <w:vAlign w:val="center"/>
          </w:tcPr>
          <w:p w14:paraId="39A771DF" w14:textId="0E101154" w:rsidR="0087456C" w:rsidRPr="00781112" w:rsidRDefault="00806C75" w:rsidP="000A20EF">
            <w:pPr>
              <w:spacing w:after="0"/>
              <w:jc w:val="center"/>
              <w:rPr>
                <w:rFonts w:cs="Arial"/>
                <w:b/>
                <w:color w:val="000000" w:themeColor="text1"/>
                <w:szCs w:val="16"/>
              </w:rPr>
            </w:pPr>
            <w:r w:rsidRPr="00781112">
              <w:rPr>
                <w:rFonts w:cs="Arial"/>
                <w:b/>
                <w:color w:val="000000" w:themeColor="text1"/>
                <w:szCs w:val="16"/>
              </w:rPr>
              <w:t>FFY 2020 Data</w:t>
            </w:r>
          </w:p>
        </w:tc>
        <w:tc>
          <w:tcPr>
            <w:tcW w:w="417" w:type="pct"/>
            <w:shd w:val="clear" w:color="auto" w:fill="D9D9D9" w:themeFill="background1" w:themeFillShade="D9"/>
            <w:vAlign w:val="center"/>
          </w:tcPr>
          <w:p w14:paraId="67C84962" w14:textId="77777777" w:rsidR="0087456C" w:rsidRPr="00781112" w:rsidRDefault="0087456C" w:rsidP="000A20EF">
            <w:pPr>
              <w:spacing w:after="0"/>
              <w:ind w:left="-125" w:right="-113"/>
              <w:jc w:val="center"/>
              <w:rPr>
                <w:rFonts w:cs="Arial"/>
                <w:b/>
                <w:color w:val="000000" w:themeColor="text1"/>
                <w:szCs w:val="16"/>
              </w:rPr>
            </w:pPr>
            <w:r w:rsidRPr="00781112">
              <w:rPr>
                <w:rFonts w:cs="Arial"/>
                <w:b/>
                <w:color w:val="000000" w:themeColor="text1"/>
                <w:szCs w:val="16"/>
              </w:rPr>
              <w:t>Status</w:t>
            </w:r>
          </w:p>
        </w:tc>
        <w:tc>
          <w:tcPr>
            <w:tcW w:w="539" w:type="pct"/>
            <w:shd w:val="clear" w:color="auto" w:fill="D9D9D9" w:themeFill="background1" w:themeFillShade="D9"/>
            <w:vAlign w:val="center"/>
          </w:tcPr>
          <w:p w14:paraId="09B4187C" w14:textId="77777777" w:rsidR="0087456C" w:rsidRPr="00781112" w:rsidRDefault="0087456C" w:rsidP="000A20EF">
            <w:pPr>
              <w:spacing w:after="0"/>
              <w:ind w:left="-101" w:right="-118"/>
              <w:jc w:val="center"/>
              <w:rPr>
                <w:rFonts w:cs="Arial"/>
                <w:b/>
                <w:color w:val="000000" w:themeColor="text1"/>
                <w:szCs w:val="16"/>
              </w:rPr>
            </w:pPr>
            <w:r w:rsidRPr="00781112">
              <w:rPr>
                <w:rFonts w:cs="Arial"/>
                <w:b/>
                <w:color w:val="000000" w:themeColor="text1"/>
                <w:szCs w:val="16"/>
              </w:rPr>
              <w:t>Slippage</w:t>
            </w:r>
          </w:p>
        </w:tc>
      </w:tr>
      <w:tr w:rsidR="009C6183" w:rsidRPr="00781112" w14:paraId="23776136" w14:textId="77777777" w:rsidTr="009C6183">
        <w:trPr>
          <w:trHeight w:val="361"/>
        </w:trPr>
        <w:tc>
          <w:tcPr>
            <w:tcW w:w="707" w:type="pct"/>
            <w:shd w:val="clear" w:color="auto" w:fill="auto"/>
            <w:vAlign w:val="center"/>
          </w:tcPr>
          <w:p w14:paraId="11F3AAAC" w14:textId="18A50A23" w:rsidR="00ED71A6" w:rsidRPr="00781112" w:rsidRDefault="002B7490" w:rsidP="000A20EF">
            <w:pPr>
              <w:spacing w:after="0"/>
              <w:ind w:left="-23" w:right="-107"/>
              <w:jc w:val="center"/>
              <w:rPr>
                <w:rFonts w:cs="Arial"/>
                <w:color w:val="000000" w:themeColor="text1"/>
                <w:szCs w:val="16"/>
              </w:rPr>
            </w:pPr>
            <w:r w:rsidRPr="00781112">
              <w:rPr>
                <w:rFonts w:cs="Arial"/>
                <w:color w:val="000000" w:themeColor="text1"/>
                <w:szCs w:val="16"/>
              </w:rPr>
              <w:t>10</w:t>
            </w:r>
          </w:p>
        </w:tc>
        <w:tc>
          <w:tcPr>
            <w:tcW w:w="791" w:type="pct"/>
            <w:shd w:val="clear" w:color="auto" w:fill="auto"/>
            <w:vAlign w:val="center"/>
          </w:tcPr>
          <w:p w14:paraId="1707BDF3" w14:textId="6DDB1576" w:rsidR="00ED71A6" w:rsidRPr="00781112" w:rsidRDefault="002B7490" w:rsidP="000A20EF">
            <w:pPr>
              <w:spacing w:after="0"/>
              <w:ind w:left="-20" w:right="-104"/>
              <w:jc w:val="center"/>
              <w:rPr>
                <w:rFonts w:cs="Arial"/>
                <w:color w:val="000000" w:themeColor="text1"/>
                <w:szCs w:val="16"/>
              </w:rPr>
            </w:pPr>
            <w:r w:rsidRPr="00781112">
              <w:rPr>
                <w:rFonts w:cs="Arial"/>
                <w:color w:val="000000" w:themeColor="text1"/>
                <w:szCs w:val="16"/>
              </w:rPr>
              <w:t>44</w:t>
            </w:r>
          </w:p>
        </w:tc>
        <w:tc>
          <w:tcPr>
            <w:tcW w:w="627" w:type="pct"/>
            <w:shd w:val="clear" w:color="auto" w:fill="auto"/>
            <w:vAlign w:val="center"/>
          </w:tcPr>
          <w:p w14:paraId="1F0EC6FB" w14:textId="7B32186B" w:rsidR="00ED71A6" w:rsidRPr="00781112" w:rsidRDefault="002B7490" w:rsidP="009C6183">
            <w:pPr>
              <w:spacing w:after="0"/>
              <w:ind w:left="-103" w:right="-112"/>
              <w:jc w:val="center"/>
              <w:rPr>
                <w:rFonts w:cs="Arial"/>
                <w:color w:val="000000" w:themeColor="text1"/>
                <w:szCs w:val="16"/>
              </w:rPr>
            </w:pPr>
            <w:r w:rsidRPr="00781112">
              <w:rPr>
                <w:rFonts w:cs="Arial"/>
                <w:color w:val="000000" w:themeColor="text1"/>
                <w:szCs w:val="16"/>
              </w:rPr>
              <w:t>73</w:t>
            </w:r>
          </w:p>
        </w:tc>
        <w:tc>
          <w:tcPr>
            <w:tcW w:w="480" w:type="pct"/>
            <w:shd w:val="clear" w:color="auto" w:fill="auto"/>
            <w:vAlign w:val="center"/>
          </w:tcPr>
          <w:p w14:paraId="14F44B66" w14:textId="2D578106" w:rsidR="00ED71A6" w:rsidRPr="00781112" w:rsidRDefault="002B7490" w:rsidP="009C6183">
            <w:pPr>
              <w:spacing w:after="0"/>
              <w:ind w:left="-105" w:right="-58"/>
              <w:jc w:val="center"/>
              <w:rPr>
                <w:rFonts w:cs="Arial"/>
                <w:color w:val="000000" w:themeColor="text1"/>
                <w:szCs w:val="16"/>
              </w:rPr>
            </w:pPr>
            <w:r w:rsidRPr="00781112">
              <w:rPr>
                <w:rFonts w:cs="Arial"/>
                <w:color w:val="000000" w:themeColor="text1"/>
                <w:szCs w:val="16"/>
              </w:rPr>
              <w:t>75.34%</w:t>
            </w:r>
          </w:p>
        </w:tc>
        <w:tc>
          <w:tcPr>
            <w:tcW w:w="480" w:type="pct"/>
            <w:shd w:val="clear" w:color="auto" w:fill="auto"/>
            <w:vAlign w:val="center"/>
          </w:tcPr>
          <w:p w14:paraId="7AFD5514" w14:textId="2BA34E2F" w:rsidR="00ED71A6" w:rsidRPr="00781112" w:rsidRDefault="002B7490" w:rsidP="009C6183">
            <w:pPr>
              <w:spacing w:after="0"/>
              <w:ind w:left="-65" w:right="-21"/>
              <w:jc w:val="center"/>
              <w:rPr>
                <w:rFonts w:cs="Arial"/>
                <w:color w:val="000000" w:themeColor="text1"/>
                <w:szCs w:val="16"/>
              </w:rPr>
            </w:pPr>
            <w:r w:rsidRPr="00781112">
              <w:rPr>
                <w:rFonts w:cs="Arial"/>
                <w:color w:val="000000" w:themeColor="text1"/>
                <w:szCs w:val="16"/>
              </w:rPr>
              <w:t>76.00%</w:t>
            </w:r>
          </w:p>
        </w:tc>
        <w:tc>
          <w:tcPr>
            <w:tcW w:w="480" w:type="pct"/>
            <w:shd w:val="clear" w:color="auto" w:fill="auto"/>
            <w:vAlign w:val="center"/>
          </w:tcPr>
          <w:p w14:paraId="63B5D5FA" w14:textId="35BBEC35" w:rsidR="00ED71A6" w:rsidRPr="00781112" w:rsidRDefault="002B7490" w:rsidP="009C6183">
            <w:pPr>
              <w:spacing w:after="0"/>
              <w:ind w:left="-114"/>
              <w:jc w:val="center"/>
              <w:rPr>
                <w:rFonts w:cs="Arial"/>
                <w:color w:val="000000" w:themeColor="text1"/>
                <w:szCs w:val="16"/>
              </w:rPr>
            </w:pPr>
            <w:r w:rsidRPr="00781112">
              <w:rPr>
                <w:rFonts w:cs="Arial"/>
                <w:color w:val="000000" w:themeColor="text1"/>
                <w:szCs w:val="16"/>
              </w:rPr>
              <w:t>80.00%</w:t>
            </w:r>
          </w:p>
        </w:tc>
        <w:tc>
          <w:tcPr>
            <w:tcW w:w="480" w:type="pct"/>
            <w:shd w:val="clear" w:color="auto" w:fill="auto"/>
            <w:vAlign w:val="center"/>
          </w:tcPr>
          <w:p w14:paraId="51DEBF72" w14:textId="0469C535" w:rsidR="00ED71A6" w:rsidRPr="00781112" w:rsidRDefault="002B7490" w:rsidP="000A20EF">
            <w:pPr>
              <w:spacing w:after="0"/>
              <w:jc w:val="center"/>
              <w:rPr>
                <w:rFonts w:cs="Arial"/>
                <w:color w:val="000000" w:themeColor="text1"/>
                <w:szCs w:val="16"/>
              </w:rPr>
            </w:pPr>
            <w:r w:rsidRPr="00781112">
              <w:rPr>
                <w:rFonts w:cs="Arial"/>
                <w:color w:val="000000" w:themeColor="text1"/>
                <w:szCs w:val="16"/>
              </w:rPr>
              <w:t>73.97%</w:t>
            </w:r>
          </w:p>
        </w:tc>
        <w:tc>
          <w:tcPr>
            <w:tcW w:w="417" w:type="pct"/>
            <w:shd w:val="clear" w:color="auto" w:fill="auto"/>
            <w:vAlign w:val="center"/>
          </w:tcPr>
          <w:p w14:paraId="69635A45" w14:textId="0C4EC3A8" w:rsidR="00ED71A6" w:rsidRPr="00781112" w:rsidRDefault="002B7490" w:rsidP="000A20EF">
            <w:pPr>
              <w:spacing w:after="0"/>
              <w:jc w:val="center"/>
              <w:rPr>
                <w:rFonts w:cs="Arial"/>
                <w:color w:val="000000" w:themeColor="text1"/>
                <w:szCs w:val="16"/>
              </w:rPr>
            </w:pPr>
            <w:r w:rsidRPr="00781112">
              <w:rPr>
                <w:rFonts w:cs="Arial"/>
                <w:color w:val="000000" w:themeColor="text1"/>
                <w:szCs w:val="16"/>
              </w:rPr>
              <w:t>Did not meet target</w:t>
            </w:r>
          </w:p>
        </w:tc>
        <w:tc>
          <w:tcPr>
            <w:tcW w:w="539" w:type="pct"/>
            <w:shd w:val="clear" w:color="auto" w:fill="auto"/>
            <w:vAlign w:val="center"/>
          </w:tcPr>
          <w:p w14:paraId="238AEB73" w14:textId="674F2119" w:rsidR="00ED71A6" w:rsidRPr="00781112" w:rsidRDefault="002B7490" w:rsidP="000A20EF">
            <w:pPr>
              <w:spacing w:after="0"/>
              <w:ind w:left="-101" w:right="-118"/>
              <w:jc w:val="center"/>
              <w:rPr>
                <w:rFonts w:cs="Arial"/>
                <w:color w:val="000000" w:themeColor="text1"/>
                <w:szCs w:val="16"/>
              </w:rPr>
            </w:pPr>
            <w:r w:rsidRPr="00781112">
              <w:rPr>
                <w:rFonts w:cs="Arial"/>
                <w:color w:val="000000" w:themeColor="text1"/>
                <w:szCs w:val="16"/>
              </w:rPr>
              <w:t>Slippage</w:t>
            </w:r>
          </w:p>
        </w:tc>
      </w:tr>
    </w:tbl>
    <w:p w14:paraId="24CDA891" w14:textId="493C5E97" w:rsidR="0059249C" w:rsidRPr="00781112" w:rsidRDefault="00293C7E" w:rsidP="000A20EF">
      <w:pPr>
        <w:spacing w:before="240"/>
        <w:rPr>
          <w:rFonts w:cs="Arial"/>
          <w:b/>
          <w:i/>
          <w:color w:val="000000" w:themeColor="text1"/>
          <w:szCs w:val="16"/>
        </w:rPr>
      </w:pPr>
      <w:r w:rsidRPr="00781112">
        <w:rPr>
          <w:rFonts w:cs="Arial"/>
          <w:b/>
          <w:color w:val="000000" w:themeColor="text1"/>
          <w:szCs w:val="16"/>
        </w:rPr>
        <w:t>Provide reasons for slippage, if applicable</w:t>
      </w:r>
    </w:p>
    <w:p w14:paraId="79351ACD" w14:textId="4DA6F153" w:rsidR="00293C7E" w:rsidRPr="000F63C4" w:rsidRDefault="002B7490" w:rsidP="00314F94">
      <w:pPr>
        <w:pStyle w:val="ListParagraph"/>
        <w:numPr>
          <w:ilvl w:val="0"/>
          <w:numId w:val="273"/>
        </w:numPr>
        <w:rPr>
          <w:rFonts w:cs="Arial"/>
          <w:color w:val="000000" w:themeColor="text1"/>
          <w:szCs w:val="16"/>
        </w:rPr>
      </w:pPr>
      <w:r w:rsidRPr="000F63C4">
        <w:rPr>
          <w:rFonts w:cs="Arial"/>
          <w:color w:val="000000" w:themeColor="text1"/>
          <w:szCs w:val="16"/>
        </w:rPr>
        <w:t xml:space="preserve">The VDOE cites the reason for the slippage as twofold: 1) The parties involved are finding it more challenging </w:t>
      </w:r>
      <w:proofErr w:type="gramStart"/>
      <w:r w:rsidRPr="000F63C4">
        <w:rPr>
          <w:rFonts w:cs="Arial"/>
          <w:color w:val="000000" w:themeColor="text1"/>
          <w:szCs w:val="16"/>
        </w:rPr>
        <w:t>to  reach</w:t>
      </w:r>
      <w:proofErr w:type="gramEnd"/>
      <w:r w:rsidRPr="000F63C4">
        <w:rPr>
          <w:rFonts w:cs="Arial"/>
          <w:color w:val="000000" w:themeColor="text1"/>
          <w:szCs w:val="16"/>
        </w:rPr>
        <w:t xml:space="preserve"> consensus due to the novel ideas being presented in response to the new, unique, and challenging issues in mediation resulting from the COVID-19 pandemic, virtual learning, and the return to school; and 2) The virtual nature of mediations may be impacting the success of allowing the parties to reach consensus.</w:t>
      </w:r>
    </w:p>
    <w:p w14:paraId="7653BA1E" w14:textId="77777777" w:rsidR="00913A33" w:rsidRPr="00781112" w:rsidRDefault="00913A33" w:rsidP="004536A1">
      <w:pPr>
        <w:pStyle w:val="Heading4"/>
      </w:pPr>
      <w:r w:rsidRPr="00781112">
        <w:t>Provide additional information about this indicator (optional)</w:t>
      </w:r>
    </w:p>
    <w:p w14:paraId="609BD927" w14:textId="202BFA5B" w:rsidR="00293C7E" w:rsidRPr="000F63C4" w:rsidRDefault="000A20EF" w:rsidP="00314F94">
      <w:pPr>
        <w:pStyle w:val="ListParagraph"/>
        <w:numPr>
          <w:ilvl w:val="0"/>
          <w:numId w:val="274"/>
        </w:numPr>
        <w:rPr>
          <w:rFonts w:cs="Arial"/>
          <w:color w:val="000000" w:themeColor="text1"/>
          <w:szCs w:val="16"/>
        </w:rPr>
      </w:pPr>
      <w:r w:rsidRPr="000F63C4">
        <w:rPr>
          <w:rFonts w:cs="Arial"/>
          <w:color w:val="000000" w:themeColor="text1"/>
          <w:szCs w:val="16"/>
        </w:rPr>
        <w:t>Not applicable</w:t>
      </w:r>
    </w:p>
    <w:p w14:paraId="01544738" w14:textId="0D3ECCB4" w:rsidR="00293C7E" w:rsidRPr="00781112" w:rsidRDefault="001C46DC" w:rsidP="00A22EB9">
      <w:pPr>
        <w:pStyle w:val="Heading3"/>
      </w:pPr>
      <w:r w:rsidRPr="00781112">
        <w:lastRenderedPageBreak/>
        <w:t>16</w:t>
      </w:r>
      <w:r w:rsidR="001D508D" w:rsidRPr="00781112">
        <w:t xml:space="preserve"> </w:t>
      </w:r>
      <w:r w:rsidRPr="00781112">
        <w:t xml:space="preserve">- </w:t>
      </w:r>
      <w:r w:rsidR="00293C7E" w:rsidRPr="00781112">
        <w:t>Prior FFY Required Actions</w:t>
      </w:r>
    </w:p>
    <w:p w14:paraId="7049B053" w14:textId="64040937" w:rsidR="009F69E7" w:rsidRPr="000F63C4" w:rsidRDefault="002B7490" w:rsidP="00314F94">
      <w:pPr>
        <w:pStyle w:val="ListParagraph"/>
        <w:numPr>
          <w:ilvl w:val="0"/>
          <w:numId w:val="275"/>
        </w:numPr>
        <w:rPr>
          <w:rFonts w:cs="Arial"/>
          <w:color w:val="000000" w:themeColor="text1"/>
          <w:szCs w:val="16"/>
        </w:rPr>
      </w:pPr>
      <w:r w:rsidRPr="000F63C4">
        <w:rPr>
          <w:rFonts w:cs="Arial"/>
          <w:color w:val="000000" w:themeColor="text1"/>
          <w:szCs w:val="16"/>
        </w:rPr>
        <w:t>None</w:t>
      </w:r>
    </w:p>
    <w:p w14:paraId="169C5129" w14:textId="3D3FC1C0" w:rsidR="00913A33" w:rsidRPr="00781112" w:rsidRDefault="001C46DC" w:rsidP="00A22EB9">
      <w:pPr>
        <w:pStyle w:val="Heading3"/>
      </w:pPr>
      <w:r w:rsidRPr="00781112">
        <w:t>16 - OSEP Response</w:t>
      </w:r>
    </w:p>
    <w:p w14:paraId="5F7A0890" w14:textId="4F76A7D5" w:rsidR="00293C7E" w:rsidRPr="000F63C4" w:rsidRDefault="002B7490" w:rsidP="00314F94">
      <w:pPr>
        <w:pStyle w:val="ListParagraph"/>
        <w:numPr>
          <w:ilvl w:val="0"/>
          <w:numId w:val="276"/>
        </w:numPr>
        <w:rPr>
          <w:rFonts w:cs="Arial"/>
          <w:color w:val="000000" w:themeColor="text1"/>
          <w:szCs w:val="16"/>
        </w:rPr>
      </w:pPr>
      <w:r w:rsidRPr="000F63C4">
        <w:rPr>
          <w:rFonts w:cs="Arial"/>
          <w:color w:val="000000" w:themeColor="text1"/>
          <w:szCs w:val="16"/>
        </w:rPr>
        <w:t>The State provided targets for this indicator, and OSEP accepts those targets.</w:t>
      </w:r>
    </w:p>
    <w:p w14:paraId="55A8CDDB" w14:textId="51F8AA9B" w:rsidR="00913A33" w:rsidRPr="00781112" w:rsidRDefault="001C46DC" w:rsidP="00A22EB9">
      <w:pPr>
        <w:pStyle w:val="Heading3"/>
      </w:pPr>
      <w:r w:rsidRPr="00781112">
        <w:t>16 - Required Actions</w:t>
      </w:r>
    </w:p>
    <w:p w14:paraId="40F6AE64" w14:textId="79B054F1" w:rsidR="00AE1972" w:rsidRPr="000F63C4" w:rsidRDefault="000A20EF" w:rsidP="00314F94">
      <w:pPr>
        <w:pStyle w:val="ListParagraph"/>
        <w:numPr>
          <w:ilvl w:val="0"/>
          <w:numId w:val="277"/>
        </w:numPr>
        <w:rPr>
          <w:color w:val="000000" w:themeColor="text1"/>
        </w:rPr>
      </w:pPr>
      <w:r w:rsidRPr="000F63C4">
        <w:rPr>
          <w:rFonts w:cs="Arial"/>
          <w:color w:val="000000" w:themeColor="text1"/>
          <w:szCs w:val="16"/>
        </w:rPr>
        <w:t>Not applicable</w:t>
      </w:r>
      <w:r w:rsidR="00AE1972" w:rsidRPr="000F63C4">
        <w:rPr>
          <w:color w:val="000000" w:themeColor="text1"/>
        </w:rPr>
        <w:br w:type="page"/>
      </w:r>
    </w:p>
    <w:p w14:paraId="528D0D37" w14:textId="5C401108" w:rsidR="00AE1972" w:rsidRPr="00781112" w:rsidRDefault="00AE1972" w:rsidP="008143AB">
      <w:pPr>
        <w:pStyle w:val="Heading2"/>
      </w:pPr>
      <w:r w:rsidRPr="00781112">
        <w:lastRenderedPageBreak/>
        <w:t>Indicator 17: State Systemic Improvement Plan</w:t>
      </w:r>
    </w:p>
    <w:p w14:paraId="0840DD7C" w14:textId="77777777" w:rsidR="00AE1972" w:rsidRPr="009C6183" w:rsidRDefault="00AE1972" w:rsidP="004536A1">
      <w:pPr>
        <w:pStyle w:val="Heading3"/>
        <w:spacing w:before="240"/>
      </w:pPr>
      <w:r w:rsidRPr="009C6183">
        <w:t>Instructions and Measurement</w:t>
      </w:r>
    </w:p>
    <w:p w14:paraId="3B7DA41B" w14:textId="7D568FA7" w:rsidR="00AE1972" w:rsidRPr="00781112" w:rsidRDefault="00AE1972" w:rsidP="00A22EB9">
      <w:pPr>
        <w:rPr>
          <w:color w:val="000000" w:themeColor="text1"/>
          <w:szCs w:val="16"/>
        </w:rPr>
      </w:pPr>
      <w:r w:rsidRPr="00781112">
        <w:rPr>
          <w:b/>
          <w:color w:val="000000" w:themeColor="text1"/>
          <w:szCs w:val="16"/>
        </w:rPr>
        <w:t xml:space="preserve">Monitoring Priority: </w:t>
      </w:r>
      <w:r w:rsidRPr="00781112">
        <w:rPr>
          <w:color w:val="000000" w:themeColor="text1"/>
          <w:szCs w:val="16"/>
        </w:rPr>
        <w:t>General Supervision</w:t>
      </w:r>
    </w:p>
    <w:p w14:paraId="5E0D7347" w14:textId="77777777" w:rsidR="00AE1972" w:rsidRPr="00781112" w:rsidRDefault="00AE1972" w:rsidP="00A22EB9">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4536A1">
      <w:pPr>
        <w:pStyle w:val="Heading4"/>
      </w:pPr>
      <w:r w:rsidRPr="00781112">
        <w:t>Measurement</w:t>
      </w:r>
    </w:p>
    <w:p w14:paraId="04B17582" w14:textId="6FB0482A" w:rsidR="00AE1972" w:rsidRPr="00781112" w:rsidRDefault="00AE1972" w:rsidP="00A22EB9">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4536A1">
      <w:pPr>
        <w:pStyle w:val="Heading4"/>
      </w:pPr>
      <w:r w:rsidRPr="00781112">
        <w:t>Instructions</w:t>
      </w:r>
    </w:p>
    <w:p w14:paraId="399EE6DB" w14:textId="1CFF166B" w:rsidR="00AE1972" w:rsidRPr="009C6183" w:rsidRDefault="00AE1972" w:rsidP="00A22EB9">
      <w:r w:rsidRPr="009C6183">
        <w:rPr>
          <w:b/>
          <w:iCs/>
        </w:rPr>
        <w:t>Baseline Data</w:t>
      </w:r>
      <w:r w:rsidRPr="009C6183">
        <w:rPr>
          <w:b/>
          <w:i/>
        </w:rPr>
        <w:t>:</w:t>
      </w:r>
      <w:r w:rsidRPr="009C6183">
        <w:t xml:space="preserve"> The State must provide baseline data that must be expressed as a </w:t>
      </w:r>
      <w:proofErr w:type="gramStart"/>
      <w:r w:rsidRPr="009C6183">
        <w:t>percentage</w:t>
      </w:r>
      <w:proofErr w:type="gramEnd"/>
      <w:r w:rsidRPr="009C6183">
        <w:t xml:space="preserve"> and which is aligned with the State-identified Measurable Result(s) for </w:t>
      </w:r>
      <w:r w:rsidR="00B00A11" w:rsidRPr="009C6183">
        <w:rPr>
          <w:rFonts w:cs="Arial"/>
          <w:szCs w:val="16"/>
        </w:rPr>
        <w:t>Children with Disabilities.</w:t>
      </w:r>
    </w:p>
    <w:p w14:paraId="200B44A4" w14:textId="58CD5FAE" w:rsidR="00AE1972" w:rsidRPr="009C6183" w:rsidRDefault="00AE1972" w:rsidP="00A22EB9">
      <w:r w:rsidRPr="009C6183">
        <w:rPr>
          <w:b/>
          <w:iCs/>
        </w:rPr>
        <w:t>Targets</w:t>
      </w:r>
      <w:r w:rsidRPr="009C6183">
        <w:rPr>
          <w:b/>
          <w:i/>
        </w:rPr>
        <w:t>:</w:t>
      </w:r>
      <w:r w:rsidRPr="009C6183">
        <w:t xml:space="preserve"> </w:t>
      </w:r>
      <w:r w:rsidR="00E101A7" w:rsidRPr="009C6183">
        <w:rPr>
          <w:rFonts w:cs="Arial"/>
          <w:szCs w:val="16"/>
        </w:rPr>
        <w:t>In its FFY 2020 SPP/APR, due February 1, 2022, the State must provide measurable and rigorous targets (expressed as percentages) for each of the six years from FFY 2020 through FFY 2025. The State’s FFY 2025 target must demonstrate improvement over the State’s</w:t>
      </w:r>
      <w:r w:rsidR="00635660" w:rsidRPr="009C6183">
        <w:rPr>
          <w:rFonts w:cs="Arial"/>
          <w:szCs w:val="16"/>
        </w:rPr>
        <w:t xml:space="preserve"> b</w:t>
      </w:r>
      <w:r w:rsidR="00E101A7" w:rsidRPr="009C6183">
        <w:rPr>
          <w:rFonts w:cs="Arial"/>
          <w:szCs w:val="16"/>
        </w:rPr>
        <w:t>aseline data.</w:t>
      </w:r>
    </w:p>
    <w:p w14:paraId="77B8F9D3" w14:textId="77777777" w:rsidR="000F63C4" w:rsidRDefault="00AE1972" w:rsidP="000F63C4">
      <w:pPr>
        <w:rPr>
          <w:rFonts w:cs="Arial"/>
          <w:szCs w:val="16"/>
        </w:rPr>
      </w:pPr>
      <w:r w:rsidRPr="009C6183">
        <w:rPr>
          <w:b/>
          <w:iCs/>
        </w:rPr>
        <w:t>Updated Data:</w:t>
      </w:r>
      <w:r w:rsidRPr="009C6183">
        <w:t xml:space="preserve"> </w:t>
      </w:r>
      <w:r w:rsidR="00B00A11" w:rsidRPr="009C6183">
        <w:rPr>
          <w:rFonts w:cs="Arial"/>
          <w:szCs w:val="16"/>
        </w:rPr>
        <w:t>In</w:t>
      </w:r>
      <w:r w:rsidR="00B00A11" w:rsidRPr="00781112">
        <w:rPr>
          <w:rFonts w:cs="Arial"/>
          <w:szCs w:val="16"/>
        </w:rPr>
        <w:t xml:space="preserve"> its FFYs 2020 through FFY 2025 SPPs/APRs, due February </w:t>
      </w:r>
      <w:r w:rsidR="00D14A1B" w:rsidRPr="00781112">
        <w:rPr>
          <w:rFonts w:cs="Arial"/>
          <w:szCs w:val="16"/>
        </w:rPr>
        <w:t xml:space="preserve">2, </w:t>
      </w:r>
      <w:r w:rsidR="00B00A11" w:rsidRPr="00781112">
        <w:rPr>
          <w:rFonts w:cs="Arial"/>
          <w:szCs w:val="16"/>
        </w:rPr>
        <w:t>2022, the State must provide updated data for that specific FFY (expressed as percentages</w:t>
      </w:r>
      <w:proofErr w:type="gramStart"/>
      <w:r w:rsidR="00B00A11" w:rsidRPr="00781112">
        <w:rPr>
          <w:rFonts w:cs="Arial"/>
          <w:szCs w:val="16"/>
        </w:rPr>
        <w:t>)</w:t>
      </w:r>
      <w:proofErr w:type="gramEnd"/>
      <w:r w:rsidR="00B00A11" w:rsidRPr="00781112">
        <w:rPr>
          <w:rFonts w:cs="Arial"/>
          <w:szCs w:val="16"/>
        </w:rPr>
        <w:t xml:space="preserve"> and that data must be aligned with the State-identified Measurable Result(s) for Children with Disabilities. In its FFYs 2020 through FFY 2025 SPPs/APRs, the State must report on whether it met its target.</w:t>
      </w:r>
    </w:p>
    <w:p w14:paraId="3660F78F" w14:textId="0D28F7D9" w:rsidR="00AE1972" w:rsidRPr="008143AB" w:rsidRDefault="00AE1972" w:rsidP="008143AB">
      <w:pPr>
        <w:rPr>
          <w:b/>
          <w:bCs/>
        </w:rPr>
      </w:pPr>
      <w:r w:rsidRPr="008143AB">
        <w:rPr>
          <w:b/>
          <w:bCs/>
        </w:rPr>
        <w:t>Overview of the Three Phases of the SSIP</w:t>
      </w:r>
    </w:p>
    <w:p w14:paraId="41060915" w14:textId="1038334F" w:rsidR="00AE1972" w:rsidRPr="00781112" w:rsidRDefault="00B00A11" w:rsidP="00A22EB9">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7CD1E44A" w:rsidR="00AE1972" w:rsidRPr="00781112" w:rsidRDefault="00AE1972" w:rsidP="009C6183">
      <w:pPr>
        <w:pStyle w:val="Subhed"/>
        <w:spacing w:after="240"/>
        <w:rPr>
          <w:b w:val="0"/>
        </w:rPr>
      </w:pPr>
      <w:r w:rsidRPr="00781112">
        <w:rPr>
          <w:i/>
        </w:rPr>
        <w:t>Phase I: Analysis:</w:t>
      </w:r>
    </w:p>
    <w:p w14:paraId="096C9E4B" w14:textId="15581F67" w:rsidR="00AE1972" w:rsidRPr="00781112" w:rsidRDefault="00AE1972" w:rsidP="00155DFD">
      <w:pPr>
        <w:pStyle w:val="ListParagraph"/>
        <w:numPr>
          <w:ilvl w:val="0"/>
          <w:numId w:val="39"/>
        </w:numPr>
        <w:ind w:hanging="180"/>
        <w:contextualSpacing w:val="0"/>
      </w:pPr>
      <w:r w:rsidRPr="00781112">
        <w:t xml:space="preserve">Data </w:t>
      </w:r>
      <w:proofErr w:type="gramStart"/>
      <w:r w:rsidRPr="00781112">
        <w:t>Analysis;</w:t>
      </w:r>
      <w:proofErr w:type="gramEnd"/>
    </w:p>
    <w:p w14:paraId="27016A94" w14:textId="134A7695" w:rsidR="00AE1972" w:rsidRPr="00781112" w:rsidRDefault="00AE1972" w:rsidP="00155DFD">
      <w:pPr>
        <w:pStyle w:val="ListParagraph"/>
        <w:numPr>
          <w:ilvl w:val="0"/>
          <w:numId w:val="39"/>
        </w:numPr>
        <w:ind w:hanging="180"/>
        <w:contextualSpacing w:val="0"/>
      </w:pPr>
      <w:r w:rsidRPr="00781112">
        <w:t xml:space="preserve">Analysis of State Infrastructure to Support Improvement and Build </w:t>
      </w:r>
      <w:proofErr w:type="gramStart"/>
      <w:r w:rsidRPr="00781112">
        <w:t>Capacity;</w:t>
      </w:r>
      <w:proofErr w:type="gramEnd"/>
    </w:p>
    <w:p w14:paraId="7C62869B" w14:textId="53E66CAF" w:rsidR="00AE1972" w:rsidRPr="00781112" w:rsidRDefault="00AE1972" w:rsidP="00155DFD">
      <w:pPr>
        <w:pStyle w:val="ListParagraph"/>
        <w:numPr>
          <w:ilvl w:val="0"/>
          <w:numId w:val="39"/>
        </w:numPr>
        <w:ind w:hanging="180"/>
        <w:contextualSpacing w:val="0"/>
      </w:pPr>
      <w:r w:rsidRPr="00781112">
        <w:t xml:space="preserve">State-identified Measurable Result(s) for </w:t>
      </w:r>
      <w:r w:rsidR="00B00A11" w:rsidRPr="009C6183">
        <w:rPr>
          <w:rFonts w:cs="Arial"/>
          <w:szCs w:val="16"/>
        </w:rPr>
        <w:t xml:space="preserve">Children with </w:t>
      </w:r>
      <w:proofErr w:type="gramStart"/>
      <w:r w:rsidR="00B00A11" w:rsidRPr="009C6183">
        <w:rPr>
          <w:rFonts w:cs="Arial"/>
          <w:szCs w:val="16"/>
        </w:rPr>
        <w:t>Disabilities</w:t>
      </w:r>
      <w:r w:rsidRPr="00781112">
        <w:t>;</w:t>
      </w:r>
      <w:proofErr w:type="gramEnd"/>
    </w:p>
    <w:p w14:paraId="6AD2D627" w14:textId="5962492D" w:rsidR="00AE1972" w:rsidRPr="00781112" w:rsidRDefault="00AE1972" w:rsidP="00155DFD">
      <w:pPr>
        <w:pStyle w:val="ListParagraph"/>
        <w:numPr>
          <w:ilvl w:val="0"/>
          <w:numId w:val="39"/>
        </w:numPr>
        <w:ind w:hanging="180"/>
        <w:contextualSpacing w:val="0"/>
      </w:pPr>
      <w:r w:rsidRPr="00781112">
        <w:t>Selection of Coherent Improvement Strategies; and</w:t>
      </w:r>
    </w:p>
    <w:p w14:paraId="356E7B19" w14:textId="0F3447B7" w:rsidR="00AE1972" w:rsidRPr="00781112" w:rsidRDefault="00AE1972" w:rsidP="00155DFD">
      <w:pPr>
        <w:pStyle w:val="ListParagraph"/>
        <w:numPr>
          <w:ilvl w:val="0"/>
          <w:numId w:val="39"/>
        </w:numPr>
        <w:ind w:hanging="180"/>
        <w:contextualSpacing w:val="0"/>
      </w:pPr>
      <w:r w:rsidRPr="00781112">
        <w:t>Theory of Action.</w:t>
      </w:r>
    </w:p>
    <w:p w14:paraId="6A753B55" w14:textId="47758674" w:rsidR="00AE1972" w:rsidRPr="00781112" w:rsidRDefault="00AE1972" w:rsidP="009C6183">
      <w:pPr>
        <w:pStyle w:val="Subhed"/>
        <w:spacing w:after="240"/>
        <w:rPr>
          <w:b w:val="0"/>
        </w:rPr>
      </w:pPr>
      <w:r w:rsidRPr="00781112">
        <w:rPr>
          <w:i/>
        </w:rPr>
        <w:lastRenderedPageBreak/>
        <w:t>Phase II: Plan</w:t>
      </w:r>
      <w:r w:rsidRPr="00781112">
        <w:rPr>
          <w:b w:val="0"/>
        </w:rPr>
        <w:t xml:space="preserve"> (which, </w:t>
      </w:r>
      <w:r w:rsidR="00D14A1B" w:rsidRPr="00781112">
        <w:rPr>
          <w:b w:val="0"/>
        </w:rPr>
        <w:t xml:space="preserve">is </w:t>
      </w:r>
      <w:r w:rsidRPr="00781112">
        <w:rPr>
          <w:b w:val="0"/>
        </w:rPr>
        <w:t>in addition to the Phase I content (including any updates) outlined above:</w:t>
      </w:r>
    </w:p>
    <w:p w14:paraId="0A22BE99" w14:textId="1B9D69F3" w:rsidR="006B5750" w:rsidRDefault="00AE1972" w:rsidP="00155DFD">
      <w:pPr>
        <w:pStyle w:val="ListParagraph"/>
        <w:numPr>
          <w:ilvl w:val="0"/>
          <w:numId w:val="40"/>
        </w:numPr>
        <w:ind w:hanging="180"/>
        <w:contextualSpacing w:val="0"/>
      </w:pPr>
      <w:r w:rsidRPr="00781112">
        <w:t xml:space="preserve">Infrastructure </w:t>
      </w:r>
      <w:proofErr w:type="gramStart"/>
      <w:r w:rsidRPr="00781112">
        <w:t>Development;</w:t>
      </w:r>
      <w:proofErr w:type="gramEnd"/>
    </w:p>
    <w:p w14:paraId="66997D61" w14:textId="070362E5" w:rsidR="006B5750" w:rsidRDefault="006B5750" w:rsidP="00155DFD">
      <w:pPr>
        <w:pStyle w:val="ListParagraph"/>
        <w:numPr>
          <w:ilvl w:val="0"/>
          <w:numId w:val="40"/>
        </w:numPr>
        <w:ind w:hanging="180"/>
        <w:contextualSpacing w:val="0"/>
      </w:pPr>
      <w:r>
        <w:t>Support for local educational agency (LEA)</w:t>
      </w:r>
      <w:r w:rsidDel="006B5750">
        <w:t xml:space="preserve"> </w:t>
      </w:r>
      <w:r>
        <w:t>Implementation of Evidence-Based Practices; and</w:t>
      </w:r>
      <w:r w:rsidRPr="00781112">
        <w:t xml:space="preserve"> </w:t>
      </w:r>
    </w:p>
    <w:p w14:paraId="38176125" w14:textId="15227FCE" w:rsidR="00AE1972" w:rsidRPr="00781112" w:rsidRDefault="00AE1972" w:rsidP="00155DFD">
      <w:pPr>
        <w:pStyle w:val="ListParagraph"/>
        <w:numPr>
          <w:ilvl w:val="0"/>
          <w:numId w:val="40"/>
        </w:numPr>
        <w:ind w:hanging="180"/>
        <w:contextualSpacing w:val="0"/>
      </w:pPr>
      <w:r w:rsidRPr="00781112">
        <w:t>Evaluation.</w:t>
      </w:r>
    </w:p>
    <w:p w14:paraId="73F6A460" w14:textId="05523F5F" w:rsidR="00AE1972" w:rsidRPr="00781112" w:rsidRDefault="00AE1972" w:rsidP="009C6183">
      <w:pPr>
        <w:pStyle w:val="Subhed"/>
        <w:spacing w:after="240"/>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 outlined above:</w:t>
      </w:r>
    </w:p>
    <w:p w14:paraId="580CF235" w14:textId="12382825" w:rsidR="00AE1972" w:rsidRPr="00781112" w:rsidRDefault="00AE1972" w:rsidP="00155DFD">
      <w:pPr>
        <w:pStyle w:val="ListParagraph"/>
        <w:numPr>
          <w:ilvl w:val="0"/>
          <w:numId w:val="41"/>
        </w:numPr>
        <w:ind w:hanging="180"/>
      </w:pPr>
      <w:r w:rsidRPr="00781112">
        <w:t>Results of Ongoing Evaluation and Revisions to the SSIP.</w:t>
      </w:r>
    </w:p>
    <w:p w14:paraId="03B4B47F" w14:textId="77777777" w:rsidR="00AE1972" w:rsidRPr="00781112" w:rsidRDefault="00AE1972" w:rsidP="00A22EB9">
      <w:pPr>
        <w:rPr>
          <w:b/>
        </w:rPr>
      </w:pPr>
      <w:r w:rsidRPr="00781112">
        <w:rPr>
          <w:b/>
        </w:rPr>
        <w:t>Specific Content of Each Phase of the SSIP</w:t>
      </w:r>
    </w:p>
    <w:p w14:paraId="467D2C6D" w14:textId="3F55CFEA" w:rsidR="00AE1972" w:rsidRPr="00781112" w:rsidRDefault="00AE1972" w:rsidP="00A22EB9">
      <w:r w:rsidRPr="00781112">
        <w:t>Refer to FFY 2013-2015 Measurement Table for detailed requirements of Phase I and Phase II SSIP submissions.</w:t>
      </w:r>
    </w:p>
    <w:p w14:paraId="4B1E2598" w14:textId="77777777" w:rsidR="00AE1972" w:rsidRPr="00781112" w:rsidRDefault="00AE1972" w:rsidP="00A22EB9">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22EB9">
      <w:pPr>
        <w:rPr>
          <w:b/>
          <w:i/>
        </w:rPr>
      </w:pPr>
      <w:r w:rsidRPr="00781112">
        <w:rPr>
          <w:b/>
          <w:i/>
        </w:rPr>
        <w:t>Phase III: Implementation and Evaluation</w:t>
      </w:r>
    </w:p>
    <w:p w14:paraId="2ACE13F7" w14:textId="77777777" w:rsidR="00496EF6" w:rsidRPr="00781112" w:rsidRDefault="00496EF6" w:rsidP="00A22EB9">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4FC83199" w:rsidR="00AE1972" w:rsidRPr="00781112" w:rsidRDefault="00AE1972" w:rsidP="00155DFD">
      <w:pPr>
        <w:pStyle w:val="ListParagraph"/>
        <w:numPr>
          <w:ilvl w:val="0"/>
          <w:numId w:val="42"/>
        </w:numPr>
        <w:ind w:left="360"/>
      </w:pPr>
      <w:r w:rsidRPr="00781112">
        <w:t>Data Analysis</w:t>
      </w:r>
    </w:p>
    <w:p w14:paraId="7509FEFA" w14:textId="77777777" w:rsidR="000063AC" w:rsidRPr="00781112" w:rsidRDefault="000063AC" w:rsidP="00A22EB9">
      <w:pPr>
        <w:rPr>
          <w:rFonts w:cs="Arial"/>
          <w:szCs w:val="16"/>
        </w:rPr>
      </w:pPr>
      <w:r w:rsidRPr="00781112">
        <w:rPr>
          <w:rFonts w:cs="Arial"/>
          <w:szCs w:val="16"/>
        </w:rPr>
        <w:t xml:space="preserve">As required in the Instructions for the Indicator/Measurement, in its FFYs 2020 through 2025 SPP/APR,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29F3ABFE" w:rsidR="00AE1972" w:rsidRPr="00781112" w:rsidRDefault="00AE1972" w:rsidP="00155DFD">
      <w:pPr>
        <w:pStyle w:val="ListParagraph"/>
        <w:numPr>
          <w:ilvl w:val="0"/>
          <w:numId w:val="42"/>
        </w:numPr>
        <w:ind w:left="450" w:hanging="450"/>
      </w:pPr>
      <w:r w:rsidRPr="00781112">
        <w:t>Phase III Implementation, Analysis and Evaluation</w:t>
      </w:r>
    </w:p>
    <w:p w14:paraId="55F09A01" w14:textId="5A162AE2" w:rsidR="00AE1972" w:rsidRPr="00781112" w:rsidRDefault="00AE1972" w:rsidP="00A22EB9">
      <w:r w:rsidRPr="00781112">
        <w:t xml:space="preserve">The State must provide a narrative or graphic representation, e.g., a logic model, of the principal activities, measures and outcomes that were implemented since the State’s last SSIP submission (i.e., </w:t>
      </w:r>
      <w:r w:rsidR="00F302A0" w:rsidRPr="00781112">
        <w:t>Feb</w:t>
      </w:r>
      <w:r w:rsidRPr="00781112">
        <w:t xml:space="preserve"> 2021). The evaluation should align with the theory of action described in Phase I and the </w:t>
      </w:r>
      <w:r w:rsidRPr="00781112">
        <w:lastRenderedPageBreak/>
        <w:t>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5AFE2A3A" w:rsidR="00AE1972" w:rsidRPr="00781112" w:rsidRDefault="00AE1972" w:rsidP="00A22EB9">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(b) sustainability of systems improvement efforts; and/or (c) scale-up. The State must describe the next steps for each infrastructure improvement strategy and the anticipated outcomes to be attained during the next fiscal year (e.g., for the FFY 2020 APR, report on anticipated outcomes to be obtained during FFY 2021, i.e., July 1, 2021-June 30, 2022).</w:t>
      </w:r>
    </w:p>
    <w:p w14:paraId="6198E1D5" w14:textId="77777777" w:rsidR="00AE1972" w:rsidRPr="00781112" w:rsidRDefault="00AE1972" w:rsidP="00A22EB9">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(i.e., behaviors), parent/caregiver outcomes, and/or child outcomes. Describe any additional data (i.e., progress monitoring data) that was collected to support the on-going use of the evidence-based practices and inform decision-making for the next year of SSIP implementation.</w:t>
      </w:r>
    </w:p>
    <w:p w14:paraId="411C94A7" w14:textId="4CED3627" w:rsidR="00AE1972" w:rsidRPr="00781112" w:rsidRDefault="00AE1972" w:rsidP="00155DFD">
      <w:pPr>
        <w:pStyle w:val="ListParagraph"/>
        <w:numPr>
          <w:ilvl w:val="0"/>
          <w:numId w:val="42"/>
        </w:numPr>
        <w:tabs>
          <w:tab w:val="left" w:pos="450"/>
        </w:tabs>
        <w:ind w:left="360"/>
      </w:pPr>
      <w:r w:rsidRPr="00781112">
        <w:t>Stakeholder Engagement</w:t>
      </w:r>
    </w:p>
    <w:p w14:paraId="007F9035" w14:textId="77777777" w:rsidR="00AE1972" w:rsidRPr="00781112" w:rsidRDefault="00AE1972" w:rsidP="00A22EB9">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22EB9">
      <w:r w:rsidRPr="00781112">
        <w:t>Additional Implementation Activities</w:t>
      </w:r>
    </w:p>
    <w:p w14:paraId="00F49894" w14:textId="77777777" w:rsidR="00AE1972" w:rsidRPr="00781112" w:rsidRDefault="00AE1972" w:rsidP="00A22EB9">
      <w:r w:rsidRPr="00781112">
        <w:t xml:space="preserve">The State should identify any activities not already described that it intends to implement in the next fiscal year (e.g., for the FFY 2020 APR, report on activities it intends to implement in FFY 2021, i.e., July 1, 2021-June 30, 2022) 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22EB9">
      <w:pPr>
        <w:pStyle w:val="Heading3"/>
      </w:pPr>
      <w:r w:rsidRPr="00781112">
        <w:t>1</w:t>
      </w:r>
      <w:r w:rsidR="00B90835" w:rsidRPr="00781112">
        <w:t>7</w:t>
      </w:r>
      <w:r w:rsidRPr="00781112">
        <w:t xml:space="preserve"> - Indicator Data</w:t>
      </w:r>
    </w:p>
    <w:p w14:paraId="626DBA0C" w14:textId="77777777" w:rsidR="00AE1972" w:rsidRPr="00781112" w:rsidRDefault="00AE1972" w:rsidP="004536A1">
      <w:pPr>
        <w:pStyle w:val="Heading4"/>
      </w:pPr>
      <w:r w:rsidRPr="00781112">
        <w:t>Section A: Data Analysis</w:t>
      </w:r>
    </w:p>
    <w:p w14:paraId="26873A73" w14:textId="77777777" w:rsidR="00AE1972" w:rsidRPr="00781112" w:rsidRDefault="00AE1972" w:rsidP="00A22EB9">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0F63C4" w:rsidRDefault="00AE1972" w:rsidP="00314F94">
      <w:pPr>
        <w:pStyle w:val="ListParagraph"/>
        <w:numPr>
          <w:ilvl w:val="0"/>
          <w:numId w:val="278"/>
        </w:numPr>
        <w:rPr>
          <w:color w:val="000000" w:themeColor="text1"/>
        </w:rPr>
      </w:pPr>
      <w:r w:rsidRPr="000F63C4">
        <w:rPr>
          <w:color w:val="000000" w:themeColor="text1"/>
        </w:rPr>
        <w:t xml:space="preserve">Virginia will focus on improving the graduation rate for students with disabilities identified with specific learning disabilities (SLD), other health impairment (OHI), emotional disability (ED), </w:t>
      </w:r>
      <w:r w:rsidRPr="000F63C4">
        <w:rPr>
          <w:color w:val="000000" w:themeColor="text1"/>
        </w:rPr>
        <w:lastRenderedPageBreak/>
        <w:t>and/or intellectual disability (ID) by reducing the non-graduating rate with a regular high school diploma by ten percent from the previous year.</w:t>
      </w:r>
    </w:p>
    <w:p w14:paraId="43CABCA3" w14:textId="77777777" w:rsidR="00AE1972" w:rsidRPr="00781112" w:rsidRDefault="00AE1972" w:rsidP="00A22EB9">
      <w:pPr>
        <w:rPr>
          <w:b/>
          <w:bCs/>
        </w:rPr>
      </w:pPr>
      <w:bookmarkStart w:id="123"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650E6962" w:rsidR="00AE1972" w:rsidRDefault="003F7854" w:rsidP="00314F94">
      <w:pPr>
        <w:pStyle w:val="ListParagraph"/>
        <w:numPr>
          <w:ilvl w:val="0"/>
          <w:numId w:val="279"/>
        </w:numPr>
      </w:pPr>
      <w:r w:rsidRPr="00781112">
        <w:t>No</w:t>
      </w:r>
    </w:p>
    <w:bookmarkEnd w:id="123"/>
    <w:p w14:paraId="4DB5CA5B" w14:textId="77777777" w:rsidR="00AE1972" w:rsidRPr="00781112" w:rsidRDefault="00AE1972" w:rsidP="00A22EB9">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60469452" w:rsidR="00AE1972" w:rsidRDefault="003F7854" w:rsidP="00314F94">
      <w:pPr>
        <w:pStyle w:val="ListParagraph"/>
        <w:numPr>
          <w:ilvl w:val="0"/>
          <w:numId w:val="280"/>
        </w:numPr>
      </w:pPr>
      <w:r w:rsidRPr="000F63C4">
        <w:rPr>
          <w:color w:val="000000" w:themeColor="text1"/>
        </w:rPr>
        <w:t>No</w:t>
      </w:r>
    </w:p>
    <w:p w14:paraId="7B52B71D" w14:textId="77777777" w:rsidR="00AE1972" w:rsidRPr="00781112" w:rsidRDefault="00AE1972" w:rsidP="00A22EB9">
      <w:pPr>
        <w:rPr>
          <w:b/>
          <w:bCs/>
        </w:rPr>
      </w:pPr>
      <w:r w:rsidRPr="00781112">
        <w:rPr>
          <w:b/>
          <w:bCs/>
        </w:rPr>
        <w:t>Is the State’s theory of action new or revised since the previous submission? (yes/no)</w:t>
      </w:r>
    </w:p>
    <w:p w14:paraId="2F47C8A6" w14:textId="4F8841BE" w:rsidR="00AE1972" w:rsidRDefault="003F7854" w:rsidP="00314F94">
      <w:pPr>
        <w:pStyle w:val="ListParagraph"/>
        <w:numPr>
          <w:ilvl w:val="0"/>
          <w:numId w:val="281"/>
        </w:numPr>
      </w:pPr>
      <w:r w:rsidRPr="00781112">
        <w:t>No</w:t>
      </w:r>
    </w:p>
    <w:p w14:paraId="233336CC" w14:textId="56400261" w:rsidR="00A202E9" w:rsidRPr="00781112" w:rsidRDefault="00A202E9" w:rsidP="00A22EB9">
      <w:pPr>
        <w:rPr>
          <w:rFonts w:cs="Arial"/>
          <w:b/>
          <w:bCs/>
          <w:szCs w:val="16"/>
        </w:rPr>
      </w:pPr>
      <w:r w:rsidRPr="00781112">
        <w:rPr>
          <w:rFonts w:cs="Arial"/>
          <w:b/>
          <w:bCs/>
          <w:szCs w:val="16"/>
        </w:rPr>
        <w:t>Please provide a link to the current theory of action.</w:t>
      </w:r>
    </w:p>
    <w:p w14:paraId="1609643A" w14:textId="2615C4CE" w:rsidR="009C6183" w:rsidRDefault="009615F9" w:rsidP="00314F94">
      <w:pPr>
        <w:pStyle w:val="ListParagraph"/>
        <w:numPr>
          <w:ilvl w:val="0"/>
          <w:numId w:val="282"/>
        </w:numPr>
      </w:pPr>
      <w:r w:rsidRPr="009615F9">
        <w:rPr>
          <w:rFonts w:cs="Arial"/>
          <w:color w:val="000000"/>
          <w:shd w:val="clear" w:color="auto" w:fill="FFFFFF"/>
        </w:rPr>
        <w:t xml:space="preserve">https://www.doe.virginia.gov/?navid=659 </w:t>
      </w:r>
      <w:r w:rsidR="00A202E9" w:rsidRPr="00781112">
        <w:t>(scroll to 2019-2020 State Performance Report) - Page 8; Appendix A</w:t>
      </w:r>
    </w:p>
    <w:p w14:paraId="487041F3" w14:textId="70DAD174" w:rsidR="009C6183" w:rsidRDefault="00A202E9" w:rsidP="003F7854">
      <w:pPr>
        <w:ind w:left="720"/>
      </w:pPr>
      <w:r w:rsidRPr="00781112">
        <w:t>Current Theory of Action</w:t>
      </w:r>
    </w:p>
    <w:p w14:paraId="7EC9F4F7" w14:textId="559ECECC" w:rsidR="00A202E9" w:rsidRDefault="00A202E9" w:rsidP="003F7854">
      <w:pPr>
        <w:ind w:left="720"/>
      </w:pPr>
      <w:r w:rsidRPr="00781112">
        <w:t xml:space="preserve">The VDOE continues to utilize the Theory of Action to the State Systemic Improvement Plan (SSIP) as a conceptual approach to realizing Virginia's SIMR of an increased graduation rate for SWD with a standard or advanced studies diploma. The Theory of Action guides or frames behaviors within each layer of a cascading model of prevention and intervention supports </w:t>
      </w:r>
      <w:proofErr w:type="gramStart"/>
      <w:r w:rsidRPr="00781112">
        <w:t>in order to</w:t>
      </w:r>
      <w:proofErr w:type="gramEnd"/>
      <w:r w:rsidRPr="00781112">
        <w:t xml:space="preserve"> ensure long-term positive outcomes for greater numbers of SWD within the Commonwealth. A cascading model of supports is defined as a statewide system for effectively and efficiently promoting the application of data collection and analysis strategies, evidence-based practices (EBPs), and key systems to sustain change based on Implementation Science. In this model, the Commonwealth provides key resources to districts. The districts utilize these resources in ways that are contextually appropriate </w:t>
      </w:r>
      <w:proofErr w:type="gramStart"/>
      <w:r w:rsidRPr="00781112">
        <w:t>in order for</w:t>
      </w:r>
      <w:proofErr w:type="gramEnd"/>
      <w:r w:rsidRPr="00781112">
        <w:t xml:space="preserve"> teachers to apply new instructional habits for improved outcomes for students with disabilities. Across the VDOE, there has been much agreement or alignment on the outcomes of each layer of this cascade (provide, utilize, apply, and improve). A significant milestone for this year is the initial implementation of a cascading system aligned in process within each layer as well as through the cascade. While outcomes have been aligned, the “how” and “what” of accomplishing each outcome varied widely resulting in limited or inconsistent results for SWDs.</w:t>
      </w:r>
    </w:p>
    <w:p w14:paraId="401D0BC8" w14:textId="0670E0A5" w:rsidR="00CF0910" w:rsidRDefault="00CF0910" w:rsidP="00A22EB9">
      <w:pPr>
        <w:rPr>
          <w:b/>
          <w:bCs/>
        </w:rPr>
      </w:pPr>
      <w:r w:rsidRPr="00730C62">
        <w:rPr>
          <w:b/>
          <w:bCs/>
        </w:rPr>
        <w:t>Does the State intend to continue implementing the SSIP without modifications? (yes/no)</w:t>
      </w:r>
    </w:p>
    <w:p w14:paraId="08D51FB4" w14:textId="47924A99" w:rsidR="00CF0910" w:rsidRDefault="003F7854" w:rsidP="00314F94">
      <w:pPr>
        <w:pStyle w:val="ListParagraph"/>
        <w:numPr>
          <w:ilvl w:val="0"/>
          <w:numId w:val="283"/>
        </w:numPr>
      </w:pPr>
      <w:r w:rsidRPr="00781112">
        <w:t>Yes</w:t>
      </w:r>
    </w:p>
    <w:p w14:paraId="3366C660" w14:textId="5FA79970" w:rsidR="00CF0910" w:rsidRPr="00730C62" w:rsidRDefault="00CF0910" w:rsidP="00A22EB9">
      <w:pPr>
        <w:rPr>
          <w:b/>
          <w:bCs/>
        </w:rPr>
      </w:pPr>
      <w:r w:rsidRPr="00730C62">
        <w:rPr>
          <w:b/>
          <w:bCs/>
          <w:szCs w:val="16"/>
        </w:rPr>
        <w:t xml:space="preserve">If yes, describe how evaluation data support the </w:t>
      </w:r>
      <w:bookmarkStart w:id="124" w:name="_Hlk88409420"/>
      <w:r w:rsidR="006457D1">
        <w:rPr>
          <w:b/>
          <w:bCs/>
          <w:szCs w:val="16"/>
        </w:rPr>
        <w:t>d</w:t>
      </w:r>
      <w:r w:rsidR="006457D1" w:rsidRPr="00730C62">
        <w:rPr>
          <w:b/>
          <w:bCs/>
          <w:szCs w:val="16"/>
        </w:rPr>
        <w:t>ec</w:t>
      </w:r>
      <w:r w:rsidR="006457D1">
        <w:rPr>
          <w:b/>
          <w:bCs/>
          <w:szCs w:val="16"/>
        </w:rPr>
        <w:t>i</w:t>
      </w:r>
      <w:r w:rsidR="006457D1" w:rsidRPr="00730C62">
        <w:rPr>
          <w:b/>
          <w:bCs/>
          <w:szCs w:val="16"/>
        </w:rPr>
        <w:t>sion</w:t>
      </w:r>
      <w:r w:rsidR="006457D1" w:rsidRPr="00730C62" w:rsidDel="006457D1">
        <w:rPr>
          <w:b/>
          <w:bCs/>
          <w:szCs w:val="16"/>
        </w:rPr>
        <w:t xml:space="preserve"> </w:t>
      </w:r>
      <w:bookmarkEnd w:id="124"/>
      <w:r w:rsidRPr="00730C62">
        <w:rPr>
          <w:b/>
          <w:bCs/>
          <w:szCs w:val="16"/>
        </w:rPr>
        <w:t>to implement without any modifications to the SSIP.</w:t>
      </w:r>
    </w:p>
    <w:p w14:paraId="38044CC2" w14:textId="77777777" w:rsidR="009C6183" w:rsidRDefault="00CF0910" w:rsidP="00314F94">
      <w:pPr>
        <w:pStyle w:val="ListParagraph"/>
        <w:numPr>
          <w:ilvl w:val="0"/>
          <w:numId w:val="284"/>
        </w:numPr>
      </w:pPr>
      <w:r w:rsidRPr="00781112">
        <w:lastRenderedPageBreak/>
        <w:t xml:space="preserve">The </w:t>
      </w:r>
      <w:proofErr w:type="spellStart"/>
      <w:r w:rsidRPr="00781112">
        <w:t>SiMR</w:t>
      </w:r>
      <w:proofErr w:type="spellEnd"/>
      <w:r w:rsidRPr="00781112">
        <w:t xml:space="preserve"> data supports that Virginia’s State Systemic Improvement Plan (SSIP) has been </w:t>
      </w:r>
      <w:proofErr w:type="gramStart"/>
      <w:r w:rsidRPr="00781112">
        <w:t>an</w:t>
      </w:r>
      <w:proofErr w:type="gramEnd"/>
      <w:r w:rsidRPr="00781112">
        <w:t xml:space="preserve"> tremendous success. There has been sustained marked improvement from the baseline year (Phase I) that resulted in a 25.04% increase in the statewide rate of graduation for students identified with a primary disability of ED, ID, OHI, or SLD who received a regular high school diploma from 54.9% in FFY 2013 (baseline) to 79.94% in FFY 2020.</w:t>
      </w:r>
    </w:p>
    <w:p w14:paraId="69B31FC3" w14:textId="420E41EF" w:rsidR="00CF0910" w:rsidRDefault="00CF0910" w:rsidP="003F7854">
      <w:pPr>
        <w:ind w:left="720"/>
      </w:pPr>
      <w:r w:rsidRPr="00781112">
        <w:t>Based on stakeholders’ discussion, there is overwhelming agreement that Virginia should continue to implement the SSIP, without modification, and continue to coordinate and align efforts under a singular framework of multi-tiered systems of support that is grounded in implementation science and focused on capacity building using data driven decision making.</w:t>
      </w:r>
    </w:p>
    <w:p w14:paraId="5C9EC454" w14:textId="77777777" w:rsidR="00AE1972" w:rsidRPr="004536A1" w:rsidRDefault="00AE1972" w:rsidP="004536A1">
      <w:pPr>
        <w:rPr>
          <w:b/>
          <w:bCs/>
        </w:rPr>
      </w:pPr>
      <w:r w:rsidRPr="004536A1">
        <w:rPr>
          <w:b/>
          <w:bCs/>
        </w:rPr>
        <w:t xml:space="preserve">Progress toward the </w:t>
      </w:r>
      <w:proofErr w:type="spellStart"/>
      <w:r w:rsidRPr="004536A1">
        <w:rPr>
          <w:b/>
          <w:bCs/>
        </w:rPr>
        <w:t>SiMR</w:t>
      </w:r>
      <w:proofErr w:type="spellEnd"/>
    </w:p>
    <w:p w14:paraId="51DEC3F9" w14:textId="159ED8F4" w:rsidR="00AE1972" w:rsidRPr="009C6183" w:rsidRDefault="00AE1972" w:rsidP="00A22EB9">
      <w:pPr>
        <w:rPr>
          <w:rFonts w:cs="Arial"/>
          <w:b/>
          <w:bCs/>
        </w:rPr>
      </w:pPr>
      <w:r w:rsidRPr="00781112">
        <w:rPr>
          <w:rFonts w:cs="Arial"/>
          <w:b/>
          <w:bCs/>
        </w:rPr>
        <w:t>Please provide the data for the specific FFY listed below (expressed as actual number and percentages)</w:t>
      </w:r>
      <w:r w:rsidRPr="00781112">
        <w:rPr>
          <w:rFonts w:cs="Arial"/>
          <w:b/>
          <w:bCs/>
          <w:i/>
          <w:iCs/>
        </w:rPr>
        <w:t>.</w:t>
      </w:r>
    </w:p>
    <w:p w14:paraId="6A111227" w14:textId="77777777" w:rsidR="00AE1972" w:rsidRPr="00781112" w:rsidRDefault="00AE1972" w:rsidP="00A22EB9">
      <w:pPr>
        <w:rPr>
          <w:b/>
          <w:bCs/>
        </w:rPr>
      </w:pPr>
      <w:r w:rsidRPr="00781112">
        <w:rPr>
          <w:b/>
          <w:bCs/>
        </w:rPr>
        <w:t>Select yes if the State uses two targets for measurement. (yes/no)</w:t>
      </w:r>
    </w:p>
    <w:p w14:paraId="2BF2552F" w14:textId="34C50252" w:rsidR="00AE1972" w:rsidRDefault="003F7854" w:rsidP="00314F94">
      <w:pPr>
        <w:pStyle w:val="ListParagraph"/>
        <w:numPr>
          <w:ilvl w:val="0"/>
          <w:numId w:val="285"/>
        </w:numPr>
      </w:pPr>
      <w:r w:rsidRPr="00781112">
        <w:t>No</w:t>
      </w:r>
    </w:p>
    <w:p w14:paraId="0CE6ADBC" w14:textId="23CAC008" w:rsidR="00AE1972" w:rsidRPr="00781112" w:rsidRDefault="00AE1972" w:rsidP="00C33455">
      <w:pPr>
        <w:pStyle w:val="Caption"/>
      </w:pPr>
      <w:r w:rsidRPr="00781112">
        <w:t>Historical Data</w:t>
      </w:r>
      <w:r w:rsidR="00EB500A">
        <w:t xml:space="preserve"> (17)</w:t>
      </w:r>
    </w:p>
    <w:tbl>
      <w:tblPr>
        <w:tblW w:w="2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provides baseline year and baseline data for this indicator."/>
      </w:tblPr>
      <w:tblGrid>
        <w:gridCol w:w="2482"/>
        <w:gridCol w:w="2643"/>
      </w:tblGrid>
      <w:tr w:rsidR="00AE1972" w:rsidRPr="00781112" w14:paraId="1864403F" w14:textId="77777777" w:rsidTr="009C6183">
        <w:trPr>
          <w:trHeight w:val="432"/>
          <w:tblHeader/>
        </w:trPr>
        <w:tc>
          <w:tcPr>
            <w:tcW w:w="2421" w:type="pct"/>
            <w:tcBorders>
              <w:bottom w:val="single" w:sz="4" w:space="0" w:color="auto"/>
            </w:tcBorders>
            <w:shd w:val="clear" w:color="auto" w:fill="D9D9D9" w:themeFill="background1" w:themeFillShade="D9"/>
            <w:vAlign w:val="center"/>
          </w:tcPr>
          <w:p w14:paraId="0F193165" w14:textId="77777777" w:rsidR="00AE1972" w:rsidRPr="00781112" w:rsidRDefault="00AE1972" w:rsidP="009C6183">
            <w:pPr>
              <w:spacing w:after="0"/>
              <w:jc w:val="center"/>
              <w:rPr>
                <w:b/>
                <w:bCs/>
                <w:color w:val="000000" w:themeColor="text1"/>
              </w:rPr>
            </w:pPr>
            <w:r w:rsidRPr="00781112">
              <w:rPr>
                <w:b/>
                <w:bCs/>
                <w:color w:val="000000" w:themeColor="text1"/>
              </w:rPr>
              <w:t>Baseline Year</w:t>
            </w:r>
          </w:p>
        </w:tc>
        <w:tc>
          <w:tcPr>
            <w:tcW w:w="2579" w:type="pct"/>
            <w:shd w:val="clear" w:color="auto" w:fill="D9D9D9" w:themeFill="background1" w:themeFillShade="D9"/>
            <w:vAlign w:val="center"/>
          </w:tcPr>
          <w:p w14:paraId="54889FB8" w14:textId="77777777" w:rsidR="00AE1972" w:rsidRPr="00781112" w:rsidRDefault="00AE1972" w:rsidP="009C6183">
            <w:pPr>
              <w:spacing w:after="0"/>
              <w:jc w:val="center"/>
              <w:rPr>
                <w:b/>
                <w:bCs/>
                <w:color w:val="000000" w:themeColor="text1"/>
              </w:rPr>
            </w:pPr>
            <w:r w:rsidRPr="00781112">
              <w:rPr>
                <w:b/>
                <w:bCs/>
                <w:color w:val="000000" w:themeColor="text1"/>
              </w:rPr>
              <w:t>Baseline Data</w:t>
            </w:r>
          </w:p>
        </w:tc>
      </w:tr>
      <w:tr w:rsidR="00AE1972" w:rsidRPr="00781112" w14:paraId="6F811ED4" w14:textId="77777777" w:rsidTr="009C6183">
        <w:trPr>
          <w:trHeight w:val="432"/>
        </w:trPr>
        <w:tc>
          <w:tcPr>
            <w:tcW w:w="2421" w:type="pct"/>
            <w:tcBorders>
              <w:bottom w:val="single" w:sz="4" w:space="0" w:color="auto"/>
            </w:tcBorders>
            <w:shd w:val="clear" w:color="auto" w:fill="auto"/>
            <w:vAlign w:val="center"/>
          </w:tcPr>
          <w:p w14:paraId="590161AA" w14:textId="53B72043" w:rsidR="00AE1972" w:rsidRPr="00781112" w:rsidRDefault="00AE1972" w:rsidP="009C6183">
            <w:pPr>
              <w:spacing w:after="0"/>
              <w:jc w:val="center"/>
              <w:rPr>
                <w:b/>
                <w:color w:val="000000" w:themeColor="text1"/>
              </w:rPr>
            </w:pPr>
            <w:r w:rsidRPr="00781112">
              <w:rPr>
                <w:color w:val="000000" w:themeColor="text1"/>
              </w:rPr>
              <w:t>2013</w:t>
            </w:r>
          </w:p>
        </w:tc>
        <w:tc>
          <w:tcPr>
            <w:tcW w:w="2579" w:type="pct"/>
            <w:shd w:val="clear" w:color="auto" w:fill="auto"/>
            <w:vAlign w:val="center"/>
          </w:tcPr>
          <w:p w14:paraId="250C9A1D" w14:textId="277095B1" w:rsidR="00AE1972" w:rsidRPr="00781112" w:rsidRDefault="00AE1972" w:rsidP="009C6183">
            <w:pPr>
              <w:spacing w:after="0"/>
              <w:jc w:val="center"/>
              <w:rPr>
                <w:color w:val="000000" w:themeColor="text1"/>
              </w:rPr>
            </w:pPr>
            <w:r w:rsidRPr="00781112">
              <w:rPr>
                <w:color w:val="000000" w:themeColor="text1"/>
              </w:rPr>
              <w:t>54.90%</w:t>
            </w:r>
          </w:p>
        </w:tc>
      </w:tr>
    </w:tbl>
    <w:p w14:paraId="5D5A6057" w14:textId="15B9D53F" w:rsidR="00AE1972" w:rsidRPr="00781112" w:rsidRDefault="00AE1972" w:rsidP="00C33455">
      <w:pPr>
        <w:pStyle w:val="Caption"/>
      </w:pPr>
      <w:r w:rsidRPr="00781112">
        <w:t>Targets</w:t>
      </w:r>
      <w:r w:rsidR="00EB500A">
        <w:t xml:space="preserve">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targets for federal fiscal years 2020-2025 for this indicator."/>
      </w:tblPr>
      <w:tblGrid>
        <w:gridCol w:w="985"/>
        <w:gridCol w:w="1485"/>
        <w:gridCol w:w="1664"/>
        <w:gridCol w:w="1664"/>
        <w:gridCol w:w="1664"/>
        <w:gridCol w:w="1664"/>
        <w:gridCol w:w="1664"/>
      </w:tblGrid>
      <w:tr w:rsidR="00AE1972" w:rsidRPr="00781112" w14:paraId="6151B608" w14:textId="77777777" w:rsidTr="009C6183">
        <w:trPr>
          <w:trHeight w:val="432"/>
        </w:trPr>
        <w:tc>
          <w:tcPr>
            <w:tcW w:w="456" w:type="pct"/>
            <w:tcBorders>
              <w:bottom w:val="single" w:sz="4" w:space="0" w:color="auto"/>
            </w:tcBorders>
            <w:shd w:val="clear" w:color="auto" w:fill="D9D9D9" w:themeFill="background1" w:themeFillShade="D9"/>
            <w:vAlign w:val="center"/>
          </w:tcPr>
          <w:p w14:paraId="6F2EC278" w14:textId="77777777" w:rsidR="00AE1972" w:rsidRPr="00781112" w:rsidRDefault="00AE1972" w:rsidP="009C6183">
            <w:pPr>
              <w:spacing w:after="0"/>
              <w:jc w:val="center"/>
              <w:rPr>
                <w:b/>
                <w:color w:val="000000" w:themeColor="text1"/>
              </w:rPr>
            </w:pPr>
            <w:r w:rsidRPr="00781112">
              <w:rPr>
                <w:b/>
                <w:color w:val="000000" w:themeColor="text1"/>
              </w:rPr>
              <w:t>FFY</w:t>
            </w:r>
          </w:p>
        </w:tc>
        <w:tc>
          <w:tcPr>
            <w:tcW w:w="688" w:type="pct"/>
            <w:shd w:val="clear" w:color="auto" w:fill="D9D9D9" w:themeFill="background1" w:themeFillShade="D9"/>
            <w:vAlign w:val="center"/>
          </w:tcPr>
          <w:p w14:paraId="6FE75FC4" w14:textId="77777777" w:rsidR="00AE1972" w:rsidRPr="00781112" w:rsidRDefault="00AE1972" w:rsidP="009C6183">
            <w:pPr>
              <w:spacing w:after="0"/>
              <w:jc w:val="center"/>
              <w:rPr>
                <w:b/>
                <w:color w:val="000000" w:themeColor="text1"/>
              </w:rPr>
            </w:pPr>
            <w:r w:rsidRPr="00781112">
              <w:rPr>
                <w:b/>
                <w:color w:val="000000" w:themeColor="text1"/>
              </w:rPr>
              <w:t>2020</w:t>
            </w:r>
          </w:p>
        </w:tc>
        <w:tc>
          <w:tcPr>
            <w:tcW w:w="771" w:type="pct"/>
            <w:shd w:val="clear" w:color="auto" w:fill="D9D9D9" w:themeFill="background1" w:themeFillShade="D9"/>
            <w:vAlign w:val="center"/>
          </w:tcPr>
          <w:p w14:paraId="1A51CAE1" w14:textId="77777777" w:rsidR="00AE1972" w:rsidRPr="00781112" w:rsidRDefault="00AE1972" w:rsidP="009C6183">
            <w:pPr>
              <w:spacing w:after="0"/>
              <w:jc w:val="center"/>
              <w:rPr>
                <w:b/>
                <w:color w:val="000000" w:themeColor="text1"/>
              </w:rPr>
            </w:pPr>
            <w:r w:rsidRPr="00781112">
              <w:rPr>
                <w:rFonts w:cs="Arial"/>
                <w:b/>
                <w:color w:val="000000" w:themeColor="text1"/>
                <w:szCs w:val="16"/>
              </w:rPr>
              <w:t>2021</w:t>
            </w:r>
          </w:p>
        </w:tc>
        <w:tc>
          <w:tcPr>
            <w:tcW w:w="771" w:type="pct"/>
            <w:shd w:val="clear" w:color="auto" w:fill="D9D9D9" w:themeFill="background1" w:themeFillShade="D9"/>
            <w:vAlign w:val="center"/>
          </w:tcPr>
          <w:p w14:paraId="4EE0EA23" w14:textId="77777777" w:rsidR="00AE1972" w:rsidRPr="00781112" w:rsidRDefault="00AE1972" w:rsidP="009C6183">
            <w:pPr>
              <w:spacing w:after="0"/>
              <w:jc w:val="center"/>
              <w:rPr>
                <w:b/>
                <w:color w:val="000000" w:themeColor="text1"/>
              </w:rPr>
            </w:pPr>
            <w:r w:rsidRPr="00781112">
              <w:rPr>
                <w:rFonts w:cs="Arial"/>
                <w:b/>
                <w:color w:val="000000" w:themeColor="text1"/>
                <w:szCs w:val="16"/>
              </w:rPr>
              <w:t>2022</w:t>
            </w:r>
          </w:p>
        </w:tc>
        <w:tc>
          <w:tcPr>
            <w:tcW w:w="771" w:type="pct"/>
            <w:shd w:val="clear" w:color="auto" w:fill="D9D9D9" w:themeFill="background1" w:themeFillShade="D9"/>
            <w:vAlign w:val="center"/>
          </w:tcPr>
          <w:p w14:paraId="258316BC" w14:textId="77777777" w:rsidR="00AE1972" w:rsidRPr="00781112" w:rsidRDefault="00AE1972" w:rsidP="009C6183">
            <w:pPr>
              <w:spacing w:after="0"/>
              <w:jc w:val="center"/>
              <w:rPr>
                <w:b/>
                <w:color w:val="000000" w:themeColor="text1"/>
              </w:rPr>
            </w:pPr>
            <w:r w:rsidRPr="00781112">
              <w:rPr>
                <w:rFonts w:cs="Arial"/>
                <w:b/>
                <w:color w:val="000000" w:themeColor="text1"/>
                <w:szCs w:val="16"/>
              </w:rPr>
              <w:t>2023</w:t>
            </w:r>
          </w:p>
        </w:tc>
        <w:tc>
          <w:tcPr>
            <w:tcW w:w="771" w:type="pct"/>
            <w:shd w:val="clear" w:color="auto" w:fill="D9D9D9" w:themeFill="background1" w:themeFillShade="D9"/>
            <w:vAlign w:val="center"/>
          </w:tcPr>
          <w:p w14:paraId="310BF1DB" w14:textId="77777777" w:rsidR="00AE1972" w:rsidRPr="00781112" w:rsidRDefault="00AE1972" w:rsidP="009C6183">
            <w:pPr>
              <w:spacing w:after="0"/>
              <w:jc w:val="center"/>
              <w:rPr>
                <w:b/>
                <w:color w:val="000000" w:themeColor="text1"/>
              </w:rPr>
            </w:pPr>
            <w:r w:rsidRPr="00781112">
              <w:rPr>
                <w:rFonts w:cs="Arial"/>
                <w:b/>
                <w:color w:val="000000" w:themeColor="text1"/>
                <w:szCs w:val="16"/>
              </w:rPr>
              <w:t>2024</w:t>
            </w:r>
          </w:p>
        </w:tc>
        <w:tc>
          <w:tcPr>
            <w:tcW w:w="771" w:type="pct"/>
            <w:shd w:val="clear" w:color="auto" w:fill="D9D9D9" w:themeFill="background1" w:themeFillShade="D9"/>
            <w:vAlign w:val="center"/>
          </w:tcPr>
          <w:p w14:paraId="324A23F1" w14:textId="77777777" w:rsidR="00AE1972" w:rsidRPr="00781112" w:rsidRDefault="00AE1972" w:rsidP="009C6183">
            <w:pPr>
              <w:spacing w:after="0"/>
              <w:jc w:val="center"/>
              <w:rPr>
                <w:b/>
                <w:color w:val="000000" w:themeColor="text1"/>
              </w:rPr>
            </w:pPr>
            <w:r w:rsidRPr="00781112">
              <w:rPr>
                <w:rFonts w:cs="Arial"/>
                <w:b/>
                <w:color w:val="000000" w:themeColor="text1"/>
                <w:szCs w:val="16"/>
              </w:rPr>
              <w:t>2025</w:t>
            </w:r>
          </w:p>
        </w:tc>
      </w:tr>
      <w:tr w:rsidR="00AE1972" w:rsidRPr="00781112" w14:paraId="7F5560B1" w14:textId="77777777" w:rsidTr="009C6183">
        <w:trPr>
          <w:trHeight w:val="432"/>
        </w:trPr>
        <w:tc>
          <w:tcPr>
            <w:tcW w:w="456" w:type="pct"/>
            <w:shd w:val="clear" w:color="auto" w:fill="auto"/>
            <w:vAlign w:val="center"/>
          </w:tcPr>
          <w:p w14:paraId="16C136D0" w14:textId="77777777" w:rsidR="00AE1972" w:rsidRPr="00781112" w:rsidRDefault="00AE1972" w:rsidP="009C6183">
            <w:pPr>
              <w:spacing w:after="0"/>
              <w:jc w:val="center"/>
              <w:rPr>
                <w:rFonts w:cs="Arial"/>
                <w:color w:val="000000" w:themeColor="text1"/>
                <w:szCs w:val="16"/>
              </w:rPr>
            </w:pPr>
            <w:r w:rsidRPr="00781112">
              <w:rPr>
                <w:rFonts w:cs="Arial"/>
                <w:color w:val="000000" w:themeColor="text1"/>
                <w:szCs w:val="16"/>
              </w:rPr>
              <w:t>Target&gt;=</w:t>
            </w:r>
          </w:p>
        </w:tc>
        <w:tc>
          <w:tcPr>
            <w:tcW w:w="688" w:type="pct"/>
            <w:shd w:val="clear" w:color="auto" w:fill="auto"/>
            <w:vAlign w:val="center"/>
          </w:tcPr>
          <w:p w14:paraId="0D607E3E" w14:textId="0FE0E0F2" w:rsidR="00AE1972" w:rsidRPr="00781112" w:rsidRDefault="00AE1972" w:rsidP="009C6183">
            <w:pPr>
              <w:spacing w:after="0"/>
              <w:jc w:val="center"/>
              <w:rPr>
                <w:color w:val="000000" w:themeColor="text1"/>
              </w:rPr>
            </w:pPr>
            <w:r w:rsidRPr="00781112">
              <w:rPr>
                <w:color w:val="000000" w:themeColor="text1"/>
              </w:rPr>
              <w:t>77.23%</w:t>
            </w:r>
          </w:p>
        </w:tc>
        <w:tc>
          <w:tcPr>
            <w:tcW w:w="771" w:type="pct"/>
            <w:vAlign w:val="center"/>
          </w:tcPr>
          <w:p w14:paraId="49D7B83C" w14:textId="5D2EEC9F" w:rsidR="00AE1972" w:rsidRPr="00781112" w:rsidRDefault="00AE1972" w:rsidP="009C6183">
            <w:pPr>
              <w:spacing w:after="0"/>
              <w:jc w:val="center"/>
              <w:rPr>
                <w:color w:val="000000" w:themeColor="text1"/>
              </w:rPr>
            </w:pPr>
            <w:r w:rsidRPr="00781112">
              <w:rPr>
                <w:rFonts w:cs="Arial"/>
                <w:color w:val="000000" w:themeColor="text1"/>
                <w:szCs w:val="16"/>
              </w:rPr>
              <w:t>79.51%</w:t>
            </w:r>
          </w:p>
        </w:tc>
        <w:tc>
          <w:tcPr>
            <w:tcW w:w="771" w:type="pct"/>
            <w:vAlign w:val="center"/>
          </w:tcPr>
          <w:p w14:paraId="73C3B9F9" w14:textId="4B324AE0" w:rsidR="00AE1972" w:rsidRPr="00781112" w:rsidRDefault="00AE1972" w:rsidP="009C6183">
            <w:pPr>
              <w:spacing w:after="0"/>
              <w:jc w:val="center"/>
              <w:rPr>
                <w:color w:val="000000" w:themeColor="text1"/>
              </w:rPr>
            </w:pPr>
            <w:r w:rsidRPr="00781112">
              <w:rPr>
                <w:rFonts w:cs="Arial"/>
                <w:color w:val="000000" w:themeColor="text1"/>
                <w:szCs w:val="16"/>
              </w:rPr>
              <w:t>81.56%</w:t>
            </w:r>
          </w:p>
        </w:tc>
        <w:tc>
          <w:tcPr>
            <w:tcW w:w="771" w:type="pct"/>
            <w:vAlign w:val="center"/>
          </w:tcPr>
          <w:p w14:paraId="36C2800A" w14:textId="411CFB34" w:rsidR="00AE1972" w:rsidRPr="00781112" w:rsidRDefault="00AE1972" w:rsidP="009C6183">
            <w:pPr>
              <w:spacing w:after="0"/>
              <w:jc w:val="center"/>
              <w:rPr>
                <w:color w:val="000000" w:themeColor="text1"/>
              </w:rPr>
            </w:pPr>
            <w:r w:rsidRPr="00781112">
              <w:rPr>
                <w:rFonts w:cs="Arial"/>
                <w:color w:val="000000" w:themeColor="text1"/>
                <w:szCs w:val="16"/>
              </w:rPr>
              <w:t>83.40%</w:t>
            </w:r>
          </w:p>
        </w:tc>
        <w:tc>
          <w:tcPr>
            <w:tcW w:w="771" w:type="pct"/>
            <w:vAlign w:val="center"/>
          </w:tcPr>
          <w:p w14:paraId="5EB6DFC4" w14:textId="4B024AC3" w:rsidR="00AE1972" w:rsidRPr="00781112" w:rsidRDefault="00AE1972" w:rsidP="009C6183">
            <w:pPr>
              <w:spacing w:after="0"/>
              <w:jc w:val="center"/>
              <w:rPr>
                <w:color w:val="000000" w:themeColor="text1"/>
              </w:rPr>
            </w:pPr>
            <w:r w:rsidRPr="00781112">
              <w:rPr>
                <w:rFonts w:cs="Arial"/>
                <w:color w:val="000000" w:themeColor="text1"/>
                <w:szCs w:val="16"/>
              </w:rPr>
              <w:t>85.06%</w:t>
            </w:r>
          </w:p>
        </w:tc>
        <w:tc>
          <w:tcPr>
            <w:tcW w:w="771" w:type="pct"/>
            <w:vAlign w:val="center"/>
          </w:tcPr>
          <w:p w14:paraId="28B33DC4" w14:textId="04080332" w:rsidR="00AE1972" w:rsidRPr="00781112" w:rsidRDefault="00AE1972" w:rsidP="009C6183">
            <w:pPr>
              <w:spacing w:after="0"/>
              <w:jc w:val="center"/>
              <w:rPr>
                <w:color w:val="000000" w:themeColor="text1"/>
              </w:rPr>
            </w:pPr>
            <w:r w:rsidRPr="00781112">
              <w:rPr>
                <w:rFonts w:cs="Arial"/>
                <w:color w:val="000000" w:themeColor="text1"/>
                <w:szCs w:val="16"/>
              </w:rPr>
              <w:t>86.55%</w:t>
            </w:r>
          </w:p>
        </w:tc>
      </w:tr>
    </w:tbl>
    <w:p w14:paraId="7582347A" w14:textId="04531B45" w:rsidR="00AE1972" w:rsidRPr="00781112" w:rsidRDefault="00AE1972" w:rsidP="00C33455">
      <w:pPr>
        <w:pStyle w:val="Caption"/>
      </w:pPr>
      <w:bookmarkStart w:id="125" w:name="_Hlk121845075"/>
      <w:r w:rsidRPr="00781112">
        <w:t>FFY 2020 SPP/APR Data</w:t>
      </w:r>
      <w:r w:rsidR="000B7629">
        <w:t xml:space="preserve">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provides indicator data for FFY 2019, low and high targets and data for FFY 2020, status, and slippage, when applicable."/>
      </w:tblPr>
      <w:tblGrid>
        <w:gridCol w:w="2155"/>
        <w:gridCol w:w="2251"/>
        <w:gridCol w:w="1349"/>
        <w:gridCol w:w="1351"/>
        <w:gridCol w:w="1353"/>
        <w:gridCol w:w="1075"/>
        <w:gridCol w:w="1256"/>
      </w:tblGrid>
      <w:tr w:rsidR="00AE1972" w:rsidRPr="00781112" w14:paraId="6ACE308B" w14:textId="77777777" w:rsidTr="00EA3851">
        <w:trPr>
          <w:trHeight w:val="354"/>
        </w:trPr>
        <w:tc>
          <w:tcPr>
            <w:tcW w:w="999" w:type="pct"/>
            <w:shd w:val="clear" w:color="auto" w:fill="D9D9D9" w:themeFill="background1" w:themeFillShade="D9"/>
            <w:vAlign w:val="center"/>
          </w:tcPr>
          <w:bookmarkEnd w:id="125"/>
          <w:p w14:paraId="1F241A2B" w14:textId="3745B6D0" w:rsidR="00AE1972" w:rsidRPr="00781112" w:rsidRDefault="00AE1972" w:rsidP="009C6183">
            <w:pPr>
              <w:spacing w:after="0"/>
              <w:jc w:val="center"/>
              <w:rPr>
                <w:b/>
                <w:bCs/>
                <w:color w:val="000000" w:themeColor="text1"/>
                <w:szCs w:val="16"/>
              </w:rPr>
            </w:pPr>
            <w:r w:rsidRPr="00781112">
              <w:rPr>
                <w:b/>
                <w:bCs/>
                <w:color w:val="000000" w:themeColor="text1"/>
                <w:szCs w:val="16"/>
              </w:rPr>
              <w:t>Total Federal Graduation Indicator in ED, ID</w:t>
            </w:r>
            <w:r w:rsidR="00EA3851">
              <w:rPr>
                <w:b/>
                <w:bCs/>
                <w:color w:val="000000" w:themeColor="text1"/>
                <w:szCs w:val="16"/>
              </w:rPr>
              <w:t>,</w:t>
            </w:r>
            <w:r w:rsidRPr="00781112">
              <w:rPr>
                <w:b/>
                <w:bCs/>
                <w:color w:val="000000" w:themeColor="text1"/>
                <w:szCs w:val="16"/>
              </w:rPr>
              <w:t xml:space="preserve"> OHI, SLD</w:t>
            </w:r>
          </w:p>
        </w:tc>
        <w:tc>
          <w:tcPr>
            <w:tcW w:w="1043" w:type="pct"/>
            <w:shd w:val="clear" w:color="auto" w:fill="D9D9D9" w:themeFill="background1" w:themeFillShade="D9"/>
            <w:vAlign w:val="center"/>
          </w:tcPr>
          <w:p w14:paraId="470CA230" w14:textId="5C37C1F9" w:rsidR="00AE1972" w:rsidRPr="00781112" w:rsidRDefault="00AE1972" w:rsidP="009C6183">
            <w:pPr>
              <w:spacing w:after="0"/>
              <w:jc w:val="center"/>
              <w:rPr>
                <w:b/>
                <w:bCs/>
                <w:color w:val="000000" w:themeColor="text1"/>
                <w:szCs w:val="16"/>
              </w:rPr>
            </w:pPr>
            <w:r w:rsidRPr="00781112">
              <w:rPr>
                <w:b/>
                <w:bCs/>
                <w:color w:val="000000" w:themeColor="text1"/>
                <w:szCs w:val="16"/>
              </w:rPr>
              <w:t xml:space="preserve">Total </w:t>
            </w:r>
            <w:proofErr w:type="spellStart"/>
            <w:r w:rsidRPr="00781112">
              <w:rPr>
                <w:b/>
                <w:bCs/>
                <w:color w:val="000000" w:themeColor="text1"/>
                <w:szCs w:val="16"/>
              </w:rPr>
              <w:t>Exiters</w:t>
            </w:r>
            <w:proofErr w:type="spellEnd"/>
            <w:r w:rsidRPr="00781112">
              <w:rPr>
                <w:b/>
                <w:bCs/>
                <w:color w:val="000000" w:themeColor="text1"/>
                <w:szCs w:val="16"/>
              </w:rPr>
              <w:t xml:space="preserve"> in ED, ID, OHI, SLD with a State Defined Diploma or Certificate</w:t>
            </w:r>
          </w:p>
        </w:tc>
        <w:tc>
          <w:tcPr>
            <w:tcW w:w="625" w:type="pct"/>
            <w:shd w:val="clear" w:color="auto" w:fill="D9D9D9" w:themeFill="background1" w:themeFillShade="D9"/>
            <w:vAlign w:val="center"/>
          </w:tcPr>
          <w:p w14:paraId="4AB6D89D" w14:textId="77777777" w:rsidR="00AE1972" w:rsidRPr="00781112" w:rsidRDefault="00AE1972" w:rsidP="009C6183">
            <w:pPr>
              <w:spacing w:after="0"/>
              <w:jc w:val="center"/>
              <w:rPr>
                <w:b/>
                <w:color w:val="000000" w:themeColor="text1"/>
                <w:szCs w:val="16"/>
              </w:rPr>
            </w:pPr>
            <w:r w:rsidRPr="00781112">
              <w:rPr>
                <w:rFonts w:cs="Arial"/>
                <w:b/>
                <w:color w:val="000000" w:themeColor="text1"/>
                <w:szCs w:val="16"/>
              </w:rPr>
              <w:t>FFY 2019 Data</w:t>
            </w:r>
          </w:p>
        </w:tc>
        <w:tc>
          <w:tcPr>
            <w:tcW w:w="626" w:type="pct"/>
            <w:shd w:val="clear" w:color="auto" w:fill="D9D9D9" w:themeFill="background1" w:themeFillShade="D9"/>
            <w:vAlign w:val="center"/>
          </w:tcPr>
          <w:p w14:paraId="63A0DC52" w14:textId="77777777" w:rsidR="00AE1972" w:rsidRPr="00781112" w:rsidRDefault="00AE1972" w:rsidP="009C6183">
            <w:pPr>
              <w:spacing w:after="0"/>
              <w:jc w:val="center"/>
              <w:rPr>
                <w:b/>
                <w:color w:val="000000" w:themeColor="text1"/>
                <w:szCs w:val="16"/>
              </w:rPr>
            </w:pPr>
            <w:r w:rsidRPr="00781112">
              <w:rPr>
                <w:rFonts w:cs="Arial"/>
                <w:b/>
                <w:color w:val="000000" w:themeColor="text1"/>
                <w:szCs w:val="16"/>
              </w:rPr>
              <w:t>FFY 2020 Target</w:t>
            </w:r>
          </w:p>
        </w:tc>
        <w:tc>
          <w:tcPr>
            <w:tcW w:w="627" w:type="pct"/>
            <w:shd w:val="clear" w:color="auto" w:fill="D9D9D9" w:themeFill="background1" w:themeFillShade="D9"/>
            <w:vAlign w:val="center"/>
          </w:tcPr>
          <w:p w14:paraId="2D311519" w14:textId="77777777" w:rsidR="00AE1972" w:rsidRPr="00781112" w:rsidRDefault="00AE1972" w:rsidP="009C6183">
            <w:pPr>
              <w:spacing w:after="0"/>
              <w:jc w:val="center"/>
              <w:rPr>
                <w:b/>
                <w:color w:val="000000" w:themeColor="text1"/>
                <w:szCs w:val="16"/>
              </w:rPr>
            </w:pPr>
            <w:r w:rsidRPr="00781112">
              <w:rPr>
                <w:rFonts w:cs="Arial"/>
                <w:b/>
                <w:color w:val="000000" w:themeColor="text1"/>
                <w:szCs w:val="16"/>
              </w:rPr>
              <w:t>FFY 2020 Data</w:t>
            </w:r>
          </w:p>
        </w:tc>
        <w:tc>
          <w:tcPr>
            <w:tcW w:w="498" w:type="pct"/>
            <w:shd w:val="clear" w:color="auto" w:fill="D9D9D9" w:themeFill="background1" w:themeFillShade="D9"/>
            <w:vAlign w:val="center"/>
          </w:tcPr>
          <w:p w14:paraId="4F033BB8" w14:textId="77777777" w:rsidR="00AE1972" w:rsidRPr="00781112" w:rsidRDefault="00AE1972" w:rsidP="009C6183">
            <w:pPr>
              <w:spacing w:after="0"/>
              <w:jc w:val="center"/>
              <w:rPr>
                <w:b/>
                <w:color w:val="000000" w:themeColor="text1"/>
                <w:szCs w:val="16"/>
              </w:rPr>
            </w:pPr>
            <w:r w:rsidRPr="00781112">
              <w:rPr>
                <w:b/>
                <w:color w:val="000000" w:themeColor="text1"/>
                <w:szCs w:val="16"/>
              </w:rPr>
              <w:t>Status</w:t>
            </w:r>
          </w:p>
        </w:tc>
        <w:tc>
          <w:tcPr>
            <w:tcW w:w="582" w:type="pct"/>
            <w:shd w:val="clear" w:color="auto" w:fill="D9D9D9" w:themeFill="background1" w:themeFillShade="D9"/>
            <w:vAlign w:val="center"/>
          </w:tcPr>
          <w:p w14:paraId="4A16E14D" w14:textId="77777777" w:rsidR="00AE1972" w:rsidRPr="00781112" w:rsidRDefault="00AE1972" w:rsidP="009C6183">
            <w:pPr>
              <w:spacing w:after="0"/>
              <w:jc w:val="center"/>
              <w:rPr>
                <w:b/>
                <w:color w:val="000000" w:themeColor="text1"/>
                <w:szCs w:val="16"/>
              </w:rPr>
            </w:pPr>
            <w:r w:rsidRPr="00781112">
              <w:rPr>
                <w:b/>
                <w:color w:val="000000" w:themeColor="text1"/>
                <w:szCs w:val="16"/>
              </w:rPr>
              <w:t>Slippage</w:t>
            </w:r>
          </w:p>
        </w:tc>
      </w:tr>
      <w:tr w:rsidR="00AE1972" w:rsidRPr="00781112" w14:paraId="0CC3AF11" w14:textId="77777777" w:rsidTr="00EA3851">
        <w:trPr>
          <w:trHeight w:val="782"/>
        </w:trPr>
        <w:tc>
          <w:tcPr>
            <w:tcW w:w="999" w:type="pct"/>
            <w:shd w:val="clear" w:color="auto" w:fill="auto"/>
            <w:vAlign w:val="center"/>
          </w:tcPr>
          <w:p w14:paraId="03294214" w14:textId="00B9AA4D" w:rsidR="00AE1972" w:rsidRPr="00781112" w:rsidRDefault="00AE1972" w:rsidP="009C6183">
            <w:pPr>
              <w:spacing w:after="0"/>
              <w:jc w:val="center"/>
              <w:rPr>
                <w:color w:val="000000" w:themeColor="text1"/>
                <w:szCs w:val="16"/>
              </w:rPr>
            </w:pPr>
            <w:r w:rsidRPr="00781112">
              <w:rPr>
                <w:color w:val="000000" w:themeColor="text1"/>
                <w:szCs w:val="16"/>
              </w:rPr>
              <w:t>7,634</w:t>
            </w:r>
          </w:p>
        </w:tc>
        <w:tc>
          <w:tcPr>
            <w:tcW w:w="1043" w:type="pct"/>
            <w:shd w:val="clear" w:color="auto" w:fill="auto"/>
            <w:vAlign w:val="center"/>
          </w:tcPr>
          <w:p w14:paraId="60D8BD39" w14:textId="04B0428F" w:rsidR="00AE1972" w:rsidRPr="00781112" w:rsidRDefault="00AE1972" w:rsidP="009C6183">
            <w:pPr>
              <w:spacing w:after="0"/>
              <w:jc w:val="center"/>
              <w:rPr>
                <w:color w:val="000000" w:themeColor="text1"/>
                <w:szCs w:val="16"/>
              </w:rPr>
            </w:pPr>
            <w:r w:rsidRPr="00781112">
              <w:rPr>
                <w:color w:val="000000" w:themeColor="text1"/>
                <w:szCs w:val="16"/>
              </w:rPr>
              <w:t>9,550</w:t>
            </w:r>
          </w:p>
        </w:tc>
        <w:tc>
          <w:tcPr>
            <w:tcW w:w="625" w:type="pct"/>
            <w:shd w:val="clear" w:color="auto" w:fill="auto"/>
            <w:vAlign w:val="center"/>
          </w:tcPr>
          <w:p w14:paraId="75E02A3E" w14:textId="1669E08C" w:rsidR="00AE1972" w:rsidRPr="00781112" w:rsidRDefault="00AE1972" w:rsidP="009C6183">
            <w:pPr>
              <w:spacing w:after="0"/>
              <w:jc w:val="center"/>
              <w:rPr>
                <w:color w:val="000000" w:themeColor="text1"/>
                <w:szCs w:val="16"/>
              </w:rPr>
            </w:pPr>
            <w:r w:rsidRPr="00781112">
              <w:rPr>
                <w:rFonts w:cs="Arial"/>
                <w:color w:val="000000" w:themeColor="text1"/>
                <w:szCs w:val="16"/>
              </w:rPr>
              <w:t>74.70%</w:t>
            </w:r>
          </w:p>
        </w:tc>
        <w:tc>
          <w:tcPr>
            <w:tcW w:w="626" w:type="pct"/>
            <w:shd w:val="clear" w:color="auto" w:fill="auto"/>
            <w:vAlign w:val="center"/>
          </w:tcPr>
          <w:p w14:paraId="33C18B01" w14:textId="595A4E89" w:rsidR="00AE1972" w:rsidRPr="00781112" w:rsidRDefault="00AE1972" w:rsidP="009C6183">
            <w:pPr>
              <w:spacing w:after="0"/>
              <w:jc w:val="center"/>
              <w:rPr>
                <w:color w:val="000000" w:themeColor="text1"/>
                <w:szCs w:val="16"/>
              </w:rPr>
            </w:pPr>
            <w:r w:rsidRPr="00781112">
              <w:rPr>
                <w:color w:val="000000" w:themeColor="text1"/>
                <w:szCs w:val="16"/>
              </w:rPr>
              <w:t>77.23%</w:t>
            </w:r>
          </w:p>
        </w:tc>
        <w:tc>
          <w:tcPr>
            <w:tcW w:w="627" w:type="pct"/>
            <w:shd w:val="clear" w:color="auto" w:fill="auto"/>
            <w:vAlign w:val="center"/>
          </w:tcPr>
          <w:p w14:paraId="22FE7038" w14:textId="7027AD57" w:rsidR="00AE1972" w:rsidRPr="00781112" w:rsidRDefault="00AE1972" w:rsidP="009C6183">
            <w:pPr>
              <w:spacing w:after="0"/>
              <w:jc w:val="center"/>
              <w:rPr>
                <w:color w:val="000000" w:themeColor="text1"/>
                <w:szCs w:val="16"/>
              </w:rPr>
            </w:pPr>
            <w:r w:rsidRPr="00781112">
              <w:rPr>
                <w:rFonts w:cs="Arial"/>
                <w:color w:val="000000" w:themeColor="text1"/>
                <w:szCs w:val="16"/>
              </w:rPr>
              <w:t>79.94%</w:t>
            </w:r>
          </w:p>
        </w:tc>
        <w:tc>
          <w:tcPr>
            <w:tcW w:w="498" w:type="pct"/>
            <w:shd w:val="clear" w:color="auto" w:fill="auto"/>
            <w:vAlign w:val="center"/>
          </w:tcPr>
          <w:p w14:paraId="1623D96E" w14:textId="3DCB7177" w:rsidR="00AE1972" w:rsidRPr="00781112" w:rsidRDefault="00AE1972" w:rsidP="009C6183">
            <w:pPr>
              <w:spacing w:after="0"/>
              <w:jc w:val="center"/>
              <w:rPr>
                <w:color w:val="000000" w:themeColor="text1"/>
              </w:rPr>
            </w:pPr>
            <w:r w:rsidRPr="00781112">
              <w:rPr>
                <w:color w:val="000000" w:themeColor="text1"/>
              </w:rPr>
              <w:t>Met target</w:t>
            </w:r>
          </w:p>
        </w:tc>
        <w:tc>
          <w:tcPr>
            <w:tcW w:w="582" w:type="pct"/>
            <w:shd w:val="clear" w:color="auto" w:fill="auto"/>
            <w:vAlign w:val="center"/>
          </w:tcPr>
          <w:p w14:paraId="78591691" w14:textId="070A8ABA" w:rsidR="00AE1972" w:rsidRPr="00781112" w:rsidRDefault="00AE1972" w:rsidP="009C6183">
            <w:pPr>
              <w:spacing w:after="0"/>
              <w:jc w:val="center"/>
              <w:rPr>
                <w:color w:val="000000" w:themeColor="text1"/>
              </w:rPr>
            </w:pPr>
            <w:r w:rsidRPr="00781112">
              <w:rPr>
                <w:color w:val="000000" w:themeColor="text1"/>
              </w:rPr>
              <w:t>No Slippage</w:t>
            </w:r>
          </w:p>
        </w:tc>
      </w:tr>
    </w:tbl>
    <w:p w14:paraId="30EFC313" w14:textId="77777777" w:rsidR="005D6EB4" w:rsidRPr="00781112" w:rsidRDefault="005D6EB4" w:rsidP="009C6183">
      <w:pPr>
        <w:spacing w:before="240"/>
        <w:rPr>
          <w:b/>
          <w:bCs/>
        </w:rPr>
      </w:pPr>
      <w:r w:rsidRPr="00781112">
        <w:rPr>
          <w:b/>
          <w:bCs/>
        </w:rPr>
        <w:t>Provide the data source for the FFY 2020 data.</w:t>
      </w:r>
    </w:p>
    <w:p w14:paraId="32A20A6D" w14:textId="0D76D377" w:rsidR="00EA3851" w:rsidRPr="000F63C4" w:rsidRDefault="005D6EB4" w:rsidP="00314F94">
      <w:pPr>
        <w:pStyle w:val="ListParagraph"/>
        <w:numPr>
          <w:ilvl w:val="0"/>
          <w:numId w:val="286"/>
        </w:numPr>
        <w:rPr>
          <w:b/>
          <w:bCs/>
        </w:rPr>
      </w:pPr>
      <w:r w:rsidRPr="000F63C4">
        <w:rPr>
          <w:color w:val="000000" w:themeColor="text1"/>
        </w:rPr>
        <w:t xml:space="preserve">The data is extracted as a subset from Virginia’s End-of-Year and Summer Student Record Collection (SRC). It is the same data source that populates </w:t>
      </w:r>
      <w:proofErr w:type="spellStart"/>
      <w:r w:rsidRPr="000F63C4">
        <w:rPr>
          <w:color w:val="000000" w:themeColor="text1"/>
        </w:rPr>
        <w:t>EDFacts</w:t>
      </w:r>
      <w:proofErr w:type="spellEnd"/>
      <w:r w:rsidRPr="000F63C4">
        <w:rPr>
          <w:color w:val="000000" w:themeColor="text1"/>
        </w:rPr>
        <w:t xml:space="preserve"> File Specs FS040 (DG306)-Graduates/Completers v16.0</w:t>
      </w:r>
      <w:r w:rsidR="00EA3851" w:rsidRPr="000F63C4">
        <w:rPr>
          <w:b/>
          <w:bCs/>
        </w:rPr>
        <w:br w:type="page"/>
      </w:r>
    </w:p>
    <w:p w14:paraId="17AAB1A6" w14:textId="60D6FC83" w:rsidR="00AE1972" w:rsidRPr="00781112" w:rsidRDefault="00AE1972" w:rsidP="00A22EB9">
      <w:r w:rsidRPr="00781112">
        <w:rPr>
          <w:b/>
          <w:bCs/>
        </w:rPr>
        <w:lastRenderedPageBreak/>
        <w:t xml:space="preserve">Please describe how data are collected and analyzed for the </w:t>
      </w:r>
      <w:proofErr w:type="spellStart"/>
      <w:r w:rsidRPr="00781112">
        <w:rPr>
          <w:b/>
          <w:bCs/>
        </w:rPr>
        <w:t>SiMR</w:t>
      </w:r>
      <w:proofErr w:type="spellEnd"/>
      <w:r w:rsidRPr="00781112">
        <w:t>.</w:t>
      </w:r>
    </w:p>
    <w:p w14:paraId="0A6DF7F0" w14:textId="229B23DF" w:rsidR="00AE1972" w:rsidRPr="000F63C4" w:rsidRDefault="00AE1972" w:rsidP="00314F94">
      <w:pPr>
        <w:pStyle w:val="ListParagraph"/>
        <w:numPr>
          <w:ilvl w:val="0"/>
          <w:numId w:val="287"/>
        </w:numPr>
        <w:rPr>
          <w:color w:val="000000" w:themeColor="text1"/>
        </w:rPr>
      </w:pPr>
      <w:r w:rsidRPr="000F63C4">
        <w:rPr>
          <w:color w:val="000000" w:themeColor="text1"/>
        </w:rPr>
        <w:t xml:space="preserve">As described above, the data is extracted as a subset from the same data source that populates </w:t>
      </w:r>
      <w:proofErr w:type="spellStart"/>
      <w:r w:rsidRPr="000F63C4">
        <w:rPr>
          <w:color w:val="000000" w:themeColor="text1"/>
        </w:rPr>
        <w:t>EDFacts</w:t>
      </w:r>
      <w:proofErr w:type="spellEnd"/>
      <w:r w:rsidRPr="000F63C4">
        <w:rPr>
          <w:color w:val="000000" w:themeColor="text1"/>
        </w:rPr>
        <w:t xml:space="preserve"> File Specs FS040 (DG306)-Graduates/Completers v16.0. The data extracted from school districts are compiled into statewide number of students with disabilities identified with an emotional disability (ED), intellectual disability (ID), other health impairment (OHI), or a Specific Learning Disability (SLD) projected to receive a regular high school diploma (numerator). That number is divided by all </w:t>
      </w:r>
      <w:proofErr w:type="spellStart"/>
      <w:r w:rsidRPr="000F63C4">
        <w:rPr>
          <w:color w:val="000000" w:themeColor="text1"/>
        </w:rPr>
        <w:t>exiters</w:t>
      </w:r>
      <w:proofErr w:type="spellEnd"/>
      <w:r w:rsidRPr="000F63C4">
        <w:rPr>
          <w:color w:val="000000" w:themeColor="text1"/>
        </w:rPr>
        <w:t xml:space="preserve"> with the above listed primary disabilities that left school with a state-defined diploma or certificate (denominator) to generate a statewide rate of graduation for students identified with a primary disability of ED, ID, OHI, or SLD who receive a regular high school diploma.</w:t>
      </w:r>
    </w:p>
    <w:p w14:paraId="5D43821E" w14:textId="257B4844" w:rsidR="00AE1972" w:rsidRPr="00781112" w:rsidRDefault="00AE1972" w:rsidP="00A22EB9">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p>
    <w:p w14:paraId="01E3AE2A" w14:textId="2BFE9407" w:rsidR="00AE1972" w:rsidRPr="000F63C4" w:rsidRDefault="003F7854" w:rsidP="00314F94">
      <w:pPr>
        <w:pStyle w:val="ListParagraph"/>
        <w:numPr>
          <w:ilvl w:val="0"/>
          <w:numId w:val="288"/>
        </w:numPr>
        <w:rPr>
          <w:color w:val="000000" w:themeColor="text1"/>
        </w:rPr>
      </w:pPr>
      <w:r w:rsidRPr="000F63C4">
        <w:rPr>
          <w:color w:val="000000" w:themeColor="text1"/>
        </w:rPr>
        <w:t>Yes</w:t>
      </w:r>
    </w:p>
    <w:p w14:paraId="169D3F00" w14:textId="18D3CE95" w:rsidR="00AE1972" w:rsidRPr="00781112" w:rsidRDefault="009134E5" w:rsidP="00A22EB9">
      <w:pPr>
        <w:rPr>
          <w:rFonts w:cs="Arial"/>
          <w:b/>
          <w:bCs/>
        </w:rPr>
      </w:pPr>
      <w:r w:rsidRPr="00781112">
        <w:rPr>
          <w:rFonts w:cs="Arial"/>
          <w:b/>
          <w:bCs/>
        </w:rPr>
        <w:t xml:space="preserve">Describe any additional data collected by the State to assess progress toward the </w:t>
      </w:r>
      <w:proofErr w:type="spellStart"/>
      <w:r w:rsidRPr="00781112">
        <w:rPr>
          <w:rFonts w:cs="Arial"/>
          <w:b/>
          <w:bCs/>
        </w:rPr>
        <w:t>SiMR</w:t>
      </w:r>
      <w:proofErr w:type="spellEnd"/>
      <w:r w:rsidRPr="00781112">
        <w:rPr>
          <w:rFonts w:cs="Arial"/>
          <w:b/>
          <w:bCs/>
        </w:rPr>
        <w:t>.</w:t>
      </w:r>
    </w:p>
    <w:p w14:paraId="18374F69" w14:textId="77777777" w:rsidR="00EA3851" w:rsidRPr="000F63C4" w:rsidRDefault="00AE1972" w:rsidP="00314F94">
      <w:pPr>
        <w:pStyle w:val="ListParagraph"/>
        <w:numPr>
          <w:ilvl w:val="0"/>
          <w:numId w:val="289"/>
        </w:numPr>
        <w:rPr>
          <w:color w:val="000000" w:themeColor="text1"/>
        </w:rPr>
      </w:pPr>
      <w:r w:rsidRPr="000F63C4">
        <w:rPr>
          <w:color w:val="000000" w:themeColor="text1"/>
        </w:rPr>
        <w:t xml:space="preserve">The Virginia Department of Education (VDOE) continues to utilize the Theory of Action to the SSIP as a conceptual approach to realizing Virginia's </w:t>
      </w:r>
      <w:proofErr w:type="spellStart"/>
      <w:r w:rsidRPr="000F63C4">
        <w:rPr>
          <w:color w:val="000000" w:themeColor="text1"/>
        </w:rPr>
        <w:t>SiMR</w:t>
      </w:r>
      <w:proofErr w:type="spellEnd"/>
      <w:r w:rsidRPr="000F63C4">
        <w:rPr>
          <w:color w:val="000000" w:themeColor="text1"/>
        </w:rPr>
        <w:t xml:space="preserve"> of an increased graduation rate for students with disabilities with a standard or advanced studies diploma. The Theory of Action is guided by priority outcomes reached by stakeholder consensus using key data points. To assess these priority outcomes, the VDOE collects the percentage of students with disabilities that pass the eighth-grade English reading and math Standards of Learning (SOL) assessments, the number of disciplinary actions (i.e., office discipline referrals, in-school suspensions, and out-of-school suspensions) for students with disabilities, and the number of students with disabilities who miss more than ten days of instruction in a school year.</w:t>
      </w:r>
    </w:p>
    <w:p w14:paraId="3D746DD0" w14:textId="77777777" w:rsidR="00EA3851" w:rsidRDefault="00AE1972" w:rsidP="003F7854">
      <w:pPr>
        <w:ind w:left="720"/>
        <w:rPr>
          <w:color w:val="000000" w:themeColor="text1"/>
        </w:rPr>
      </w:pPr>
      <w:r w:rsidRPr="00781112">
        <w:rPr>
          <w:color w:val="000000" w:themeColor="text1"/>
        </w:rPr>
        <w:t>Specifically, the academic goal, set by VDOE stakeholders as a priority outcome, is to increase the number of students with disabilities who pass the eighth-grade English reading and math SOL assessments. These goals are based on the data that indicate students with emotional disabilities, intellectual disabilities, other health impairments, or specific learning disabilities who pass the eighth-grade English reading and/or math SOL assessments are more likely than their peers to graduate with a standard or advanced studies diploma. The academic goals are to: 1) increase the percentage of students with disabilities that pass the eighth-grade English reading SOL assessment; 2) increase the percentage of students with disabilities that pass the eighth-grade math SOL assessment; 3) increase the percentage of students with disabilities that pass either the eighth-grade English reading SOL or math SOL assessment; and 4) increase the percentage of students with disabilities that pass both eighth-grade English reading SOL and math SOL assessments.</w:t>
      </w:r>
    </w:p>
    <w:p w14:paraId="23FEA258" w14:textId="77777777" w:rsidR="00EA3851" w:rsidRDefault="00AE1972" w:rsidP="003F7854">
      <w:pPr>
        <w:ind w:left="720"/>
        <w:rPr>
          <w:color w:val="000000" w:themeColor="text1"/>
        </w:rPr>
      </w:pPr>
      <w:r w:rsidRPr="00781112">
        <w:rPr>
          <w:color w:val="000000" w:themeColor="text1"/>
        </w:rPr>
        <w:t xml:space="preserve">The behavioral goal, set by VDOE stakeholders as a priority outcome, is to reduce the number of disciplinary actions for students with disabilities. This goal is based on the hypothesis that lower incidents of disciplinary actions for students with emotional disabilities, intellectual disabilities, other health impairments, or specific learning disabilities in a school year are likely to increase the rates of graduating with a standard or advanced studies diploma. The discipline </w:t>
      </w:r>
      <w:r w:rsidRPr="00781112">
        <w:rPr>
          <w:color w:val="000000" w:themeColor="text1"/>
        </w:rPr>
        <w:lastRenderedPageBreak/>
        <w:t>goals are to: 1) reduce the average rate of office discipline referrals (ODRs) per ten students with disabilities; 2) reduce the average rate of in-school suspensions (ISSs) per ten students with disabilities; and 3) reduce the average rate of out-of-school suspensions (OSSs) per ten students with disabilities.</w:t>
      </w:r>
    </w:p>
    <w:p w14:paraId="2F248282" w14:textId="7AA6C156" w:rsidR="00AE1972" w:rsidRPr="00EA3851" w:rsidRDefault="00AE1972" w:rsidP="003F7854">
      <w:pPr>
        <w:ind w:left="720"/>
        <w:rPr>
          <w:color w:val="000000" w:themeColor="text1"/>
        </w:rPr>
      </w:pPr>
      <w:r w:rsidRPr="00781112">
        <w:rPr>
          <w:color w:val="000000" w:themeColor="text1"/>
        </w:rPr>
        <w:t>The attendance goal, set by VDOE stakeholders as a priority outcome, is to reduce the number of students with disabilities who miss more than ten days of instruction in a school year. This goal is based on the hypothesis that students with emotional disabilities, intellectual disabilities, other health impairments, or specific learning disabilities that miss less than ten days of school in a school year are more likely to graduate with a standard or advanced studies diploma.</w:t>
      </w:r>
    </w:p>
    <w:p w14:paraId="26AF875A" w14:textId="77777777" w:rsidR="00AE1972" w:rsidRPr="00781112" w:rsidRDefault="00AE1972" w:rsidP="00EA3851">
      <w:pPr>
        <w:rPr>
          <w:rFonts w:cs="Arial"/>
          <w:b/>
          <w:bCs/>
        </w:rPr>
      </w:pPr>
      <w:r w:rsidRPr="00781112">
        <w:rPr>
          <w:rFonts w:cs="Arial"/>
          <w:b/>
          <w:bCs/>
        </w:rPr>
        <w:t xml:space="preserve">Did the State identify any general data quality concerns, unrelated to COVID-19, that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3238D53A" w:rsidR="00AE1972" w:rsidRPr="000F63C4" w:rsidRDefault="003F7854" w:rsidP="00314F94">
      <w:pPr>
        <w:pStyle w:val="ListParagraph"/>
        <w:numPr>
          <w:ilvl w:val="0"/>
          <w:numId w:val="290"/>
        </w:numPr>
        <w:rPr>
          <w:color w:val="000000" w:themeColor="text1"/>
        </w:rPr>
      </w:pPr>
      <w:r w:rsidRPr="000F63C4">
        <w:rPr>
          <w:color w:val="000000" w:themeColor="text1"/>
        </w:rPr>
        <w:t>Yes</w:t>
      </w:r>
    </w:p>
    <w:p w14:paraId="06A5D37D" w14:textId="230791FB" w:rsidR="00AE1972" w:rsidRPr="00781112" w:rsidRDefault="004801D4" w:rsidP="00EA3851">
      <w:pPr>
        <w:rPr>
          <w:rFonts w:cs="Arial"/>
          <w:b/>
          <w:bCs/>
        </w:rPr>
      </w:pPr>
      <w:r w:rsidRPr="00781112">
        <w:rPr>
          <w:rFonts w:cs="Arial"/>
          <w:b/>
          <w:bCs/>
        </w:rPr>
        <w:t xml:space="preserve">Describe any data quality issues, unrelated to COVID-19, specific to the </w:t>
      </w:r>
      <w:proofErr w:type="spellStart"/>
      <w:r w:rsidRPr="00781112">
        <w:rPr>
          <w:rFonts w:cs="Arial"/>
          <w:b/>
          <w:bCs/>
        </w:rPr>
        <w:t>SiMR</w:t>
      </w:r>
      <w:proofErr w:type="spellEnd"/>
      <w:r w:rsidRPr="00781112">
        <w:rPr>
          <w:rFonts w:cs="Arial"/>
          <w:b/>
          <w:bCs/>
        </w:rPr>
        <w:t xml:space="preserve"> data and include actions taken to address data quality concerns.</w:t>
      </w:r>
    </w:p>
    <w:p w14:paraId="4470C5EA" w14:textId="77777777" w:rsidR="00EA3851" w:rsidRPr="000F63C4" w:rsidRDefault="00AE1972" w:rsidP="00314F94">
      <w:pPr>
        <w:pStyle w:val="ListParagraph"/>
        <w:numPr>
          <w:ilvl w:val="0"/>
          <w:numId w:val="291"/>
        </w:numPr>
        <w:rPr>
          <w:color w:val="000000" w:themeColor="text1"/>
        </w:rPr>
      </w:pPr>
      <w:r w:rsidRPr="000F63C4">
        <w:rPr>
          <w:color w:val="000000" w:themeColor="text1"/>
        </w:rPr>
        <w:t>Virginia is transitioning from the Discipline, Crime, and Violence data system to the Student Behavior and Administrative Response Collection system. Some districts have updated their student conduct policies to align with the new system while others are still in the process of updating. The changes in the student conduct policies may have impacted discipline data and will make future longitudinal comparisons difficult to interpret.</w:t>
      </w:r>
    </w:p>
    <w:p w14:paraId="41710F1C" w14:textId="77777777" w:rsidR="00EA3851" w:rsidRDefault="00AE1972" w:rsidP="003F7854">
      <w:pPr>
        <w:ind w:left="720"/>
        <w:rPr>
          <w:color w:val="000000" w:themeColor="text1"/>
        </w:rPr>
      </w:pPr>
      <w:r w:rsidRPr="00781112">
        <w:rPr>
          <w:color w:val="000000" w:themeColor="text1"/>
        </w:rPr>
        <w:t>Additionally, some districts added a non-binary gender option while others have not implemented this change. This impacted the End-of-Year data collection and interpretation for student enrollment, office discipline referrals, in-school suspensions, and out-of-school suspensions data. To address this problem, Virginia Tiered Systems of Supports (VTSS) offered school districts a process to submit data inclusive of a non-binary gender category while maintaining the existing system for districts that have not added the non-binary option.</w:t>
      </w:r>
    </w:p>
    <w:p w14:paraId="173FF6A8" w14:textId="77777777" w:rsidR="00EA3851" w:rsidRDefault="00AE1972" w:rsidP="003F7854">
      <w:pPr>
        <w:ind w:left="720"/>
        <w:rPr>
          <w:color w:val="000000" w:themeColor="text1"/>
        </w:rPr>
      </w:pPr>
      <w:r w:rsidRPr="00781112">
        <w:rPr>
          <w:color w:val="000000" w:themeColor="text1"/>
        </w:rPr>
        <w:t>Although exacerbated by COVID-19, some districts and schools experienced typical obstacles with monitoring data including personnel turnover and transitions to different systems for tracking academic and discipline data. Districts and schools handled these obstacles internally, collaborating with VTSS for support and/or extensions as they worked to enter data into the VTSS Data Collection System.</w:t>
      </w:r>
    </w:p>
    <w:p w14:paraId="76082A82" w14:textId="3253C36D" w:rsidR="003F7854" w:rsidRDefault="00AE1972" w:rsidP="003F7854">
      <w:pPr>
        <w:ind w:left="720"/>
        <w:rPr>
          <w:b/>
          <w:bCs/>
        </w:rPr>
      </w:pPr>
      <w:r w:rsidRPr="00781112">
        <w:rPr>
          <w:color w:val="000000" w:themeColor="text1"/>
        </w:rPr>
        <w:t>During the reporting period, the VTSS personnel responsible for data collection associated with statewide professional learning events left their positions. Responsibility for collecting and maintaining this data was split among multiple team members. Those responsible for maintaining the data have worked to establish communication loops and refine data collection forms and processes.</w:t>
      </w:r>
      <w:r w:rsidR="003F7854">
        <w:rPr>
          <w:b/>
          <w:bCs/>
        </w:rPr>
        <w:br w:type="page"/>
      </w:r>
    </w:p>
    <w:p w14:paraId="085CF862" w14:textId="284B910B" w:rsidR="00AE1972" w:rsidRPr="00781112" w:rsidRDefault="00AE1972" w:rsidP="00A22EB9">
      <w:pPr>
        <w:rPr>
          <w:b/>
          <w:bCs/>
        </w:rPr>
      </w:pPr>
      <w:r w:rsidRPr="00781112">
        <w:rPr>
          <w:b/>
          <w:bCs/>
        </w:rPr>
        <w:lastRenderedPageBreak/>
        <w:t>Did the State identify any data quality concerns directly related to the COVID-19 pandemic during the reporting period? (yes/no)</w:t>
      </w:r>
    </w:p>
    <w:p w14:paraId="1ABF557D" w14:textId="1D84755E" w:rsidR="00EA3851" w:rsidRPr="000F63C4" w:rsidRDefault="003F7854" w:rsidP="00314F94">
      <w:pPr>
        <w:pStyle w:val="ListParagraph"/>
        <w:numPr>
          <w:ilvl w:val="0"/>
          <w:numId w:val="292"/>
        </w:numPr>
        <w:rPr>
          <w:b/>
          <w:bCs/>
        </w:rPr>
      </w:pPr>
      <w:r w:rsidRPr="000F63C4">
        <w:rPr>
          <w:color w:val="000000" w:themeColor="text1"/>
        </w:rPr>
        <w:t>Yes</w:t>
      </w:r>
    </w:p>
    <w:p w14:paraId="41AE95B9" w14:textId="0BE63D03" w:rsidR="00AE1972" w:rsidRPr="00781112" w:rsidRDefault="00AE1972" w:rsidP="00A22EB9">
      <w:pPr>
        <w:rPr>
          <w:b/>
          <w:bCs/>
        </w:rPr>
      </w:pPr>
      <w:r w:rsidRPr="00781112">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16E3E99C" w14:textId="77777777" w:rsidR="00EA3851" w:rsidRPr="000F63C4" w:rsidRDefault="00AE1972" w:rsidP="00314F94">
      <w:pPr>
        <w:pStyle w:val="ListParagraph"/>
        <w:numPr>
          <w:ilvl w:val="0"/>
          <w:numId w:val="293"/>
        </w:numPr>
        <w:rPr>
          <w:color w:val="000000" w:themeColor="text1"/>
        </w:rPr>
      </w:pPr>
      <w:r w:rsidRPr="000F63C4">
        <w:rPr>
          <w:color w:val="000000" w:themeColor="text1"/>
        </w:rPr>
        <w:t xml:space="preserve">COVID-19 impacted implementation data, specifically District Capacity Assessment for districts and Tiered Fidelity Inventory (TFI) for schools, with regards to access to materials for support and method of scoring. Both instruments are scored by the respective leadership teams according to processes specified within the instruments, facilitated by a Virginia Tiered Systems of Supports (VTSS) Systems Coach, and require a collection of artifacts/data to review for scoring. Due to COVID-19, changes in scoring procedures were made including using virtual meeting platforms, which allowed VTSS Systems Coaches to help facilitate the scoring </w:t>
      </w:r>
      <w:proofErr w:type="gramStart"/>
      <w:r w:rsidRPr="000F63C4">
        <w:rPr>
          <w:color w:val="000000" w:themeColor="text1"/>
        </w:rPr>
        <w:t>process, and</w:t>
      </w:r>
      <w:proofErr w:type="gramEnd"/>
      <w:r w:rsidRPr="000F63C4">
        <w:rPr>
          <w:color w:val="000000" w:themeColor="text1"/>
        </w:rPr>
        <w:t xml:space="preserve"> using alternative data and artifacts to support scoring where needed. COVID-19 policies restricted visitors in schools and prevented walkthrough observations that support the scoring of three specific TFI items. In response to missing walkthrough data, VTSS provided School Leadership Teams guidance on how to use previous walkthrough data or alternative data and scoring procedures for the items.</w:t>
      </w:r>
    </w:p>
    <w:p w14:paraId="61B2A103" w14:textId="5C03BFDA" w:rsidR="00AE1972" w:rsidRDefault="00AE1972" w:rsidP="003F7854">
      <w:pPr>
        <w:ind w:left="720"/>
        <w:rPr>
          <w:color w:val="000000" w:themeColor="text1"/>
        </w:rPr>
      </w:pPr>
      <w:r w:rsidRPr="00781112">
        <w:rPr>
          <w:color w:val="000000" w:themeColor="text1"/>
        </w:rPr>
        <w:t>During the 2020-2021 academic year, COVID-19 continued to disrupt learning for students as districts transitioned between virtual, hybrid, and in-person learning environments. Some students and staff experienced periodic quarantines, and parents used “opt-out” provisions when concerned about community spread of COVID-19. This impacted the completeness and trends seen in attendance, academic, and discipline data. Attendance data were still collected and monitored by schools, districts, and the State. The ability of students to attend and the way in which they attended were impacted by factors related to COVID-19. During the 2020-2021 academic year, Virginia administered Standards of Learning (SOL) tests; however, students were required to take the state assessments in school buildings to maintain testing security protocols, thus SOL test results for 2020-2021 reflect reduced student participation in state assessments due to COVID-19 and other pandemic-related factors. In addition, the Superintendent of Public Instruction issued a waiver of the sequential elective graduation requirement for certain students graduating in 2020-2021 who were unable to meet the requirement due to COVID-19. Discipline data were impacted by COVID-19 as schools altered how behavioral outcomes were characterized and processed. For the 2020-2021 academic year, fewer office discipline referrals, in-school suspensions, and out-of-school suspensions were reported than in previous years with approximately 20% of schools reporting zero disciplinary outcomes for the year. Additionally, VTSS updated discipline data collection forms to note any fields schools were unable to complete due to missing data. This process allowed schools to submit as much data as was available. The VTSS Systems Coaches collaborated with districts and schools to facilitate data collection and entry providing deadline extensions when needed.</w:t>
      </w:r>
    </w:p>
    <w:p w14:paraId="2127B612" w14:textId="77777777" w:rsidR="00AE1972" w:rsidRPr="00074B33" w:rsidRDefault="00AE1972" w:rsidP="004536A1">
      <w:pPr>
        <w:pStyle w:val="Heading4"/>
      </w:pPr>
      <w:r w:rsidRPr="00074B33">
        <w:lastRenderedPageBreak/>
        <w:t>Section B: Implementation, Analysis and Evaluation</w:t>
      </w:r>
    </w:p>
    <w:p w14:paraId="08E78A8E" w14:textId="77777777" w:rsidR="00E84BDF" w:rsidRPr="00E84BDF" w:rsidRDefault="00E84BDF" w:rsidP="00A22EB9">
      <w:pPr>
        <w:rPr>
          <w:rFonts w:cs="Arial"/>
          <w:b/>
          <w:bCs/>
        </w:rPr>
      </w:pPr>
      <w:r w:rsidRPr="00E84BDF">
        <w:rPr>
          <w:rFonts w:cs="Arial"/>
          <w:b/>
          <w:bCs/>
        </w:rPr>
        <w:t>Please provide a link to the State’s current evaluation plan.</w:t>
      </w:r>
    </w:p>
    <w:p w14:paraId="6B9207CB" w14:textId="575B4936" w:rsidR="00EA3851" w:rsidRPr="000F63C4" w:rsidRDefault="009615F9" w:rsidP="00314F94">
      <w:pPr>
        <w:pStyle w:val="ListParagraph"/>
        <w:numPr>
          <w:ilvl w:val="0"/>
          <w:numId w:val="294"/>
        </w:numPr>
        <w:rPr>
          <w:color w:val="000000" w:themeColor="text1"/>
        </w:rPr>
      </w:pPr>
      <w:r w:rsidRPr="009615F9">
        <w:rPr>
          <w:rFonts w:cs="Arial"/>
          <w:color w:val="000000"/>
          <w:shd w:val="clear" w:color="auto" w:fill="FFFFFF"/>
        </w:rPr>
        <w:t>https://www.doe.virginia.gov/?navid=659</w:t>
      </w:r>
      <w:r w:rsidR="00AD09FC" w:rsidRPr="000B7629">
        <w:t xml:space="preserve"> </w:t>
      </w:r>
      <w:r w:rsidR="00EA3851" w:rsidRPr="000B7629">
        <w:t>- Page 49</w:t>
      </w:r>
    </w:p>
    <w:p w14:paraId="00B65636" w14:textId="77777777" w:rsidR="00EA3851" w:rsidRDefault="00E84BDF" w:rsidP="003F7854">
      <w:pPr>
        <w:ind w:left="720"/>
        <w:rPr>
          <w:color w:val="000000" w:themeColor="text1"/>
        </w:rPr>
      </w:pPr>
      <w:r w:rsidRPr="00781112">
        <w:rPr>
          <w:color w:val="000000" w:themeColor="text1"/>
        </w:rPr>
        <w:t>Current Evaluation Plan</w:t>
      </w:r>
    </w:p>
    <w:p w14:paraId="5AD1758F" w14:textId="77777777" w:rsidR="00EA3851" w:rsidRDefault="00E84BDF" w:rsidP="003F7854">
      <w:pPr>
        <w:ind w:left="720"/>
        <w:rPr>
          <w:color w:val="000000" w:themeColor="text1"/>
        </w:rPr>
      </w:pPr>
      <w:r w:rsidRPr="00781112">
        <w:rPr>
          <w:color w:val="000000" w:themeColor="text1"/>
        </w:rPr>
        <w:t>It was determined, through stakeholder input, to continue with the current evaluation activities for the year; including the use of multiple data sources and analyses that will allow the evaluation on progress made towards meeting the projected targets. State, district, and school data will be analyzed over time with comparisons made to their baseline measures to determine improvements. Using a discrepancy evaluation model will allow participating districts and schools to develop individualized goals and determine the degree to which they were accomplished.</w:t>
      </w:r>
    </w:p>
    <w:p w14:paraId="3630EDD0" w14:textId="77777777" w:rsidR="00EA3851" w:rsidRDefault="00E84BDF" w:rsidP="003F7854">
      <w:pPr>
        <w:ind w:left="720"/>
        <w:rPr>
          <w:color w:val="000000" w:themeColor="text1"/>
        </w:rPr>
      </w:pPr>
      <w:r w:rsidRPr="00781112">
        <w:rPr>
          <w:color w:val="000000" w:themeColor="text1"/>
        </w:rPr>
        <w:t>Evaluation activities include professional learning event evaluations, implementation measures, and student outcomes (academic, discipline, attendance, and graduation). Professional learning evaluation data will be collected from attendees at the end of each training session. VTSS collects district and school data twice a year during Midyear and End-of-Year. Measures collected during Midyear are the DCA for districts and TFI for schools. Measures collected during End-of-Year are the Family Engagement Survey, Level of Satisfaction, and Value of Resources for districts and student enrollment and discipline (Office Discipline Referrals, In-School Suspensions, and Out-of-School Suspensions) for schools. Additionally, student behavioral and academic outcomes and school climate data will be collected at the end of each academic year by the state. Student behavioral and academic outcomes will be disaggregated by race/ethnicity and disability (SWD) to assess outcomes for high-need students.</w:t>
      </w:r>
    </w:p>
    <w:p w14:paraId="0A6517E8" w14:textId="1FC07ABA" w:rsidR="00E84BDF" w:rsidRDefault="00E84BDF" w:rsidP="003F7854">
      <w:pPr>
        <w:ind w:left="720"/>
        <w:rPr>
          <w:color w:val="000000" w:themeColor="text1"/>
        </w:rPr>
      </w:pPr>
      <w:r w:rsidRPr="00781112">
        <w:rPr>
          <w:color w:val="000000" w:themeColor="text1"/>
        </w:rPr>
        <w:t xml:space="preserve">Data will be </w:t>
      </w:r>
      <w:proofErr w:type="gramStart"/>
      <w:r w:rsidRPr="00781112">
        <w:rPr>
          <w:color w:val="000000" w:themeColor="text1"/>
        </w:rPr>
        <w:t>analyzed</w:t>
      </w:r>
      <w:proofErr w:type="gramEnd"/>
      <w:r w:rsidRPr="00781112">
        <w:rPr>
          <w:color w:val="000000" w:themeColor="text1"/>
        </w:rPr>
        <w:t xml:space="preserve"> and reports generated for state, district, and school leadership teams and VTSS Systems Coaches as part of the feedback loop. Outcomes will be evaluated to see if improvement/gains were made compared to baseline and longitudinally. Relative risks will be used to assess disparities for students with disabilities and ethnicity/race subgroups. Correlations will be used to determine if statistically significant relationships exist between student behavioral outcomes, student academic outcomes, school implementation fidelity, and school climate. Qualitative data such as training and technical assistance participant evaluations, coaching logs, focus group conversations, and social validity survey respondents will be examined to provide guidance in the refinement of the VTSS framework.</w:t>
      </w:r>
    </w:p>
    <w:p w14:paraId="0B808C56" w14:textId="786EB067" w:rsidR="00AE1972" w:rsidRPr="00781112" w:rsidRDefault="00E84BDF" w:rsidP="00A22EB9">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391B53F5" w14:textId="67707A42" w:rsidR="003F7854" w:rsidRPr="000F63C4" w:rsidRDefault="003F7854" w:rsidP="00314F94">
      <w:pPr>
        <w:pStyle w:val="ListParagraph"/>
        <w:numPr>
          <w:ilvl w:val="0"/>
          <w:numId w:val="295"/>
        </w:numPr>
        <w:spacing w:after="200"/>
        <w:rPr>
          <w:rFonts w:cs="Arial"/>
          <w:b/>
          <w:bCs/>
        </w:rPr>
      </w:pPr>
      <w:r w:rsidRPr="000F63C4">
        <w:rPr>
          <w:color w:val="000000" w:themeColor="text1"/>
        </w:rPr>
        <w:t>No</w:t>
      </w:r>
      <w:r w:rsidRPr="000F63C4">
        <w:rPr>
          <w:rFonts w:cs="Arial"/>
          <w:b/>
          <w:bCs/>
        </w:rPr>
        <w:br w:type="page"/>
      </w:r>
    </w:p>
    <w:p w14:paraId="405861A2" w14:textId="6DF05C8C" w:rsidR="00AE1972" w:rsidRPr="00781112" w:rsidRDefault="00AB11F1" w:rsidP="00A22EB9">
      <w:pPr>
        <w:rPr>
          <w:rFonts w:cs="Arial"/>
          <w:b/>
          <w:bCs/>
        </w:rPr>
      </w:pPr>
      <w:r w:rsidRPr="00AB11F1">
        <w:rPr>
          <w:rFonts w:cs="Arial"/>
          <w:b/>
          <w:bCs/>
        </w:rPr>
        <w:lastRenderedPageBreak/>
        <w:t>Provide a summary of each infrastructure improvement strategy implemented in the reporting period:</w:t>
      </w:r>
    </w:p>
    <w:p w14:paraId="59698FAB" w14:textId="77777777" w:rsidR="00EA3851" w:rsidRPr="000F63C4" w:rsidRDefault="00AE1972" w:rsidP="00314F94">
      <w:pPr>
        <w:pStyle w:val="ListParagraph"/>
        <w:numPr>
          <w:ilvl w:val="0"/>
          <w:numId w:val="296"/>
        </w:numPr>
        <w:rPr>
          <w:color w:val="000000" w:themeColor="text1"/>
        </w:rPr>
      </w:pPr>
      <w:r w:rsidRPr="000F63C4">
        <w:rPr>
          <w:color w:val="000000" w:themeColor="text1"/>
        </w:rPr>
        <w:t>Virginia continued to emphasize the use of implementation science as outlined by the National Implementation Research Network (NIRN). To implement and sustain the long-term changes that will create the necessary context for eliminating achievement gaps in attendance, discipline, and academics for students with disabilities, as outlined in the SSIP, both (</w:t>
      </w:r>
      <w:proofErr w:type="spellStart"/>
      <w:r w:rsidRPr="000F63C4">
        <w:rPr>
          <w:color w:val="000000" w:themeColor="text1"/>
        </w:rPr>
        <w:t>i</w:t>
      </w:r>
      <w:proofErr w:type="spellEnd"/>
      <w:r w:rsidRPr="000F63C4">
        <w:rPr>
          <w:color w:val="000000" w:themeColor="text1"/>
        </w:rPr>
        <w:t>) coherent improvement strategies and (ii) subsequent principal activities were implemented at the systems level. It is important to note that all infrastructure improvement strategies during this reporting period were in response to the COVID-19 pandemic. The coherent system’s improvement strategies are categorized into those made to the three drivers of change: Leadership, Organization, and Competency, as outlined by NIRN, and each include the modification made in response to the pandemic.</w:t>
      </w:r>
    </w:p>
    <w:p w14:paraId="58B7650F" w14:textId="77777777" w:rsidR="00EA3851" w:rsidRDefault="00AE1972" w:rsidP="003F7854">
      <w:pPr>
        <w:ind w:left="720"/>
        <w:rPr>
          <w:color w:val="000000" w:themeColor="text1"/>
        </w:rPr>
      </w:pPr>
      <w:r w:rsidRPr="00781112">
        <w:rPr>
          <w:color w:val="000000" w:themeColor="text1"/>
        </w:rPr>
        <w:t xml:space="preserve">LEADERSHIP DRIVER. Virginia Tiered Systems of Supports (VTSS) State Educational Agency Lead attended meetings with the Virginia Department of Education’s (VDOE’s) Office of School Quality (OSQ) to maximize understanding of the processes and procedures from each department as well as establish a communication loop to promote consistency and align the work to benefit the district. Due to the pandemic, teaming structures were adapted to conform to the new context. For example, at the district and school levels, individuals with technology expertise were asked to participate to support the adaptation. Communication loops had to be strengthened across districts, schools, and classroom teachers </w:t>
      </w:r>
      <w:proofErr w:type="gramStart"/>
      <w:r w:rsidRPr="00781112">
        <w:rPr>
          <w:color w:val="000000" w:themeColor="text1"/>
        </w:rPr>
        <w:t>in order to</w:t>
      </w:r>
      <w:proofErr w:type="gramEnd"/>
      <w:r w:rsidRPr="00781112">
        <w:rPr>
          <w:color w:val="000000" w:themeColor="text1"/>
        </w:rPr>
        <w:t xml:space="preserve"> maximize consistency in the delivery of appropriate learning strategies and competencies.</w:t>
      </w:r>
    </w:p>
    <w:p w14:paraId="2E03DF1E" w14:textId="77777777" w:rsidR="00EA3851" w:rsidRDefault="00AE1972" w:rsidP="003F7854">
      <w:pPr>
        <w:ind w:left="720"/>
        <w:rPr>
          <w:color w:val="000000" w:themeColor="text1"/>
        </w:rPr>
      </w:pPr>
      <w:r w:rsidRPr="00781112">
        <w:rPr>
          <w:color w:val="000000" w:themeColor="text1"/>
        </w:rPr>
        <w:t xml:space="preserve">COMPETENCY DRIVER. Coaching staff </w:t>
      </w:r>
      <w:proofErr w:type="gramStart"/>
      <w:r w:rsidRPr="00781112">
        <w:rPr>
          <w:color w:val="000000" w:themeColor="text1"/>
        </w:rPr>
        <w:t>provided  an</w:t>
      </w:r>
      <w:proofErr w:type="gramEnd"/>
      <w:r w:rsidRPr="00781112">
        <w:rPr>
          <w:color w:val="000000" w:themeColor="text1"/>
        </w:rPr>
        <w:t xml:space="preserve"> overview of VTSS Way of Work to the Office of School Quality and the Office of Student Services. These materials were adapted to support the needs and unique contexts of each Virginia Department of Education (VDOE) office, respectively. Due to the pandemic, all professional learning transitioned from in-person to virtual in Summer 2020. Additionally, content and presentation modalities were revised to include major changes to match the new virtual context in which learning was taking place across the state. Presentation modalities were all shifted to be conducted via Zoom Meetings and adult learning engagement strategies were adapted to fit within that context. Content modifications included adapting those same evidence-based practices to remain effective within a virtual learning environment </w:t>
      </w:r>
      <w:proofErr w:type="gramStart"/>
      <w:r w:rsidRPr="00781112">
        <w:rPr>
          <w:color w:val="000000" w:themeColor="text1"/>
        </w:rPr>
        <w:t>in order to</w:t>
      </w:r>
      <w:proofErr w:type="gramEnd"/>
      <w:r w:rsidRPr="00781112">
        <w:rPr>
          <w:color w:val="000000" w:themeColor="text1"/>
        </w:rPr>
        <w:t xml:space="preserve"> maintain integrity of quality instruction that was evident in in-person training. For example, modification of a schoolwide behavior matrix in a virtual context was revised to include norms such as having your camera on or off. Virtual student engagement strategies were modified to include examples such as talking with a partner through the </w:t>
      </w:r>
      <w:proofErr w:type="spellStart"/>
      <w:proofErr w:type="gramStart"/>
      <w:r w:rsidRPr="00781112">
        <w:rPr>
          <w:color w:val="000000" w:themeColor="text1"/>
        </w:rPr>
        <w:t>Chatbox</w:t>
      </w:r>
      <w:proofErr w:type="spellEnd"/>
      <w:r w:rsidRPr="00781112">
        <w:rPr>
          <w:color w:val="000000" w:themeColor="text1"/>
        </w:rPr>
        <w:t xml:space="preserve">  platform</w:t>
      </w:r>
      <w:proofErr w:type="gramEnd"/>
      <w:r w:rsidRPr="00781112">
        <w:rPr>
          <w:color w:val="000000" w:themeColor="text1"/>
        </w:rPr>
        <w:t>, sharing ideas on a Padlet, or in virtual breakout rooms. Major practices had to shift to returning to the basics of evidence-based practices that work. Communities of Practice events shifted to include topics that were relevant to the new learning contexts. For example, the inclusion of mental wellness, self-care, and relationship building were of greater emphasis.</w:t>
      </w:r>
    </w:p>
    <w:p w14:paraId="3663C49D" w14:textId="77777777" w:rsidR="00EA3851" w:rsidRDefault="00AE1972" w:rsidP="003F7854">
      <w:pPr>
        <w:ind w:left="720"/>
        <w:rPr>
          <w:color w:val="000000" w:themeColor="text1"/>
        </w:rPr>
      </w:pPr>
      <w:r w:rsidRPr="00781112">
        <w:rPr>
          <w:color w:val="000000" w:themeColor="text1"/>
        </w:rPr>
        <w:t xml:space="preserve">Coaching practices also shifted from in-person to a virtual format. Additional time was needed with coaches and coordinators as districts may or may not have been adhering to their implementation plans as they were responding to a crisis and priorities needed to shift. For </w:t>
      </w:r>
      <w:r w:rsidRPr="00781112">
        <w:rPr>
          <w:color w:val="000000" w:themeColor="text1"/>
        </w:rPr>
        <w:lastRenderedPageBreak/>
        <w:t>example, the focus prior to COVID-19 might have been the development of a data dashboard, whereas now the priority was ensuring students had access to food that was previously available through the school system and equitable access to the internet.</w:t>
      </w:r>
    </w:p>
    <w:p w14:paraId="19A64E2F" w14:textId="54D6255A" w:rsidR="00AE1972" w:rsidRPr="00781112" w:rsidRDefault="00AE1972" w:rsidP="003F7854">
      <w:pPr>
        <w:ind w:left="720"/>
        <w:rPr>
          <w:b/>
          <w:bCs/>
        </w:rPr>
      </w:pPr>
      <w:r w:rsidRPr="00781112">
        <w:rPr>
          <w:color w:val="000000" w:themeColor="text1"/>
        </w:rPr>
        <w:t>ORGANIZATIONAL DRIVER. The VDOE revised and introduced new policies and procedures to address the pandemic and revisited the selection of the practices and procedures utilized to ensure fit and feasibility. Extensive work was completed across departments and districts to create both Virginia Learns and Return to Learn documents. Additionally, collaboration took place with the VDOE’s Office of Instruction, districts, and various universities to provide guidance for English reading and math. Policies and procedures continued to be revised and updated as schools transitioned to include hybrid formats (virtual and in-person options) around February/March of 2021.</w:t>
      </w:r>
    </w:p>
    <w:p w14:paraId="2116126D" w14:textId="03C97716" w:rsidR="00AB11F1" w:rsidRPr="00781112" w:rsidRDefault="00AB11F1" w:rsidP="00A22EB9">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3831853B" w14:textId="77777777" w:rsidR="00EA3851" w:rsidRPr="000F63C4" w:rsidRDefault="00AE1972" w:rsidP="00314F94">
      <w:pPr>
        <w:pStyle w:val="ListParagraph"/>
        <w:numPr>
          <w:ilvl w:val="0"/>
          <w:numId w:val="297"/>
        </w:numPr>
        <w:rPr>
          <w:color w:val="000000" w:themeColor="text1"/>
        </w:rPr>
      </w:pPr>
      <w:r w:rsidRPr="000F63C4">
        <w:rPr>
          <w:color w:val="000000" w:themeColor="text1"/>
        </w:rPr>
        <w:t xml:space="preserve">The most significant milestone achieved in FFY 2020 was the continued alignment of the Virginia Tiered Systems of Supports (VTSS) to the State’s </w:t>
      </w:r>
      <w:proofErr w:type="spellStart"/>
      <w:r w:rsidRPr="000F63C4">
        <w:rPr>
          <w:color w:val="000000" w:themeColor="text1"/>
        </w:rPr>
        <w:t>SiMR</w:t>
      </w:r>
      <w:proofErr w:type="spellEnd"/>
      <w:r w:rsidRPr="000F63C4">
        <w:rPr>
          <w:color w:val="000000" w:themeColor="text1"/>
        </w:rPr>
        <w:t xml:space="preserve"> and Theory of Action while responding to the COVID-19 pandemic. Coherent improvement strategies categorized into the three drivers of change: Leadership, Organization, and Competency are outlined in all phases of the SSIP. Implementing VTSS requires systemic change and infrastructure improvement at the district, school, and classroom levels. Within VTSS, evidence-based, system-wide practices give educators the tools they need to address the academic, behavioral, and social-emotional needs of all students especially during the ongoing pandemic. Implementation of these practices include frequent progress monitoring that enables educators to make sound, data-based instructional decisions.</w:t>
      </w:r>
    </w:p>
    <w:p w14:paraId="1941AED7" w14:textId="77777777" w:rsidR="00EA3851" w:rsidRDefault="00AE1972" w:rsidP="003F7854">
      <w:pPr>
        <w:ind w:left="720"/>
        <w:rPr>
          <w:color w:val="000000" w:themeColor="text1"/>
        </w:rPr>
      </w:pPr>
      <w:r w:rsidRPr="00781112">
        <w:rPr>
          <w:color w:val="000000" w:themeColor="text1"/>
        </w:rPr>
        <w:t xml:space="preserve">Building the VTSS framework is a complex and iterative process that includes the following: stakeholders are identified and consistently included in planning as partners; existing practices and instructional resources are studied, aligned, and organized for efficient delivery; gaps are identified and matched to evidence-based solutions; student progress is frequently and consistently monitored; relevant and actionable data are collected in ways that are readily accessible for decision-making; teams are established to analyze data and make decisions; and, ultimately, all students and adults are integral and valued contributors in a system that is responsive to their needs and seeks to ensure their success. This process requires extensive collaborative dialogue, ongoing and embedded professional learning, effective problem solving, and compromise. The technical assistance and professional development </w:t>
      </w:r>
      <w:proofErr w:type="gramStart"/>
      <w:r w:rsidRPr="00781112">
        <w:rPr>
          <w:color w:val="000000" w:themeColor="text1"/>
        </w:rPr>
        <w:t>is</w:t>
      </w:r>
      <w:proofErr w:type="gramEnd"/>
      <w:r w:rsidRPr="00781112">
        <w:rPr>
          <w:color w:val="000000" w:themeColor="text1"/>
        </w:rPr>
        <w:t xml:space="preserve"> designed to address the three areas identified in the Theory of Action and meet the short-term and long-term SSIP/</w:t>
      </w:r>
      <w:proofErr w:type="spellStart"/>
      <w:r w:rsidRPr="00781112">
        <w:rPr>
          <w:color w:val="000000" w:themeColor="text1"/>
        </w:rPr>
        <w:t>SiMR</w:t>
      </w:r>
      <w:proofErr w:type="spellEnd"/>
      <w:r w:rsidRPr="00781112">
        <w:rPr>
          <w:color w:val="000000" w:themeColor="text1"/>
        </w:rPr>
        <w:t xml:space="preserve"> objectives that were set in Phase I and Phase II. These areas </w:t>
      </w:r>
      <w:proofErr w:type="gramStart"/>
      <w:r w:rsidRPr="00781112">
        <w:rPr>
          <w:color w:val="000000" w:themeColor="text1"/>
        </w:rPr>
        <w:t>include:</w:t>
      </w:r>
      <w:proofErr w:type="gramEnd"/>
      <w:r w:rsidRPr="00781112">
        <w:rPr>
          <w:color w:val="000000" w:themeColor="text1"/>
        </w:rPr>
        <w:t xml:space="preserve"> </w:t>
      </w:r>
      <w:r w:rsidRPr="00781112">
        <w:rPr>
          <w:color w:val="000000" w:themeColor="text1"/>
        </w:rPr>
        <w:lastRenderedPageBreak/>
        <w:t>graduation with standard and advanced studies diplomas, academic supports, behavior supports, and effective inclusive practices.</w:t>
      </w:r>
    </w:p>
    <w:p w14:paraId="157F954D" w14:textId="77777777" w:rsidR="00EA3851" w:rsidRDefault="00AE1972" w:rsidP="003F7854">
      <w:pPr>
        <w:ind w:left="720"/>
        <w:rPr>
          <w:color w:val="000000" w:themeColor="text1"/>
        </w:rPr>
      </w:pPr>
      <w:r w:rsidRPr="00781112">
        <w:rPr>
          <w:color w:val="000000" w:themeColor="text1"/>
        </w:rPr>
        <w:t>The Virginia Department of Education (VDOE) uses the District Capacity Assessment (DCA) to assess the capacity of districts to assist schools in implementing VTSS and measure systems change over time. The capacity of a district to facilitate building-level implementation refers to the systems, activities, and resources that are necessary for schools to successfully adopt and sustain VTSS. A DCA score of 60% or above is identified as the acquisition of district capacity. A DCA score of 80% or above is identified as fluency in district capacity. Version 7.7 of the DCA was published in October 2019.</w:t>
      </w:r>
    </w:p>
    <w:p w14:paraId="22E56DD4" w14:textId="77777777" w:rsidR="003F7854" w:rsidRDefault="00AE1972" w:rsidP="003F7854">
      <w:pPr>
        <w:ind w:left="720"/>
        <w:rPr>
          <w:color w:val="000000" w:themeColor="text1"/>
        </w:rPr>
      </w:pPr>
      <w:r w:rsidRPr="00781112">
        <w:rPr>
          <w:color w:val="000000" w:themeColor="text1"/>
        </w:rPr>
        <w:t>Specifically, the purposes of the DCA are to (</w:t>
      </w:r>
      <w:proofErr w:type="spellStart"/>
      <w:r w:rsidRPr="00781112">
        <w:rPr>
          <w:color w:val="000000" w:themeColor="text1"/>
        </w:rPr>
        <w:t>i</w:t>
      </w:r>
      <w:proofErr w:type="spellEnd"/>
      <w:r w:rsidRPr="00781112">
        <w:rPr>
          <w:color w:val="000000" w:themeColor="text1"/>
        </w:rPr>
        <w:t xml:space="preserve">) provide a District Implementation Team (DIT) with a structured process for the development of a District Capacity Action Plan; (ii) provide a DIT with information to monitor progress towards district, regional, and state capacity-building goals; (iii) support a common infrastructure for the implementation of VTSS to achieve desired outcomes for students; (iv) serve as a venue to orient new DIT members to strengths and needs of the district; and (v) provide district, regional, and state leadership with a consistent measure of capacity for implementation and sustainment for VTSS in districts. A copy of the DCA and supplemental documents can be viewed on the </w:t>
      </w:r>
      <w:hyperlink r:id="rId22" w:history="1">
        <w:r w:rsidRPr="00705748">
          <w:rPr>
            <w:rStyle w:val="Hyperlink"/>
          </w:rPr>
          <w:t>VTSS-RIC website</w:t>
        </w:r>
      </w:hyperlink>
      <w:r w:rsidRPr="00781112">
        <w:rPr>
          <w:color w:val="000000" w:themeColor="text1"/>
        </w:rPr>
        <w:t xml:space="preserve"> (https://vtss-ric.vcu.edu/). Citation: Ward, C., St. Martin, K., Horner, R., </w:t>
      </w:r>
      <w:proofErr w:type="spellStart"/>
      <w:r w:rsidRPr="00781112">
        <w:rPr>
          <w:color w:val="000000" w:themeColor="text1"/>
        </w:rPr>
        <w:t>Duda</w:t>
      </w:r>
      <w:proofErr w:type="spellEnd"/>
      <w:r w:rsidRPr="00781112">
        <w:rPr>
          <w:color w:val="000000" w:themeColor="text1"/>
        </w:rPr>
        <w:t xml:space="preserve">, M., Ingram-West, K., Tedesco, M., Putnam, D., </w:t>
      </w:r>
      <w:proofErr w:type="spellStart"/>
      <w:r w:rsidRPr="00781112">
        <w:rPr>
          <w:color w:val="000000" w:themeColor="text1"/>
        </w:rPr>
        <w:t>Buenrostro</w:t>
      </w:r>
      <w:proofErr w:type="spellEnd"/>
      <w:r w:rsidRPr="00781112">
        <w:rPr>
          <w:color w:val="000000" w:themeColor="text1"/>
        </w:rPr>
        <w:t>, M., &amp; Chaparro, E. (2015). District Capacity Assessment. University of North Carolina at Chapel Hill.</w:t>
      </w:r>
    </w:p>
    <w:p w14:paraId="524C46E1" w14:textId="5A87B2DB" w:rsidR="00EA3851" w:rsidRDefault="00AE1972" w:rsidP="003F7854">
      <w:pPr>
        <w:ind w:left="720"/>
        <w:rPr>
          <w:color w:val="000000" w:themeColor="text1"/>
        </w:rPr>
      </w:pPr>
      <w:r w:rsidRPr="00781112">
        <w:rPr>
          <w:color w:val="000000" w:themeColor="text1"/>
        </w:rPr>
        <w:t xml:space="preserve">For the 2020-2021 academic year, the average DCA score for VTSS Cohort 1-2 districts was 74%, which is a 13% increase from the previous academic year. On average, VTSS Cohort 1-2 districts have acquired the capacity to support building-level implementation of VTSS. Specifically, ten VTSS 1-2 Cohort districts have DCA scores above 60% indicating the acquisition of the capacity to support building-level implementation. Of these ten districts, five districts have DCA scores above 80% indicating fluency in district capacity. These DCA scores support the district's capacity to </w:t>
      </w:r>
      <w:proofErr w:type="gramStart"/>
      <w:r w:rsidRPr="00781112">
        <w:rPr>
          <w:color w:val="000000" w:themeColor="text1"/>
        </w:rPr>
        <w:t>sustain</w:t>
      </w:r>
      <w:proofErr w:type="gramEnd"/>
      <w:r w:rsidRPr="00781112">
        <w:rPr>
          <w:color w:val="000000" w:themeColor="text1"/>
        </w:rPr>
        <w:t xml:space="preserve"> and scale-up systems improvement strategies categorized into the three drivers of change: Leadership, Organization, and Competency. The average Leadership Driver score </w:t>
      </w:r>
      <w:proofErr w:type="gramStart"/>
      <w:r w:rsidRPr="00781112">
        <w:rPr>
          <w:color w:val="000000" w:themeColor="text1"/>
        </w:rPr>
        <w:t>was  90</w:t>
      </w:r>
      <w:proofErr w:type="gramEnd"/>
      <w:r w:rsidRPr="00781112">
        <w:rPr>
          <w:color w:val="000000" w:themeColor="text1"/>
        </w:rPr>
        <w:t>% (fluency). The Competency Driver is assessed by four subscales: Fidelity, Selection, Training, and Coaching with averages of 92% (fluency), 77% (acquisition), 66% (acquisition), and 44</w:t>
      </w:r>
      <w:proofErr w:type="gramStart"/>
      <w:r w:rsidRPr="00781112">
        <w:rPr>
          <w:color w:val="000000" w:themeColor="text1"/>
        </w:rPr>
        <w:t>%,  respectively</w:t>
      </w:r>
      <w:proofErr w:type="gramEnd"/>
      <w:r w:rsidRPr="00781112">
        <w:rPr>
          <w:color w:val="000000" w:themeColor="text1"/>
        </w:rPr>
        <w:t>. The Organizational Driver is assessed by three subscales: Decision Support Data Systems, Facilitative Administration, and Systems Intervention with averages of 83% (fluency), 61% (acquisition), and 70% (acquisition), respectively.</w:t>
      </w:r>
    </w:p>
    <w:p w14:paraId="4B6ADDE5" w14:textId="534818E7" w:rsidR="00AE1972" w:rsidRPr="00EA3851" w:rsidRDefault="00AE1972" w:rsidP="003F7854">
      <w:pPr>
        <w:ind w:left="720"/>
        <w:rPr>
          <w:b/>
          <w:bCs/>
        </w:rPr>
      </w:pPr>
      <w:r w:rsidRPr="00781112">
        <w:rPr>
          <w:color w:val="000000" w:themeColor="text1"/>
        </w:rPr>
        <w:t>The VDOE uses the Tiered Fidelity Inventory (TFI) to assess school-level implementation of VTSS. The TFI is divided into three sections (Tier 1: Universal Features; Tier 2: Targeted Features; and Tier 3: Intensive Features) that can be used separately or in combination to assess the extent that core features of VTSS are in place. For the 2020-2021 academic year, the average Tier 1 TFI score for VTSS Cohort 1-2 schools was 77% indicating that, on average, schools are implementing Tier 1 with fidelity. Advanced Tiers scores indicate continued district support and professional development is needed to enable schools to reach fidelity.</w:t>
      </w:r>
    </w:p>
    <w:p w14:paraId="5DCF741B" w14:textId="77777777" w:rsidR="00AE1972" w:rsidRPr="00781112" w:rsidRDefault="00AE1972" w:rsidP="00A22EB9">
      <w:pPr>
        <w:rPr>
          <w:rFonts w:cs="Arial"/>
          <w:b/>
          <w:bCs/>
        </w:rPr>
      </w:pPr>
      <w:r w:rsidRPr="00781112">
        <w:rPr>
          <w:rFonts w:cs="Arial"/>
          <w:b/>
          <w:bCs/>
        </w:rPr>
        <w:lastRenderedPageBreak/>
        <w:t xml:space="preserve">Did the State implement any </w:t>
      </w:r>
      <w:r w:rsidRPr="000B7629">
        <w:rPr>
          <w:rFonts w:cs="Arial"/>
          <w:b/>
          <w:bCs/>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2EB5C051" w:rsidR="00AE1972" w:rsidRPr="000F63C4" w:rsidRDefault="003F7854" w:rsidP="00314F94">
      <w:pPr>
        <w:pStyle w:val="ListParagraph"/>
        <w:numPr>
          <w:ilvl w:val="0"/>
          <w:numId w:val="298"/>
        </w:numPr>
        <w:rPr>
          <w:color w:val="000000" w:themeColor="text1"/>
        </w:rPr>
      </w:pPr>
      <w:r w:rsidRPr="000F63C4">
        <w:rPr>
          <w:color w:val="000000" w:themeColor="text1"/>
        </w:rPr>
        <w:t>No</w:t>
      </w:r>
    </w:p>
    <w:p w14:paraId="7A07D856" w14:textId="0FF036BB" w:rsidR="00AE1972" w:rsidRPr="00781112" w:rsidRDefault="00AE1972" w:rsidP="00A22EB9">
      <w:pPr>
        <w:rPr>
          <w:rFonts w:cs="Arial"/>
          <w:b/>
          <w:bCs/>
        </w:rPr>
      </w:pPr>
      <w:r w:rsidRPr="00781112">
        <w:rPr>
          <w:rFonts w:cs="Arial"/>
          <w:b/>
          <w:bCs/>
        </w:rPr>
        <w:t>Provide a summary of the next steps for each infrastructure improvement strategy and the anticipated outcomes to be attained during the next reporting period.</w:t>
      </w:r>
    </w:p>
    <w:p w14:paraId="06CCF1E9" w14:textId="77777777" w:rsidR="00EA3851" w:rsidRPr="000F63C4" w:rsidRDefault="00AE1972" w:rsidP="00314F94">
      <w:pPr>
        <w:pStyle w:val="ListParagraph"/>
        <w:numPr>
          <w:ilvl w:val="0"/>
          <w:numId w:val="299"/>
        </w:numPr>
        <w:rPr>
          <w:color w:val="000000" w:themeColor="text1"/>
        </w:rPr>
      </w:pPr>
      <w:r w:rsidRPr="000F63C4">
        <w:rPr>
          <w:color w:val="000000" w:themeColor="text1"/>
        </w:rPr>
        <w:t xml:space="preserve">Virginia will continue infrastructure improvement </w:t>
      </w:r>
      <w:proofErr w:type="gramStart"/>
      <w:r w:rsidRPr="000F63C4">
        <w:rPr>
          <w:color w:val="000000" w:themeColor="text1"/>
        </w:rPr>
        <w:t>through the use of</w:t>
      </w:r>
      <w:proofErr w:type="gramEnd"/>
      <w:r w:rsidRPr="000F63C4">
        <w:rPr>
          <w:color w:val="000000" w:themeColor="text1"/>
        </w:rPr>
        <w:t xml:space="preserve"> implementation science as outlined by the National Implementation Research Network (NIRN). The Theory of Action will guide improvement through our Cascading Model, beginning with the macrocosm of the State to the microcosm of the classroom. Improvement will continue to be guided by the Leadership, Organization, and Competency Drivers that foster change processes across the cascaded model.</w:t>
      </w:r>
    </w:p>
    <w:p w14:paraId="189CA6BE" w14:textId="77777777" w:rsidR="00EA3851" w:rsidRDefault="00AE1972" w:rsidP="003F7854">
      <w:pPr>
        <w:ind w:left="720"/>
        <w:rPr>
          <w:color w:val="000000" w:themeColor="text1"/>
        </w:rPr>
      </w:pPr>
      <w:r w:rsidRPr="00781112">
        <w:rPr>
          <w:color w:val="000000" w:themeColor="text1"/>
        </w:rPr>
        <w:t xml:space="preserve">The LEADERSHIP DRIVER refers to the transformational leadership structures and activities that move an entrenched system through meaningful improvement. The primary leadership improvement strategy for the coming year will occur at the state </w:t>
      </w:r>
      <w:proofErr w:type="gramStart"/>
      <w:r w:rsidRPr="00781112">
        <w:rPr>
          <w:color w:val="000000" w:themeColor="text1"/>
        </w:rPr>
        <w:t>and  level</w:t>
      </w:r>
      <w:proofErr w:type="gramEnd"/>
      <w:r w:rsidRPr="00781112">
        <w:rPr>
          <w:color w:val="000000" w:themeColor="text1"/>
        </w:rPr>
        <w:t xml:space="preserve"> in order to support implementation and evolve the project. Teaming structures and leadership approaches will be reviewed and enhanced to match the growing needs of this work, such as enhancing bi-directional communication by creating a more structured feedback loop throughout the implementation cascade. Purpose, function, and communication loops will be </w:t>
      </w:r>
      <w:proofErr w:type="spellStart"/>
      <w:r w:rsidRPr="00781112">
        <w:rPr>
          <w:color w:val="000000" w:themeColor="text1"/>
        </w:rPr>
        <w:t>reinvisioned</w:t>
      </w:r>
      <w:proofErr w:type="spellEnd"/>
      <w:r w:rsidRPr="00781112">
        <w:rPr>
          <w:color w:val="000000" w:themeColor="text1"/>
        </w:rPr>
        <w:t xml:space="preserve"> with each leadership team and will continue to include a diverse representation of stakeholders.</w:t>
      </w:r>
    </w:p>
    <w:p w14:paraId="0240F469" w14:textId="77777777" w:rsidR="00EA3851" w:rsidRDefault="00AE1972" w:rsidP="003F7854">
      <w:pPr>
        <w:ind w:left="720"/>
        <w:rPr>
          <w:color w:val="000000" w:themeColor="text1"/>
        </w:rPr>
      </w:pPr>
      <w:r w:rsidRPr="00781112">
        <w:rPr>
          <w:color w:val="000000" w:themeColor="text1"/>
        </w:rPr>
        <w:t>Current state teams include a Virginia Tiered Systems of Supports State Leadership Team (VTSS-SLT) that provides leadership, guidance, visibility, training, coaching, evaluation, and political support in the Commonwealth. The VTSS Implementation Team is the core group of Systems Coaches across the Commonwealth who provide technical assistance and coaching to districts and schools at the local and regional levels. Enhancements to state leadership structures will include the creation of a VTSS Project Management Team (VTSS-PMT) to monitor, review, and provide oversight of specific project objectives, coordinate training and coaching activities, and report/propose implementation processes to the VTSS-SLT—each in support of the sustained and broad scale implementation of VTSS. Membership will include representation from the VTSS-SLT and Implementation Team. Additionally, next steps are to continue work with State Implementation and Scaling-Up of Evidence-Based Practices (SISEP) to remove silos within the agency. This work is led by the SISEP State Management Team (SISEP-SMT). The team consists of leaders in the VDOE’s Department of Special Education and Student Services, Office of School Quality, and Office of Humanities, and coach/facilitators from SISEP. These changes to state leadership structures will continue to streamline processes and communication for efficient and effective decision-making</w:t>
      </w:r>
      <w:r w:rsidR="00EA3851">
        <w:rPr>
          <w:color w:val="000000" w:themeColor="text1"/>
        </w:rPr>
        <w:t>.</w:t>
      </w:r>
    </w:p>
    <w:p w14:paraId="66629EEC" w14:textId="77777777" w:rsidR="00EA3851" w:rsidRDefault="00AE1972" w:rsidP="003F7854">
      <w:pPr>
        <w:ind w:left="720"/>
        <w:rPr>
          <w:color w:val="000000" w:themeColor="text1"/>
        </w:rPr>
      </w:pPr>
      <w:r w:rsidRPr="00781112">
        <w:rPr>
          <w:color w:val="000000" w:themeColor="text1"/>
        </w:rPr>
        <w:t xml:space="preserve">The ORGANIZATIONAL DRIVER emphasizes internal and external processes and structures (e.g., alignment, leadership, policy, funding, removal of barriers, identification of opportunities) and a data system for decision-making. The newly formed VTSS-PMT will develop a vision for VTSS based on the values of the broader Implementation Team. From this vision, focus areas will ensue along with the identification of strategic objectives. Implementation activities will be </w:t>
      </w:r>
      <w:r w:rsidRPr="00781112">
        <w:rPr>
          <w:color w:val="000000" w:themeColor="text1"/>
        </w:rPr>
        <w:lastRenderedPageBreak/>
        <w:t>guided by data-informed decision-making with an established process that examines varying data sources based upon the role of the enhanced state teaming structures. A benefit of the enhanced leadership teaming structure is facilitated by administration that will address current procedures for improved outcomes at the local level. This facilitated administration will include revising the current workgroups and training teams that lack cohesive membership and do not fully take advantage of the expertise of each team. The outcome for this revision is a more streamlined process that will build greater capacity for service delivery.</w:t>
      </w:r>
    </w:p>
    <w:p w14:paraId="2D127D69" w14:textId="77777777" w:rsidR="00EA3851" w:rsidRDefault="00AE1972" w:rsidP="003F7854">
      <w:pPr>
        <w:ind w:left="720"/>
        <w:rPr>
          <w:color w:val="000000" w:themeColor="text1"/>
        </w:rPr>
      </w:pPr>
      <w:r w:rsidRPr="00781112">
        <w:rPr>
          <w:color w:val="000000" w:themeColor="text1"/>
        </w:rPr>
        <w:t>Additionally, systems interventions will continue to expand with increased interagency partnerships. In addition to Formed Families Forward, VDOE is partnering with Collaborative for Academic, Social, and Emotional Learning (CASEL) on their recently developed social-emotional learning framework as well as Collaboration for Effective Educator Development, Accountability, and Reform (CEEDAR) to integrate high-leverage practices for students with disabilities. Collaboration between VTSS and the Department of Juvenile Justice will begin with the intent of improving behavioral outcomes for students by utilizing the VTSS framework.</w:t>
      </w:r>
    </w:p>
    <w:p w14:paraId="56C2C57D" w14:textId="091F3AB5" w:rsidR="00EA3851" w:rsidRDefault="00AE1972" w:rsidP="003F7854">
      <w:pPr>
        <w:ind w:left="720"/>
        <w:rPr>
          <w:color w:val="000000" w:themeColor="text1"/>
        </w:rPr>
      </w:pPr>
      <w:r w:rsidRPr="00781112">
        <w:rPr>
          <w:color w:val="000000" w:themeColor="text1"/>
        </w:rPr>
        <w:t xml:space="preserve">To develop competency within a cascading model of supports (COMPETENCY DRIVER), attention must be paid to the </w:t>
      </w:r>
      <w:proofErr w:type="gramStart"/>
      <w:r w:rsidRPr="00781112">
        <w:rPr>
          <w:color w:val="000000" w:themeColor="text1"/>
        </w:rPr>
        <w:t>manner in which</w:t>
      </w:r>
      <w:proofErr w:type="gramEnd"/>
      <w:r w:rsidRPr="00781112">
        <w:rPr>
          <w:color w:val="000000" w:themeColor="text1"/>
        </w:rPr>
        <w:t xml:space="preserve"> new ways of work are taught and learned through the training and coaching of implementers who have been selected at each level. The Competency Driver focuses on four areas: Fidelity, Selection, Training, and Coaching.</w:t>
      </w:r>
    </w:p>
    <w:p w14:paraId="23D6B7B7" w14:textId="77777777" w:rsidR="00EA3851" w:rsidRDefault="00AE1972" w:rsidP="003F7854">
      <w:pPr>
        <w:ind w:left="720"/>
        <w:rPr>
          <w:color w:val="000000" w:themeColor="text1"/>
        </w:rPr>
      </w:pPr>
      <w:r w:rsidRPr="00781112">
        <w:rPr>
          <w:color w:val="000000" w:themeColor="text1"/>
        </w:rPr>
        <w:t xml:space="preserve">TRAINING. Professional development (PD) and technical assistance will continue to occur through three primary collaborative avenues: Virginia Department of Education, Virginia Tiered Systems of </w:t>
      </w:r>
      <w:proofErr w:type="gramStart"/>
      <w:r w:rsidRPr="00781112">
        <w:rPr>
          <w:color w:val="000000" w:themeColor="text1"/>
        </w:rPr>
        <w:t>Supports  Research</w:t>
      </w:r>
      <w:proofErr w:type="gramEnd"/>
      <w:r w:rsidRPr="00781112">
        <w:rPr>
          <w:color w:val="000000" w:themeColor="text1"/>
        </w:rPr>
        <w:t xml:space="preserve"> and Implementation Center, and regional Training Technical Assistance and Centers. Given the trends in teacher retention and the onboarding of new instructional staff, districts need to both monitor existing data around the efficacy of the practices as well as continue to build systems around teacher support to maintain these competencies. The collaborative planning for high-quality pedagogy takes place at district-level meetings and training </w:t>
      </w:r>
      <w:proofErr w:type="gramStart"/>
      <w:r w:rsidRPr="00781112">
        <w:rPr>
          <w:color w:val="000000" w:themeColor="text1"/>
        </w:rPr>
        <w:t>in the area of</w:t>
      </w:r>
      <w:proofErr w:type="gramEnd"/>
      <w:r w:rsidRPr="00781112">
        <w:rPr>
          <w:color w:val="000000" w:themeColor="text1"/>
        </w:rPr>
        <w:t xml:space="preserve"> quality core instruction with representation from both general education and special education. The next step is to provide a blended Community of Practice for networking among districts in the areas of equity, family engagement, and social-emotional learning. The expected outcome is a broader base of learning for both districts and VTSS Systems Coaches during cooperative learning.</w:t>
      </w:r>
    </w:p>
    <w:p w14:paraId="5282627E" w14:textId="77777777" w:rsidR="00EA3851" w:rsidRDefault="00AE1972" w:rsidP="003F7854">
      <w:pPr>
        <w:ind w:left="720"/>
        <w:rPr>
          <w:color w:val="000000" w:themeColor="text1"/>
        </w:rPr>
      </w:pPr>
      <w:r w:rsidRPr="00781112">
        <w:rPr>
          <w:color w:val="000000" w:themeColor="text1"/>
        </w:rPr>
        <w:t xml:space="preserve">This year an important milestone in building competencies for districts was the extensive work to provide high-quality PD in a virtual format that included adjustments to address relevant instructional modifications due to COVID-19 as well as increased integration of viewing instruction through a social-emotional and self-care lens. A next step will be to pilot a hybrid version of PD </w:t>
      </w:r>
      <w:proofErr w:type="gramStart"/>
      <w:r w:rsidRPr="00781112">
        <w:rPr>
          <w:color w:val="000000" w:themeColor="text1"/>
        </w:rPr>
        <w:t>in order to</w:t>
      </w:r>
      <w:proofErr w:type="gramEnd"/>
      <w:r w:rsidRPr="00781112">
        <w:rPr>
          <w:color w:val="000000" w:themeColor="text1"/>
        </w:rPr>
        <w:t xml:space="preserve"> achieve both safe and equitable access to skill improvement</w:t>
      </w:r>
      <w:r w:rsidR="00EA3851">
        <w:rPr>
          <w:color w:val="000000" w:themeColor="text1"/>
        </w:rPr>
        <w:t>.</w:t>
      </w:r>
    </w:p>
    <w:p w14:paraId="37DD6B89" w14:textId="77777777" w:rsidR="00EA3851" w:rsidRDefault="00AE1972" w:rsidP="003F7854">
      <w:pPr>
        <w:ind w:left="720"/>
        <w:rPr>
          <w:color w:val="000000" w:themeColor="text1"/>
        </w:rPr>
      </w:pPr>
      <w:r w:rsidRPr="00781112">
        <w:rPr>
          <w:color w:val="000000" w:themeColor="text1"/>
        </w:rPr>
        <w:t>SELECTION. The new state leadership teaming structures will include a process for selecting team members with diverse representation of role, expertise, and location. Additionally, a process for onboarding new VTSS Systems Coaches will be developed and followed. Both mentors and mentees will follow a procedure for deepening knowledge and setting individual coaching goals and PD plans through self-reflection.</w:t>
      </w:r>
    </w:p>
    <w:p w14:paraId="05851A98" w14:textId="77777777" w:rsidR="00EA3851" w:rsidRDefault="00AE1972" w:rsidP="003F7854">
      <w:pPr>
        <w:ind w:left="720"/>
        <w:rPr>
          <w:color w:val="000000" w:themeColor="text1"/>
        </w:rPr>
      </w:pPr>
      <w:r w:rsidRPr="00781112">
        <w:rPr>
          <w:color w:val="000000" w:themeColor="text1"/>
        </w:rPr>
        <w:lastRenderedPageBreak/>
        <w:t>TRAINING/COACHING. The VTSS-PMT will work on restructuring the Exploration and Installation process for new VTSS districts. The anticipated outcome is increased readiness to begin implementation using more explicit data-informed, decision-making processes and teaming structures. This readiness will lead to improvement in fidelity and capacity during the stages of implementation, offering a more strategic way in which to ensure the quality of coaching services. Additionally, the process for state-to-district coaching service delivery plans will be refined, strengthening the means for collaboration, problem solving, and reflection that informs training improvements and organizational supports.</w:t>
      </w:r>
    </w:p>
    <w:p w14:paraId="0D313DAA" w14:textId="5E59FEAD" w:rsidR="00AE1972" w:rsidRPr="00EA3851" w:rsidRDefault="00AE1972" w:rsidP="003F7854">
      <w:pPr>
        <w:ind w:left="720"/>
        <w:rPr>
          <w:b/>
          <w:bCs/>
        </w:rPr>
      </w:pPr>
      <w:r w:rsidRPr="00781112">
        <w:rPr>
          <w:color w:val="000000" w:themeColor="text1"/>
        </w:rPr>
        <w:t>FIDELITY. The NIRN defines fidelity assessment as the extent to which a practice/innovation is implemented as intended. The VTSS will continue to use fidelity data and look for ways to improve upon how fidelity data is analyzed for informing both strengths and opportunities for improvement at not only the district and school levels but coaching practices as well.</w:t>
      </w:r>
    </w:p>
    <w:p w14:paraId="35176598" w14:textId="77777777" w:rsidR="00AE1972" w:rsidRPr="00781112" w:rsidRDefault="00AE1972" w:rsidP="00A22EB9">
      <w:pPr>
        <w:rPr>
          <w:rFonts w:cs="Arial"/>
          <w:b/>
          <w:bCs/>
        </w:rPr>
      </w:pPr>
      <w:r w:rsidRPr="00781112">
        <w:rPr>
          <w:rFonts w:cs="Arial"/>
          <w:b/>
          <w:bCs/>
        </w:rPr>
        <w:t>List the selected evidence-based practices implement in the reporting period:</w:t>
      </w:r>
    </w:p>
    <w:p w14:paraId="1D44134B" w14:textId="77777777" w:rsidR="00EA3851" w:rsidRPr="000F63C4" w:rsidRDefault="00AE1972" w:rsidP="00314F94">
      <w:pPr>
        <w:pStyle w:val="ListParagraph"/>
        <w:numPr>
          <w:ilvl w:val="0"/>
          <w:numId w:val="300"/>
        </w:numPr>
        <w:contextualSpacing w:val="0"/>
        <w:rPr>
          <w:color w:val="000000" w:themeColor="text1"/>
        </w:rPr>
      </w:pPr>
      <w:r w:rsidRPr="000F63C4">
        <w:rPr>
          <w:color w:val="000000" w:themeColor="text1"/>
        </w:rPr>
        <w:t>The Virginia Department of Education (VDOE) supports the alignment and integration of evidence-based practices (EBPs) within the improvement strategies and principal activities as well as assisting districts and their schools to do the same. Improvement in graduation rates continues to require attention to the intersection of attendance, behavior, academics, and social-emotional wellness as well as tiered supports. The following EBPs in practice during the reporting period include:</w:t>
      </w:r>
    </w:p>
    <w:p w14:paraId="7EF4C341" w14:textId="77777777" w:rsidR="00EA3851" w:rsidRPr="000F63C4" w:rsidRDefault="00AE1972" w:rsidP="00314F94">
      <w:pPr>
        <w:pStyle w:val="ListParagraph"/>
        <w:numPr>
          <w:ilvl w:val="1"/>
          <w:numId w:val="278"/>
        </w:numPr>
        <w:contextualSpacing w:val="0"/>
        <w:rPr>
          <w:color w:val="000000" w:themeColor="text1"/>
        </w:rPr>
      </w:pPr>
      <w:r w:rsidRPr="000F63C4">
        <w:rPr>
          <w:color w:val="000000" w:themeColor="text1"/>
        </w:rPr>
        <w:t>Behavior (developed within the framework of Positive Behavior Interventions and Supports (PBIS))</w:t>
      </w:r>
    </w:p>
    <w:p w14:paraId="1A7D73F5" w14:textId="77777777" w:rsidR="00EA3851" w:rsidRDefault="00AE1972" w:rsidP="003345CB">
      <w:pPr>
        <w:pStyle w:val="ListParagraph"/>
        <w:numPr>
          <w:ilvl w:val="0"/>
          <w:numId w:val="43"/>
        </w:numPr>
        <w:ind w:left="2160" w:hanging="187"/>
        <w:contextualSpacing w:val="0"/>
        <w:rPr>
          <w:color w:val="000000" w:themeColor="text1"/>
        </w:rPr>
      </w:pPr>
      <w:r w:rsidRPr="00EA3851">
        <w:rPr>
          <w:color w:val="000000" w:themeColor="text1"/>
        </w:rPr>
        <w:t>Development of a behavior curriculum (schoolwide and classroom-wide expectations and behaviors)</w:t>
      </w:r>
    </w:p>
    <w:p w14:paraId="0BEB6896" w14:textId="77777777" w:rsidR="00EA3851" w:rsidRDefault="00AE1972" w:rsidP="003345CB">
      <w:pPr>
        <w:pStyle w:val="ListParagraph"/>
        <w:numPr>
          <w:ilvl w:val="0"/>
          <w:numId w:val="43"/>
        </w:numPr>
        <w:ind w:left="2160" w:hanging="187"/>
        <w:contextualSpacing w:val="0"/>
        <w:rPr>
          <w:color w:val="000000" w:themeColor="text1"/>
        </w:rPr>
      </w:pPr>
      <w:r w:rsidRPr="00EA3851">
        <w:rPr>
          <w:color w:val="000000" w:themeColor="text1"/>
        </w:rPr>
        <w:t>Explicit instruction of behaviors</w:t>
      </w:r>
    </w:p>
    <w:p w14:paraId="5B0D172D" w14:textId="77777777" w:rsidR="00EA3851" w:rsidRDefault="00AE1972" w:rsidP="003345CB">
      <w:pPr>
        <w:pStyle w:val="ListParagraph"/>
        <w:numPr>
          <w:ilvl w:val="0"/>
          <w:numId w:val="43"/>
        </w:numPr>
        <w:ind w:left="2160" w:hanging="187"/>
        <w:contextualSpacing w:val="0"/>
        <w:rPr>
          <w:color w:val="000000" w:themeColor="text1"/>
        </w:rPr>
      </w:pPr>
      <w:r w:rsidRPr="00EA3851">
        <w:rPr>
          <w:color w:val="000000" w:themeColor="text1"/>
        </w:rPr>
        <w:t>Classroom routines and procedures</w:t>
      </w:r>
    </w:p>
    <w:p w14:paraId="3C9C7930" w14:textId="77777777" w:rsidR="00EA3851" w:rsidRDefault="00AE1972" w:rsidP="003345CB">
      <w:pPr>
        <w:pStyle w:val="ListParagraph"/>
        <w:numPr>
          <w:ilvl w:val="0"/>
          <w:numId w:val="43"/>
        </w:numPr>
        <w:ind w:left="2160" w:hanging="187"/>
        <w:contextualSpacing w:val="0"/>
        <w:rPr>
          <w:color w:val="000000" w:themeColor="text1"/>
        </w:rPr>
      </w:pPr>
      <w:r w:rsidRPr="00EA3851">
        <w:rPr>
          <w:color w:val="000000" w:themeColor="text1"/>
        </w:rPr>
        <w:t>Systems of positive reinforcement</w:t>
      </w:r>
    </w:p>
    <w:p w14:paraId="3CD4CCB3" w14:textId="77777777" w:rsidR="00EA3851" w:rsidRDefault="00AE1972" w:rsidP="003345CB">
      <w:pPr>
        <w:pStyle w:val="ListParagraph"/>
        <w:numPr>
          <w:ilvl w:val="0"/>
          <w:numId w:val="43"/>
        </w:numPr>
        <w:ind w:left="2160" w:hanging="187"/>
        <w:contextualSpacing w:val="0"/>
        <w:rPr>
          <w:color w:val="000000" w:themeColor="text1"/>
        </w:rPr>
      </w:pPr>
      <w:r w:rsidRPr="00EA3851">
        <w:rPr>
          <w:color w:val="000000" w:themeColor="text1"/>
        </w:rPr>
        <w:t>Corrective feedback</w:t>
      </w:r>
    </w:p>
    <w:p w14:paraId="7D061D86" w14:textId="77777777" w:rsidR="00EA3851" w:rsidRDefault="00AE1972" w:rsidP="003345CB">
      <w:pPr>
        <w:pStyle w:val="ListParagraph"/>
        <w:numPr>
          <w:ilvl w:val="0"/>
          <w:numId w:val="43"/>
        </w:numPr>
        <w:ind w:left="2160" w:hanging="187"/>
        <w:contextualSpacing w:val="0"/>
        <w:rPr>
          <w:color w:val="000000" w:themeColor="text1"/>
        </w:rPr>
      </w:pPr>
      <w:r w:rsidRPr="00EA3851">
        <w:rPr>
          <w:color w:val="000000" w:themeColor="text1"/>
        </w:rPr>
        <w:t xml:space="preserve">Check In-Check Out </w:t>
      </w:r>
    </w:p>
    <w:p w14:paraId="1D9FED2B" w14:textId="6E98F544" w:rsidR="00EA3851" w:rsidRPr="00EA3851" w:rsidRDefault="00AE1972" w:rsidP="003345CB">
      <w:pPr>
        <w:pStyle w:val="ListParagraph"/>
        <w:numPr>
          <w:ilvl w:val="0"/>
          <w:numId w:val="43"/>
        </w:numPr>
        <w:ind w:left="2160" w:hanging="187"/>
        <w:contextualSpacing w:val="0"/>
        <w:rPr>
          <w:color w:val="000000" w:themeColor="text1"/>
        </w:rPr>
      </w:pPr>
      <w:r w:rsidRPr="00EA3851">
        <w:rPr>
          <w:color w:val="000000" w:themeColor="text1"/>
        </w:rPr>
        <w:t>Functional behavior assessments and behavior intervention plans</w:t>
      </w:r>
    </w:p>
    <w:p w14:paraId="09DCE2E7" w14:textId="77777777" w:rsidR="00EA3851" w:rsidRPr="000F63C4" w:rsidRDefault="00AE1972" w:rsidP="00314F94">
      <w:pPr>
        <w:pStyle w:val="ListParagraph"/>
        <w:numPr>
          <w:ilvl w:val="1"/>
          <w:numId w:val="278"/>
        </w:numPr>
        <w:contextualSpacing w:val="0"/>
        <w:rPr>
          <w:color w:val="000000" w:themeColor="text1"/>
        </w:rPr>
      </w:pPr>
      <w:r w:rsidRPr="000F63C4">
        <w:rPr>
          <w:color w:val="000000" w:themeColor="text1"/>
        </w:rPr>
        <w:t>Integrated Tier 1 and Advanced Tiers</w:t>
      </w:r>
    </w:p>
    <w:p w14:paraId="659E9B1B"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 xml:space="preserve">Explicit instruction routines </w:t>
      </w:r>
    </w:p>
    <w:p w14:paraId="7FBD166D"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Increasing engagement through opportunities to respond</w:t>
      </w:r>
    </w:p>
    <w:p w14:paraId="0F25B291"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Formative assessment</w:t>
      </w:r>
    </w:p>
    <w:p w14:paraId="1D3725BD" w14:textId="67AF77BC"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lastRenderedPageBreak/>
        <w:t>Scaffolding</w:t>
      </w:r>
    </w:p>
    <w:p w14:paraId="61E968E7"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Behavior-specific praise</w:t>
      </w:r>
    </w:p>
    <w:p w14:paraId="1AFC67D2"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Feedbac</w:t>
      </w:r>
      <w:r w:rsidR="00EA3851" w:rsidRPr="00EA3851">
        <w:rPr>
          <w:color w:val="000000" w:themeColor="text1"/>
        </w:rPr>
        <w:t>k</w:t>
      </w:r>
    </w:p>
    <w:p w14:paraId="397EFEF3"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Strategic Instruction Model</w:t>
      </w:r>
    </w:p>
    <w:p w14:paraId="7E30863B"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Fusion Reading</w:t>
      </w:r>
    </w:p>
    <w:p w14:paraId="173CC0BA"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Concrete-Representational-Abstract (CRA) math instruction</w:t>
      </w:r>
    </w:p>
    <w:p w14:paraId="48F81521" w14:textId="77777777" w:rsidR="00EA3851" w:rsidRPr="00EA3851" w:rsidRDefault="00AE1972" w:rsidP="003345CB">
      <w:pPr>
        <w:pStyle w:val="ListParagraph"/>
        <w:numPr>
          <w:ilvl w:val="0"/>
          <w:numId w:val="44"/>
        </w:numPr>
        <w:ind w:left="2160" w:hanging="187"/>
        <w:contextualSpacing w:val="0"/>
        <w:rPr>
          <w:color w:val="000000" w:themeColor="text1"/>
        </w:rPr>
      </w:pPr>
      <w:r w:rsidRPr="00EA3851">
        <w:rPr>
          <w:color w:val="000000" w:themeColor="text1"/>
        </w:rPr>
        <w:t>Orton-Gillingham (OG) trainings</w:t>
      </w:r>
    </w:p>
    <w:p w14:paraId="5DA152F5" w14:textId="581C1901" w:rsidR="00AE1972" w:rsidRPr="00EA3851" w:rsidRDefault="00AE1972" w:rsidP="003345CB">
      <w:pPr>
        <w:pStyle w:val="ListParagraph"/>
        <w:numPr>
          <w:ilvl w:val="0"/>
          <w:numId w:val="44"/>
        </w:numPr>
        <w:ind w:left="2160" w:hanging="187"/>
        <w:contextualSpacing w:val="0"/>
        <w:rPr>
          <w:b/>
          <w:bCs/>
        </w:rPr>
      </w:pPr>
      <w:r w:rsidRPr="00EA3851">
        <w:rPr>
          <w:color w:val="000000" w:themeColor="text1"/>
        </w:rPr>
        <w:t>Hands-on activities for Algebra I</w:t>
      </w:r>
    </w:p>
    <w:p w14:paraId="22910457" w14:textId="77777777" w:rsidR="00AE1972" w:rsidRPr="00781112" w:rsidRDefault="00AE1972" w:rsidP="00A22EB9">
      <w:pPr>
        <w:rPr>
          <w:rFonts w:cs="Arial"/>
          <w:b/>
          <w:bCs/>
        </w:rPr>
      </w:pPr>
      <w:r w:rsidRPr="00781112">
        <w:rPr>
          <w:rFonts w:cs="Arial"/>
          <w:b/>
          <w:bCs/>
        </w:rPr>
        <w:t>Provide a summary of each evidence-based practices.</w:t>
      </w:r>
    </w:p>
    <w:p w14:paraId="08BE2C90" w14:textId="77777777" w:rsidR="00EA3851" w:rsidRPr="000F63C4" w:rsidRDefault="00AE1972" w:rsidP="00314F94">
      <w:pPr>
        <w:pStyle w:val="ListParagraph"/>
        <w:numPr>
          <w:ilvl w:val="0"/>
          <w:numId w:val="301"/>
        </w:numPr>
        <w:rPr>
          <w:color w:val="000000" w:themeColor="text1"/>
        </w:rPr>
      </w:pPr>
      <w:r w:rsidRPr="000F63C4">
        <w:rPr>
          <w:color w:val="000000" w:themeColor="text1"/>
        </w:rPr>
        <w:t xml:space="preserve">The Virginia Tiered Systems of Supports (VTSS) provides explicit training and coaching through New Team Training (behavior) for school teams to implement a behavioral curriculum with selected evidence-based practices (EBPs) that align with the Virginia Department of Education (VDOE) Student Code of Conduct. The Tiered Fidelity Inventory (TFI) is used as a roadmap for successful development of teams and systems for the use of EBPs within the framework. Both school-wide and class-wide positive expectations are defined according to the values of the school and explicitly taught through lesson plans crafted by the behavioral team and their coach. Within this structure, methods to support positive behavior </w:t>
      </w:r>
      <w:proofErr w:type="gramStart"/>
      <w:r w:rsidRPr="000F63C4">
        <w:rPr>
          <w:color w:val="000000" w:themeColor="text1"/>
        </w:rPr>
        <w:t>through the use of</w:t>
      </w:r>
      <w:proofErr w:type="gramEnd"/>
      <w:r w:rsidRPr="000F63C4">
        <w:rPr>
          <w:color w:val="000000" w:themeColor="text1"/>
        </w:rPr>
        <w:t xml:space="preserve"> routines, procedures, and corrective feedback are encouraged. Behaviors are defined and clarified so that there is an equitable process for managing behavior. Once a strong Tier 1 foundation is established (roughly determined by a score of 70% on Tier 1 of the TFI in addition to other indicators), the practice of Check In-Check Out is offered to students who have not responded to the Tier 1 supports. </w:t>
      </w:r>
      <w:proofErr w:type="gramStart"/>
      <w:r w:rsidRPr="000F63C4">
        <w:rPr>
          <w:color w:val="000000" w:themeColor="text1"/>
        </w:rPr>
        <w:t>Through the use of</w:t>
      </w:r>
      <w:proofErr w:type="gramEnd"/>
      <w:r w:rsidRPr="000F63C4">
        <w:rPr>
          <w:color w:val="000000" w:themeColor="text1"/>
        </w:rPr>
        <w:t xml:space="preserve"> customized intervention forms, students monitor their identified progress and receive feedback throughout the day from their teachers. For students experiencing more problematic behaviors, functional behavior assessments with ensuing plans are offered.</w:t>
      </w:r>
    </w:p>
    <w:p w14:paraId="5356F679" w14:textId="77777777" w:rsidR="00EA3851" w:rsidRPr="000F63C4" w:rsidRDefault="00AE1972" w:rsidP="00314F94">
      <w:pPr>
        <w:pStyle w:val="ListParagraph"/>
        <w:numPr>
          <w:ilvl w:val="1"/>
          <w:numId w:val="301"/>
        </w:numPr>
        <w:rPr>
          <w:color w:val="000000" w:themeColor="text1"/>
        </w:rPr>
      </w:pPr>
      <w:r w:rsidRPr="000F63C4">
        <w:rPr>
          <w:color w:val="000000" w:themeColor="text1"/>
        </w:rPr>
        <w:t>Integrated Tier 1 and Advanced Tiers</w:t>
      </w:r>
    </w:p>
    <w:p w14:paraId="5F566E5D"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 xml:space="preserve">Explicit instruction routines </w:t>
      </w:r>
    </w:p>
    <w:p w14:paraId="1BBF7AEF"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Increasing engagement through opportunities to respond</w:t>
      </w:r>
    </w:p>
    <w:p w14:paraId="08DD3E80" w14:textId="3CF19A76"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Formative assessment</w:t>
      </w:r>
    </w:p>
    <w:p w14:paraId="0896DE0C"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 xml:space="preserve">Scaffolding </w:t>
      </w:r>
    </w:p>
    <w:p w14:paraId="553AE63C"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Behavior-specific praise</w:t>
      </w:r>
    </w:p>
    <w:p w14:paraId="17494374"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Feedback</w:t>
      </w:r>
    </w:p>
    <w:p w14:paraId="6CB53AEF"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Strategic Instruction Model</w:t>
      </w:r>
    </w:p>
    <w:p w14:paraId="516158DA"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lastRenderedPageBreak/>
        <w:t>Fusion Reading</w:t>
      </w:r>
    </w:p>
    <w:p w14:paraId="5B98E600"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 xml:space="preserve">Concrete-Representational-Abstract (CRA) math instruction </w:t>
      </w:r>
    </w:p>
    <w:p w14:paraId="0DEF02E0" w14:textId="77777777"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Orton-Gillingham (OG) trainings</w:t>
      </w:r>
    </w:p>
    <w:p w14:paraId="03BE976D" w14:textId="3E66EF16" w:rsidR="00EA3851" w:rsidRPr="00EA3851" w:rsidRDefault="00AE1972" w:rsidP="003345CB">
      <w:pPr>
        <w:pStyle w:val="ListParagraph"/>
        <w:numPr>
          <w:ilvl w:val="0"/>
          <w:numId w:val="45"/>
        </w:numPr>
        <w:ind w:left="2160" w:hanging="187"/>
        <w:contextualSpacing w:val="0"/>
        <w:rPr>
          <w:color w:val="000000" w:themeColor="text1"/>
        </w:rPr>
      </w:pPr>
      <w:r w:rsidRPr="00EA3851">
        <w:rPr>
          <w:color w:val="000000" w:themeColor="text1"/>
        </w:rPr>
        <w:t>Hands-on activities for Algebra I</w:t>
      </w:r>
    </w:p>
    <w:p w14:paraId="0D22E8DF" w14:textId="77777777" w:rsidR="00EA3851" w:rsidRDefault="00AE1972" w:rsidP="003345CB">
      <w:pPr>
        <w:ind w:left="720"/>
        <w:rPr>
          <w:color w:val="000000" w:themeColor="text1"/>
        </w:rPr>
      </w:pPr>
      <w:r w:rsidRPr="00781112">
        <w:rPr>
          <w:color w:val="000000" w:themeColor="text1"/>
        </w:rPr>
        <w:t>The practices of explicit instruction, engagement, opportunities to respond, formative assessment, behavior-specific praise, and feedback have been widely recognized as high-impact and high-leverage practices for all students, including students with disabilities and students impacted by trauma. Strategic Instruction Model, Fusion Reading, and Orton-Gillingham (OG) trainings embed the previously mentioned practices within a language-based, programmatic format. Similarly, Concrete-Representational-Abstract (CRA) math instruction and hands-on activities for Algebra I apply these practices within math.</w:t>
      </w:r>
    </w:p>
    <w:p w14:paraId="49340550" w14:textId="77777777" w:rsidR="00EA3851" w:rsidRDefault="00AE1972" w:rsidP="003345CB">
      <w:pPr>
        <w:ind w:left="720"/>
        <w:rPr>
          <w:color w:val="000000" w:themeColor="text1"/>
        </w:rPr>
      </w:pPr>
      <w:r w:rsidRPr="00781112">
        <w:rPr>
          <w:color w:val="000000" w:themeColor="text1"/>
        </w:rPr>
        <w:t>The VTSS project recognizes the need for strong Tier 2 and Tier 3 interventions that are systematically connected to core instruction and implemented with fidelity in both academics and behavior to close the achievement gap for struggling students (Fuchs, Fuchs &amp; Compton, 2012). The EBPs listed above have adaptations that are within advanced tiers for increasing the level or intensity of the practice. For example, a well-designed Tier 2 intervention would include an increased number of opportunities to respond.</w:t>
      </w:r>
    </w:p>
    <w:p w14:paraId="79F66E5E" w14:textId="416224FE" w:rsidR="00AE1972" w:rsidRPr="00EA3851" w:rsidRDefault="00AE1972" w:rsidP="003345CB">
      <w:pPr>
        <w:ind w:left="720"/>
        <w:rPr>
          <w:b/>
          <w:bCs/>
        </w:rPr>
      </w:pPr>
      <w:r w:rsidRPr="00781112">
        <w:rPr>
          <w:color w:val="000000" w:themeColor="text1"/>
        </w:rPr>
        <w:t>Citation: Fuchs, D., Fuchs. L., &amp; Compton, D. L. (2012). Smart RTI: A next-generation approach to multilevel prevention. Exceptional Children, 73, 263-279.</w:t>
      </w:r>
    </w:p>
    <w:p w14:paraId="7DF513C4" w14:textId="5FBB7389" w:rsidR="00AE1972" w:rsidRPr="00781112" w:rsidRDefault="00AE1972" w:rsidP="00A22EB9">
      <w:pPr>
        <w:rPr>
          <w:rFonts w:cs="Arial"/>
          <w:b/>
          <w:bCs/>
        </w:rPr>
      </w:pPr>
      <w:bookmarkStart w:id="126"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w:t>
      </w:r>
      <w:proofErr w:type="gramStart"/>
      <w:r w:rsidRPr="00781112">
        <w:rPr>
          <w:rFonts w:cs="Arial"/>
          <w:b/>
          <w:bCs/>
        </w:rPr>
        <w:t>e.g.</w:t>
      </w:r>
      <w:proofErr w:type="gramEnd"/>
      <w:r w:rsidRPr="00781112">
        <w:rPr>
          <w:rFonts w:cs="Arial"/>
          <w:b/>
          <w:bCs/>
        </w:rPr>
        <w:t xml:space="preserve"> behaviors), parent/caregiver outcomes, and/or child /outcomes. </w:t>
      </w:r>
    </w:p>
    <w:bookmarkEnd w:id="126"/>
    <w:p w14:paraId="6E497301" w14:textId="77777777" w:rsidR="00EA3851" w:rsidRPr="000F63C4" w:rsidRDefault="00AE1972" w:rsidP="00314F94">
      <w:pPr>
        <w:pStyle w:val="ListParagraph"/>
        <w:numPr>
          <w:ilvl w:val="0"/>
          <w:numId w:val="302"/>
        </w:numPr>
        <w:rPr>
          <w:color w:val="000000" w:themeColor="text1"/>
        </w:rPr>
      </w:pPr>
      <w:r w:rsidRPr="000F63C4">
        <w:rPr>
          <w:color w:val="000000" w:themeColor="text1"/>
        </w:rPr>
        <w:t xml:space="preserve">The Cascading Model outlines the structure by which outcomes are improved for children and families. Collaboration with national centers such as the National Implementation Research Network (NIRN); Positive Behavioral Interventions and Supports (PBIS); and Collaborative for Academic, Social, and Emotional Learning (CASEL) make visible the research and guidance utilized by states, districts, and schools and provide “roadmaps” for support. The Virginia Department of Education (VDOE) then applies this knowledge not only by gaining political support but also </w:t>
      </w:r>
      <w:proofErr w:type="gramStart"/>
      <w:r w:rsidRPr="000F63C4">
        <w:rPr>
          <w:color w:val="000000" w:themeColor="text1"/>
        </w:rPr>
        <w:t>through the use of</w:t>
      </w:r>
      <w:proofErr w:type="gramEnd"/>
      <w:r w:rsidRPr="000F63C4">
        <w:rPr>
          <w:color w:val="000000" w:themeColor="text1"/>
        </w:rPr>
        <w:t xml:space="preserve"> a state leadership team that is responsible for both horizontal alignment across the agency as well as vertical support to regions, districts, and schools. Both state and regional support are provided through the Virginia Tiered Systems of Supports Research and Implementation Center (VTSS-RIC) and VDOE Training and Technical Assistance Centers (TTACs) that are funded for more granular support through training and coaching. These statewide coaches work directly with districts and schools to build competencies to implement and monitor the “way of work” as outlined by both the national centers and the VDOE; subsequently, support is provided to students and families by the districts.</w:t>
      </w:r>
    </w:p>
    <w:p w14:paraId="53C61E95" w14:textId="77777777" w:rsidR="00EA3851" w:rsidRDefault="00AE1972" w:rsidP="003345CB">
      <w:pPr>
        <w:ind w:left="720"/>
        <w:rPr>
          <w:color w:val="000000" w:themeColor="text1"/>
        </w:rPr>
      </w:pPr>
      <w:r w:rsidRPr="00781112">
        <w:rPr>
          <w:color w:val="000000" w:themeColor="text1"/>
        </w:rPr>
        <w:lastRenderedPageBreak/>
        <w:t xml:space="preserve">The selected evidence-based practices that are coached need to be a usable innovation </w:t>
      </w:r>
      <w:proofErr w:type="gramStart"/>
      <w:r w:rsidRPr="00781112">
        <w:rPr>
          <w:color w:val="000000" w:themeColor="text1"/>
        </w:rPr>
        <w:t>in order to</w:t>
      </w:r>
      <w:proofErr w:type="gramEnd"/>
      <w:r w:rsidRPr="00781112">
        <w:rPr>
          <w:color w:val="000000" w:themeColor="text1"/>
        </w:rPr>
        <w:t xml:space="preserve"> impact the </w:t>
      </w:r>
      <w:proofErr w:type="spellStart"/>
      <w:r w:rsidRPr="00781112">
        <w:rPr>
          <w:color w:val="000000" w:themeColor="text1"/>
        </w:rPr>
        <w:t>SiMR</w:t>
      </w:r>
      <w:proofErr w:type="spellEnd"/>
      <w:r w:rsidRPr="00781112">
        <w:rPr>
          <w:color w:val="000000" w:themeColor="text1"/>
        </w:rPr>
        <w:t>. As defined by NIRN, criteria for a usable innovation include clear description, essential functions, operational definitions of the functions, and a practical way to assess the performance of the practitioner. A procedure that will be enhanced by VTSS in upcoming months is the use of the Hexagon Tool (as provided by NIRN) and/or the Evidence Based Practice Selection Tool (as provided by VTSS). The use of a selection tool, either during adoption or to review existing practices, assists with the definition and functionality of the innovation. Another procedure at both the district and school level is the reinforcement of the use of a variety of resource maps, assessment maps, and/or defining of tiers and initiatives. This type of mapping provides clarity around the innovation as well as the data and systems for support. When practices are introduced in VTSS training, they are accompanied by an understanding of the research and value of the practice as well as the “looks like, sounds like” method for delivery (operational definition).</w:t>
      </w:r>
    </w:p>
    <w:p w14:paraId="2551F371" w14:textId="77777777" w:rsidR="00EA3851" w:rsidRDefault="00AE1972" w:rsidP="003345CB">
      <w:pPr>
        <w:ind w:left="720"/>
        <w:rPr>
          <w:color w:val="000000" w:themeColor="text1"/>
        </w:rPr>
      </w:pPr>
      <w:r w:rsidRPr="00781112">
        <w:rPr>
          <w:color w:val="000000" w:themeColor="text1"/>
        </w:rPr>
        <w:t>The Tiered Fidelity Inventory (TFI) and VTSS Academic-Tiered Fidelity Inventory TFI (A-TFI) measure the core features (teaming, implementation, and evaluation) of implementing tiered systems of supports for behavior and academics at the school level. Fidelity assessments are essential for analyzing and interpreting outcomes. Without fidelity, we cannot be sure that each practice or innovation was used as intended, that outcomes can be attributed to the use of the practice/</w:t>
      </w:r>
      <w:proofErr w:type="gramStart"/>
      <w:r w:rsidRPr="00781112">
        <w:rPr>
          <w:color w:val="000000" w:themeColor="text1"/>
        </w:rPr>
        <w:t>innovation, or</w:t>
      </w:r>
      <w:proofErr w:type="gramEnd"/>
      <w:r w:rsidRPr="00781112">
        <w:rPr>
          <w:color w:val="000000" w:themeColor="text1"/>
        </w:rPr>
        <w:t xml:space="preserve"> know where to improve. Fidelity assessments also </w:t>
      </w:r>
      <w:proofErr w:type="gramStart"/>
      <w:r w:rsidRPr="00781112">
        <w:rPr>
          <w:color w:val="000000" w:themeColor="text1"/>
        </w:rPr>
        <w:t>are a reflection of</w:t>
      </w:r>
      <w:proofErr w:type="gramEnd"/>
      <w:r w:rsidRPr="00781112">
        <w:rPr>
          <w:color w:val="000000" w:themeColor="text1"/>
        </w:rPr>
        <w:t xml:space="preserve"> how well the drivers of Competency, Organization, and Leadership are working to support districts and teachers in the usable innovations.</w:t>
      </w:r>
    </w:p>
    <w:p w14:paraId="01C5581B" w14:textId="77777777" w:rsidR="00EA3851" w:rsidRDefault="00AE1972" w:rsidP="003345CB">
      <w:pPr>
        <w:ind w:left="720"/>
        <w:rPr>
          <w:color w:val="000000" w:themeColor="text1"/>
        </w:rPr>
      </w:pPr>
      <w:r w:rsidRPr="00781112">
        <w:rPr>
          <w:color w:val="000000" w:themeColor="text1"/>
        </w:rPr>
        <w:t>At Tier 1, Feature 1.4, of both inventories address teaching expectations, strategic selection of practices, and lesson design. Both behavioral and academic competencies are specifically planned, taught, and measured. Lesson design ensures criteria for success and task analysis of skills that impacts outcomes not only for general education students but also students with disabilities. Feature 1.8 emphasizes the quality core instruction of practices such as routines and procedures, feedback, explicit instruction, and scaffolding. Walkthrough data is stated as evidence of fidelity. Item 1.9 describes the positive feedback and acknowledgement delivered by staff as well as student involvement in their own learning goals and metacognitive reflection on learning.</w:t>
      </w:r>
    </w:p>
    <w:p w14:paraId="7F45F45B" w14:textId="77777777" w:rsidR="00EA3851" w:rsidRDefault="00AE1972" w:rsidP="003345CB">
      <w:pPr>
        <w:ind w:left="720"/>
        <w:rPr>
          <w:color w:val="000000" w:themeColor="text1"/>
        </w:rPr>
      </w:pPr>
      <w:r w:rsidRPr="00781112">
        <w:rPr>
          <w:color w:val="000000" w:themeColor="text1"/>
        </w:rPr>
        <w:t xml:space="preserve">The TFI and A-TFI are similarly used to measure the fidelity of Advanced Tiers. The level of use at Advanced Tiers indicates the degree to which resources are allocated across the continuum. This resource allocation and the need for increased support for some students impacts the </w:t>
      </w:r>
      <w:proofErr w:type="spellStart"/>
      <w:r w:rsidRPr="00781112">
        <w:rPr>
          <w:color w:val="000000" w:themeColor="text1"/>
        </w:rPr>
        <w:t>SiMR</w:t>
      </w:r>
      <w:proofErr w:type="spellEnd"/>
      <w:r w:rsidRPr="00781112">
        <w:rPr>
          <w:color w:val="000000" w:themeColor="text1"/>
        </w:rPr>
        <w:t xml:space="preserve"> goal by ensuring that all students, including those with disabilities, have the necessary supports to achieve the competencies for graduation.</w:t>
      </w:r>
    </w:p>
    <w:p w14:paraId="43C06488" w14:textId="08AA5435" w:rsidR="00AE1972" w:rsidRPr="00EA3851" w:rsidRDefault="00AE1972" w:rsidP="003345CB">
      <w:pPr>
        <w:ind w:left="720"/>
        <w:rPr>
          <w:b/>
          <w:bCs/>
        </w:rPr>
      </w:pPr>
      <w:r w:rsidRPr="00781112">
        <w:rPr>
          <w:color w:val="000000" w:themeColor="text1"/>
        </w:rPr>
        <w:t xml:space="preserve">The use of evidence-based practices that are supported by effective responses have been described as “protective factors” for students. Examples of protective factors are academic competencies, interpersonal skills, and self-management skills, which are all integrated into the above-mentioned practices. Examples of effective responses that transpire across the cascade mentioned earlier are tiered systems of support, coaching and professional development, prevention-based behavioral sciences, and high-fidelity implementation. Hence, </w:t>
      </w:r>
      <w:r w:rsidRPr="00781112">
        <w:rPr>
          <w:color w:val="000000" w:themeColor="text1"/>
        </w:rPr>
        <w:lastRenderedPageBreak/>
        <w:t xml:space="preserve">the </w:t>
      </w:r>
      <w:proofErr w:type="spellStart"/>
      <w:r w:rsidRPr="00781112">
        <w:rPr>
          <w:color w:val="000000" w:themeColor="text1"/>
        </w:rPr>
        <w:t>SiMR</w:t>
      </w:r>
      <w:proofErr w:type="spellEnd"/>
      <w:r w:rsidRPr="00781112">
        <w:rPr>
          <w:color w:val="000000" w:themeColor="text1"/>
        </w:rPr>
        <w:t xml:space="preserve"> is impacted not only by effective practices but the procedures in place that foster an effective response to those at risk for graduation.</w:t>
      </w:r>
    </w:p>
    <w:p w14:paraId="46DD8115" w14:textId="515AE38F" w:rsidR="00AE1972" w:rsidRPr="00781112" w:rsidRDefault="00AE1972" w:rsidP="00A22EB9">
      <w:pPr>
        <w:rPr>
          <w:rFonts w:cs="Arial"/>
          <w:b/>
          <w:bCs/>
        </w:rPr>
      </w:pPr>
      <w:r w:rsidRPr="00781112">
        <w:rPr>
          <w:rFonts w:cs="Arial"/>
          <w:b/>
          <w:bCs/>
        </w:rPr>
        <w:t>Describe the data collected to monitor fidelity of implementation and to assess practice change.</w:t>
      </w:r>
    </w:p>
    <w:p w14:paraId="2D27473F" w14:textId="77777777" w:rsidR="00EA3851" w:rsidRPr="000F63C4" w:rsidRDefault="00AE1972" w:rsidP="00314F94">
      <w:pPr>
        <w:pStyle w:val="ListParagraph"/>
        <w:numPr>
          <w:ilvl w:val="0"/>
          <w:numId w:val="303"/>
        </w:numPr>
        <w:rPr>
          <w:color w:val="000000" w:themeColor="text1"/>
        </w:rPr>
      </w:pPr>
      <w:r w:rsidRPr="000F63C4">
        <w:rPr>
          <w:color w:val="000000" w:themeColor="text1"/>
        </w:rPr>
        <w:t xml:space="preserve">Congruent with the SSIP, Virginia Tiered Systems of Supports (VTSS) builds the capacity of the Virginia Department of Education (VDOE) to implement systems change at the SEA, district, and school levels. The VTSS project promotes a positive and restorative approach to student behavior and school climate and increased academic performance. The VTSS provides an aligned, contextualized support for the SSIP and sustainable improvements in outcomes for students with disabilities in Virginia by increasing the capacity of districts to employ effective and efficient strategies for academic achievement, reducing the number of discipline infractions, and addressing chronic absenteeism </w:t>
      </w:r>
      <w:proofErr w:type="gramStart"/>
      <w:r w:rsidRPr="000F63C4">
        <w:rPr>
          <w:color w:val="000000" w:themeColor="text1"/>
        </w:rPr>
        <w:t>in order to</w:t>
      </w:r>
      <w:proofErr w:type="gramEnd"/>
      <w:r w:rsidRPr="000F63C4">
        <w:rPr>
          <w:color w:val="000000" w:themeColor="text1"/>
        </w:rPr>
        <w:t xml:space="preserve"> improve graduation rates for students with disabilities, as measured by the </w:t>
      </w:r>
      <w:proofErr w:type="spellStart"/>
      <w:r w:rsidRPr="000F63C4">
        <w:rPr>
          <w:color w:val="000000" w:themeColor="text1"/>
        </w:rPr>
        <w:t>SiMR</w:t>
      </w:r>
      <w:proofErr w:type="spellEnd"/>
      <w:r w:rsidRPr="000F63C4">
        <w:rPr>
          <w:color w:val="000000" w:themeColor="text1"/>
        </w:rPr>
        <w:t>.</w:t>
      </w:r>
    </w:p>
    <w:p w14:paraId="550C1324" w14:textId="77777777" w:rsidR="00EA3851" w:rsidRDefault="00AE1972" w:rsidP="00426122">
      <w:pPr>
        <w:ind w:left="720"/>
        <w:rPr>
          <w:color w:val="000000" w:themeColor="text1"/>
        </w:rPr>
      </w:pPr>
      <w:r w:rsidRPr="00781112">
        <w:rPr>
          <w:color w:val="000000" w:themeColor="text1"/>
        </w:rPr>
        <w:t xml:space="preserve">To assess the effectiveness of the implementation plan, data are collected, analyzed, and reported back to participants (state, district, and school leadership teams) </w:t>
      </w:r>
      <w:proofErr w:type="gramStart"/>
      <w:r w:rsidRPr="00781112">
        <w:rPr>
          <w:color w:val="000000" w:themeColor="text1"/>
        </w:rPr>
        <w:t>in order to</w:t>
      </w:r>
      <w:proofErr w:type="gramEnd"/>
      <w:r w:rsidRPr="00781112">
        <w:rPr>
          <w:color w:val="000000" w:themeColor="text1"/>
        </w:rPr>
        <w:t xml:space="preserve"> monitor, refine, and improve the processes and outcomes necessary to address emerging needs or challenges associated with project implementation. Districts and schools participating in VTSS submit data on fidelity of implementation (e.g., District Capacity Assessment for capacity of districts to support VTSS, Tiered Fidelity Inventory for school fidelity) during Midyear data collection period</w:t>
      </w:r>
      <w:r w:rsidR="00EA3851">
        <w:rPr>
          <w:color w:val="000000" w:themeColor="text1"/>
        </w:rPr>
        <w:t>.</w:t>
      </w:r>
    </w:p>
    <w:p w14:paraId="0359AF26" w14:textId="22A107B7" w:rsidR="00EA3851" w:rsidRDefault="00AE1972" w:rsidP="00426122">
      <w:pPr>
        <w:ind w:left="720"/>
        <w:rPr>
          <w:color w:val="000000" w:themeColor="text1"/>
        </w:rPr>
      </w:pPr>
      <w:r w:rsidRPr="00781112">
        <w:rPr>
          <w:color w:val="000000" w:themeColor="text1"/>
        </w:rPr>
        <w:t>The District Capacity Assessment (DCA) measures the capacity of a district to facilitate in building-level implementation including the systems, activities, and resources that are necessary for schools to successfully adopt and to sustain VTSS. The specific purposes of the DCA are to (</w:t>
      </w:r>
      <w:proofErr w:type="spellStart"/>
      <w:r w:rsidRPr="00781112">
        <w:rPr>
          <w:color w:val="000000" w:themeColor="text1"/>
        </w:rPr>
        <w:t>i</w:t>
      </w:r>
      <w:proofErr w:type="spellEnd"/>
      <w:r w:rsidRPr="00781112">
        <w:rPr>
          <w:color w:val="000000" w:themeColor="text1"/>
        </w:rPr>
        <w:t>) provide a District Implementation Team (DIT) with a structured process for the development of a District Capacity Action Plan; (ii) provide a DIT with information to monitor progress towards district, regional, and state capacity building goals; (iii) support a common infrastructure for the implementation of Effective Innovations to achieve desired outcomes for students; (iv) serve as a venue to orient new DIT members to strengths and needs of the district; and (v) provide district, regional, and state leadership with a consistent measure of capacity for implementation and sustainment for Effective Innovations in districts. A DCA score of 60% or above is identified as the acquisition of district capacity, and a score of 80% or above is identified as fluency in district capacity.</w:t>
      </w:r>
    </w:p>
    <w:p w14:paraId="019D774A" w14:textId="77777777" w:rsidR="00EA3851" w:rsidRDefault="00AE1972" w:rsidP="00426122">
      <w:pPr>
        <w:ind w:left="720"/>
        <w:rPr>
          <w:color w:val="000000" w:themeColor="text1"/>
        </w:rPr>
      </w:pPr>
      <w:r w:rsidRPr="00781112">
        <w:rPr>
          <w:color w:val="000000" w:themeColor="text1"/>
        </w:rPr>
        <w:t xml:space="preserve">The Tiered Fidelity Inventory (TFI) provides valid, reliable, and efficient measures to the extent to which school personnel are applying the core features of Universal School-Wide Positive Behavioral Interventions and Supports (SWPBIS) Features across the three tiers. The TFI is divided into three sections (Tier 1: Universal SWPBIS Features, Tier 2: Targeted SWPBIS Features, and Tier 3: Intensive SWPBIS Features) that can be used separately or in combination to assess the extent that core features of SWPBIS are in place. The purpose of the TFI is to provide one efficient, yet valid and reliable, instrument that can be used over time to guide both implementation and sustained use of SWPBIS. The TFI may be used: (a) for an initial assessment to determine if a school is using (or needs) SWPBIS; (b) as a guide for </w:t>
      </w:r>
      <w:r w:rsidRPr="00781112">
        <w:rPr>
          <w:color w:val="000000" w:themeColor="text1"/>
        </w:rPr>
        <w:lastRenderedPageBreak/>
        <w:t>implementation for Tier 1, Tier 2, and Tier 3 practices; (c) as an index of sustained SWPBIS implementation; or (d) as a metric for identifying schools for recognition within their state implementation efforts. A TFI score of 70% or above is identified as implementing SWPBIS at each tier and, overall, with fidelity.</w:t>
      </w:r>
    </w:p>
    <w:p w14:paraId="0E123275" w14:textId="77777777" w:rsidR="00EA3851" w:rsidRDefault="00AE1972" w:rsidP="00426122">
      <w:pPr>
        <w:ind w:left="720"/>
        <w:rPr>
          <w:color w:val="000000" w:themeColor="text1"/>
        </w:rPr>
      </w:pPr>
      <w:r w:rsidRPr="00781112">
        <w:rPr>
          <w:color w:val="000000" w:themeColor="text1"/>
        </w:rPr>
        <w:t>Additionally, stakeholder input at the district and school levels regarding the effectiveness of VTSS. District instruments include Family Engagement, Level of Satisfaction, and Value of Resources surveys that are collected during End-of-Year. Annually, VTSS administers the VTSS Perceptions of Impact survey to measure the perceptions of school administrators and staff on VTSS implementation and its impact on student outcomes. Professional development evaluations assess the events for components of high-quality professional learning, session content, and opportunities to apply learning in their districts and schools. Event Log data are continuously collected to monitor ongoing professional learning and coaching supports provided to VTSS districts and schools. Data collected in the Event Log include the number of training and technical assistance events along with specific event targets including phase of implementation, essential components, and targeted behavior and academic outcomes. This allows VTSS to assess implementation fidelity and practice change.</w:t>
      </w:r>
    </w:p>
    <w:p w14:paraId="02E1FDC8" w14:textId="77777777" w:rsidR="00EA3851" w:rsidRDefault="00AE1972" w:rsidP="00426122">
      <w:pPr>
        <w:ind w:left="720"/>
        <w:rPr>
          <w:color w:val="000000" w:themeColor="text1"/>
        </w:rPr>
      </w:pPr>
      <w:r w:rsidRPr="00781112">
        <w:rPr>
          <w:color w:val="000000" w:themeColor="text1"/>
        </w:rPr>
        <w:t>Performance data on student academic and behavioral outcomes, including attendance and graduation rates, are collected to assess the impact of implementation fidelity and practice change on student outcomes. During the End-of-Year data collection period, VTSS collects school discipline data (office discipline referrals, in-school suspensions, and out-of-school suspensions), which are disaggregated by race/ethnicity and student disability type. Student outcome data are submitted to the State (e.g., student assessments, graduation numbers, attendance, etc.) at the end of each academic year. Data from these measures are collected annually when made available by the State.</w:t>
      </w:r>
    </w:p>
    <w:p w14:paraId="3D905B01" w14:textId="32D19E20" w:rsidR="00AE1972" w:rsidRPr="00EA3851" w:rsidRDefault="00AE1972" w:rsidP="00426122">
      <w:pPr>
        <w:ind w:left="720"/>
        <w:rPr>
          <w:b/>
          <w:bCs/>
        </w:rPr>
      </w:pPr>
      <w:r w:rsidRPr="00781112">
        <w:rPr>
          <w:color w:val="000000" w:themeColor="text1"/>
        </w:rPr>
        <w:t>Using a “discrepancy evaluation model” to assess the gap between “ideal” and “real” as the foundation for the evaluation procedures, both formative and summative data are collected and analyzed. The data, once collected, are analyzed at the state, district, and school-</w:t>
      </w:r>
      <w:proofErr w:type="gramStart"/>
      <w:r w:rsidRPr="00781112">
        <w:rPr>
          <w:color w:val="000000" w:themeColor="text1"/>
        </w:rPr>
        <w:t>levels</w:t>
      </w:r>
      <w:proofErr w:type="gramEnd"/>
      <w:r w:rsidRPr="00781112">
        <w:rPr>
          <w:color w:val="000000" w:themeColor="text1"/>
        </w:rPr>
        <w:t xml:space="preserve"> and are shared with state, district, and school leadership teams as well as VTSS coaches to assure that districts and schools receive efficient and effective supports. Student academic and behavioral outcomes are disaggregated by race/ethnicity and student disability type to assess outcomes for high-need students. Data collected correlating fidelity with behavior and academic outcomes provide insight into the relationship between intervention fidelity and outcomes. Longitudinal data are used to document trends in the improvement of student outcomes and provide evidence as to the impact of the VTSS elements. Descriptive statistics are used in the analysis of survey data, including session evaluation data as well as surveys that seek to inform how elements of VTSS are being received and implemented in schools and districts. Qualitative data from professional development evaluations and event logs are examined to provide guidance in the refinement of the VTSS framework and implementation plan.</w:t>
      </w:r>
    </w:p>
    <w:p w14:paraId="7A09B895" w14:textId="1AAA50A4" w:rsidR="00AE1972" w:rsidRPr="00781112" w:rsidRDefault="00C87801" w:rsidP="00A22EB9">
      <w:pPr>
        <w:rPr>
          <w:rFonts w:cs="Arial"/>
          <w:b/>
          <w:bCs/>
        </w:rPr>
      </w:pPr>
      <w:r w:rsidRPr="00C87801">
        <w:rPr>
          <w:rFonts w:cs="Arial"/>
          <w:b/>
          <w:bCs/>
        </w:rPr>
        <w:t>Describe any additional data (</w:t>
      </w:r>
      <w:proofErr w:type="gramStart"/>
      <w:r w:rsidRPr="00C87801">
        <w:rPr>
          <w:rFonts w:cs="Arial"/>
          <w:b/>
          <w:bCs/>
        </w:rPr>
        <w:t>e.g.</w:t>
      </w:r>
      <w:proofErr w:type="gramEnd"/>
      <w:r w:rsidRPr="00C87801">
        <w:rPr>
          <w:rFonts w:cs="Arial"/>
          <w:b/>
          <w:bCs/>
        </w:rPr>
        <w:t xml:space="preserve"> progress monitoring) that was collected that supports the decision to continue the ongoing use of each evidence-based practice.</w:t>
      </w:r>
    </w:p>
    <w:p w14:paraId="36778881" w14:textId="77777777" w:rsidR="00EA3851" w:rsidRPr="000F63C4" w:rsidRDefault="00AE1972" w:rsidP="00314F94">
      <w:pPr>
        <w:pStyle w:val="ListParagraph"/>
        <w:numPr>
          <w:ilvl w:val="0"/>
          <w:numId w:val="304"/>
        </w:numPr>
        <w:rPr>
          <w:color w:val="000000" w:themeColor="text1"/>
        </w:rPr>
      </w:pPr>
      <w:r w:rsidRPr="000F63C4">
        <w:rPr>
          <w:color w:val="000000" w:themeColor="text1"/>
        </w:rPr>
        <w:lastRenderedPageBreak/>
        <w:t>In the Virginia Tiered Systems of Supports (VTSS), districts and schools use a data-informed, decision-making process to select each evidence-based practice (EBP) and determine its ongoing use. Specific data collected by each district and school varies based on the EBPs selected. School leadership teams, along with district team members who support them, build an integrated and aligned data system that allows “real time” access to data necessary for effective and efficient decision-making. Teams build routines to use data from existing systems as necessary for decision-making, including analyzing EBP implementation fidelity, root causes, and outcome data to evaluate implementation progress. When possible, district and school teams identify opportunities for enhancing the schoolwide system for aggregating data to inform instructional decisions.</w:t>
      </w:r>
    </w:p>
    <w:p w14:paraId="1C12C4CB" w14:textId="22BC9162" w:rsidR="00C87801" w:rsidRDefault="00AE1972" w:rsidP="00426122">
      <w:pPr>
        <w:ind w:left="720"/>
        <w:rPr>
          <w:color w:val="000000" w:themeColor="text1"/>
        </w:rPr>
      </w:pPr>
      <w:r w:rsidRPr="00781112">
        <w:rPr>
          <w:color w:val="000000" w:themeColor="text1"/>
        </w:rPr>
        <w:t xml:space="preserve">Examples of behavior data that may be used by schools include office discipline referrals, suspensions, expulsions, attendance, nursing/counselor visits, minor incident reports, at-risk factors, and/or fidelity data. Examples of academic data that may be used by schools include universal screening data, benchmark data, common formative assessments (classroom performance), progress monitoring data, historical state assessment results (Virginia Standards of Learning), early warning systems, graduation data, and/or fidelity data. Examples of equity data that may be used by schools include disaggregated (by gender, race/ethnicity, socio-economic status, disability, and disability type) behavior and academic data; dropout rates; graduation rates and types of diplomas (standard versus advanced); enrollment in honors and advanced placement classes; and community data on poverty, unemployment, incarceration, etc. Examples of school climate data that may be used by schools include student/parent/staff climate surveys or focus groups, harassment/bullying, hot spots (environment), physical aggression/fighting, and attendance (staff and student). Examples of social-emotional wellness data that may be used by schools include school climate; school safety; nurse/counselor visits; student engagement; information gathered from families; and community data (statistics on prevalence of mental illnesses and trends in the use of mental health services). Examples of attendance data that may be used by schools include average daily attendance, truancy, </w:t>
      </w:r>
      <w:proofErr w:type="spellStart"/>
      <w:r w:rsidRPr="00781112">
        <w:rPr>
          <w:color w:val="000000" w:themeColor="text1"/>
        </w:rPr>
        <w:t>tardies</w:t>
      </w:r>
      <w:proofErr w:type="spellEnd"/>
      <w:r w:rsidRPr="00781112">
        <w:rPr>
          <w:color w:val="000000" w:themeColor="text1"/>
        </w:rPr>
        <w:t xml:space="preserve">, chronic absenteeism (excused or unexcused), suspensions, expulsions, dropout rates, and absences due to health. Examples of family engagement data that may be used by schools include participation in events/programs, participation in creation of learning/behavior expectations, attendance at leadership meetings representative of the school community, parent teacher conference attendance, data on frequency and attempts to reach out to families, and delivery of supplies and supports to meet basic family needs. Examples of community engagement data that may be used by schools include two-way communication with community partners; support (e.g., funds, products, time, mentorships, etc.); and collaboration with Tier 2 and 3 service providers. </w:t>
      </w:r>
    </w:p>
    <w:p w14:paraId="00E7E41D" w14:textId="26D8D6FE" w:rsidR="00C87801" w:rsidRPr="00C87801" w:rsidRDefault="00C87801" w:rsidP="00A22EB9">
      <w:pPr>
        <w:rPr>
          <w:b/>
          <w:bCs/>
          <w:color w:val="000000" w:themeColor="text1"/>
        </w:rPr>
      </w:pPr>
      <w:r w:rsidRPr="00730C62">
        <w:rPr>
          <w:b/>
          <w:bCs/>
          <w:color w:val="000000" w:themeColor="text1"/>
        </w:rPr>
        <w:t>Provide a summary of the next steps for each evidence-based practices and the anticipated outcomes to be attained during the next reporting period.</w:t>
      </w:r>
    </w:p>
    <w:p w14:paraId="407514D0" w14:textId="77777777" w:rsidR="00EA3851" w:rsidRPr="000F63C4" w:rsidRDefault="00C87801" w:rsidP="00314F94">
      <w:pPr>
        <w:pStyle w:val="ListParagraph"/>
        <w:numPr>
          <w:ilvl w:val="0"/>
          <w:numId w:val="305"/>
        </w:numPr>
        <w:rPr>
          <w:color w:val="000000" w:themeColor="text1"/>
        </w:rPr>
      </w:pPr>
      <w:r w:rsidRPr="000F63C4">
        <w:rPr>
          <w:color w:val="000000" w:themeColor="text1"/>
        </w:rPr>
        <w:t xml:space="preserve">In addition to the current ongoing activities previously described, next steps will focus on three main areas: 1) deepening coaching practice, training, and knowledge specifically in implementation stages; 2) supporting districts to utilize the Implementation Drivers to support usable innovations; and 3) expanding the use of Advanced Tiers and High-Leverage Practices </w:t>
      </w:r>
      <w:r w:rsidRPr="000F63C4">
        <w:rPr>
          <w:color w:val="000000" w:themeColor="text1"/>
        </w:rPr>
        <w:lastRenderedPageBreak/>
        <w:t>through professional development (PD) around evidence-based practices and Comprehensive Coordinated Early Intervening Services (CCEIS).</w:t>
      </w:r>
    </w:p>
    <w:p w14:paraId="65230CBB" w14:textId="77777777" w:rsidR="00EA3851" w:rsidRDefault="00C87801" w:rsidP="00426122">
      <w:pPr>
        <w:ind w:left="720"/>
        <w:rPr>
          <w:color w:val="000000" w:themeColor="text1"/>
        </w:rPr>
      </w:pPr>
      <w:r w:rsidRPr="00781112">
        <w:rPr>
          <w:color w:val="000000" w:themeColor="text1"/>
        </w:rPr>
        <w:t>Change is impossible to circumvent in the field of education; it is an inevitable component that requires complex skills and abilities to implement at a large scale. While the Virginia Tiered Systems of Supports (VTSS) has used implementation stages since its inception, patterns are emerging, both qualitatively and quantitatively, that indicate there are clear gaps and/or inconsistencies in rates of improvement, implementation, and/or sustainable aspects required for systems change. Specifically, the next step is to begin with an envisioning of the current way in which Exploration and Installation (E&amp;I) processes are provided for new cohorts in VTSS. Using implementation stages in a more contextualized approach ensures the opportunity to coach and facilitate stage-appropriate activities for implementation. Currently, the E&amp;I process exists within a training structure as a primary mode and coaching between sessions as a secondary function. The intent is to create a hybrid structure that moves coaching to a primary mode for conducting E&amp;I activities, and training as a secondary function to support knowledge development and communities of networking and practice. The intended goal is that districts will be able to successfully have built a solid infrastructure to support ongoing professional learning and implementation of selected practices.</w:t>
      </w:r>
    </w:p>
    <w:p w14:paraId="203DA570" w14:textId="77777777" w:rsidR="00EA3851" w:rsidRDefault="00C87801" w:rsidP="00426122">
      <w:pPr>
        <w:ind w:left="720"/>
        <w:rPr>
          <w:color w:val="000000" w:themeColor="text1"/>
        </w:rPr>
      </w:pPr>
      <w:r w:rsidRPr="00781112">
        <w:rPr>
          <w:color w:val="000000" w:themeColor="text1"/>
        </w:rPr>
        <w:t>It is critical to ensure that the transfer of this information generalizes at the local level. Improvement in the ability to utilize Implementation Drivers to support, implement, and evaluate usable innovations that will be replicable and sustain over time is the next step in delivering support to the district coaches, coordinators, and leadership teams. The Systems Coaching Institute 101, created for the district coaches and coordinators, has revised content to be presented in Winter 2022 and includes an understanding of managing complex change and core features of a multi-tiered system of supports. The Systems Coaching Institute 102 will add emphasis to establishment of a coaching service delivery plan and evaluation of coaching effectiveness (Competency Driver). The National Implementation Research Network describes four key criteria for usable innovation implementation as follows: 1) a clear description of the innovation, 2) description of the features needed to define the innovation, 3) operational definitions of the critical aspects, and 4) assessment. Implementation Drivers (i.e., Fidelity, Coaching, Training, Selection) steer the use and improvement of usable innovations. Each of which will be covered throughout professional learning opportunities in both knowledge development and coaching application. Decision support will be reintroduced in coaching activities across the implementation stages and strand trainings with emphasis on evaluation of evidence-based practices (Organizational Driver).</w:t>
      </w:r>
    </w:p>
    <w:p w14:paraId="567EE682" w14:textId="77777777" w:rsidR="00EA3851" w:rsidRDefault="00C87801" w:rsidP="00426122">
      <w:pPr>
        <w:ind w:left="720"/>
        <w:rPr>
          <w:color w:val="000000" w:themeColor="text1"/>
        </w:rPr>
      </w:pPr>
      <w:r w:rsidRPr="00781112">
        <w:rPr>
          <w:color w:val="000000" w:themeColor="text1"/>
        </w:rPr>
        <w:t xml:space="preserve">Knowledge development of Advanced Tiers will occur at the systems coach level both in general content and coaching applications. A “trainer of trainers” process is in place to onboard more staff who are knowledgeable and can deliver the content either in large group professional learning or support individual districts. The professional learning begins with an overview of all components with subsequent deeper learning into each area. Key components of Advanced Tiers have been organized in the following areas: teaming, screening and request for assistance, decision rules, continuum of support, alignment, progress monitoring, data-informed decision-making, and professional learning and coaching. Specific emphasis will be placed on using implementation stages through activities that build an infrastructure at the </w:t>
      </w:r>
      <w:r w:rsidRPr="00781112">
        <w:rPr>
          <w:color w:val="000000" w:themeColor="text1"/>
        </w:rPr>
        <w:lastRenderedPageBreak/>
        <w:t>district and school levels to support Advanced Tier Systems, data, and practices that impact student outcomes for any instructional intervention.</w:t>
      </w:r>
    </w:p>
    <w:p w14:paraId="1F4A29E0" w14:textId="77777777" w:rsidR="00EA3851" w:rsidRDefault="00C87801" w:rsidP="00426122">
      <w:pPr>
        <w:ind w:left="720"/>
        <w:rPr>
          <w:color w:val="000000" w:themeColor="text1"/>
        </w:rPr>
      </w:pPr>
      <w:r w:rsidRPr="00781112">
        <w:rPr>
          <w:color w:val="000000" w:themeColor="text1"/>
        </w:rPr>
        <w:t xml:space="preserve">Another next step is further integration of High-Leverage Practices (HLP) for inclusive classrooms into PD and coaching in the areas of equity, instruction, social-emotional wellness, etc. For example, a consistent, organized, and respectful learning environment falls within the </w:t>
      </w:r>
      <w:proofErr w:type="spellStart"/>
      <w:r w:rsidRPr="00781112">
        <w:rPr>
          <w:color w:val="000000" w:themeColor="text1"/>
        </w:rPr>
        <w:t>the</w:t>
      </w:r>
      <w:proofErr w:type="spellEnd"/>
      <w:r w:rsidRPr="00781112">
        <w:rPr>
          <w:color w:val="000000" w:themeColor="text1"/>
        </w:rPr>
        <w:t xml:space="preserve"> category of social/emotional/behavioral HLPs and is taught and coached in professional learning in New Team Training for behavior, Effective Classroom Practices, and the newly developed trauma modules. Another example relates to the instructional HLP of “teaching cognitive and metacognitive strategies to support learning and independence”; this instructional practice is reflected in Feature 1.9 of the Academic-Tiered Fidelity Inventory (A-TFI; 1.9c Metacognitive Reflection on Learning) and resources provided in the A-TFI professional learning. As explicit connections are drawn to both HLPs for inclusive classrooms and the data, systems, and EBPs for all students, the criteria for usable innovations are met.</w:t>
      </w:r>
    </w:p>
    <w:p w14:paraId="25518D8E" w14:textId="77777777" w:rsidR="00EA3851" w:rsidRDefault="00C87801" w:rsidP="00426122">
      <w:pPr>
        <w:ind w:left="720"/>
        <w:rPr>
          <w:color w:val="000000" w:themeColor="text1"/>
        </w:rPr>
      </w:pPr>
      <w:r w:rsidRPr="00781112">
        <w:rPr>
          <w:color w:val="000000" w:themeColor="text1"/>
        </w:rPr>
        <w:t xml:space="preserve">At the state level, coordination of services within the VDOE’s Department of Student Services to meet the needs of districts identified for CCEIS will be aligned with implementation science as well as best practices at Advanced Tiers. Planning is underway to revisit the policies and procedures for districts with both mandatory and optional </w:t>
      </w:r>
      <w:proofErr w:type="gramStart"/>
      <w:r w:rsidRPr="00781112">
        <w:rPr>
          <w:color w:val="000000" w:themeColor="text1"/>
        </w:rPr>
        <w:t>participation, and</w:t>
      </w:r>
      <w:proofErr w:type="gramEnd"/>
      <w:r w:rsidRPr="00781112">
        <w:rPr>
          <w:color w:val="000000" w:themeColor="text1"/>
        </w:rPr>
        <w:t xml:space="preserve"> will be aligned with the VTSS way of work to provide deepening knowledge and consistency among participating districts. A series of brief videos will be developed to support learning in conjunction with the VDOE’s Office of Student Services.</w:t>
      </w:r>
    </w:p>
    <w:p w14:paraId="4216CFE7" w14:textId="44B03DBA" w:rsidR="00C2635F" w:rsidRPr="00EA3851" w:rsidRDefault="00C87801" w:rsidP="00426122">
      <w:pPr>
        <w:ind w:left="720"/>
        <w:rPr>
          <w:color w:val="000000" w:themeColor="text1"/>
        </w:rPr>
      </w:pPr>
      <w:r w:rsidRPr="00781112">
        <w:rPr>
          <w:color w:val="000000" w:themeColor="text1"/>
        </w:rPr>
        <w:t xml:space="preserve">Collectively, the outcomes for these next steps align with the Theory of Action to improve and increase use of EBPs and HLPs </w:t>
      </w:r>
      <w:proofErr w:type="gramStart"/>
      <w:r w:rsidRPr="00781112">
        <w:rPr>
          <w:color w:val="000000" w:themeColor="text1"/>
        </w:rPr>
        <w:t>in order to</w:t>
      </w:r>
      <w:proofErr w:type="gramEnd"/>
      <w:r w:rsidRPr="00781112">
        <w:rPr>
          <w:color w:val="000000" w:themeColor="text1"/>
        </w:rPr>
        <w:t xml:space="preserve"> improve student outcomes.</w:t>
      </w:r>
    </w:p>
    <w:p w14:paraId="7350AAE8" w14:textId="77777777" w:rsidR="00C2635F" w:rsidRPr="00781112" w:rsidRDefault="00AE1972" w:rsidP="004536A1">
      <w:pPr>
        <w:pStyle w:val="Heading4"/>
      </w:pPr>
      <w:r w:rsidRPr="00781112">
        <w:t>Section C: Stakeholder Engagement</w:t>
      </w:r>
    </w:p>
    <w:p w14:paraId="7EBFA7EE" w14:textId="77777777" w:rsidR="00C2635F" w:rsidRPr="00781112" w:rsidRDefault="00C2635F" w:rsidP="00EA3851">
      <w:pPr>
        <w:pStyle w:val="Bold"/>
        <w:spacing w:after="240"/>
        <w:rPr>
          <w:color w:val="000000" w:themeColor="text1"/>
        </w:rPr>
      </w:pPr>
      <w:r w:rsidRPr="00781112">
        <w:rPr>
          <w:color w:val="000000" w:themeColor="text1"/>
        </w:rPr>
        <w:t>Description of Stakeholder Input</w:t>
      </w:r>
    </w:p>
    <w:p w14:paraId="1727A7D6" w14:textId="77777777" w:rsidR="00EA3851" w:rsidRPr="000F63C4" w:rsidRDefault="00C2635F" w:rsidP="00314F94">
      <w:pPr>
        <w:pStyle w:val="ListParagraph"/>
        <w:numPr>
          <w:ilvl w:val="0"/>
          <w:numId w:val="306"/>
        </w:numPr>
        <w:rPr>
          <w:color w:val="000000" w:themeColor="text1"/>
        </w:rPr>
      </w:pPr>
      <w:r w:rsidRPr="000F63C4">
        <w:rPr>
          <w:color w:val="000000" w:themeColor="text1"/>
        </w:rPr>
        <w:t>During the development of Virginia’s FFY 2020 Part B State Performance Plan/Annual Performance Review (SPP/APR), multiple opportunities for stakeholder involvement were provided, including the following: presentations, meetings, focus groups, and conference calls. The focus of stakeholder involvement was to engage in setting FFY 2020-2025 targets, if applicable, analyzing data, developing improvement strategies, and evaluating progress. Stakeholders included the State Special Education Advisory Committee (SSEAC), parents, school district central office personnel, other state agencies, PEATC staff members, TTACs staff members, early childhood specialists, transition specialists, elementary and secondary principals, representatives of higher education, assessment specialists, VDOE staff members, and other community members as needed.</w:t>
      </w:r>
    </w:p>
    <w:p w14:paraId="0CFB4C82" w14:textId="77777777" w:rsidR="00087938" w:rsidRDefault="00C2635F" w:rsidP="00087938">
      <w:pPr>
        <w:ind w:left="720"/>
        <w:rPr>
          <w:color w:val="000000" w:themeColor="text1"/>
        </w:rPr>
      </w:pPr>
      <w:r w:rsidRPr="00781112">
        <w:rPr>
          <w:color w:val="000000" w:themeColor="text1"/>
        </w:rPr>
        <w:t xml:space="preserve">Staff members from the VDOE organized and led numerous stakeholder groups. Staff served as indicator chairs by topical area with a focus on the data, targets, and recommendations related to their specific indicator. Additional staff represented the broad spectrum of work done within the Department of Special Education and Student Services. Additionally, indicator chairs met regularly to gauge progress, share strategies, and suggestions. In some cases, surveys </w:t>
      </w:r>
      <w:r w:rsidRPr="00781112">
        <w:rPr>
          <w:color w:val="000000" w:themeColor="text1"/>
        </w:rPr>
        <w:lastRenderedPageBreak/>
        <w:t>were administered to ensure all stakeholders have equal opportunity to be heard and have led to additional initiatives and resources.</w:t>
      </w:r>
    </w:p>
    <w:p w14:paraId="6EEB753D" w14:textId="77777777" w:rsidR="00087938" w:rsidRDefault="00C2635F" w:rsidP="00087938">
      <w:pPr>
        <w:ind w:left="720"/>
        <w:rPr>
          <w:rFonts w:cs="Arial"/>
          <w:color w:val="000000" w:themeColor="text1"/>
          <w:szCs w:val="16"/>
        </w:rPr>
      </w:pPr>
      <w:r w:rsidRPr="00781112">
        <w:rPr>
          <w:rFonts w:cs="Arial"/>
          <w:color w:val="000000" w:themeColor="text1"/>
          <w:szCs w:val="16"/>
        </w:rPr>
        <w:t>In FFY 2020, stakeholders were informed, including the SSEAC, of the activities planned to deepen the alignment of the SSIP work across numerous VDOE offices. Specifically, stakeholders annually review and/or revise the activities described in previous submissions to ensure that they continue to be aligned with the Theory of Action.</w:t>
      </w:r>
    </w:p>
    <w:p w14:paraId="60FE6FBD" w14:textId="77777777" w:rsidR="00087938" w:rsidRDefault="00C2635F" w:rsidP="00087938">
      <w:pPr>
        <w:ind w:left="720"/>
        <w:rPr>
          <w:rFonts w:cs="Arial"/>
          <w:color w:val="000000" w:themeColor="text1"/>
          <w:szCs w:val="16"/>
        </w:rPr>
      </w:pPr>
      <w:r w:rsidRPr="00781112">
        <w:rPr>
          <w:rFonts w:cs="Arial"/>
          <w:color w:val="000000" w:themeColor="text1"/>
          <w:szCs w:val="16"/>
        </w:rPr>
        <w:t xml:space="preserve">Virginia continues to engage in work, with the support of OSEP-funded technical assistance providers, to increase stakeholder involvement across all phases of the SSIP. The National Technical Assistance Center on Transition (NTACT) collaborated with VDOE staff members to assist with building skills to facilitate data discussions among stakeholders in regions across the State. Virginia actively participated in the Graduation and Post School Outcomes (PSO) Cross State Learning Collaborative (CSLC) Writing Group hosted by the National Center for Systemic Improvement (NCSI). Moving forward, Virginia has joined the Results-Based Accountability and Supports (RBAS) CSLC Writing Group hosted by the NCSI. The group plans to offer a series of face-to-face and </w:t>
      </w:r>
      <w:proofErr w:type="gramStart"/>
      <w:r w:rsidRPr="00781112">
        <w:rPr>
          <w:rFonts w:cs="Arial"/>
          <w:color w:val="000000" w:themeColor="text1"/>
          <w:szCs w:val="16"/>
        </w:rPr>
        <w:t>web-based</w:t>
      </w:r>
      <w:proofErr w:type="gramEnd"/>
      <w:r w:rsidRPr="00781112">
        <w:rPr>
          <w:rFonts w:cs="Arial"/>
          <w:color w:val="000000" w:themeColor="text1"/>
          <w:szCs w:val="16"/>
        </w:rPr>
        <w:t xml:space="preserve"> CSLCs. The CSLCs provide an opportunity for state teams to come together to learn about evidence-based practices, stakeholder engagement, systems change, and evaluation. Teams are provided with opportunities to work together on their SSIP, learn from experts, and share experiences through cross-state conversations.</w:t>
      </w:r>
    </w:p>
    <w:p w14:paraId="613D691C" w14:textId="714AE34A" w:rsidR="00C2635F" w:rsidRPr="00087938" w:rsidRDefault="00C2635F" w:rsidP="00087938">
      <w:pPr>
        <w:ind w:left="720"/>
        <w:rPr>
          <w:color w:val="000000" w:themeColor="text1"/>
        </w:rPr>
      </w:pPr>
      <w:r w:rsidRPr="00781112">
        <w:rPr>
          <w:rFonts w:cs="Arial"/>
          <w:color w:val="000000" w:themeColor="text1"/>
          <w:szCs w:val="16"/>
        </w:rPr>
        <w:t>The VDOE has also implemented strategies and tools provided by the IDEA Partnership, in collaboration with the National Association of State Directors of Special Education (NASDSE) as part of their work around Leading by Convening: A Blueprint for Authentic Engagement.</w:t>
      </w:r>
    </w:p>
    <w:p w14:paraId="0227ECF0" w14:textId="1C118832" w:rsidR="00AE1972" w:rsidRPr="00781112" w:rsidRDefault="00AE1972" w:rsidP="00A22EB9">
      <w:pPr>
        <w:rPr>
          <w:rFonts w:cs="Arial"/>
          <w:b/>
          <w:bCs/>
        </w:rPr>
      </w:pPr>
      <w:r w:rsidRPr="00781112">
        <w:rPr>
          <w:rFonts w:cs="Arial"/>
          <w:b/>
          <w:bCs/>
        </w:rPr>
        <w:t>Describe the specific strategies implemented to engage stakeholders in key improvement efforts.</w:t>
      </w:r>
    </w:p>
    <w:p w14:paraId="68307551" w14:textId="77777777" w:rsidR="00EA3851" w:rsidRPr="000F63C4" w:rsidRDefault="00AE1972" w:rsidP="00314F94">
      <w:pPr>
        <w:pStyle w:val="ListParagraph"/>
        <w:numPr>
          <w:ilvl w:val="0"/>
          <w:numId w:val="307"/>
        </w:numPr>
        <w:rPr>
          <w:color w:val="000000" w:themeColor="text1"/>
        </w:rPr>
      </w:pPr>
      <w:r w:rsidRPr="000F63C4">
        <w:rPr>
          <w:color w:val="000000" w:themeColor="text1"/>
        </w:rPr>
        <w:t xml:space="preserve">Stakeholders have input into how VTSS is implemented. Each VTSS activity is evaluated for components of high-quality professional learning, session content, and opportunities to apply learning in their districts and schools. Data are collected, analyzed, and reported back to participants (state, district, and school leadership teams) </w:t>
      </w:r>
      <w:proofErr w:type="gramStart"/>
      <w:r w:rsidRPr="000F63C4">
        <w:rPr>
          <w:color w:val="000000" w:themeColor="text1"/>
        </w:rPr>
        <w:t>in order to</w:t>
      </w:r>
      <w:proofErr w:type="gramEnd"/>
      <w:r w:rsidRPr="000F63C4">
        <w:rPr>
          <w:color w:val="000000" w:themeColor="text1"/>
        </w:rPr>
        <w:t xml:space="preserve"> monitor, refine, and improve the processes and outcomes necessary to address emerging needs or challenges associated with project implementation. Additionally, stakeholder input at the district and school levels regarding the effectiveness of VTSS are evaluated using multiple surveys (Family Engagement Survey, Level of Satisfaction, and Value of Resources by districts), focus groups, VTSS Perceptions of Impact Survey completed by school staff, and professional development evaluations. Event Log data are used to monitor ongoing coaching support provided to VTSS districts and schools.</w:t>
      </w:r>
    </w:p>
    <w:p w14:paraId="0B1F861B" w14:textId="43317D49" w:rsidR="00EA3851" w:rsidRDefault="00AE1972" w:rsidP="00426122">
      <w:pPr>
        <w:ind w:left="720"/>
        <w:rPr>
          <w:rFonts w:cs="Arial"/>
          <w:b/>
          <w:bCs/>
        </w:rPr>
      </w:pPr>
      <w:r w:rsidRPr="00781112">
        <w:rPr>
          <w:color w:val="000000" w:themeColor="text1"/>
        </w:rPr>
        <w:t xml:space="preserve">Our family partner to the VTSS project, Formed Families Forward (FFF), works to engage local districts and schools as partners and collaborators. Recognizing the importance of building family engagement within a collaborative environment, FFF embraces an interactive approach that positions families, VTSS systems coaches, and district staff to work as partners, learning from each other as they consider the needs and experiences of families and communities. This </w:t>
      </w:r>
      <w:r w:rsidRPr="00781112">
        <w:rPr>
          <w:color w:val="000000" w:themeColor="text1"/>
        </w:rPr>
        <w:lastRenderedPageBreak/>
        <w:t>collaboration is reflected in a series of training videos titled “Family Engagement in Virginia Tiered Systems of Supports,” produced by FFF. This series of videos features six key elements to engage families in VTSS. Designed for use by educators and families, the four videos highlight specific strategies for school teams to consider as they build momentum around family-school partnerships and strengthen skills to meaningfully engage families in multi-tiered systems.</w:t>
      </w:r>
    </w:p>
    <w:p w14:paraId="0E7119BD" w14:textId="2611921F" w:rsidR="00AE1972" w:rsidRPr="00781112" w:rsidRDefault="00AE1972" w:rsidP="00A22EB9">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077E3CC5" w:rsidR="00AE1972" w:rsidRPr="000F63C4" w:rsidRDefault="00426122" w:rsidP="00314F94">
      <w:pPr>
        <w:pStyle w:val="ListParagraph"/>
        <w:numPr>
          <w:ilvl w:val="0"/>
          <w:numId w:val="308"/>
        </w:numPr>
        <w:rPr>
          <w:b/>
          <w:bCs/>
        </w:rPr>
      </w:pPr>
      <w:r w:rsidRPr="000F63C4">
        <w:rPr>
          <w:color w:val="000000" w:themeColor="text1"/>
        </w:rPr>
        <w:t>Yes</w:t>
      </w:r>
    </w:p>
    <w:p w14:paraId="106639A0" w14:textId="6B34D8A9" w:rsidR="00AE1972" w:rsidRPr="00781112" w:rsidRDefault="00C2635F" w:rsidP="00A22EB9">
      <w:pPr>
        <w:rPr>
          <w:rFonts w:cs="Arial"/>
          <w:b/>
          <w:bCs/>
        </w:rPr>
      </w:pPr>
      <w:r w:rsidRPr="00781112">
        <w:rPr>
          <w:rFonts w:cs="Arial"/>
          <w:b/>
          <w:bCs/>
        </w:rPr>
        <w:t>Describe how the State addressed the concerns expressed by stakeholders.</w:t>
      </w:r>
    </w:p>
    <w:p w14:paraId="4C0E967E" w14:textId="6568B0FF" w:rsidR="00AE1972" w:rsidRPr="00087938" w:rsidRDefault="00AE1972" w:rsidP="00314F94">
      <w:pPr>
        <w:pStyle w:val="ListParagraph"/>
        <w:numPr>
          <w:ilvl w:val="0"/>
          <w:numId w:val="56"/>
        </w:numPr>
        <w:rPr>
          <w:color w:val="000000" w:themeColor="text1"/>
        </w:rPr>
      </w:pPr>
      <w:r w:rsidRPr="00087938">
        <w:rPr>
          <w:color w:val="000000" w:themeColor="text1"/>
        </w:rPr>
        <w:t xml:space="preserve">Student progress during the ongoing pandemic was a topic of discussion throughout the stakeholder engagement process. Much of the discussion centered on the importance of continued alignment of the VTSS to the State’s </w:t>
      </w:r>
      <w:proofErr w:type="spellStart"/>
      <w:r w:rsidRPr="00087938">
        <w:rPr>
          <w:color w:val="000000" w:themeColor="text1"/>
        </w:rPr>
        <w:t>SiMR</w:t>
      </w:r>
      <w:proofErr w:type="spellEnd"/>
      <w:r w:rsidRPr="00087938">
        <w:rPr>
          <w:color w:val="000000" w:themeColor="text1"/>
        </w:rPr>
        <w:t xml:space="preserve"> and Theory of Action while responding to the COVID-19 pandemic. Implementing VTSS requires systemic change and infrastructure improvement at the district, school, and classroom levels. Within VTSS, evidence-based, system-wide practices give educators the tools they need to address the academic, behavioral, and social-emotional needs of all students especially during the ongoing pandemic. Implementation of these practices include frequent progress monitoring that enables educators to make sound, data-based instructional decisions. The VDOE also aligned funding priorities to the U. S. Department of Education’s COVID-19 Resources for Schools, Students and Families including the utilization of pandemic relief funds as a way to address concerns and leverage funding to implement </w:t>
      </w:r>
      <w:proofErr w:type="gramStart"/>
      <w:r w:rsidRPr="00087938">
        <w:rPr>
          <w:color w:val="000000" w:themeColor="text1"/>
        </w:rPr>
        <w:t>evidence based</w:t>
      </w:r>
      <w:proofErr w:type="gramEnd"/>
      <w:r w:rsidRPr="00087938">
        <w:rPr>
          <w:color w:val="000000" w:themeColor="text1"/>
        </w:rPr>
        <w:t xml:space="preserve"> practices and support innovative approaches within school districts across the Commonwealth with a focus on student support.</w:t>
      </w:r>
    </w:p>
    <w:p w14:paraId="66B03304" w14:textId="77777777" w:rsidR="00AE1972" w:rsidRPr="00781112" w:rsidRDefault="00AE1972" w:rsidP="004536A1">
      <w:pPr>
        <w:pStyle w:val="Heading4"/>
      </w:pPr>
      <w:r w:rsidRPr="00781112">
        <w:t>Additional Implementation Activities</w:t>
      </w:r>
    </w:p>
    <w:p w14:paraId="10A21917" w14:textId="46068090" w:rsidR="00AE1972" w:rsidRPr="00781112" w:rsidRDefault="00AE1972" w:rsidP="00A22EB9">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7C5B0C29" w:rsidR="00AE1972" w:rsidRPr="006C5896" w:rsidRDefault="00AE1972" w:rsidP="00314F94">
      <w:pPr>
        <w:pStyle w:val="ListParagraph"/>
        <w:numPr>
          <w:ilvl w:val="0"/>
          <w:numId w:val="309"/>
        </w:numPr>
        <w:rPr>
          <w:color w:val="000000" w:themeColor="text1"/>
        </w:rPr>
      </w:pPr>
      <w:r w:rsidRPr="006C5896">
        <w:rPr>
          <w:color w:val="000000" w:themeColor="text1"/>
        </w:rPr>
        <w:t xml:space="preserve">The 2021 General Assembly appropriated funding to attract, recruit, and retain high-quality, diverse individuals to teach science, technology, engineering, or mathematics (STEM) subjects in Virginia middle and high schools </w:t>
      </w:r>
      <w:proofErr w:type="gramStart"/>
      <w:r w:rsidRPr="006C5896">
        <w:rPr>
          <w:color w:val="000000" w:themeColor="text1"/>
        </w:rPr>
        <w:t>experiencing difficulty</w:t>
      </w:r>
      <w:proofErr w:type="gramEnd"/>
      <w:r w:rsidRPr="006C5896">
        <w:rPr>
          <w:color w:val="000000" w:themeColor="text1"/>
        </w:rPr>
        <w:t xml:space="preserve"> in recruiting qualified teachers.</w:t>
      </w:r>
    </w:p>
    <w:p w14:paraId="3ACC71D3" w14:textId="4BEE85D1" w:rsidR="00AE1972" w:rsidRPr="00781112" w:rsidRDefault="00AE1972" w:rsidP="00A22EB9">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w:t>
      </w:r>
    </w:p>
    <w:p w14:paraId="43CA63D6" w14:textId="77777777" w:rsidR="00EA3851" w:rsidRPr="006C5896" w:rsidRDefault="00AE1972" w:rsidP="00314F94">
      <w:pPr>
        <w:pStyle w:val="ListParagraph"/>
        <w:numPr>
          <w:ilvl w:val="0"/>
          <w:numId w:val="310"/>
        </w:numPr>
        <w:rPr>
          <w:color w:val="000000" w:themeColor="text1"/>
        </w:rPr>
      </w:pPr>
      <w:r w:rsidRPr="006C5896">
        <w:rPr>
          <w:color w:val="000000" w:themeColor="text1"/>
        </w:rPr>
        <w:t xml:space="preserve">Evaluation activities include event data (i.e., event description, attendees, and post-event evaluations), implementation measures, and student outcomes (i.e., academic, discipline, attendance, and graduation). Professional learning attendance collected for each day of an event and post-event evaluations completed by attendees will be collected following each training event. Event Log data are collected from Virginia Tiered Systems of Supports (VTSS) Systems Coaches following each event/meeting with their districts and schools. The VTSS collects district and school data twice a year during Midyear and End-of-Year. Midyear data collection period begins </w:t>
      </w:r>
      <w:proofErr w:type="gramStart"/>
      <w:r w:rsidRPr="006C5896">
        <w:rPr>
          <w:color w:val="000000" w:themeColor="text1"/>
        </w:rPr>
        <w:t>February 1, 2022, and</w:t>
      </w:r>
      <w:proofErr w:type="gramEnd"/>
      <w:r w:rsidRPr="006C5896">
        <w:rPr>
          <w:color w:val="000000" w:themeColor="text1"/>
        </w:rPr>
        <w:t xml:space="preserve"> will end March 31, 2022. Measures collected </w:t>
      </w:r>
      <w:r w:rsidRPr="006C5896">
        <w:rPr>
          <w:color w:val="000000" w:themeColor="text1"/>
        </w:rPr>
        <w:lastRenderedPageBreak/>
        <w:t xml:space="preserve">during Midyear are the District Capacity Assessment (DCA) for districts and Tiered Fidelity Inventory (TFI) for schools. The data collection period for the Perceptions of Impact begins on </w:t>
      </w:r>
      <w:proofErr w:type="gramStart"/>
      <w:r w:rsidRPr="006C5896">
        <w:rPr>
          <w:color w:val="000000" w:themeColor="text1"/>
        </w:rPr>
        <w:t>March 22, 2022, and</w:t>
      </w:r>
      <w:proofErr w:type="gramEnd"/>
      <w:r w:rsidRPr="006C5896">
        <w:rPr>
          <w:color w:val="000000" w:themeColor="text1"/>
        </w:rPr>
        <w:t xml:space="preserve"> will end on April 1, 2022. End-of-Year data collection period occurs from May 2, 2022, to July 15, 2022. Measures collected during End-of-Year are the Family Engagement Survey, Level of Satisfaction (LOS), and Value of Resources (VOR) for districts and student enrollment and discipline (office discipline referrals, in-school suspensions, and out-of-school suspensions) for schools. Additionally, student behavioral, academic, and school climate data will be collected at the end of each academic year by the Virginia Department of Education. Student behavioral and academic outcomes will be disaggregated by race/ethnicity and student disability type to assess outcomes for high-need students.</w:t>
      </w:r>
    </w:p>
    <w:p w14:paraId="50377A67" w14:textId="4664DADD" w:rsidR="00AE1972" w:rsidRPr="00781112" w:rsidRDefault="00AE1972" w:rsidP="00426122">
      <w:pPr>
        <w:ind w:left="720"/>
        <w:rPr>
          <w:color w:val="000000" w:themeColor="text1"/>
        </w:rPr>
      </w:pPr>
      <w:r w:rsidRPr="00781112">
        <w:rPr>
          <w:color w:val="000000" w:themeColor="text1"/>
        </w:rPr>
        <w:t>The data timeline and measures collected are to inform implementation and progress towards project targets set forth in the Theory of Action for the SSIP/</w:t>
      </w:r>
      <w:proofErr w:type="spellStart"/>
      <w:r w:rsidRPr="00781112">
        <w:rPr>
          <w:color w:val="000000" w:themeColor="text1"/>
        </w:rPr>
        <w:t>SiMR</w:t>
      </w:r>
      <w:proofErr w:type="spellEnd"/>
      <w:r w:rsidRPr="00781112">
        <w:rPr>
          <w:color w:val="000000" w:themeColor="text1"/>
        </w:rPr>
        <w:t>. Anticipated outcomes from professional development and coaching events include improved district capacity to assist school-level implementation (measured by DCA), improved school-level implementation (measured by TFI), and improved knowledge and skills of evidence-based practices (measured by Perceptions of Impact). Following the Theory of Action, with the improved fidelity of implementation by district and school leadership teams and staff, the student academic, behavior, and attendance outcomes, including reduced disproportionality for students with disabilities, should improve. Specifically, the expected academic, behavior, and attendance outcomes targeted in the SSIP include improved percentage of students with disabilities graduating with advanced or standard diplomas, improved percentage of students with disabilities that pass the eighth-grade English reading and math Standards of Learning (SOL) assessments, decreased number of disciplinary actions (office discipline referrals, in-school suspensions, and out-of-school suspensions) for students with disabilities, and reduced number of students with disabilities who miss more than ten days of instruction in a school year.</w:t>
      </w:r>
    </w:p>
    <w:p w14:paraId="1D472AFD" w14:textId="77777777" w:rsidR="00AE1972" w:rsidRPr="00781112" w:rsidRDefault="00AE1972" w:rsidP="00A22EB9">
      <w:pPr>
        <w:rPr>
          <w:rFonts w:cs="Arial"/>
          <w:b/>
          <w:bCs/>
        </w:rPr>
      </w:pPr>
      <w:r w:rsidRPr="00781112">
        <w:rPr>
          <w:rFonts w:cs="Arial"/>
          <w:b/>
          <w:bCs/>
        </w:rPr>
        <w:t>Describe any newly identified barriers and include steps to address these barriers.</w:t>
      </w:r>
    </w:p>
    <w:p w14:paraId="1A449657" w14:textId="77777777" w:rsidR="00EA3851" w:rsidRPr="006C5896" w:rsidRDefault="00AE1972" w:rsidP="00314F94">
      <w:pPr>
        <w:pStyle w:val="ListParagraph"/>
        <w:numPr>
          <w:ilvl w:val="0"/>
          <w:numId w:val="311"/>
        </w:numPr>
        <w:rPr>
          <w:color w:val="000000" w:themeColor="text1"/>
        </w:rPr>
      </w:pPr>
      <w:r w:rsidRPr="006C5896">
        <w:rPr>
          <w:color w:val="000000" w:themeColor="text1"/>
        </w:rPr>
        <w:t>The ongoing COVID-19 pandemic continues to present, and exacerbate existing, barriers in both the implementation and outcomes associated with the Virginia SSIP/</w:t>
      </w:r>
      <w:proofErr w:type="spellStart"/>
      <w:r w:rsidRPr="006C5896">
        <w:rPr>
          <w:color w:val="000000" w:themeColor="text1"/>
        </w:rPr>
        <w:t>SiMR</w:t>
      </w:r>
      <w:proofErr w:type="spellEnd"/>
      <w:r w:rsidRPr="006C5896">
        <w:rPr>
          <w:color w:val="000000" w:themeColor="text1"/>
        </w:rPr>
        <w:t xml:space="preserve">. Barriers Virginia faces include school staffing shortages with special education being one of the top critical shortage areas; school administrators and district personnel in the classroom due to teacher and substitute teacher shortages; disruptions to student learning related to the pandemic (e.g., temporary school closures, quarantines for COVID-19 exposure/infection); intermittent absence of staff due to COVID-19 exposure/infection; school staff are taking on heavier workloads; district and school staff are suffering from burnout; and district and school personnel are unable to find time to dedicate to professional development. Disruptions in learning have resulted in learning loss </w:t>
      </w:r>
      <w:proofErr w:type="spellStart"/>
      <w:r w:rsidRPr="006C5896">
        <w:rPr>
          <w:color w:val="000000" w:themeColor="text1"/>
        </w:rPr>
        <w:t>andunfinished</w:t>
      </w:r>
      <w:proofErr w:type="spellEnd"/>
      <w:r w:rsidRPr="006C5896">
        <w:rPr>
          <w:color w:val="000000" w:themeColor="text1"/>
        </w:rPr>
        <w:t xml:space="preserve"> learning for students as well as created obstacles to previous graduation requirements. School climate also has been impacted by the pandemic and by the influence of social media platforms encouraging students to act out in negative ways as experienced during December 2021 with a series of threats of shootings and bombings to schools across the nation on </w:t>
      </w:r>
      <w:proofErr w:type="spellStart"/>
      <w:r w:rsidRPr="006C5896">
        <w:rPr>
          <w:color w:val="000000" w:themeColor="text1"/>
        </w:rPr>
        <w:t>TikTok</w:t>
      </w:r>
      <w:proofErr w:type="spellEnd"/>
      <w:r w:rsidRPr="006C5896">
        <w:rPr>
          <w:color w:val="000000" w:themeColor="text1"/>
        </w:rPr>
        <w:t>. The “2021 Report on the Condition and Needs of Public Schools in Virginia” by the Virginia Board of Education cites the negative impact of the global pandemic on the mental health and well-being of students.</w:t>
      </w:r>
    </w:p>
    <w:p w14:paraId="56178707" w14:textId="77777777" w:rsidR="00EA3851" w:rsidRDefault="00AE1972" w:rsidP="00426122">
      <w:pPr>
        <w:ind w:left="720"/>
        <w:rPr>
          <w:color w:val="000000" w:themeColor="text1"/>
        </w:rPr>
      </w:pPr>
      <w:r w:rsidRPr="00781112">
        <w:rPr>
          <w:color w:val="000000" w:themeColor="text1"/>
        </w:rPr>
        <w:lastRenderedPageBreak/>
        <w:t xml:space="preserve">Virginia is addressing these barriers through collaboration between offices within the Virginia Department of Education (VDOE), Virginia Tiered Systems of Supports (VTSS), and districts/schools to allocate resources and provide supports as necessary. For example, some districts maintain virtual learning offerings to support students when absent and during temporary school closures. Districts are adjusting academic calendars to include additional time off to prevent teacher burnout. The 2021 Virginia General Assembly appropriated funding to support teacher recruitment and retainment. The VTSS is planning shorter, tailored-to-need professional learning for individual districts by their Systems Coaches at convenient times </w:t>
      </w:r>
      <w:proofErr w:type="gramStart"/>
      <w:r w:rsidRPr="00781112">
        <w:rPr>
          <w:color w:val="000000" w:themeColor="text1"/>
        </w:rPr>
        <w:t>in order to</w:t>
      </w:r>
      <w:proofErr w:type="gramEnd"/>
      <w:r w:rsidRPr="00781112">
        <w:rPr>
          <w:color w:val="000000" w:themeColor="text1"/>
        </w:rPr>
        <w:t xml:space="preserve"> allow district and school staff to attend.</w:t>
      </w:r>
    </w:p>
    <w:p w14:paraId="1EFFD60A" w14:textId="77777777" w:rsidR="00EA3851" w:rsidRDefault="00AE1972" w:rsidP="00426122">
      <w:pPr>
        <w:ind w:left="720"/>
        <w:rPr>
          <w:color w:val="000000" w:themeColor="text1"/>
        </w:rPr>
      </w:pPr>
      <w:r w:rsidRPr="00781112">
        <w:rPr>
          <w:color w:val="000000" w:themeColor="text1"/>
        </w:rPr>
        <w:t xml:space="preserve">To assist in the identification of unfinished learning from 2020-2021 due to the pandemic, Virginia instituted fall growth assessments for grades 3-8 based on content from the previous grade level. As example, in 2019, the pass rate for reading across the state was 78%, whereas in 2021 it was 69%. Similarly, the pass rate in math fell from 81% to 59%. Schools are reporting a “flipped triangle” in which a greater number of students do not meet benchmark standards and require additional services than those that are deemed proficient. The VTSS staff have been creating and delivering asynchronous and synchronous professional development on addressing this current reality for districts and VTSS Systems Coaches. Seven strategies for schools to utilize are as follows: relationship building, lesson planning to focus on essential skills, formative assessment to identify skill deficits and provide flexible instruction, </w:t>
      </w:r>
      <w:proofErr w:type="spellStart"/>
      <w:r w:rsidRPr="00781112">
        <w:rPr>
          <w:color w:val="000000" w:themeColor="text1"/>
        </w:rPr>
        <w:t>classwide</w:t>
      </w:r>
      <w:proofErr w:type="spellEnd"/>
      <w:r w:rsidRPr="00781112">
        <w:rPr>
          <w:color w:val="000000" w:themeColor="text1"/>
        </w:rPr>
        <w:t xml:space="preserve"> intervention in numeracy and literacy, increased engagement (inclusive of peer learning, opportunities to respond, and student goal setting), more frequent progress monitoring at Tier 1, and promoting teacher agency (collective teacher efficacy).</w:t>
      </w:r>
    </w:p>
    <w:p w14:paraId="504427FD" w14:textId="77777777" w:rsidR="00EA3851" w:rsidRDefault="00AE1972" w:rsidP="00426122">
      <w:pPr>
        <w:ind w:left="720"/>
        <w:rPr>
          <w:color w:val="000000" w:themeColor="text1"/>
        </w:rPr>
      </w:pPr>
      <w:r w:rsidRPr="00781112">
        <w:rPr>
          <w:color w:val="000000" w:themeColor="text1"/>
        </w:rPr>
        <w:t>COVID-19 continues to impact graduation as the pandemic reduced participation in state assessments typically necessary to meet graduation requirements. To address this barrier, new graduation requirements were put into effect for the 2021-2022 academic year, where the number of standard credits for a Standard Diploma and Advanced Studies Diploma remain the same but the number of required verified credits, earned by passing a course in the content area and the associated end-of-course assessment, are reduced to five (one each in English reading, English writing, math, science, and history/social science) for both diplomas. By reducing the number of Standards of Learning tests students must pass to earn a diploma, the new standards increase flexibility for schools to expand work-based and service-learning programs that promote college, career, and civic readiness.</w:t>
      </w:r>
    </w:p>
    <w:p w14:paraId="4B29CC46" w14:textId="1D8E6CD4" w:rsidR="00426122" w:rsidRDefault="00AE1972" w:rsidP="00426122">
      <w:pPr>
        <w:ind w:left="720"/>
        <w:rPr>
          <w:rFonts w:cs="Arial"/>
          <w:b/>
          <w:bCs/>
        </w:rPr>
      </w:pPr>
      <w:r w:rsidRPr="00781112">
        <w:rPr>
          <w:color w:val="000000" w:themeColor="text1"/>
        </w:rPr>
        <w:t xml:space="preserve">The State has funded additional student support personnel and, in collaboration with national technical assistance, developed “Virginia Social Emotional Guidance Standards” for districts to adopt and/or use for guidance in implementing social-emotional learning programming based on the needs of their community. Furthermore, VTSS is addressing this barrier by embedding the standards into existing professional development (i.e., in classroom practices) </w:t>
      </w:r>
      <w:proofErr w:type="gramStart"/>
      <w:r w:rsidRPr="00781112">
        <w:rPr>
          <w:color w:val="000000" w:themeColor="text1"/>
        </w:rPr>
        <w:t>and also</w:t>
      </w:r>
      <w:proofErr w:type="gramEnd"/>
      <w:r w:rsidRPr="00781112">
        <w:rPr>
          <w:color w:val="000000" w:themeColor="text1"/>
        </w:rPr>
        <w:t xml:space="preserve"> completing trauma modules that can be used asynchronously.</w:t>
      </w:r>
      <w:r w:rsidR="00426122">
        <w:rPr>
          <w:rFonts w:cs="Arial"/>
          <w:b/>
          <w:bCs/>
        </w:rPr>
        <w:br w:type="page"/>
      </w:r>
    </w:p>
    <w:p w14:paraId="3396CE64" w14:textId="42517CB4" w:rsidR="00AE1972" w:rsidRPr="00781112" w:rsidRDefault="00AE1972" w:rsidP="004536A1">
      <w:pPr>
        <w:pStyle w:val="Heading4"/>
      </w:pPr>
      <w:r w:rsidRPr="00781112">
        <w:lastRenderedPageBreak/>
        <w:t>Provide additional information about this indicator (optional).</w:t>
      </w:r>
    </w:p>
    <w:p w14:paraId="1717717F" w14:textId="1994B97C" w:rsidR="00AE1972" w:rsidRPr="006C5896" w:rsidRDefault="00AE1972" w:rsidP="00314F94">
      <w:pPr>
        <w:pStyle w:val="ListParagraph"/>
        <w:numPr>
          <w:ilvl w:val="0"/>
          <w:numId w:val="312"/>
        </w:numPr>
        <w:rPr>
          <w:color w:val="000000" w:themeColor="text1"/>
        </w:rPr>
      </w:pPr>
      <w:r w:rsidRPr="006C5896">
        <w:rPr>
          <w:color w:val="000000" w:themeColor="text1"/>
        </w:rPr>
        <w:t>Milestones from the past year include four areas of professional learning modules (i.e., family engagement, trauma, defusing disruptive behavior, and restraint/seclusion) developed by the Virginia Department of Education and Virginia Tiered Systems of Supports. These modules provide a unique mode for increasing equitable access to learning, skill development, and implementation of evidence-based practices within the tiered framework.</w:t>
      </w:r>
    </w:p>
    <w:p w14:paraId="7969DCFD" w14:textId="313BCCCE" w:rsidR="00AE1972" w:rsidRPr="00781112" w:rsidRDefault="00AE1972" w:rsidP="00A22EB9">
      <w:pPr>
        <w:pStyle w:val="Heading3"/>
      </w:pPr>
      <w:r w:rsidRPr="00781112">
        <w:t>1</w:t>
      </w:r>
      <w:r w:rsidR="00B90835" w:rsidRPr="00781112">
        <w:t>7</w:t>
      </w:r>
      <w:r w:rsidRPr="00781112">
        <w:t xml:space="preserve"> - Prior FFY Required Actions</w:t>
      </w:r>
    </w:p>
    <w:p w14:paraId="6D4FDD87" w14:textId="61973738" w:rsidR="00AE1972" w:rsidRPr="006C5896" w:rsidRDefault="00AE1972" w:rsidP="00314F94">
      <w:pPr>
        <w:pStyle w:val="ListParagraph"/>
        <w:numPr>
          <w:ilvl w:val="0"/>
          <w:numId w:val="313"/>
        </w:numPr>
        <w:rPr>
          <w:color w:val="000000" w:themeColor="text1"/>
        </w:rPr>
      </w:pPr>
      <w:r w:rsidRPr="006C5896">
        <w:rPr>
          <w:color w:val="000000" w:themeColor="text1"/>
        </w:rPr>
        <w:t>None</w:t>
      </w:r>
    </w:p>
    <w:p w14:paraId="26525888" w14:textId="754A2C29" w:rsidR="00AE1972" w:rsidRPr="00781112" w:rsidRDefault="00AE1972" w:rsidP="00A22EB9">
      <w:pPr>
        <w:pStyle w:val="Heading3"/>
      </w:pPr>
      <w:r w:rsidRPr="00781112">
        <w:t>1</w:t>
      </w:r>
      <w:r w:rsidR="00B90835" w:rsidRPr="00781112">
        <w:t>7</w:t>
      </w:r>
      <w:r w:rsidRPr="00781112">
        <w:t xml:space="preserve"> - OSEP Response</w:t>
      </w:r>
    </w:p>
    <w:p w14:paraId="36D9561D" w14:textId="77777777" w:rsidR="00EA3851" w:rsidRPr="006C5896" w:rsidRDefault="00AE1972" w:rsidP="00314F94">
      <w:pPr>
        <w:pStyle w:val="ListParagraph"/>
        <w:numPr>
          <w:ilvl w:val="0"/>
          <w:numId w:val="314"/>
        </w:numPr>
        <w:rPr>
          <w:color w:val="000000" w:themeColor="text1"/>
        </w:rPr>
      </w:pPr>
      <w:r w:rsidRPr="006C5896">
        <w:rPr>
          <w:color w:val="000000" w:themeColor="text1"/>
        </w:rPr>
        <w:t>The State provided targets for FFYs 2020 through 2025 for this indicator, and OSEP accepts those targets.</w:t>
      </w:r>
    </w:p>
    <w:p w14:paraId="401B2D8D" w14:textId="4A298B7F" w:rsidR="00AE1972" w:rsidRPr="00781112" w:rsidRDefault="00AE1972" w:rsidP="00426122">
      <w:pPr>
        <w:ind w:left="720"/>
        <w:rPr>
          <w:color w:val="000000" w:themeColor="text1"/>
        </w:rPr>
      </w:pPr>
      <w:r w:rsidRPr="00781112">
        <w:rPr>
          <w:color w:val="000000" w:themeColor="text1"/>
        </w:rPr>
        <w:t>The State provided an explanation of how COVID-19 impacted its ability to collect FFY 2020 data for this indicator and steps the State has taken to mitigate the impact of COVID-19 on data collection.</w:t>
      </w:r>
    </w:p>
    <w:p w14:paraId="6DAF5363" w14:textId="73CEA9C3" w:rsidR="00AE1972" w:rsidRPr="00781112" w:rsidRDefault="00AE1972" w:rsidP="00A22EB9">
      <w:pPr>
        <w:pStyle w:val="Heading3"/>
      </w:pPr>
      <w:r w:rsidRPr="00781112">
        <w:t>1</w:t>
      </w:r>
      <w:r w:rsidR="00B90835" w:rsidRPr="00781112">
        <w:t>7</w:t>
      </w:r>
      <w:r w:rsidRPr="00781112">
        <w:t xml:space="preserve"> - Required Actions</w:t>
      </w:r>
    </w:p>
    <w:p w14:paraId="7081808E" w14:textId="65A91E78" w:rsidR="000532EB" w:rsidRPr="006C5896" w:rsidRDefault="00EA3851" w:rsidP="00314F94">
      <w:pPr>
        <w:pStyle w:val="ListParagraph"/>
        <w:numPr>
          <w:ilvl w:val="0"/>
          <w:numId w:val="315"/>
        </w:numPr>
        <w:rPr>
          <w:color w:val="000000" w:themeColor="text1"/>
        </w:rPr>
      </w:pPr>
      <w:r w:rsidRPr="006C5896">
        <w:rPr>
          <w:color w:val="000000" w:themeColor="text1"/>
        </w:rPr>
        <w:t>Not applicable</w:t>
      </w:r>
      <w:r w:rsidR="000532EB" w:rsidRPr="006C5896">
        <w:rPr>
          <w:color w:val="000000" w:themeColor="text1"/>
        </w:rPr>
        <w:br w:type="page"/>
      </w:r>
    </w:p>
    <w:p w14:paraId="47A15380" w14:textId="2BFE46A7" w:rsidR="00251CC0" w:rsidRPr="008143AB" w:rsidRDefault="00755AF7" w:rsidP="008143AB">
      <w:pPr>
        <w:pStyle w:val="Heading2"/>
      </w:pPr>
      <w:r w:rsidRPr="008143AB">
        <w:lastRenderedPageBreak/>
        <w:t>Certification</w:t>
      </w:r>
    </w:p>
    <w:p w14:paraId="49BAFEB2" w14:textId="460D7FCE" w:rsidR="00EC1064" w:rsidRPr="00EA3851" w:rsidRDefault="00EC1064" w:rsidP="008143AB">
      <w:pPr>
        <w:pStyle w:val="Heading3"/>
      </w:pPr>
      <w:r w:rsidRPr="00EA3851">
        <w:t>Instructions</w:t>
      </w:r>
    </w:p>
    <w:p w14:paraId="1D3FABB8" w14:textId="49984077" w:rsidR="00EC1064" w:rsidRPr="00EA3851" w:rsidRDefault="00C723F9" w:rsidP="00EA3851">
      <w:pPr>
        <w:autoSpaceDE w:val="0"/>
        <w:autoSpaceDN w:val="0"/>
        <w:adjustRightInd w:val="0"/>
        <w:rPr>
          <w:rFonts w:cs="Arial"/>
          <w:b/>
          <w:bCs/>
          <w:color w:val="000000" w:themeColor="text1"/>
          <w:szCs w:val="24"/>
        </w:rPr>
      </w:pPr>
      <w:r w:rsidRPr="00EA3851">
        <w:rPr>
          <w:rFonts w:cs="Arial"/>
          <w:b/>
          <w:bCs/>
          <w:color w:val="000000" w:themeColor="text1"/>
          <w:szCs w:val="24"/>
        </w:rPr>
        <w:t>Choose the appropriate selection and complete all the certification information fields. Then click the "Submit" button to submit your APR.</w:t>
      </w:r>
    </w:p>
    <w:p w14:paraId="01D5737F" w14:textId="0EECE8DE" w:rsidR="00EC1064" w:rsidRPr="00EA3851" w:rsidRDefault="00EC1064" w:rsidP="008143AB">
      <w:pPr>
        <w:pStyle w:val="Heading3"/>
      </w:pPr>
      <w:r w:rsidRPr="00EA3851">
        <w:t>Certify</w:t>
      </w:r>
    </w:p>
    <w:p w14:paraId="55390454" w14:textId="09D075B1" w:rsidR="00262BC0" w:rsidRPr="00EA3851" w:rsidRDefault="00262BC0" w:rsidP="00EA3851">
      <w:pPr>
        <w:autoSpaceDE w:val="0"/>
        <w:autoSpaceDN w:val="0"/>
        <w:adjustRightInd w:val="0"/>
        <w:rPr>
          <w:rFonts w:cs="Arial"/>
          <w:b/>
          <w:bCs/>
          <w:color w:val="000000" w:themeColor="text1"/>
          <w:szCs w:val="24"/>
        </w:rPr>
      </w:pPr>
      <w:r w:rsidRPr="00EA3851">
        <w:rPr>
          <w:rFonts w:cs="Arial"/>
          <w:b/>
          <w:bCs/>
          <w:color w:val="000000" w:themeColor="text1"/>
          <w:szCs w:val="24"/>
        </w:rPr>
        <w:t>I certify that I am the Chief State School Officer of the State, or his or her designee, and that the State's submission of its IDEA Part B State Performance Plan/Annual Performance Report is accurate.</w:t>
      </w:r>
    </w:p>
    <w:p w14:paraId="6B93509D" w14:textId="70EDDFDB" w:rsidR="008D2663" w:rsidRPr="00EA3851" w:rsidRDefault="00262BC0" w:rsidP="008143AB">
      <w:pPr>
        <w:pStyle w:val="Heading3"/>
      </w:pPr>
      <w:r w:rsidRPr="00EA3851">
        <w:t>Select the certifier’s role:</w:t>
      </w:r>
    </w:p>
    <w:p w14:paraId="0767E5C8" w14:textId="70B1D176" w:rsidR="00262BC0" w:rsidRPr="006C5896" w:rsidRDefault="002B7490" w:rsidP="00314F94">
      <w:pPr>
        <w:pStyle w:val="ListParagraph"/>
        <w:numPr>
          <w:ilvl w:val="0"/>
          <w:numId w:val="316"/>
        </w:numPr>
        <w:autoSpaceDE w:val="0"/>
        <w:autoSpaceDN w:val="0"/>
        <w:adjustRightInd w:val="0"/>
        <w:rPr>
          <w:rFonts w:cs="Arial"/>
          <w:bCs/>
          <w:color w:val="000000" w:themeColor="text1"/>
          <w:szCs w:val="24"/>
        </w:rPr>
      </w:pPr>
      <w:r w:rsidRPr="006C5896">
        <w:rPr>
          <w:rFonts w:cs="Arial"/>
          <w:bCs/>
          <w:color w:val="000000" w:themeColor="text1"/>
          <w:szCs w:val="24"/>
        </w:rPr>
        <w:t>Designated by the Chief State School Officer to certify</w:t>
      </w:r>
    </w:p>
    <w:p w14:paraId="0D4B9819" w14:textId="38C2D4E8" w:rsidR="00262BC0" w:rsidRPr="00EA3851" w:rsidRDefault="00262BC0" w:rsidP="008143AB">
      <w:pPr>
        <w:pStyle w:val="Heading3"/>
      </w:pPr>
      <w:r w:rsidRPr="00EA3851">
        <w:t>Name and title of the individual certifying the accuracy of the State's submission of its IDEA Part B State Performance Plan/Annual Performance Report.</w:t>
      </w:r>
    </w:p>
    <w:p w14:paraId="3B5F1CED" w14:textId="3616B8C9" w:rsidR="00755AF7" w:rsidRPr="00EA3851" w:rsidRDefault="00755AF7" w:rsidP="008143AB">
      <w:pPr>
        <w:pStyle w:val="Heading4"/>
      </w:pPr>
      <w:bookmarkStart w:id="127" w:name="_Hlk20318241"/>
      <w:r w:rsidRPr="00EA3851">
        <w:t>Name:</w:t>
      </w:r>
    </w:p>
    <w:p w14:paraId="4AE58D3C" w14:textId="25F9FA75" w:rsidR="00755AF7" w:rsidRPr="006C5896" w:rsidRDefault="002B7490" w:rsidP="00314F94">
      <w:pPr>
        <w:pStyle w:val="ListParagraph"/>
        <w:numPr>
          <w:ilvl w:val="0"/>
          <w:numId w:val="317"/>
        </w:numPr>
        <w:autoSpaceDE w:val="0"/>
        <w:autoSpaceDN w:val="0"/>
        <w:adjustRightInd w:val="0"/>
        <w:rPr>
          <w:rFonts w:cs="Arial"/>
          <w:color w:val="000000" w:themeColor="text1"/>
          <w:szCs w:val="24"/>
        </w:rPr>
      </w:pPr>
      <w:r w:rsidRPr="006C5896">
        <w:rPr>
          <w:rFonts w:cs="Arial"/>
          <w:color w:val="000000" w:themeColor="text1"/>
          <w:szCs w:val="24"/>
        </w:rPr>
        <w:t>Dr. Samantha Hollins</w:t>
      </w:r>
    </w:p>
    <w:p w14:paraId="6368082B" w14:textId="6F0F3951" w:rsidR="00755AF7" w:rsidRPr="00EA3851" w:rsidRDefault="00EF4A6B" w:rsidP="008143AB">
      <w:pPr>
        <w:pStyle w:val="Heading4"/>
      </w:pPr>
      <w:r w:rsidRPr="00EA3851">
        <w:t>Title:</w:t>
      </w:r>
    </w:p>
    <w:p w14:paraId="290E3D81" w14:textId="5C618752" w:rsidR="00755AF7" w:rsidRPr="006C5896" w:rsidRDefault="002B7490" w:rsidP="00314F94">
      <w:pPr>
        <w:pStyle w:val="ListParagraph"/>
        <w:numPr>
          <w:ilvl w:val="0"/>
          <w:numId w:val="318"/>
        </w:numPr>
        <w:autoSpaceDE w:val="0"/>
        <w:autoSpaceDN w:val="0"/>
        <w:adjustRightInd w:val="0"/>
        <w:rPr>
          <w:rFonts w:cs="Arial"/>
          <w:color w:val="000000" w:themeColor="text1"/>
          <w:szCs w:val="24"/>
        </w:rPr>
      </w:pPr>
      <w:r w:rsidRPr="006C5896">
        <w:rPr>
          <w:rFonts w:cs="Arial"/>
          <w:color w:val="000000" w:themeColor="text1"/>
          <w:szCs w:val="24"/>
        </w:rPr>
        <w:t>Assistant Superintendent, Special Education and Student Services</w:t>
      </w:r>
    </w:p>
    <w:p w14:paraId="67DC6813" w14:textId="570828BA" w:rsidR="00755AF7" w:rsidRPr="00EA3851" w:rsidRDefault="00925E33" w:rsidP="008143AB">
      <w:pPr>
        <w:pStyle w:val="Heading4"/>
      </w:pPr>
      <w:r w:rsidRPr="00EA3851">
        <w:t>Email:</w:t>
      </w:r>
    </w:p>
    <w:p w14:paraId="0D9187A2" w14:textId="4FB8F790" w:rsidR="00755AF7" w:rsidRPr="006C5896" w:rsidRDefault="002B5D98" w:rsidP="00314F94">
      <w:pPr>
        <w:pStyle w:val="ListParagraph"/>
        <w:numPr>
          <w:ilvl w:val="0"/>
          <w:numId w:val="319"/>
        </w:numPr>
        <w:autoSpaceDE w:val="0"/>
        <w:autoSpaceDN w:val="0"/>
        <w:adjustRightInd w:val="0"/>
        <w:rPr>
          <w:rFonts w:cs="Arial"/>
          <w:color w:val="000000" w:themeColor="text1"/>
          <w:szCs w:val="24"/>
        </w:rPr>
      </w:pPr>
      <w:hyperlink r:id="rId23" w:history="1">
        <w:r w:rsidR="00087938" w:rsidRPr="006C5896">
          <w:rPr>
            <w:rStyle w:val="Hyperlink"/>
            <w:rFonts w:cs="Arial"/>
            <w:szCs w:val="24"/>
          </w:rPr>
          <w:t>samantha.hollins@doe.virginia.gov</w:t>
        </w:r>
      </w:hyperlink>
    </w:p>
    <w:p w14:paraId="230D0674" w14:textId="3A323DD4" w:rsidR="00755AF7" w:rsidRPr="00EA3851" w:rsidRDefault="00EF4A6B" w:rsidP="008143AB">
      <w:pPr>
        <w:pStyle w:val="Heading4"/>
      </w:pPr>
      <w:r w:rsidRPr="00EA3851">
        <w:t>Phone:</w:t>
      </w:r>
    </w:p>
    <w:p w14:paraId="5A421E1A" w14:textId="3C4EA133" w:rsidR="00DD2023" w:rsidRPr="006C5896" w:rsidRDefault="002B7490" w:rsidP="00314F94">
      <w:pPr>
        <w:pStyle w:val="ListParagraph"/>
        <w:numPr>
          <w:ilvl w:val="0"/>
          <w:numId w:val="320"/>
        </w:numPr>
        <w:autoSpaceDE w:val="0"/>
        <w:autoSpaceDN w:val="0"/>
        <w:adjustRightInd w:val="0"/>
        <w:rPr>
          <w:rFonts w:cs="Arial"/>
          <w:color w:val="000000" w:themeColor="text1"/>
          <w:szCs w:val="24"/>
        </w:rPr>
      </w:pPr>
      <w:r w:rsidRPr="006C5896">
        <w:rPr>
          <w:rFonts w:cs="Arial"/>
          <w:color w:val="000000" w:themeColor="text1"/>
          <w:szCs w:val="24"/>
        </w:rPr>
        <w:t>804-786-8079</w:t>
      </w:r>
    </w:p>
    <w:bookmarkEnd w:id="127"/>
    <w:p w14:paraId="17E495D6" w14:textId="2B4E1FA8" w:rsidR="000657F0" w:rsidRPr="00EA3851" w:rsidRDefault="00C773DB" w:rsidP="008143AB">
      <w:pPr>
        <w:pStyle w:val="Heading4"/>
      </w:pPr>
      <w:r w:rsidRPr="00EA3851">
        <w:t>Submitted on:</w:t>
      </w:r>
    </w:p>
    <w:p w14:paraId="596B3C30" w14:textId="36EC7A92" w:rsidR="00755AF7" w:rsidRPr="006C5896" w:rsidRDefault="006879FA" w:rsidP="00314F94">
      <w:pPr>
        <w:pStyle w:val="ListParagraph"/>
        <w:numPr>
          <w:ilvl w:val="0"/>
          <w:numId w:val="321"/>
        </w:numPr>
        <w:tabs>
          <w:tab w:val="center" w:pos="5400"/>
        </w:tabs>
        <w:autoSpaceDE w:val="0"/>
        <w:autoSpaceDN w:val="0"/>
        <w:adjustRightInd w:val="0"/>
        <w:rPr>
          <w:rFonts w:cs="Arial"/>
          <w:color w:val="000000" w:themeColor="text1"/>
          <w:szCs w:val="24"/>
        </w:rPr>
      </w:pPr>
      <w:r w:rsidRPr="006C5896">
        <w:rPr>
          <w:rFonts w:cs="Arial"/>
          <w:color w:val="000000" w:themeColor="text1"/>
          <w:szCs w:val="24"/>
        </w:rPr>
        <w:t>04/26/</w:t>
      </w:r>
      <w:proofErr w:type="gramStart"/>
      <w:r w:rsidRPr="006C5896">
        <w:rPr>
          <w:rFonts w:cs="Arial"/>
          <w:color w:val="000000" w:themeColor="text1"/>
          <w:szCs w:val="24"/>
        </w:rPr>
        <w:t>22  4:37:51</w:t>
      </w:r>
      <w:proofErr w:type="gramEnd"/>
      <w:r w:rsidRPr="006C5896">
        <w:rPr>
          <w:rFonts w:cs="Arial"/>
          <w:color w:val="000000" w:themeColor="text1"/>
          <w:szCs w:val="24"/>
        </w:rPr>
        <w:t xml:space="preserve"> PM</w:t>
      </w:r>
    </w:p>
    <w:sectPr w:rsidR="00755AF7" w:rsidRPr="006C5896" w:rsidSect="00DE2CFA">
      <w:footerReference w:type="default" r:id="rId24"/>
      <w:pgSz w:w="12240" w:h="15840" w:code="1"/>
      <w:pgMar w:top="720" w:right="720" w:bottom="720" w:left="72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E0E2" w14:textId="77777777" w:rsidR="002B5D98" w:rsidRDefault="002B5D98" w:rsidP="000802F7">
      <w:pPr>
        <w:spacing w:after="0"/>
      </w:pPr>
      <w:r>
        <w:separator/>
      </w:r>
    </w:p>
  </w:endnote>
  <w:endnote w:type="continuationSeparator" w:id="0">
    <w:p w14:paraId="2BA307F4" w14:textId="77777777" w:rsidR="002B5D98" w:rsidRDefault="002B5D98" w:rsidP="000802F7">
      <w:pPr>
        <w:spacing w:after="0"/>
      </w:pPr>
      <w:r>
        <w:continuationSeparator/>
      </w:r>
    </w:p>
  </w:endnote>
  <w:endnote w:type="continuationNotice" w:id="1">
    <w:p w14:paraId="273A010B" w14:textId="77777777" w:rsidR="002B5D98" w:rsidRDefault="002B5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4FF3" w14:textId="6E518A52" w:rsidR="006B5750" w:rsidRDefault="006B5750" w:rsidP="00A06AB0">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D216" w14:textId="77777777" w:rsidR="002B5D98" w:rsidRDefault="002B5D98" w:rsidP="000802F7">
      <w:pPr>
        <w:spacing w:after="0"/>
      </w:pPr>
      <w:r>
        <w:separator/>
      </w:r>
    </w:p>
  </w:footnote>
  <w:footnote w:type="continuationSeparator" w:id="0">
    <w:p w14:paraId="14EFC45C" w14:textId="77777777" w:rsidR="002B5D98" w:rsidRDefault="002B5D98" w:rsidP="000802F7">
      <w:pPr>
        <w:spacing w:after="0"/>
      </w:pPr>
      <w:r>
        <w:continuationSeparator/>
      </w:r>
    </w:p>
  </w:footnote>
  <w:footnote w:type="continuationNotice" w:id="1">
    <w:p w14:paraId="1153A2EE" w14:textId="77777777" w:rsidR="002B5D98" w:rsidRDefault="002B5D98">
      <w:pPr>
        <w:spacing w:after="0"/>
      </w:pPr>
    </w:p>
  </w:footnote>
  <w:footnote w:id="2">
    <w:p w14:paraId="201F0B5A" w14:textId="09B88785" w:rsidR="007A0DB8" w:rsidRDefault="007A0DB8" w:rsidP="007A0DB8">
      <w:pPr>
        <w:spacing w:before="240"/>
      </w:pPr>
      <w:r>
        <w:rPr>
          <w:rStyle w:val="FootnoteReference"/>
        </w:rPr>
        <w:footnoteRef/>
      </w:r>
      <w:r>
        <w:t xml:space="preserve"> *</w:t>
      </w:r>
      <w:r w:rsidR="00572E2A">
        <w:t xml:space="preserve"> = </w:t>
      </w:r>
      <w:r w:rsidRPr="000F6E74">
        <w:t>The children with IEPs count excludes children with disabilities who were reported as exempt due to significant medical emergency in row a for all the prefilled data in this indicator.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19.5pt;height:18.75pt;visibility:visible;mso-wrap-style:square" o:bullet="t">
        <v:imagedata r:id="rId1" o:title="" croptop="12526f" cropbottom="7411f" cropleft="12045f" cropright="6359f"/>
      </v:shape>
    </w:pict>
  </w:numPicBullet>
  <w:abstractNum w:abstractNumId="0" w15:restartNumberingAfterBreak="0">
    <w:nsid w:val="FFFFFF7C"/>
    <w:multiLevelType w:val="singleLevel"/>
    <w:tmpl w:val="539AA8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FC4D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36C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68B1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FCB8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6EB0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DE0F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7ABC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7218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D6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622"/>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877664"/>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957A72"/>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BB3429"/>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10D0151"/>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12F22AB"/>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304984"/>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1AA0C46"/>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29253A3"/>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ED622A"/>
    <w:multiLevelType w:val="hybridMultilevel"/>
    <w:tmpl w:val="821E5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A216FE"/>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40B432B"/>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4DD4255"/>
    <w:multiLevelType w:val="hybridMultilevel"/>
    <w:tmpl w:val="FB4AFC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5DF7751"/>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5F41D9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87B13CA"/>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93B3F84"/>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97047C4"/>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97B749B"/>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9901276"/>
    <w:multiLevelType w:val="hybridMultilevel"/>
    <w:tmpl w:val="B6C8B4E8"/>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D73495"/>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A4B1617"/>
    <w:multiLevelType w:val="hybridMultilevel"/>
    <w:tmpl w:val="3738B636"/>
    <w:lvl w:ilvl="0" w:tplc="FF248DB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3B77A4"/>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C0E1684"/>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C6F2B0A"/>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C7358C0"/>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C862382"/>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CAC57A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E534649"/>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0E5D2888"/>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EB267B2"/>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F001AE2"/>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02A3D98"/>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0606DB1"/>
    <w:multiLevelType w:val="hybridMultilevel"/>
    <w:tmpl w:val="0184A030"/>
    <w:lvl w:ilvl="0" w:tplc="0E96C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AD7296"/>
    <w:multiLevelType w:val="hybridMultilevel"/>
    <w:tmpl w:val="85FA6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8017C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119D7A73"/>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1B165D6"/>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1D975C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21609F9"/>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1277062B"/>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2B3140D"/>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30E41E3"/>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3F0007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4566382"/>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4D271CE"/>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14E30B72"/>
    <w:multiLevelType w:val="hybridMultilevel"/>
    <w:tmpl w:val="F06ADBEA"/>
    <w:lvl w:ilvl="0" w:tplc="ADECC630">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5C609E3"/>
    <w:multiLevelType w:val="hybridMultilevel"/>
    <w:tmpl w:val="D0DACB3E"/>
    <w:lvl w:ilvl="0" w:tplc="FF248DB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5DA74F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15DD7C5E"/>
    <w:multiLevelType w:val="hybridMultilevel"/>
    <w:tmpl w:val="33525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7A82FD9"/>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7B532FD"/>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7C93533"/>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181F099E"/>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8647CFB"/>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18837D05"/>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8884325"/>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90C051B"/>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19923EBC"/>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1AEB4F2B"/>
    <w:multiLevelType w:val="hybridMultilevel"/>
    <w:tmpl w:val="F0628760"/>
    <w:lvl w:ilvl="0" w:tplc="D76A96A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C424424"/>
    <w:multiLevelType w:val="hybridMultilevel"/>
    <w:tmpl w:val="A8869562"/>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C5814F5"/>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C757B03"/>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D643DF5"/>
    <w:multiLevelType w:val="hybridMultilevel"/>
    <w:tmpl w:val="3EDAB58C"/>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1D950360"/>
    <w:multiLevelType w:val="hybridMultilevel"/>
    <w:tmpl w:val="50E60D1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1DBF4F86"/>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1DD82B61"/>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1E76582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1F7F0FAE"/>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1F912B0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0744280"/>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20A51E57"/>
    <w:multiLevelType w:val="hybridMultilevel"/>
    <w:tmpl w:val="61743DEC"/>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1B601EA"/>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21D94963"/>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21B2FE2"/>
    <w:multiLevelType w:val="hybridMultilevel"/>
    <w:tmpl w:val="492EE188"/>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247448F"/>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2C768EC"/>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30D68A4"/>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236C253F"/>
    <w:multiLevelType w:val="hybridMultilevel"/>
    <w:tmpl w:val="58902996"/>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3D603F6"/>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23D85526"/>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41A2128"/>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24271416"/>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24283950"/>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24394738"/>
    <w:multiLevelType w:val="hybridMultilevel"/>
    <w:tmpl w:val="C9EE5998"/>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45911C6"/>
    <w:multiLevelType w:val="hybridMultilevel"/>
    <w:tmpl w:val="21AE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4AA4FA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24F91A23"/>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25381BBE"/>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25473DAC"/>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25654489"/>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25683F10"/>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5990DD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25D64A9B"/>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5DE73A0"/>
    <w:multiLevelType w:val="hybridMultilevel"/>
    <w:tmpl w:val="3A08C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6971DD0"/>
    <w:multiLevelType w:val="hybridMultilevel"/>
    <w:tmpl w:val="D3365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6D743E9"/>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7D006E6"/>
    <w:multiLevelType w:val="hybridMultilevel"/>
    <w:tmpl w:val="3EDAB58C"/>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28580536"/>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297C263A"/>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298B70D2"/>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29C473CA"/>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A2D4299"/>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A74524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2B052A9D"/>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2BE40951"/>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2BEB1CE3"/>
    <w:multiLevelType w:val="hybridMultilevel"/>
    <w:tmpl w:val="9C7E1274"/>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2BFE6302"/>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2C190607"/>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2C4A5AE5"/>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2CD06406"/>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2CEB6382"/>
    <w:multiLevelType w:val="hybridMultilevel"/>
    <w:tmpl w:val="8766B974"/>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D51317B"/>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2DD800E8"/>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2E2033F1"/>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2E787638"/>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2EB91C9D"/>
    <w:multiLevelType w:val="hybridMultilevel"/>
    <w:tmpl w:val="3EDAB58C"/>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2F285ABB"/>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2F4B7CFC"/>
    <w:multiLevelType w:val="hybridMultilevel"/>
    <w:tmpl w:val="5E9044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F6564A7"/>
    <w:multiLevelType w:val="hybridMultilevel"/>
    <w:tmpl w:val="B90A245E"/>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2FA160F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2FD53C1F"/>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FE652E2"/>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3012598C"/>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30224441"/>
    <w:multiLevelType w:val="hybridMultilevel"/>
    <w:tmpl w:val="5B5688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09D29E3"/>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30BA1DC4"/>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3169501D"/>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31927E1F"/>
    <w:multiLevelType w:val="hybridMultilevel"/>
    <w:tmpl w:val="7F102C50"/>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1DC6EEB"/>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29D7760"/>
    <w:multiLevelType w:val="hybridMultilevel"/>
    <w:tmpl w:val="03DC8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2CE4821"/>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30C1051"/>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33963F7A"/>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33AE69CD"/>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43F17C6"/>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3532773C"/>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36495DB1"/>
    <w:multiLevelType w:val="hybridMultilevel"/>
    <w:tmpl w:val="45648D3E"/>
    <w:lvl w:ilvl="0" w:tplc="FF248DB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6CC015E"/>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36D675FE"/>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51" w15:restartNumberingAfterBreak="0">
    <w:nsid w:val="36F9284E"/>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37282978"/>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38B41A63"/>
    <w:multiLevelType w:val="hybridMultilevel"/>
    <w:tmpl w:val="07BE7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92D27A1"/>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3A7430D3"/>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3A83785A"/>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3AED67FB"/>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3B143B7A"/>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3C03723C"/>
    <w:multiLevelType w:val="hybridMultilevel"/>
    <w:tmpl w:val="3E325B2E"/>
    <w:lvl w:ilvl="0" w:tplc="1FDA78C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CF00D1F"/>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3D9C3864"/>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3DD97AE1"/>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3DFD42DA"/>
    <w:multiLevelType w:val="hybridMultilevel"/>
    <w:tmpl w:val="9FAC3A3E"/>
    <w:lvl w:ilvl="0" w:tplc="ADECC630">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3E10342C"/>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3E13320A"/>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3E1F62E6"/>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3EC7243A"/>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3EFE663E"/>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3F32250E"/>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3F6F5650"/>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3FBF3283"/>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3FE871C0"/>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40762EB7"/>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41D70F81"/>
    <w:multiLevelType w:val="hybridMultilevel"/>
    <w:tmpl w:val="067AC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1DB306D"/>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41DF4DC1"/>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41E23C7C"/>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422374B0"/>
    <w:multiLevelType w:val="hybridMultilevel"/>
    <w:tmpl w:val="3EDAB58C"/>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425C765A"/>
    <w:multiLevelType w:val="hybridMultilevel"/>
    <w:tmpl w:val="10A636E0"/>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2917977"/>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1" w15:restartNumberingAfterBreak="0">
    <w:nsid w:val="42AC0FDD"/>
    <w:multiLevelType w:val="hybridMultilevel"/>
    <w:tmpl w:val="66205108"/>
    <w:lvl w:ilvl="0" w:tplc="ADECC630">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39B6567"/>
    <w:multiLevelType w:val="hybridMultilevel"/>
    <w:tmpl w:val="EE1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5842D0E"/>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45C4299F"/>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45E47A3D"/>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467E1738"/>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4698780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46A56BC9"/>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46F73831"/>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475C6103"/>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47EE454B"/>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4851006C"/>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486B636A"/>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49DE7F9C"/>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4A37702B"/>
    <w:multiLevelType w:val="hybridMultilevel"/>
    <w:tmpl w:val="DD907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AC369ED"/>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15:restartNumberingAfterBreak="0">
    <w:nsid w:val="4B692FC7"/>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4B8B6102"/>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4BB77E28"/>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0" w15:restartNumberingAfterBreak="0">
    <w:nsid w:val="4BF83943"/>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4C11748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4CF04C84"/>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4D99248A"/>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4DB31823"/>
    <w:multiLevelType w:val="hybridMultilevel"/>
    <w:tmpl w:val="75F6FCFE"/>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4E0307D4"/>
    <w:multiLevelType w:val="hybridMultilevel"/>
    <w:tmpl w:val="46C8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E5441DA"/>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4EAB349F"/>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EAD068D"/>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5012056B"/>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504D6E54"/>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50DF3773"/>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51142A9C"/>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51C129F0"/>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521C47BA"/>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525379B0"/>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526707E2"/>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52FC4E57"/>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53400B10"/>
    <w:multiLevelType w:val="hybridMultilevel"/>
    <w:tmpl w:val="5CA48EE0"/>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539F448F"/>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53B767CD"/>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548237E7"/>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54A8742B"/>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54C000F5"/>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55283A39"/>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55626B34"/>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55B67D96"/>
    <w:multiLevelType w:val="hybridMultilevel"/>
    <w:tmpl w:val="6A5A67D2"/>
    <w:lvl w:ilvl="0" w:tplc="01988F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5F854C0"/>
    <w:multiLevelType w:val="hybridMultilevel"/>
    <w:tmpl w:val="3EDAB58C"/>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56013408"/>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564F5068"/>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565260D5"/>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56762711"/>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582F5ABA"/>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58AC0EAA"/>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590133B8"/>
    <w:multiLevelType w:val="hybridMultilevel"/>
    <w:tmpl w:val="BE08EF90"/>
    <w:lvl w:ilvl="0" w:tplc="068ED552">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59902FF9"/>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59D470D5"/>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5A0A0820"/>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8" w15:restartNumberingAfterBreak="0">
    <w:nsid w:val="5A524E9D"/>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5A873505"/>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5AAD769B"/>
    <w:multiLevelType w:val="hybridMultilevel"/>
    <w:tmpl w:val="3EDAB58C"/>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5BD36D20"/>
    <w:multiLevelType w:val="hybridMultilevel"/>
    <w:tmpl w:val="760E5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BDA0EAB"/>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5C062AD7"/>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5C2D729A"/>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5CC250ED"/>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5D956FB4"/>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5DA83FAA"/>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5E133FC9"/>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5E384FEF"/>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5E7B6661"/>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5EF8175B"/>
    <w:multiLevelType w:val="hybridMultilevel"/>
    <w:tmpl w:val="50E60D1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5F1C07EE"/>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5F7D0626"/>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60AA265A"/>
    <w:multiLevelType w:val="hybridMultilevel"/>
    <w:tmpl w:val="22E06C28"/>
    <w:lvl w:ilvl="0" w:tplc="1FDA78C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0E03EB6"/>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60FC6F33"/>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61071454"/>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61263F3E"/>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614C6482"/>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624A7024"/>
    <w:multiLevelType w:val="hybridMultilevel"/>
    <w:tmpl w:val="E7FA0F88"/>
    <w:lvl w:ilvl="0" w:tplc="9F8E915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2E81BB8"/>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6335349E"/>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63383930"/>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640F5A71"/>
    <w:multiLevelType w:val="hybridMultilevel"/>
    <w:tmpl w:val="A8402AEE"/>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5" w15:restartNumberingAfterBreak="0">
    <w:nsid w:val="65EA0071"/>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65F82221"/>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7" w15:restartNumberingAfterBreak="0">
    <w:nsid w:val="662B3B58"/>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663C5215"/>
    <w:multiLevelType w:val="hybridMultilevel"/>
    <w:tmpl w:val="83748BBA"/>
    <w:lvl w:ilvl="0" w:tplc="74627354">
      <w:start w:val="1"/>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665228E6"/>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15:restartNumberingAfterBreak="0">
    <w:nsid w:val="6668608F"/>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668266F3"/>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66AB758E"/>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66CC6A56"/>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76F5F50"/>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6" w15:restartNumberingAfterBreak="0">
    <w:nsid w:val="688D28BA"/>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7" w15:restartNumberingAfterBreak="0">
    <w:nsid w:val="69244C80"/>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69890254"/>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69B6447A"/>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0" w15:restartNumberingAfterBreak="0">
    <w:nsid w:val="6A5218FB"/>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1"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AD25864"/>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6B6D0548"/>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15:restartNumberingAfterBreak="0">
    <w:nsid w:val="6D325725"/>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6D7D2BF8"/>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6DDC522A"/>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6E7556BF"/>
    <w:multiLevelType w:val="hybridMultilevel"/>
    <w:tmpl w:val="5C9AE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EA33BC4"/>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6F0E3FEA"/>
    <w:multiLevelType w:val="hybridMultilevel"/>
    <w:tmpl w:val="50E60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FFC7932"/>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704E3718"/>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70581F95"/>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3" w15:restartNumberingAfterBreak="0">
    <w:nsid w:val="70652EB8"/>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7066429E"/>
    <w:multiLevelType w:val="hybridMultilevel"/>
    <w:tmpl w:val="D01A2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0680476"/>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708B4D92"/>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7" w15:restartNumberingAfterBreak="0">
    <w:nsid w:val="711D3AFC"/>
    <w:multiLevelType w:val="hybridMultilevel"/>
    <w:tmpl w:val="205CE8CE"/>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8" w15:restartNumberingAfterBreak="0">
    <w:nsid w:val="716A4786"/>
    <w:multiLevelType w:val="hybridMultilevel"/>
    <w:tmpl w:val="35126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17D09C1"/>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71DD7C62"/>
    <w:multiLevelType w:val="hybridMultilevel"/>
    <w:tmpl w:val="A8402AE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73067105"/>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73525955"/>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73A844A9"/>
    <w:multiLevelType w:val="hybridMultilevel"/>
    <w:tmpl w:val="5CA48EE0"/>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73B961BD"/>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5" w15:restartNumberingAfterBreak="0">
    <w:nsid w:val="73C52C9E"/>
    <w:multiLevelType w:val="hybridMultilevel"/>
    <w:tmpl w:val="7F2E924A"/>
    <w:lvl w:ilvl="0" w:tplc="ADECC630">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73EF6D06"/>
    <w:multiLevelType w:val="hybridMultilevel"/>
    <w:tmpl w:val="C9B0E17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74041BC5"/>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748B5187"/>
    <w:multiLevelType w:val="hybridMultilevel"/>
    <w:tmpl w:val="3EDAB58C"/>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74CE49B1"/>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53E2CB1"/>
    <w:multiLevelType w:val="hybridMultilevel"/>
    <w:tmpl w:val="5DA04C90"/>
    <w:lvl w:ilvl="0" w:tplc="80DC185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557532B"/>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76A152BE"/>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4" w15:restartNumberingAfterBreak="0">
    <w:nsid w:val="7704368E"/>
    <w:multiLevelType w:val="hybridMultilevel"/>
    <w:tmpl w:val="2B327CCA"/>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777931DB"/>
    <w:multiLevelType w:val="hybridMultilevel"/>
    <w:tmpl w:val="75F6FCF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77956F88"/>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7" w15:restartNumberingAfterBreak="0">
    <w:nsid w:val="77D204BB"/>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787E58C5"/>
    <w:multiLevelType w:val="hybridMultilevel"/>
    <w:tmpl w:val="56FA1CF6"/>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9" w15:restartNumberingAfterBreak="0">
    <w:nsid w:val="792710FA"/>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7990555D"/>
    <w:multiLevelType w:val="hybridMultilevel"/>
    <w:tmpl w:val="9C7E1274"/>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7A363471"/>
    <w:multiLevelType w:val="hybridMultilevel"/>
    <w:tmpl w:val="625866E8"/>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2" w15:restartNumberingAfterBreak="0">
    <w:nsid w:val="7A64289E"/>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7A684DD3"/>
    <w:multiLevelType w:val="hybridMultilevel"/>
    <w:tmpl w:val="3552DC9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7A710E06"/>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5" w15:restartNumberingAfterBreak="0">
    <w:nsid w:val="7BCC202E"/>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6" w15:restartNumberingAfterBreak="0">
    <w:nsid w:val="7C63476B"/>
    <w:multiLevelType w:val="hybridMultilevel"/>
    <w:tmpl w:val="205CE8C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7C8D05FC"/>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7D7306E3"/>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E991349"/>
    <w:multiLevelType w:val="hybridMultilevel"/>
    <w:tmpl w:val="1AB6047E"/>
    <w:lvl w:ilvl="0" w:tplc="1FDA78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7F7B6A40"/>
    <w:multiLevelType w:val="hybridMultilevel"/>
    <w:tmpl w:val="83748BBA"/>
    <w:lvl w:ilvl="0" w:tplc="FFFFFFFF">
      <w:start w:val="1"/>
      <w:numFmt w:val="bullet"/>
      <w:lvlText w:val="•"/>
      <w:lvlJc w:val="left"/>
      <w:pPr>
        <w:ind w:left="720" w:hanging="360"/>
      </w:pPr>
      <w:rPr>
        <w:rFonts w:ascii="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7FDE4000"/>
    <w:multiLevelType w:val="hybridMultilevel"/>
    <w:tmpl w:val="B90A245E"/>
    <w:lvl w:ilvl="0" w:tplc="FFFFFFFF">
      <w:start w:val="1"/>
      <w:numFmt w:val="bullet"/>
      <w:lvlText w:val="•"/>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81"/>
  </w:num>
  <w:num w:numId="2">
    <w:abstractNumId w:val="150"/>
  </w:num>
  <w:num w:numId="3">
    <w:abstractNumId w:val="274"/>
  </w:num>
  <w:num w:numId="4">
    <w:abstractNumId w:val="310"/>
  </w:num>
  <w:num w:numId="5">
    <w:abstractNumId w:val="105"/>
  </w:num>
  <w:num w:numId="6">
    <w:abstractNumId w:val="294"/>
  </w:num>
  <w:num w:numId="7">
    <w:abstractNumId w:val="205"/>
  </w:num>
  <w:num w:numId="8">
    <w:abstractNumId w:val="29"/>
  </w:num>
  <w:num w:numId="9">
    <w:abstractNumId w:val="134"/>
  </w:num>
  <w:num w:numId="10">
    <w:abstractNumId w:val="69"/>
  </w:num>
  <w:num w:numId="11">
    <w:abstractNumId w:val="59"/>
  </w:num>
  <w:num w:numId="12">
    <w:abstractNumId w:val="314"/>
  </w:num>
  <w:num w:numId="13">
    <w:abstractNumId w:val="19"/>
  </w:num>
  <w:num w:numId="14">
    <w:abstractNumId w:val="311"/>
  </w:num>
  <w:num w:numId="15">
    <w:abstractNumId w:val="182"/>
  </w:num>
  <w:num w:numId="16">
    <w:abstractNumId w:val="88"/>
  </w:num>
  <w:num w:numId="17">
    <w:abstractNumId w:val="241"/>
  </w:num>
  <w:num w:numId="18">
    <w:abstractNumId w:val="260"/>
  </w:num>
  <w:num w:numId="19">
    <w:abstractNumId w:val="95"/>
  </w:num>
  <w:num w:numId="20">
    <w:abstractNumId w:val="287"/>
  </w:num>
  <w:num w:numId="21">
    <w:abstractNumId w:val="234"/>
  </w:num>
  <w:num w:numId="22">
    <w:abstractNumId w:val="128"/>
  </w:num>
  <w:num w:numId="23">
    <w:abstractNumId w:val="153"/>
  </w:num>
  <w:num w:numId="24">
    <w:abstractNumId w:val="298"/>
  </w:num>
  <w:num w:numId="25">
    <w:abstractNumId w:val="44"/>
  </w:num>
  <w:num w:numId="26">
    <w:abstractNumId w:val="104"/>
  </w:num>
  <w:num w:numId="27">
    <w:abstractNumId w:val="289"/>
  </w:num>
  <w:num w:numId="28">
    <w:abstractNumId w:val="147"/>
  </w:num>
  <w:num w:numId="29">
    <w:abstractNumId w:val="57"/>
  </w:num>
  <w:num w:numId="30">
    <w:abstractNumId w:val="84"/>
  </w:num>
  <w:num w:numId="31">
    <w:abstractNumId w:val="138"/>
  </w:num>
  <w:num w:numId="32">
    <w:abstractNumId w:val="43"/>
  </w:num>
  <w:num w:numId="33">
    <w:abstractNumId w:val="31"/>
  </w:num>
  <w:num w:numId="34">
    <w:abstractNumId w:val="179"/>
  </w:num>
  <w:num w:numId="35">
    <w:abstractNumId w:val="81"/>
  </w:num>
  <w:num w:numId="36">
    <w:abstractNumId w:val="195"/>
  </w:num>
  <w:num w:numId="37">
    <w:abstractNumId w:val="174"/>
  </w:num>
  <w:num w:numId="38">
    <w:abstractNumId w:val="226"/>
  </w:num>
  <w:num w:numId="39">
    <w:abstractNumId w:val="329"/>
  </w:num>
  <w:num w:numId="40">
    <w:abstractNumId w:val="70"/>
  </w:num>
  <w:num w:numId="41">
    <w:abstractNumId w:val="94"/>
  </w:num>
  <w:num w:numId="42">
    <w:abstractNumId w:val="140"/>
  </w:num>
  <w:num w:numId="43">
    <w:abstractNumId w:val="159"/>
  </w:num>
  <w:num w:numId="44">
    <w:abstractNumId w:val="254"/>
  </w:num>
  <w:num w:numId="45">
    <w:abstractNumId w:val="121"/>
  </w:num>
  <w:num w:numId="46">
    <w:abstractNumId w:val="22"/>
  </w:num>
  <w:num w:numId="47">
    <w:abstractNumId w:val="181"/>
  </w:num>
  <w:num w:numId="48">
    <w:abstractNumId w:val="263"/>
  </w:num>
  <w:num w:numId="49">
    <w:abstractNumId w:val="286"/>
  </w:num>
  <w:num w:numId="50">
    <w:abstractNumId w:val="220"/>
  </w:num>
  <w:num w:numId="51">
    <w:abstractNumId w:val="283"/>
  </w:num>
  <w:num w:numId="52">
    <w:abstractNumId w:val="39"/>
  </w:num>
  <w:num w:numId="53">
    <w:abstractNumId w:val="54"/>
  </w:num>
  <w:num w:numId="54">
    <w:abstractNumId w:val="108"/>
  </w:num>
  <w:num w:numId="55">
    <w:abstractNumId w:val="268"/>
  </w:num>
  <w:num w:numId="56">
    <w:abstractNumId w:val="60"/>
  </w:num>
  <w:num w:numId="57">
    <w:abstractNumId w:val="74"/>
  </w:num>
  <w:num w:numId="58">
    <w:abstractNumId w:val="251"/>
  </w:num>
  <w:num w:numId="59">
    <w:abstractNumId w:val="11"/>
  </w:num>
  <w:num w:numId="60">
    <w:abstractNumId w:val="267"/>
  </w:num>
  <w:num w:numId="61">
    <w:abstractNumId w:val="279"/>
  </w:num>
  <w:num w:numId="62">
    <w:abstractNumId w:val="91"/>
  </w:num>
  <w:num w:numId="63">
    <w:abstractNumId w:val="33"/>
  </w:num>
  <w:num w:numId="64">
    <w:abstractNumId w:val="122"/>
  </w:num>
  <w:num w:numId="65">
    <w:abstractNumId w:val="229"/>
  </w:num>
  <w:num w:numId="66">
    <w:abstractNumId w:val="32"/>
  </w:num>
  <w:num w:numId="67">
    <w:abstractNumId w:val="92"/>
  </w:num>
  <w:num w:numId="68">
    <w:abstractNumId w:val="123"/>
  </w:num>
  <w:num w:numId="69">
    <w:abstractNumId w:val="30"/>
  </w:num>
  <w:num w:numId="70">
    <w:abstractNumId w:val="273"/>
  </w:num>
  <w:num w:numId="71">
    <w:abstractNumId w:val="316"/>
  </w:num>
  <w:num w:numId="72">
    <w:abstractNumId w:val="148"/>
  </w:num>
  <w:num w:numId="73">
    <w:abstractNumId w:val="269"/>
  </w:num>
  <w:num w:numId="74">
    <w:abstractNumId w:val="52"/>
  </w:num>
  <w:num w:numId="75">
    <w:abstractNumId w:val="318"/>
  </w:num>
  <w:num w:numId="76">
    <w:abstractNumId w:val="103"/>
  </w:num>
  <w:num w:numId="77">
    <w:abstractNumId w:val="190"/>
  </w:num>
  <w:num w:numId="78">
    <w:abstractNumId w:val="64"/>
  </w:num>
  <w:num w:numId="79">
    <w:abstractNumId w:val="290"/>
  </w:num>
  <w:num w:numId="80">
    <w:abstractNumId w:val="160"/>
  </w:num>
  <w:num w:numId="81">
    <w:abstractNumId w:val="142"/>
  </w:num>
  <w:num w:numId="82">
    <w:abstractNumId w:val="252"/>
  </w:num>
  <w:num w:numId="83">
    <w:abstractNumId w:val="46"/>
  </w:num>
  <w:num w:numId="84">
    <w:abstractNumId w:val="253"/>
  </w:num>
  <w:num w:numId="85">
    <w:abstractNumId w:val="117"/>
  </w:num>
  <w:num w:numId="86">
    <w:abstractNumId w:val="116"/>
  </w:num>
  <w:num w:numId="87">
    <w:abstractNumId w:val="162"/>
  </w:num>
  <w:num w:numId="88">
    <w:abstractNumId w:val="320"/>
  </w:num>
  <w:num w:numId="89">
    <w:abstractNumId w:val="249"/>
  </w:num>
  <w:num w:numId="90">
    <w:abstractNumId w:val="248"/>
  </w:num>
  <w:num w:numId="91">
    <w:abstractNumId w:val="295"/>
  </w:num>
  <w:num w:numId="92">
    <w:abstractNumId w:val="203"/>
  </w:num>
  <w:num w:numId="93">
    <w:abstractNumId w:val="133"/>
  </w:num>
  <w:num w:numId="94">
    <w:abstractNumId w:val="242"/>
  </w:num>
  <w:num w:numId="95">
    <w:abstractNumId w:val="129"/>
  </w:num>
  <w:num w:numId="96">
    <w:abstractNumId w:val="233"/>
  </w:num>
  <w:num w:numId="97">
    <w:abstractNumId w:val="296"/>
  </w:num>
  <w:num w:numId="98">
    <w:abstractNumId w:val="82"/>
  </w:num>
  <w:num w:numId="99">
    <w:abstractNumId w:val="270"/>
  </w:num>
  <w:num w:numId="100">
    <w:abstractNumId w:val="177"/>
  </w:num>
  <w:num w:numId="101">
    <w:abstractNumId w:val="198"/>
  </w:num>
  <w:num w:numId="102">
    <w:abstractNumId w:val="55"/>
  </w:num>
  <w:num w:numId="103">
    <w:abstractNumId w:val="331"/>
  </w:num>
  <w:num w:numId="104">
    <w:abstractNumId w:val="264"/>
  </w:num>
  <w:num w:numId="105">
    <w:abstractNumId w:val="106"/>
  </w:num>
  <w:num w:numId="106">
    <w:abstractNumId w:val="284"/>
  </w:num>
  <w:num w:numId="107">
    <w:abstractNumId w:val="211"/>
  </w:num>
  <w:num w:numId="108">
    <w:abstractNumId w:val="262"/>
  </w:num>
  <w:num w:numId="109">
    <w:abstractNumId w:val="208"/>
  </w:num>
  <w:num w:numId="110">
    <w:abstractNumId w:val="217"/>
  </w:num>
  <w:num w:numId="111">
    <w:abstractNumId w:val="109"/>
  </w:num>
  <w:num w:numId="112">
    <w:abstractNumId w:val="282"/>
  </w:num>
  <w:num w:numId="113">
    <w:abstractNumId w:val="167"/>
  </w:num>
  <w:num w:numId="114">
    <w:abstractNumId w:val="16"/>
  </w:num>
  <w:num w:numId="115">
    <w:abstractNumId w:val="238"/>
  </w:num>
  <w:num w:numId="116">
    <w:abstractNumId w:val="300"/>
  </w:num>
  <w:num w:numId="117">
    <w:abstractNumId w:val="218"/>
  </w:num>
  <w:num w:numId="118">
    <w:abstractNumId w:val="34"/>
  </w:num>
  <w:num w:numId="119">
    <w:abstractNumId w:val="10"/>
  </w:num>
  <w:num w:numId="120">
    <w:abstractNumId w:val="141"/>
  </w:num>
  <w:num w:numId="121">
    <w:abstractNumId w:val="206"/>
  </w:num>
  <w:num w:numId="122">
    <w:abstractNumId w:val="114"/>
  </w:num>
  <w:num w:numId="123">
    <w:abstractNumId w:val="275"/>
  </w:num>
  <w:num w:numId="124">
    <w:abstractNumId w:val="169"/>
  </w:num>
  <w:num w:numId="125">
    <w:abstractNumId w:val="63"/>
  </w:num>
  <w:num w:numId="126">
    <w:abstractNumId w:val="98"/>
  </w:num>
  <w:num w:numId="127">
    <w:abstractNumId w:val="197"/>
  </w:num>
  <w:num w:numId="128">
    <w:abstractNumId w:val="180"/>
  </w:num>
  <w:num w:numId="129">
    <w:abstractNumId w:val="93"/>
  </w:num>
  <w:num w:numId="130">
    <w:abstractNumId w:val="303"/>
  </w:num>
  <w:num w:numId="131">
    <w:abstractNumId w:val="71"/>
  </w:num>
  <w:num w:numId="132">
    <w:abstractNumId w:val="244"/>
  </w:num>
  <w:num w:numId="133">
    <w:abstractNumId w:val="204"/>
  </w:num>
  <w:num w:numId="134">
    <w:abstractNumId w:val="26"/>
  </w:num>
  <w:num w:numId="135">
    <w:abstractNumId w:val="256"/>
  </w:num>
  <w:num w:numId="136">
    <w:abstractNumId w:val="131"/>
  </w:num>
  <w:num w:numId="137">
    <w:abstractNumId w:val="183"/>
  </w:num>
  <w:num w:numId="138">
    <w:abstractNumId w:val="78"/>
  </w:num>
  <w:num w:numId="139">
    <w:abstractNumId w:val="101"/>
  </w:num>
  <w:num w:numId="140">
    <w:abstractNumId w:val="215"/>
  </w:num>
  <w:num w:numId="141">
    <w:abstractNumId w:val="315"/>
  </w:num>
  <w:num w:numId="142">
    <w:abstractNumId w:val="214"/>
  </w:num>
  <w:num w:numId="143">
    <w:abstractNumId w:val="23"/>
  </w:num>
  <w:num w:numId="144">
    <w:abstractNumId w:val="297"/>
  </w:num>
  <w:num w:numId="145">
    <w:abstractNumId w:val="184"/>
  </w:num>
  <w:num w:numId="146">
    <w:abstractNumId w:val="247"/>
  </w:num>
  <w:num w:numId="147">
    <w:abstractNumId w:val="113"/>
  </w:num>
  <w:num w:numId="148">
    <w:abstractNumId w:val="307"/>
  </w:num>
  <w:num w:numId="149">
    <w:abstractNumId w:val="21"/>
  </w:num>
  <w:num w:numId="150">
    <w:abstractNumId w:val="97"/>
  </w:num>
  <w:num w:numId="151">
    <w:abstractNumId w:val="152"/>
  </w:num>
  <w:num w:numId="152">
    <w:abstractNumId w:val="212"/>
  </w:num>
  <w:num w:numId="153">
    <w:abstractNumId w:val="61"/>
  </w:num>
  <w:num w:numId="154">
    <w:abstractNumId w:val="188"/>
  </w:num>
  <w:num w:numId="155">
    <w:abstractNumId w:val="302"/>
  </w:num>
  <w:num w:numId="156">
    <w:abstractNumId w:val="158"/>
  </w:num>
  <w:num w:numId="157">
    <w:abstractNumId w:val="102"/>
  </w:num>
  <w:num w:numId="158">
    <w:abstractNumId w:val="176"/>
  </w:num>
  <w:num w:numId="159">
    <w:abstractNumId w:val="235"/>
  </w:num>
  <w:num w:numId="160">
    <w:abstractNumId w:val="96"/>
  </w:num>
  <w:num w:numId="161">
    <w:abstractNumId w:val="325"/>
  </w:num>
  <w:num w:numId="162">
    <w:abstractNumId w:val="186"/>
  </w:num>
  <w:num w:numId="163">
    <w:abstractNumId w:val="49"/>
  </w:num>
  <w:num w:numId="164">
    <w:abstractNumId w:val="135"/>
  </w:num>
  <w:num w:numId="165">
    <w:abstractNumId w:val="18"/>
  </w:num>
  <w:num w:numId="166">
    <w:abstractNumId w:val="24"/>
  </w:num>
  <w:num w:numId="167">
    <w:abstractNumId w:val="68"/>
  </w:num>
  <w:num w:numId="168">
    <w:abstractNumId w:val="277"/>
  </w:num>
  <w:num w:numId="169">
    <w:abstractNumId w:val="79"/>
  </w:num>
  <w:num w:numId="170">
    <w:abstractNumId w:val="77"/>
  </w:num>
  <w:num w:numId="171">
    <w:abstractNumId w:val="139"/>
  </w:num>
  <w:num w:numId="172">
    <w:abstractNumId w:val="312"/>
  </w:num>
  <w:num w:numId="173">
    <w:abstractNumId w:val="51"/>
  </w:num>
  <w:num w:numId="174">
    <w:abstractNumId w:val="146"/>
  </w:num>
  <w:num w:numId="175">
    <w:abstractNumId w:val="13"/>
  </w:num>
  <w:num w:numId="176">
    <w:abstractNumId w:val="53"/>
  </w:num>
  <w:num w:numId="177">
    <w:abstractNumId w:val="45"/>
  </w:num>
  <w:num w:numId="178">
    <w:abstractNumId w:val="216"/>
  </w:num>
  <w:num w:numId="179">
    <w:abstractNumId w:val="37"/>
  </w:num>
  <w:num w:numId="180">
    <w:abstractNumId w:val="132"/>
  </w:num>
  <w:num w:numId="181">
    <w:abstractNumId w:val="196"/>
  </w:num>
  <w:num w:numId="182">
    <w:abstractNumId w:val="239"/>
  </w:num>
  <w:num w:numId="183">
    <w:abstractNumId w:val="291"/>
  </w:num>
  <w:num w:numId="184">
    <w:abstractNumId w:val="201"/>
  </w:num>
  <w:num w:numId="185">
    <w:abstractNumId w:val="288"/>
  </w:num>
  <w:num w:numId="186">
    <w:abstractNumId w:val="67"/>
  </w:num>
  <w:num w:numId="187">
    <w:abstractNumId w:val="130"/>
  </w:num>
  <w:num w:numId="188">
    <w:abstractNumId w:val="86"/>
  </w:num>
  <w:num w:numId="189">
    <w:abstractNumId w:val="187"/>
  </w:num>
  <w:num w:numId="190">
    <w:abstractNumId w:val="35"/>
  </w:num>
  <w:num w:numId="191">
    <w:abstractNumId w:val="27"/>
  </w:num>
  <w:num w:numId="192">
    <w:abstractNumId w:val="194"/>
  </w:num>
  <w:num w:numId="193">
    <w:abstractNumId w:val="58"/>
  </w:num>
  <w:num w:numId="194">
    <w:abstractNumId w:val="120"/>
  </w:num>
  <w:num w:numId="195">
    <w:abstractNumId w:val="50"/>
  </w:num>
  <w:num w:numId="196">
    <w:abstractNumId w:val="292"/>
  </w:num>
  <w:num w:numId="197">
    <w:abstractNumId w:val="40"/>
  </w:num>
  <w:num w:numId="198">
    <w:abstractNumId w:val="47"/>
  </w:num>
  <w:num w:numId="199">
    <w:abstractNumId w:val="326"/>
  </w:num>
  <w:num w:numId="200">
    <w:abstractNumId w:val="278"/>
  </w:num>
  <w:num w:numId="201">
    <w:abstractNumId w:val="144"/>
  </w:num>
  <w:num w:numId="202">
    <w:abstractNumId w:val="48"/>
  </w:num>
  <w:num w:numId="203">
    <w:abstractNumId w:val="87"/>
  </w:num>
  <w:num w:numId="204">
    <w:abstractNumId w:val="80"/>
  </w:num>
  <w:num w:numId="205">
    <w:abstractNumId w:val="207"/>
  </w:num>
  <w:num w:numId="206">
    <w:abstractNumId w:val="246"/>
  </w:num>
  <w:num w:numId="207">
    <w:abstractNumId w:val="36"/>
  </w:num>
  <w:num w:numId="208">
    <w:abstractNumId w:val="285"/>
  </w:num>
  <w:num w:numId="209">
    <w:abstractNumId w:val="137"/>
  </w:num>
  <w:num w:numId="210">
    <w:abstractNumId w:val="155"/>
  </w:num>
  <w:num w:numId="211">
    <w:abstractNumId w:val="221"/>
  </w:num>
  <w:num w:numId="212">
    <w:abstractNumId w:val="225"/>
  </w:num>
  <w:num w:numId="213">
    <w:abstractNumId w:val="209"/>
  </w:num>
  <w:num w:numId="214">
    <w:abstractNumId w:val="119"/>
  </w:num>
  <w:num w:numId="215">
    <w:abstractNumId w:val="305"/>
  </w:num>
  <w:num w:numId="216">
    <w:abstractNumId w:val="191"/>
  </w:num>
  <w:num w:numId="217">
    <w:abstractNumId w:val="76"/>
  </w:num>
  <w:num w:numId="218">
    <w:abstractNumId w:val="321"/>
  </w:num>
  <w:num w:numId="219">
    <w:abstractNumId w:val="72"/>
  </w:num>
  <w:num w:numId="220">
    <w:abstractNumId w:val="192"/>
  </w:num>
  <w:num w:numId="221">
    <w:abstractNumId w:val="124"/>
  </w:num>
  <w:num w:numId="222">
    <w:abstractNumId w:val="170"/>
  </w:num>
  <w:num w:numId="223">
    <w:abstractNumId w:val="202"/>
  </w:num>
  <w:num w:numId="224">
    <w:abstractNumId w:val="257"/>
  </w:num>
  <w:num w:numId="225">
    <w:abstractNumId w:val="125"/>
  </w:num>
  <w:num w:numId="226">
    <w:abstractNumId w:val="223"/>
  </w:num>
  <w:num w:numId="227">
    <w:abstractNumId w:val="301"/>
  </w:num>
  <w:num w:numId="228">
    <w:abstractNumId w:val="156"/>
  </w:num>
  <w:num w:numId="229">
    <w:abstractNumId w:val="231"/>
  </w:num>
  <w:num w:numId="230">
    <w:abstractNumId w:val="230"/>
  </w:num>
  <w:num w:numId="231">
    <w:abstractNumId w:val="280"/>
  </w:num>
  <w:num w:numId="232">
    <w:abstractNumId w:val="189"/>
  </w:num>
  <w:num w:numId="233">
    <w:abstractNumId w:val="111"/>
  </w:num>
  <w:num w:numId="234">
    <w:abstractNumId w:val="243"/>
  </w:num>
  <w:num w:numId="235">
    <w:abstractNumId w:val="324"/>
  </w:num>
  <w:num w:numId="236">
    <w:abstractNumId w:val="228"/>
  </w:num>
  <w:num w:numId="237">
    <w:abstractNumId w:val="245"/>
  </w:num>
  <w:num w:numId="238">
    <w:abstractNumId w:val="185"/>
  </w:num>
  <w:num w:numId="239">
    <w:abstractNumId w:val="199"/>
  </w:num>
  <w:num w:numId="240">
    <w:abstractNumId w:val="143"/>
  </w:num>
  <w:num w:numId="241">
    <w:abstractNumId w:val="161"/>
  </w:num>
  <w:num w:numId="242">
    <w:abstractNumId w:val="83"/>
  </w:num>
  <w:num w:numId="243">
    <w:abstractNumId w:val="276"/>
  </w:num>
  <w:num w:numId="244">
    <w:abstractNumId w:val="309"/>
  </w:num>
  <w:num w:numId="245">
    <w:abstractNumId w:val="304"/>
  </w:num>
  <w:num w:numId="246">
    <w:abstractNumId w:val="14"/>
  </w:num>
  <w:num w:numId="247">
    <w:abstractNumId w:val="65"/>
  </w:num>
  <w:num w:numId="248">
    <w:abstractNumId w:val="41"/>
  </w:num>
  <w:num w:numId="249">
    <w:abstractNumId w:val="328"/>
  </w:num>
  <w:num w:numId="250">
    <w:abstractNumId w:val="89"/>
  </w:num>
  <w:num w:numId="251">
    <w:abstractNumId w:val="127"/>
  </w:num>
  <w:num w:numId="252">
    <w:abstractNumId w:val="327"/>
  </w:num>
  <w:num w:numId="253">
    <w:abstractNumId w:val="219"/>
  </w:num>
  <w:num w:numId="254">
    <w:abstractNumId w:val="237"/>
  </w:num>
  <w:num w:numId="255">
    <w:abstractNumId w:val="250"/>
  </w:num>
  <w:num w:numId="256">
    <w:abstractNumId w:val="90"/>
  </w:num>
  <w:num w:numId="257">
    <w:abstractNumId w:val="20"/>
  </w:num>
  <w:num w:numId="258">
    <w:abstractNumId w:val="151"/>
  </w:num>
  <w:num w:numId="259">
    <w:abstractNumId w:val="222"/>
  </w:num>
  <w:num w:numId="260">
    <w:abstractNumId w:val="42"/>
  </w:num>
  <w:num w:numId="261">
    <w:abstractNumId w:val="261"/>
  </w:num>
  <w:num w:numId="262">
    <w:abstractNumId w:val="272"/>
  </w:num>
  <w:num w:numId="263">
    <w:abstractNumId w:val="112"/>
  </w:num>
  <w:num w:numId="264">
    <w:abstractNumId w:val="99"/>
  </w:num>
  <w:num w:numId="265">
    <w:abstractNumId w:val="62"/>
  </w:num>
  <w:num w:numId="266">
    <w:abstractNumId w:val="322"/>
  </w:num>
  <w:num w:numId="267">
    <w:abstractNumId w:val="38"/>
  </w:num>
  <w:num w:numId="268">
    <w:abstractNumId w:val="193"/>
  </w:num>
  <w:num w:numId="269">
    <w:abstractNumId w:val="213"/>
  </w:num>
  <w:num w:numId="270">
    <w:abstractNumId w:val="317"/>
  </w:num>
  <w:num w:numId="271">
    <w:abstractNumId w:val="319"/>
  </w:num>
  <w:num w:numId="272">
    <w:abstractNumId w:val="157"/>
  </w:num>
  <w:num w:numId="273">
    <w:abstractNumId w:val="15"/>
  </w:num>
  <w:num w:numId="274">
    <w:abstractNumId w:val="149"/>
  </w:num>
  <w:num w:numId="275">
    <w:abstractNumId w:val="258"/>
  </w:num>
  <w:num w:numId="276">
    <w:abstractNumId w:val="330"/>
  </w:num>
  <w:num w:numId="277">
    <w:abstractNumId w:val="28"/>
  </w:num>
  <w:num w:numId="278">
    <w:abstractNumId w:val="56"/>
  </w:num>
  <w:num w:numId="279">
    <w:abstractNumId w:val="100"/>
  </w:num>
  <w:num w:numId="280">
    <w:abstractNumId w:val="145"/>
  </w:num>
  <w:num w:numId="281">
    <w:abstractNumId w:val="210"/>
  </w:num>
  <w:num w:numId="282">
    <w:abstractNumId w:val="171"/>
  </w:num>
  <w:num w:numId="283">
    <w:abstractNumId w:val="313"/>
  </w:num>
  <w:num w:numId="284">
    <w:abstractNumId w:val="172"/>
  </w:num>
  <w:num w:numId="285">
    <w:abstractNumId w:val="85"/>
  </w:num>
  <w:num w:numId="286">
    <w:abstractNumId w:val="66"/>
  </w:num>
  <w:num w:numId="287">
    <w:abstractNumId w:val="164"/>
  </w:num>
  <w:num w:numId="288">
    <w:abstractNumId w:val="17"/>
  </w:num>
  <w:num w:numId="289">
    <w:abstractNumId w:val="236"/>
  </w:num>
  <w:num w:numId="290">
    <w:abstractNumId w:val="175"/>
  </w:num>
  <w:num w:numId="291">
    <w:abstractNumId w:val="118"/>
  </w:num>
  <w:num w:numId="292">
    <w:abstractNumId w:val="200"/>
  </w:num>
  <w:num w:numId="293">
    <w:abstractNumId w:val="115"/>
  </w:num>
  <w:num w:numId="294">
    <w:abstractNumId w:val="166"/>
  </w:num>
  <w:num w:numId="295">
    <w:abstractNumId w:val="255"/>
  </w:num>
  <w:num w:numId="296">
    <w:abstractNumId w:val="173"/>
  </w:num>
  <w:num w:numId="297">
    <w:abstractNumId w:val="323"/>
  </w:num>
  <w:num w:numId="298">
    <w:abstractNumId w:val="266"/>
  </w:num>
  <w:num w:numId="299">
    <w:abstractNumId w:val="154"/>
  </w:num>
  <w:num w:numId="300">
    <w:abstractNumId w:val="265"/>
  </w:num>
  <w:num w:numId="301">
    <w:abstractNumId w:val="163"/>
  </w:num>
  <w:num w:numId="302">
    <w:abstractNumId w:val="178"/>
  </w:num>
  <w:num w:numId="303">
    <w:abstractNumId w:val="73"/>
  </w:num>
  <w:num w:numId="304">
    <w:abstractNumId w:val="240"/>
  </w:num>
  <w:num w:numId="305">
    <w:abstractNumId w:val="227"/>
  </w:num>
  <w:num w:numId="306">
    <w:abstractNumId w:val="107"/>
  </w:num>
  <w:num w:numId="307">
    <w:abstractNumId w:val="308"/>
  </w:num>
  <w:num w:numId="308">
    <w:abstractNumId w:val="126"/>
  </w:num>
  <w:num w:numId="309">
    <w:abstractNumId w:val="165"/>
  </w:num>
  <w:num w:numId="310">
    <w:abstractNumId w:val="110"/>
  </w:num>
  <w:num w:numId="311">
    <w:abstractNumId w:val="25"/>
  </w:num>
  <w:num w:numId="312">
    <w:abstractNumId w:val="136"/>
  </w:num>
  <w:num w:numId="313">
    <w:abstractNumId w:val="224"/>
  </w:num>
  <w:num w:numId="314">
    <w:abstractNumId w:val="12"/>
  </w:num>
  <w:num w:numId="315">
    <w:abstractNumId w:val="293"/>
  </w:num>
  <w:num w:numId="316">
    <w:abstractNumId w:val="168"/>
  </w:num>
  <w:num w:numId="317">
    <w:abstractNumId w:val="299"/>
  </w:num>
  <w:num w:numId="318">
    <w:abstractNumId w:val="259"/>
  </w:num>
  <w:num w:numId="319">
    <w:abstractNumId w:val="271"/>
  </w:num>
  <w:num w:numId="320">
    <w:abstractNumId w:val="75"/>
  </w:num>
  <w:num w:numId="321">
    <w:abstractNumId w:val="306"/>
  </w:num>
  <w:num w:numId="322">
    <w:abstractNumId w:val="232"/>
  </w:num>
  <w:num w:numId="323">
    <w:abstractNumId w:val="9"/>
  </w:num>
  <w:num w:numId="324">
    <w:abstractNumId w:val="7"/>
  </w:num>
  <w:num w:numId="325">
    <w:abstractNumId w:val="6"/>
  </w:num>
  <w:num w:numId="326">
    <w:abstractNumId w:val="5"/>
  </w:num>
  <w:num w:numId="327">
    <w:abstractNumId w:val="4"/>
  </w:num>
  <w:num w:numId="328">
    <w:abstractNumId w:val="8"/>
  </w:num>
  <w:num w:numId="329">
    <w:abstractNumId w:val="3"/>
  </w:num>
  <w:num w:numId="330">
    <w:abstractNumId w:val="2"/>
  </w:num>
  <w:num w:numId="331">
    <w:abstractNumId w:val="1"/>
  </w:num>
  <w:num w:numId="332">
    <w:abstractNumId w:val="0"/>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0FE2"/>
    <w:rsid w:val="000013E5"/>
    <w:rsid w:val="00001EAE"/>
    <w:rsid w:val="00002320"/>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6817"/>
    <w:rsid w:val="0001707D"/>
    <w:rsid w:val="00017940"/>
    <w:rsid w:val="00017BA7"/>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9F8"/>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47A"/>
    <w:rsid w:val="000526F6"/>
    <w:rsid w:val="00052E15"/>
    <w:rsid w:val="000532EB"/>
    <w:rsid w:val="00053391"/>
    <w:rsid w:val="000533D7"/>
    <w:rsid w:val="00053795"/>
    <w:rsid w:val="00053DFE"/>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8B4"/>
    <w:rsid w:val="00061AB2"/>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4237"/>
    <w:rsid w:val="000743D6"/>
    <w:rsid w:val="00074B33"/>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111"/>
    <w:rsid w:val="00085C21"/>
    <w:rsid w:val="00085D89"/>
    <w:rsid w:val="00085E53"/>
    <w:rsid w:val="000867D7"/>
    <w:rsid w:val="0008752B"/>
    <w:rsid w:val="00087938"/>
    <w:rsid w:val="00087EB9"/>
    <w:rsid w:val="00090132"/>
    <w:rsid w:val="000901D6"/>
    <w:rsid w:val="000903A7"/>
    <w:rsid w:val="00090C2F"/>
    <w:rsid w:val="000915A3"/>
    <w:rsid w:val="00091A40"/>
    <w:rsid w:val="00091DB2"/>
    <w:rsid w:val="000923A7"/>
    <w:rsid w:val="00092636"/>
    <w:rsid w:val="00092E0A"/>
    <w:rsid w:val="000948DD"/>
    <w:rsid w:val="00095491"/>
    <w:rsid w:val="00096442"/>
    <w:rsid w:val="0009692C"/>
    <w:rsid w:val="00096A50"/>
    <w:rsid w:val="00096F71"/>
    <w:rsid w:val="00097249"/>
    <w:rsid w:val="000977EB"/>
    <w:rsid w:val="000A01AC"/>
    <w:rsid w:val="000A0593"/>
    <w:rsid w:val="000A1594"/>
    <w:rsid w:val="000A18ED"/>
    <w:rsid w:val="000A1989"/>
    <w:rsid w:val="000A20EF"/>
    <w:rsid w:val="000A2C83"/>
    <w:rsid w:val="000A2E95"/>
    <w:rsid w:val="000A32F4"/>
    <w:rsid w:val="000A4757"/>
    <w:rsid w:val="000A49CD"/>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9F8"/>
    <w:rsid w:val="000B2A70"/>
    <w:rsid w:val="000B2C26"/>
    <w:rsid w:val="000B2DCB"/>
    <w:rsid w:val="000B3578"/>
    <w:rsid w:val="000B3A11"/>
    <w:rsid w:val="000B3D92"/>
    <w:rsid w:val="000B4405"/>
    <w:rsid w:val="000B4AA4"/>
    <w:rsid w:val="000B547A"/>
    <w:rsid w:val="000B56BA"/>
    <w:rsid w:val="000B5823"/>
    <w:rsid w:val="000B60CA"/>
    <w:rsid w:val="000B7132"/>
    <w:rsid w:val="000B7462"/>
    <w:rsid w:val="000B7629"/>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739"/>
    <w:rsid w:val="000E2A52"/>
    <w:rsid w:val="000E30A8"/>
    <w:rsid w:val="000E33D0"/>
    <w:rsid w:val="000E3445"/>
    <w:rsid w:val="000E4061"/>
    <w:rsid w:val="000E4594"/>
    <w:rsid w:val="000E4B9A"/>
    <w:rsid w:val="000E4EE2"/>
    <w:rsid w:val="000E56FA"/>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C46"/>
    <w:rsid w:val="000F4E22"/>
    <w:rsid w:val="000F4F37"/>
    <w:rsid w:val="000F63C4"/>
    <w:rsid w:val="000F66B8"/>
    <w:rsid w:val="000F670E"/>
    <w:rsid w:val="000F6E74"/>
    <w:rsid w:val="000F7196"/>
    <w:rsid w:val="000F7399"/>
    <w:rsid w:val="000F76DD"/>
    <w:rsid w:val="000F7A89"/>
    <w:rsid w:val="000F7C7C"/>
    <w:rsid w:val="000F7CF3"/>
    <w:rsid w:val="001011BB"/>
    <w:rsid w:val="0010168C"/>
    <w:rsid w:val="00101CA5"/>
    <w:rsid w:val="0010203A"/>
    <w:rsid w:val="00102505"/>
    <w:rsid w:val="00102C3C"/>
    <w:rsid w:val="00102F19"/>
    <w:rsid w:val="00102FA3"/>
    <w:rsid w:val="00104B17"/>
    <w:rsid w:val="0010510A"/>
    <w:rsid w:val="00105DC4"/>
    <w:rsid w:val="00105F98"/>
    <w:rsid w:val="001061C0"/>
    <w:rsid w:val="00106D71"/>
    <w:rsid w:val="00106F5A"/>
    <w:rsid w:val="00107406"/>
    <w:rsid w:val="0010785B"/>
    <w:rsid w:val="00107F32"/>
    <w:rsid w:val="00107FAE"/>
    <w:rsid w:val="0011074D"/>
    <w:rsid w:val="001111BE"/>
    <w:rsid w:val="0011161A"/>
    <w:rsid w:val="001126C3"/>
    <w:rsid w:val="00112F4D"/>
    <w:rsid w:val="00113CE9"/>
    <w:rsid w:val="001142DE"/>
    <w:rsid w:val="0011547F"/>
    <w:rsid w:val="001156D2"/>
    <w:rsid w:val="00115CDA"/>
    <w:rsid w:val="00116556"/>
    <w:rsid w:val="00116D0B"/>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5DFD"/>
    <w:rsid w:val="00156264"/>
    <w:rsid w:val="00156865"/>
    <w:rsid w:val="0015691B"/>
    <w:rsid w:val="00156C67"/>
    <w:rsid w:val="00156F30"/>
    <w:rsid w:val="00157E68"/>
    <w:rsid w:val="001603DE"/>
    <w:rsid w:val="0016042B"/>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0A"/>
    <w:rsid w:val="00173186"/>
    <w:rsid w:val="0017335B"/>
    <w:rsid w:val="001739F9"/>
    <w:rsid w:val="00173DFE"/>
    <w:rsid w:val="001744F9"/>
    <w:rsid w:val="00174662"/>
    <w:rsid w:val="00174B9B"/>
    <w:rsid w:val="001750A0"/>
    <w:rsid w:val="00175656"/>
    <w:rsid w:val="001756FB"/>
    <w:rsid w:val="00175845"/>
    <w:rsid w:val="00175D9B"/>
    <w:rsid w:val="001773E7"/>
    <w:rsid w:val="00177BC6"/>
    <w:rsid w:val="00177E7A"/>
    <w:rsid w:val="00177EC7"/>
    <w:rsid w:val="001806EA"/>
    <w:rsid w:val="00181070"/>
    <w:rsid w:val="001829C9"/>
    <w:rsid w:val="00182B26"/>
    <w:rsid w:val="001831D2"/>
    <w:rsid w:val="001835EE"/>
    <w:rsid w:val="00183E9B"/>
    <w:rsid w:val="001843C6"/>
    <w:rsid w:val="00185BA9"/>
    <w:rsid w:val="00186309"/>
    <w:rsid w:val="0018657A"/>
    <w:rsid w:val="00186964"/>
    <w:rsid w:val="001875AF"/>
    <w:rsid w:val="00190104"/>
    <w:rsid w:val="00191350"/>
    <w:rsid w:val="0019260C"/>
    <w:rsid w:val="00193321"/>
    <w:rsid w:val="00194AD8"/>
    <w:rsid w:val="001955AC"/>
    <w:rsid w:val="001965F5"/>
    <w:rsid w:val="00196909"/>
    <w:rsid w:val="00196B54"/>
    <w:rsid w:val="00196BEB"/>
    <w:rsid w:val="00196CE6"/>
    <w:rsid w:val="00196F4B"/>
    <w:rsid w:val="001A0637"/>
    <w:rsid w:val="001A0C28"/>
    <w:rsid w:val="001A189D"/>
    <w:rsid w:val="001A1ABA"/>
    <w:rsid w:val="001A2D6A"/>
    <w:rsid w:val="001A342F"/>
    <w:rsid w:val="001A3539"/>
    <w:rsid w:val="001A3BEB"/>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2A6D"/>
    <w:rsid w:val="002043C7"/>
    <w:rsid w:val="0020456D"/>
    <w:rsid w:val="002049CF"/>
    <w:rsid w:val="00204FB9"/>
    <w:rsid w:val="00204FDF"/>
    <w:rsid w:val="00205239"/>
    <w:rsid w:val="0020552B"/>
    <w:rsid w:val="00205E6B"/>
    <w:rsid w:val="00206890"/>
    <w:rsid w:val="00207D31"/>
    <w:rsid w:val="00210D18"/>
    <w:rsid w:val="00210F75"/>
    <w:rsid w:val="0021110D"/>
    <w:rsid w:val="00211176"/>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4F9D"/>
    <w:rsid w:val="0022535C"/>
    <w:rsid w:val="00225CD5"/>
    <w:rsid w:val="00226602"/>
    <w:rsid w:val="00227DE4"/>
    <w:rsid w:val="00227E23"/>
    <w:rsid w:val="00230E4A"/>
    <w:rsid w:val="00230EE6"/>
    <w:rsid w:val="002318F8"/>
    <w:rsid w:val="0023207C"/>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B9"/>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8E1"/>
    <w:rsid w:val="002B4BE3"/>
    <w:rsid w:val="002B4D97"/>
    <w:rsid w:val="002B5631"/>
    <w:rsid w:val="002B5D98"/>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1D14"/>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E7FDB"/>
    <w:rsid w:val="002F0129"/>
    <w:rsid w:val="002F088C"/>
    <w:rsid w:val="002F09C5"/>
    <w:rsid w:val="002F0D52"/>
    <w:rsid w:val="002F0F0A"/>
    <w:rsid w:val="002F0F0E"/>
    <w:rsid w:val="002F1D27"/>
    <w:rsid w:val="002F2379"/>
    <w:rsid w:val="002F3163"/>
    <w:rsid w:val="002F42BE"/>
    <w:rsid w:val="002F44F9"/>
    <w:rsid w:val="002F5568"/>
    <w:rsid w:val="002F5F54"/>
    <w:rsid w:val="002F6CA7"/>
    <w:rsid w:val="002F7D07"/>
    <w:rsid w:val="00300258"/>
    <w:rsid w:val="003008E2"/>
    <w:rsid w:val="00300CF4"/>
    <w:rsid w:val="00301FD0"/>
    <w:rsid w:val="00302CA6"/>
    <w:rsid w:val="00302CD0"/>
    <w:rsid w:val="003031B5"/>
    <w:rsid w:val="0030359D"/>
    <w:rsid w:val="0030500A"/>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C1A"/>
    <w:rsid w:val="0031316A"/>
    <w:rsid w:val="003132AE"/>
    <w:rsid w:val="003133B4"/>
    <w:rsid w:val="003136FD"/>
    <w:rsid w:val="003138F9"/>
    <w:rsid w:val="0031445F"/>
    <w:rsid w:val="00314A86"/>
    <w:rsid w:val="00314F94"/>
    <w:rsid w:val="00315173"/>
    <w:rsid w:val="00315747"/>
    <w:rsid w:val="00315E88"/>
    <w:rsid w:val="00316138"/>
    <w:rsid w:val="00317888"/>
    <w:rsid w:val="00317C9F"/>
    <w:rsid w:val="00317D36"/>
    <w:rsid w:val="003205A2"/>
    <w:rsid w:val="00320A06"/>
    <w:rsid w:val="00320AC3"/>
    <w:rsid w:val="00320F23"/>
    <w:rsid w:val="00321497"/>
    <w:rsid w:val="003217D2"/>
    <w:rsid w:val="00321982"/>
    <w:rsid w:val="00321ED3"/>
    <w:rsid w:val="003229FA"/>
    <w:rsid w:val="00322DE8"/>
    <w:rsid w:val="00322EB5"/>
    <w:rsid w:val="00323BDD"/>
    <w:rsid w:val="00324430"/>
    <w:rsid w:val="00324615"/>
    <w:rsid w:val="00325944"/>
    <w:rsid w:val="003263F1"/>
    <w:rsid w:val="00326814"/>
    <w:rsid w:val="00326B5B"/>
    <w:rsid w:val="00326C0B"/>
    <w:rsid w:val="00330231"/>
    <w:rsid w:val="00331137"/>
    <w:rsid w:val="00331CBC"/>
    <w:rsid w:val="00332054"/>
    <w:rsid w:val="003321D1"/>
    <w:rsid w:val="00332397"/>
    <w:rsid w:val="0033239B"/>
    <w:rsid w:val="00332E23"/>
    <w:rsid w:val="00333FD4"/>
    <w:rsid w:val="0033429D"/>
    <w:rsid w:val="003345CB"/>
    <w:rsid w:val="00334953"/>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2C0"/>
    <w:rsid w:val="00352769"/>
    <w:rsid w:val="00352E68"/>
    <w:rsid w:val="003532E2"/>
    <w:rsid w:val="00353FEA"/>
    <w:rsid w:val="003542D6"/>
    <w:rsid w:val="00354CA9"/>
    <w:rsid w:val="003569A0"/>
    <w:rsid w:val="00357C0D"/>
    <w:rsid w:val="003601CD"/>
    <w:rsid w:val="003606E2"/>
    <w:rsid w:val="00360734"/>
    <w:rsid w:val="003608F9"/>
    <w:rsid w:val="00360CD9"/>
    <w:rsid w:val="00360DD6"/>
    <w:rsid w:val="00361018"/>
    <w:rsid w:val="0036124B"/>
    <w:rsid w:val="00361CFA"/>
    <w:rsid w:val="003622F1"/>
    <w:rsid w:val="00362834"/>
    <w:rsid w:val="003628FE"/>
    <w:rsid w:val="00363327"/>
    <w:rsid w:val="00363FF5"/>
    <w:rsid w:val="0036581E"/>
    <w:rsid w:val="0036658D"/>
    <w:rsid w:val="00366764"/>
    <w:rsid w:val="003704E3"/>
    <w:rsid w:val="00370A28"/>
    <w:rsid w:val="00371D57"/>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5214"/>
    <w:rsid w:val="003856C4"/>
    <w:rsid w:val="003856F1"/>
    <w:rsid w:val="003864B1"/>
    <w:rsid w:val="00386623"/>
    <w:rsid w:val="00387F2F"/>
    <w:rsid w:val="003900C7"/>
    <w:rsid w:val="003902D5"/>
    <w:rsid w:val="00390746"/>
    <w:rsid w:val="00390CF9"/>
    <w:rsid w:val="00391C58"/>
    <w:rsid w:val="00391C9B"/>
    <w:rsid w:val="003929E1"/>
    <w:rsid w:val="00392D78"/>
    <w:rsid w:val="00393264"/>
    <w:rsid w:val="00395064"/>
    <w:rsid w:val="0039534D"/>
    <w:rsid w:val="003953C1"/>
    <w:rsid w:val="00395F8F"/>
    <w:rsid w:val="003968A6"/>
    <w:rsid w:val="00396BA3"/>
    <w:rsid w:val="0039793B"/>
    <w:rsid w:val="003A07F8"/>
    <w:rsid w:val="003A1055"/>
    <w:rsid w:val="003A10AE"/>
    <w:rsid w:val="003A2176"/>
    <w:rsid w:val="003A2612"/>
    <w:rsid w:val="003A32A9"/>
    <w:rsid w:val="003A32DA"/>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D48"/>
    <w:rsid w:val="003B08A2"/>
    <w:rsid w:val="003B0BF4"/>
    <w:rsid w:val="003B0C91"/>
    <w:rsid w:val="003B0F8E"/>
    <w:rsid w:val="003B1111"/>
    <w:rsid w:val="003B1933"/>
    <w:rsid w:val="003B2B5E"/>
    <w:rsid w:val="003B30B3"/>
    <w:rsid w:val="003B3666"/>
    <w:rsid w:val="003B3E5C"/>
    <w:rsid w:val="003B41C7"/>
    <w:rsid w:val="003B496A"/>
    <w:rsid w:val="003B5D58"/>
    <w:rsid w:val="003B5FA0"/>
    <w:rsid w:val="003B6047"/>
    <w:rsid w:val="003B64C0"/>
    <w:rsid w:val="003B692F"/>
    <w:rsid w:val="003B693F"/>
    <w:rsid w:val="003B6DEA"/>
    <w:rsid w:val="003B6ECC"/>
    <w:rsid w:val="003B7250"/>
    <w:rsid w:val="003B7835"/>
    <w:rsid w:val="003B79B9"/>
    <w:rsid w:val="003B7A6C"/>
    <w:rsid w:val="003B7E92"/>
    <w:rsid w:val="003C00E3"/>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DB4"/>
    <w:rsid w:val="003C4E4D"/>
    <w:rsid w:val="003C5099"/>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FD3"/>
    <w:rsid w:val="003D61B5"/>
    <w:rsid w:val="003D75CB"/>
    <w:rsid w:val="003D7F56"/>
    <w:rsid w:val="003E05D8"/>
    <w:rsid w:val="003E11AE"/>
    <w:rsid w:val="003E1D8E"/>
    <w:rsid w:val="003E28EB"/>
    <w:rsid w:val="003E3939"/>
    <w:rsid w:val="003E3AED"/>
    <w:rsid w:val="003E3B30"/>
    <w:rsid w:val="003E44E5"/>
    <w:rsid w:val="003E45D7"/>
    <w:rsid w:val="003E4D6F"/>
    <w:rsid w:val="003E4F35"/>
    <w:rsid w:val="003E53BB"/>
    <w:rsid w:val="003E54EB"/>
    <w:rsid w:val="003E5A6B"/>
    <w:rsid w:val="003E65F5"/>
    <w:rsid w:val="003E69BA"/>
    <w:rsid w:val="003E706D"/>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3F7854"/>
    <w:rsid w:val="00400947"/>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802"/>
    <w:rsid w:val="00415998"/>
    <w:rsid w:val="00415C11"/>
    <w:rsid w:val="00415FE9"/>
    <w:rsid w:val="0041610C"/>
    <w:rsid w:val="0041625C"/>
    <w:rsid w:val="004165DC"/>
    <w:rsid w:val="00416B0F"/>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122"/>
    <w:rsid w:val="00426EC6"/>
    <w:rsid w:val="00427176"/>
    <w:rsid w:val="00427682"/>
    <w:rsid w:val="004300A1"/>
    <w:rsid w:val="004301DA"/>
    <w:rsid w:val="00430527"/>
    <w:rsid w:val="00430C55"/>
    <w:rsid w:val="00431DA5"/>
    <w:rsid w:val="00432187"/>
    <w:rsid w:val="004331E7"/>
    <w:rsid w:val="004337B0"/>
    <w:rsid w:val="00433A7A"/>
    <w:rsid w:val="00433E14"/>
    <w:rsid w:val="00433F76"/>
    <w:rsid w:val="00433FB5"/>
    <w:rsid w:val="00434298"/>
    <w:rsid w:val="004348BB"/>
    <w:rsid w:val="00434915"/>
    <w:rsid w:val="0043553A"/>
    <w:rsid w:val="00435568"/>
    <w:rsid w:val="0043678A"/>
    <w:rsid w:val="004369B2"/>
    <w:rsid w:val="00437204"/>
    <w:rsid w:val="00437C25"/>
    <w:rsid w:val="00440955"/>
    <w:rsid w:val="00440EFA"/>
    <w:rsid w:val="004410A6"/>
    <w:rsid w:val="00441578"/>
    <w:rsid w:val="00441FB4"/>
    <w:rsid w:val="004422B4"/>
    <w:rsid w:val="004427EB"/>
    <w:rsid w:val="00442906"/>
    <w:rsid w:val="00442B92"/>
    <w:rsid w:val="00442D9C"/>
    <w:rsid w:val="00443376"/>
    <w:rsid w:val="004435DE"/>
    <w:rsid w:val="00444A9D"/>
    <w:rsid w:val="00445640"/>
    <w:rsid w:val="00445B98"/>
    <w:rsid w:val="004462E1"/>
    <w:rsid w:val="00446423"/>
    <w:rsid w:val="00446689"/>
    <w:rsid w:val="00447067"/>
    <w:rsid w:val="0044716A"/>
    <w:rsid w:val="00447D0B"/>
    <w:rsid w:val="00450059"/>
    <w:rsid w:val="004502CD"/>
    <w:rsid w:val="004505AF"/>
    <w:rsid w:val="00450DE8"/>
    <w:rsid w:val="004515C2"/>
    <w:rsid w:val="004518AF"/>
    <w:rsid w:val="00452273"/>
    <w:rsid w:val="004529BD"/>
    <w:rsid w:val="00452C88"/>
    <w:rsid w:val="004536A1"/>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1FC"/>
    <w:rsid w:val="00466646"/>
    <w:rsid w:val="00467140"/>
    <w:rsid w:val="004671FF"/>
    <w:rsid w:val="00467711"/>
    <w:rsid w:val="004704F3"/>
    <w:rsid w:val="004706F6"/>
    <w:rsid w:val="0047086A"/>
    <w:rsid w:val="00470EEA"/>
    <w:rsid w:val="004713D1"/>
    <w:rsid w:val="00472013"/>
    <w:rsid w:val="00472138"/>
    <w:rsid w:val="004721B2"/>
    <w:rsid w:val="004725E6"/>
    <w:rsid w:val="00472E7C"/>
    <w:rsid w:val="0047379E"/>
    <w:rsid w:val="00474848"/>
    <w:rsid w:val="00474DB4"/>
    <w:rsid w:val="00475E2D"/>
    <w:rsid w:val="0047630E"/>
    <w:rsid w:val="00476460"/>
    <w:rsid w:val="004765BA"/>
    <w:rsid w:val="00476765"/>
    <w:rsid w:val="00476EA2"/>
    <w:rsid w:val="0047749E"/>
    <w:rsid w:val="0048004B"/>
    <w:rsid w:val="00480083"/>
    <w:rsid w:val="00480185"/>
    <w:rsid w:val="004801D4"/>
    <w:rsid w:val="00480944"/>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4EB0"/>
    <w:rsid w:val="004855E0"/>
    <w:rsid w:val="00485942"/>
    <w:rsid w:val="00486160"/>
    <w:rsid w:val="0048675D"/>
    <w:rsid w:val="004871E4"/>
    <w:rsid w:val="00487CBD"/>
    <w:rsid w:val="00487DD1"/>
    <w:rsid w:val="00487F39"/>
    <w:rsid w:val="00490F6A"/>
    <w:rsid w:val="00491141"/>
    <w:rsid w:val="0049134B"/>
    <w:rsid w:val="00491ED9"/>
    <w:rsid w:val="00492332"/>
    <w:rsid w:val="004924BE"/>
    <w:rsid w:val="00492994"/>
    <w:rsid w:val="004939D7"/>
    <w:rsid w:val="004944F8"/>
    <w:rsid w:val="00494CD6"/>
    <w:rsid w:val="004955D2"/>
    <w:rsid w:val="00495BB6"/>
    <w:rsid w:val="00496EF6"/>
    <w:rsid w:val="00496FEA"/>
    <w:rsid w:val="0049743B"/>
    <w:rsid w:val="00497579"/>
    <w:rsid w:val="00497C4D"/>
    <w:rsid w:val="00497DE4"/>
    <w:rsid w:val="004A13F5"/>
    <w:rsid w:val="004A15B3"/>
    <w:rsid w:val="004A1709"/>
    <w:rsid w:val="004A1894"/>
    <w:rsid w:val="004A3038"/>
    <w:rsid w:val="004A336A"/>
    <w:rsid w:val="004A33CD"/>
    <w:rsid w:val="004A38B9"/>
    <w:rsid w:val="004A3F07"/>
    <w:rsid w:val="004A463F"/>
    <w:rsid w:val="004A4803"/>
    <w:rsid w:val="004A4E9A"/>
    <w:rsid w:val="004A6352"/>
    <w:rsid w:val="004A74D2"/>
    <w:rsid w:val="004B0B07"/>
    <w:rsid w:val="004B0B1D"/>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70C"/>
    <w:rsid w:val="004C1866"/>
    <w:rsid w:val="004C1EC0"/>
    <w:rsid w:val="004C2776"/>
    <w:rsid w:val="004C2C08"/>
    <w:rsid w:val="004C33EB"/>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692"/>
    <w:rsid w:val="004D27CF"/>
    <w:rsid w:val="004D2E91"/>
    <w:rsid w:val="004D364A"/>
    <w:rsid w:val="004D402E"/>
    <w:rsid w:val="004D4249"/>
    <w:rsid w:val="004D494B"/>
    <w:rsid w:val="004D4A0F"/>
    <w:rsid w:val="004D5775"/>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B8A"/>
    <w:rsid w:val="004E51BB"/>
    <w:rsid w:val="004E5B01"/>
    <w:rsid w:val="004E5C74"/>
    <w:rsid w:val="004E67B3"/>
    <w:rsid w:val="004E7413"/>
    <w:rsid w:val="004E75B4"/>
    <w:rsid w:val="004E76FC"/>
    <w:rsid w:val="004F019B"/>
    <w:rsid w:val="004F01F7"/>
    <w:rsid w:val="004F03C3"/>
    <w:rsid w:val="004F0C02"/>
    <w:rsid w:val="004F0C1C"/>
    <w:rsid w:val="004F0EE5"/>
    <w:rsid w:val="004F1386"/>
    <w:rsid w:val="004F1449"/>
    <w:rsid w:val="004F2245"/>
    <w:rsid w:val="004F237D"/>
    <w:rsid w:val="004F2A22"/>
    <w:rsid w:val="004F2EB8"/>
    <w:rsid w:val="004F348D"/>
    <w:rsid w:val="004F3650"/>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20D4"/>
    <w:rsid w:val="0051385A"/>
    <w:rsid w:val="0051396A"/>
    <w:rsid w:val="00513985"/>
    <w:rsid w:val="00514367"/>
    <w:rsid w:val="00514386"/>
    <w:rsid w:val="0051445D"/>
    <w:rsid w:val="0051535C"/>
    <w:rsid w:val="005155CD"/>
    <w:rsid w:val="00515E61"/>
    <w:rsid w:val="00517594"/>
    <w:rsid w:val="00517622"/>
    <w:rsid w:val="005179CD"/>
    <w:rsid w:val="005179F5"/>
    <w:rsid w:val="0052002E"/>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73"/>
    <w:rsid w:val="005246CC"/>
    <w:rsid w:val="00525505"/>
    <w:rsid w:val="00525A27"/>
    <w:rsid w:val="00525B5D"/>
    <w:rsid w:val="0052615D"/>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3C0E"/>
    <w:rsid w:val="005340E9"/>
    <w:rsid w:val="005342DE"/>
    <w:rsid w:val="00534663"/>
    <w:rsid w:val="00534829"/>
    <w:rsid w:val="005349F9"/>
    <w:rsid w:val="00534F0F"/>
    <w:rsid w:val="00535855"/>
    <w:rsid w:val="00536266"/>
    <w:rsid w:val="00536818"/>
    <w:rsid w:val="00536947"/>
    <w:rsid w:val="00536B0B"/>
    <w:rsid w:val="00536F59"/>
    <w:rsid w:val="00537221"/>
    <w:rsid w:val="00537D53"/>
    <w:rsid w:val="005401F3"/>
    <w:rsid w:val="00540D24"/>
    <w:rsid w:val="00540D34"/>
    <w:rsid w:val="005410BE"/>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4AF"/>
    <w:rsid w:val="00557804"/>
    <w:rsid w:val="00557A02"/>
    <w:rsid w:val="00557A50"/>
    <w:rsid w:val="00557D06"/>
    <w:rsid w:val="00561042"/>
    <w:rsid w:val="0056196B"/>
    <w:rsid w:val="00561FD9"/>
    <w:rsid w:val="005622AB"/>
    <w:rsid w:val="005628D2"/>
    <w:rsid w:val="0056363D"/>
    <w:rsid w:val="005643BD"/>
    <w:rsid w:val="00564BFF"/>
    <w:rsid w:val="00564D95"/>
    <w:rsid w:val="0056509A"/>
    <w:rsid w:val="005658C5"/>
    <w:rsid w:val="00565970"/>
    <w:rsid w:val="005660E2"/>
    <w:rsid w:val="0056613A"/>
    <w:rsid w:val="0056654D"/>
    <w:rsid w:val="00566725"/>
    <w:rsid w:val="005677D4"/>
    <w:rsid w:val="00571344"/>
    <w:rsid w:val="00571A0D"/>
    <w:rsid w:val="00571EAB"/>
    <w:rsid w:val="0057259D"/>
    <w:rsid w:val="00572E2A"/>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5D"/>
    <w:rsid w:val="00583185"/>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80E"/>
    <w:rsid w:val="005A3C12"/>
    <w:rsid w:val="005A4830"/>
    <w:rsid w:val="005A486A"/>
    <w:rsid w:val="005A4E0A"/>
    <w:rsid w:val="005A4FB1"/>
    <w:rsid w:val="005A54E0"/>
    <w:rsid w:val="005A5B1B"/>
    <w:rsid w:val="005A75AD"/>
    <w:rsid w:val="005A79B9"/>
    <w:rsid w:val="005A7BC0"/>
    <w:rsid w:val="005A7D62"/>
    <w:rsid w:val="005A7E6C"/>
    <w:rsid w:val="005B0A78"/>
    <w:rsid w:val="005B0B58"/>
    <w:rsid w:val="005B188F"/>
    <w:rsid w:val="005B246A"/>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687"/>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1087"/>
    <w:rsid w:val="005E127B"/>
    <w:rsid w:val="005E2440"/>
    <w:rsid w:val="005E4A7D"/>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01E"/>
    <w:rsid w:val="005F6116"/>
    <w:rsid w:val="005F61B8"/>
    <w:rsid w:val="005F7457"/>
    <w:rsid w:val="005F7CB9"/>
    <w:rsid w:val="00600C5D"/>
    <w:rsid w:val="00600E15"/>
    <w:rsid w:val="006016F5"/>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DA1"/>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42C"/>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149"/>
    <w:rsid w:val="0064117D"/>
    <w:rsid w:val="006414D9"/>
    <w:rsid w:val="00641893"/>
    <w:rsid w:val="00641AC8"/>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4187"/>
    <w:rsid w:val="006746B1"/>
    <w:rsid w:val="006748D9"/>
    <w:rsid w:val="00674A5C"/>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5FB9"/>
    <w:rsid w:val="00696E62"/>
    <w:rsid w:val="0069727E"/>
    <w:rsid w:val="006972BA"/>
    <w:rsid w:val="006973EB"/>
    <w:rsid w:val="00697434"/>
    <w:rsid w:val="006A01BD"/>
    <w:rsid w:val="006A02EA"/>
    <w:rsid w:val="006A08B4"/>
    <w:rsid w:val="006A11BE"/>
    <w:rsid w:val="006A24D8"/>
    <w:rsid w:val="006A28DE"/>
    <w:rsid w:val="006A36C0"/>
    <w:rsid w:val="006A3AA9"/>
    <w:rsid w:val="006A417F"/>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2F81"/>
    <w:rsid w:val="006C3252"/>
    <w:rsid w:val="006C3322"/>
    <w:rsid w:val="006C3A3D"/>
    <w:rsid w:val="006C3B7E"/>
    <w:rsid w:val="006C4BB8"/>
    <w:rsid w:val="006C4DA7"/>
    <w:rsid w:val="006C4F90"/>
    <w:rsid w:val="006C575D"/>
    <w:rsid w:val="006C5896"/>
    <w:rsid w:val="006C58FD"/>
    <w:rsid w:val="006C60AE"/>
    <w:rsid w:val="006C6111"/>
    <w:rsid w:val="006C6B39"/>
    <w:rsid w:val="006C6D4D"/>
    <w:rsid w:val="006C7125"/>
    <w:rsid w:val="006D0DC2"/>
    <w:rsid w:val="006D117B"/>
    <w:rsid w:val="006D16E4"/>
    <w:rsid w:val="006D1A2B"/>
    <w:rsid w:val="006D20B0"/>
    <w:rsid w:val="006D21A8"/>
    <w:rsid w:val="006D3BD7"/>
    <w:rsid w:val="006D437F"/>
    <w:rsid w:val="006D44DC"/>
    <w:rsid w:val="006D4F8F"/>
    <w:rsid w:val="006D5982"/>
    <w:rsid w:val="006D5A8B"/>
    <w:rsid w:val="006D5C56"/>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5D1"/>
    <w:rsid w:val="006E5AE4"/>
    <w:rsid w:val="006E60EA"/>
    <w:rsid w:val="006E6280"/>
    <w:rsid w:val="006E7E84"/>
    <w:rsid w:val="006F0FFF"/>
    <w:rsid w:val="006F1DE4"/>
    <w:rsid w:val="006F2250"/>
    <w:rsid w:val="006F2592"/>
    <w:rsid w:val="006F2A7D"/>
    <w:rsid w:val="006F3531"/>
    <w:rsid w:val="006F391E"/>
    <w:rsid w:val="006F3C93"/>
    <w:rsid w:val="006F4307"/>
    <w:rsid w:val="006F4BF7"/>
    <w:rsid w:val="006F5957"/>
    <w:rsid w:val="006F6B8F"/>
    <w:rsid w:val="0070083E"/>
    <w:rsid w:val="00700E96"/>
    <w:rsid w:val="00700FD9"/>
    <w:rsid w:val="00701A75"/>
    <w:rsid w:val="00701B5B"/>
    <w:rsid w:val="00702A40"/>
    <w:rsid w:val="00702CFF"/>
    <w:rsid w:val="00703FA0"/>
    <w:rsid w:val="00704C17"/>
    <w:rsid w:val="00704E6A"/>
    <w:rsid w:val="00705748"/>
    <w:rsid w:val="007057AB"/>
    <w:rsid w:val="007059B2"/>
    <w:rsid w:val="007072DC"/>
    <w:rsid w:val="00707AF3"/>
    <w:rsid w:val="00707D22"/>
    <w:rsid w:val="0071007C"/>
    <w:rsid w:val="0071022D"/>
    <w:rsid w:val="007104B6"/>
    <w:rsid w:val="00710CAA"/>
    <w:rsid w:val="00711473"/>
    <w:rsid w:val="007122B2"/>
    <w:rsid w:val="00712877"/>
    <w:rsid w:val="007134D3"/>
    <w:rsid w:val="0071385D"/>
    <w:rsid w:val="00713B92"/>
    <w:rsid w:val="007146BE"/>
    <w:rsid w:val="00715CA8"/>
    <w:rsid w:val="00715E1E"/>
    <w:rsid w:val="007164C1"/>
    <w:rsid w:val="00716EB9"/>
    <w:rsid w:val="00717580"/>
    <w:rsid w:val="00717710"/>
    <w:rsid w:val="007200FD"/>
    <w:rsid w:val="0072060C"/>
    <w:rsid w:val="00720AC8"/>
    <w:rsid w:val="00721FDA"/>
    <w:rsid w:val="007227E3"/>
    <w:rsid w:val="007239EC"/>
    <w:rsid w:val="00723A08"/>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8D"/>
    <w:rsid w:val="007742F1"/>
    <w:rsid w:val="00774726"/>
    <w:rsid w:val="00774972"/>
    <w:rsid w:val="00774A11"/>
    <w:rsid w:val="00774A90"/>
    <w:rsid w:val="00774DE0"/>
    <w:rsid w:val="00775686"/>
    <w:rsid w:val="00775716"/>
    <w:rsid w:val="007757B1"/>
    <w:rsid w:val="00775845"/>
    <w:rsid w:val="00775BF7"/>
    <w:rsid w:val="007765EF"/>
    <w:rsid w:val="007767D3"/>
    <w:rsid w:val="00776DD1"/>
    <w:rsid w:val="00776F26"/>
    <w:rsid w:val="0077712B"/>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0DB8"/>
    <w:rsid w:val="007A1398"/>
    <w:rsid w:val="007A1B2A"/>
    <w:rsid w:val="007A2822"/>
    <w:rsid w:val="007A35E2"/>
    <w:rsid w:val="007A3964"/>
    <w:rsid w:val="007A3A34"/>
    <w:rsid w:val="007A467C"/>
    <w:rsid w:val="007A470E"/>
    <w:rsid w:val="007A5B01"/>
    <w:rsid w:val="007A5B63"/>
    <w:rsid w:val="007A5BA6"/>
    <w:rsid w:val="007A5EC1"/>
    <w:rsid w:val="007A62B9"/>
    <w:rsid w:val="007A6310"/>
    <w:rsid w:val="007A6818"/>
    <w:rsid w:val="007A715D"/>
    <w:rsid w:val="007A7E81"/>
    <w:rsid w:val="007A7E93"/>
    <w:rsid w:val="007B0A26"/>
    <w:rsid w:val="007B1221"/>
    <w:rsid w:val="007B1B7E"/>
    <w:rsid w:val="007B1DB7"/>
    <w:rsid w:val="007B2B8D"/>
    <w:rsid w:val="007B3230"/>
    <w:rsid w:val="007B35BE"/>
    <w:rsid w:val="007B46BF"/>
    <w:rsid w:val="007B5383"/>
    <w:rsid w:val="007B6017"/>
    <w:rsid w:val="007B61E6"/>
    <w:rsid w:val="007B69ED"/>
    <w:rsid w:val="007B6B98"/>
    <w:rsid w:val="007B78ED"/>
    <w:rsid w:val="007B7ACE"/>
    <w:rsid w:val="007B7D25"/>
    <w:rsid w:val="007C0107"/>
    <w:rsid w:val="007C0E6F"/>
    <w:rsid w:val="007C1066"/>
    <w:rsid w:val="007C139C"/>
    <w:rsid w:val="007C1AC4"/>
    <w:rsid w:val="007C1BCF"/>
    <w:rsid w:val="007C1FC9"/>
    <w:rsid w:val="007C2607"/>
    <w:rsid w:val="007C29FA"/>
    <w:rsid w:val="007C2ABB"/>
    <w:rsid w:val="007C2BE4"/>
    <w:rsid w:val="007C3622"/>
    <w:rsid w:val="007C3C89"/>
    <w:rsid w:val="007C3E25"/>
    <w:rsid w:val="007C4262"/>
    <w:rsid w:val="007C4549"/>
    <w:rsid w:val="007C4B0E"/>
    <w:rsid w:val="007C5CB2"/>
    <w:rsid w:val="007C66BF"/>
    <w:rsid w:val="007C67E2"/>
    <w:rsid w:val="007C7971"/>
    <w:rsid w:val="007C7DFF"/>
    <w:rsid w:val="007D01BC"/>
    <w:rsid w:val="007D0FFB"/>
    <w:rsid w:val="007D100A"/>
    <w:rsid w:val="007D1137"/>
    <w:rsid w:val="007D116C"/>
    <w:rsid w:val="007D12EA"/>
    <w:rsid w:val="007D156B"/>
    <w:rsid w:val="007D219D"/>
    <w:rsid w:val="007D2F92"/>
    <w:rsid w:val="007D374D"/>
    <w:rsid w:val="007D3D18"/>
    <w:rsid w:val="007D3F55"/>
    <w:rsid w:val="007D4253"/>
    <w:rsid w:val="007D433F"/>
    <w:rsid w:val="007D435F"/>
    <w:rsid w:val="007D527A"/>
    <w:rsid w:val="007D5679"/>
    <w:rsid w:val="007D5D8B"/>
    <w:rsid w:val="007D5FA6"/>
    <w:rsid w:val="007D6196"/>
    <w:rsid w:val="007D64C9"/>
    <w:rsid w:val="007D6635"/>
    <w:rsid w:val="007D6BB1"/>
    <w:rsid w:val="007D755C"/>
    <w:rsid w:val="007D798F"/>
    <w:rsid w:val="007D7A20"/>
    <w:rsid w:val="007E0A04"/>
    <w:rsid w:val="007E10E7"/>
    <w:rsid w:val="007E1738"/>
    <w:rsid w:val="007E1833"/>
    <w:rsid w:val="007E2779"/>
    <w:rsid w:val="007E3073"/>
    <w:rsid w:val="007E3B19"/>
    <w:rsid w:val="007E4314"/>
    <w:rsid w:val="007E4572"/>
    <w:rsid w:val="007E5038"/>
    <w:rsid w:val="007E57D2"/>
    <w:rsid w:val="007E58E3"/>
    <w:rsid w:val="007E5E5B"/>
    <w:rsid w:val="007E6407"/>
    <w:rsid w:val="007E6810"/>
    <w:rsid w:val="007E6F97"/>
    <w:rsid w:val="007E6F9F"/>
    <w:rsid w:val="007E7764"/>
    <w:rsid w:val="007E77D6"/>
    <w:rsid w:val="007E7C36"/>
    <w:rsid w:val="007E7C94"/>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369"/>
    <w:rsid w:val="007F24E2"/>
    <w:rsid w:val="007F2DDE"/>
    <w:rsid w:val="007F337D"/>
    <w:rsid w:val="007F3B1A"/>
    <w:rsid w:val="007F3BA1"/>
    <w:rsid w:val="007F41FD"/>
    <w:rsid w:val="007F4592"/>
    <w:rsid w:val="007F5071"/>
    <w:rsid w:val="007F50EE"/>
    <w:rsid w:val="007F53F1"/>
    <w:rsid w:val="007F5604"/>
    <w:rsid w:val="007F6192"/>
    <w:rsid w:val="007F6756"/>
    <w:rsid w:val="007F67A9"/>
    <w:rsid w:val="007F67C7"/>
    <w:rsid w:val="007F6AFF"/>
    <w:rsid w:val="007F6D6B"/>
    <w:rsid w:val="007F7063"/>
    <w:rsid w:val="007F7E44"/>
    <w:rsid w:val="007F7FF8"/>
    <w:rsid w:val="00802665"/>
    <w:rsid w:val="00802A46"/>
    <w:rsid w:val="00803155"/>
    <w:rsid w:val="00803CFD"/>
    <w:rsid w:val="00803FBB"/>
    <w:rsid w:val="0080439F"/>
    <w:rsid w:val="008043A8"/>
    <w:rsid w:val="00805DD3"/>
    <w:rsid w:val="00806AE6"/>
    <w:rsid w:val="00806C75"/>
    <w:rsid w:val="00807AD3"/>
    <w:rsid w:val="008108AC"/>
    <w:rsid w:val="008115FD"/>
    <w:rsid w:val="00811A99"/>
    <w:rsid w:val="00811B13"/>
    <w:rsid w:val="008137CC"/>
    <w:rsid w:val="0081430E"/>
    <w:rsid w:val="00814341"/>
    <w:rsid w:val="008143AB"/>
    <w:rsid w:val="008149EF"/>
    <w:rsid w:val="008151EC"/>
    <w:rsid w:val="00815ACE"/>
    <w:rsid w:val="00815B9B"/>
    <w:rsid w:val="00816065"/>
    <w:rsid w:val="00817042"/>
    <w:rsid w:val="00817235"/>
    <w:rsid w:val="008174C3"/>
    <w:rsid w:val="00817775"/>
    <w:rsid w:val="00820441"/>
    <w:rsid w:val="008206CE"/>
    <w:rsid w:val="00820AD0"/>
    <w:rsid w:val="00821BA2"/>
    <w:rsid w:val="008221C1"/>
    <w:rsid w:val="008227D4"/>
    <w:rsid w:val="00823232"/>
    <w:rsid w:val="00823A32"/>
    <w:rsid w:val="00823B4C"/>
    <w:rsid w:val="0082411F"/>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E0F"/>
    <w:rsid w:val="008446B4"/>
    <w:rsid w:val="00844ADE"/>
    <w:rsid w:val="00844FD2"/>
    <w:rsid w:val="00845096"/>
    <w:rsid w:val="00845242"/>
    <w:rsid w:val="00845C0A"/>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67A00"/>
    <w:rsid w:val="00870121"/>
    <w:rsid w:val="0087093B"/>
    <w:rsid w:val="00870A9F"/>
    <w:rsid w:val="00870B5A"/>
    <w:rsid w:val="00870D14"/>
    <w:rsid w:val="0087115E"/>
    <w:rsid w:val="0087130D"/>
    <w:rsid w:val="008716CB"/>
    <w:rsid w:val="008719C4"/>
    <w:rsid w:val="0087345D"/>
    <w:rsid w:val="00873713"/>
    <w:rsid w:val="0087456C"/>
    <w:rsid w:val="00875068"/>
    <w:rsid w:val="008751D3"/>
    <w:rsid w:val="008756B3"/>
    <w:rsid w:val="00876394"/>
    <w:rsid w:val="008765AB"/>
    <w:rsid w:val="00876657"/>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497"/>
    <w:rsid w:val="008942E7"/>
    <w:rsid w:val="00894709"/>
    <w:rsid w:val="00895550"/>
    <w:rsid w:val="00895AA2"/>
    <w:rsid w:val="00897094"/>
    <w:rsid w:val="00897286"/>
    <w:rsid w:val="00897563"/>
    <w:rsid w:val="00897815"/>
    <w:rsid w:val="008A0549"/>
    <w:rsid w:val="008A0F62"/>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1972"/>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194B"/>
    <w:rsid w:val="008D1AC8"/>
    <w:rsid w:val="008D1F5C"/>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5F"/>
    <w:rsid w:val="008F5DB7"/>
    <w:rsid w:val="008F7306"/>
    <w:rsid w:val="00900744"/>
    <w:rsid w:val="009008F2"/>
    <w:rsid w:val="00900A11"/>
    <w:rsid w:val="009012D4"/>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40E3"/>
    <w:rsid w:val="0093456C"/>
    <w:rsid w:val="009349AB"/>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471A"/>
    <w:rsid w:val="00954EDD"/>
    <w:rsid w:val="009550A6"/>
    <w:rsid w:val="0095537B"/>
    <w:rsid w:val="009553C6"/>
    <w:rsid w:val="00955FDB"/>
    <w:rsid w:val="0095611C"/>
    <w:rsid w:val="009567E3"/>
    <w:rsid w:val="009569B8"/>
    <w:rsid w:val="00956BFB"/>
    <w:rsid w:val="00956DB0"/>
    <w:rsid w:val="00956DFE"/>
    <w:rsid w:val="00956F82"/>
    <w:rsid w:val="0095745C"/>
    <w:rsid w:val="00957E03"/>
    <w:rsid w:val="00960F94"/>
    <w:rsid w:val="009611F2"/>
    <w:rsid w:val="009615EC"/>
    <w:rsid w:val="009615F9"/>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6F"/>
    <w:rsid w:val="009725F4"/>
    <w:rsid w:val="00972BC8"/>
    <w:rsid w:val="0097308E"/>
    <w:rsid w:val="00973669"/>
    <w:rsid w:val="0097445D"/>
    <w:rsid w:val="009744FD"/>
    <w:rsid w:val="00975876"/>
    <w:rsid w:val="00976DF1"/>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87A43"/>
    <w:rsid w:val="009901EF"/>
    <w:rsid w:val="009906FC"/>
    <w:rsid w:val="0099146F"/>
    <w:rsid w:val="00991685"/>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6D0"/>
    <w:rsid w:val="00997807"/>
    <w:rsid w:val="00997B72"/>
    <w:rsid w:val="00997FCA"/>
    <w:rsid w:val="009A02AB"/>
    <w:rsid w:val="009A1058"/>
    <w:rsid w:val="009A15FD"/>
    <w:rsid w:val="009A16E4"/>
    <w:rsid w:val="009A1F05"/>
    <w:rsid w:val="009A221D"/>
    <w:rsid w:val="009A2965"/>
    <w:rsid w:val="009A378E"/>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FDA"/>
    <w:rsid w:val="009B5A0F"/>
    <w:rsid w:val="009B6143"/>
    <w:rsid w:val="009B6586"/>
    <w:rsid w:val="009B6C2A"/>
    <w:rsid w:val="009B739A"/>
    <w:rsid w:val="009B76C5"/>
    <w:rsid w:val="009B7EAA"/>
    <w:rsid w:val="009C0E2A"/>
    <w:rsid w:val="009C1AEB"/>
    <w:rsid w:val="009C2B83"/>
    <w:rsid w:val="009C3714"/>
    <w:rsid w:val="009C394A"/>
    <w:rsid w:val="009C3CCF"/>
    <w:rsid w:val="009C4E7A"/>
    <w:rsid w:val="009C5632"/>
    <w:rsid w:val="009C5AE7"/>
    <w:rsid w:val="009C60CE"/>
    <w:rsid w:val="009C613A"/>
    <w:rsid w:val="009C6183"/>
    <w:rsid w:val="009C6495"/>
    <w:rsid w:val="009C65E9"/>
    <w:rsid w:val="009C66EA"/>
    <w:rsid w:val="009C74BD"/>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4F1C"/>
    <w:rsid w:val="009E572A"/>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D6C"/>
    <w:rsid w:val="009F6E02"/>
    <w:rsid w:val="009F764E"/>
    <w:rsid w:val="009F79A2"/>
    <w:rsid w:val="00A003EF"/>
    <w:rsid w:val="00A00E1D"/>
    <w:rsid w:val="00A0101E"/>
    <w:rsid w:val="00A017B3"/>
    <w:rsid w:val="00A018D4"/>
    <w:rsid w:val="00A01C3F"/>
    <w:rsid w:val="00A02020"/>
    <w:rsid w:val="00A02FAD"/>
    <w:rsid w:val="00A032E1"/>
    <w:rsid w:val="00A03745"/>
    <w:rsid w:val="00A03EFA"/>
    <w:rsid w:val="00A06AB0"/>
    <w:rsid w:val="00A06EFB"/>
    <w:rsid w:val="00A07887"/>
    <w:rsid w:val="00A07910"/>
    <w:rsid w:val="00A102BF"/>
    <w:rsid w:val="00A10323"/>
    <w:rsid w:val="00A104F8"/>
    <w:rsid w:val="00A10548"/>
    <w:rsid w:val="00A117F6"/>
    <w:rsid w:val="00A11BD4"/>
    <w:rsid w:val="00A11CDC"/>
    <w:rsid w:val="00A12592"/>
    <w:rsid w:val="00A12797"/>
    <w:rsid w:val="00A12915"/>
    <w:rsid w:val="00A12B68"/>
    <w:rsid w:val="00A12F48"/>
    <w:rsid w:val="00A134AA"/>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2EB9"/>
    <w:rsid w:val="00A23301"/>
    <w:rsid w:val="00A23384"/>
    <w:rsid w:val="00A237A4"/>
    <w:rsid w:val="00A251C4"/>
    <w:rsid w:val="00A256F6"/>
    <w:rsid w:val="00A25BE9"/>
    <w:rsid w:val="00A27325"/>
    <w:rsid w:val="00A2794A"/>
    <w:rsid w:val="00A27AD7"/>
    <w:rsid w:val="00A30602"/>
    <w:rsid w:val="00A30828"/>
    <w:rsid w:val="00A3100D"/>
    <w:rsid w:val="00A31711"/>
    <w:rsid w:val="00A31A72"/>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9A0"/>
    <w:rsid w:val="00A47C7A"/>
    <w:rsid w:val="00A5046C"/>
    <w:rsid w:val="00A51737"/>
    <w:rsid w:val="00A51AE0"/>
    <w:rsid w:val="00A51FF7"/>
    <w:rsid w:val="00A526BE"/>
    <w:rsid w:val="00A5296C"/>
    <w:rsid w:val="00A52ABB"/>
    <w:rsid w:val="00A52D97"/>
    <w:rsid w:val="00A540E9"/>
    <w:rsid w:val="00A54544"/>
    <w:rsid w:val="00A55DCE"/>
    <w:rsid w:val="00A5601C"/>
    <w:rsid w:val="00A561FA"/>
    <w:rsid w:val="00A564E2"/>
    <w:rsid w:val="00A56893"/>
    <w:rsid w:val="00A56F73"/>
    <w:rsid w:val="00A5723B"/>
    <w:rsid w:val="00A57F1B"/>
    <w:rsid w:val="00A6073D"/>
    <w:rsid w:val="00A60743"/>
    <w:rsid w:val="00A60C3E"/>
    <w:rsid w:val="00A60DE4"/>
    <w:rsid w:val="00A619BE"/>
    <w:rsid w:val="00A6295C"/>
    <w:rsid w:val="00A62987"/>
    <w:rsid w:val="00A62D75"/>
    <w:rsid w:val="00A62E72"/>
    <w:rsid w:val="00A631AE"/>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519F"/>
    <w:rsid w:val="00A770C1"/>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A010F"/>
    <w:rsid w:val="00AA04BD"/>
    <w:rsid w:val="00AA0A55"/>
    <w:rsid w:val="00AA0D04"/>
    <w:rsid w:val="00AA0DB3"/>
    <w:rsid w:val="00AA1D7A"/>
    <w:rsid w:val="00AA23BD"/>
    <w:rsid w:val="00AA265C"/>
    <w:rsid w:val="00AA2BB8"/>
    <w:rsid w:val="00AA3109"/>
    <w:rsid w:val="00AA3787"/>
    <w:rsid w:val="00AA3A28"/>
    <w:rsid w:val="00AA46D2"/>
    <w:rsid w:val="00AA4DAF"/>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2B54"/>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2111"/>
    <w:rsid w:val="00AC23D5"/>
    <w:rsid w:val="00AC3342"/>
    <w:rsid w:val="00AC4C6C"/>
    <w:rsid w:val="00AC53A7"/>
    <w:rsid w:val="00AC5AA5"/>
    <w:rsid w:val="00AC64F8"/>
    <w:rsid w:val="00AC68F1"/>
    <w:rsid w:val="00AC70C9"/>
    <w:rsid w:val="00AC79E3"/>
    <w:rsid w:val="00AC7BB6"/>
    <w:rsid w:val="00AC7DF9"/>
    <w:rsid w:val="00AD0017"/>
    <w:rsid w:val="00AD07C2"/>
    <w:rsid w:val="00AD0841"/>
    <w:rsid w:val="00AD09FC"/>
    <w:rsid w:val="00AD0E97"/>
    <w:rsid w:val="00AD16DC"/>
    <w:rsid w:val="00AD1F69"/>
    <w:rsid w:val="00AD2361"/>
    <w:rsid w:val="00AD282D"/>
    <w:rsid w:val="00AD2A62"/>
    <w:rsid w:val="00AD2C8C"/>
    <w:rsid w:val="00AD2F85"/>
    <w:rsid w:val="00AD3ABC"/>
    <w:rsid w:val="00AD3C71"/>
    <w:rsid w:val="00AD4883"/>
    <w:rsid w:val="00AD5583"/>
    <w:rsid w:val="00AD631B"/>
    <w:rsid w:val="00AD6891"/>
    <w:rsid w:val="00AD6DA0"/>
    <w:rsid w:val="00AD7470"/>
    <w:rsid w:val="00AE01D5"/>
    <w:rsid w:val="00AE0C10"/>
    <w:rsid w:val="00AE129E"/>
    <w:rsid w:val="00AE1917"/>
    <w:rsid w:val="00AE1972"/>
    <w:rsid w:val="00AE1DB6"/>
    <w:rsid w:val="00AE232C"/>
    <w:rsid w:val="00AE237C"/>
    <w:rsid w:val="00AE25E2"/>
    <w:rsid w:val="00AE2880"/>
    <w:rsid w:val="00AE3220"/>
    <w:rsid w:val="00AE46E7"/>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04"/>
    <w:rsid w:val="00B07818"/>
    <w:rsid w:val="00B07CBA"/>
    <w:rsid w:val="00B10E2D"/>
    <w:rsid w:val="00B12152"/>
    <w:rsid w:val="00B1280F"/>
    <w:rsid w:val="00B139EE"/>
    <w:rsid w:val="00B14746"/>
    <w:rsid w:val="00B1488E"/>
    <w:rsid w:val="00B14E9C"/>
    <w:rsid w:val="00B14FA1"/>
    <w:rsid w:val="00B15367"/>
    <w:rsid w:val="00B15707"/>
    <w:rsid w:val="00B15FA1"/>
    <w:rsid w:val="00B16422"/>
    <w:rsid w:val="00B16A26"/>
    <w:rsid w:val="00B17288"/>
    <w:rsid w:val="00B20541"/>
    <w:rsid w:val="00B20856"/>
    <w:rsid w:val="00B20988"/>
    <w:rsid w:val="00B20D5E"/>
    <w:rsid w:val="00B21404"/>
    <w:rsid w:val="00B2403F"/>
    <w:rsid w:val="00B240EA"/>
    <w:rsid w:val="00B2484B"/>
    <w:rsid w:val="00B2497F"/>
    <w:rsid w:val="00B2510D"/>
    <w:rsid w:val="00B25A9D"/>
    <w:rsid w:val="00B26417"/>
    <w:rsid w:val="00B27947"/>
    <w:rsid w:val="00B302AC"/>
    <w:rsid w:val="00B30403"/>
    <w:rsid w:val="00B3121C"/>
    <w:rsid w:val="00B315F0"/>
    <w:rsid w:val="00B31CF2"/>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5CD"/>
    <w:rsid w:val="00B50C91"/>
    <w:rsid w:val="00B50F8A"/>
    <w:rsid w:val="00B51029"/>
    <w:rsid w:val="00B51038"/>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D9F"/>
    <w:rsid w:val="00B7653B"/>
    <w:rsid w:val="00B76E91"/>
    <w:rsid w:val="00B771D7"/>
    <w:rsid w:val="00B801B2"/>
    <w:rsid w:val="00B8225C"/>
    <w:rsid w:val="00B8277D"/>
    <w:rsid w:val="00B82897"/>
    <w:rsid w:val="00B82D3F"/>
    <w:rsid w:val="00B831A9"/>
    <w:rsid w:val="00B83857"/>
    <w:rsid w:val="00B84348"/>
    <w:rsid w:val="00B847D9"/>
    <w:rsid w:val="00B84C9D"/>
    <w:rsid w:val="00B85251"/>
    <w:rsid w:val="00B853CC"/>
    <w:rsid w:val="00B8653C"/>
    <w:rsid w:val="00B866EE"/>
    <w:rsid w:val="00B86E84"/>
    <w:rsid w:val="00B86E85"/>
    <w:rsid w:val="00B8751C"/>
    <w:rsid w:val="00B87F36"/>
    <w:rsid w:val="00B9048A"/>
    <w:rsid w:val="00B90835"/>
    <w:rsid w:val="00B90A62"/>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48E9"/>
    <w:rsid w:val="00BB4BB2"/>
    <w:rsid w:val="00BB4FD7"/>
    <w:rsid w:val="00BB504D"/>
    <w:rsid w:val="00BB56EB"/>
    <w:rsid w:val="00BB57F4"/>
    <w:rsid w:val="00BB5945"/>
    <w:rsid w:val="00BB6859"/>
    <w:rsid w:val="00BB6AC4"/>
    <w:rsid w:val="00BB76D3"/>
    <w:rsid w:val="00BB79DA"/>
    <w:rsid w:val="00BB7BC9"/>
    <w:rsid w:val="00BB7FC0"/>
    <w:rsid w:val="00BC060A"/>
    <w:rsid w:val="00BC0656"/>
    <w:rsid w:val="00BC0C42"/>
    <w:rsid w:val="00BC110E"/>
    <w:rsid w:val="00BC114A"/>
    <w:rsid w:val="00BC1EF1"/>
    <w:rsid w:val="00BC2850"/>
    <w:rsid w:val="00BC4159"/>
    <w:rsid w:val="00BC4655"/>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B5B"/>
    <w:rsid w:val="00BD3D80"/>
    <w:rsid w:val="00BD516D"/>
    <w:rsid w:val="00BD528E"/>
    <w:rsid w:val="00BD5633"/>
    <w:rsid w:val="00BD5F05"/>
    <w:rsid w:val="00BD6926"/>
    <w:rsid w:val="00BD7229"/>
    <w:rsid w:val="00BD7718"/>
    <w:rsid w:val="00BE002A"/>
    <w:rsid w:val="00BE00F4"/>
    <w:rsid w:val="00BE028C"/>
    <w:rsid w:val="00BE0DB6"/>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47EE"/>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A08"/>
    <w:rsid w:val="00C17A3B"/>
    <w:rsid w:val="00C17DB1"/>
    <w:rsid w:val="00C203BC"/>
    <w:rsid w:val="00C20C52"/>
    <w:rsid w:val="00C20F76"/>
    <w:rsid w:val="00C21BFD"/>
    <w:rsid w:val="00C227BD"/>
    <w:rsid w:val="00C22B92"/>
    <w:rsid w:val="00C2395D"/>
    <w:rsid w:val="00C239D6"/>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2811"/>
    <w:rsid w:val="00C33434"/>
    <w:rsid w:val="00C33455"/>
    <w:rsid w:val="00C33ED6"/>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57B"/>
    <w:rsid w:val="00C578AE"/>
    <w:rsid w:val="00C579FF"/>
    <w:rsid w:val="00C613F4"/>
    <w:rsid w:val="00C61B83"/>
    <w:rsid w:val="00C61C2E"/>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869"/>
    <w:rsid w:val="00C80CA6"/>
    <w:rsid w:val="00C814C0"/>
    <w:rsid w:val="00C81DA9"/>
    <w:rsid w:val="00C81FBD"/>
    <w:rsid w:val="00C82076"/>
    <w:rsid w:val="00C82955"/>
    <w:rsid w:val="00C83443"/>
    <w:rsid w:val="00C836AB"/>
    <w:rsid w:val="00C83769"/>
    <w:rsid w:val="00C84957"/>
    <w:rsid w:val="00C86149"/>
    <w:rsid w:val="00C86164"/>
    <w:rsid w:val="00C87801"/>
    <w:rsid w:val="00C87B9E"/>
    <w:rsid w:val="00C90152"/>
    <w:rsid w:val="00C910BC"/>
    <w:rsid w:val="00C91B94"/>
    <w:rsid w:val="00C91F30"/>
    <w:rsid w:val="00C9207A"/>
    <w:rsid w:val="00C92EE4"/>
    <w:rsid w:val="00C94146"/>
    <w:rsid w:val="00C947E2"/>
    <w:rsid w:val="00C9488E"/>
    <w:rsid w:val="00C94EBD"/>
    <w:rsid w:val="00C94F56"/>
    <w:rsid w:val="00C95094"/>
    <w:rsid w:val="00C9549F"/>
    <w:rsid w:val="00C958EA"/>
    <w:rsid w:val="00C95C84"/>
    <w:rsid w:val="00C95D2E"/>
    <w:rsid w:val="00C960B4"/>
    <w:rsid w:val="00C96236"/>
    <w:rsid w:val="00C96339"/>
    <w:rsid w:val="00C96D95"/>
    <w:rsid w:val="00C96EFF"/>
    <w:rsid w:val="00C973D4"/>
    <w:rsid w:val="00CA0009"/>
    <w:rsid w:val="00CA0148"/>
    <w:rsid w:val="00CA1448"/>
    <w:rsid w:val="00CA14C2"/>
    <w:rsid w:val="00CA15B6"/>
    <w:rsid w:val="00CA1CD9"/>
    <w:rsid w:val="00CA1E5A"/>
    <w:rsid w:val="00CA26F4"/>
    <w:rsid w:val="00CA2834"/>
    <w:rsid w:val="00CA2860"/>
    <w:rsid w:val="00CA2A29"/>
    <w:rsid w:val="00CA32B2"/>
    <w:rsid w:val="00CA3B2F"/>
    <w:rsid w:val="00CA3C56"/>
    <w:rsid w:val="00CA41C7"/>
    <w:rsid w:val="00CA4E1D"/>
    <w:rsid w:val="00CA5009"/>
    <w:rsid w:val="00CA539F"/>
    <w:rsid w:val="00CA5B28"/>
    <w:rsid w:val="00CA5CDB"/>
    <w:rsid w:val="00CA62E8"/>
    <w:rsid w:val="00CA64BC"/>
    <w:rsid w:val="00CA671A"/>
    <w:rsid w:val="00CA6970"/>
    <w:rsid w:val="00CA7F35"/>
    <w:rsid w:val="00CB0A72"/>
    <w:rsid w:val="00CB0E6B"/>
    <w:rsid w:val="00CB13C6"/>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6DF"/>
    <w:rsid w:val="00CC6FD4"/>
    <w:rsid w:val="00CC708D"/>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C05"/>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5B63"/>
    <w:rsid w:val="00D06420"/>
    <w:rsid w:val="00D067E6"/>
    <w:rsid w:val="00D0701F"/>
    <w:rsid w:val="00D0754F"/>
    <w:rsid w:val="00D0796B"/>
    <w:rsid w:val="00D07A59"/>
    <w:rsid w:val="00D07B24"/>
    <w:rsid w:val="00D07E18"/>
    <w:rsid w:val="00D113C6"/>
    <w:rsid w:val="00D11478"/>
    <w:rsid w:val="00D11730"/>
    <w:rsid w:val="00D11A66"/>
    <w:rsid w:val="00D11AB4"/>
    <w:rsid w:val="00D124AA"/>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69B"/>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39"/>
    <w:rsid w:val="00D60294"/>
    <w:rsid w:val="00D60B20"/>
    <w:rsid w:val="00D60B5F"/>
    <w:rsid w:val="00D60F2F"/>
    <w:rsid w:val="00D61A9B"/>
    <w:rsid w:val="00D62058"/>
    <w:rsid w:val="00D632C7"/>
    <w:rsid w:val="00D63489"/>
    <w:rsid w:val="00D6417A"/>
    <w:rsid w:val="00D64954"/>
    <w:rsid w:val="00D6512E"/>
    <w:rsid w:val="00D6602F"/>
    <w:rsid w:val="00D6658E"/>
    <w:rsid w:val="00D66C6D"/>
    <w:rsid w:val="00D6748C"/>
    <w:rsid w:val="00D708DA"/>
    <w:rsid w:val="00D70BA4"/>
    <w:rsid w:val="00D718AE"/>
    <w:rsid w:val="00D719BF"/>
    <w:rsid w:val="00D72031"/>
    <w:rsid w:val="00D7220A"/>
    <w:rsid w:val="00D72986"/>
    <w:rsid w:val="00D73ABA"/>
    <w:rsid w:val="00D74080"/>
    <w:rsid w:val="00D740F0"/>
    <w:rsid w:val="00D74CAD"/>
    <w:rsid w:val="00D751F6"/>
    <w:rsid w:val="00D752A3"/>
    <w:rsid w:val="00D75351"/>
    <w:rsid w:val="00D76A05"/>
    <w:rsid w:val="00D76EC9"/>
    <w:rsid w:val="00D77305"/>
    <w:rsid w:val="00D775C5"/>
    <w:rsid w:val="00D77DD2"/>
    <w:rsid w:val="00D80AB4"/>
    <w:rsid w:val="00D81639"/>
    <w:rsid w:val="00D82204"/>
    <w:rsid w:val="00D825E5"/>
    <w:rsid w:val="00D82883"/>
    <w:rsid w:val="00D82CD4"/>
    <w:rsid w:val="00D82CF3"/>
    <w:rsid w:val="00D8338E"/>
    <w:rsid w:val="00D83829"/>
    <w:rsid w:val="00D8388A"/>
    <w:rsid w:val="00D83B2D"/>
    <w:rsid w:val="00D84540"/>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61D"/>
    <w:rsid w:val="00DA5BC6"/>
    <w:rsid w:val="00DA5E82"/>
    <w:rsid w:val="00DA65FF"/>
    <w:rsid w:val="00DA71BF"/>
    <w:rsid w:val="00DA79C9"/>
    <w:rsid w:val="00DA7FAE"/>
    <w:rsid w:val="00DB05D9"/>
    <w:rsid w:val="00DB0A73"/>
    <w:rsid w:val="00DB1150"/>
    <w:rsid w:val="00DB129D"/>
    <w:rsid w:val="00DB1363"/>
    <w:rsid w:val="00DB1776"/>
    <w:rsid w:val="00DB1BCB"/>
    <w:rsid w:val="00DB20BC"/>
    <w:rsid w:val="00DB2393"/>
    <w:rsid w:val="00DB2B16"/>
    <w:rsid w:val="00DB2E4E"/>
    <w:rsid w:val="00DB3324"/>
    <w:rsid w:val="00DB3B9E"/>
    <w:rsid w:val="00DB3EC5"/>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189A"/>
    <w:rsid w:val="00DE1E11"/>
    <w:rsid w:val="00DE26B3"/>
    <w:rsid w:val="00DE2CFA"/>
    <w:rsid w:val="00DE2E22"/>
    <w:rsid w:val="00DE39DE"/>
    <w:rsid w:val="00DE3A05"/>
    <w:rsid w:val="00DE3B9C"/>
    <w:rsid w:val="00DE45AB"/>
    <w:rsid w:val="00DE4615"/>
    <w:rsid w:val="00DE4B04"/>
    <w:rsid w:val="00DE5045"/>
    <w:rsid w:val="00DE50D6"/>
    <w:rsid w:val="00DE5141"/>
    <w:rsid w:val="00DE58A0"/>
    <w:rsid w:val="00DE58DB"/>
    <w:rsid w:val="00DE5B71"/>
    <w:rsid w:val="00DE6F62"/>
    <w:rsid w:val="00DE73FB"/>
    <w:rsid w:val="00DF14E7"/>
    <w:rsid w:val="00DF1529"/>
    <w:rsid w:val="00DF2103"/>
    <w:rsid w:val="00DF232D"/>
    <w:rsid w:val="00DF2D3A"/>
    <w:rsid w:val="00DF30F0"/>
    <w:rsid w:val="00DF34E4"/>
    <w:rsid w:val="00DF4C35"/>
    <w:rsid w:val="00DF570E"/>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412"/>
    <w:rsid w:val="00E21598"/>
    <w:rsid w:val="00E22104"/>
    <w:rsid w:val="00E22454"/>
    <w:rsid w:val="00E22486"/>
    <w:rsid w:val="00E22739"/>
    <w:rsid w:val="00E227F0"/>
    <w:rsid w:val="00E22993"/>
    <w:rsid w:val="00E229A0"/>
    <w:rsid w:val="00E230CB"/>
    <w:rsid w:val="00E236E4"/>
    <w:rsid w:val="00E23E25"/>
    <w:rsid w:val="00E23F69"/>
    <w:rsid w:val="00E24CF9"/>
    <w:rsid w:val="00E24D09"/>
    <w:rsid w:val="00E24FDD"/>
    <w:rsid w:val="00E25159"/>
    <w:rsid w:val="00E253F1"/>
    <w:rsid w:val="00E25577"/>
    <w:rsid w:val="00E2583D"/>
    <w:rsid w:val="00E258AA"/>
    <w:rsid w:val="00E25AC1"/>
    <w:rsid w:val="00E26040"/>
    <w:rsid w:val="00E27116"/>
    <w:rsid w:val="00E27408"/>
    <w:rsid w:val="00E27FCF"/>
    <w:rsid w:val="00E3160B"/>
    <w:rsid w:val="00E31E0B"/>
    <w:rsid w:val="00E31E29"/>
    <w:rsid w:val="00E32882"/>
    <w:rsid w:val="00E32B9B"/>
    <w:rsid w:val="00E3369B"/>
    <w:rsid w:val="00E34CDC"/>
    <w:rsid w:val="00E361E1"/>
    <w:rsid w:val="00E366C8"/>
    <w:rsid w:val="00E368B4"/>
    <w:rsid w:val="00E36EAB"/>
    <w:rsid w:val="00E37144"/>
    <w:rsid w:val="00E37375"/>
    <w:rsid w:val="00E37592"/>
    <w:rsid w:val="00E37876"/>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5248"/>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851"/>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4DCB"/>
    <w:rsid w:val="00EB500A"/>
    <w:rsid w:val="00EB5120"/>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E0028"/>
    <w:rsid w:val="00EE0221"/>
    <w:rsid w:val="00EE03CC"/>
    <w:rsid w:val="00EE051F"/>
    <w:rsid w:val="00EE05B7"/>
    <w:rsid w:val="00EE0C65"/>
    <w:rsid w:val="00EE1282"/>
    <w:rsid w:val="00EE1BB8"/>
    <w:rsid w:val="00EE1DD1"/>
    <w:rsid w:val="00EE25F9"/>
    <w:rsid w:val="00EE29AF"/>
    <w:rsid w:val="00EE3463"/>
    <w:rsid w:val="00EE37EE"/>
    <w:rsid w:val="00EE39A4"/>
    <w:rsid w:val="00EE4B59"/>
    <w:rsid w:val="00EE50A8"/>
    <w:rsid w:val="00EE6372"/>
    <w:rsid w:val="00EE6BE1"/>
    <w:rsid w:val="00EE7829"/>
    <w:rsid w:val="00EF0279"/>
    <w:rsid w:val="00EF0629"/>
    <w:rsid w:val="00EF09DF"/>
    <w:rsid w:val="00EF0D49"/>
    <w:rsid w:val="00EF1594"/>
    <w:rsid w:val="00EF1C23"/>
    <w:rsid w:val="00EF269C"/>
    <w:rsid w:val="00EF3463"/>
    <w:rsid w:val="00EF36A1"/>
    <w:rsid w:val="00EF389F"/>
    <w:rsid w:val="00EF40A9"/>
    <w:rsid w:val="00EF4A6B"/>
    <w:rsid w:val="00EF4CAF"/>
    <w:rsid w:val="00EF4E00"/>
    <w:rsid w:val="00EF540A"/>
    <w:rsid w:val="00EF719E"/>
    <w:rsid w:val="00EF76FE"/>
    <w:rsid w:val="00F0064D"/>
    <w:rsid w:val="00F006BC"/>
    <w:rsid w:val="00F0087F"/>
    <w:rsid w:val="00F00C37"/>
    <w:rsid w:val="00F00C86"/>
    <w:rsid w:val="00F01005"/>
    <w:rsid w:val="00F0119D"/>
    <w:rsid w:val="00F020B0"/>
    <w:rsid w:val="00F0433A"/>
    <w:rsid w:val="00F044BF"/>
    <w:rsid w:val="00F04643"/>
    <w:rsid w:val="00F0577A"/>
    <w:rsid w:val="00F0619B"/>
    <w:rsid w:val="00F06B73"/>
    <w:rsid w:val="00F06EF8"/>
    <w:rsid w:val="00F07728"/>
    <w:rsid w:val="00F11700"/>
    <w:rsid w:val="00F118CF"/>
    <w:rsid w:val="00F11F45"/>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3BFE"/>
    <w:rsid w:val="00F2456C"/>
    <w:rsid w:val="00F2548E"/>
    <w:rsid w:val="00F25965"/>
    <w:rsid w:val="00F2704B"/>
    <w:rsid w:val="00F302A0"/>
    <w:rsid w:val="00F3080C"/>
    <w:rsid w:val="00F31AD8"/>
    <w:rsid w:val="00F32751"/>
    <w:rsid w:val="00F32F95"/>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CC4"/>
    <w:rsid w:val="00F47996"/>
    <w:rsid w:val="00F47E58"/>
    <w:rsid w:val="00F50527"/>
    <w:rsid w:val="00F507BE"/>
    <w:rsid w:val="00F50891"/>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6F34"/>
    <w:rsid w:val="00F571EB"/>
    <w:rsid w:val="00F603B1"/>
    <w:rsid w:val="00F617DC"/>
    <w:rsid w:val="00F61BCF"/>
    <w:rsid w:val="00F621BD"/>
    <w:rsid w:val="00F627C0"/>
    <w:rsid w:val="00F6348D"/>
    <w:rsid w:val="00F6395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AFB"/>
    <w:rsid w:val="00FA45A1"/>
    <w:rsid w:val="00FA4AAF"/>
    <w:rsid w:val="00FA5E02"/>
    <w:rsid w:val="00FA5F04"/>
    <w:rsid w:val="00FA5FBE"/>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4692"/>
    <w:rsid w:val="00FB47B4"/>
    <w:rsid w:val="00FB4B8E"/>
    <w:rsid w:val="00FB4E79"/>
    <w:rsid w:val="00FB51A3"/>
    <w:rsid w:val="00FB520B"/>
    <w:rsid w:val="00FB52E0"/>
    <w:rsid w:val="00FB5342"/>
    <w:rsid w:val="00FB6462"/>
    <w:rsid w:val="00FB6BFE"/>
    <w:rsid w:val="00FB6E80"/>
    <w:rsid w:val="00FB785D"/>
    <w:rsid w:val="00FB7C62"/>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979"/>
    <w:rsid w:val="00FC74CA"/>
    <w:rsid w:val="00FC75A5"/>
    <w:rsid w:val="00FC769C"/>
    <w:rsid w:val="00FC7D76"/>
    <w:rsid w:val="00FC7E3A"/>
    <w:rsid w:val="00FD059E"/>
    <w:rsid w:val="00FD0CE4"/>
    <w:rsid w:val="00FD17E9"/>
    <w:rsid w:val="00FD2AC4"/>
    <w:rsid w:val="00FD4802"/>
    <w:rsid w:val="00FD4A6F"/>
    <w:rsid w:val="00FD4B29"/>
    <w:rsid w:val="00FD4FDD"/>
    <w:rsid w:val="00FD5357"/>
    <w:rsid w:val="00FD5602"/>
    <w:rsid w:val="00FD5C75"/>
    <w:rsid w:val="00FD6103"/>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050"/>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8D"/>
    <w:pPr>
      <w:spacing w:after="240"/>
    </w:pPr>
    <w:rPr>
      <w:rFonts w:ascii="Arial" w:hAnsi="Arial"/>
      <w:sz w:val="24"/>
    </w:rPr>
  </w:style>
  <w:style w:type="paragraph" w:styleId="Heading1">
    <w:name w:val="heading 1"/>
    <w:basedOn w:val="Normal"/>
    <w:next w:val="Normal"/>
    <w:link w:val="Heading1Char"/>
    <w:qFormat/>
    <w:rsid w:val="00CC708D"/>
    <w:pPr>
      <w:autoSpaceDE w:val="0"/>
      <w:autoSpaceDN w:val="0"/>
      <w:adjustRightInd w:val="0"/>
      <w:spacing w:before="1800"/>
      <w:jc w:val="center"/>
      <w:outlineLvl w:val="0"/>
    </w:pPr>
    <w:rPr>
      <w:rFonts w:cs="Arial"/>
      <w:b/>
      <w:bCs/>
      <w:smallCaps/>
      <w:color w:val="000000" w:themeColor="text1"/>
      <w:sz w:val="32"/>
      <w:szCs w:val="32"/>
    </w:rPr>
  </w:style>
  <w:style w:type="paragraph" w:styleId="Heading2">
    <w:name w:val="heading 2"/>
    <w:basedOn w:val="Heading1"/>
    <w:next w:val="Normal"/>
    <w:link w:val="Heading2Char"/>
    <w:uiPriority w:val="9"/>
    <w:unhideWhenUsed/>
    <w:qFormat/>
    <w:rsid w:val="008143AB"/>
    <w:pPr>
      <w:spacing w:before="0"/>
      <w:outlineLvl w:val="1"/>
    </w:pPr>
  </w:style>
  <w:style w:type="paragraph" w:styleId="Heading3">
    <w:name w:val="heading 3"/>
    <w:basedOn w:val="Normal"/>
    <w:next w:val="Normal"/>
    <w:link w:val="Heading3Char"/>
    <w:uiPriority w:val="9"/>
    <w:unhideWhenUsed/>
    <w:qFormat/>
    <w:rsid w:val="00DE2CFA"/>
    <w:pPr>
      <w:outlineLvl w:val="2"/>
    </w:pPr>
    <w:rPr>
      <w:b/>
      <w:color w:val="000000" w:themeColor="text1"/>
      <w:szCs w:val="20"/>
    </w:rPr>
  </w:style>
  <w:style w:type="paragraph" w:styleId="Heading4">
    <w:name w:val="heading 4"/>
    <w:basedOn w:val="Normal"/>
    <w:next w:val="Normal"/>
    <w:link w:val="Heading4Char"/>
    <w:uiPriority w:val="9"/>
    <w:unhideWhenUsed/>
    <w:qFormat/>
    <w:rsid w:val="00447D0B"/>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08D"/>
    <w:rPr>
      <w:rFonts w:ascii="Arial" w:hAnsi="Arial" w:cs="Arial"/>
      <w:b/>
      <w:bCs/>
      <w:smallCaps/>
      <w:color w:val="000000" w:themeColor="text1"/>
      <w:sz w:val="32"/>
      <w:szCs w:val="32"/>
    </w:rPr>
  </w:style>
  <w:style w:type="character" w:customStyle="1" w:styleId="Heading2Char">
    <w:name w:val="Heading 2 Char"/>
    <w:basedOn w:val="DefaultParagraphFont"/>
    <w:link w:val="Heading2"/>
    <w:uiPriority w:val="9"/>
    <w:rsid w:val="008143AB"/>
    <w:rPr>
      <w:rFonts w:ascii="Arial" w:hAnsi="Arial" w:cs="Arial"/>
      <w:b/>
      <w:bCs/>
      <w:smallCaps/>
      <w:color w:val="000000" w:themeColor="text1"/>
      <w:sz w:val="32"/>
      <w:szCs w:val="32"/>
    </w:rPr>
  </w:style>
  <w:style w:type="character" w:customStyle="1" w:styleId="Heading3Char">
    <w:name w:val="Heading 3 Char"/>
    <w:basedOn w:val="DefaultParagraphFont"/>
    <w:link w:val="Heading3"/>
    <w:uiPriority w:val="9"/>
    <w:rsid w:val="00DE2CFA"/>
    <w:rPr>
      <w:rFonts w:ascii="Arial" w:hAnsi="Arial"/>
      <w:b/>
      <w:color w:val="000000" w:themeColor="text1"/>
      <w:sz w:val="24"/>
      <w:szCs w:val="20"/>
    </w:rPr>
  </w:style>
  <w:style w:type="table" w:styleId="TableGrid">
    <w:name w:val="Table Grid"/>
    <w:basedOn w:val="TableNormal"/>
    <w:uiPriority w:val="3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447D0B"/>
    <w:rPr>
      <w:rFonts w:ascii="Arial" w:hAnsi="Arial"/>
      <w:b/>
      <w:sz w:val="24"/>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after="0"/>
    </w:pPr>
    <w:rPr>
      <w:rFonts w:eastAsia="Times New Roman" w:cs="Arial"/>
      <w:color w:val="222222"/>
      <w:szCs w:val="16"/>
    </w:rPr>
  </w:style>
  <w:style w:type="character" w:styleId="UnresolvedMention">
    <w:name w:val="Unresolved Mention"/>
    <w:basedOn w:val="DefaultParagraphFont"/>
    <w:uiPriority w:val="99"/>
    <w:semiHidden/>
    <w:unhideWhenUsed/>
    <w:rsid w:val="00CC708D"/>
    <w:rPr>
      <w:color w:val="605E5C"/>
      <w:shd w:val="clear" w:color="auto" w:fill="E1DFDD"/>
    </w:rPr>
  </w:style>
  <w:style w:type="character" w:styleId="FollowedHyperlink">
    <w:name w:val="FollowedHyperlink"/>
    <w:basedOn w:val="DefaultParagraphFont"/>
    <w:uiPriority w:val="99"/>
    <w:semiHidden/>
    <w:unhideWhenUsed/>
    <w:rsid w:val="005E4A7D"/>
    <w:rPr>
      <w:color w:val="800080" w:themeColor="followedHyperlink"/>
      <w:u w:val="single"/>
    </w:rPr>
  </w:style>
  <w:style w:type="paragraph" w:styleId="Caption">
    <w:name w:val="caption"/>
    <w:basedOn w:val="Normal"/>
    <w:next w:val="Normal"/>
    <w:uiPriority w:val="35"/>
    <w:unhideWhenUsed/>
    <w:qFormat/>
    <w:rsid w:val="00815ACE"/>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virginia.gov/?navid=682" TargetMode="External"/><Relationship Id="rId18" Type="http://schemas.openxmlformats.org/officeDocument/2006/relationships/hyperlink" Target="http://schoolquality.virginia.gov/virginia-state-quality-profi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virginia.gov/?navid=650" TargetMode="External"/><Relationship Id="rId7"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s://www.doe.virginia.gov/?navid=25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virginia.gov/?navid=160" TargetMode="External"/><Relationship Id="rId20" Type="http://schemas.openxmlformats.org/officeDocument/2006/relationships/hyperlink" Target="https://p1pe.doe.virginia.gov/buildatable/testresul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oe.virginia.gov/?navid=659" TargetMode="External"/><Relationship Id="rId23" Type="http://schemas.openxmlformats.org/officeDocument/2006/relationships/hyperlink" Target="mailto:samantha.hollins@doe.virginia.gov" TargetMode="External"/><Relationship Id="rId10" Type="http://schemas.openxmlformats.org/officeDocument/2006/relationships/footnotes" Target="footnotes.xml"/><Relationship Id="rId19" Type="http://schemas.openxmlformats.org/officeDocument/2006/relationships/hyperlink" Target="http://schoolquality.virginia.gov/virginia-state-quality-profi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tes.ed.gov/idea/spp-apr-letters?selected-category=&amp;selected-year=&amp;state=Virginia" TargetMode="External"/><Relationship Id="rId22" Type="http://schemas.openxmlformats.org/officeDocument/2006/relationships/hyperlink" Target="https://vtss-ric.vcu.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DNVT47QTA7NQ-509440880-390880</_dlc_DocId>
    <_dlc_DocIdUrl xmlns="b7635ab0-52e7-4e33-aa76-893cd120ef45">
      <Url>https://sharepoint.aemcorp.com/ed/EDMITS/_layouts/15/DocIdRedir.aspx?ID=DNVT47QTA7NQ-509440880-390880</Url>
      <Description>DNVT47QTA7NQ-509440880-390880</Description>
    </_dlc_DocIdUrl>
    <RoutingTargetFolder xmlns="http://schemas.microsoft.com/sharepoint/v3" xsi:nil="true"/>
    <Document_x0020_Purpose xmlns="75b8f200-01bb-4893-a3c4-f3a17e332d98" xsi:nil="true"/>
    <_dlc_DocIdPersistId xmlns="b7635ab0-52e7-4e33-aa76-893cd120ef45">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9F320-168D-43B3-85CC-FC522EC472CC}">
  <ds:schemaRefs>
    <ds:schemaRef ds:uri="http://schemas.openxmlformats.org/officeDocument/2006/bibliography"/>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b7635ab0-52e7-4e33-aa76-893cd120ef45"/>
    <ds:schemaRef ds:uri="http://schemas.microsoft.com/sharepoint/v3"/>
    <ds:schemaRef ds:uri="75b8f200-01bb-4893-a3c4-f3a17e332d98"/>
  </ds:schemaRefs>
</ds:datastoreItem>
</file>

<file path=customXml/itemProps3.xml><?xml version="1.0" encoding="utf-8"?>
<ds:datastoreItem xmlns:ds="http://schemas.openxmlformats.org/officeDocument/2006/customXml" ds:itemID="{B7F4699C-0160-4AB3-A519-BCFA7AA343EB}">
  <ds:schemaRefs>
    <ds:schemaRef ds:uri="http://schemas.microsoft.com/sharepoint/events"/>
  </ds:schemaRefs>
</ds:datastoreItem>
</file>

<file path=customXml/itemProps4.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5.xml><?xml version="1.0" encoding="utf-8"?>
<ds:datastoreItem xmlns:ds="http://schemas.openxmlformats.org/officeDocument/2006/customXml" ds:itemID="{D11F2FB3-7987-4B56-9947-5BC145E7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169</Pages>
  <Words>55733</Words>
  <Characters>317683</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State Performance Plan / Annual Performance Report: Part B​ for STATE FORMULA GRANT PROGRAMS under the Individuals with Disabilities Education Act</vt:lpstr>
    </vt:vector>
  </TitlesOfParts>
  <Company>Microsoft</Company>
  <LinksUpToDate>false</LinksUpToDate>
  <CharactersWithSpaces>372671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Performance Plan / Annual Performance Report: Part B​ for STATE FORMULA GRANT PROGRAMS under the Individuals with Disabilities Education Act</dc:title>
  <dc:creator>Virginia Department of Education</dc:creator>
  <cp:lastModifiedBy>Sarah Peters</cp:lastModifiedBy>
  <cp:revision>3</cp:revision>
  <cp:lastPrinted>2014-08-19T16:56:00Z</cp:lastPrinted>
  <dcterms:created xsi:type="dcterms:W3CDTF">2022-12-15T20:02:00Z</dcterms:created>
  <dcterms:modified xsi:type="dcterms:W3CDTF">2022-12-15T20:17:00Z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23355a40-5f7a-4a1f-9d79-b27f0c2196d2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rammarlyDocumentId">
    <vt:lpwstr>3a4727ce5864cd0f8318b8fdda67ff595b798b1edd09474951fc59467fce0d02</vt:lpwstr>
  </property>
</Properties>
</file>