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E71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</w:t>
      </w:r>
      <w:r w:rsidR="00727D00">
        <w:rPr>
          <w:rFonts w:ascii="Times New Roman" w:hAnsi="Times New Roman" w:cs="Times New Roman"/>
          <w:b/>
          <w:sz w:val="24"/>
          <w:szCs w:val="24"/>
        </w:rPr>
        <w:t xml:space="preserve"> Discovery Education Science Experience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66520">
        <w:rPr>
          <w:rFonts w:ascii="Times New Roman" w:hAnsi="Times New Roman" w:cs="Times New Roman"/>
          <w:b/>
          <w:sz w:val="24"/>
          <w:szCs w:val="24"/>
        </w:rPr>
        <w:t>Four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420AB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3870"/>
      </w:tblGrid>
      <w:tr w:rsidR="005607E4" w:rsidTr="0085409D">
        <w:trPr>
          <w:tblHeader/>
        </w:trPr>
        <w:tc>
          <w:tcPr>
            <w:tcW w:w="6655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870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420AB6" w:rsidTr="00733515">
        <w:tc>
          <w:tcPr>
            <w:tcW w:w="6655" w:type="dxa"/>
          </w:tcPr>
          <w:p w:rsidR="00420AB6" w:rsidRPr="00AE01F4" w:rsidRDefault="00733515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09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54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0AB6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870" w:type="dxa"/>
          </w:tcPr>
          <w:p w:rsidR="00420AB6" w:rsidRPr="005E79C7" w:rsidRDefault="00420AB6" w:rsidP="00420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organisms, including humans, interact with one another and with the nonliving components in the ecosystem.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relationships among Earth, the moon, and the sun.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E66520" w:rsidRDefault="008B439E" w:rsidP="004C2558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ocean environment has characteristics..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  <w:vAlign w:val="center"/>
          </w:tcPr>
          <w:p w:rsidR="008B439E" w:rsidRPr="00E66520" w:rsidRDefault="008B439E" w:rsidP="004C2558">
            <w:pPr>
              <w:pStyle w:val="SOLstatement"/>
              <w:ind w:left="-30" w:firstLine="0"/>
              <w:rPr>
                <w:b/>
                <w:bCs/>
                <w:sz w:val="24"/>
                <w:szCs w:val="24"/>
              </w:rPr>
            </w:pPr>
            <w:r w:rsidRPr="00E66520">
              <w:rPr>
                <w:sz w:val="24"/>
                <w:szCs w:val="24"/>
              </w:rPr>
              <w:t>4.8</w:t>
            </w:r>
            <w:r w:rsidRPr="00E66520">
              <w:rPr>
                <w:sz w:val="24"/>
                <w:szCs w:val="24"/>
              </w:rPr>
              <w:tab/>
              <w:t>The student will investigate and understand that Virginia has important natural resources.</w:t>
            </w:r>
          </w:p>
        </w:tc>
        <w:tc>
          <w:tcPr>
            <w:tcW w:w="3870" w:type="dxa"/>
          </w:tcPr>
          <w:p w:rsidR="008B439E" w:rsidRDefault="008B439E" w:rsidP="008B439E">
            <w:r w:rsidRPr="0031361C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5607E4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5607E4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655"/>
        <w:gridCol w:w="3870"/>
      </w:tblGrid>
      <w:tr w:rsidR="005607E4" w:rsidTr="0085409D">
        <w:trPr>
          <w:tblHeader/>
        </w:trPr>
        <w:tc>
          <w:tcPr>
            <w:tcW w:w="6655" w:type="dxa"/>
          </w:tcPr>
          <w:p w:rsidR="005607E4" w:rsidRPr="005607E4" w:rsidRDefault="005607E4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870" w:type="dxa"/>
          </w:tcPr>
          <w:p w:rsidR="005607E4" w:rsidRDefault="005607E4" w:rsidP="0086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8B439E" w:rsidTr="00733515">
        <w:tc>
          <w:tcPr>
            <w:tcW w:w="6655" w:type="dxa"/>
          </w:tcPr>
          <w:p w:rsidR="008B439E" w:rsidRPr="00860D31" w:rsidRDefault="008B439E" w:rsidP="008B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D2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8B439E" w:rsidRDefault="008B439E" w:rsidP="008B439E"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860D31" w:rsidRDefault="008B439E" w:rsidP="008B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D26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8B439E" w:rsidRDefault="008B439E" w:rsidP="008B439E"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B439E" w:rsidTr="00733515">
        <w:tc>
          <w:tcPr>
            <w:tcW w:w="6655" w:type="dxa"/>
          </w:tcPr>
          <w:p w:rsidR="008B439E" w:rsidRPr="00860D31" w:rsidRDefault="008B439E" w:rsidP="008B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870" w:type="dxa"/>
          </w:tcPr>
          <w:p w:rsidR="008B439E" w:rsidRDefault="008B439E" w:rsidP="008B439E"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73351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733515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3420"/>
      </w:tblGrid>
      <w:tr w:rsidR="00420AB6" w:rsidRPr="004C2558" w:rsidTr="0085409D">
        <w:trPr>
          <w:tblHeader/>
        </w:trPr>
        <w:tc>
          <w:tcPr>
            <w:tcW w:w="7285" w:type="dxa"/>
          </w:tcPr>
          <w:p w:rsidR="00420AB6" w:rsidRPr="004C2558" w:rsidRDefault="00420AB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420AB6" w:rsidRPr="004C2558" w:rsidRDefault="00420AB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420AB6" w:rsidRPr="004C2558" w:rsidTr="00733515">
        <w:tc>
          <w:tcPr>
            <w:tcW w:w="7285" w:type="dxa"/>
          </w:tcPr>
          <w:p w:rsidR="00420AB6" w:rsidRPr="004C2558" w:rsidRDefault="00733515" w:rsidP="004C2558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AB6" w:rsidRPr="004C25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540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0AB6" w:rsidRPr="004C2558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4C2558">
              <w:t>asking questions and defining problems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4C2558">
              <w:t>planning and carrying out investigations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4C2558">
              <w:t>interpreting, analyzing, and evaluating data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4C2558">
              <w:t>constructing and critiquing conclusions and explanations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4C2558">
              <w:t>developing and using models</w:t>
            </w:r>
          </w:p>
          <w:p w:rsidR="00420AB6" w:rsidRPr="004C2558" w:rsidRDefault="00420AB6" w:rsidP="004C2558">
            <w:pPr>
              <w:pStyle w:val="ListParagraph"/>
              <w:numPr>
                <w:ilvl w:val="0"/>
                <w:numId w:val="36"/>
              </w:numPr>
              <w:ind w:left="1050"/>
              <w:rPr>
                <w:u w:val="single"/>
              </w:rPr>
            </w:pPr>
            <w:r w:rsidRPr="004C2558">
              <w:t>obtaining, evaluating, and communicating information.</w:t>
            </w:r>
          </w:p>
        </w:tc>
        <w:tc>
          <w:tcPr>
            <w:tcW w:w="3420" w:type="dxa"/>
          </w:tcPr>
          <w:p w:rsidR="00420AB6" w:rsidRPr="004C2558" w:rsidRDefault="00420AB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4C2558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4C25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420AB6" w:rsidRPr="004C2558" w:rsidRDefault="00420AB6" w:rsidP="004C25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080"/>
        <w:gridCol w:w="1170"/>
      </w:tblGrid>
      <w:tr w:rsidR="00244756" w:rsidRPr="004C2558" w:rsidTr="0085409D">
        <w:trPr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285" w:type="dxa"/>
            <w:vAlign w:val="center"/>
          </w:tcPr>
          <w:p w:rsidR="00E66520" w:rsidRPr="004C2558" w:rsidRDefault="00E66520" w:rsidP="004C2558">
            <w:pPr>
              <w:pStyle w:val="SOLstatement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4.2</w:t>
            </w:r>
            <w:r w:rsidRPr="004C2558">
              <w:rPr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4C2558" w:rsidTr="004C2558">
        <w:trPr>
          <w:trHeight w:val="287"/>
        </w:trPr>
        <w:tc>
          <w:tcPr>
            <w:tcW w:w="7285" w:type="dxa"/>
            <w:vAlign w:val="center"/>
          </w:tcPr>
          <w:p w:rsidR="00E66520" w:rsidRPr="004C2558" w:rsidRDefault="00E66520" w:rsidP="004C2558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survival of plants and animals depends on photosynthesis;</w:t>
            </w:r>
          </w:p>
        </w:tc>
        <w:tc>
          <w:tcPr>
            <w:tcW w:w="1080" w:type="dxa"/>
          </w:tcPr>
          <w:p w:rsidR="00E66520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4C2558" w:rsidTr="005607E4">
        <w:tc>
          <w:tcPr>
            <w:tcW w:w="7285" w:type="dxa"/>
            <w:vAlign w:val="center"/>
          </w:tcPr>
          <w:p w:rsidR="00E66520" w:rsidRPr="004C2558" w:rsidRDefault="00E66520" w:rsidP="004C2558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obtaining energy; and</w:t>
            </w:r>
          </w:p>
        </w:tc>
        <w:tc>
          <w:tcPr>
            <w:tcW w:w="1080" w:type="dxa"/>
          </w:tcPr>
          <w:p w:rsidR="00E66520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4C2558" w:rsidTr="005607E4">
        <w:tc>
          <w:tcPr>
            <w:tcW w:w="7285" w:type="dxa"/>
            <w:vAlign w:val="center"/>
          </w:tcPr>
          <w:p w:rsidR="00E66520" w:rsidRPr="004C2558" w:rsidRDefault="00E66520" w:rsidP="004C2558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creating offspring.</w:t>
            </w:r>
          </w:p>
        </w:tc>
        <w:tc>
          <w:tcPr>
            <w:tcW w:w="1080" w:type="dxa"/>
          </w:tcPr>
          <w:p w:rsidR="00E66520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C2558" w:rsidRDefault="00244756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170"/>
        <w:gridCol w:w="1170"/>
      </w:tblGrid>
      <w:tr w:rsidR="00244756" w:rsidRPr="004C2558" w:rsidTr="00AB7D12">
        <w:trPr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AB7D12">
        <w:tc>
          <w:tcPr>
            <w:tcW w:w="7285" w:type="dxa"/>
            <w:vAlign w:val="center"/>
          </w:tcPr>
          <w:p w:rsidR="00E66520" w:rsidRPr="004C2558" w:rsidRDefault="00E66520" w:rsidP="004C2558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4C2558">
              <w:rPr>
                <w:b w:val="0"/>
                <w:u w:val="none"/>
              </w:rPr>
              <w:t>4.3</w:t>
            </w:r>
            <w:r w:rsidRPr="004C2558">
              <w:rPr>
                <w:b w:val="0"/>
                <w:u w:val="none"/>
              </w:rPr>
              <w:tab/>
            </w:r>
            <w:r w:rsidRPr="004C2558">
              <w:rPr>
                <w:b w:val="0"/>
                <w:bCs w:val="0"/>
                <w:u w:val="none"/>
              </w:rPr>
              <w:t>The student will investigate and understand that organisms, including humans, interact with one another and with the nonliving components in the ecosystem.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AB7D12">
        <w:trPr>
          <w:trHeight w:val="305"/>
        </w:trPr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interrelationships exist in populations, communities, and ecosystems;</w:t>
            </w:r>
          </w:p>
        </w:tc>
        <w:tc>
          <w:tcPr>
            <w:tcW w:w="1136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AB7D12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food webs show the flow of energy within an ecosystem;</w:t>
            </w:r>
          </w:p>
        </w:tc>
        <w:tc>
          <w:tcPr>
            <w:tcW w:w="1136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AB7D12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changes in an organism’s niche and habitat may occur at various stages in its life cycle; and</w:t>
            </w:r>
          </w:p>
        </w:tc>
        <w:tc>
          <w:tcPr>
            <w:tcW w:w="1136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AB7D12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classification can be used to identify organisms.</w:t>
            </w:r>
          </w:p>
        </w:tc>
        <w:tc>
          <w:tcPr>
            <w:tcW w:w="1136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C2558" w:rsidRDefault="00244756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4C2558" w:rsidTr="0085409D">
        <w:trPr>
          <w:trHeight w:val="647"/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285" w:type="dxa"/>
            <w:vAlign w:val="center"/>
          </w:tcPr>
          <w:p w:rsidR="00E66520" w:rsidRPr="004C2558" w:rsidRDefault="00E66520" w:rsidP="004C2558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rPr>
          <w:trHeight w:val="287"/>
        </w:trPr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weather measurements create a record that can be used to make weather predictions;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t>common and extreme weather events affect ecosystems; and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4C2558">
              <w:rPr>
                <w:szCs w:val="24"/>
              </w:rPr>
              <w:lastRenderedPageBreak/>
              <w:t>long term seasonal weather trends determine the climate of a region.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C2558" w:rsidRDefault="00244756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4C2558" w:rsidTr="0085409D">
        <w:trPr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285" w:type="dxa"/>
            <w:vAlign w:val="center"/>
          </w:tcPr>
          <w:p w:rsidR="00E66520" w:rsidRPr="004C2558" w:rsidRDefault="00E66520" w:rsidP="004C2558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planets rotate on their axes and revolve around the sun;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planets have characteristics and a specific order in the solar system; and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the sizes of the sun and planets can be compared to one another.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C2558" w:rsidRDefault="00244756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4C2558" w:rsidTr="0085409D">
        <w:trPr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285" w:type="dxa"/>
            <w:vAlign w:val="center"/>
          </w:tcPr>
          <w:p w:rsidR="00E66520" w:rsidRPr="004C2558" w:rsidRDefault="00E66520" w:rsidP="004C2558">
            <w:pPr>
              <w:pStyle w:val="SOLstatement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4.6</w:t>
            </w:r>
            <w:r w:rsidRPr="004C2558">
              <w:rPr>
                <w:sz w:val="24"/>
                <w:szCs w:val="24"/>
              </w:rPr>
              <w:tab/>
              <w:t>The student will investigate and understand that there are relationships among Earth, the moon, and the sun. Key relationships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4C2558">
        <w:trPr>
          <w:trHeight w:val="278"/>
        </w:trPr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the motions of Earth, the moon, and the sun;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the causes for Earth’s seasons;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the causes for the four major phases of the moon and the relationship to the tide cycles; and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5607E4">
        <w:tc>
          <w:tcPr>
            <w:tcW w:w="728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the relative size, position, age and makeup of Earth, the moon, and the sun.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C2558" w:rsidRDefault="00244756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4C2558" w:rsidTr="0085409D">
        <w:trPr>
          <w:tblHeader/>
        </w:trPr>
        <w:tc>
          <w:tcPr>
            <w:tcW w:w="728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285" w:type="dxa"/>
            <w:vAlign w:val="center"/>
          </w:tcPr>
          <w:p w:rsidR="00E66520" w:rsidRPr="004C2558" w:rsidRDefault="00E66520" w:rsidP="004C2558">
            <w:pPr>
              <w:pStyle w:val="SOLstatement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4.7</w:t>
            </w:r>
            <w:r w:rsidRPr="004C2558">
              <w:rPr>
                <w:sz w:val="24"/>
                <w:szCs w:val="24"/>
              </w:rPr>
              <w:tab/>
              <w:t>The student will investigate and understand that the ocean environment has characteristics. Key characteristics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rPr>
          <w:trHeight w:val="323"/>
        </w:trPr>
        <w:tc>
          <w:tcPr>
            <w:tcW w:w="7285" w:type="dxa"/>
            <w:vAlign w:val="center"/>
          </w:tcPr>
          <w:p w:rsidR="00AB7D12" w:rsidRPr="004C2558" w:rsidRDefault="00AB7D12" w:rsidP="00AB7D1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geology of the ocean floor;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c>
          <w:tcPr>
            <w:tcW w:w="7285" w:type="dxa"/>
            <w:vAlign w:val="center"/>
          </w:tcPr>
          <w:p w:rsidR="00AB7D12" w:rsidRPr="004C2558" w:rsidRDefault="00AB7D12" w:rsidP="00AB7D1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physical properties and movement of ocean water; and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c>
          <w:tcPr>
            <w:tcW w:w="7285" w:type="dxa"/>
            <w:vAlign w:val="center"/>
          </w:tcPr>
          <w:p w:rsidR="00AB7D12" w:rsidRPr="004C2558" w:rsidRDefault="00AB7D12" w:rsidP="00AB7D12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C2558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interaction of organisms in the ocean.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D7" w:rsidRPr="004C2558" w:rsidRDefault="00256BD7" w:rsidP="004C2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260"/>
        <w:gridCol w:w="1170"/>
        <w:gridCol w:w="1109"/>
      </w:tblGrid>
      <w:tr w:rsidR="00244756" w:rsidRPr="004C2558" w:rsidTr="0085409D">
        <w:trPr>
          <w:tblHeader/>
        </w:trPr>
        <w:tc>
          <w:tcPr>
            <w:tcW w:w="7195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4C2558" w:rsidRDefault="00244756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58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4C2558" w:rsidTr="00733515">
        <w:tc>
          <w:tcPr>
            <w:tcW w:w="7195" w:type="dxa"/>
            <w:vAlign w:val="center"/>
          </w:tcPr>
          <w:p w:rsidR="00E66520" w:rsidRPr="004C2558" w:rsidRDefault="00E66520" w:rsidP="004C2558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4.8</w:t>
            </w:r>
            <w:r w:rsidRPr="004C2558">
              <w:rPr>
                <w:sz w:val="24"/>
                <w:szCs w:val="24"/>
              </w:rPr>
              <w:tab/>
              <w:t>The student will investigate and understand that Virginia has important natural resources. Key resources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4C2558" w:rsidRDefault="00E66520" w:rsidP="004C2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rPr>
          <w:trHeight w:val="305"/>
        </w:trPr>
        <w:tc>
          <w:tcPr>
            <w:tcW w:w="719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watersheds and water;</w:t>
            </w:r>
          </w:p>
        </w:tc>
        <w:tc>
          <w:tcPr>
            <w:tcW w:w="126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c>
          <w:tcPr>
            <w:tcW w:w="719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plants and animals;</w:t>
            </w:r>
          </w:p>
        </w:tc>
        <w:tc>
          <w:tcPr>
            <w:tcW w:w="126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c>
          <w:tcPr>
            <w:tcW w:w="719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minerals, rocks, and ores; and</w:t>
            </w:r>
          </w:p>
        </w:tc>
        <w:tc>
          <w:tcPr>
            <w:tcW w:w="126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12" w:rsidRPr="004C2558" w:rsidTr="00B952F3">
        <w:tc>
          <w:tcPr>
            <w:tcW w:w="7195" w:type="dxa"/>
            <w:vAlign w:val="center"/>
          </w:tcPr>
          <w:p w:rsidR="00AB7D12" w:rsidRPr="004C2558" w:rsidRDefault="00AB7D12" w:rsidP="00AB7D12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4C2558">
              <w:rPr>
                <w:sz w:val="24"/>
                <w:szCs w:val="24"/>
              </w:rPr>
              <w:t>forests, soil, and land.</w:t>
            </w:r>
          </w:p>
        </w:tc>
        <w:tc>
          <w:tcPr>
            <w:tcW w:w="1260" w:type="dxa"/>
          </w:tcPr>
          <w:p w:rsidR="00AB7D12" w:rsidRPr="004C2558" w:rsidRDefault="00AB7D12" w:rsidP="00AB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B7D12" w:rsidRPr="004C2558" w:rsidRDefault="00AB7D12" w:rsidP="00AB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AC3542" w:rsidRDefault="00AC35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AC3542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5607E4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33515" w:rsidRDefault="00733515" w:rsidP="00733515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733515" w:rsidRDefault="00860D31" w:rsidP="00733515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  <w:p w:rsidR="00860D31" w:rsidRPr="00733515" w:rsidRDefault="00860D31" w:rsidP="00733515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33515" w:rsidRDefault="00733515" w:rsidP="00733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733515" w:rsidRDefault="00860D31" w:rsidP="00733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  <w:p w:rsidR="00860D31" w:rsidRPr="00733515" w:rsidRDefault="00860D31" w:rsidP="00733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733515" w:rsidRDefault="00860D31" w:rsidP="00733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5607E4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5607E4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5607E4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5607E4" w:rsidTr="008B439E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5607E4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5607E4" w:rsidTr="008B439E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5607E4" w:rsidTr="008B439E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5607E4" w:rsidTr="008B439E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5607E4" w:rsidTr="008B439E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5607E4" w:rsidTr="008B439E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5607E4" w:rsidTr="008B439E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5607E4" w:rsidTr="008B439E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5607E4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5607E4" w:rsidTr="008B439E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5607E4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7E4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560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E2" w:rsidRDefault="006E44E2" w:rsidP="00860D31">
      <w:pPr>
        <w:spacing w:after="0" w:line="240" w:lineRule="auto"/>
      </w:pPr>
      <w:r>
        <w:separator/>
      </w:r>
    </w:p>
  </w:endnote>
  <w:endnote w:type="continuationSeparator" w:id="0">
    <w:p w:rsidR="006E44E2" w:rsidRDefault="006E44E2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E2" w:rsidRDefault="006E44E2" w:rsidP="00860D31">
      <w:pPr>
        <w:spacing w:after="0" w:line="240" w:lineRule="auto"/>
      </w:pPr>
      <w:r>
        <w:separator/>
      </w:r>
    </w:p>
  </w:footnote>
  <w:footnote w:type="continuationSeparator" w:id="0">
    <w:p w:rsidR="006E44E2" w:rsidRDefault="006E44E2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40C47"/>
    <w:multiLevelType w:val="hybridMultilevel"/>
    <w:tmpl w:val="75A8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42AF1"/>
    <w:multiLevelType w:val="hybridMultilevel"/>
    <w:tmpl w:val="4A96D0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27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34"/>
  </w:num>
  <w:num w:numId="13">
    <w:abstractNumId w:val="35"/>
  </w:num>
  <w:num w:numId="14">
    <w:abstractNumId w:val="10"/>
  </w:num>
  <w:num w:numId="15">
    <w:abstractNumId w:val="19"/>
  </w:num>
  <w:num w:numId="16">
    <w:abstractNumId w:val="32"/>
  </w:num>
  <w:num w:numId="17">
    <w:abstractNumId w:val="31"/>
  </w:num>
  <w:num w:numId="18">
    <w:abstractNumId w:val="20"/>
  </w:num>
  <w:num w:numId="19">
    <w:abstractNumId w:val="18"/>
  </w:num>
  <w:num w:numId="20">
    <w:abstractNumId w:val="12"/>
  </w:num>
  <w:num w:numId="21">
    <w:abstractNumId w:val="0"/>
  </w:num>
  <w:num w:numId="22">
    <w:abstractNumId w:val="24"/>
  </w:num>
  <w:num w:numId="23">
    <w:abstractNumId w:val="16"/>
  </w:num>
  <w:num w:numId="24">
    <w:abstractNumId w:val="28"/>
  </w:num>
  <w:num w:numId="25">
    <w:abstractNumId w:val="1"/>
  </w:num>
  <w:num w:numId="26">
    <w:abstractNumId w:val="29"/>
  </w:num>
  <w:num w:numId="27">
    <w:abstractNumId w:val="33"/>
  </w:num>
  <w:num w:numId="28">
    <w:abstractNumId w:val="25"/>
  </w:num>
  <w:num w:numId="29">
    <w:abstractNumId w:val="22"/>
  </w:num>
  <w:num w:numId="30">
    <w:abstractNumId w:val="21"/>
  </w:num>
  <w:num w:numId="31">
    <w:abstractNumId w:val="11"/>
  </w:num>
  <w:num w:numId="32">
    <w:abstractNumId w:val="6"/>
  </w:num>
  <w:num w:numId="33">
    <w:abstractNumId w:val="13"/>
  </w:num>
  <w:num w:numId="34">
    <w:abstractNumId w:val="30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C1D30"/>
    <w:rsid w:val="001C2141"/>
    <w:rsid w:val="00244756"/>
    <w:rsid w:val="00256BD7"/>
    <w:rsid w:val="00263D7F"/>
    <w:rsid w:val="003A6A60"/>
    <w:rsid w:val="00416B7F"/>
    <w:rsid w:val="00420AB6"/>
    <w:rsid w:val="00483238"/>
    <w:rsid w:val="0048745A"/>
    <w:rsid w:val="004C2558"/>
    <w:rsid w:val="005607E4"/>
    <w:rsid w:val="006119D9"/>
    <w:rsid w:val="00672D2E"/>
    <w:rsid w:val="006E44E2"/>
    <w:rsid w:val="00727D00"/>
    <w:rsid w:val="00733515"/>
    <w:rsid w:val="007D0E98"/>
    <w:rsid w:val="00843861"/>
    <w:rsid w:val="0085409D"/>
    <w:rsid w:val="00860D31"/>
    <w:rsid w:val="0087234A"/>
    <w:rsid w:val="008B439E"/>
    <w:rsid w:val="008D4FB5"/>
    <w:rsid w:val="00961788"/>
    <w:rsid w:val="00A911B5"/>
    <w:rsid w:val="00AB7D12"/>
    <w:rsid w:val="00AC3542"/>
    <w:rsid w:val="00AD2E8E"/>
    <w:rsid w:val="00B05612"/>
    <w:rsid w:val="00B952F3"/>
    <w:rsid w:val="00C41608"/>
    <w:rsid w:val="00D268EC"/>
    <w:rsid w:val="00D4657E"/>
    <w:rsid w:val="00D547A1"/>
    <w:rsid w:val="00E66520"/>
    <w:rsid w:val="00E71B10"/>
    <w:rsid w:val="00EB0695"/>
    <w:rsid w:val="00ED55E1"/>
    <w:rsid w:val="00EF7E46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834D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 </cp:lastModifiedBy>
  <cp:revision>10</cp:revision>
  <dcterms:created xsi:type="dcterms:W3CDTF">2020-09-02T23:26:00Z</dcterms:created>
  <dcterms:modified xsi:type="dcterms:W3CDTF">2020-10-15T13:23:00Z</dcterms:modified>
</cp:coreProperties>
</file>