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6D0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 FOSS</w:t>
      </w:r>
      <w:r w:rsidR="002C32C4"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B0695">
        <w:rPr>
          <w:rFonts w:ascii="Times New Roman" w:hAnsi="Times New Roman" w:cs="Times New Roman"/>
          <w:b/>
          <w:sz w:val="24"/>
          <w:szCs w:val="24"/>
        </w:rPr>
        <w:t>Two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79551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of Standards"/>
      </w:tblPr>
      <w:tblGrid>
        <w:gridCol w:w="6835"/>
        <w:gridCol w:w="3690"/>
      </w:tblGrid>
      <w:tr w:rsidR="004C2E81" w:rsidTr="00545920">
        <w:trPr>
          <w:tblHeader/>
        </w:trPr>
        <w:tc>
          <w:tcPr>
            <w:tcW w:w="6835" w:type="dxa"/>
          </w:tcPr>
          <w:p w:rsidR="004C2E81" w:rsidRPr="004C2E81" w:rsidRDefault="004C2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690" w:type="dxa"/>
          </w:tcPr>
          <w:p w:rsidR="004C2E81" w:rsidRPr="004C2E81" w:rsidRDefault="004C2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795513" w:rsidTr="00795513">
        <w:tc>
          <w:tcPr>
            <w:tcW w:w="6835" w:type="dxa"/>
          </w:tcPr>
          <w:p w:rsidR="00795513" w:rsidRPr="00AE01F4" w:rsidRDefault="00795513" w:rsidP="0023013C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3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690" w:type="dxa"/>
          </w:tcPr>
          <w:p w:rsidR="00795513" w:rsidRPr="005E79C7" w:rsidRDefault="00795513" w:rsidP="0079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different types of forces may cause an object’s motion to change.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can exist in different phases.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undergo a series of orderly changes as they grow and develop.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living things are part of a system.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different types of weather on Earth.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</w:tcPr>
          <w:p w:rsidR="004C2E81" w:rsidRPr="00961788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patterns and seasonal changes affect plants, animals, and their surroundings.</w:t>
            </w:r>
          </w:p>
        </w:tc>
        <w:tc>
          <w:tcPr>
            <w:tcW w:w="369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835" w:type="dxa"/>
            <w:vAlign w:val="center"/>
          </w:tcPr>
          <w:p w:rsidR="004C2E81" w:rsidRPr="00961788" w:rsidRDefault="004C2E81" w:rsidP="00DF7600">
            <w:pPr>
              <w:pStyle w:val="SOLstatement"/>
              <w:ind w:left="0" w:firstLine="0"/>
              <w:rPr>
                <w:b/>
                <w:bCs/>
                <w:sz w:val="24"/>
                <w:szCs w:val="24"/>
              </w:rPr>
            </w:pPr>
            <w:r w:rsidRPr="00961788">
              <w:rPr>
                <w:sz w:val="24"/>
                <w:szCs w:val="24"/>
              </w:rPr>
              <w:t>2.8</w:t>
            </w:r>
            <w:r w:rsidRPr="00961788">
              <w:rPr>
                <w:sz w:val="24"/>
                <w:szCs w:val="24"/>
              </w:rPr>
              <w:tab/>
              <w:t>The student will investigate and understand that plants are important natural resources.</w:t>
            </w:r>
          </w:p>
        </w:tc>
        <w:tc>
          <w:tcPr>
            <w:tcW w:w="3690" w:type="dxa"/>
          </w:tcPr>
          <w:p w:rsidR="004C2E81" w:rsidRDefault="00CD0FDF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</w:tr>
    </w:tbl>
    <w:p w:rsidR="00860D31" w:rsidRPr="00AC3542" w:rsidRDefault="00860D31" w:rsidP="0054180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>Overall 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for Instructional Design and Support"/>
      </w:tblPr>
      <w:tblGrid>
        <w:gridCol w:w="6925"/>
        <w:gridCol w:w="3600"/>
      </w:tblGrid>
      <w:tr w:rsidR="004C2E81" w:rsidTr="00545920">
        <w:trPr>
          <w:tblHeader/>
        </w:trPr>
        <w:tc>
          <w:tcPr>
            <w:tcW w:w="6925" w:type="dxa"/>
          </w:tcPr>
          <w:p w:rsidR="004C2E81" w:rsidRPr="00541802" w:rsidRDefault="00541802" w:rsidP="00DF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02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600" w:type="dxa"/>
          </w:tcPr>
          <w:p w:rsidR="004C2E81" w:rsidRPr="004C2E81" w:rsidRDefault="004C2E81" w:rsidP="00DF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Ratings</w:t>
            </w:r>
          </w:p>
        </w:tc>
      </w:tr>
      <w:tr w:rsidR="004C2E81" w:rsidTr="00795513">
        <w:tc>
          <w:tcPr>
            <w:tcW w:w="692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27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92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</w:t>
            </w:r>
            <w:r w:rsidR="00274739">
              <w:rPr>
                <w:rFonts w:ascii="Times New Roman" w:hAnsi="Times New Roman" w:cs="Times New Roman"/>
                <w:sz w:val="24"/>
                <w:szCs w:val="24"/>
              </w:rPr>
              <w:t>tent is significant and accurate.</w:t>
            </w:r>
          </w:p>
        </w:tc>
        <w:tc>
          <w:tcPr>
            <w:tcW w:w="360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795513">
        <w:tc>
          <w:tcPr>
            <w:tcW w:w="692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60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541802" w:rsidRDefault="00541802" w:rsidP="0054180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41802" w:rsidRDefault="0054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513" w:rsidRDefault="005418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1F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79551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795513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3510"/>
      </w:tblGrid>
      <w:tr w:rsidR="00795513" w:rsidRPr="005E0EC4" w:rsidTr="00545920">
        <w:trPr>
          <w:tblHeader/>
        </w:trPr>
        <w:tc>
          <w:tcPr>
            <w:tcW w:w="7015" w:type="dxa"/>
          </w:tcPr>
          <w:p w:rsidR="00795513" w:rsidRPr="005E0EC4" w:rsidRDefault="00795513" w:rsidP="005E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10" w:type="dxa"/>
          </w:tcPr>
          <w:p w:rsidR="00795513" w:rsidRPr="005E0EC4" w:rsidRDefault="00795513" w:rsidP="005E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795513" w:rsidRPr="005E0EC4" w:rsidTr="007175BF">
        <w:tc>
          <w:tcPr>
            <w:tcW w:w="7015" w:type="dxa"/>
          </w:tcPr>
          <w:p w:rsidR="00795513" w:rsidRPr="005E0EC4" w:rsidRDefault="00795513" w:rsidP="005E0EC4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3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5E0EC4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5E0EC4">
              <w:t>asking questions and defining problems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5E0EC4">
              <w:t>planning and carrying out investigations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5E0EC4">
              <w:t>interpreting, analyzing, and evaluating data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5E0EC4">
              <w:t>constructing and critiquing conclusions and explanations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5E0EC4">
              <w:t>developing and using models</w:t>
            </w:r>
          </w:p>
          <w:p w:rsidR="00795513" w:rsidRPr="005E0EC4" w:rsidRDefault="00795513" w:rsidP="005E0EC4">
            <w:pPr>
              <w:pStyle w:val="ListParagraph"/>
              <w:numPr>
                <w:ilvl w:val="0"/>
                <w:numId w:val="43"/>
              </w:numPr>
              <w:ind w:left="1050"/>
              <w:rPr>
                <w:u w:val="single"/>
              </w:rPr>
            </w:pPr>
            <w:r w:rsidRPr="005E0EC4">
              <w:t>obtaining, evaluating, and communicating information.</w:t>
            </w:r>
          </w:p>
        </w:tc>
        <w:tc>
          <w:tcPr>
            <w:tcW w:w="3510" w:type="dxa"/>
          </w:tcPr>
          <w:p w:rsidR="00795513" w:rsidRPr="005E0EC4" w:rsidRDefault="00795513" w:rsidP="005E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5E0EC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5E0E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795513" w:rsidRPr="005E0EC4" w:rsidRDefault="00795513" w:rsidP="005E0E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different types of forces may cause an object’s motion to change.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</w:rPr>
            </w:pPr>
            <w:r w:rsidRPr="005E0EC4">
              <w:rPr>
                <w:color w:val="000000"/>
              </w:rPr>
              <w:t>forces from direct contact can cause an object to move,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3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some forces, including gravity and magnetism, can cause objects to move from a distance;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forces have applications in our lives.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Style w:val="Subtitle"/>
              <w:ind w:left="720" w:hanging="720"/>
              <w:jc w:val="left"/>
              <w:rPr>
                <w:b w:val="0"/>
                <w:u w:val="none"/>
              </w:rPr>
            </w:pPr>
            <w:r w:rsidRPr="005E0EC4">
              <w:rPr>
                <w:b w:val="0"/>
                <w:u w:val="none"/>
              </w:rPr>
              <w:t>2.3</w:t>
            </w:r>
            <w:r w:rsidRPr="005E0EC4">
              <w:rPr>
                <w:b w:val="0"/>
                <w:u w:val="none"/>
              </w:rPr>
              <w:tab/>
              <w:t>The student will investigate and understand that matter can exist in different phases.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rPr>
          <w:trHeight w:val="305"/>
        </w:trPr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matter has mass and takes up space;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solids, liquids, and gases have different characteristics;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heating and cooling can change the phases of matter.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plants and animals undergo a series of orderly changes as they grow and develop.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rPr>
          <w:trHeight w:val="287"/>
        </w:trPr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animals have life cycles;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have life cycles.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living things are part of a 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rPr>
          <w:trHeight w:val="512"/>
        </w:trPr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Lines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and animals are interdependent with their living and nonliving surroundings;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Next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 animal’s habitat provides all of its basic needs;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keepNext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habitats change over time due to many influences.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are different types of weather on Earth.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EC4" w:rsidRPr="005E0EC4" w:rsidTr="00590491">
        <w:tc>
          <w:tcPr>
            <w:tcW w:w="7015" w:type="dxa"/>
            <w:vAlign w:val="center"/>
          </w:tcPr>
          <w:p w:rsidR="005E0EC4" w:rsidRPr="005E0EC4" w:rsidRDefault="005E0EC4" w:rsidP="005E0EC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types of weather have specific characteristics;</w:t>
            </w:r>
          </w:p>
        </w:tc>
        <w:tc>
          <w:tcPr>
            <w:tcW w:w="1170" w:type="dxa"/>
          </w:tcPr>
          <w:p w:rsidR="005E0EC4" w:rsidRPr="005E0EC4" w:rsidRDefault="005E0EC4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E0EC4" w:rsidRPr="005E0EC4" w:rsidRDefault="005E0EC4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E0EC4" w:rsidRPr="005E0EC4" w:rsidRDefault="005E0EC4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measuring, recording, and interpreting weather data allows for identification of weather patterns;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tracking weather allows us to prepare for the weather and storms.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weather patterns and seasonal changes affect plants, animals, and their surroundings.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rPr>
          <w:trHeight w:val="512"/>
        </w:trPr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weather and seasonal changes affect the growth and behavior of living things;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wind and weather can change the land; and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5E0EC4" w:rsidTr="00590491">
        <w:tc>
          <w:tcPr>
            <w:tcW w:w="7015" w:type="dxa"/>
            <w:vAlign w:val="center"/>
          </w:tcPr>
          <w:p w:rsidR="00590491" w:rsidRPr="005E0EC4" w:rsidRDefault="00590491" w:rsidP="005E0EC4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changes can happen quickly or slowly over time.</w:t>
            </w:r>
          </w:p>
        </w:tc>
        <w:tc>
          <w:tcPr>
            <w:tcW w:w="1170" w:type="dxa"/>
          </w:tcPr>
          <w:p w:rsidR="00590491" w:rsidRPr="005E0EC4" w:rsidRDefault="00C52178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5E0EC4" w:rsidRDefault="00590491" w:rsidP="005E0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5E0EC4" w:rsidTr="00545920">
        <w:trPr>
          <w:tblHeader/>
        </w:trPr>
        <w:tc>
          <w:tcPr>
            <w:tcW w:w="7015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5E0EC4" w:rsidTr="00795513">
        <w:tc>
          <w:tcPr>
            <w:tcW w:w="7015" w:type="dxa"/>
            <w:vAlign w:val="center"/>
          </w:tcPr>
          <w:p w:rsidR="00590491" w:rsidRPr="005E0EC4" w:rsidRDefault="00590491" w:rsidP="005E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plants are important natural resources.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5E0EC4" w:rsidRDefault="00590491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DF" w:rsidRPr="005E0EC4" w:rsidTr="00590491">
        <w:trPr>
          <w:trHeight w:val="377"/>
        </w:trPr>
        <w:tc>
          <w:tcPr>
            <w:tcW w:w="7015" w:type="dxa"/>
            <w:vAlign w:val="center"/>
          </w:tcPr>
          <w:p w:rsidR="00CD0FDF" w:rsidRPr="005E0EC4" w:rsidRDefault="00CD0FDF" w:rsidP="005E0EC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availability of plant products affects the development of a geographic area;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DF" w:rsidRPr="005E0EC4" w:rsidTr="00590491">
        <w:tc>
          <w:tcPr>
            <w:tcW w:w="7015" w:type="dxa"/>
            <w:vAlign w:val="center"/>
          </w:tcPr>
          <w:p w:rsidR="00CD0FDF" w:rsidRPr="005E0EC4" w:rsidRDefault="00CD0FDF" w:rsidP="005E0EC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provide oxygen, homes, and food for many animals; and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DF" w:rsidRPr="005E0EC4" w:rsidTr="00590491">
        <w:tc>
          <w:tcPr>
            <w:tcW w:w="7015" w:type="dxa"/>
            <w:vAlign w:val="center"/>
          </w:tcPr>
          <w:p w:rsidR="00CD0FDF" w:rsidRPr="005E0EC4" w:rsidRDefault="00CD0FDF" w:rsidP="005E0EC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can help reduce the impact of wind and water.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C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D0FDF" w:rsidRPr="005E0EC4" w:rsidRDefault="00CD0FDF" w:rsidP="005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Default="00590491" w:rsidP="00057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3550"/>
        <w:gridCol w:w="3240"/>
      </w:tblGrid>
      <w:tr w:rsidR="00590491" w:rsidRPr="00B04A10" w:rsidTr="00541802">
        <w:trPr>
          <w:trHeight w:val="692"/>
        </w:trPr>
        <w:tc>
          <w:tcPr>
            <w:tcW w:w="36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04A10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b/>
                <w:sz w:val="20"/>
                <w:szCs w:val="20"/>
              </w:rPr>
              <w:t>Adequate</w:t>
            </w:r>
          </w:p>
        </w:tc>
        <w:tc>
          <w:tcPr>
            <w:tcW w:w="355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04A10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04A10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b/>
                <w:sz w:val="20"/>
                <w:szCs w:val="20"/>
              </w:rPr>
              <w:t>No Evidence</w:t>
            </w:r>
          </w:p>
        </w:tc>
      </w:tr>
      <w:tr w:rsidR="00590491" w:rsidRPr="00B04A10" w:rsidTr="00541802">
        <w:trPr>
          <w:trHeight w:val="393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04A10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590491" w:rsidRPr="00B04A10" w:rsidTr="00541802">
        <w:trPr>
          <w:trHeight w:val="375"/>
        </w:trPr>
        <w:tc>
          <w:tcPr>
            <w:tcW w:w="104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4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590491" w:rsidRPr="00B04A10" w:rsidTr="00541802">
        <w:trPr>
          <w:trHeight w:val="303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590491" w:rsidRPr="00B04A10" w:rsidTr="00541802">
        <w:trPr>
          <w:trHeight w:val="288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590491" w:rsidRPr="00B04A10" w:rsidTr="00541802">
        <w:trPr>
          <w:trHeight w:val="510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590491" w:rsidRPr="00B04A10" w:rsidTr="00541802">
        <w:trPr>
          <w:trHeight w:val="288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590491" w:rsidRPr="00B04A10" w:rsidTr="00541802">
        <w:trPr>
          <w:trHeight w:val="288"/>
        </w:trPr>
        <w:tc>
          <w:tcPr>
            <w:tcW w:w="104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590491" w:rsidRPr="00B04A10" w:rsidTr="00541802">
        <w:trPr>
          <w:trHeight w:val="288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590491" w:rsidRPr="00B04A10" w:rsidTr="00C52178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590491" w:rsidRPr="00B04A10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590491" w:rsidRPr="00B04A10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  <w:r w:rsidR="00541802" w:rsidRPr="00B04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590491" w:rsidRPr="00B04A10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590491" w:rsidRPr="00B04A10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590491" w:rsidRPr="00B04A10" w:rsidTr="00C52178">
        <w:trPr>
          <w:trHeight w:val="972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590491" w:rsidRPr="00B04A10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590491" w:rsidRPr="00B04A10" w:rsidTr="00541802">
        <w:trPr>
          <w:trHeight w:val="20"/>
        </w:trPr>
        <w:tc>
          <w:tcPr>
            <w:tcW w:w="36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0491" w:rsidRPr="00B04A10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10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356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4B" w:rsidRDefault="008A094B" w:rsidP="00860D31">
      <w:pPr>
        <w:spacing w:after="0" w:line="240" w:lineRule="auto"/>
      </w:pPr>
      <w:r>
        <w:separator/>
      </w:r>
    </w:p>
  </w:endnote>
  <w:endnote w:type="continuationSeparator" w:id="0">
    <w:p w:rsidR="008A094B" w:rsidRDefault="008A094B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4B" w:rsidRDefault="008A094B" w:rsidP="00860D31">
      <w:pPr>
        <w:spacing w:after="0" w:line="240" w:lineRule="auto"/>
      </w:pPr>
      <w:r>
        <w:separator/>
      </w:r>
    </w:p>
  </w:footnote>
  <w:footnote w:type="continuationSeparator" w:id="0">
    <w:p w:rsidR="008A094B" w:rsidRDefault="008A094B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37"/>
    <w:multiLevelType w:val="multilevel"/>
    <w:tmpl w:val="3A923E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54346"/>
    <w:multiLevelType w:val="multilevel"/>
    <w:tmpl w:val="16C6FED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47DC"/>
    <w:multiLevelType w:val="hybridMultilevel"/>
    <w:tmpl w:val="1C66C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54A"/>
    <w:multiLevelType w:val="hybridMultilevel"/>
    <w:tmpl w:val="90467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A4D"/>
    <w:multiLevelType w:val="multilevel"/>
    <w:tmpl w:val="7A94F7C2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F18EB"/>
    <w:multiLevelType w:val="multilevel"/>
    <w:tmpl w:val="515E14AC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D553639"/>
    <w:multiLevelType w:val="multilevel"/>
    <w:tmpl w:val="D3C6E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5FB6"/>
    <w:multiLevelType w:val="multilevel"/>
    <w:tmpl w:val="0CEC0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7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2318E9"/>
    <w:multiLevelType w:val="multilevel"/>
    <w:tmpl w:val="B3FC70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7910"/>
    <w:multiLevelType w:val="multilevel"/>
    <w:tmpl w:val="56B6E59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34"/>
  </w:num>
  <w:num w:numId="8">
    <w:abstractNumId w:val="19"/>
  </w:num>
  <w:num w:numId="9">
    <w:abstractNumId w:val="13"/>
  </w:num>
  <w:num w:numId="10">
    <w:abstractNumId w:val="22"/>
  </w:num>
  <w:num w:numId="11">
    <w:abstractNumId w:val="20"/>
  </w:num>
  <w:num w:numId="12">
    <w:abstractNumId w:val="41"/>
  </w:num>
  <w:num w:numId="13">
    <w:abstractNumId w:val="42"/>
  </w:num>
  <w:num w:numId="14">
    <w:abstractNumId w:val="15"/>
  </w:num>
  <w:num w:numId="15">
    <w:abstractNumId w:val="26"/>
  </w:num>
  <w:num w:numId="16">
    <w:abstractNumId w:val="39"/>
  </w:num>
  <w:num w:numId="17">
    <w:abstractNumId w:val="38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31"/>
  </w:num>
  <w:num w:numId="23">
    <w:abstractNumId w:val="21"/>
  </w:num>
  <w:num w:numId="24">
    <w:abstractNumId w:val="35"/>
  </w:num>
  <w:num w:numId="25">
    <w:abstractNumId w:val="2"/>
  </w:num>
  <w:num w:numId="26">
    <w:abstractNumId w:val="37"/>
  </w:num>
  <w:num w:numId="27">
    <w:abstractNumId w:val="40"/>
  </w:num>
  <w:num w:numId="28">
    <w:abstractNumId w:val="32"/>
  </w:num>
  <w:num w:numId="29">
    <w:abstractNumId w:val="29"/>
  </w:num>
  <w:num w:numId="30">
    <w:abstractNumId w:val="28"/>
  </w:num>
  <w:num w:numId="31">
    <w:abstractNumId w:val="16"/>
  </w:num>
  <w:num w:numId="32">
    <w:abstractNumId w:val="10"/>
  </w:num>
  <w:num w:numId="33">
    <w:abstractNumId w:val="33"/>
  </w:num>
  <w:num w:numId="34">
    <w:abstractNumId w:val="36"/>
  </w:num>
  <w:num w:numId="35">
    <w:abstractNumId w:val="14"/>
  </w:num>
  <w:num w:numId="36">
    <w:abstractNumId w:val="23"/>
  </w:num>
  <w:num w:numId="37">
    <w:abstractNumId w:val="0"/>
  </w:num>
  <w:num w:numId="38">
    <w:abstractNumId w:val="18"/>
  </w:num>
  <w:num w:numId="39">
    <w:abstractNumId w:val="24"/>
  </w:num>
  <w:num w:numId="40">
    <w:abstractNumId w:val="3"/>
  </w:num>
  <w:num w:numId="41">
    <w:abstractNumId w:val="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57F26"/>
    <w:rsid w:val="000615DE"/>
    <w:rsid w:val="000C1D30"/>
    <w:rsid w:val="000D22C5"/>
    <w:rsid w:val="000F1B92"/>
    <w:rsid w:val="00181CA5"/>
    <w:rsid w:val="00185B28"/>
    <w:rsid w:val="001C2141"/>
    <w:rsid w:val="001D6048"/>
    <w:rsid w:val="0023013C"/>
    <w:rsid w:val="00244756"/>
    <w:rsid w:val="00274739"/>
    <w:rsid w:val="002809F0"/>
    <w:rsid w:val="002879F3"/>
    <w:rsid w:val="002C32C4"/>
    <w:rsid w:val="002C4211"/>
    <w:rsid w:val="003562CB"/>
    <w:rsid w:val="003C63BB"/>
    <w:rsid w:val="004719B7"/>
    <w:rsid w:val="0047445B"/>
    <w:rsid w:val="00484F28"/>
    <w:rsid w:val="0048745A"/>
    <w:rsid w:val="004C2E81"/>
    <w:rsid w:val="00541802"/>
    <w:rsid w:val="00545920"/>
    <w:rsid w:val="00556FB4"/>
    <w:rsid w:val="00590491"/>
    <w:rsid w:val="005E0EC4"/>
    <w:rsid w:val="00635EEA"/>
    <w:rsid w:val="006D0E22"/>
    <w:rsid w:val="006E77EC"/>
    <w:rsid w:val="00795513"/>
    <w:rsid w:val="007B4B33"/>
    <w:rsid w:val="007D0E98"/>
    <w:rsid w:val="00817AC7"/>
    <w:rsid w:val="008345D7"/>
    <w:rsid w:val="00860D31"/>
    <w:rsid w:val="0087234A"/>
    <w:rsid w:val="008A094B"/>
    <w:rsid w:val="008D4FB5"/>
    <w:rsid w:val="00961788"/>
    <w:rsid w:val="00A033C9"/>
    <w:rsid w:val="00A911B5"/>
    <w:rsid w:val="00A930B8"/>
    <w:rsid w:val="00AC3542"/>
    <w:rsid w:val="00B04A10"/>
    <w:rsid w:val="00B05612"/>
    <w:rsid w:val="00B966D4"/>
    <w:rsid w:val="00C07B27"/>
    <w:rsid w:val="00C52178"/>
    <w:rsid w:val="00C93519"/>
    <w:rsid w:val="00CD0FDF"/>
    <w:rsid w:val="00D23436"/>
    <w:rsid w:val="00DF7600"/>
    <w:rsid w:val="00E03862"/>
    <w:rsid w:val="00EB0695"/>
    <w:rsid w:val="00EC73BB"/>
    <w:rsid w:val="00ED55E1"/>
    <w:rsid w:val="00EF738B"/>
    <w:rsid w:val="00EF7E46"/>
    <w:rsid w:val="00F11622"/>
    <w:rsid w:val="00F57343"/>
    <w:rsid w:val="00F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DF21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67E8-D708-47C6-A7F5-1FBB83A1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9</cp:revision>
  <dcterms:created xsi:type="dcterms:W3CDTF">2020-09-13T00:56:00Z</dcterms:created>
  <dcterms:modified xsi:type="dcterms:W3CDTF">2020-09-16T14:44:00Z</dcterms:modified>
</cp:coreProperties>
</file>