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02579999"/>
        <w:docPartObj>
          <w:docPartGallery w:val="Cover Pages"/>
          <w:docPartUnique/>
        </w:docPartObj>
      </w:sdtPr>
      <w:sdtEndPr>
        <w:rPr>
          <w:lang w:eastAsia="zh-CN"/>
        </w:rPr>
      </w:sdtEndPr>
      <w:sdtContent>
        <w:p w14:paraId="680388B7" w14:textId="067478C1" w:rsidR="0063469E" w:rsidRDefault="00673B3E" w:rsidP="003B0A10">
          <w:pPr>
            <w:pStyle w:val="NoSpacing"/>
          </w:pPr>
          <w:r>
            <w:rPr>
              <w:noProof/>
            </w:rPr>
            <mc:AlternateContent>
              <mc:Choice Requires="wps">
                <w:drawing>
                  <wp:inline distT="0" distB="0" distL="0" distR="0" wp14:anchorId="4DABD202" wp14:editId="4FCF8ACF">
                    <wp:extent cx="8035290" cy="10160000"/>
                    <wp:effectExtent l="0" t="0" r="3810" b="0"/>
                    <wp:docPr id="466" name="Rectangle 466" descr="Gradient Background for Report Cover"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5290" cy="101600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A17B5A3" w14:textId="08B977EE" w:rsidR="0063469E" w:rsidRDefault="0063469E" w:rsidP="000B62E9">
                                <w:pPr>
                                  <w:ind w:left="-180"/>
                                  <w:jc w:val="center"/>
                                  <w:rPr>
                                    <w:color w:val="FFFFFF" w:themeColor="background1"/>
                                    <w14:textFill>
                                      <w14:noFill/>
                                    </w14:textFill>
                                  </w:rPr>
                                </w:pPr>
                                <w:r>
                                  <w:rPr>
                                    <w:noProof/>
                                  </w:rPr>
                                  <w:drawing>
                                    <wp:inline distT="0" distB="0" distL="0" distR="0" wp14:anchorId="4CA541DE" wp14:editId="5A1714C9">
                                      <wp:extent cx="1965462" cy="1968500"/>
                                      <wp:effectExtent l="0" t="0" r="0" b="0"/>
                                      <wp:docPr id="11" name="Picture 11" descr="Commonwealth of Virginia State Seal" title="COV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462" cy="1968500"/>
                                              </a:xfrm>
                                              <a:prstGeom prst="rect">
                                                <a:avLst/>
                                              </a:prstGeom>
                                            </pic:spPr>
                                          </pic:pic>
                                        </a:graphicData>
                                      </a:graphic>
                                    </wp:inline>
                                  </w:drawing>
                                </w:r>
                              </w:p>
                              <w:p w14:paraId="4E3A950A" w14:textId="4F07FB72" w:rsidR="0063469E" w:rsidRDefault="0063469E" w:rsidP="000B62E9">
                                <w:pPr>
                                  <w:ind w:left="-180"/>
                                  <w:jc w:val="center"/>
                                </w:pPr>
                              </w:p>
                              <w:p w14:paraId="00463410" w14:textId="2047EFA7" w:rsidR="0063469E" w:rsidRDefault="0063469E" w:rsidP="000B62E9">
                                <w:pPr>
                                  <w:ind w:left="-180"/>
                                  <w:jc w:val="center"/>
                                </w:pPr>
                              </w:p>
                              <w:p w14:paraId="604E1E6D" w14:textId="04BCE71E" w:rsidR="006C07D1" w:rsidRPr="006C07D1" w:rsidRDefault="006C07D1" w:rsidP="006C07D1">
                                <w:pPr>
                                  <w:ind w:left="-180" w:hanging="180"/>
                                  <w:jc w:val="center"/>
                                  <w:textDirection w:val="btLr"/>
                                  <w:rPr>
                                    <w:color w:val="FFFFFF" w:themeColor="background1"/>
                                    <w:sz w:val="28"/>
                                    <w:szCs w:val="28"/>
                                  </w:rPr>
                                </w:pPr>
                                <w:r w:rsidRPr="006C07D1">
                                  <w:rPr>
                                    <w:b/>
                                    <w:color w:val="FFFFFF" w:themeColor="background1"/>
                                    <w:sz w:val="72"/>
                                    <w:szCs w:val="28"/>
                                  </w:rPr>
                                  <w:t>COLLEGE PARTNERSHIP LABORATORY SCHOOLS FUND</w:t>
                                </w:r>
                              </w:p>
                              <w:p w14:paraId="02C1A919" w14:textId="22146D96" w:rsidR="0063469E" w:rsidRPr="00AF6A55" w:rsidRDefault="0063469E" w:rsidP="006C07D1">
                                <w:pPr>
                                  <w:pStyle w:val="Heading1"/>
                                  <w:ind w:left="0"/>
                                  <w:jc w:val="left"/>
                                </w:pPr>
                              </w:p>
                              <w:p w14:paraId="7FDC3449" w14:textId="3DCEC5D0" w:rsidR="0063469E" w:rsidRDefault="0063469E" w:rsidP="000B62E9">
                                <w:pPr>
                                  <w:ind w:left="-180"/>
                                  <w:jc w:val="center"/>
                                </w:pPr>
                              </w:p>
                              <w:p w14:paraId="03F950B1" w14:textId="3E3B74B4" w:rsidR="006C07D1" w:rsidRPr="00B40D6E" w:rsidRDefault="006C07D1" w:rsidP="006C07D1">
                                <w:pPr>
                                  <w:jc w:val="center"/>
                                  <w:textDirection w:val="btLr"/>
                                  <w:rPr>
                                    <w:color w:val="FFFFFF" w:themeColor="background1"/>
                                    <w:sz w:val="40"/>
                                  </w:rPr>
                                </w:pPr>
                                <w:r w:rsidRPr="00B40D6E">
                                  <w:rPr>
                                    <w:color w:val="FFFFFF" w:themeColor="background1"/>
                                    <w:sz w:val="40"/>
                                  </w:rPr>
                                  <w:t>GUIDELINES AND CRITERIA FOR THE AWARD AND DISTRIBUTION OF PLANNING GRANT FUNDS</w:t>
                                </w:r>
                              </w:p>
                              <w:p w14:paraId="09F8FFB3" w14:textId="3076357E" w:rsidR="006C07D1" w:rsidRDefault="006C07D1" w:rsidP="006C07D1">
                                <w:pPr>
                                  <w:jc w:val="center"/>
                                  <w:textDirection w:val="btLr"/>
                                  <w:rPr>
                                    <w:color w:val="FFFFFF" w:themeColor="background1"/>
                                    <w:sz w:val="32"/>
                                  </w:rPr>
                                </w:pPr>
                              </w:p>
                              <w:p w14:paraId="41EEF6D8" w14:textId="07808EAB" w:rsidR="006C07D1" w:rsidRDefault="006C07D1" w:rsidP="006C07D1">
                                <w:pPr>
                                  <w:jc w:val="center"/>
                                  <w:textDirection w:val="btLr"/>
                                  <w:rPr>
                                    <w:color w:val="FFFFFF" w:themeColor="background1"/>
                                    <w:sz w:val="32"/>
                                  </w:rPr>
                                </w:pPr>
                              </w:p>
                              <w:p w14:paraId="69EDF38F" w14:textId="48252C20" w:rsidR="006C07D1" w:rsidRPr="006C07D1" w:rsidRDefault="000C3466" w:rsidP="006C07D1">
                                <w:pPr>
                                  <w:jc w:val="center"/>
                                  <w:textDirection w:val="btLr"/>
                                  <w:rPr>
                                    <w:b/>
                                    <w:bCs/>
                                    <w:color w:val="FFFFFF" w:themeColor="background1"/>
                                    <w:sz w:val="36"/>
                                    <w:szCs w:val="36"/>
                                  </w:rPr>
                                </w:pPr>
                                <w:r>
                                  <w:rPr>
                                    <w:b/>
                                    <w:bCs/>
                                    <w:color w:val="FFFFFF" w:themeColor="background1"/>
                                    <w:sz w:val="44"/>
                                    <w:szCs w:val="36"/>
                                  </w:rPr>
                                  <w:t>Approved August 17, 2022</w:t>
                                </w:r>
                              </w:p>
                              <w:p w14:paraId="237780CD" w14:textId="382D3ED1" w:rsidR="0063469E" w:rsidRPr="0020703F" w:rsidRDefault="0063469E" w:rsidP="000B62E9">
                                <w:pPr>
                                  <w:ind w:left="-180"/>
                                  <w:rPr>
                                    <w:sz w:val="48"/>
                                    <w:szCs w:val="48"/>
                                  </w:rPr>
                                </w:pPr>
                              </w:p>
                              <w:p w14:paraId="59D4E0E4" w14:textId="2A2B67A6" w:rsidR="0063469E" w:rsidRPr="00673B3E" w:rsidRDefault="0063469E" w:rsidP="000B62E9">
                                <w:pPr>
                                  <w:pStyle w:val="VBOEFOOTER"/>
                                  <w:ind w:left="-180"/>
                                  <w:rPr>
                                    <w:color w:val="FFFFFF" w:themeColor="background1"/>
                                    <w14:textFill>
                                      <w14:noFill/>
                                    </w14:textFill>
                                  </w:rPr>
                                </w:pPr>
                                <w:r w:rsidRPr="0020703F">
                                  <w:t>VIRGINIA BOARD OF EDUCATION</w:t>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inline>
                </w:drawing>
              </mc:Choice>
              <mc:Fallback>
                <w:pict>
                  <v:rect w14:anchorId="4DABD202" id="Rectangle 466" o:spid="_x0000_s1026" alt="Title: Background - Description: Gradient Background for Report Cover" style="width:632.7pt;height:80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" fillcolor="#102b50" stroked="f" strokeweight="2pt">
                    <v:fill color2="#003b71" rotate="t" focusposition="1,1" focussize="" focus="100%" type="gradientRadial"/>
                    <v:path arrowok="t"/>
                    <v:textbox inset="21.6pt,,21.6pt">
                      <w:txbxContent>
                        <w:p w14:paraId="7A17B5A3" w14:textId="08B977EE" w:rsidR="0063469E" w:rsidRDefault="0063469E" w:rsidP="000B62E9">
                          <w:pPr>
                            <w:ind w:left="-180"/>
                            <w:jc w:val="center"/>
                            <w:rPr>
                              <w:color w:val="FFFFFF" w:themeColor="background1"/>
                              <w14:textFill>
                                <w14:noFill/>
                              </w14:textFill>
                            </w:rPr>
                          </w:pPr>
                          <w:r>
                            <w:rPr>
                              <w:noProof/>
                            </w:rPr>
                            <w:drawing>
                              <wp:inline distT="0" distB="0" distL="0" distR="0" wp14:anchorId="4CA541DE" wp14:editId="5A1714C9">
                                <wp:extent cx="1965462" cy="1968500"/>
                                <wp:effectExtent l="0" t="0" r="0" b="0"/>
                                <wp:docPr id="11" name="Picture 11" descr="Commonwealth of Virginia State Seal" title="COV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5462" cy="1968500"/>
                                        </a:xfrm>
                                        <a:prstGeom prst="rect">
                                          <a:avLst/>
                                        </a:prstGeom>
                                      </pic:spPr>
                                    </pic:pic>
                                  </a:graphicData>
                                </a:graphic>
                              </wp:inline>
                            </w:drawing>
                          </w:r>
                        </w:p>
                        <w:p w14:paraId="4E3A950A" w14:textId="4F07FB72" w:rsidR="0063469E" w:rsidRDefault="0063469E" w:rsidP="000B62E9">
                          <w:pPr>
                            <w:ind w:left="-180"/>
                            <w:jc w:val="center"/>
                          </w:pPr>
                        </w:p>
                        <w:p w14:paraId="00463410" w14:textId="2047EFA7" w:rsidR="0063469E" w:rsidRDefault="0063469E" w:rsidP="000B62E9">
                          <w:pPr>
                            <w:ind w:left="-180"/>
                            <w:jc w:val="center"/>
                          </w:pPr>
                        </w:p>
                        <w:p w14:paraId="604E1E6D" w14:textId="04BCE71E" w:rsidR="006C07D1" w:rsidRPr="006C07D1" w:rsidRDefault="006C07D1" w:rsidP="006C07D1">
                          <w:pPr>
                            <w:ind w:left="-180" w:hanging="180"/>
                            <w:jc w:val="center"/>
                            <w:textDirection w:val="btLr"/>
                            <w:rPr>
                              <w:color w:val="FFFFFF" w:themeColor="background1"/>
                              <w:sz w:val="28"/>
                              <w:szCs w:val="28"/>
                            </w:rPr>
                          </w:pPr>
                          <w:r w:rsidRPr="006C07D1">
                            <w:rPr>
                              <w:b/>
                              <w:color w:val="FFFFFF" w:themeColor="background1"/>
                              <w:sz w:val="72"/>
                              <w:szCs w:val="28"/>
                            </w:rPr>
                            <w:t>COLLEGE PARTNERSHIP LABORATORY SCHOOLS FUND</w:t>
                          </w:r>
                        </w:p>
                        <w:p w14:paraId="02C1A919" w14:textId="22146D96" w:rsidR="0063469E" w:rsidRPr="00AF6A55" w:rsidRDefault="0063469E" w:rsidP="006C07D1">
                          <w:pPr>
                            <w:pStyle w:val="Heading1"/>
                            <w:ind w:left="0"/>
                            <w:jc w:val="left"/>
                          </w:pPr>
                        </w:p>
                        <w:p w14:paraId="7FDC3449" w14:textId="3DCEC5D0" w:rsidR="0063469E" w:rsidRDefault="0063469E" w:rsidP="000B62E9">
                          <w:pPr>
                            <w:ind w:left="-180"/>
                            <w:jc w:val="center"/>
                          </w:pPr>
                        </w:p>
                        <w:p w14:paraId="03F950B1" w14:textId="3E3B74B4" w:rsidR="006C07D1" w:rsidRPr="00B40D6E" w:rsidRDefault="006C07D1" w:rsidP="006C07D1">
                          <w:pPr>
                            <w:jc w:val="center"/>
                            <w:textDirection w:val="btLr"/>
                            <w:rPr>
                              <w:color w:val="FFFFFF" w:themeColor="background1"/>
                              <w:sz w:val="40"/>
                            </w:rPr>
                          </w:pPr>
                          <w:r w:rsidRPr="00B40D6E">
                            <w:rPr>
                              <w:color w:val="FFFFFF" w:themeColor="background1"/>
                              <w:sz w:val="40"/>
                            </w:rPr>
                            <w:t>GUIDELINES AND CRITERIA FOR THE AWARD AND DISTRIBUTION OF PLANNING GRANT FUNDS</w:t>
                          </w:r>
                        </w:p>
                        <w:p w14:paraId="09F8FFB3" w14:textId="3076357E" w:rsidR="006C07D1" w:rsidRDefault="006C07D1" w:rsidP="006C07D1">
                          <w:pPr>
                            <w:jc w:val="center"/>
                            <w:textDirection w:val="btLr"/>
                            <w:rPr>
                              <w:color w:val="FFFFFF" w:themeColor="background1"/>
                              <w:sz w:val="32"/>
                            </w:rPr>
                          </w:pPr>
                        </w:p>
                        <w:p w14:paraId="41EEF6D8" w14:textId="07808EAB" w:rsidR="006C07D1" w:rsidRDefault="006C07D1" w:rsidP="006C07D1">
                          <w:pPr>
                            <w:jc w:val="center"/>
                            <w:textDirection w:val="btLr"/>
                            <w:rPr>
                              <w:color w:val="FFFFFF" w:themeColor="background1"/>
                              <w:sz w:val="32"/>
                            </w:rPr>
                          </w:pPr>
                        </w:p>
                        <w:p w14:paraId="69EDF38F" w14:textId="48252C20" w:rsidR="006C07D1" w:rsidRPr="006C07D1" w:rsidRDefault="000C3466" w:rsidP="006C07D1">
                          <w:pPr>
                            <w:jc w:val="center"/>
                            <w:textDirection w:val="btLr"/>
                            <w:rPr>
                              <w:b/>
                              <w:bCs/>
                              <w:color w:val="FFFFFF" w:themeColor="background1"/>
                              <w:sz w:val="36"/>
                              <w:szCs w:val="36"/>
                            </w:rPr>
                          </w:pPr>
                          <w:r>
                            <w:rPr>
                              <w:b/>
                              <w:bCs/>
                              <w:color w:val="FFFFFF" w:themeColor="background1"/>
                              <w:sz w:val="44"/>
                              <w:szCs w:val="36"/>
                            </w:rPr>
                            <w:t>Approved August 17, 2022</w:t>
                          </w:r>
                        </w:p>
                        <w:p w14:paraId="237780CD" w14:textId="382D3ED1" w:rsidR="0063469E" w:rsidRPr="0020703F" w:rsidRDefault="0063469E" w:rsidP="000B62E9">
                          <w:pPr>
                            <w:ind w:left="-180"/>
                            <w:rPr>
                              <w:sz w:val="48"/>
                              <w:szCs w:val="48"/>
                            </w:rPr>
                          </w:pPr>
                        </w:p>
                        <w:p w14:paraId="59D4E0E4" w14:textId="2A2B67A6" w:rsidR="0063469E" w:rsidRPr="00673B3E" w:rsidRDefault="0063469E" w:rsidP="000B62E9">
                          <w:pPr>
                            <w:pStyle w:val="VBOEFOOTER"/>
                            <w:ind w:left="-180"/>
                            <w:rPr>
                              <w:color w:val="FFFFFF" w:themeColor="background1"/>
                              <w14:textFill>
                                <w14:noFill/>
                              </w14:textFill>
                            </w:rPr>
                          </w:pPr>
                          <w:r w:rsidRPr="0020703F">
                            <w:t>VIRGINIA BOARD OF EDUCATION</w:t>
                          </w:r>
                        </w:p>
                      </w:txbxContent>
                    </v:textbox>
                    <w10:anchorlock/>
                  </v:rect>
                </w:pict>
              </mc:Fallback>
            </mc:AlternateContent>
          </w:r>
          <w:r w:rsidR="0063469E">
            <w:rPr>
              <w:lang w:eastAsia="zh-CN"/>
            </w:rPr>
            <w:br w:type="page"/>
          </w:r>
        </w:p>
      </w:sdtContent>
    </w:sdt>
    <w:p w14:paraId="6833694D" w14:textId="77777777" w:rsidR="003B0A10" w:rsidRDefault="003B0A10" w:rsidP="00AF6A55">
      <w:pPr>
        <w:pStyle w:val="Heading1"/>
        <w:sectPr w:rsidR="003B0A10" w:rsidSect="003B0A10">
          <w:footerReference w:type="even" r:id="rId10"/>
          <w:footerReference w:type="default" r:id="rId11"/>
          <w:footerReference w:type="first" r:id="rId12"/>
          <w:pgSz w:w="12240" w:h="15840"/>
          <w:pgMar w:top="0" w:right="0" w:bottom="0" w:left="0" w:header="720" w:footer="720" w:gutter="0"/>
          <w:pgNumType w:start="0"/>
          <w:cols w:space="720"/>
          <w:titlePg/>
          <w:docGrid w:linePitch="360"/>
        </w:sectPr>
      </w:pPr>
    </w:p>
    <w:p w14:paraId="3A18E0A9" w14:textId="2E05284A" w:rsidR="006C07D1" w:rsidRDefault="006C07D1" w:rsidP="006C07D1">
      <w:pPr>
        <w:pStyle w:val="Heading2"/>
      </w:pPr>
      <w:r>
        <w:lastRenderedPageBreak/>
        <w:t>PURPOSE of college partnership laboratory schools</w:t>
      </w:r>
    </w:p>
    <w:p w14:paraId="3A5C84A8" w14:textId="77777777" w:rsidR="00686040" w:rsidRPr="00686040" w:rsidRDefault="00686040" w:rsidP="00686040">
      <w:pPr>
        <w:pStyle w:val="Heading3"/>
        <w:rPr>
          <w:rFonts w:eastAsiaTheme="minorHAnsi"/>
          <w:b w:val="0"/>
          <w:bCs w:val="0"/>
          <w:caps w:val="0"/>
          <w:sz w:val="24"/>
          <w:szCs w:val="24"/>
        </w:rPr>
      </w:pPr>
      <w:r w:rsidRPr="00686040">
        <w:rPr>
          <w:rFonts w:eastAsiaTheme="minorHAnsi"/>
          <w:b w:val="0"/>
          <w:bCs w:val="0"/>
          <w:caps w:val="0"/>
          <w:sz w:val="24"/>
          <w:szCs w:val="24"/>
        </w:rPr>
        <w:t xml:space="preserve">College Partnership Laboratory Schools (Lab Schools) have fueled innovation and excellence in preK-12 education across the nation. Some of the nation’s most prestigious schools were started as Lab Schools, and many of the most successful preK-12 institutions serving students with learning disabilities or particular talents and interests are Lab Schools. Virginia has identified Lab Schools as a critical part of ensuring a high-quality, innovative, and diverse educational ecosystem in the Commonwealth. </w:t>
      </w:r>
    </w:p>
    <w:p w14:paraId="0A59E718" w14:textId="77777777" w:rsidR="00686040" w:rsidRPr="00686040" w:rsidRDefault="00686040" w:rsidP="00686040">
      <w:pPr>
        <w:pStyle w:val="Heading3"/>
        <w:rPr>
          <w:rFonts w:eastAsiaTheme="minorHAnsi"/>
          <w:b w:val="0"/>
          <w:bCs w:val="0"/>
          <w:caps w:val="0"/>
          <w:sz w:val="24"/>
          <w:szCs w:val="24"/>
        </w:rPr>
      </w:pPr>
    </w:p>
    <w:p w14:paraId="06D70704" w14:textId="408EB429" w:rsidR="002B1397" w:rsidRDefault="00686040" w:rsidP="00686040">
      <w:pPr>
        <w:pStyle w:val="Heading3"/>
        <w:rPr>
          <w:rFonts w:eastAsiaTheme="minorHAnsi"/>
          <w:b w:val="0"/>
          <w:bCs w:val="0"/>
          <w:caps w:val="0"/>
          <w:sz w:val="24"/>
          <w:szCs w:val="24"/>
        </w:rPr>
      </w:pPr>
      <w:r w:rsidRPr="00686040">
        <w:rPr>
          <w:rFonts w:eastAsiaTheme="minorHAnsi"/>
          <w:b w:val="0"/>
          <w:bCs w:val="0"/>
          <w:caps w:val="0"/>
          <w:sz w:val="24"/>
          <w:szCs w:val="24"/>
        </w:rPr>
        <w:t>The planning grant program set out in the guidelines and application criteria is to (1) promote the thoughtful design of new Lab Schools</w:t>
      </w:r>
      <w:r w:rsidR="002B1397">
        <w:rPr>
          <w:rFonts w:eastAsiaTheme="minorHAnsi"/>
          <w:b w:val="0"/>
          <w:bCs w:val="0"/>
          <w:caps w:val="0"/>
          <w:sz w:val="24"/>
          <w:szCs w:val="24"/>
        </w:rPr>
        <w:t xml:space="preserve"> to improve student achievement and outcomes</w:t>
      </w:r>
      <w:r w:rsidRPr="00686040">
        <w:rPr>
          <w:rFonts w:eastAsiaTheme="minorHAnsi"/>
          <w:b w:val="0"/>
          <w:bCs w:val="0"/>
          <w:caps w:val="0"/>
          <w:sz w:val="24"/>
          <w:szCs w:val="24"/>
        </w:rPr>
        <w:t xml:space="preserve">; (2) create a pathway to launch Lab Schools by providing support to those eligible applicants well-positioned and motivated to advance Lab School applications and launch Lab Schools; (3) guarantee, to the greatest extent possible, that new Lab Schools are built on strong, sustainable programmatic and financial foundations; and (4) encourage regional diversification and increased access to new Lab Schools meeting the needs of students </w:t>
      </w:r>
      <w:r w:rsidR="002B1397">
        <w:rPr>
          <w:rFonts w:eastAsiaTheme="minorHAnsi"/>
          <w:b w:val="0"/>
          <w:bCs w:val="0"/>
          <w:caps w:val="0"/>
          <w:sz w:val="24"/>
          <w:szCs w:val="24"/>
        </w:rPr>
        <w:t xml:space="preserve">– especially those at-risk – </w:t>
      </w:r>
    </w:p>
    <w:p w14:paraId="1ADCB4FA" w14:textId="4AC87255" w:rsidR="0020703F" w:rsidRDefault="00686040" w:rsidP="00686040">
      <w:pPr>
        <w:pStyle w:val="Heading3"/>
        <w:rPr>
          <w:rFonts w:eastAsiaTheme="minorHAnsi"/>
          <w:b w:val="0"/>
          <w:bCs w:val="0"/>
          <w:caps w:val="0"/>
          <w:sz w:val="24"/>
          <w:szCs w:val="24"/>
        </w:rPr>
      </w:pPr>
      <w:r w:rsidRPr="00686040">
        <w:rPr>
          <w:rFonts w:eastAsiaTheme="minorHAnsi"/>
          <w:b w:val="0"/>
          <w:bCs w:val="0"/>
          <w:caps w:val="0"/>
          <w:sz w:val="24"/>
          <w:szCs w:val="24"/>
        </w:rPr>
        <w:t>across the Commonwealth.</w:t>
      </w:r>
    </w:p>
    <w:p w14:paraId="2907A46D" w14:textId="77777777" w:rsidR="00686040" w:rsidRPr="00686040" w:rsidRDefault="00686040" w:rsidP="00686040"/>
    <w:p w14:paraId="76471003" w14:textId="77777777" w:rsidR="006C07D1" w:rsidRDefault="006C07D1" w:rsidP="006C07D1">
      <w:pPr>
        <w:pStyle w:val="Heading2"/>
      </w:pPr>
      <w:r>
        <w:t>BACKGROUND of the college partnership laboratory school fund</w:t>
      </w:r>
    </w:p>
    <w:p w14:paraId="626E6C89" w14:textId="77777777" w:rsidR="00686040" w:rsidRDefault="00686040" w:rsidP="00686040">
      <w:pPr>
        <w:pStyle w:val="NormalWeb"/>
        <w:spacing w:before="0" w:beforeAutospacing="0" w:after="0" w:afterAutospacing="0"/>
      </w:pPr>
      <w:r>
        <w:rPr>
          <w:color w:val="000000"/>
        </w:rPr>
        <w:t xml:space="preserve">The College Partnership Laboratory Schools Fund (Fund), set out in § </w:t>
      </w:r>
      <w:hyperlink r:id="rId13" w:history="1">
        <w:r>
          <w:rPr>
            <w:rStyle w:val="Hyperlink"/>
            <w:color w:val="1155CC"/>
          </w:rPr>
          <w:t>22.1-349.2</w:t>
        </w:r>
      </w:hyperlink>
      <w:r>
        <w:rPr>
          <w:i/>
          <w:iCs/>
          <w:color w:val="000000"/>
        </w:rPr>
        <w:t xml:space="preserve"> </w:t>
      </w:r>
      <w:r>
        <w:rPr>
          <w:color w:val="000000"/>
        </w:rPr>
        <w:t xml:space="preserve">of the </w:t>
      </w:r>
      <w:r>
        <w:rPr>
          <w:i/>
          <w:iCs/>
          <w:color w:val="000000"/>
        </w:rPr>
        <w:t>Code of Virginia</w:t>
      </w:r>
      <w:r>
        <w:rPr>
          <w:color w:val="000000"/>
        </w:rPr>
        <w:t>, was first established in 2010 for the purpose of establishing and supporting College Partnership Laboratory Schools. During its 2022 Session, the General Assembly appropriated $100,000,000 to the Fund. </w:t>
      </w:r>
    </w:p>
    <w:p w14:paraId="41469D89" w14:textId="77777777" w:rsidR="00686040" w:rsidRDefault="00686040" w:rsidP="00686040"/>
    <w:p w14:paraId="4D165B79" w14:textId="1ABBDE0B" w:rsidR="00686040" w:rsidRDefault="00686040" w:rsidP="00686040">
      <w:pPr>
        <w:pStyle w:val="NormalWeb"/>
        <w:spacing w:before="0" w:beforeAutospacing="0" w:after="0" w:afterAutospacing="0"/>
      </w:pPr>
      <w:r>
        <w:rPr>
          <w:color w:val="000000"/>
        </w:rPr>
        <w:t xml:space="preserve">The Virginia Board of Education (Board) is authorized to award up to $5,000,000 from the Fund for planning grants to entities pursuing the creation of new Lab Schools. Additionally, the Board is authorized to award up to $20,000,000 from the Fund for initial start-up cost funding grants (start-up) for entities approved by the Board and awarded a contract to create a new Lab School and to distribute </w:t>
      </w:r>
      <w:r w:rsidR="002B1397">
        <w:rPr>
          <w:color w:val="000000"/>
        </w:rPr>
        <w:t>the remaining balance</w:t>
      </w:r>
      <w:r>
        <w:rPr>
          <w:color w:val="000000"/>
        </w:rPr>
        <w:t xml:space="preserve"> </w:t>
      </w:r>
      <w:r w:rsidR="002B1397">
        <w:rPr>
          <w:color w:val="000000"/>
        </w:rPr>
        <w:t>(</w:t>
      </w:r>
      <w:r>
        <w:rPr>
          <w:color w:val="000000"/>
        </w:rPr>
        <w:t>$75,000,000</w:t>
      </w:r>
      <w:r w:rsidR="002B1397">
        <w:rPr>
          <w:color w:val="000000"/>
        </w:rPr>
        <w:t xml:space="preserve"> or more)</w:t>
      </w:r>
      <w:r>
        <w:rPr>
          <w:color w:val="000000"/>
        </w:rPr>
        <w:t xml:space="preserve"> in per-pupil operating funding grants (per-pupil) from the Fund for entities with  approved Lab Schools. </w:t>
      </w:r>
    </w:p>
    <w:p w14:paraId="6DC00E77" w14:textId="77777777" w:rsidR="00686040" w:rsidRDefault="00686040" w:rsidP="00686040">
      <w:pPr>
        <w:pStyle w:val="NormalWeb"/>
        <w:spacing w:before="0" w:beforeAutospacing="0" w:after="0" w:afterAutospacing="0"/>
      </w:pPr>
      <w:r>
        <w:rPr>
          <w:color w:val="000000"/>
        </w:rPr>
        <w:t> </w:t>
      </w:r>
    </w:p>
    <w:p w14:paraId="7BF7DF71" w14:textId="77777777" w:rsidR="00686040" w:rsidRDefault="00686040" w:rsidP="00686040">
      <w:pPr>
        <w:pStyle w:val="NormalWeb"/>
        <w:spacing w:before="0" w:beforeAutospacing="0" w:after="0" w:afterAutospacing="0"/>
      </w:pPr>
      <w:r>
        <w:rPr>
          <w:color w:val="000000"/>
        </w:rPr>
        <w:t xml:space="preserve">Section </w:t>
      </w:r>
      <w:hyperlink r:id="rId14" w:history="1">
        <w:r>
          <w:rPr>
            <w:rStyle w:val="Hyperlink"/>
            <w:color w:val="1155CC"/>
          </w:rPr>
          <w:t>22.1-349.2</w:t>
        </w:r>
      </w:hyperlink>
      <w:r>
        <w:rPr>
          <w:i/>
          <w:iCs/>
          <w:color w:val="000000"/>
        </w:rPr>
        <w:t xml:space="preserve"> </w:t>
      </w:r>
      <w:r>
        <w:rPr>
          <w:color w:val="000000"/>
        </w:rPr>
        <w:t>of the</w:t>
      </w:r>
      <w:r>
        <w:rPr>
          <w:i/>
          <w:iCs/>
          <w:color w:val="000000"/>
        </w:rPr>
        <w:t xml:space="preserve"> Code of Virginia </w:t>
      </w:r>
      <w:r>
        <w:rPr>
          <w:color w:val="000000"/>
        </w:rPr>
        <w:t>and</w:t>
      </w:r>
      <w:r>
        <w:rPr>
          <w:i/>
          <w:iCs/>
          <w:color w:val="000000"/>
        </w:rPr>
        <w:t xml:space="preserve"> </w:t>
      </w:r>
      <w:hyperlink r:id="rId15" w:history="1">
        <w:r>
          <w:rPr>
            <w:rStyle w:val="Hyperlink"/>
            <w:color w:val="1255CD"/>
          </w:rPr>
          <w:t>Item 137.C.44</w:t>
        </w:r>
      </w:hyperlink>
      <w:r>
        <w:rPr>
          <w:i/>
          <w:iCs/>
          <w:color w:val="000000"/>
        </w:rPr>
        <w:t xml:space="preserve"> </w:t>
      </w:r>
      <w:r>
        <w:rPr>
          <w:color w:val="000000"/>
        </w:rPr>
        <w:t>of the 2022 Appropriation Act direct the Board to establish criteria and guidelines for the distribution and award of moneys from the Fund prior to disbursement.</w:t>
      </w:r>
    </w:p>
    <w:p w14:paraId="6F43E7C3" w14:textId="77777777" w:rsidR="00686040" w:rsidRDefault="00686040" w:rsidP="00686040">
      <w:pPr>
        <w:pStyle w:val="NormalWeb"/>
        <w:spacing w:before="0" w:beforeAutospacing="0" w:after="0" w:afterAutospacing="0"/>
      </w:pPr>
      <w:r>
        <w:rPr>
          <w:color w:val="000000"/>
        </w:rPr>
        <w:br/>
        <w:t xml:space="preserve">This document provides the required criteria and guidelines for the award and distribution of </w:t>
      </w:r>
      <w:r>
        <w:rPr>
          <w:b/>
          <w:bCs/>
          <w:color w:val="000000"/>
        </w:rPr>
        <w:t>planning grant</w:t>
      </w:r>
      <w:r>
        <w:rPr>
          <w:color w:val="000000"/>
        </w:rPr>
        <w:t xml:space="preserve"> money from the Fund. </w:t>
      </w:r>
    </w:p>
    <w:p w14:paraId="1B1F0B78" w14:textId="77777777" w:rsidR="00686040" w:rsidRDefault="00686040" w:rsidP="00686040"/>
    <w:p w14:paraId="071E9F13" w14:textId="77777777" w:rsidR="005F23D6" w:rsidRDefault="005F23D6" w:rsidP="006C07D1">
      <w:pPr>
        <w:pStyle w:val="Heading2"/>
      </w:pPr>
    </w:p>
    <w:p w14:paraId="1435F40C" w14:textId="77777777" w:rsidR="005F23D6" w:rsidRDefault="005F23D6">
      <w:pPr>
        <w:rPr>
          <w:rFonts w:eastAsiaTheme="majorEastAsia"/>
          <w:b/>
          <w:bCs/>
          <w:caps/>
          <w:color w:val="003C71" w:themeColor="accent1"/>
          <w:sz w:val="36"/>
          <w:szCs w:val="36"/>
        </w:rPr>
      </w:pPr>
      <w:r>
        <w:br w:type="page"/>
      </w:r>
    </w:p>
    <w:p w14:paraId="150EE42A" w14:textId="3CC95E5D" w:rsidR="006C07D1" w:rsidRDefault="006C07D1" w:rsidP="006C07D1">
      <w:pPr>
        <w:pStyle w:val="Heading2"/>
      </w:pPr>
      <w:r>
        <w:t>DEFINITIONS</w:t>
      </w:r>
    </w:p>
    <w:p w14:paraId="63A5CC83" w14:textId="77777777" w:rsidR="006C07D1" w:rsidRDefault="006C07D1" w:rsidP="006C07D1">
      <w:pPr>
        <w:pStyle w:val="Heading3"/>
      </w:pPr>
      <w:r>
        <w:rPr>
          <w:smallCaps/>
          <w:color w:val="000000"/>
        </w:rPr>
        <w:t>PLANNING GRANT APPLICANT</w:t>
      </w:r>
    </w:p>
    <w:p w14:paraId="27C5E224" w14:textId="66480891" w:rsidR="00686040" w:rsidRDefault="00686040" w:rsidP="00686040">
      <w:r>
        <w:rPr>
          <w:color w:val="000000"/>
        </w:rPr>
        <w:t xml:space="preserve">A “planning grant applicant” or “applicant” is the primary entity pursuing the creation of a new College Partnership Laboratory School and must be a public institution of higher education, public higher education center, institute, or authority; or an eligible </w:t>
      </w:r>
      <w:r w:rsidR="002B1397">
        <w:rPr>
          <w:color w:val="000000"/>
        </w:rPr>
        <w:t xml:space="preserve">private </w:t>
      </w:r>
      <w:r>
        <w:rPr>
          <w:color w:val="000000"/>
        </w:rPr>
        <w:t xml:space="preserve">institution </w:t>
      </w:r>
      <w:r w:rsidR="002B1397">
        <w:rPr>
          <w:color w:val="000000"/>
        </w:rPr>
        <w:t xml:space="preserve">of higher education </w:t>
      </w:r>
      <w:r>
        <w:rPr>
          <w:color w:val="000000"/>
        </w:rPr>
        <w:t xml:space="preserve">as defined in § </w:t>
      </w:r>
      <w:hyperlink r:id="rId16" w:history="1">
        <w:r>
          <w:rPr>
            <w:rStyle w:val="Hyperlink"/>
            <w:color w:val="1155CC"/>
          </w:rPr>
          <w:t>23.1-628</w:t>
        </w:r>
      </w:hyperlink>
      <w:r w:rsidR="002B1397">
        <w:t xml:space="preserve"> related to the Tuition Assistance Grant Program</w:t>
      </w:r>
      <w:r>
        <w:rPr>
          <w:color w:val="000000"/>
        </w:rPr>
        <w:t>. A “planning grant applicant” will be referred to as a “planning grant awardee” or “awardee” should its planning grant application be approved.</w:t>
      </w:r>
    </w:p>
    <w:p w14:paraId="2CF7D8BB" w14:textId="5EE9C071" w:rsidR="006C07D1" w:rsidRDefault="006C07D1" w:rsidP="006C07D1"/>
    <w:p w14:paraId="3DD22CA2" w14:textId="10A09784" w:rsidR="006C07D1" w:rsidRPr="00AF6A55" w:rsidRDefault="006C07D1" w:rsidP="006C07D1">
      <w:pPr>
        <w:pStyle w:val="Heading3"/>
      </w:pPr>
      <w:r>
        <w:t>college partnership laborat</w:t>
      </w:r>
      <w:r w:rsidR="005F23D6">
        <w:t>ory school</w:t>
      </w:r>
    </w:p>
    <w:p w14:paraId="78F5F32E" w14:textId="4F8651E3" w:rsidR="00686040" w:rsidRDefault="00686040" w:rsidP="00686040">
      <w:r>
        <w:rPr>
          <w:color w:val="000000"/>
        </w:rPr>
        <w:t xml:space="preserve">Pursuant to § </w:t>
      </w:r>
      <w:hyperlink r:id="rId17" w:history="1">
        <w:r>
          <w:rPr>
            <w:rStyle w:val="Hyperlink"/>
            <w:color w:val="1155CC"/>
          </w:rPr>
          <w:t>22.1-349.1(A)</w:t>
        </w:r>
      </w:hyperlink>
      <w:r>
        <w:rPr>
          <w:color w:val="000000"/>
        </w:rPr>
        <w:t xml:space="preserve"> of the </w:t>
      </w:r>
      <w:r>
        <w:rPr>
          <w:i/>
          <w:iCs/>
          <w:color w:val="000000"/>
        </w:rPr>
        <w:t>Code of Virginia</w:t>
      </w:r>
      <w:r>
        <w:rPr>
          <w:color w:val="000000"/>
        </w:rPr>
        <w:t>,</w:t>
      </w:r>
      <w:r w:rsidR="002B1397">
        <w:rPr>
          <w:color w:val="000000"/>
        </w:rPr>
        <w:t xml:space="preserve"> as amended by Chapter 2 of the 2022 Acts of Assembly, Special Session I,</w:t>
      </w:r>
      <w:r>
        <w:rPr>
          <w:color w:val="000000"/>
        </w:rPr>
        <w:t xml:space="preserve"> a "College Partnership Laboratory School” means a public, nonsectarian, nonreligious school in the Commonwealth established by a public institution of higher education, public higher education center, institute, or authority; or an eligible </w:t>
      </w:r>
      <w:r w:rsidR="002B1397">
        <w:rPr>
          <w:color w:val="000000"/>
        </w:rPr>
        <w:t xml:space="preserve">private </w:t>
      </w:r>
      <w:r>
        <w:rPr>
          <w:color w:val="000000"/>
        </w:rPr>
        <w:t xml:space="preserve">institution </w:t>
      </w:r>
      <w:r w:rsidR="002B1397">
        <w:rPr>
          <w:color w:val="000000"/>
        </w:rPr>
        <w:t xml:space="preserve">of higher education </w:t>
      </w:r>
      <w:r>
        <w:rPr>
          <w:color w:val="000000"/>
        </w:rPr>
        <w:t>as defined in</w:t>
      </w:r>
      <w:r w:rsidR="002B1397" w:rsidRPr="002B1397">
        <w:t xml:space="preserve"> </w:t>
      </w:r>
      <w:r w:rsidR="002B1397" w:rsidRPr="002B1397">
        <w:rPr>
          <w:color w:val="000000"/>
        </w:rPr>
        <w:t>§</w:t>
      </w:r>
      <w:r>
        <w:rPr>
          <w:color w:val="000000"/>
        </w:rPr>
        <w:t xml:space="preserve"> </w:t>
      </w:r>
      <w:hyperlink r:id="rId18" w:history="1">
        <w:r w:rsidR="002B1397">
          <w:rPr>
            <w:rStyle w:val="Hyperlink"/>
            <w:color w:val="1155CC"/>
          </w:rPr>
          <w:t>23.1-628</w:t>
        </w:r>
      </w:hyperlink>
      <w:r w:rsidR="002B1397">
        <w:t xml:space="preserve"> related to the Tuition Assistance Grant Program</w:t>
      </w:r>
      <w:r>
        <w:rPr>
          <w:color w:val="000000"/>
        </w:rPr>
        <w:t xml:space="preserve">. Section </w:t>
      </w:r>
      <w:hyperlink r:id="rId19" w:history="1">
        <w:r>
          <w:rPr>
            <w:rStyle w:val="Hyperlink"/>
            <w:color w:val="1155CC"/>
          </w:rPr>
          <w:t>22.1-349.1(B)</w:t>
        </w:r>
      </w:hyperlink>
      <w:r>
        <w:rPr>
          <w:color w:val="000000"/>
        </w:rPr>
        <w:t xml:space="preserve"> states that Lab Schools are designed to “(i) stimulate the development of innovative education programs for preschool through grade 12 students; (ii) provide opportunities for innovative instruction and assessment; (iii) provide teachers with a vehicle for establishing schools with alternative innovative instruction and school scheduling, management, and structure; (iv) encourage the use of performance-based educational programs; (v) establish high standards for both teachers and administrators; (vi) encourage greater collaboration between education providers from preschool to the postsecondary level; and (vii) develop models for replication in other public schools.”</w:t>
      </w:r>
    </w:p>
    <w:p w14:paraId="64CB3C3E" w14:textId="63D307AA" w:rsidR="006C07D1" w:rsidRDefault="006C07D1" w:rsidP="006C07D1"/>
    <w:p w14:paraId="118D5F1B" w14:textId="265BE038" w:rsidR="006C07D1" w:rsidRPr="00AF6A55" w:rsidRDefault="006C07D1" w:rsidP="006C07D1">
      <w:pPr>
        <w:pStyle w:val="Heading3"/>
      </w:pPr>
      <w:r>
        <w:t>at-risk student</w:t>
      </w:r>
    </w:p>
    <w:p w14:paraId="2198C6A6" w14:textId="77777777" w:rsidR="00686040" w:rsidRDefault="00686040" w:rsidP="00686040">
      <w:pPr>
        <w:pStyle w:val="NormalWeb"/>
        <w:spacing w:before="0" w:beforeAutospacing="0" w:after="0" w:afterAutospacing="0"/>
      </w:pPr>
      <w:r>
        <w:rPr>
          <w:color w:val="000000"/>
        </w:rPr>
        <w:t xml:space="preserve">Pursuant to § </w:t>
      </w:r>
      <w:hyperlink r:id="rId20" w:history="1">
        <w:r>
          <w:rPr>
            <w:rStyle w:val="Hyperlink"/>
            <w:color w:val="1155CC"/>
          </w:rPr>
          <w:t>22.1-349.1(A)</w:t>
        </w:r>
      </w:hyperlink>
      <w:r>
        <w:rPr>
          <w:color w:val="000000"/>
        </w:rPr>
        <w:t xml:space="preserve"> of the </w:t>
      </w:r>
      <w:r>
        <w:rPr>
          <w:i/>
          <w:iCs/>
          <w:color w:val="000000"/>
        </w:rPr>
        <w:t>Code of Virginia</w:t>
      </w:r>
      <w:r>
        <w:rPr>
          <w:color w:val="000000"/>
        </w:rPr>
        <w:t>, an “at-risk student” means “a student having a physical, emotional, intellectual, socioeconomic, or cultural risk factor that research indicates may negatively influence educational success.” For the purpose of these guidelines and any planning grant awards, “at-risk students” include (1) students who have experienced learning loss as the result of the COVID-19 pandemic; (2) students served by low-performing schools that are designated as “accredited with conditions” or “accreditation denied” based on the Virginia Board of Education’s accreditation ratings; and (3) students attending schools identified under the Every Student Succeeds Act within three support categories: (i) Comprehensive Support and Improvement, (ii) Targeted Support and Improvement, or (iii) Additional Targeted Support Category.</w:t>
      </w:r>
    </w:p>
    <w:p w14:paraId="31D9F4B4" w14:textId="12BC8A9A" w:rsidR="006C07D1" w:rsidRDefault="006C07D1" w:rsidP="006C07D1"/>
    <w:p w14:paraId="661E037E" w14:textId="1F62D8D7" w:rsidR="006C07D1" w:rsidRDefault="006C07D1" w:rsidP="006C07D1">
      <w:pPr>
        <w:pStyle w:val="Heading3"/>
      </w:pPr>
      <w:r>
        <w:t>regional diversity</w:t>
      </w:r>
    </w:p>
    <w:p w14:paraId="0B68015B" w14:textId="77777777" w:rsidR="00686040" w:rsidRDefault="00686040" w:rsidP="00686040">
      <w:pPr>
        <w:pStyle w:val="NormalWeb"/>
        <w:spacing w:before="0" w:beforeAutospacing="0" w:after="0" w:afterAutospacing="0"/>
      </w:pPr>
      <w:r>
        <w:rPr>
          <w:color w:val="000000"/>
        </w:rPr>
        <w:t xml:space="preserve">For the purpose of these guidelines, regional diversity reflects representation from each of the Virginia Department of Education’s (Department) eight Superintendent </w:t>
      </w:r>
      <w:hyperlink r:id="rId21" w:history="1">
        <w:r>
          <w:rPr>
            <w:rStyle w:val="Hyperlink"/>
            <w:color w:val="1155CC"/>
          </w:rPr>
          <w:t>regions</w:t>
        </w:r>
      </w:hyperlink>
      <w:r>
        <w:rPr>
          <w:color w:val="000000"/>
        </w:rPr>
        <w:t>.</w:t>
      </w:r>
    </w:p>
    <w:p w14:paraId="3008BCE7" w14:textId="77777777" w:rsidR="00686040" w:rsidRDefault="00686040" w:rsidP="00686040"/>
    <w:p w14:paraId="0968E814" w14:textId="77777777" w:rsidR="006C07D1" w:rsidRDefault="006C07D1" w:rsidP="006C07D1"/>
    <w:p w14:paraId="2375E5D8" w14:textId="7CFF60D6" w:rsidR="006C07D1" w:rsidRDefault="006C07D1" w:rsidP="006C07D1"/>
    <w:p w14:paraId="58B1390C" w14:textId="77777777" w:rsidR="005F23D6" w:rsidRDefault="005F23D6">
      <w:pPr>
        <w:rPr>
          <w:rFonts w:eastAsiaTheme="majorEastAsia"/>
          <w:b/>
          <w:bCs/>
          <w:caps/>
          <w:color w:val="003C71" w:themeColor="accent1"/>
          <w:sz w:val="36"/>
          <w:szCs w:val="36"/>
        </w:rPr>
      </w:pPr>
      <w:r>
        <w:br w:type="page"/>
      </w:r>
    </w:p>
    <w:p w14:paraId="3E244FEC" w14:textId="74E0372A" w:rsidR="005F23D6" w:rsidRDefault="005F23D6" w:rsidP="005F23D6">
      <w:pPr>
        <w:pStyle w:val="Heading2"/>
      </w:pPr>
      <w:r>
        <w:t>requesting PLanning grant fund moneys</w:t>
      </w:r>
    </w:p>
    <w:p w14:paraId="247B9B2A" w14:textId="77777777" w:rsidR="005F23D6" w:rsidRDefault="005F23D6" w:rsidP="005F23D6">
      <w:pPr>
        <w:pStyle w:val="Heading3"/>
      </w:pPr>
      <w:r>
        <w:t>planning grant application required components</w:t>
      </w:r>
    </w:p>
    <w:p w14:paraId="43BFD0B5" w14:textId="77777777" w:rsidR="00686040" w:rsidRDefault="00686040" w:rsidP="00686040">
      <w:pPr>
        <w:pStyle w:val="NormalWeb"/>
        <w:spacing w:before="0" w:beforeAutospacing="0" w:after="0" w:afterAutospacing="0"/>
      </w:pPr>
      <w:r>
        <w:rPr>
          <w:color w:val="000000"/>
        </w:rPr>
        <w:t>A planning grant application must include the following components:</w:t>
      </w:r>
    </w:p>
    <w:p w14:paraId="30B699DB" w14:textId="5ADE9E5D" w:rsidR="00686040" w:rsidRDefault="00686040" w:rsidP="00686040">
      <w:pPr>
        <w:pStyle w:val="NormalWeb"/>
        <w:numPr>
          <w:ilvl w:val="0"/>
          <w:numId w:val="15"/>
        </w:numPr>
        <w:spacing w:before="0" w:beforeAutospacing="0" w:after="0" w:afterAutospacing="0"/>
        <w:textAlignment w:val="baseline"/>
        <w:rPr>
          <w:rFonts w:ascii="Noto Sans Symbols" w:hAnsi="Noto Sans Symbols"/>
          <w:color w:val="000000"/>
          <w:sz w:val="20"/>
          <w:szCs w:val="20"/>
        </w:rPr>
      </w:pPr>
      <w:r>
        <w:rPr>
          <w:color w:val="000000"/>
        </w:rPr>
        <w:t>General information about the applicant</w:t>
      </w:r>
      <w:r w:rsidR="002B1397">
        <w:rPr>
          <w:color w:val="000000"/>
        </w:rPr>
        <w:t xml:space="preserve"> and its partners</w:t>
      </w:r>
      <w:r>
        <w:rPr>
          <w:color w:val="000000"/>
        </w:rPr>
        <w:t>; </w:t>
      </w:r>
    </w:p>
    <w:p w14:paraId="683921D3" w14:textId="58099E54" w:rsidR="00686040" w:rsidRPr="002B1397" w:rsidRDefault="00686040" w:rsidP="00686040">
      <w:pPr>
        <w:pStyle w:val="NormalWeb"/>
        <w:numPr>
          <w:ilvl w:val="0"/>
          <w:numId w:val="15"/>
        </w:numPr>
        <w:spacing w:before="0" w:beforeAutospacing="0" w:after="0" w:afterAutospacing="0"/>
        <w:textAlignment w:val="baseline"/>
        <w:rPr>
          <w:rFonts w:ascii="Noto Sans Symbols" w:hAnsi="Noto Sans Symbols"/>
          <w:color w:val="000000"/>
          <w:sz w:val="20"/>
          <w:szCs w:val="20"/>
        </w:rPr>
      </w:pPr>
      <w:r>
        <w:rPr>
          <w:color w:val="000000"/>
        </w:rPr>
        <w:t>General information about the proposed Lab School, including school governance and structure; facilities; mission and pedagogy; methods of assessment; and prospective student population;</w:t>
      </w:r>
    </w:p>
    <w:p w14:paraId="040BE63E" w14:textId="7B6AB7CB" w:rsidR="002B1397" w:rsidRPr="002B1397" w:rsidRDefault="002B1397" w:rsidP="002B1397">
      <w:pPr>
        <w:numPr>
          <w:ilvl w:val="0"/>
          <w:numId w:val="15"/>
        </w:numPr>
        <w:rPr>
          <w:rFonts w:ascii="Noto Sans Symbols" w:eastAsia="Noto Sans Symbols" w:hAnsi="Noto Sans Symbols" w:cs="Noto Sans Symbols"/>
          <w:color w:val="000000"/>
        </w:rPr>
      </w:pPr>
      <w:r>
        <w:rPr>
          <w:rFonts w:ascii="Noto Sans Symbols" w:eastAsia="Noto Sans Symbols" w:hAnsi="Noto Sans Symbols" w:cs="Noto Sans Symbols"/>
          <w:color w:val="000000"/>
        </w:rPr>
        <w:t xml:space="preserve">A description of the school’s proposed instructional model, including how it will improve </w:t>
      </w:r>
      <w:r>
        <w:rPr>
          <w:color w:val="000000"/>
        </w:rPr>
        <w:t>student academic proficiency, mastery, college- and career-readiness, and long-term outcome goals;</w:t>
      </w:r>
    </w:p>
    <w:p w14:paraId="72D38F7D" w14:textId="77777777" w:rsidR="00686040" w:rsidRDefault="00686040" w:rsidP="00686040">
      <w:pPr>
        <w:pStyle w:val="NormalWeb"/>
        <w:numPr>
          <w:ilvl w:val="0"/>
          <w:numId w:val="15"/>
        </w:numPr>
        <w:spacing w:before="0" w:beforeAutospacing="0" w:after="0" w:afterAutospacing="0"/>
        <w:textAlignment w:val="baseline"/>
        <w:rPr>
          <w:rFonts w:ascii="Noto Sans Symbols" w:hAnsi="Noto Sans Symbols"/>
          <w:color w:val="000000"/>
          <w:sz w:val="20"/>
          <w:szCs w:val="20"/>
        </w:rPr>
      </w:pPr>
      <w:r>
        <w:rPr>
          <w:color w:val="000000"/>
        </w:rPr>
        <w:t>Assurances that the applicant will abide by applicable federal and state laws and regulations, meet deliverables according to the timeline set by the Board (as provided below), and other requirements prescribed by the Department;</w:t>
      </w:r>
    </w:p>
    <w:p w14:paraId="3934A792" w14:textId="71E53C3B" w:rsidR="00686040" w:rsidRDefault="00686040" w:rsidP="00686040">
      <w:pPr>
        <w:pStyle w:val="NormalWeb"/>
        <w:numPr>
          <w:ilvl w:val="0"/>
          <w:numId w:val="15"/>
        </w:numPr>
        <w:spacing w:before="0" w:beforeAutospacing="0" w:after="0" w:afterAutospacing="0"/>
        <w:textAlignment w:val="baseline"/>
        <w:rPr>
          <w:rFonts w:ascii="Noto Sans Symbols" w:hAnsi="Noto Sans Symbols"/>
          <w:color w:val="000000"/>
          <w:sz w:val="20"/>
          <w:szCs w:val="20"/>
        </w:rPr>
      </w:pPr>
      <w:r>
        <w:rPr>
          <w:color w:val="000000"/>
        </w:rPr>
        <w:t>The total planning grant request amount not exceeding $2</w:t>
      </w:r>
      <w:r w:rsidR="002B1397">
        <w:rPr>
          <w:color w:val="000000"/>
        </w:rPr>
        <w:t>0</w:t>
      </w:r>
      <w:r>
        <w:rPr>
          <w:color w:val="000000"/>
        </w:rPr>
        <w:t>0,000 per planning grant application</w:t>
      </w:r>
      <w:r w:rsidR="002B1397">
        <w:rPr>
          <w:color w:val="000000"/>
        </w:rPr>
        <w:t xml:space="preserve">, </w:t>
      </w:r>
      <w:r w:rsidR="002B1397">
        <w:t>with additional funding considered on a case-by-case basis and in accordance with available funds</w:t>
      </w:r>
      <w:r>
        <w:rPr>
          <w:color w:val="000000"/>
        </w:rPr>
        <w:t>;</w:t>
      </w:r>
    </w:p>
    <w:p w14:paraId="340D5AF1" w14:textId="77777777" w:rsidR="00686040" w:rsidRDefault="00686040" w:rsidP="00686040">
      <w:pPr>
        <w:pStyle w:val="NormalWeb"/>
        <w:numPr>
          <w:ilvl w:val="0"/>
          <w:numId w:val="15"/>
        </w:numPr>
        <w:spacing w:before="0" w:beforeAutospacing="0" w:after="0" w:afterAutospacing="0"/>
        <w:textAlignment w:val="baseline"/>
        <w:rPr>
          <w:rFonts w:ascii="Noto Sans Symbols" w:hAnsi="Noto Sans Symbols"/>
          <w:color w:val="000000"/>
          <w:sz w:val="20"/>
          <w:szCs w:val="20"/>
        </w:rPr>
      </w:pPr>
      <w:r>
        <w:rPr>
          <w:color w:val="000000"/>
        </w:rPr>
        <w:t>A financial plan, including a line-item budget indicating how the requested planning grant funds will be used; </w:t>
      </w:r>
    </w:p>
    <w:p w14:paraId="7F668D4A" w14:textId="77777777" w:rsidR="00686040" w:rsidRDefault="00686040" w:rsidP="00686040">
      <w:pPr>
        <w:pStyle w:val="NormalWeb"/>
        <w:numPr>
          <w:ilvl w:val="0"/>
          <w:numId w:val="15"/>
        </w:numPr>
        <w:spacing w:before="0" w:beforeAutospacing="0" w:after="0" w:afterAutospacing="0"/>
        <w:textAlignment w:val="baseline"/>
        <w:rPr>
          <w:rFonts w:ascii="Noto Sans Symbols" w:hAnsi="Noto Sans Symbols"/>
          <w:color w:val="000000"/>
          <w:sz w:val="20"/>
          <w:szCs w:val="20"/>
        </w:rPr>
      </w:pPr>
      <w:r>
        <w:rPr>
          <w:color w:val="000000"/>
        </w:rPr>
        <w:t>A timeline for use of planning grant funds during the grant term with corresponding benchmarks and deliverables;</w:t>
      </w:r>
    </w:p>
    <w:p w14:paraId="1C474380" w14:textId="77777777" w:rsidR="00686040" w:rsidRDefault="00686040" w:rsidP="00686040">
      <w:pPr>
        <w:pStyle w:val="NormalWeb"/>
        <w:numPr>
          <w:ilvl w:val="0"/>
          <w:numId w:val="15"/>
        </w:numPr>
        <w:spacing w:before="0" w:beforeAutospacing="0" w:after="0" w:afterAutospacing="0"/>
        <w:textAlignment w:val="baseline"/>
        <w:rPr>
          <w:rFonts w:ascii="Noto Sans Symbols" w:hAnsi="Noto Sans Symbols"/>
          <w:color w:val="000000"/>
          <w:sz w:val="20"/>
          <w:szCs w:val="20"/>
        </w:rPr>
      </w:pPr>
      <w:r>
        <w:rPr>
          <w:color w:val="000000"/>
        </w:rPr>
        <w:t>A description of a plan for involvement of teachers, parents, community, organizations, employers, etc., in the planning, development, and implementation of the program; and</w:t>
      </w:r>
    </w:p>
    <w:p w14:paraId="74F54376" w14:textId="24B3ACDE" w:rsidR="00686040" w:rsidRDefault="00686040" w:rsidP="00686040">
      <w:pPr>
        <w:pStyle w:val="NormalWeb"/>
        <w:numPr>
          <w:ilvl w:val="0"/>
          <w:numId w:val="15"/>
        </w:numPr>
        <w:spacing w:before="0" w:beforeAutospacing="0" w:after="0" w:afterAutospacing="0"/>
        <w:textAlignment w:val="baseline"/>
        <w:rPr>
          <w:rFonts w:ascii="Noto Sans Symbols" w:hAnsi="Noto Sans Symbols"/>
          <w:color w:val="000000"/>
          <w:sz w:val="20"/>
          <w:szCs w:val="20"/>
        </w:rPr>
      </w:pPr>
      <w:r>
        <w:rPr>
          <w:color w:val="000000"/>
        </w:rPr>
        <w:t>A description of how the Lab School will secure and maintain community-based partnerships (i.e. businesses, organizations, local school boards</w:t>
      </w:r>
      <w:r w:rsidR="002B1397">
        <w:rPr>
          <w:color w:val="000000"/>
        </w:rPr>
        <w:t xml:space="preserve"> and divisions</w:t>
      </w:r>
      <w:r>
        <w:rPr>
          <w:color w:val="000000"/>
        </w:rPr>
        <w:t>, etc.) to ensure programmatic, financial, and operational success and sustainability of the Lab School.</w:t>
      </w:r>
    </w:p>
    <w:p w14:paraId="3CAFC327" w14:textId="77777777" w:rsidR="005F23D6" w:rsidRDefault="005F23D6" w:rsidP="005F23D6"/>
    <w:p w14:paraId="3DDE7228" w14:textId="77777777" w:rsidR="005F23D6" w:rsidRDefault="005F23D6" w:rsidP="005F23D6">
      <w:pPr>
        <w:pStyle w:val="Heading3"/>
      </w:pPr>
      <w:bookmarkStart w:id="0" w:name="_heading=h.gjdgxs" w:colFirst="0" w:colLast="0"/>
      <w:bookmarkEnd w:id="0"/>
      <w:r>
        <w:t>Permissible expenditures for planning grants</w:t>
      </w:r>
    </w:p>
    <w:p w14:paraId="6ABBEF66" w14:textId="77777777" w:rsidR="00686040" w:rsidRPr="00686040" w:rsidRDefault="00686040" w:rsidP="00686040">
      <w:pPr>
        <w:rPr>
          <w:rFonts w:eastAsia="Times New Roman"/>
        </w:rPr>
      </w:pPr>
      <w:r w:rsidRPr="00686040">
        <w:rPr>
          <w:rFonts w:eastAsia="Times New Roman"/>
          <w:color w:val="000000"/>
        </w:rPr>
        <w:t>The line-item budget of a planning grant application shall only include allowable expenses. Common allowable expenditures for planning grants include additional staff, consultants, meeting costs, travel, per diems. Typically impermissible or unallowable expenditures include furniture, capital assets for Lab Schools. Line items of planning grant applications are subject to review and approval in any award.</w:t>
      </w:r>
    </w:p>
    <w:p w14:paraId="154E70CB" w14:textId="77777777" w:rsidR="005F23D6" w:rsidRDefault="005F23D6" w:rsidP="005F23D6">
      <w:pPr>
        <w:rPr>
          <w:highlight w:val="yellow"/>
        </w:rPr>
      </w:pPr>
    </w:p>
    <w:p w14:paraId="7D49EACB" w14:textId="77777777" w:rsidR="005F23D6" w:rsidRDefault="005F23D6" w:rsidP="005F23D6">
      <w:pPr>
        <w:pStyle w:val="Heading3"/>
      </w:pPr>
      <w:r>
        <w:t>TIMELINE FOR PLANNING GRANT ACTIVITY</w:t>
      </w:r>
    </w:p>
    <w:p w14:paraId="05E96D3F" w14:textId="77777777" w:rsidR="00686040" w:rsidRPr="00686040" w:rsidRDefault="00686040" w:rsidP="00686040">
      <w:pPr>
        <w:rPr>
          <w:rFonts w:eastAsia="Times New Roman"/>
        </w:rPr>
      </w:pPr>
      <w:r w:rsidRPr="00686040">
        <w:rPr>
          <w:rFonts w:eastAsia="Times New Roman"/>
          <w:color w:val="000000"/>
        </w:rPr>
        <w:t>Planning grant awards may be for a grant term not to exceed 12 months, with staggered distribution of moneys during the term to ensure that awardees are progressing toward the submission to the Board of an application for approval to launch a Lab School. Planning grant applicants must provide assurance that they will subscribe to the following timetable:</w:t>
      </w:r>
    </w:p>
    <w:p w14:paraId="70848D8A" w14:textId="77777777" w:rsidR="005F23D6" w:rsidRDefault="005F23D6" w:rsidP="005F23D6"/>
    <w:tbl>
      <w:tblPr>
        <w:tblStyle w:val="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965"/>
        <w:gridCol w:w="6385"/>
      </w:tblGrid>
      <w:tr w:rsidR="005F23D6" w14:paraId="7A3B367D" w14:textId="77777777" w:rsidTr="00686040">
        <w:tc>
          <w:tcPr>
            <w:tcW w:w="2965" w:type="dxa"/>
          </w:tcPr>
          <w:p w14:paraId="2836DA13" w14:textId="77777777" w:rsidR="005F23D6" w:rsidRDefault="005F23D6" w:rsidP="009F25CE">
            <w:pPr>
              <w:jc w:val="center"/>
              <w:rPr>
                <w:b/>
              </w:rPr>
            </w:pPr>
            <w:r>
              <w:rPr>
                <w:b/>
              </w:rPr>
              <w:t>TIMELINE</w:t>
            </w:r>
          </w:p>
        </w:tc>
        <w:tc>
          <w:tcPr>
            <w:tcW w:w="6385" w:type="dxa"/>
          </w:tcPr>
          <w:p w14:paraId="5B58D6F4" w14:textId="77777777" w:rsidR="005F23D6" w:rsidRDefault="00D06912" w:rsidP="009F25CE">
            <w:pPr>
              <w:jc w:val="center"/>
              <w:rPr>
                <w:b/>
              </w:rPr>
            </w:pPr>
            <w:sdt>
              <w:sdtPr>
                <w:tag w:val="goog_rdk_10"/>
                <w:id w:val="172071262"/>
              </w:sdtPr>
              <w:sdtEndPr/>
              <w:sdtContent/>
            </w:sdt>
            <w:r w:rsidR="005F23D6">
              <w:rPr>
                <w:b/>
              </w:rPr>
              <w:t>BENCHMARK AND DELIVERABLES</w:t>
            </w:r>
          </w:p>
        </w:tc>
      </w:tr>
      <w:tr w:rsidR="00686040" w14:paraId="7B1793CA" w14:textId="77777777" w:rsidTr="00686040">
        <w:tc>
          <w:tcPr>
            <w:tcW w:w="2965" w:type="dxa"/>
          </w:tcPr>
          <w:p w14:paraId="4CA6502C" w14:textId="306AA0F1" w:rsidR="00686040" w:rsidRPr="002B1397" w:rsidRDefault="00686040" w:rsidP="00686040">
            <w:pPr>
              <w:rPr>
                <w:sz w:val="22"/>
                <w:szCs w:val="22"/>
              </w:rPr>
            </w:pPr>
            <w:r w:rsidRPr="002B1397">
              <w:rPr>
                <w:color w:val="000000"/>
                <w:sz w:val="22"/>
                <w:szCs w:val="22"/>
              </w:rPr>
              <w:t>On or before the end of the first quarter of the grant term</w:t>
            </w:r>
          </w:p>
        </w:tc>
        <w:tc>
          <w:tcPr>
            <w:tcW w:w="6385" w:type="dxa"/>
          </w:tcPr>
          <w:p w14:paraId="235E7E14" w14:textId="58EC1117" w:rsidR="00686040" w:rsidRPr="002B1397" w:rsidRDefault="00686040" w:rsidP="00686040">
            <w:pPr>
              <w:rPr>
                <w:sz w:val="22"/>
                <w:szCs w:val="22"/>
              </w:rPr>
            </w:pPr>
            <w:r w:rsidRPr="002B1397">
              <w:rPr>
                <w:color w:val="000000"/>
                <w:sz w:val="22"/>
                <w:szCs w:val="22"/>
              </w:rPr>
              <w:t>Awardee must present a proposed list of milestones, measures of success, and deliverables.</w:t>
            </w:r>
          </w:p>
        </w:tc>
      </w:tr>
      <w:tr w:rsidR="005F23D6" w14:paraId="27310062" w14:textId="77777777" w:rsidTr="00686040">
        <w:tc>
          <w:tcPr>
            <w:tcW w:w="2965" w:type="dxa"/>
          </w:tcPr>
          <w:p w14:paraId="528D9402" w14:textId="77777777" w:rsidR="005F23D6" w:rsidRPr="002B1397" w:rsidRDefault="005F23D6" w:rsidP="009F25CE">
            <w:pPr>
              <w:rPr>
                <w:sz w:val="22"/>
                <w:szCs w:val="22"/>
              </w:rPr>
            </w:pPr>
            <w:r w:rsidRPr="002B1397">
              <w:rPr>
                <w:sz w:val="22"/>
                <w:szCs w:val="22"/>
              </w:rPr>
              <w:t xml:space="preserve">On or before the end of the second quarter of the grant term </w:t>
            </w:r>
          </w:p>
        </w:tc>
        <w:tc>
          <w:tcPr>
            <w:tcW w:w="6385" w:type="dxa"/>
          </w:tcPr>
          <w:p w14:paraId="1C73F2A9" w14:textId="66BCD554" w:rsidR="002B1397" w:rsidRPr="002B1397" w:rsidRDefault="005F23D6" w:rsidP="009F25CE">
            <w:pPr>
              <w:rPr>
                <w:sz w:val="22"/>
                <w:szCs w:val="22"/>
              </w:rPr>
            </w:pPr>
            <w:r w:rsidRPr="002B1397">
              <w:rPr>
                <w:sz w:val="22"/>
                <w:szCs w:val="22"/>
              </w:rPr>
              <w:t>Awardee must submit a progress report in order to be eligible for drawing down reimbursements on the second installment of the award.</w:t>
            </w:r>
          </w:p>
        </w:tc>
      </w:tr>
      <w:tr w:rsidR="005F23D6" w14:paraId="1FA0D337" w14:textId="77777777" w:rsidTr="00686040">
        <w:tc>
          <w:tcPr>
            <w:tcW w:w="2965" w:type="dxa"/>
          </w:tcPr>
          <w:p w14:paraId="1DE871EA" w14:textId="77777777" w:rsidR="005F23D6" w:rsidRPr="002B1397" w:rsidRDefault="005F23D6" w:rsidP="009F25CE">
            <w:pPr>
              <w:rPr>
                <w:sz w:val="22"/>
                <w:szCs w:val="22"/>
              </w:rPr>
            </w:pPr>
            <w:r w:rsidRPr="002B1397">
              <w:rPr>
                <w:sz w:val="22"/>
                <w:szCs w:val="22"/>
              </w:rPr>
              <w:t>On or before the end of the third quarter of the grant term</w:t>
            </w:r>
          </w:p>
        </w:tc>
        <w:tc>
          <w:tcPr>
            <w:tcW w:w="6385" w:type="dxa"/>
          </w:tcPr>
          <w:p w14:paraId="7CD201ED" w14:textId="0B340BFE" w:rsidR="005F23D6" w:rsidRPr="002B1397" w:rsidRDefault="005F23D6" w:rsidP="009F25CE">
            <w:pPr>
              <w:rPr>
                <w:sz w:val="22"/>
                <w:szCs w:val="22"/>
              </w:rPr>
            </w:pPr>
            <w:r w:rsidRPr="002B1397">
              <w:rPr>
                <w:sz w:val="22"/>
                <w:szCs w:val="22"/>
              </w:rPr>
              <w:t xml:space="preserve">Awardee must present progress on milestones and deliverables, including submission to the Board of an application for approval to launch a </w:t>
            </w:r>
            <w:r w:rsidR="00686040" w:rsidRPr="002B1397">
              <w:rPr>
                <w:sz w:val="22"/>
                <w:szCs w:val="22"/>
              </w:rPr>
              <w:t>La</w:t>
            </w:r>
            <w:r w:rsidRPr="002B1397">
              <w:rPr>
                <w:sz w:val="22"/>
                <w:szCs w:val="22"/>
              </w:rPr>
              <w:t xml:space="preserve">b </w:t>
            </w:r>
            <w:r w:rsidR="00686040" w:rsidRPr="002B1397">
              <w:rPr>
                <w:sz w:val="22"/>
                <w:szCs w:val="22"/>
              </w:rPr>
              <w:t>S</w:t>
            </w:r>
            <w:r w:rsidRPr="002B1397">
              <w:rPr>
                <w:sz w:val="22"/>
                <w:szCs w:val="22"/>
              </w:rPr>
              <w:t>chool.</w:t>
            </w:r>
          </w:p>
        </w:tc>
      </w:tr>
      <w:tr w:rsidR="005F23D6" w14:paraId="75084E06" w14:textId="77777777" w:rsidTr="00686040">
        <w:tc>
          <w:tcPr>
            <w:tcW w:w="2965" w:type="dxa"/>
          </w:tcPr>
          <w:p w14:paraId="77D3B108" w14:textId="77777777" w:rsidR="005F23D6" w:rsidRPr="002B1397" w:rsidRDefault="005F23D6" w:rsidP="009F25CE">
            <w:pPr>
              <w:rPr>
                <w:sz w:val="22"/>
                <w:szCs w:val="22"/>
              </w:rPr>
            </w:pPr>
            <w:r w:rsidRPr="002B1397">
              <w:rPr>
                <w:sz w:val="22"/>
                <w:szCs w:val="22"/>
              </w:rPr>
              <w:t>On or before the end of the grant term</w:t>
            </w:r>
          </w:p>
        </w:tc>
        <w:tc>
          <w:tcPr>
            <w:tcW w:w="6385" w:type="dxa"/>
          </w:tcPr>
          <w:p w14:paraId="0F3B67C3" w14:textId="12AF598B" w:rsidR="005F23D6" w:rsidRPr="002B1397" w:rsidRDefault="005F23D6" w:rsidP="009F25CE">
            <w:pPr>
              <w:rPr>
                <w:sz w:val="22"/>
                <w:szCs w:val="22"/>
              </w:rPr>
            </w:pPr>
            <w:r w:rsidRPr="002B1397">
              <w:rPr>
                <w:sz w:val="22"/>
                <w:szCs w:val="22"/>
              </w:rPr>
              <w:t xml:space="preserve">Awardee is expected to have attained approval by the Board to launch a </w:t>
            </w:r>
            <w:r w:rsidR="00686040" w:rsidRPr="002B1397">
              <w:rPr>
                <w:sz w:val="22"/>
                <w:szCs w:val="22"/>
              </w:rPr>
              <w:t>Lab S</w:t>
            </w:r>
            <w:r w:rsidRPr="002B1397">
              <w:rPr>
                <w:sz w:val="22"/>
                <w:szCs w:val="22"/>
              </w:rPr>
              <w:t>chool.</w:t>
            </w:r>
          </w:p>
        </w:tc>
      </w:tr>
    </w:tbl>
    <w:p w14:paraId="5AA62022" w14:textId="77777777" w:rsidR="005F23D6" w:rsidRDefault="005F23D6" w:rsidP="005F23D6"/>
    <w:p w14:paraId="322B9E2E" w14:textId="77777777" w:rsidR="005F23D6" w:rsidRDefault="005F23D6" w:rsidP="005F23D6">
      <w:r>
        <w:t xml:space="preserve">Department staff may adjust the above timeline, benchmarks, and deliverables. </w:t>
      </w:r>
    </w:p>
    <w:p w14:paraId="4E601EC8" w14:textId="77777777" w:rsidR="005F23D6" w:rsidRDefault="005F23D6" w:rsidP="005F23D6"/>
    <w:p w14:paraId="5889B0DA" w14:textId="77777777" w:rsidR="005F23D6" w:rsidRDefault="005F23D6" w:rsidP="005F23D6">
      <w:pPr>
        <w:pStyle w:val="Heading3"/>
      </w:pPr>
      <w:r>
        <w:t>Submitting PLANNING GRANT APPLICATIONS</w:t>
      </w:r>
    </w:p>
    <w:p w14:paraId="35527F00" w14:textId="77777777" w:rsidR="005F23D6" w:rsidRDefault="005F23D6" w:rsidP="005F23D6">
      <w:r>
        <w:rPr>
          <w:color w:val="000000"/>
        </w:rPr>
        <w:t xml:space="preserve">The planning grant application must be submitted on the form provided by the Department. </w:t>
      </w:r>
      <w:r>
        <w:t xml:space="preserve">Planning grant applications may be submitted by email to </w:t>
      </w:r>
      <w:hyperlink r:id="rId22">
        <w:r w:rsidRPr="005F23D6">
          <w:rPr>
            <w:color w:val="1255CD"/>
            <w:u w:val="single"/>
          </w:rPr>
          <w:t>labschools@doe.virginia.gov</w:t>
        </w:r>
      </w:hyperlink>
      <w:r>
        <w:t xml:space="preserve">. </w:t>
      </w:r>
    </w:p>
    <w:p w14:paraId="6C32FBFC" w14:textId="2AE24A56" w:rsidR="006C07D1" w:rsidRDefault="006C07D1" w:rsidP="006C07D1"/>
    <w:p w14:paraId="464A88AD" w14:textId="346A40F8" w:rsidR="006C07D1" w:rsidRDefault="006C07D1" w:rsidP="006C07D1"/>
    <w:p w14:paraId="33870023" w14:textId="77777777" w:rsidR="005F23D6" w:rsidRPr="00424E47" w:rsidRDefault="005F23D6" w:rsidP="005F23D6">
      <w:pPr>
        <w:pStyle w:val="Heading2"/>
      </w:pPr>
      <w:r w:rsidRPr="00424E47">
        <w:t xml:space="preserve">evaluating </w:t>
      </w:r>
      <w:r>
        <w:t>PLANNING gRANT</w:t>
      </w:r>
      <w:r w:rsidRPr="00424E47">
        <w:t xml:space="preserve"> submissions</w:t>
      </w:r>
    </w:p>
    <w:p w14:paraId="60423460" w14:textId="67EFBA9A" w:rsidR="00686040" w:rsidRPr="00686040" w:rsidRDefault="00686040" w:rsidP="00686040">
      <w:pPr>
        <w:rPr>
          <w:rFonts w:eastAsia="Times New Roman"/>
        </w:rPr>
      </w:pPr>
      <w:r w:rsidRPr="00686040">
        <w:rPr>
          <w:rFonts w:eastAsia="Times New Roman"/>
          <w:color w:val="000000"/>
        </w:rPr>
        <w:t xml:space="preserve">Planning grant applications will be accepted and reviewed on a rolling basis. The Department will prioritize grant applications planning to open a Lab School by the school year 2023-2024. Planning grant applications will only be considered if they are complete and include all of the required components. A </w:t>
      </w:r>
      <w:r w:rsidR="002B1397">
        <w:rPr>
          <w:rFonts w:eastAsia="Times New Roman"/>
          <w:color w:val="000000"/>
        </w:rPr>
        <w:t xml:space="preserve">funding evaluation </w:t>
      </w:r>
      <w:r w:rsidRPr="00686040">
        <w:rPr>
          <w:rFonts w:eastAsia="Times New Roman"/>
          <w:color w:val="000000"/>
        </w:rPr>
        <w:t xml:space="preserve">review committee convened by the Department will evaluate planning grant applications for completeness, and according to a weighted rubric </w:t>
      </w:r>
      <w:r w:rsidR="00683CAD" w:rsidRPr="005D6128">
        <w:rPr>
          <w:rFonts w:eastAsia="Times New Roman"/>
          <w:color w:val="000000"/>
        </w:rPr>
        <w:t>using</w:t>
      </w:r>
      <w:r w:rsidR="00683CAD" w:rsidRPr="005D6128">
        <w:rPr>
          <w:rFonts w:eastAsia="Times New Roman"/>
          <w:color w:val="000000"/>
          <w:u w:val="single"/>
        </w:rPr>
        <w:t xml:space="preserve"> </w:t>
      </w:r>
      <w:r w:rsidRPr="00686040">
        <w:rPr>
          <w:rFonts w:eastAsia="Times New Roman"/>
          <w:color w:val="000000"/>
        </w:rPr>
        <w:t>the following factors:</w:t>
      </w:r>
    </w:p>
    <w:p w14:paraId="66E0231C" w14:textId="77777777" w:rsidR="00686040" w:rsidRPr="00686040" w:rsidRDefault="00686040" w:rsidP="00686040">
      <w:pPr>
        <w:rPr>
          <w:rFonts w:eastAsia="Times New Roman"/>
        </w:rPr>
      </w:pPr>
    </w:p>
    <w:p w14:paraId="100ED725" w14:textId="09494B07" w:rsidR="00686040" w:rsidRPr="00686040" w:rsidRDefault="00686040" w:rsidP="00686040">
      <w:pPr>
        <w:pStyle w:val="ListParagraph"/>
        <w:numPr>
          <w:ilvl w:val="0"/>
          <w:numId w:val="16"/>
        </w:numPr>
        <w:rPr>
          <w:rFonts w:eastAsia="Times New Roman"/>
        </w:rPr>
      </w:pPr>
      <w:r w:rsidRPr="00686040">
        <w:rPr>
          <w:rFonts w:eastAsia="Times New Roman"/>
          <w:color w:val="000000"/>
        </w:rPr>
        <w:t>Targeted Student Population and Relevant Research: Intention to serve at-risk students and/or offer a new, innovative model grounded in evidence-based practices</w:t>
      </w:r>
      <w:r w:rsidR="002B1397">
        <w:rPr>
          <w:rFonts w:eastAsia="Times New Roman"/>
          <w:color w:val="000000"/>
        </w:rPr>
        <w:t xml:space="preserve"> </w:t>
      </w:r>
      <w:r w:rsidR="002B1397" w:rsidRPr="002B1397">
        <w:rPr>
          <w:rFonts w:eastAsia="Times New Roman"/>
          <w:color w:val="000000"/>
        </w:rPr>
        <w:t>to improve student academic proficiency, mastery, college</w:t>
      </w:r>
      <w:r w:rsidR="002B1397">
        <w:rPr>
          <w:rFonts w:eastAsia="Times New Roman"/>
          <w:color w:val="000000"/>
        </w:rPr>
        <w:t>-</w:t>
      </w:r>
      <w:r w:rsidR="002B1397" w:rsidRPr="002B1397">
        <w:rPr>
          <w:rFonts w:eastAsia="Times New Roman"/>
          <w:color w:val="000000"/>
        </w:rPr>
        <w:t xml:space="preserve"> and career</w:t>
      </w:r>
      <w:r w:rsidR="002B1397">
        <w:rPr>
          <w:rFonts w:eastAsia="Times New Roman"/>
          <w:color w:val="000000"/>
        </w:rPr>
        <w:t>-</w:t>
      </w:r>
      <w:r w:rsidR="002B1397" w:rsidRPr="002B1397">
        <w:rPr>
          <w:rFonts w:eastAsia="Times New Roman"/>
          <w:color w:val="000000"/>
        </w:rPr>
        <w:t>readiness, and long-term outcomes</w:t>
      </w:r>
      <w:r w:rsidR="00CC54B8">
        <w:rPr>
          <w:rFonts w:eastAsia="Times New Roman"/>
          <w:color w:val="000000"/>
        </w:rPr>
        <w:t xml:space="preserve"> (30 points)</w:t>
      </w:r>
      <w:r w:rsidRPr="00686040">
        <w:rPr>
          <w:rFonts w:eastAsia="Times New Roman"/>
          <w:color w:val="000000"/>
        </w:rPr>
        <w:t>;</w:t>
      </w:r>
    </w:p>
    <w:p w14:paraId="0ACEC508" w14:textId="7EBB51E0" w:rsidR="00686040" w:rsidRPr="00686040" w:rsidRDefault="00686040" w:rsidP="00686040">
      <w:pPr>
        <w:pStyle w:val="ListParagraph"/>
        <w:numPr>
          <w:ilvl w:val="0"/>
          <w:numId w:val="16"/>
        </w:numPr>
        <w:rPr>
          <w:rFonts w:eastAsia="Times New Roman"/>
        </w:rPr>
      </w:pPr>
      <w:r w:rsidRPr="00686040">
        <w:rPr>
          <w:rFonts w:eastAsia="Times New Roman"/>
          <w:color w:val="000000"/>
        </w:rPr>
        <w:t>Clarity of Program Description, Goal, and Timeline: Indication of programmatic, operational, and infrastructural capacity to advance an application for approval to launch a Lab School and to launch a Lab School no later than the 2024-2025 school year, with preference for launch in the 2023-2024 school year</w:t>
      </w:r>
      <w:r w:rsidR="00CC54B8">
        <w:rPr>
          <w:rFonts w:eastAsia="Times New Roman"/>
          <w:color w:val="000000"/>
        </w:rPr>
        <w:t xml:space="preserve"> (20 points)</w:t>
      </w:r>
      <w:r w:rsidRPr="00686040">
        <w:rPr>
          <w:rFonts w:eastAsia="Times New Roman"/>
          <w:color w:val="000000"/>
        </w:rPr>
        <w:t>;</w:t>
      </w:r>
    </w:p>
    <w:p w14:paraId="611EA790" w14:textId="200EC953" w:rsidR="00686040" w:rsidRPr="00686040" w:rsidRDefault="00686040" w:rsidP="00686040">
      <w:pPr>
        <w:pStyle w:val="ListParagraph"/>
        <w:numPr>
          <w:ilvl w:val="0"/>
          <w:numId w:val="16"/>
        </w:numPr>
        <w:rPr>
          <w:rFonts w:eastAsia="Times New Roman"/>
        </w:rPr>
      </w:pPr>
      <w:r w:rsidRPr="00686040">
        <w:rPr>
          <w:rFonts w:eastAsia="Times New Roman"/>
          <w:color w:val="000000"/>
        </w:rPr>
        <w:t>Sustainability: Evidence of institutional commitment to the viability of the Lab School</w:t>
      </w:r>
      <w:r w:rsidR="00CC54B8">
        <w:rPr>
          <w:rFonts w:eastAsia="Times New Roman"/>
          <w:color w:val="000000"/>
        </w:rPr>
        <w:t xml:space="preserve"> (20 points)</w:t>
      </w:r>
      <w:r w:rsidRPr="00686040">
        <w:rPr>
          <w:rFonts w:eastAsia="Times New Roman"/>
          <w:color w:val="000000"/>
        </w:rPr>
        <w:t>;</w:t>
      </w:r>
    </w:p>
    <w:p w14:paraId="1CAB7EEC" w14:textId="55AB40D1" w:rsidR="00686040" w:rsidRPr="00686040" w:rsidRDefault="00686040" w:rsidP="00686040">
      <w:pPr>
        <w:pStyle w:val="ListParagraph"/>
        <w:numPr>
          <w:ilvl w:val="0"/>
          <w:numId w:val="16"/>
        </w:numPr>
        <w:rPr>
          <w:rFonts w:eastAsia="Times New Roman"/>
        </w:rPr>
      </w:pPr>
      <w:r w:rsidRPr="00686040">
        <w:rPr>
          <w:rFonts w:eastAsia="Times New Roman"/>
          <w:color w:val="000000"/>
        </w:rPr>
        <w:t>Collaboration: Collaboration with local school divisions, community-based organizations, and employers, as well as teachers and parents, in manner that promotes quality, innovation, and program</w:t>
      </w:r>
      <w:r w:rsidR="002B1397">
        <w:rPr>
          <w:rFonts w:eastAsia="Times New Roman"/>
          <w:color w:val="000000"/>
        </w:rPr>
        <w:t xml:space="preserve"> results and</w:t>
      </w:r>
      <w:r w:rsidRPr="00686040">
        <w:rPr>
          <w:rFonts w:eastAsia="Times New Roman"/>
          <w:color w:val="000000"/>
        </w:rPr>
        <w:t xml:space="preserve"> sustainability</w:t>
      </w:r>
      <w:r w:rsidR="00CC54B8">
        <w:rPr>
          <w:rFonts w:eastAsia="Times New Roman"/>
          <w:color w:val="000000"/>
        </w:rPr>
        <w:t xml:space="preserve"> (15 points)</w:t>
      </w:r>
      <w:r w:rsidRPr="00686040">
        <w:rPr>
          <w:rFonts w:eastAsia="Times New Roman"/>
          <w:color w:val="000000"/>
        </w:rPr>
        <w:t>;</w:t>
      </w:r>
    </w:p>
    <w:p w14:paraId="730AFF6D" w14:textId="23681F5D" w:rsidR="00686040" w:rsidRPr="00686040" w:rsidRDefault="00686040" w:rsidP="00686040">
      <w:pPr>
        <w:pStyle w:val="ListParagraph"/>
        <w:numPr>
          <w:ilvl w:val="0"/>
          <w:numId w:val="16"/>
        </w:numPr>
        <w:rPr>
          <w:rFonts w:eastAsia="Times New Roman"/>
        </w:rPr>
      </w:pPr>
      <w:r w:rsidRPr="00686040">
        <w:rPr>
          <w:rFonts w:eastAsia="Times New Roman"/>
          <w:color w:val="000000"/>
        </w:rPr>
        <w:t>Regional and Applicant Diversity: New awards will be made with preference to regional diversity and with preference to new applicants should an applicant have previously received a planning grant during the current fiscal year application period</w:t>
      </w:r>
      <w:r w:rsidR="00CC54B8">
        <w:rPr>
          <w:rFonts w:eastAsia="Times New Roman"/>
          <w:color w:val="000000"/>
        </w:rPr>
        <w:t xml:space="preserve"> (15 points)</w:t>
      </w:r>
      <w:r w:rsidRPr="00686040">
        <w:rPr>
          <w:rFonts w:eastAsia="Times New Roman"/>
          <w:color w:val="000000"/>
        </w:rPr>
        <w:t>.</w:t>
      </w:r>
    </w:p>
    <w:p w14:paraId="07F5EF10" w14:textId="77777777" w:rsidR="00686040" w:rsidRPr="00686040" w:rsidRDefault="00686040" w:rsidP="00686040">
      <w:pPr>
        <w:rPr>
          <w:rFonts w:eastAsia="Times New Roman"/>
        </w:rPr>
      </w:pPr>
    </w:p>
    <w:p w14:paraId="00E0F309" w14:textId="606123DC" w:rsidR="00686040" w:rsidRPr="00686040" w:rsidRDefault="00686040" w:rsidP="00686040">
      <w:pPr>
        <w:rPr>
          <w:rFonts w:eastAsia="Times New Roman"/>
        </w:rPr>
      </w:pPr>
      <w:r w:rsidRPr="00686040">
        <w:rPr>
          <w:rFonts w:eastAsia="Times New Roman"/>
          <w:color w:val="000000"/>
        </w:rPr>
        <w:t>Funds will only be awarded to applicants whose applications earn a score deemed satisfactory by the</w:t>
      </w:r>
      <w:r w:rsidR="002B1397">
        <w:rPr>
          <w:rFonts w:eastAsia="Times New Roman"/>
          <w:color w:val="000000"/>
        </w:rPr>
        <w:t xml:space="preserve"> funding evaluation</w:t>
      </w:r>
      <w:r w:rsidRPr="00686040">
        <w:rPr>
          <w:rFonts w:eastAsia="Times New Roman"/>
          <w:color w:val="000000"/>
        </w:rPr>
        <w:t xml:space="preserve"> review committee using the planning grant application’s weighted rubric. Applicants are not guaranteed the requested award amount and awards may be proportionally adjusted according to application’s score and to reflect only those expenditures that are designated as permissible.</w:t>
      </w:r>
    </w:p>
    <w:p w14:paraId="7E635263" w14:textId="1D78F668" w:rsidR="005F23D6" w:rsidRPr="00424E47" w:rsidRDefault="005F23D6" w:rsidP="005F23D6">
      <w:pPr>
        <w:pStyle w:val="Heading2"/>
      </w:pPr>
      <w:bookmarkStart w:id="1" w:name="_GoBack"/>
      <w:bookmarkEnd w:id="1"/>
      <w:r w:rsidRPr="00424E47">
        <w:t>ADMINISTRATION of planning grants</w:t>
      </w:r>
    </w:p>
    <w:p w14:paraId="435C917B" w14:textId="1983A47C" w:rsidR="005F23D6" w:rsidRPr="00424E47" w:rsidRDefault="005F23D6" w:rsidP="005F23D6">
      <w:r w:rsidRPr="00424E47">
        <w:t xml:space="preserve">The Board hereby delegates authority to the </w:t>
      </w:r>
      <w:r>
        <w:t xml:space="preserve">Department, which includes the </w:t>
      </w:r>
      <w:r w:rsidR="002B1397">
        <w:t xml:space="preserve">funding evaluation </w:t>
      </w:r>
      <w:r w:rsidRPr="00424E47">
        <w:rPr>
          <w:color w:val="000000"/>
        </w:rPr>
        <w:t>review committee</w:t>
      </w:r>
      <w:r w:rsidRPr="00562CD5">
        <w:rPr>
          <w:color w:val="000000"/>
        </w:rPr>
        <w:t xml:space="preserve"> </w:t>
      </w:r>
      <w:r w:rsidRPr="00424E47">
        <w:rPr>
          <w:color w:val="000000"/>
        </w:rPr>
        <w:t>convened by the Department</w:t>
      </w:r>
      <w:r>
        <w:rPr>
          <w:color w:val="000000"/>
        </w:rPr>
        <w:t>,</w:t>
      </w:r>
      <w:r>
        <w:t xml:space="preserve"> </w:t>
      </w:r>
      <w:sdt>
        <w:sdtPr>
          <w:tag w:val="goog_rdk_40"/>
          <w:id w:val="1037319114"/>
        </w:sdtPr>
        <w:sdtEndPr/>
        <w:sdtContent>
          <w:sdt>
            <w:sdtPr>
              <w:tag w:val="goog_rdk_41"/>
              <w:id w:val="680399690"/>
            </w:sdtPr>
            <w:sdtEndPr/>
            <w:sdtContent/>
          </w:sdt>
          <w:r w:rsidRPr="00424E47">
            <w:t xml:space="preserve">for awarding and </w:t>
          </w:r>
        </w:sdtContent>
      </w:sdt>
      <w:r w:rsidRPr="00424E47">
        <w:t xml:space="preserve">administering moneys from the Fund for planning grants, consistent with the above criteria and guidelines. </w:t>
      </w:r>
    </w:p>
    <w:p w14:paraId="5145FCB7" w14:textId="77777777" w:rsidR="005F23D6" w:rsidRPr="00424E47" w:rsidRDefault="005F23D6" w:rsidP="005F23D6"/>
    <w:p w14:paraId="04FCDAF1" w14:textId="77777777" w:rsidR="005F23D6" w:rsidRPr="00424E47" w:rsidRDefault="005F23D6" w:rsidP="005F23D6">
      <w:r w:rsidRPr="00424E47">
        <w:t>The Fund will be administered according to state accounting practices and the Code of Virginia.</w:t>
      </w:r>
    </w:p>
    <w:p w14:paraId="7367F696" w14:textId="77777777" w:rsidR="005F23D6" w:rsidRPr="00424E47" w:rsidRDefault="005F23D6" w:rsidP="005F23D6"/>
    <w:p w14:paraId="766BCAAE" w14:textId="77777777" w:rsidR="005F23D6" w:rsidRPr="00424E47" w:rsidRDefault="00D06912" w:rsidP="005F23D6">
      <w:pPr>
        <w:pStyle w:val="Heading3"/>
      </w:pPr>
      <w:sdt>
        <w:sdtPr>
          <w:tag w:val="goog_rdk_42"/>
          <w:id w:val="236068788"/>
        </w:sdtPr>
        <w:sdtEndPr/>
        <w:sdtContent/>
      </w:sdt>
      <w:r w:rsidR="005F23D6" w:rsidRPr="00424E47">
        <w:t>determining planning grant amounts and distributions</w:t>
      </w:r>
    </w:p>
    <w:p w14:paraId="76ECCA77" w14:textId="77777777" w:rsidR="00686040" w:rsidRDefault="00686040" w:rsidP="00686040">
      <w:pPr>
        <w:pStyle w:val="NormalWeb"/>
        <w:numPr>
          <w:ilvl w:val="0"/>
          <w:numId w:val="17"/>
        </w:numPr>
        <w:spacing w:before="0" w:beforeAutospacing="0" w:after="0" w:afterAutospacing="0"/>
        <w:textAlignment w:val="baseline"/>
        <w:rPr>
          <w:rFonts w:ascii="Noto Sans Symbols" w:hAnsi="Noto Sans Symbols"/>
          <w:color w:val="000000"/>
        </w:rPr>
      </w:pPr>
      <w:r>
        <w:rPr>
          <w:color w:val="000000"/>
        </w:rPr>
        <w:t>Awards: The Department will only award funds to applicants who have completed all application components and have earned a satisfactory score according to its weighted rubric.</w:t>
      </w:r>
    </w:p>
    <w:p w14:paraId="75203B07" w14:textId="43E42EAA" w:rsidR="00686040" w:rsidRDefault="00686040" w:rsidP="00686040">
      <w:pPr>
        <w:pStyle w:val="NormalWeb"/>
        <w:numPr>
          <w:ilvl w:val="0"/>
          <w:numId w:val="17"/>
        </w:numPr>
        <w:spacing w:before="0" w:beforeAutospacing="0" w:after="0" w:afterAutospacing="0"/>
        <w:textAlignment w:val="baseline"/>
        <w:rPr>
          <w:rFonts w:ascii="Noto Sans Symbols" w:hAnsi="Noto Sans Symbols"/>
          <w:color w:val="000000"/>
        </w:rPr>
      </w:pPr>
      <w:r>
        <w:rPr>
          <w:color w:val="000000"/>
        </w:rPr>
        <w:t>Expenditures: The Department will only award funds for allowable expenditures and in an amount not to exceed $2</w:t>
      </w:r>
      <w:r w:rsidR="002B1397">
        <w:rPr>
          <w:color w:val="000000"/>
        </w:rPr>
        <w:t>0</w:t>
      </w:r>
      <w:r>
        <w:rPr>
          <w:color w:val="000000"/>
        </w:rPr>
        <w:t>0,000 per planning grant applicant</w:t>
      </w:r>
      <w:r w:rsidR="002B1397">
        <w:rPr>
          <w:color w:val="000000"/>
        </w:rPr>
        <w:t xml:space="preserve">, </w:t>
      </w:r>
      <w:r w:rsidR="002B1397">
        <w:t>with additional funding considered on a case-by-case basis and in accordance with available funds</w:t>
      </w:r>
      <w:r>
        <w:rPr>
          <w:color w:val="000000"/>
        </w:rPr>
        <w:t>.</w:t>
      </w:r>
    </w:p>
    <w:p w14:paraId="70857466" w14:textId="77777777" w:rsidR="00686040" w:rsidRDefault="00686040" w:rsidP="00686040">
      <w:pPr>
        <w:pStyle w:val="NormalWeb"/>
        <w:numPr>
          <w:ilvl w:val="0"/>
          <w:numId w:val="17"/>
        </w:numPr>
        <w:spacing w:before="0" w:beforeAutospacing="0" w:after="0" w:afterAutospacing="0"/>
        <w:textAlignment w:val="baseline"/>
        <w:rPr>
          <w:rFonts w:ascii="Noto Sans Symbols" w:hAnsi="Noto Sans Symbols"/>
          <w:color w:val="000000"/>
        </w:rPr>
      </w:pPr>
      <w:r>
        <w:rPr>
          <w:color w:val="000000"/>
        </w:rPr>
        <w:t>Regional Diversity: The Department will ensure distributions from the Fund reflect regional diversity, and that planning grant moneys may be retained in the Fund to ensure each of the Superintendent’s eight regions will be entitled to at least one planning grant.</w:t>
      </w:r>
    </w:p>
    <w:p w14:paraId="4ACF6CCF" w14:textId="77777777" w:rsidR="00686040" w:rsidRDefault="00686040" w:rsidP="00686040">
      <w:pPr>
        <w:pStyle w:val="NormalWeb"/>
        <w:numPr>
          <w:ilvl w:val="0"/>
          <w:numId w:val="17"/>
        </w:numPr>
        <w:spacing w:before="0" w:beforeAutospacing="0" w:after="0" w:afterAutospacing="0"/>
        <w:textAlignment w:val="baseline"/>
        <w:rPr>
          <w:rFonts w:ascii="Noto Sans Symbols" w:hAnsi="Noto Sans Symbols"/>
          <w:color w:val="000000"/>
        </w:rPr>
      </w:pPr>
      <w:r>
        <w:rPr>
          <w:color w:val="000000"/>
        </w:rPr>
        <w:t xml:space="preserve">Fund Availability: Moneys will be distributed in a manner that promotes regional and applicant diversity, according to the weighted rubric scores and priority categories. If there are inadequate funds to distribute an approved award amount, a waiting list will be maintained. </w:t>
      </w:r>
    </w:p>
    <w:p w14:paraId="4DEBBA91" w14:textId="77777777" w:rsidR="005F23D6" w:rsidRDefault="005F23D6" w:rsidP="005F23D6"/>
    <w:p w14:paraId="67612BFC" w14:textId="77777777" w:rsidR="005F23D6" w:rsidRDefault="005F23D6" w:rsidP="005F23D6">
      <w:pPr>
        <w:pStyle w:val="Heading3"/>
      </w:pPr>
      <w:r>
        <w:t>right to conduct financial review</w:t>
      </w:r>
    </w:p>
    <w:p w14:paraId="3552059F" w14:textId="77777777" w:rsidR="00686040" w:rsidRPr="00686040" w:rsidRDefault="00686040" w:rsidP="00686040">
      <w:pPr>
        <w:rPr>
          <w:rFonts w:eastAsia="Times New Roman"/>
        </w:rPr>
      </w:pPr>
      <w:r w:rsidRPr="00686040">
        <w:rPr>
          <w:rFonts w:eastAsia="Times New Roman"/>
          <w:color w:val="000000"/>
        </w:rPr>
        <w:t>The Department reserves the right to request a financial review to assess planning grant progress or expenditures during the 12-month term to ensure the awardee is meeting, or is capable of meeting, the timeline for the grant activity.</w:t>
      </w:r>
    </w:p>
    <w:p w14:paraId="26AE78FC" w14:textId="77777777" w:rsidR="00686040" w:rsidRPr="00686040" w:rsidRDefault="00686040" w:rsidP="00686040">
      <w:pPr>
        <w:rPr>
          <w:rFonts w:eastAsia="Times New Roman"/>
        </w:rPr>
      </w:pPr>
    </w:p>
    <w:p w14:paraId="0E641552" w14:textId="6A49E2AA" w:rsidR="00686040" w:rsidRPr="00686040" w:rsidRDefault="00686040" w:rsidP="00686040">
      <w:pPr>
        <w:rPr>
          <w:rFonts w:eastAsia="Times New Roman"/>
        </w:rPr>
      </w:pPr>
      <w:r w:rsidRPr="00686040">
        <w:rPr>
          <w:rFonts w:eastAsia="Times New Roman"/>
          <w:color w:val="000000"/>
        </w:rPr>
        <w:t>The Department may withhold any unspent planning grant moneys, or alter disbursements from the Fund to the awardee based on approved expenses, if (1) the awardee does not meet a benchmark designated on the planning grant timeline; or (2) a financial review reveals grant funds have been misused. The Department must inform the awardee of a change in grant status as soon as practicable.</w:t>
      </w:r>
    </w:p>
    <w:p w14:paraId="30929FFD" w14:textId="77777777" w:rsidR="00686040" w:rsidRPr="00686040" w:rsidRDefault="00686040" w:rsidP="00686040">
      <w:pPr>
        <w:rPr>
          <w:rFonts w:eastAsia="Times New Roman"/>
        </w:rPr>
      </w:pPr>
    </w:p>
    <w:p w14:paraId="04108568" w14:textId="77777777" w:rsidR="00686040" w:rsidRPr="00686040" w:rsidRDefault="00686040" w:rsidP="00686040">
      <w:pPr>
        <w:rPr>
          <w:rFonts w:eastAsia="Times New Roman"/>
        </w:rPr>
      </w:pPr>
      <w:r w:rsidRPr="00686040">
        <w:rPr>
          <w:rFonts w:eastAsia="Times New Roman"/>
          <w:color w:val="000000"/>
        </w:rPr>
        <w:t xml:space="preserve">Awardees will be required to submit to a review of planning grant expenditures, as well as provide findings from planning research and any additional information prescribed by the Department. </w:t>
      </w:r>
    </w:p>
    <w:p w14:paraId="208FB1D3" w14:textId="77777777" w:rsidR="005F23D6" w:rsidRDefault="005F23D6" w:rsidP="005F23D6">
      <w:pPr>
        <w:pStyle w:val="Heading3"/>
      </w:pPr>
    </w:p>
    <w:p w14:paraId="43A5BC33" w14:textId="77777777" w:rsidR="005F23D6" w:rsidRDefault="005F23D6" w:rsidP="005F23D6">
      <w:pPr>
        <w:pStyle w:val="Heading3"/>
      </w:pPr>
      <w:r>
        <w:t>additional protocols for fund administRation</w:t>
      </w:r>
    </w:p>
    <w:p w14:paraId="35324143" w14:textId="77777777" w:rsidR="00686040" w:rsidRDefault="00686040" w:rsidP="00686040">
      <w:pPr>
        <w:pStyle w:val="NormalWeb"/>
        <w:numPr>
          <w:ilvl w:val="0"/>
          <w:numId w:val="18"/>
        </w:numPr>
        <w:spacing w:before="0" w:beforeAutospacing="0" w:after="0" w:afterAutospacing="0"/>
        <w:textAlignment w:val="baseline"/>
        <w:rPr>
          <w:rFonts w:ascii="Noto Sans Symbols" w:hAnsi="Noto Sans Symbols"/>
          <w:color w:val="000000"/>
        </w:rPr>
      </w:pPr>
      <w:r>
        <w:rPr>
          <w:color w:val="000000"/>
        </w:rPr>
        <w:t>The Department will act on a planning grant application within 30 business days of receipt. </w:t>
      </w:r>
    </w:p>
    <w:p w14:paraId="63FE6DB2" w14:textId="77777777" w:rsidR="00686040" w:rsidRDefault="00686040" w:rsidP="00686040">
      <w:pPr>
        <w:pStyle w:val="NormalWeb"/>
        <w:numPr>
          <w:ilvl w:val="0"/>
          <w:numId w:val="18"/>
        </w:numPr>
        <w:spacing w:before="0" w:beforeAutospacing="0" w:after="0" w:afterAutospacing="0"/>
        <w:textAlignment w:val="baseline"/>
        <w:rPr>
          <w:rFonts w:ascii="Noto Sans Symbols" w:hAnsi="Noto Sans Symbols"/>
          <w:color w:val="000000"/>
        </w:rPr>
      </w:pPr>
      <w:r>
        <w:rPr>
          <w:color w:val="000000"/>
        </w:rPr>
        <w:t>Funds will be disbursed to awardees within 30 business days of Department approval. </w:t>
      </w:r>
    </w:p>
    <w:p w14:paraId="32C33502" w14:textId="77777777" w:rsidR="00686040" w:rsidRDefault="00686040" w:rsidP="00686040">
      <w:pPr>
        <w:pStyle w:val="NormalWeb"/>
        <w:numPr>
          <w:ilvl w:val="0"/>
          <w:numId w:val="18"/>
        </w:numPr>
        <w:spacing w:before="0" w:beforeAutospacing="0" w:after="0" w:afterAutospacing="0"/>
        <w:textAlignment w:val="baseline"/>
        <w:rPr>
          <w:rFonts w:ascii="Noto Sans Symbols" w:hAnsi="Noto Sans Symbols"/>
          <w:color w:val="000000"/>
        </w:rPr>
      </w:pPr>
      <w:r>
        <w:rPr>
          <w:color w:val="000000"/>
        </w:rPr>
        <w:t>Moneys will be distributed to awardees by the Department from the Fund for allowable expenses according to the approved timeline of their planning grant. In order to be eligible for distribution of moneys, all planning grant application deadlines and requirements must have been met.</w:t>
      </w:r>
    </w:p>
    <w:p w14:paraId="05D5646C" w14:textId="5944724D" w:rsidR="00686040" w:rsidRDefault="00686040" w:rsidP="00686040">
      <w:pPr>
        <w:pStyle w:val="NormalWeb"/>
        <w:numPr>
          <w:ilvl w:val="0"/>
          <w:numId w:val="18"/>
        </w:numPr>
        <w:spacing w:before="0" w:beforeAutospacing="0" w:after="0" w:afterAutospacing="0"/>
        <w:textAlignment w:val="baseline"/>
        <w:rPr>
          <w:rFonts w:ascii="Noto Sans Symbols" w:hAnsi="Noto Sans Symbols"/>
          <w:color w:val="000000"/>
        </w:rPr>
      </w:pPr>
      <w:r>
        <w:rPr>
          <w:color w:val="000000"/>
        </w:rPr>
        <w:t xml:space="preserve">Award balances not spent by June 30 of the state fiscal year in which the funds were received may be carried over into the next state fiscal year </w:t>
      </w:r>
      <w:r w:rsidR="002B1397">
        <w:rPr>
          <w:color w:val="000000"/>
        </w:rPr>
        <w:t>must be</w:t>
      </w:r>
      <w:r>
        <w:rPr>
          <w:color w:val="000000"/>
        </w:rPr>
        <w:t xml:space="preserve"> used for the same program purpose.</w:t>
      </w:r>
    </w:p>
    <w:p w14:paraId="667A3CC7" w14:textId="160259A7" w:rsidR="00686040" w:rsidRDefault="00686040" w:rsidP="00686040">
      <w:pPr>
        <w:pStyle w:val="NormalWeb"/>
        <w:numPr>
          <w:ilvl w:val="0"/>
          <w:numId w:val="18"/>
        </w:numPr>
        <w:spacing w:before="0" w:beforeAutospacing="0" w:after="0" w:afterAutospacing="0"/>
        <w:textAlignment w:val="baseline"/>
        <w:rPr>
          <w:rFonts w:ascii="Noto Sans Symbols" w:hAnsi="Noto Sans Symbols"/>
          <w:color w:val="000000"/>
        </w:rPr>
      </w:pPr>
      <w:r>
        <w:rPr>
          <w:color w:val="000000"/>
        </w:rPr>
        <w:t>Awardees must return any un</w:t>
      </w:r>
      <w:r w:rsidR="002B1397">
        <w:rPr>
          <w:color w:val="000000"/>
        </w:rPr>
        <w:t>obligated</w:t>
      </w:r>
      <w:r>
        <w:rPr>
          <w:color w:val="000000"/>
        </w:rPr>
        <w:t xml:space="preserve"> planning grant funds within 12 months of receipt of the moneys. </w:t>
      </w:r>
    </w:p>
    <w:p w14:paraId="7A7A8B4F" w14:textId="77777777" w:rsidR="00686040" w:rsidRDefault="00686040" w:rsidP="00686040">
      <w:pPr>
        <w:pStyle w:val="NormalWeb"/>
        <w:numPr>
          <w:ilvl w:val="0"/>
          <w:numId w:val="18"/>
        </w:numPr>
        <w:spacing w:before="0" w:beforeAutospacing="0" w:after="0" w:afterAutospacing="0"/>
        <w:textAlignment w:val="baseline"/>
        <w:rPr>
          <w:rFonts w:ascii="Noto Sans Symbols" w:hAnsi="Noto Sans Symbols"/>
          <w:color w:val="000000"/>
        </w:rPr>
      </w:pPr>
      <w:r>
        <w:rPr>
          <w:color w:val="000000"/>
        </w:rPr>
        <w:t>Awardees may be eligible to apply for additional distributions from the Fund in subsequent years for start-up costs and per-pupil operating funding under separate guidelines, after submission and subsequent approval of an application to launch a Lab School by the Board.</w:t>
      </w:r>
    </w:p>
    <w:p w14:paraId="1FE38047" w14:textId="77777777" w:rsidR="005F23D6" w:rsidRPr="00424E47" w:rsidRDefault="005F23D6" w:rsidP="005F23D6">
      <w:pPr>
        <w:pStyle w:val="Heading2"/>
      </w:pPr>
    </w:p>
    <w:p w14:paraId="75BCF9BC" w14:textId="77777777" w:rsidR="005F23D6" w:rsidRPr="00424E47" w:rsidRDefault="005F23D6" w:rsidP="005F23D6">
      <w:pPr>
        <w:pStyle w:val="Heading2"/>
      </w:pPr>
      <w:r w:rsidRPr="00424E47">
        <w:t>deparTment contact for planning grants</w:t>
      </w:r>
    </w:p>
    <w:p w14:paraId="6DC5883F" w14:textId="3FD65E3B" w:rsidR="005F23D6" w:rsidRDefault="005F23D6" w:rsidP="005F23D6">
      <w:r w:rsidRPr="00424E47">
        <w:t xml:space="preserve">Questions about the planning grant process should be directed to </w:t>
      </w:r>
      <w:sdt>
        <w:sdtPr>
          <w:tag w:val="goog_rdk_97"/>
          <w:id w:val="-1234462900"/>
        </w:sdtPr>
        <w:sdtEndPr/>
        <w:sdtContent/>
      </w:sdt>
      <w:hyperlink r:id="rId23">
        <w:r w:rsidRPr="005F23D6">
          <w:rPr>
            <w:color w:val="1255CD"/>
            <w:u w:val="single"/>
          </w:rPr>
          <w:t>labschools@doe.virginia.gov</w:t>
        </w:r>
      </w:hyperlink>
      <w:r w:rsidRPr="00424E47">
        <w:t>.</w:t>
      </w:r>
    </w:p>
    <w:p w14:paraId="6B4B480D" w14:textId="231D624B" w:rsidR="006C07D1" w:rsidRDefault="006C07D1" w:rsidP="006C07D1"/>
    <w:p w14:paraId="39509D01" w14:textId="64A40D52" w:rsidR="006C07D1" w:rsidRDefault="006C07D1" w:rsidP="006C07D1"/>
    <w:p w14:paraId="430B47A9" w14:textId="22C8F77D" w:rsidR="0020703F" w:rsidRDefault="0020703F" w:rsidP="0020703F"/>
    <w:p w14:paraId="12CB28C4" w14:textId="77777777" w:rsidR="0020703F" w:rsidRPr="0020703F" w:rsidRDefault="0020703F" w:rsidP="0020703F"/>
    <w:sectPr w:rsidR="0020703F" w:rsidRPr="0020703F" w:rsidSect="00D1285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1A301" w14:textId="77777777" w:rsidR="008A7C7E" w:rsidRDefault="008A7C7E" w:rsidP="0020703F">
      <w:r>
        <w:separator/>
      </w:r>
    </w:p>
  </w:endnote>
  <w:endnote w:type="continuationSeparator" w:id="0">
    <w:p w14:paraId="22E82ED8" w14:textId="77777777" w:rsidR="008A7C7E" w:rsidRDefault="008A7C7E" w:rsidP="0020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65922187"/>
      <w:docPartObj>
        <w:docPartGallery w:val="Page Numbers (Bottom of Page)"/>
        <w:docPartUnique/>
      </w:docPartObj>
    </w:sdtPr>
    <w:sdtEndPr>
      <w:rPr>
        <w:rStyle w:val="PageNumber"/>
      </w:rPr>
    </w:sdtEndPr>
    <w:sdtContent>
      <w:p w14:paraId="198FAF3C" w14:textId="60DA87C1"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84EE8" w14:textId="77777777" w:rsidR="009D2461" w:rsidRDefault="009D2461" w:rsidP="0020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86316080"/>
      <w:docPartObj>
        <w:docPartGallery w:val="Page Numbers (Bottom of Page)"/>
        <w:docPartUnique/>
      </w:docPartObj>
    </w:sdtPr>
    <w:sdtEndPr>
      <w:rPr>
        <w:rStyle w:val="PageNumber"/>
      </w:rPr>
    </w:sdtEndPr>
    <w:sdtContent>
      <w:p w14:paraId="0507EC91" w14:textId="440A0FC6"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06912">
          <w:rPr>
            <w:rStyle w:val="PageNumber"/>
            <w:noProof/>
          </w:rPr>
          <w:t>4</w:t>
        </w:r>
        <w:r>
          <w:rPr>
            <w:rStyle w:val="PageNumber"/>
          </w:rPr>
          <w:fldChar w:fldCharType="end"/>
        </w:r>
      </w:p>
    </w:sdtContent>
  </w:sdt>
  <w:p w14:paraId="03C42EB5" w14:textId="3B60DD79" w:rsidR="009D2461" w:rsidRPr="008473CA" w:rsidRDefault="008473CA" w:rsidP="008473CA">
    <w:pPr>
      <w:pStyle w:val="Footer"/>
      <w:jc w:val="right"/>
      <w:rPr>
        <w:sz w:val="16"/>
        <w:szCs w:val="16"/>
      </w:rPr>
    </w:pPr>
    <w:r>
      <w:rPr>
        <w:sz w:val="16"/>
        <w:szCs w:val="16"/>
      </w:rPr>
      <w:t xml:space="preserve">VIRGINIA BOARD OF EDUCATION | </w:t>
    </w:r>
    <w:hyperlink r:id="rId1" w:history="1">
      <w:r w:rsidRPr="008473CA">
        <w:rPr>
          <w:rStyle w:val="Hyperlink"/>
          <w:sz w:val="16"/>
          <w:szCs w:val="16"/>
        </w:rPr>
        <w:t>doe.virginia.gov</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343957"/>
      <w:docPartObj>
        <w:docPartGallery w:val="Page Numbers (Bottom of Page)"/>
        <w:docPartUnique/>
      </w:docPartObj>
    </w:sdtPr>
    <w:sdtEndPr>
      <w:rPr>
        <w:noProof/>
      </w:rPr>
    </w:sdtEndPr>
    <w:sdtContent>
      <w:p w14:paraId="50EC3AFD" w14:textId="0F4AD89E" w:rsidR="00D12851" w:rsidRDefault="00D12851">
        <w:pPr>
          <w:pStyle w:val="Footer"/>
          <w:jc w:val="center"/>
        </w:pPr>
        <w:r>
          <w:fldChar w:fldCharType="begin"/>
        </w:r>
        <w:r>
          <w:instrText xml:space="preserve"> PAGE   \* MERGEFORMAT </w:instrText>
        </w:r>
        <w:r>
          <w:fldChar w:fldCharType="separate"/>
        </w:r>
        <w:r w:rsidR="00D06912">
          <w:rPr>
            <w:noProof/>
          </w:rPr>
          <w:t>1</w:t>
        </w:r>
        <w:r>
          <w:rPr>
            <w:noProof/>
          </w:rPr>
          <w:fldChar w:fldCharType="end"/>
        </w:r>
      </w:p>
    </w:sdtContent>
  </w:sdt>
  <w:p w14:paraId="49724E34" w14:textId="58E31B15" w:rsidR="00D12851" w:rsidRDefault="00D12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65939" w14:textId="77777777" w:rsidR="008A7C7E" w:rsidRDefault="008A7C7E" w:rsidP="0020703F">
      <w:r>
        <w:separator/>
      </w:r>
    </w:p>
  </w:footnote>
  <w:footnote w:type="continuationSeparator" w:id="0">
    <w:p w14:paraId="50D7110D" w14:textId="77777777" w:rsidR="008A7C7E" w:rsidRDefault="008A7C7E" w:rsidP="00207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CC0F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E8C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40D6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2A6D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24C5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964A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9848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CEDEDC"/>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728CC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0" w15:restartNumberingAfterBreak="0">
    <w:nsid w:val="0C041F71"/>
    <w:multiLevelType w:val="multilevel"/>
    <w:tmpl w:val="C78CB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D44203D"/>
    <w:multiLevelType w:val="multilevel"/>
    <w:tmpl w:val="E53AA8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802E2"/>
    <w:multiLevelType w:val="multilevel"/>
    <w:tmpl w:val="B3D0A7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45FD4"/>
    <w:multiLevelType w:val="multilevel"/>
    <w:tmpl w:val="47BA3E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F015A"/>
    <w:multiLevelType w:val="multilevel"/>
    <w:tmpl w:val="0AAE358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5" w15:restartNumberingAfterBreak="0">
    <w:nsid w:val="42C07F68"/>
    <w:multiLevelType w:val="hybridMultilevel"/>
    <w:tmpl w:val="FB64CEE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AF5698A"/>
    <w:multiLevelType w:val="multilevel"/>
    <w:tmpl w:val="2D7EA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3717BA"/>
    <w:multiLevelType w:val="multilevel"/>
    <w:tmpl w:val="01AEAAA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C506124"/>
    <w:multiLevelType w:val="multilevel"/>
    <w:tmpl w:val="E03041E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14"/>
  </w:num>
  <w:num w:numId="13">
    <w:abstractNumId w:val="10"/>
  </w:num>
  <w:num w:numId="14">
    <w:abstractNumId w:val="16"/>
  </w:num>
  <w:num w:numId="15">
    <w:abstractNumId w:val="11"/>
  </w:num>
  <w:num w:numId="16">
    <w:abstractNumId w:val="15"/>
  </w:num>
  <w:num w:numId="17">
    <w:abstractNumId w:val="13"/>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61"/>
    <w:rsid w:val="000B62E9"/>
    <w:rsid w:val="000C3466"/>
    <w:rsid w:val="00106A3D"/>
    <w:rsid w:val="00174C97"/>
    <w:rsid w:val="001F164B"/>
    <w:rsid w:val="0020703F"/>
    <w:rsid w:val="002A3E73"/>
    <w:rsid w:val="002B1397"/>
    <w:rsid w:val="002F23C2"/>
    <w:rsid w:val="00357722"/>
    <w:rsid w:val="003B0A10"/>
    <w:rsid w:val="004A40E2"/>
    <w:rsid w:val="004F7F19"/>
    <w:rsid w:val="005D6128"/>
    <w:rsid w:val="005F23D6"/>
    <w:rsid w:val="0063469E"/>
    <w:rsid w:val="00654970"/>
    <w:rsid w:val="00673B3E"/>
    <w:rsid w:val="00683CAD"/>
    <w:rsid w:val="00686040"/>
    <w:rsid w:val="006C07D1"/>
    <w:rsid w:val="00766F6E"/>
    <w:rsid w:val="00831C0E"/>
    <w:rsid w:val="008473CA"/>
    <w:rsid w:val="0089405D"/>
    <w:rsid w:val="008A7C7E"/>
    <w:rsid w:val="008C5576"/>
    <w:rsid w:val="0098325E"/>
    <w:rsid w:val="009B768B"/>
    <w:rsid w:val="009D2461"/>
    <w:rsid w:val="00AF6A55"/>
    <w:rsid w:val="00B40D6E"/>
    <w:rsid w:val="00C02228"/>
    <w:rsid w:val="00CA74FA"/>
    <w:rsid w:val="00CC54B8"/>
    <w:rsid w:val="00D06912"/>
    <w:rsid w:val="00D12851"/>
    <w:rsid w:val="00E105C7"/>
    <w:rsid w:val="00E170AA"/>
    <w:rsid w:val="00E4488D"/>
    <w:rsid w:val="00E7032A"/>
    <w:rsid w:val="00E84FEB"/>
    <w:rsid w:val="00F2624D"/>
    <w:rsid w:val="00F31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4619"/>
  <w15:chartTrackingRefBased/>
  <w15:docId w15:val="{DD45C021-C0F6-4D44-B532-1F93F1F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03F"/>
    <w:rPr>
      <w:rFonts w:ascii="Times New Roman" w:hAnsi="Times New Roman" w:cs="Times New Roman"/>
    </w:rPr>
  </w:style>
  <w:style w:type="paragraph" w:styleId="Heading1">
    <w:name w:val="heading 1"/>
    <w:basedOn w:val="Title"/>
    <w:next w:val="Normal"/>
    <w:link w:val="Heading1Char"/>
    <w:uiPriority w:val="9"/>
    <w:qFormat/>
    <w:rsid w:val="00AF6A55"/>
    <w:pPr>
      <w:ind w:left="-180"/>
      <w:outlineLvl w:val="0"/>
    </w:pPr>
  </w:style>
  <w:style w:type="paragraph" w:styleId="Heading2">
    <w:name w:val="heading 2"/>
    <w:basedOn w:val="Normal"/>
    <w:next w:val="Normal"/>
    <w:link w:val="Heading2Char"/>
    <w:uiPriority w:val="9"/>
    <w:unhideWhenUsed/>
    <w:qFormat/>
    <w:rsid w:val="00AF6A55"/>
    <w:pPr>
      <w:keepNext/>
      <w:keepLines/>
      <w:spacing w:before="40"/>
      <w:outlineLvl w:val="1"/>
    </w:pPr>
    <w:rPr>
      <w:rFonts w:eastAsiaTheme="majorEastAsia"/>
      <w:b/>
      <w:bCs/>
      <w:caps/>
      <w:color w:val="003C71" w:themeColor="accent1"/>
      <w:sz w:val="36"/>
      <w:szCs w:val="36"/>
    </w:rPr>
  </w:style>
  <w:style w:type="paragraph" w:styleId="Heading3">
    <w:name w:val="heading 3"/>
    <w:basedOn w:val="Normal"/>
    <w:next w:val="Normal"/>
    <w:link w:val="Heading3Char"/>
    <w:uiPriority w:val="9"/>
    <w:unhideWhenUsed/>
    <w:qFormat/>
    <w:rsid w:val="00AF6A55"/>
    <w:pPr>
      <w:keepNext/>
      <w:keepLines/>
      <w:spacing w:before="40"/>
      <w:outlineLvl w:val="2"/>
    </w:pPr>
    <w:rPr>
      <w:rFonts w:eastAsiaTheme="majorEastAsia"/>
      <w:b/>
      <w:bCs/>
      <w:caps/>
      <w:sz w:val="28"/>
      <w:szCs w:val="28"/>
    </w:rPr>
  </w:style>
  <w:style w:type="paragraph" w:styleId="Heading4">
    <w:name w:val="heading 4"/>
    <w:basedOn w:val="Normal"/>
    <w:next w:val="Normal"/>
    <w:link w:val="Heading4Char"/>
    <w:uiPriority w:val="9"/>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semiHidden/>
    <w:unhideWhenUsed/>
    <w:qFormat/>
    <w:rsid w:val="0020703F"/>
    <w:pPr>
      <w:keepNext/>
      <w:keepLines/>
      <w:spacing w:before="40"/>
      <w:outlineLvl w:val="4"/>
    </w:pPr>
    <w:rPr>
      <w:rFonts w:eastAsiaTheme="majorEastAsia" w:cstheme="majorBidi"/>
      <w:color w:val="808080" w:themeColor="background2" w:themeShade="80"/>
    </w:rPr>
  </w:style>
  <w:style w:type="paragraph" w:styleId="Heading6">
    <w:name w:val="heading 6"/>
    <w:basedOn w:val="Normal"/>
    <w:next w:val="Normal"/>
    <w:link w:val="Heading6Char"/>
    <w:uiPriority w:val="9"/>
    <w:semiHidden/>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iPriority w:val="9"/>
    <w:semiHidden/>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character" w:customStyle="1" w:styleId="Heading1Char">
    <w:name w:val="Heading 1 Char"/>
    <w:basedOn w:val="DefaultParagraphFont"/>
    <w:link w:val="Heading1"/>
    <w:uiPriority w:val="9"/>
    <w:rsid w:val="00AF6A55"/>
    <w:rPr>
      <w:rFonts w:ascii="Times New Roman" w:hAnsi="Times New Roman" w:cs="Times New Roman"/>
      <w:b/>
      <w:bCs/>
      <w:sz w:val="72"/>
      <w:szCs w:val="72"/>
    </w:rPr>
  </w:style>
  <w:style w:type="character" w:customStyle="1" w:styleId="Heading2Char">
    <w:name w:val="Heading 2 Char"/>
    <w:basedOn w:val="DefaultParagraphFont"/>
    <w:link w:val="Heading2"/>
    <w:uiPriority w:val="9"/>
    <w:rsid w:val="00AF6A55"/>
    <w:rPr>
      <w:rFonts w:ascii="Times New Roman" w:eastAsiaTheme="majorEastAsia" w:hAnsi="Times New Roman" w:cs="Times New Roman"/>
      <w:b/>
      <w:bCs/>
      <w:caps/>
      <w:color w:val="003C71" w:themeColor="accent1"/>
      <w:sz w:val="36"/>
      <w:szCs w:val="36"/>
    </w:rPr>
  </w:style>
  <w:style w:type="character" w:customStyle="1" w:styleId="Heading3Char">
    <w:name w:val="Heading 3 Char"/>
    <w:basedOn w:val="DefaultParagraphFont"/>
    <w:link w:val="Heading3"/>
    <w:uiPriority w:val="9"/>
    <w:rsid w:val="00AF6A55"/>
    <w:rPr>
      <w:rFonts w:ascii="Times New Roman" w:eastAsiaTheme="majorEastAsia" w:hAnsi="Times New Roman" w:cs="Times New Roman"/>
      <w:b/>
      <w:bCs/>
      <w:caps/>
      <w:sz w:val="28"/>
      <w:szCs w:val="28"/>
    </w:rPr>
  </w:style>
  <w:style w:type="character" w:customStyle="1" w:styleId="Heading4Char">
    <w:name w:val="Heading 4 Char"/>
    <w:basedOn w:val="DefaultParagraphFont"/>
    <w:link w:val="Heading4"/>
    <w:uiPriority w:val="9"/>
    <w:rsid w:val="0020703F"/>
    <w:rPr>
      <w:rFonts w:ascii="Times New Roman" w:eastAsiaTheme="majorEastAsia" w:hAnsi="Times New Roman" w:cs="Times New Roman"/>
      <w:i/>
      <w:iCs/>
      <w:color w:val="003B71"/>
    </w:rPr>
  </w:style>
  <w:style w:type="character" w:customStyle="1" w:styleId="Heading5Char">
    <w:name w:val="Heading 5 Char"/>
    <w:basedOn w:val="DefaultParagraphFont"/>
    <w:link w:val="Heading5"/>
    <w:uiPriority w:val="9"/>
    <w:semiHidden/>
    <w:rsid w:val="0020703F"/>
    <w:rPr>
      <w:rFonts w:ascii="Times New Roman" w:eastAsiaTheme="majorEastAsia" w:hAnsi="Times New Roman" w:cstheme="majorBidi"/>
      <w:color w:val="808080" w:themeColor="background2" w:themeShade="80"/>
    </w:rPr>
  </w:style>
  <w:style w:type="paragraph" w:styleId="Title">
    <w:name w:val="Title"/>
    <w:basedOn w:val="Normal"/>
    <w:next w:val="Normal"/>
    <w:link w:val="TitleChar"/>
    <w:uiPriority w:val="10"/>
    <w:qFormat/>
    <w:rsid w:val="0020703F"/>
    <w:pPr>
      <w:jc w:val="center"/>
    </w:pPr>
    <w:rPr>
      <w:b/>
      <w:bCs/>
      <w:sz w:val="72"/>
      <w:szCs w:val="72"/>
    </w:rPr>
  </w:style>
  <w:style w:type="character" w:customStyle="1" w:styleId="TitleChar">
    <w:name w:val="Title Char"/>
    <w:basedOn w:val="DefaultParagraphFont"/>
    <w:link w:val="Title"/>
    <w:uiPriority w:val="10"/>
    <w:rsid w:val="0020703F"/>
    <w:rPr>
      <w:rFonts w:ascii="Times New Roman" w:hAnsi="Times New Roman" w:cs="Times New Roman"/>
      <w:b/>
      <w:bCs/>
      <w:sz w:val="72"/>
      <w:szCs w:val="72"/>
    </w:rPr>
  </w:style>
  <w:style w:type="paragraph" w:styleId="Subtitle">
    <w:name w:val="Subtitle"/>
    <w:basedOn w:val="Normal"/>
    <w:next w:val="Normal"/>
    <w:link w:val="SubtitleChar"/>
    <w:uiPriority w:val="11"/>
    <w:qFormat/>
    <w:rsid w:val="0020703F"/>
    <w:pPr>
      <w:jc w:val="center"/>
    </w:pPr>
    <w:rPr>
      <w:sz w:val="36"/>
      <w:szCs w:val="36"/>
    </w:rPr>
  </w:style>
  <w:style w:type="character" w:customStyle="1" w:styleId="SubtitleChar">
    <w:name w:val="Subtitle Char"/>
    <w:basedOn w:val="DefaultParagraphFont"/>
    <w:link w:val="Subtitle"/>
    <w:uiPriority w:val="11"/>
    <w:rsid w:val="0020703F"/>
    <w:rPr>
      <w:rFonts w:ascii="Times New Roman" w:hAnsi="Times New Roman" w:cs="Times New Roman"/>
      <w:sz w:val="36"/>
      <w:szCs w:val="36"/>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sz="4" w:space="10" w:color="003C71" w:themeColor="accent1"/>
        <w:bottom w:val="single" w:sz="4" w:space="10" w:color="003C71"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character" w:customStyle="1" w:styleId="Heading6Char">
    <w:name w:val="Heading 6 Char"/>
    <w:basedOn w:val="DefaultParagraphFont"/>
    <w:link w:val="Heading6"/>
    <w:uiPriority w:val="9"/>
    <w:semiHidden/>
    <w:rsid w:val="0020703F"/>
    <w:rPr>
      <w:rFonts w:ascii="Times New Roman" w:eastAsiaTheme="majorEastAsia" w:hAnsi="Times New Roman" w:cstheme="majorBidi"/>
      <w:color w:val="001D38" w:themeColor="accent1" w:themeShade="7F"/>
    </w:rPr>
  </w:style>
  <w:style w:type="character" w:customStyle="1" w:styleId="Heading7Char">
    <w:name w:val="Heading 7 Char"/>
    <w:basedOn w:val="DefaultParagraphFont"/>
    <w:link w:val="Heading7"/>
    <w:uiPriority w:val="9"/>
    <w:semiHidden/>
    <w:rsid w:val="0020703F"/>
    <w:rPr>
      <w:rFonts w:ascii="Times New Roman" w:eastAsiaTheme="majorEastAsia" w:hAnsi="Times New Roman" w:cstheme="majorBidi"/>
      <w:i/>
      <w:iCs/>
      <w:color w:val="001D38" w:themeColor="accent1" w:themeShade="7F"/>
    </w:rPr>
  </w:style>
  <w:style w:type="character" w:customStyle="1" w:styleId="Heading8Char">
    <w:name w:val="Heading 8 Char"/>
    <w:basedOn w:val="DefaultParagraphFont"/>
    <w:link w:val="Heading8"/>
    <w:uiPriority w:val="9"/>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03F"/>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20703F"/>
    <w:pPr>
      <w:keepNext/>
      <w:keepLines/>
      <w:spacing w:before="240"/>
      <w:outlineLvl w:val="9"/>
    </w:pPr>
    <w:rPr>
      <w:rFonts w:eastAsiaTheme="majorEastAsia" w:cs="Times New Roman (Headings CS)"/>
      <w:bCs w:val="0"/>
      <w:sz w:val="32"/>
      <w:szCs w:val="32"/>
    </w:rPr>
  </w:style>
  <w:style w:type="character" w:styleId="Hyperlink">
    <w:name w:val="Hyperlink"/>
    <w:basedOn w:val="DefaultParagraphFont"/>
    <w:uiPriority w:val="99"/>
    <w:unhideWhenUsed/>
    <w:rsid w:val="0020703F"/>
    <w:rPr>
      <w:rFonts w:ascii="Times New Roman" w:hAnsi="Times New Roman"/>
      <w:b w:val="0"/>
      <w:i w:val="0"/>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iPriority w:val="99"/>
    <w:semiHidden/>
    <w:unhideWhenUsed/>
    <w:rsid w:val="0020703F"/>
    <w:pPr>
      <w:numPr>
        <w:numId w:val="10"/>
      </w:numPr>
      <w:contextualSpacing/>
    </w:pPr>
  </w:style>
  <w:style w:type="paragraph" w:styleId="ListBullet2">
    <w:name w:val="List Bullet 2"/>
    <w:basedOn w:val="Normal"/>
    <w:uiPriority w:val="99"/>
    <w:unhideWhenUsed/>
    <w:rsid w:val="0020703F"/>
    <w:pPr>
      <w:contextualSpacing/>
    </w:pPr>
  </w:style>
  <w:style w:type="character" w:customStyle="1" w:styleId="SmartLink1">
    <w:name w:val="SmartLink1"/>
    <w:basedOn w:val="DefaultParagraphFont"/>
    <w:uiPriority w:val="99"/>
    <w:semiHidden/>
    <w:unhideWhenUsed/>
    <w:rsid w:val="0098325E"/>
    <w:rPr>
      <w:color w:val="003B71"/>
      <w:u w:val="single"/>
      <w:shd w:val="clear" w:color="auto" w:fill="F3F2F1"/>
    </w:rPr>
  </w:style>
  <w:style w:type="character" w:customStyle="1" w:styleId="UnresolvedMention1">
    <w:name w:val="Unresolved Mention1"/>
    <w:basedOn w:val="DefaultParagraphFont"/>
    <w:uiPriority w:val="99"/>
    <w:semiHidden/>
    <w:unhideWhenUsed/>
    <w:rsid w:val="0098325E"/>
    <w:rPr>
      <w:color w:val="605E5C"/>
      <w:shd w:val="clear" w:color="auto" w:fill="E1DFDD"/>
    </w:rPr>
  </w:style>
  <w:style w:type="character" w:styleId="PageNumber">
    <w:name w:val="page number"/>
    <w:basedOn w:val="DefaultParagraphFont"/>
    <w:uiPriority w:val="99"/>
    <w:semiHidden/>
    <w:unhideWhenUsed/>
    <w:rsid w:val="008473CA"/>
  </w:style>
  <w:style w:type="paragraph" w:customStyle="1" w:styleId="VBOEFOOTER">
    <w:name w:val="VBOE FOOTER"/>
    <w:basedOn w:val="Normal"/>
    <w:link w:val="VBOEFOOTERChar"/>
    <w:qFormat/>
    <w:rsid w:val="00673B3E"/>
    <w:pPr>
      <w:spacing w:before="3240" w:after="100" w:afterAutospacing="1"/>
      <w:jc w:val="center"/>
    </w:pPr>
    <w:rPr>
      <w:sz w:val="48"/>
      <w:szCs w:val="48"/>
    </w:rPr>
  </w:style>
  <w:style w:type="character" w:customStyle="1" w:styleId="VBOEFOOTERChar">
    <w:name w:val="VBOE FOOTER Char"/>
    <w:basedOn w:val="DefaultParagraphFont"/>
    <w:link w:val="VBOEFOOTER"/>
    <w:rsid w:val="00673B3E"/>
    <w:rPr>
      <w:rFonts w:ascii="Times New Roman" w:hAnsi="Times New Roman" w:cs="Times New Roman"/>
      <w:sz w:val="48"/>
      <w:szCs w:val="48"/>
    </w:rPr>
  </w:style>
  <w:style w:type="character" w:customStyle="1" w:styleId="UnresolvedMention">
    <w:name w:val="Unresolved Mention"/>
    <w:basedOn w:val="DefaultParagraphFont"/>
    <w:uiPriority w:val="99"/>
    <w:semiHidden/>
    <w:unhideWhenUsed/>
    <w:rsid w:val="006C07D1"/>
    <w:rPr>
      <w:color w:val="605E5C"/>
      <w:shd w:val="clear" w:color="auto" w:fill="E1DFDD"/>
    </w:rPr>
  </w:style>
  <w:style w:type="table" w:customStyle="1" w:styleId="1">
    <w:name w:val="1"/>
    <w:basedOn w:val="TableNormal"/>
    <w:rsid w:val="005F23D6"/>
    <w:rPr>
      <w:rFonts w:ascii="Times New Roman" w:eastAsia="Times New Roman" w:hAnsi="Times New Roman" w:cs="Times New Roman"/>
    </w:rPr>
    <w:tblPr>
      <w:tblStyleRowBandSize w:val="1"/>
      <w:tblStyleColBandSize w:val="1"/>
    </w:tblPr>
  </w:style>
  <w:style w:type="paragraph" w:styleId="NormalWeb">
    <w:name w:val="Normal (Web)"/>
    <w:basedOn w:val="Normal"/>
    <w:uiPriority w:val="99"/>
    <w:semiHidden/>
    <w:unhideWhenUsed/>
    <w:rsid w:val="00686040"/>
    <w:pPr>
      <w:spacing w:before="100" w:beforeAutospacing="1" w:after="100" w:afterAutospacing="1"/>
    </w:pPr>
    <w:rPr>
      <w:rFonts w:eastAsia="Times New Roman"/>
    </w:rPr>
  </w:style>
  <w:style w:type="character" w:customStyle="1" w:styleId="apple-tab-span">
    <w:name w:val="apple-tab-span"/>
    <w:basedOn w:val="DefaultParagraphFont"/>
    <w:rsid w:val="00686040"/>
  </w:style>
  <w:style w:type="paragraph" w:styleId="ListParagraph">
    <w:name w:val="List Paragraph"/>
    <w:basedOn w:val="Normal"/>
    <w:uiPriority w:val="34"/>
    <w:qFormat/>
    <w:rsid w:val="00686040"/>
    <w:pPr>
      <w:ind w:left="720"/>
      <w:contextualSpacing/>
    </w:pPr>
  </w:style>
  <w:style w:type="paragraph" w:styleId="BalloonText">
    <w:name w:val="Balloon Text"/>
    <w:basedOn w:val="Normal"/>
    <w:link w:val="BalloonTextChar"/>
    <w:uiPriority w:val="99"/>
    <w:semiHidden/>
    <w:unhideWhenUsed/>
    <w:rsid w:val="00683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9263">
      <w:bodyDiv w:val="1"/>
      <w:marLeft w:val="0"/>
      <w:marRight w:val="0"/>
      <w:marTop w:val="0"/>
      <w:marBottom w:val="0"/>
      <w:divBdr>
        <w:top w:val="none" w:sz="0" w:space="0" w:color="auto"/>
        <w:left w:val="none" w:sz="0" w:space="0" w:color="auto"/>
        <w:bottom w:val="none" w:sz="0" w:space="0" w:color="auto"/>
        <w:right w:val="none" w:sz="0" w:space="0" w:color="auto"/>
      </w:divBdr>
    </w:div>
    <w:div w:id="797528355">
      <w:bodyDiv w:val="1"/>
      <w:marLeft w:val="0"/>
      <w:marRight w:val="0"/>
      <w:marTop w:val="0"/>
      <w:marBottom w:val="0"/>
      <w:divBdr>
        <w:top w:val="none" w:sz="0" w:space="0" w:color="auto"/>
        <w:left w:val="none" w:sz="0" w:space="0" w:color="auto"/>
        <w:bottom w:val="none" w:sz="0" w:space="0" w:color="auto"/>
        <w:right w:val="none" w:sz="0" w:space="0" w:color="auto"/>
      </w:divBdr>
    </w:div>
    <w:div w:id="1097749052">
      <w:bodyDiv w:val="1"/>
      <w:marLeft w:val="0"/>
      <w:marRight w:val="0"/>
      <w:marTop w:val="0"/>
      <w:marBottom w:val="0"/>
      <w:divBdr>
        <w:top w:val="none" w:sz="0" w:space="0" w:color="auto"/>
        <w:left w:val="none" w:sz="0" w:space="0" w:color="auto"/>
        <w:bottom w:val="none" w:sz="0" w:space="0" w:color="auto"/>
        <w:right w:val="none" w:sz="0" w:space="0" w:color="auto"/>
      </w:divBdr>
    </w:div>
    <w:div w:id="1099060246">
      <w:bodyDiv w:val="1"/>
      <w:marLeft w:val="0"/>
      <w:marRight w:val="0"/>
      <w:marTop w:val="0"/>
      <w:marBottom w:val="0"/>
      <w:divBdr>
        <w:top w:val="none" w:sz="0" w:space="0" w:color="auto"/>
        <w:left w:val="none" w:sz="0" w:space="0" w:color="auto"/>
        <w:bottom w:val="none" w:sz="0" w:space="0" w:color="auto"/>
        <w:right w:val="none" w:sz="0" w:space="0" w:color="auto"/>
      </w:divBdr>
    </w:div>
    <w:div w:id="1273510286">
      <w:bodyDiv w:val="1"/>
      <w:marLeft w:val="0"/>
      <w:marRight w:val="0"/>
      <w:marTop w:val="0"/>
      <w:marBottom w:val="0"/>
      <w:divBdr>
        <w:top w:val="none" w:sz="0" w:space="0" w:color="auto"/>
        <w:left w:val="none" w:sz="0" w:space="0" w:color="auto"/>
        <w:bottom w:val="none" w:sz="0" w:space="0" w:color="auto"/>
        <w:right w:val="none" w:sz="0" w:space="0" w:color="auto"/>
      </w:divBdr>
    </w:div>
    <w:div w:id="1287741392">
      <w:bodyDiv w:val="1"/>
      <w:marLeft w:val="0"/>
      <w:marRight w:val="0"/>
      <w:marTop w:val="0"/>
      <w:marBottom w:val="0"/>
      <w:divBdr>
        <w:top w:val="none" w:sz="0" w:space="0" w:color="auto"/>
        <w:left w:val="none" w:sz="0" w:space="0" w:color="auto"/>
        <w:bottom w:val="none" w:sz="0" w:space="0" w:color="auto"/>
        <w:right w:val="none" w:sz="0" w:space="0" w:color="auto"/>
      </w:divBdr>
    </w:div>
    <w:div w:id="1412659333">
      <w:bodyDiv w:val="1"/>
      <w:marLeft w:val="0"/>
      <w:marRight w:val="0"/>
      <w:marTop w:val="0"/>
      <w:marBottom w:val="0"/>
      <w:divBdr>
        <w:top w:val="none" w:sz="0" w:space="0" w:color="auto"/>
        <w:left w:val="none" w:sz="0" w:space="0" w:color="auto"/>
        <w:bottom w:val="none" w:sz="0" w:space="0" w:color="auto"/>
        <w:right w:val="none" w:sz="0" w:space="0" w:color="auto"/>
      </w:divBdr>
    </w:div>
    <w:div w:id="1537693750">
      <w:bodyDiv w:val="1"/>
      <w:marLeft w:val="0"/>
      <w:marRight w:val="0"/>
      <w:marTop w:val="0"/>
      <w:marBottom w:val="0"/>
      <w:divBdr>
        <w:top w:val="none" w:sz="0" w:space="0" w:color="auto"/>
        <w:left w:val="none" w:sz="0" w:space="0" w:color="auto"/>
        <w:bottom w:val="none" w:sz="0" w:space="0" w:color="auto"/>
        <w:right w:val="none" w:sz="0" w:space="0" w:color="auto"/>
      </w:divBdr>
    </w:div>
    <w:div w:id="1592734970">
      <w:bodyDiv w:val="1"/>
      <w:marLeft w:val="0"/>
      <w:marRight w:val="0"/>
      <w:marTop w:val="0"/>
      <w:marBottom w:val="0"/>
      <w:divBdr>
        <w:top w:val="none" w:sz="0" w:space="0" w:color="auto"/>
        <w:left w:val="none" w:sz="0" w:space="0" w:color="auto"/>
        <w:bottom w:val="none" w:sz="0" w:space="0" w:color="auto"/>
        <w:right w:val="none" w:sz="0" w:space="0" w:color="auto"/>
      </w:divBdr>
    </w:div>
    <w:div w:id="1665670181">
      <w:bodyDiv w:val="1"/>
      <w:marLeft w:val="0"/>
      <w:marRight w:val="0"/>
      <w:marTop w:val="0"/>
      <w:marBottom w:val="0"/>
      <w:divBdr>
        <w:top w:val="none" w:sz="0" w:space="0" w:color="auto"/>
        <w:left w:val="none" w:sz="0" w:space="0" w:color="auto"/>
        <w:bottom w:val="none" w:sz="0" w:space="0" w:color="auto"/>
        <w:right w:val="none" w:sz="0" w:space="0" w:color="auto"/>
      </w:divBdr>
    </w:div>
    <w:div w:id="1683162320">
      <w:bodyDiv w:val="1"/>
      <w:marLeft w:val="0"/>
      <w:marRight w:val="0"/>
      <w:marTop w:val="0"/>
      <w:marBottom w:val="0"/>
      <w:divBdr>
        <w:top w:val="none" w:sz="0" w:space="0" w:color="auto"/>
        <w:left w:val="none" w:sz="0" w:space="0" w:color="auto"/>
        <w:bottom w:val="none" w:sz="0" w:space="0" w:color="auto"/>
        <w:right w:val="none" w:sz="0" w:space="0" w:color="auto"/>
      </w:divBdr>
    </w:div>
    <w:div w:id="17262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aw.lis.virginia.gov/vacode/title22.1/chapter19.1/section22.1-349.2/" TargetMode="External"/><Relationship Id="rId18" Type="http://schemas.openxmlformats.org/officeDocument/2006/relationships/hyperlink" Target="https://law.lis.virginia.gov/vacode/title23.1/chapter6/section23.1-628/" TargetMode="External"/><Relationship Id="rId3" Type="http://schemas.openxmlformats.org/officeDocument/2006/relationships/styles" Target="styles.xml"/><Relationship Id="rId21" Type="http://schemas.openxmlformats.org/officeDocument/2006/relationships/hyperlink" Target="https://www.doe.virginia.gov/directories/schools/school_info_by_regions.s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law.lis.virginia.gov/vacodefull/title22.1/chapter19.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aw.lis.virginia.gov/vacode/title23.1/chapter6/section23.1-628/" TargetMode="External"/><Relationship Id="rId20" Type="http://schemas.openxmlformats.org/officeDocument/2006/relationships/hyperlink" Target="https://law.lis.virginia.gov/vacodefull/title22.1/chapter1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udget.lis.virginia.gov/item/2022/2/HB30/Chapter/1/137/" TargetMode="External"/><Relationship Id="rId23" Type="http://schemas.openxmlformats.org/officeDocument/2006/relationships/hyperlink" Target="mailto:labschools@doe.virginia.gov?subject=Inquiry%20re:%20Lab%20School%20Planning%20Grants" TargetMode="External"/><Relationship Id="rId10" Type="http://schemas.openxmlformats.org/officeDocument/2006/relationships/footer" Target="footer1.xml"/><Relationship Id="rId19" Type="http://schemas.openxmlformats.org/officeDocument/2006/relationships/hyperlink" Target="https://law.lis.virginia.gov/vacodefull/title22.1/chapter19.1/"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law.lis.virginia.gov/vacode/title22.1/chapter19.1/section22.1-349.2/" TargetMode="External"/><Relationship Id="rId22" Type="http://schemas.openxmlformats.org/officeDocument/2006/relationships/hyperlink" Target="mailto:labschools@doe.virginia.gov?subject=Planning%20Grant%20Application%20Submission%20from%20%5BINSTITUTION%20NAME%5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7A43B-3D4D-44A2-A203-88ABEBFB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Nuthall</dc:creator>
  <cp:keywords/>
  <dc:description/>
  <cp:lastModifiedBy>Leslie Sale</cp:lastModifiedBy>
  <cp:revision>2</cp:revision>
  <cp:lastPrinted>2022-08-17T17:12:00Z</cp:lastPrinted>
  <dcterms:created xsi:type="dcterms:W3CDTF">2022-09-02T15:51:00Z</dcterms:created>
  <dcterms:modified xsi:type="dcterms:W3CDTF">2022-09-02T15:51:00Z</dcterms:modified>
</cp:coreProperties>
</file>