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13" w:rsidRDefault="00767813" w:rsidP="0031611E">
      <w:pPr>
        <w:pStyle w:val="Heading1"/>
      </w:pPr>
      <w:bookmarkStart w:id="0" w:name="_GoBack"/>
      <w:bookmarkEnd w:id="0"/>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6F4EE6">
        <w:t>Virginia Domestic Dependents School System</w:t>
      </w:r>
    </w:p>
    <w:p w:rsidR="00E63DC5" w:rsidRDefault="00E63DC5" w:rsidP="00E63DC5">
      <w:pPr>
        <w:pStyle w:val="NormalTNR"/>
      </w:pPr>
      <w:r w:rsidRPr="008B62AA">
        <w:rPr>
          <w:b/>
        </w:rPr>
        <w:t>Report Publication Date:</w:t>
      </w:r>
      <w:r>
        <w:t xml:space="preserve"> </w:t>
      </w:r>
      <w:r w:rsidR="00430CF4">
        <w:t xml:space="preserve">January 2, 2019 </w:t>
      </w:r>
    </w:p>
    <w:p w:rsidR="00E63DC5" w:rsidRDefault="00E63DC5" w:rsidP="00E63DC5">
      <w:pPr>
        <w:pStyle w:val="NormalTNR"/>
      </w:pPr>
      <w:r w:rsidRPr="008B62AA">
        <w:rPr>
          <w:b/>
        </w:rPr>
        <w:t>Administrative Review Dates:</w:t>
      </w:r>
      <w:r>
        <w:t xml:space="preserve"> </w:t>
      </w:r>
      <w:r w:rsidR="006F4EE6">
        <w:t xml:space="preserve">November 7 – 9, 2018  </w:t>
      </w:r>
    </w:p>
    <w:p w:rsidR="00E63DC5" w:rsidRDefault="00E63DC5" w:rsidP="00E63DC5">
      <w:pPr>
        <w:pStyle w:val="NormalTNR"/>
      </w:pPr>
      <w:r w:rsidRPr="008B62AA">
        <w:rPr>
          <w:b/>
        </w:rPr>
        <w:t>Review Month and Year:</w:t>
      </w:r>
      <w:r>
        <w:t xml:space="preserve"> </w:t>
      </w:r>
      <w:r w:rsidR="006F4EE6">
        <w:t>October</w:t>
      </w:r>
      <w:r w:rsidR="00A84085">
        <w:t xml:space="preserve"> 2018</w:t>
      </w:r>
    </w:p>
    <w:p w:rsidR="00E63DC5" w:rsidRDefault="00E63DC5" w:rsidP="00E63DC5">
      <w:pPr>
        <w:pStyle w:val="NormalTNR"/>
      </w:pPr>
      <w:r w:rsidRPr="008B62AA">
        <w:rPr>
          <w:b/>
        </w:rPr>
        <w:t>Participating Programs:</w:t>
      </w:r>
      <w:r>
        <w:t xml:space="preserve"> </w:t>
      </w:r>
      <w:r w:rsidR="006F4EE6">
        <w:t>SBP, NSLP</w:t>
      </w:r>
    </w:p>
    <w:p w:rsidR="00E63DC5" w:rsidRPr="00E63DC5" w:rsidRDefault="00E63DC5" w:rsidP="00F70D82">
      <w:pPr>
        <w:pStyle w:val="NormalTNR"/>
        <w:spacing w:after="600"/>
      </w:pPr>
      <w:r w:rsidRPr="008B62AA">
        <w:rPr>
          <w:b/>
        </w:rPr>
        <w:t>Participates in Special Provisions</w:t>
      </w:r>
      <w:r w:rsidR="00430CF4">
        <w:rPr>
          <w:b/>
        </w:rPr>
        <w:t xml:space="preserve">? </w:t>
      </w:r>
      <w:r w:rsidR="00430CF4">
        <w:t>Not a</w:t>
      </w:r>
      <w:r w:rsidR="00430CF4" w:rsidRPr="00430CF4">
        <w:t>pplicable</w:t>
      </w:r>
      <w:r w:rsidR="00430CF4">
        <w:rPr>
          <w:b/>
        </w:rPr>
        <w:t xml:space="preserve"> </w:t>
      </w:r>
    </w:p>
    <w:p w:rsidR="0031611E" w:rsidRPr="00A72169" w:rsidRDefault="0031611E" w:rsidP="00F70D82">
      <w:pPr>
        <w:pStyle w:val="Heading2"/>
        <w:spacing w:after="120"/>
      </w:pPr>
      <w:r w:rsidRPr="00A61E27">
        <w:rPr>
          <w:sz w:val="28"/>
        </w:rPr>
        <w:t>Enrollm</w:t>
      </w:r>
      <w:r w:rsidR="00806AE0" w:rsidRPr="00A61E27">
        <w:rPr>
          <w:sz w:val="28"/>
        </w:rPr>
        <w:t xml:space="preserve">ent and Participation Data for </w:t>
      </w:r>
      <w:r w:rsidR="0045724B">
        <w:rPr>
          <w:sz w:val="28"/>
        </w:rPr>
        <w:t>October 2018</w:t>
      </w:r>
      <w:r w:rsidRPr="00A61E27">
        <w:rPr>
          <w:sz w:val="28"/>
        </w:rPr>
        <w:t>:</w:t>
      </w:r>
      <w:r w:rsidR="00A72169">
        <w:br/>
      </w:r>
    </w:p>
    <w:tbl>
      <w:tblPr>
        <w:tblStyle w:val="TableGrid"/>
        <w:tblW w:w="9535" w:type="dxa"/>
        <w:tblLook w:val="04A0" w:firstRow="1" w:lastRow="0" w:firstColumn="1" w:lastColumn="0" w:noHBand="0" w:noVBand="1"/>
        <w:tblDescription w:val="Enrollment and participation data"/>
      </w:tblPr>
      <w:tblGrid>
        <w:gridCol w:w="1230"/>
        <w:gridCol w:w="1390"/>
        <w:gridCol w:w="1563"/>
        <w:gridCol w:w="1027"/>
        <w:gridCol w:w="1249"/>
        <w:gridCol w:w="1216"/>
        <w:gridCol w:w="1860"/>
      </w:tblGrid>
      <w:tr w:rsidR="00767813" w:rsidRPr="00937A7F" w:rsidTr="00937A7F">
        <w:trPr>
          <w:tblHeader/>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6C3986" w:rsidRPr="00937A7F" w:rsidRDefault="00767813" w:rsidP="00E71C1B">
            <w:pPr>
              <w:pStyle w:val="NormalTNR"/>
              <w:spacing w:after="0"/>
              <w:rPr>
                <w:b/>
                <w:lang w:eastAsia="ja-JP"/>
              </w:rPr>
            </w:pPr>
            <w:r w:rsidRPr="00937A7F">
              <w:rPr>
                <w:b/>
                <w:lang w:eastAsia="ja-JP"/>
              </w:rPr>
              <w:t>Eligibility</w:t>
            </w:r>
          </w:p>
        </w:tc>
        <w:tc>
          <w:tcPr>
            <w:tcW w:w="1390" w:type="dxa"/>
            <w:shd w:val="clear" w:color="auto" w:fill="auto"/>
            <w:vAlign w:val="center"/>
          </w:tcPr>
          <w:p w:rsidR="006C3986" w:rsidRPr="00937A7F" w:rsidRDefault="0032739D" w:rsidP="00E71C1B">
            <w:pPr>
              <w:pStyle w:val="NormalTNR"/>
              <w:spacing w:after="0"/>
              <w:rPr>
                <w:b/>
                <w:lang w:eastAsia="ja-JP"/>
              </w:rPr>
            </w:pPr>
            <w:r w:rsidRPr="00937A7F">
              <w:rPr>
                <w:b/>
                <w:lang w:eastAsia="ja-JP"/>
              </w:rPr>
              <w:t>Enrollment</w:t>
            </w:r>
          </w:p>
        </w:tc>
        <w:tc>
          <w:tcPr>
            <w:tcW w:w="1563"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Avg. Daily Participation</w:t>
            </w:r>
            <w:r w:rsidR="00767813" w:rsidRPr="00937A7F">
              <w:rPr>
                <w:b/>
                <w:lang w:eastAsia="ja-JP"/>
              </w:rPr>
              <w:t xml:space="preserve"> (ADP)</w:t>
            </w:r>
          </w:p>
        </w:tc>
        <w:tc>
          <w:tcPr>
            <w:tcW w:w="1027"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ADP %</w:t>
            </w:r>
          </w:p>
        </w:tc>
        <w:tc>
          <w:tcPr>
            <w:tcW w:w="1249"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 xml:space="preserve">Breakfast </w:t>
            </w:r>
            <w:r w:rsidR="00767813" w:rsidRPr="00937A7F">
              <w:rPr>
                <w:b/>
                <w:lang w:eastAsia="ja-JP"/>
              </w:rPr>
              <w:t>ADP</w:t>
            </w:r>
          </w:p>
        </w:tc>
        <w:tc>
          <w:tcPr>
            <w:tcW w:w="1216"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Breakfast ADP %</w:t>
            </w:r>
          </w:p>
        </w:tc>
        <w:tc>
          <w:tcPr>
            <w:tcW w:w="1860"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Total Reimbursement ($$)</w:t>
            </w:r>
          </w:p>
        </w:tc>
      </w:tr>
      <w:tr w:rsidR="00767813" w:rsidRPr="00937A7F" w:rsidTr="00690A00">
        <w:trPr>
          <w:tblHeader/>
        </w:trPr>
        <w:tc>
          <w:tcPr>
            <w:tcW w:w="1230" w:type="dxa"/>
            <w:tcBorders>
              <w:top w:val="single" w:sz="4" w:space="0" w:color="auto"/>
            </w:tcBorders>
            <w:shd w:val="clear" w:color="auto" w:fill="auto"/>
          </w:tcPr>
          <w:p w:rsidR="006C3986" w:rsidRPr="00E71C1B" w:rsidRDefault="006C3986" w:rsidP="00E71C1B">
            <w:pPr>
              <w:pStyle w:val="NormalTNR"/>
              <w:spacing w:after="0"/>
              <w:rPr>
                <w:b/>
                <w:lang w:eastAsia="ja-JP"/>
              </w:rPr>
            </w:pPr>
            <w:r w:rsidRPr="00E71C1B">
              <w:rPr>
                <w:b/>
                <w:lang w:eastAsia="ja-JP"/>
              </w:rPr>
              <w:t>Free</w:t>
            </w:r>
          </w:p>
        </w:tc>
        <w:tc>
          <w:tcPr>
            <w:tcW w:w="1390" w:type="dxa"/>
            <w:shd w:val="clear" w:color="auto" w:fill="auto"/>
            <w:vAlign w:val="center"/>
          </w:tcPr>
          <w:p w:rsidR="006C3986" w:rsidRPr="00690A00" w:rsidRDefault="00E3137D" w:rsidP="007B68D3">
            <w:pPr>
              <w:pStyle w:val="NormalTNR"/>
              <w:spacing w:after="0"/>
              <w:rPr>
                <w:lang w:eastAsia="ja-JP"/>
              </w:rPr>
            </w:pPr>
            <w:r>
              <w:rPr>
                <w:lang w:eastAsia="ja-JP"/>
              </w:rPr>
              <w:t>110</w:t>
            </w:r>
          </w:p>
        </w:tc>
        <w:tc>
          <w:tcPr>
            <w:tcW w:w="1563" w:type="dxa"/>
            <w:shd w:val="clear" w:color="auto" w:fill="auto"/>
            <w:vAlign w:val="center"/>
          </w:tcPr>
          <w:p w:rsidR="006C3986" w:rsidRPr="00690A00" w:rsidRDefault="00E3137D" w:rsidP="007B68D3">
            <w:pPr>
              <w:pStyle w:val="NormalTNR"/>
              <w:spacing w:after="0"/>
              <w:rPr>
                <w:lang w:eastAsia="ja-JP"/>
              </w:rPr>
            </w:pPr>
            <w:r>
              <w:rPr>
                <w:lang w:eastAsia="ja-JP"/>
              </w:rPr>
              <w:t>81</w:t>
            </w:r>
          </w:p>
        </w:tc>
        <w:tc>
          <w:tcPr>
            <w:tcW w:w="1027" w:type="dxa"/>
            <w:shd w:val="clear" w:color="auto" w:fill="auto"/>
            <w:vAlign w:val="center"/>
          </w:tcPr>
          <w:p w:rsidR="006C3986" w:rsidRPr="00690A00" w:rsidRDefault="00E3137D" w:rsidP="007B68D3">
            <w:pPr>
              <w:pStyle w:val="NormalTNR"/>
              <w:spacing w:after="0"/>
              <w:rPr>
                <w:lang w:eastAsia="ja-JP"/>
              </w:rPr>
            </w:pPr>
            <w:r>
              <w:rPr>
                <w:lang w:eastAsia="ja-JP"/>
              </w:rPr>
              <w:t>20.61</w:t>
            </w:r>
            <w:r w:rsidR="00430CF4">
              <w:rPr>
                <w:lang w:eastAsia="ja-JP"/>
              </w:rPr>
              <w:t>%</w:t>
            </w:r>
          </w:p>
        </w:tc>
        <w:tc>
          <w:tcPr>
            <w:tcW w:w="1249" w:type="dxa"/>
            <w:shd w:val="clear" w:color="auto" w:fill="auto"/>
            <w:vAlign w:val="center"/>
          </w:tcPr>
          <w:p w:rsidR="006C3986" w:rsidRPr="00690A00" w:rsidRDefault="00A84085" w:rsidP="007B68D3">
            <w:pPr>
              <w:pStyle w:val="NormalTNR"/>
              <w:spacing w:after="0"/>
              <w:rPr>
                <w:lang w:eastAsia="ja-JP"/>
              </w:rPr>
            </w:pPr>
            <w:r>
              <w:rPr>
                <w:lang w:eastAsia="ja-JP"/>
              </w:rPr>
              <w:t>34</w:t>
            </w:r>
          </w:p>
        </w:tc>
        <w:tc>
          <w:tcPr>
            <w:tcW w:w="1216" w:type="dxa"/>
            <w:shd w:val="clear" w:color="auto" w:fill="auto"/>
            <w:vAlign w:val="center"/>
          </w:tcPr>
          <w:p w:rsidR="006C3986" w:rsidRPr="00690A00" w:rsidRDefault="00A84085" w:rsidP="007B68D3">
            <w:pPr>
              <w:pStyle w:val="NormalTNR"/>
              <w:spacing w:after="0"/>
              <w:rPr>
                <w:lang w:eastAsia="ja-JP"/>
              </w:rPr>
            </w:pPr>
            <w:r>
              <w:rPr>
                <w:lang w:eastAsia="ja-JP"/>
              </w:rPr>
              <w:t>31.48</w:t>
            </w:r>
            <w:r w:rsidR="00430CF4">
              <w:rPr>
                <w:lang w:eastAsia="ja-JP"/>
              </w:rPr>
              <w:t>%</w:t>
            </w:r>
          </w:p>
        </w:tc>
        <w:tc>
          <w:tcPr>
            <w:tcW w:w="1860" w:type="dxa"/>
            <w:shd w:val="clear" w:color="auto" w:fill="auto"/>
            <w:vAlign w:val="center"/>
          </w:tcPr>
          <w:p w:rsidR="006C3986" w:rsidRPr="00690A00" w:rsidRDefault="00430CF4" w:rsidP="007B68D3">
            <w:pPr>
              <w:pStyle w:val="NormalTNR"/>
              <w:spacing w:after="0"/>
              <w:rPr>
                <w:lang w:eastAsia="ja-JP"/>
              </w:rPr>
            </w:pPr>
            <w:r>
              <w:rPr>
                <w:lang w:eastAsia="ja-JP"/>
              </w:rPr>
              <w:t>$</w:t>
            </w:r>
            <w:r w:rsidR="002C6502">
              <w:rPr>
                <w:lang w:eastAsia="ja-JP"/>
              </w:rPr>
              <w:t>6</w:t>
            </w:r>
            <w:r>
              <w:rPr>
                <w:lang w:eastAsia="ja-JP"/>
              </w:rPr>
              <w:t>,</w:t>
            </w:r>
            <w:r w:rsidR="002C6502">
              <w:rPr>
                <w:lang w:eastAsia="ja-JP"/>
              </w:rPr>
              <w:t>910.29</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Reduced</w:t>
            </w:r>
          </w:p>
        </w:tc>
        <w:tc>
          <w:tcPr>
            <w:tcW w:w="1390" w:type="dxa"/>
            <w:shd w:val="clear" w:color="auto" w:fill="auto"/>
            <w:vAlign w:val="center"/>
          </w:tcPr>
          <w:p w:rsidR="006C3986" w:rsidRPr="00690A00" w:rsidRDefault="00E3137D" w:rsidP="007B68D3">
            <w:pPr>
              <w:pStyle w:val="NormalTNR"/>
              <w:spacing w:after="0"/>
              <w:rPr>
                <w:lang w:eastAsia="ja-JP"/>
              </w:rPr>
            </w:pPr>
            <w:r>
              <w:rPr>
                <w:lang w:eastAsia="ja-JP"/>
              </w:rPr>
              <w:t>143</w:t>
            </w:r>
          </w:p>
        </w:tc>
        <w:tc>
          <w:tcPr>
            <w:tcW w:w="1563" w:type="dxa"/>
            <w:shd w:val="clear" w:color="auto" w:fill="auto"/>
            <w:vAlign w:val="center"/>
          </w:tcPr>
          <w:p w:rsidR="006C3986" w:rsidRPr="00690A00" w:rsidRDefault="00E3137D" w:rsidP="007B68D3">
            <w:pPr>
              <w:pStyle w:val="NormalTNR"/>
              <w:spacing w:after="0"/>
              <w:rPr>
                <w:lang w:eastAsia="ja-JP"/>
              </w:rPr>
            </w:pPr>
            <w:r>
              <w:rPr>
                <w:lang w:eastAsia="ja-JP"/>
              </w:rPr>
              <w:t>96</w:t>
            </w:r>
          </w:p>
        </w:tc>
        <w:tc>
          <w:tcPr>
            <w:tcW w:w="1027" w:type="dxa"/>
            <w:shd w:val="clear" w:color="auto" w:fill="auto"/>
            <w:vAlign w:val="center"/>
          </w:tcPr>
          <w:p w:rsidR="006C3986" w:rsidRPr="00690A00" w:rsidRDefault="00E3137D" w:rsidP="007B68D3">
            <w:pPr>
              <w:pStyle w:val="NormalTNR"/>
              <w:spacing w:after="0"/>
              <w:rPr>
                <w:lang w:eastAsia="ja-JP"/>
              </w:rPr>
            </w:pPr>
            <w:r>
              <w:rPr>
                <w:lang w:eastAsia="ja-JP"/>
              </w:rPr>
              <w:t>24.43</w:t>
            </w:r>
            <w:r w:rsidR="00430CF4">
              <w:rPr>
                <w:lang w:eastAsia="ja-JP"/>
              </w:rPr>
              <w:t>%</w:t>
            </w:r>
          </w:p>
        </w:tc>
        <w:tc>
          <w:tcPr>
            <w:tcW w:w="1249" w:type="dxa"/>
            <w:shd w:val="clear" w:color="auto" w:fill="auto"/>
            <w:vAlign w:val="center"/>
          </w:tcPr>
          <w:p w:rsidR="006C3986" w:rsidRPr="00690A00" w:rsidRDefault="00A84085" w:rsidP="007B68D3">
            <w:pPr>
              <w:pStyle w:val="NormalTNR"/>
              <w:spacing w:after="0"/>
              <w:rPr>
                <w:lang w:eastAsia="ja-JP"/>
              </w:rPr>
            </w:pPr>
            <w:r>
              <w:rPr>
                <w:lang w:eastAsia="ja-JP"/>
              </w:rPr>
              <w:t>24</w:t>
            </w:r>
          </w:p>
        </w:tc>
        <w:tc>
          <w:tcPr>
            <w:tcW w:w="1216" w:type="dxa"/>
            <w:shd w:val="clear" w:color="auto" w:fill="auto"/>
            <w:vAlign w:val="center"/>
          </w:tcPr>
          <w:p w:rsidR="006C3986" w:rsidRPr="00690A00" w:rsidRDefault="00A84085" w:rsidP="007B68D3">
            <w:pPr>
              <w:pStyle w:val="NormalTNR"/>
              <w:spacing w:after="0"/>
              <w:rPr>
                <w:lang w:eastAsia="ja-JP"/>
              </w:rPr>
            </w:pPr>
            <w:r>
              <w:rPr>
                <w:lang w:eastAsia="ja-JP"/>
              </w:rPr>
              <w:t>22.22</w:t>
            </w:r>
            <w:r w:rsidR="00430CF4">
              <w:rPr>
                <w:lang w:eastAsia="ja-JP"/>
              </w:rPr>
              <w:t>%</w:t>
            </w:r>
          </w:p>
        </w:tc>
        <w:tc>
          <w:tcPr>
            <w:tcW w:w="1860" w:type="dxa"/>
            <w:shd w:val="clear" w:color="auto" w:fill="auto"/>
            <w:vAlign w:val="center"/>
          </w:tcPr>
          <w:p w:rsidR="006C3986" w:rsidRPr="00690A00" w:rsidRDefault="00430CF4" w:rsidP="007B68D3">
            <w:pPr>
              <w:pStyle w:val="NormalTNR"/>
              <w:spacing w:after="0"/>
              <w:rPr>
                <w:lang w:eastAsia="ja-JP"/>
              </w:rPr>
            </w:pPr>
            <w:r>
              <w:rPr>
                <w:lang w:eastAsia="ja-JP"/>
              </w:rPr>
              <w:t>$</w:t>
            </w:r>
            <w:r w:rsidR="002C6502">
              <w:rPr>
                <w:lang w:eastAsia="ja-JP"/>
              </w:rPr>
              <w:t>6</w:t>
            </w:r>
            <w:r>
              <w:rPr>
                <w:lang w:eastAsia="ja-JP"/>
              </w:rPr>
              <w:t>,</w:t>
            </w:r>
            <w:r w:rsidR="002C6502">
              <w:rPr>
                <w:lang w:eastAsia="ja-JP"/>
              </w:rPr>
              <w:t>629.26</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Paid</w:t>
            </w:r>
          </w:p>
        </w:tc>
        <w:tc>
          <w:tcPr>
            <w:tcW w:w="1390" w:type="dxa"/>
            <w:shd w:val="clear" w:color="auto" w:fill="auto"/>
            <w:vAlign w:val="center"/>
          </w:tcPr>
          <w:p w:rsidR="006C3986" w:rsidRPr="00690A00" w:rsidRDefault="00E3137D" w:rsidP="007B68D3">
            <w:pPr>
              <w:pStyle w:val="NormalTNR"/>
              <w:spacing w:after="0"/>
              <w:rPr>
                <w:lang w:eastAsia="ja-JP"/>
              </w:rPr>
            </w:pPr>
            <w:r>
              <w:rPr>
                <w:lang w:eastAsia="ja-JP"/>
              </w:rPr>
              <w:t>1,038</w:t>
            </w:r>
          </w:p>
        </w:tc>
        <w:tc>
          <w:tcPr>
            <w:tcW w:w="1563" w:type="dxa"/>
            <w:shd w:val="clear" w:color="auto" w:fill="auto"/>
            <w:vAlign w:val="center"/>
          </w:tcPr>
          <w:p w:rsidR="006C3986" w:rsidRPr="00690A00" w:rsidRDefault="00E3137D" w:rsidP="007B68D3">
            <w:pPr>
              <w:pStyle w:val="NormalTNR"/>
              <w:spacing w:after="0"/>
              <w:rPr>
                <w:lang w:eastAsia="ja-JP"/>
              </w:rPr>
            </w:pPr>
            <w:r>
              <w:rPr>
                <w:lang w:eastAsia="ja-JP"/>
              </w:rPr>
              <w:t>937</w:t>
            </w:r>
          </w:p>
        </w:tc>
        <w:tc>
          <w:tcPr>
            <w:tcW w:w="1027" w:type="dxa"/>
            <w:shd w:val="clear" w:color="auto" w:fill="auto"/>
            <w:vAlign w:val="center"/>
          </w:tcPr>
          <w:p w:rsidR="006C3986" w:rsidRPr="00690A00" w:rsidRDefault="00E3137D" w:rsidP="007B68D3">
            <w:pPr>
              <w:pStyle w:val="NormalTNR"/>
              <w:spacing w:after="0"/>
              <w:rPr>
                <w:lang w:eastAsia="ja-JP"/>
              </w:rPr>
            </w:pPr>
            <w:r>
              <w:rPr>
                <w:lang w:eastAsia="ja-JP"/>
              </w:rPr>
              <w:t>54.96</w:t>
            </w:r>
            <w:r w:rsidR="00430CF4">
              <w:rPr>
                <w:lang w:eastAsia="ja-JP"/>
              </w:rPr>
              <w:t>%</w:t>
            </w:r>
          </w:p>
        </w:tc>
        <w:tc>
          <w:tcPr>
            <w:tcW w:w="1249" w:type="dxa"/>
            <w:shd w:val="clear" w:color="auto" w:fill="auto"/>
            <w:vAlign w:val="center"/>
          </w:tcPr>
          <w:p w:rsidR="006C3986" w:rsidRPr="00690A00" w:rsidRDefault="00A84085" w:rsidP="007B68D3">
            <w:pPr>
              <w:pStyle w:val="NormalTNR"/>
              <w:spacing w:after="0"/>
              <w:rPr>
                <w:lang w:eastAsia="ja-JP"/>
              </w:rPr>
            </w:pPr>
            <w:r>
              <w:rPr>
                <w:lang w:eastAsia="ja-JP"/>
              </w:rPr>
              <w:t>50</w:t>
            </w:r>
          </w:p>
        </w:tc>
        <w:tc>
          <w:tcPr>
            <w:tcW w:w="1216" w:type="dxa"/>
            <w:shd w:val="clear" w:color="auto" w:fill="auto"/>
            <w:vAlign w:val="center"/>
          </w:tcPr>
          <w:p w:rsidR="006C3986" w:rsidRPr="00690A00" w:rsidRDefault="00A84085" w:rsidP="007B68D3">
            <w:pPr>
              <w:pStyle w:val="NormalTNR"/>
              <w:spacing w:after="0"/>
              <w:rPr>
                <w:lang w:eastAsia="ja-JP"/>
              </w:rPr>
            </w:pPr>
            <w:r>
              <w:rPr>
                <w:lang w:eastAsia="ja-JP"/>
              </w:rPr>
              <w:t>46.30</w:t>
            </w:r>
            <w:r w:rsidR="00430CF4">
              <w:rPr>
                <w:lang w:eastAsia="ja-JP"/>
              </w:rPr>
              <w:t>%</w:t>
            </w:r>
          </w:p>
        </w:tc>
        <w:tc>
          <w:tcPr>
            <w:tcW w:w="1860" w:type="dxa"/>
            <w:shd w:val="clear" w:color="auto" w:fill="auto"/>
            <w:vAlign w:val="center"/>
          </w:tcPr>
          <w:p w:rsidR="006C3986" w:rsidRPr="00690A00" w:rsidRDefault="00430CF4" w:rsidP="007B68D3">
            <w:pPr>
              <w:pStyle w:val="NormalTNR"/>
              <w:spacing w:after="0"/>
              <w:rPr>
                <w:lang w:eastAsia="ja-JP"/>
              </w:rPr>
            </w:pPr>
            <w:r>
              <w:rPr>
                <w:lang w:eastAsia="ja-JP"/>
              </w:rPr>
              <w:t>$</w:t>
            </w:r>
            <w:r w:rsidR="002C6502">
              <w:rPr>
                <w:lang w:eastAsia="ja-JP"/>
              </w:rPr>
              <w:t>1</w:t>
            </w:r>
            <w:r>
              <w:rPr>
                <w:lang w:eastAsia="ja-JP"/>
              </w:rPr>
              <w:t>,</w:t>
            </w:r>
            <w:r w:rsidR="002C6502">
              <w:rPr>
                <w:lang w:eastAsia="ja-JP"/>
              </w:rPr>
              <w:t>918.35</w:t>
            </w:r>
          </w:p>
        </w:tc>
      </w:tr>
      <w:tr w:rsidR="00767813" w:rsidRPr="00937A7F" w:rsidTr="00937A7F">
        <w:trPr>
          <w:tblHeader/>
        </w:trPr>
        <w:tc>
          <w:tcPr>
            <w:tcW w:w="1230" w:type="dxa"/>
            <w:shd w:val="clear" w:color="auto" w:fill="auto"/>
          </w:tcPr>
          <w:p w:rsidR="006C3986" w:rsidRPr="00937A7F" w:rsidRDefault="006C3986" w:rsidP="00E71C1B">
            <w:pPr>
              <w:pStyle w:val="NormalTNR"/>
              <w:spacing w:after="0"/>
              <w:rPr>
                <w:b/>
                <w:lang w:eastAsia="ja-JP"/>
              </w:rPr>
            </w:pPr>
            <w:r w:rsidRPr="00937A7F">
              <w:rPr>
                <w:b/>
                <w:lang w:eastAsia="ja-JP"/>
              </w:rPr>
              <w:t>Total</w:t>
            </w:r>
          </w:p>
        </w:tc>
        <w:tc>
          <w:tcPr>
            <w:tcW w:w="1390" w:type="dxa"/>
            <w:shd w:val="clear" w:color="auto" w:fill="auto"/>
          </w:tcPr>
          <w:p w:rsidR="006C3986" w:rsidRPr="00937A7F" w:rsidRDefault="00AC32DD" w:rsidP="007B68D3">
            <w:pPr>
              <w:pStyle w:val="NormalTNR"/>
              <w:spacing w:after="0"/>
              <w:rPr>
                <w:b/>
                <w:lang w:eastAsia="ja-JP"/>
              </w:rPr>
            </w:pPr>
            <w:r>
              <w:rPr>
                <w:b/>
                <w:lang w:eastAsia="ja-JP"/>
              </w:rPr>
              <w:t>1,291</w:t>
            </w:r>
          </w:p>
        </w:tc>
        <w:tc>
          <w:tcPr>
            <w:tcW w:w="1563" w:type="dxa"/>
            <w:shd w:val="clear" w:color="auto" w:fill="auto"/>
            <w:vAlign w:val="center"/>
          </w:tcPr>
          <w:p w:rsidR="006C3986" w:rsidRPr="00E71C1B" w:rsidRDefault="00E71C1B" w:rsidP="00AC32DD">
            <w:pPr>
              <w:pStyle w:val="NormalTNR"/>
              <w:spacing w:after="0"/>
              <w:rPr>
                <w:color w:val="FFFFFF" w:themeColor="background1"/>
                <w:sz w:val="10"/>
                <w:lang w:eastAsia="ja-JP"/>
              </w:rPr>
            </w:pPr>
            <w:r w:rsidRPr="00E71C1B">
              <w:rPr>
                <w:color w:val="FFFFFF" w:themeColor="background1"/>
                <w:sz w:val="10"/>
                <w:lang w:eastAsia="ja-JP"/>
              </w:rPr>
              <w:t xml:space="preserve"> left blank</w:t>
            </w:r>
          </w:p>
        </w:tc>
        <w:tc>
          <w:tcPr>
            <w:tcW w:w="1027" w:type="dxa"/>
            <w:shd w:val="clear" w:color="auto" w:fill="auto"/>
          </w:tcPr>
          <w:p w:rsidR="006C3986" w:rsidRPr="00E71C1B" w:rsidRDefault="006C3986" w:rsidP="00AC32DD">
            <w:pPr>
              <w:pStyle w:val="NormalTNR"/>
              <w:spacing w:after="0"/>
              <w:rPr>
                <w:b/>
                <w:color w:val="FFFFFF" w:themeColor="background1"/>
                <w:lang w:eastAsia="ja-JP"/>
              </w:rPr>
            </w:pPr>
          </w:p>
        </w:tc>
        <w:tc>
          <w:tcPr>
            <w:tcW w:w="1249"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16"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860" w:type="dxa"/>
            <w:shd w:val="clear" w:color="auto" w:fill="auto"/>
            <w:vAlign w:val="center"/>
          </w:tcPr>
          <w:p w:rsidR="006C3986" w:rsidRPr="00937A7F" w:rsidRDefault="00430CF4" w:rsidP="007B68D3">
            <w:pPr>
              <w:pStyle w:val="NormalTNR"/>
              <w:spacing w:after="0"/>
              <w:rPr>
                <w:b/>
                <w:lang w:eastAsia="ja-JP"/>
              </w:rPr>
            </w:pPr>
            <w:r>
              <w:rPr>
                <w:b/>
                <w:lang w:eastAsia="ja-JP"/>
              </w:rPr>
              <w:t>$</w:t>
            </w:r>
            <w:r w:rsidR="002C6502">
              <w:rPr>
                <w:b/>
                <w:lang w:eastAsia="ja-JP"/>
              </w:rPr>
              <w:t>15</w:t>
            </w:r>
            <w:r>
              <w:rPr>
                <w:b/>
                <w:lang w:eastAsia="ja-JP"/>
              </w:rPr>
              <w:t>,</w:t>
            </w:r>
            <w:r w:rsidR="002C6502">
              <w:rPr>
                <w:b/>
                <w:lang w:eastAsia="ja-JP"/>
              </w:rPr>
              <w:t>457.90</w:t>
            </w:r>
          </w:p>
        </w:tc>
      </w:tr>
    </w:tbl>
    <w:p w:rsidR="00A03102" w:rsidRPr="007D3AFD" w:rsidRDefault="007D3AFD" w:rsidP="007D3AFD">
      <w:pPr>
        <w:rPr>
          <w:lang w:eastAsia="ja-JP"/>
        </w:rPr>
      </w:pPr>
      <w:r>
        <w:rPr>
          <w:lang w:eastAsia="ja-JP"/>
        </w:rPr>
        <w:br w:type="page"/>
      </w:r>
    </w:p>
    <w:p w:rsidR="00A61E27" w:rsidRPr="00A61E27" w:rsidRDefault="00A03102" w:rsidP="00A61E27">
      <w:pPr>
        <w:pStyle w:val="Heading2"/>
        <w:spacing w:after="480"/>
        <w:rPr>
          <w:sz w:val="28"/>
        </w:rPr>
      </w:pPr>
      <w:r w:rsidRPr="00A61E27">
        <w:rPr>
          <w:sz w:val="28"/>
        </w:rPr>
        <w:lastRenderedPageBreak/>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10158" w:type="dxa"/>
        <w:tblLook w:val="04A0" w:firstRow="1" w:lastRow="0" w:firstColumn="1" w:lastColumn="0" w:noHBand="0" w:noVBand="1"/>
        <w:tblCaption w:val="Program Access and Reimbursement"/>
        <w:tblDescription w:val="Program access and reimbursement findings"/>
      </w:tblPr>
      <w:tblGrid>
        <w:gridCol w:w="5078"/>
        <w:gridCol w:w="5080"/>
      </w:tblGrid>
      <w:tr w:rsidR="00A61E27" w:rsidRPr="007D3AFD" w:rsidTr="00AC32DD">
        <w:trPr>
          <w:trHeight w:hRule="exact" w:val="471"/>
          <w:tblHeader/>
        </w:trPr>
        <w:tc>
          <w:tcPr>
            <w:tcW w:w="5078"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5080"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C32DD">
        <w:trPr>
          <w:trHeight w:val="21"/>
        </w:trPr>
        <w:tc>
          <w:tcPr>
            <w:tcW w:w="5078"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5080" w:type="dxa"/>
            <w:vAlign w:val="center"/>
          </w:tcPr>
          <w:p w:rsidR="006D0B91" w:rsidRPr="00AC32DD"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p>
        </w:tc>
      </w:tr>
      <w:tr w:rsidR="00906D57" w:rsidRPr="007D3AFD" w:rsidTr="00AC32DD">
        <w:trPr>
          <w:trHeight w:val="21"/>
        </w:trPr>
        <w:tc>
          <w:tcPr>
            <w:tcW w:w="5078"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5080"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C32DD">
        <w:trPr>
          <w:trHeight w:val="21"/>
        </w:trPr>
        <w:tc>
          <w:tcPr>
            <w:tcW w:w="5078"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5080" w:type="dxa"/>
            <w:vAlign w:val="center"/>
          </w:tcPr>
          <w:p w:rsidR="00EF1C86" w:rsidRPr="00AC32DD"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C32DD">
        <w:trPr>
          <w:trHeight w:val="21"/>
        </w:trPr>
        <w:tc>
          <w:tcPr>
            <w:tcW w:w="5078"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5080"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C32DD">
        <w:trPr>
          <w:trHeight w:val="21"/>
        </w:trPr>
        <w:tc>
          <w:tcPr>
            <w:tcW w:w="5078"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5080" w:type="dxa"/>
            <w:vAlign w:val="center"/>
          </w:tcPr>
          <w:p w:rsidR="00EF1C86" w:rsidRPr="00AC32DD"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C32DD">
        <w:trPr>
          <w:trHeight w:val="21"/>
        </w:trPr>
        <w:tc>
          <w:tcPr>
            <w:tcW w:w="5078"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5080"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10174" w:type="dxa"/>
        <w:tblLook w:val="04A0" w:firstRow="1" w:lastRow="0" w:firstColumn="1" w:lastColumn="0" w:noHBand="0" w:noVBand="1"/>
        <w:tblCaption w:val="Meal Patterns and Nutritional Quality"/>
        <w:tblDescription w:val="Meal patterns and nutritional quality findings"/>
      </w:tblPr>
      <w:tblGrid>
        <w:gridCol w:w="5087"/>
        <w:gridCol w:w="5087"/>
      </w:tblGrid>
      <w:tr w:rsidR="00A61E27" w:rsidRPr="007D3AFD" w:rsidTr="00AC32DD">
        <w:trPr>
          <w:trHeight w:val="20"/>
          <w:tblHeader/>
        </w:trPr>
        <w:tc>
          <w:tcPr>
            <w:tcW w:w="5087"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5087"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C32DD">
        <w:trPr>
          <w:trHeight w:val="20"/>
        </w:trPr>
        <w:tc>
          <w:tcPr>
            <w:tcW w:w="5087"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5087" w:type="dxa"/>
            <w:vAlign w:val="center"/>
          </w:tcPr>
          <w:p w:rsidR="004A5012" w:rsidRPr="00AC32DD"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C32DD">
        <w:trPr>
          <w:trHeight w:val="20"/>
        </w:trPr>
        <w:tc>
          <w:tcPr>
            <w:tcW w:w="5087"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5087"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C32DD">
        <w:trPr>
          <w:trHeight w:val="20"/>
        </w:trPr>
        <w:tc>
          <w:tcPr>
            <w:tcW w:w="5087"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5087" w:type="dxa"/>
            <w:vAlign w:val="center"/>
          </w:tcPr>
          <w:p w:rsidR="004A5012" w:rsidRPr="00AC32DD"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C32DD">
        <w:trPr>
          <w:trHeight w:val="20"/>
        </w:trPr>
        <w:tc>
          <w:tcPr>
            <w:tcW w:w="5087"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5087"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C32DD">
        <w:trPr>
          <w:trHeight w:val="20"/>
        </w:trPr>
        <w:tc>
          <w:tcPr>
            <w:tcW w:w="5087"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5087" w:type="dxa"/>
            <w:vAlign w:val="center"/>
          </w:tcPr>
          <w:p w:rsidR="004A5012" w:rsidRPr="00AC32DD"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C32DD">
        <w:trPr>
          <w:trHeight w:val="20"/>
        </w:trPr>
        <w:tc>
          <w:tcPr>
            <w:tcW w:w="5087"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5087"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10165" w:type="dxa"/>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5484"/>
      </w:tblGrid>
      <w:tr w:rsidR="00A61E27" w:rsidRPr="007D3AFD" w:rsidTr="00AC32D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5490"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C32DD">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5484" w:type="dxa"/>
            <w:vAlign w:val="center"/>
          </w:tcPr>
          <w:p w:rsidR="004A5012" w:rsidRPr="00AC32DD" w:rsidRDefault="00BC757A" w:rsidP="00BC0516">
            <w:pPr>
              <w:rPr>
                <w:rFonts w:ascii="Times New Roman" w:eastAsia="Times New Roman" w:hAnsi="Times New Roman"/>
                <w:b/>
                <w:color w:val="005E20"/>
                <w:szCs w:val="16"/>
                <w:lang w:eastAsia="ja-JP"/>
              </w:rPr>
            </w:pPr>
            <w:r>
              <w:pict>
                <v:shape id="_x0000_i1032" type="#_x0000_t75" alt="Denotes no findings" style="width:15pt;height:15pt;visibility:visible;mso-wrap-style:square">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C32DD">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5484"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C32DD">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5484" w:type="dxa"/>
            <w:vAlign w:val="center"/>
          </w:tcPr>
          <w:p w:rsidR="006475A6" w:rsidRPr="00AC32DD"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C32DD">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5484"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C32DD">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lastRenderedPageBreak/>
              <w:t>Competitive Foods</w:t>
            </w:r>
          </w:p>
        </w:tc>
        <w:tc>
          <w:tcPr>
            <w:tcW w:w="5484" w:type="dxa"/>
            <w:vAlign w:val="center"/>
          </w:tcPr>
          <w:p w:rsidR="006475A6" w:rsidRPr="00AC32DD"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C32DD">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5484"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C32DD">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5484" w:type="dxa"/>
            <w:vAlign w:val="center"/>
          </w:tcPr>
          <w:p w:rsidR="006475A6" w:rsidRPr="00AC32DD"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AC32DD">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5484"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EA" w:rsidRDefault="00E315EA" w:rsidP="00EA0AD0">
      <w:pPr>
        <w:spacing w:before="0" w:after="0"/>
      </w:pPr>
      <w:r>
        <w:separator/>
      </w:r>
    </w:p>
  </w:endnote>
  <w:endnote w:type="continuationSeparator" w:id="0">
    <w:p w:rsidR="00E315EA" w:rsidRDefault="00E315EA"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EA" w:rsidRDefault="00E315EA" w:rsidP="00EA0AD0">
      <w:pPr>
        <w:spacing w:before="0" w:after="0"/>
      </w:pPr>
      <w:r>
        <w:separator/>
      </w:r>
    </w:p>
  </w:footnote>
  <w:footnote w:type="continuationSeparator" w:id="0">
    <w:p w:rsidR="00E315EA" w:rsidRDefault="00E315EA" w:rsidP="00EA0AD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1.75pt;height:21.75pt;visibility:visible;mso-wrap-style:square" o:bullet="t">
        <v:imagedata r:id="rId1" o:title=""/>
      </v:shape>
    </w:pict>
  </w:numPicBullet>
  <w:numPicBullet w:numPicBulletId="1">
    <w:pict>
      <v:shape id="_x0000_i1083" type="#_x0000_t75" alt="Denotes no findings" style="width:15pt;height:15pt;visibility:visible;mso-wrap-style:square" o:bullet="t">
        <v:imagedata r:id="rId2" o:title="Denotes no findings"/>
      </v:shape>
    </w:pict>
  </w:numPicBullet>
  <w:numPicBullet w:numPicBulletId="2">
    <w:pict>
      <v:shape id="_x0000_i1084" type="#_x0000_t75" alt="Denotes findings identified" style="width:21.75pt;height:21.75pt;visibility:visible;mso-wrap-style:square" o:bullet="t">
        <v:imagedata r:id="rId3" o:title="Denotes findings identified"/>
      </v:shape>
    </w:pict>
  </w:numPicBullet>
  <w:numPicBullet w:numPicBulletId="3">
    <w:pict>
      <v:shape id="_x0000_i1085" type="#_x0000_t75" style="width:15.75pt;height:15.75pt;visibility:visible;mso-wrap-style:square" o:bullet="t">
        <v:imagedata r:id="rId4" o:title=""/>
      </v:shape>
    </w:pict>
  </w:numPicBullet>
  <w:numPicBullet w:numPicBulletId="4">
    <w:pict>
      <v:shape id="_x0000_i1086" type="#_x0000_t75" style="width:15pt;height:15pt;visibility:visible;mso-wrap-style:square" o:bullet="t">
        <v:imagedata r:id="rId5" o:title=""/>
      </v:shape>
    </w:pict>
  </w:numPicBullet>
  <w:numPicBullet w:numPicBulletId="5">
    <w:pict>
      <v:shape id="_x0000_i1087" type="#_x0000_t75" alt="Denotes no findings" style="width:15pt;height:15pt;visibility:visible;mso-wrap-style:square" o:bullet="t">
        <v:imagedata r:id="rId6" o:title="Denotes no findings"/>
      </v:shape>
    </w:pict>
  </w:numPicBullet>
  <w:numPicBullet w:numPicBulletId="6">
    <w:pict>
      <v:shape id="_x0000_i1088" type="#_x0000_t75" style="width:15pt;height:15pt;visibility:visible;mso-wrap-style:square" o:bullet="t">
        <v:imagedata r:id="rId7" o:title=""/>
      </v:shape>
    </w:pict>
  </w:numPicBullet>
  <w:abstractNum w:abstractNumId="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C6502"/>
    <w:rsid w:val="002D2FED"/>
    <w:rsid w:val="002D4167"/>
    <w:rsid w:val="0031611E"/>
    <w:rsid w:val="0032739D"/>
    <w:rsid w:val="003507AB"/>
    <w:rsid w:val="003C5AEE"/>
    <w:rsid w:val="003C7DDC"/>
    <w:rsid w:val="003D1F8B"/>
    <w:rsid w:val="00430CF4"/>
    <w:rsid w:val="0045724B"/>
    <w:rsid w:val="00464DF8"/>
    <w:rsid w:val="004A5012"/>
    <w:rsid w:val="004C04E4"/>
    <w:rsid w:val="004C18F7"/>
    <w:rsid w:val="004D45AD"/>
    <w:rsid w:val="00527106"/>
    <w:rsid w:val="00576EFE"/>
    <w:rsid w:val="00593DA0"/>
    <w:rsid w:val="005C2719"/>
    <w:rsid w:val="005E617A"/>
    <w:rsid w:val="005E72E8"/>
    <w:rsid w:val="006070B4"/>
    <w:rsid w:val="00620948"/>
    <w:rsid w:val="006475A6"/>
    <w:rsid w:val="00690A00"/>
    <w:rsid w:val="00694D91"/>
    <w:rsid w:val="006C3986"/>
    <w:rsid w:val="006D0B91"/>
    <w:rsid w:val="006E68D8"/>
    <w:rsid w:val="006F4EE6"/>
    <w:rsid w:val="0070509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4047B"/>
    <w:rsid w:val="00A51528"/>
    <w:rsid w:val="00A61E27"/>
    <w:rsid w:val="00A72169"/>
    <w:rsid w:val="00A7393F"/>
    <w:rsid w:val="00A84085"/>
    <w:rsid w:val="00AA5A0C"/>
    <w:rsid w:val="00AC32DD"/>
    <w:rsid w:val="00AC433F"/>
    <w:rsid w:val="00B130AE"/>
    <w:rsid w:val="00B2489A"/>
    <w:rsid w:val="00B34186"/>
    <w:rsid w:val="00B62C03"/>
    <w:rsid w:val="00BC0516"/>
    <w:rsid w:val="00BC757A"/>
    <w:rsid w:val="00C450BF"/>
    <w:rsid w:val="00C55670"/>
    <w:rsid w:val="00C75889"/>
    <w:rsid w:val="00CC5420"/>
    <w:rsid w:val="00D8766D"/>
    <w:rsid w:val="00DB68F3"/>
    <w:rsid w:val="00DD07D9"/>
    <w:rsid w:val="00DE1159"/>
    <w:rsid w:val="00DF70F6"/>
    <w:rsid w:val="00E3137D"/>
    <w:rsid w:val="00E315EA"/>
    <w:rsid w:val="00E63DC5"/>
    <w:rsid w:val="00E71C1B"/>
    <w:rsid w:val="00E74FFA"/>
    <w:rsid w:val="00EA0AD0"/>
    <w:rsid w:val="00EB6A3E"/>
    <w:rsid w:val="00EC4887"/>
    <w:rsid w:val="00EC4C76"/>
    <w:rsid w:val="00EF1C86"/>
    <w:rsid w:val="00EF640A"/>
    <w:rsid w:val="00F04C94"/>
    <w:rsid w:val="00F205EF"/>
    <w:rsid w:val="00F32B5F"/>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8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8.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FF3D-EA97-4F21-AC27-868293F0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Quantico fpar summary 2018</vt:lpstr>
    </vt:vector>
  </TitlesOfParts>
  <Company>Virginia IT Infrastructure Partnership</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Quantico FPAR Summary 2018</dc:title>
  <dc:creator>DOE - NUTRITION (DOE)</dc:creator>
  <cp:lastModifiedBy>Judkins, LaDonna (DOE)</cp:lastModifiedBy>
  <cp:revision>4</cp:revision>
  <cp:lastPrinted>2018-03-27T12:01:00Z</cp:lastPrinted>
  <dcterms:created xsi:type="dcterms:W3CDTF">2019-01-02T20:33:00Z</dcterms:created>
  <dcterms:modified xsi:type="dcterms:W3CDTF">2019-01-02T20:39:00Z</dcterms:modified>
</cp:coreProperties>
</file>