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3D27FD">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FB1DB6">
        <w:rPr>
          <w:rFonts w:cs="Times New Roman"/>
          <w:szCs w:val="24"/>
        </w:rPr>
        <w:tab/>
      </w:r>
      <w:r w:rsidR="00C75D3C">
        <w:rPr>
          <w:rFonts w:cs="Times New Roman"/>
          <w:szCs w:val="24"/>
        </w:rPr>
        <w:t>J</w:t>
      </w:r>
    </w:p>
    <w:p w:rsidR="00A972CE" w:rsidRPr="007503E8" w:rsidRDefault="00A972CE" w:rsidP="003D27FD">
      <w:pPr>
        <w:pStyle w:val="Heading2"/>
        <w:spacing w:before="0"/>
      </w:pPr>
      <w:r w:rsidRPr="007503E8">
        <w:t>Date:</w:t>
      </w:r>
      <w:r w:rsidR="007503E8" w:rsidRPr="007503E8">
        <w:tab/>
      </w:r>
      <w:r w:rsidR="00FB1DB6">
        <w:tab/>
      </w:r>
      <w:r w:rsidR="00FB1DB6">
        <w:tab/>
      </w:r>
      <w:r w:rsidR="00BF0F1A">
        <w:t>June 20, 2019</w:t>
      </w:r>
    </w:p>
    <w:p w:rsidR="00A972CE" w:rsidRPr="007503E8" w:rsidRDefault="00A972CE" w:rsidP="00FB1DB6">
      <w:pPr>
        <w:pStyle w:val="Heading3"/>
        <w:spacing w:before="0" w:after="240"/>
        <w:ind w:left="2160" w:hanging="2160"/>
        <w:rPr>
          <w:rFonts w:cs="Times New Roman"/>
          <w:color w:val="auto"/>
          <w:szCs w:val="24"/>
        </w:rPr>
      </w:pPr>
      <w:r w:rsidRPr="007503E8">
        <w:rPr>
          <w:rFonts w:cs="Times New Roman"/>
          <w:color w:val="auto"/>
          <w:szCs w:val="24"/>
        </w:rPr>
        <w:t xml:space="preserve">Title: </w:t>
      </w:r>
      <w:r w:rsidR="00FB1DB6">
        <w:rPr>
          <w:rFonts w:cs="Times New Roman"/>
          <w:color w:val="auto"/>
          <w:szCs w:val="24"/>
        </w:rPr>
        <w:tab/>
      </w:r>
      <w:r w:rsidR="00BF0F1A">
        <w:rPr>
          <w:rFonts w:cs="Times New Roman"/>
          <w:color w:val="auto"/>
          <w:szCs w:val="24"/>
        </w:rPr>
        <w:t xml:space="preserve">First Review of an Amendment to Virginia’s Consolidated State Plan under the </w:t>
      </w:r>
      <w:r w:rsidR="00BF0F1A" w:rsidRPr="00BF0F1A">
        <w:rPr>
          <w:rFonts w:cs="Times New Roman"/>
          <w:i/>
          <w:color w:val="auto"/>
          <w:szCs w:val="24"/>
        </w:rPr>
        <w:t>Every Student Succeeds Act of 2015</w:t>
      </w:r>
      <w:r w:rsidR="00B54CA9">
        <w:rPr>
          <w:rFonts w:cs="Times New Roman"/>
          <w:color w:val="auto"/>
          <w:szCs w:val="24"/>
        </w:rPr>
        <w:t xml:space="preserve"> (ESSA) – Amendment Three</w:t>
      </w:r>
    </w:p>
    <w:p w:rsidR="007503E8" w:rsidRPr="007503E8" w:rsidRDefault="00A972CE" w:rsidP="003D27FD">
      <w:pPr>
        <w:pStyle w:val="Heading4"/>
        <w:spacing w:before="0" w:after="240"/>
        <w:rPr>
          <w:rFonts w:cs="Times New Roman"/>
          <w:szCs w:val="24"/>
        </w:rPr>
      </w:pPr>
      <w:r w:rsidRPr="007503E8">
        <w:rPr>
          <w:rFonts w:cs="Times New Roman"/>
          <w:szCs w:val="24"/>
        </w:rPr>
        <w:t xml:space="preserve">Presenter: </w:t>
      </w:r>
      <w:r w:rsidR="00FB1DB6">
        <w:rPr>
          <w:rFonts w:cs="Times New Roman"/>
          <w:szCs w:val="24"/>
        </w:rPr>
        <w:tab/>
      </w:r>
      <w:r w:rsidR="00FB1DB6">
        <w:rPr>
          <w:rFonts w:cs="Times New Roman"/>
          <w:szCs w:val="24"/>
        </w:rPr>
        <w:tab/>
      </w:r>
      <w:r w:rsidR="00BF0F1A">
        <w:rPr>
          <w:rFonts w:cs="Times New Roman"/>
          <w:szCs w:val="24"/>
        </w:rPr>
        <w:t>Dr. Lynn Sodat, Director, Office of ESEA Programs</w:t>
      </w:r>
    </w:p>
    <w:p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775706">
        <w:rPr>
          <w:rFonts w:cs="Times New Roman"/>
          <w:szCs w:val="24"/>
        </w:rPr>
        <w:tab/>
      </w:r>
      <w:r w:rsidR="00775706">
        <w:rPr>
          <w:rFonts w:cs="Times New Roman"/>
          <w:szCs w:val="24"/>
        </w:rPr>
        <w:tab/>
      </w:r>
      <w:hyperlink r:id="rId10" w:history="1">
        <w:r w:rsidR="00BF0F1A" w:rsidRPr="00A002E8">
          <w:rPr>
            <w:rStyle w:val="Hyperlink"/>
            <w:rFonts w:cs="Times New Roman"/>
            <w:szCs w:val="24"/>
          </w:rPr>
          <w:t>Lynn.Sodat@doe.virginia.gov</w:t>
        </w:r>
      </w:hyperlink>
      <w:r w:rsidR="00BF0F1A">
        <w:rPr>
          <w:rFonts w:cs="Times New Roman"/>
          <w:szCs w:val="24"/>
        </w:rPr>
        <w:t xml:space="preserve"> </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BF0F1A">
        <w:rPr>
          <w:rFonts w:cs="Times New Roman"/>
          <w:szCs w:val="24"/>
        </w:rPr>
        <w:t>804-225-2870</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DE10FB" w:rsidRDefault="00C75D3C" w:rsidP="00DE10FB">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F0F1A">
            <w:t>Action required by state or federal law or regulation.</w:t>
          </w:r>
        </w:sdtContent>
      </w:sdt>
    </w:p>
    <w:p w:rsidR="00DE10FB" w:rsidRPr="00DE10FB" w:rsidRDefault="00DE10FB" w:rsidP="00DE10FB">
      <w:pPr>
        <w:spacing w:after="0"/>
        <w:rPr>
          <w:rStyle w:val="Heading2Char"/>
          <w:rFonts w:eastAsiaTheme="minorHAnsi" w:cstheme="minorBidi"/>
          <w:b w:val="0"/>
          <w:bCs w:val="0"/>
          <w:szCs w:val="22"/>
        </w:rPr>
      </w:pPr>
    </w:p>
    <w:p w:rsidR="0024560F" w:rsidRDefault="00A972CE" w:rsidP="0024560F">
      <w:pPr>
        <w:pStyle w:val="Heading2"/>
        <w:spacing w:before="0" w:after="0"/>
      </w:pPr>
      <w:r w:rsidRPr="0024560F">
        <w:rPr>
          <w:rStyle w:val="Heading2Char"/>
          <w:b/>
        </w:rPr>
        <w:t>Executive Summary:</w:t>
      </w:r>
    </w:p>
    <w:p w:rsidR="0024560F" w:rsidRDefault="0024560F" w:rsidP="0024560F">
      <w:pPr>
        <w:spacing w:after="0"/>
      </w:pPr>
      <w:r>
        <w:t xml:space="preserve">An amendment to Virginia’s </w:t>
      </w:r>
      <w:r w:rsidR="004164A0">
        <w:t>consolidated</w:t>
      </w:r>
      <w:r>
        <w:t xml:space="preserve"> state plan</w:t>
      </w:r>
      <w:r w:rsidR="004164A0">
        <w:t xml:space="preserve"> under the </w:t>
      </w:r>
      <w:r w:rsidR="004164A0" w:rsidRPr="004164A0">
        <w:rPr>
          <w:i/>
        </w:rPr>
        <w:t>Every Student Succeeds Act of 2015</w:t>
      </w:r>
      <w:r w:rsidR="004164A0">
        <w:t xml:space="preserve"> (ESSA)</w:t>
      </w:r>
      <w:r>
        <w:t xml:space="preserve"> is recommended to make </w:t>
      </w:r>
      <w:r w:rsidR="005D75BF">
        <w:t>four</w:t>
      </w:r>
      <w:r>
        <w:t xml:space="preserve"> changes to the plan. </w:t>
      </w:r>
    </w:p>
    <w:p w:rsidR="0024560F" w:rsidRDefault="0024560F" w:rsidP="0024560F">
      <w:pPr>
        <w:spacing w:after="0"/>
      </w:pPr>
    </w:p>
    <w:p w:rsidR="0024560F" w:rsidRDefault="0024560F" w:rsidP="0024560F">
      <w:pPr>
        <w:contextualSpacing/>
      </w:pPr>
      <w:r w:rsidRPr="007E6D82">
        <w:rPr>
          <w:u w:val="single"/>
        </w:rPr>
        <w:t>Graduation Rate</w:t>
      </w:r>
    </w:p>
    <w:p w:rsidR="0024560F" w:rsidRDefault="0024560F" w:rsidP="0024560F">
      <w:pPr>
        <w:contextualSpacing/>
      </w:pPr>
      <w:r>
        <w:t xml:space="preserve">The Federal Graduation Indicator (FGI) is currently calculated using the previous year’s cohort data. Under ESSA, states are no longer required to identify schools for support and improvement prior to the beginning of the school year. This more flexible timeline permits Virginia to use the current year’s cohort data to calculate the FGI. The amendment proposes to use current year data for this calculation; no changes to the targets are proposed. </w:t>
      </w:r>
    </w:p>
    <w:p w:rsidR="0024560F" w:rsidRDefault="0024560F" w:rsidP="0024560F">
      <w:pPr>
        <w:contextualSpacing/>
      </w:pPr>
    </w:p>
    <w:p w:rsidR="0024560F" w:rsidRPr="009B33E5" w:rsidRDefault="0024560F" w:rsidP="0024560F">
      <w:pPr>
        <w:contextualSpacing/>
        <w:rPr>
          <w:u w:val="single"/>
        </w:rPr>
      </w:pPr>
      <w:r w:rsidRPr="009B33E5">
        <w:rPr>
          <w:u w:val="single"/>
        </w:rPr>
        <w:t>Mathematics Targets</w:t>
      </w:r>
    </w:p>
    <w:p w:rsidR="0024560F" w:rsidRDefault="0024560F" w:rsidP="0024560F">
      <w:pPr>
        <w:contextualSpacing/>
      </w:pPr>
      <w:r w:rsidRPr="009B33E5">
        <w:t xml:space="preserve">In accordance with Virginia’s standards and assessment review schedule, new </w:t>
      </w:r>
      <w:r>
        <w:t xml:space="preserve">Standards of Learning </w:t>
      </w:r>
      <w:r w:rsidRPr="009B33E5">
        <w:t>mathematics</w:t>
      </w:r>
      <w:r>
        <w:t xml:space="preserve"> tests</w:t>
      </w:r>
      <w:r w:rsidRPr="009B33E5">
        <w:t xml:space="preserve"> </w:t>
      </w:r>
      <w:r>
        <w:t xml:space="preserve">are being administered this year. </w:t>
      </w:r>
      <w:r w:rsidRPr="009B33E5">
        <w:t xml:space="preserve">Revised </w:t>
      </w:r>
      <w:r>
        <w:t xml:space="preserve">federal mathematics </w:t>
      </w:r>
      <w:r w:rsidRPr="009B33E5">
        <w:t xml:space="preserve">targets will be established </w:t>
      </w:r>
      <w:r>
        <w:t xml:space="preserve">this summer once statewide data are available. The new targets must be submitted to the U.S. Department of Education </w:t>
      </w:r>
      <w:r w:rsidR="00306E2A">
        <w:t xml:space="preserve">(USED) </w:t>
      </w:r>
      <w:r>
        <w:t xml:space="preserve">for review and approval. No changes to the methodology for establishing the targets are proposed. </w:t>
      </w:r>
    </w:p>
    <w:p w:rsidR="005D75BF" w:rsidRDefault="005D75BF" w:rsidP="0024560F">
      <w:pPr>
        <w:contextualSpacing/>
      </w:pPr>
    </w:p>
    <w:p w:rsidR="00775706" w:rsidRDefault="00775706" w:rsidP="0024560F">
      <w:pPr>
        <w:contextualSpacing/>
        <w:rPr>
          <w:u w:val="single"/>
        </w:rPr>
        <w:sectPr w:rsidR="00775706" w:rsidSect="00775706">
          <w:footerReference w:type="default" r:id="rId11"/>
          <w:pgSz w:w="12240" w:h="15840"/>
          <w:pgMar w:top="1440" w:right="1440" w:bottom="1440" w:left="1440" w:header="720" w:footer="720" w:gutter="0"/>
          <w:pgNumType w:fmt="upperLetter"/>
          <w:cols w:space="720"/>
          <w:docGrid w:linePitch="360"/>
        </w:sectPr>
      </w:pPr>
    </w:p>
    <w:p w:rsidR="005D75BF" w:rsidRDefault="005D75BF" w:rsidP="0024560F">
      <w:pPr>
        <w:contextualSpacing/>
        <w:rPr>
          <w:u w:val="single"/>
        </w:rPr>
      </w:pPr>
      <w:r w:rsidRPr="005D75BF">
        <w:rPr>
          <w:u w:val="single"/>
        </w:rPr>
        <w:lastRenderedPageBreak/>
        <w:t>Chronic Absenteeism Targets</w:t>
      </w:r>
    </w:p>
    <w:p w:rsidR="005D75BF" w:rsidRDefault="005D75BF" w:rsidP="0024560F">
      <w:pPr>
        <w:contextualSpacing/>
      </w:pPr>
      <w:r>
        <w:t>The chronic absenteeism targets were calculated using the average rate of chronic absenteeism in each student group as the baseline and ten percent or less of students chronically absent as the long term goal. The amendment proposes to use the chronic absenteeism rate of the school at the 20</w:t>
      </w:r>
      <w:r w:rsidRPr="005D75BF">
        <w:rPr>
          <w:vertAlign w:val="superscript"/>
        </w:rPr>
        <w:t>th</w:t>
      </w:r>
      <w:r>
        <w:t xml:space="preserve"> percentile of enrollment as the baseline and to update the baseline data by using the 2017-2018 school </w:t>
      </w:r>
      <w:proofErr w:type="gramStart"/>
      <w:r>
        <w:t>year</w:t>
      </w:r>
      <w:proofErr w:type="gramEnd"/>
      <w:r>
        <w:t xml:space="preserve"> as the baseline year.  This methodology is aligned with the methodology used to determine the other federal targets. The proposed targets are provided in the table below. </w:t>
      </w:r>
    </w:p>
    <w:p w:rsidR="005D75BF" w:rsidRDefault="005D75BF" w:rsidP="0024560F">
      <w:pPr>
        <w:contextualSpacing/>
      </w:pPr>
    </w:p>
    <w:tbl>
      <w:tblPr>
        <w:tblStyle w:val="TableGrid"/>
        <w:tblW w:w="9738" w:type="dxa"/>
        <w:tblLook w:val="04A0" w:firstRow="1" w:lastRow="0" w:firstColumn="1" w:lastColumn="0" w:noHBand="0" w:noVBand="1"/>
        <w:tblCaption w:val="Proposed Chronic Absenteeism Targets"/>
        <w:tblDescription w:val="This table provides the proposed chronic absenteeism targets. The targets begin in accountability year 2019-2020 and end with a long term goal of 10 percent or fewer students chronically absent in accountability year 2024-2025."/>
      </w:tblPr>
      <w:tblGrid>
        <w:gridCol w:w="1738"/>
        <w:gridCol w:w="1157"/>
        <w:gridCol w:w="1129"/>
        <w:gridCol w:w="1129"/>
        <w:gridCol w:w="1129"/>
        <w:gridCol w:w="1129"/>
        <w:gridCol w:w="1129"/>
        <w:gridCol w:w="1198"/>
      </w:tblGrid>
      <w:tr w:rsidR="005D75BF" w:rsidTr="00FC1D0A">
        <w:trPr>
          <w:tblHeader/>
        </w:trPr>
        <w:tc>
          <w:tcPr>
            <w:tcW w:w="1738" w:type="dxa"/>
          </w:tcPr>
          <w:p w:rsidR="005D75BF" w:rsidRDefault="005D75BF" w:rsidP="0024560F">
            <w:pPr>
              <w:contextualSpacing/>
            </w:pPr>
          </w:p>
        </w:tc>
        <w:tc>
          <w:tcPr>
            <w:tcW w:w="1157" w:type="dxa"/>
          </w:tcPr>
          <w:p w:rsidR="005D75BF" w:rsidRPr="00FB1DB6" w:rsidRDefault="005D75BF" w:rsidP="00FB1DB6">
            <w:pPr>
              <w:contextualSpacing/>
              <w:jc w:val="center"/>
              <w:rPr>
                <w:b/>
              </w:rPr>
            </w:pPr>
            <w:r w:rsidRPr="00FB1DB6">
              <w:rPr>
                <w:b/>
              </w:rPr>
              <w:t>Baseline</w:t>
            </w:r>
          </w:p>
        </w:tc>
        <w:tc>
          <w:tcPr>
            <w:tcW w:w="1129" w:type="dxa"/>
          </w:tcPr>
          <w:p w:rsidR="005D75BF" w:rsidRPr="00FB1DB6" w:rsidRDefault="005D75BF" w:rsidP="00FB1DB6">
            <w:pPr>
              <w:contextualSpacing/>
              <w:jc w:val="center"/>
              <w:rPr>
                <w:b/>
              </w:rPr>
            </w:pPr>
            <w:r w:rsidRPr="00FB1DB6">
              <w:rPr>
                <w:b/>
              </w:rPr>
              <w:t>Year 2 Targets</w:t>
            </w:r>
          </w:p>
        </w:tc>
        <w:tc>
          <w:tcPr>
            <w:tcW w:w="1129" w:type="dxa"/>
          </w:tcPr>
          <w:p w:rsidR="005D75BF" w:rsidRPr="00FB1DB6" w:rsidRDefault="005D75BF" w:rsidP="00FB1DB6">
            <w:pPr>
              <w:contextualSpacing/>
              <w:jc w:val="center"/>
              <w:rPr>
                <w:b/>
              </w:rPr>
            </w:pPr>
            <w:r w:rsidRPr="00FB1DB6">
              <w:rPr>
                <w:b/>
              </w:rPr>
              <w:t>Year 3 Targets</w:t>
            </w:r>
          </w:p>
        </w:tc>
        <w:tc>
          <w:tcPr>
            <w:tcW w:w="1129" w:type="dxa"/>
          </w:tcPr>
          <w:p w:rsidR="005D75BF" w:rsidRPr="00FB1DB6" w:rsidRDefault="005D75BF" w:rsidP="00FB1DB6">
            <w:pPr>
              <w:contextualSpacing/>
              <w:jc w:val="center"/>
              <w:rPr>
                <w:b/>
              </w:rPr>
            </w:pPr>
            <w:r w:rsidRPr="00FB1DB6">
              <w:rPr>
                <w:b/>
              </w:rPr>
              <w:t>Year 4 Targets</w:t>
            </w:r>
          </w:p>
        </w:tc>
        <w:tc>
          <w:tcPr>
            <w:tcW w:w="1129" w:type="dxa"/>
          </w:tcPr>
          <w:p w:rsidR="005D75BF" w:rsidRPr="00FB1DB6" w:rsidRDefault="005D75BF" w:rsidP="00FB1DB6">
            <w:pPr>
              <w:contextualSpacing/>
              <w:jc w:val="center"/>
              <w:rPr>
                <w:b/>
              </w:rPr>
            </w:pPr>
            <w:r w:rsidRPr="00FB1DB6">
              <w:rPr>
                <w:b/>
              </w:rPr>
              <w:t>Year 5 Targets</w:t>
            </w:r>
          </w:p>
        </w:tc>
        <w:tc>
          <w:tcPr>
            <w:tcW w:w="1129" w:type="dxa"/>
          </w:tcPr>
          <w:p w:rsidR="005D75BF" w:rsidRPr="00FB1DB6" w:rsidRDefault="005D75BF" w:rsidP="00FB1DB6">
            <w:pPr>
              <w:contextualSpacing/>
              <w:jc w:val="center"/>
              <w:rPr>
                <w:b/>
              </w:rPr>
            </w:pPr>
            <w:r w:rsidRPr="00FB1DB6">
              <w:rPr>
                <w:b/>
              </w:rPr>
              <w:t>Year 6 Targets</w:t>
            </w:r>
          </w:p>
        </w:tc>
        <w:tc>
          <w:tcPr>
            <w:tcW w:w="1198" w:type="dxa"/>
          </w:tcPr>
          <w:p w:rsidR="005D75BF" w:rsidRPr="00FB1DB6" w:rsidRDefault="005D75BF" w:rsidP="00FB1DB6">
            <w:pPr>
              <w:contextualSpacing/>
              <w:jc w:val="center"/>
              <w:rPr>
                <w:b/>
              </w:rPr>
            </w:pPr>
            <w:r w:rsidRPr="00FB1DB6">
              <w:rPr>
                <w:b/>
              </w:rPr>
              <w:t>Long Term Goal</w:t>
            </w:r>
          </w:p>
        </w:tc>
      </w:tr>
      <w:tr w:rsidR="005D75BF" w:rsidTr="00FC1D0A">
        <w:tc>
          <w:tcPr>
            <w:tcW w:w="1738" w:type="dxa"/>
          </w:tcPr>
          <w:p w:rsidR="005D75BF" w:rsidRPr="00FB1DB6" w:rsidRDefault="00FB1DB6" w:rsidP="0024560F">
            <w:pPr>
              <w:contextualSpacing/>
              <w:rPr>
                <w:b/>
              </w:rPr>
            </w:pPr>
            <w:r w:rsidRPr="00FB1DB6">
              <w:rPr>
                <w:b/>
              </w:rPr>
              <w:t>Assessment Year</w:t>
            </w:r>
          </w:p>
        </w:tc>
        <w:tc>
          <w:tcPr>
            <w:tcW w:w="1157" w:type="dxa"/>
          </w:tcPr>
          <w:p w:rsidR="005D75BF" w:rsidRDefault="00FB1DB6" w:rsidP="00FB1DB6">
            <w:pPr>
              <w:contextualSpacing/>
              <w:jc w:val="center"/>
            </w:pPr>
            <w:r>
              <w:t>2017-2018</w:t>
            </w:r>
          </w:p>
        </w:tc>
        <w:tc>
          <w:tcPr>
            <w:tcW w:w="1129" w:type="dxa"/>
          </w:tcPr>
          <w:p w:rsidR="005D75BF" w:rsidRDefault="00FB1DB6" w:rsidP="00FB1DB6">
            <w:pPr>
              <w:contextualSpacing/>
              <w:jc w:val="center"/>
            </w:pPr>
            <w:r>
              <w:t>2018-2019</w:t>
            </w:r>
          </w:p>
        </w:tc>
        <w:tc>
          <w:tcPr>
            <w:tcW w:w="1129" w:type="dxa"/>
          </w:tcPr>
          <w:p w:rsidR="005D75BF" w:rsidRDefault="00FB1DB6" w:rsidP="00FB1DB6">
            <w:pPr>
              <w:contextualSpacing/>
              <w:jc w:val="center"/>
            </w:pPr>
            <w:r>
              <w:t>2019-2020</w:t>
            </w:r>
          </w:p>
        </w:tc>
        <w:tc>
          <w:tcPr>
            <w:tcW w:w="1129" w:type="dxa"/>
          </w:tcPr>
          <w:p w:rsidR="005D75BF" w:rsidRDefault="00FB1DB6" w:rsidP="00FB1DB6">
            <w:pPr>
              <w:contextualSpacing/>
              <w:jc w:val="center"/>
            </w:pPr>
            <w:r>
              <w:t>2020-2021</w:t>
            </w:r>
          </w:p>
        </w:tc>
        <w:tc>
          <w:tcPr>
            <w:tcW w:w="1129" w:type="dxa"/>
          </w:tcPr>
          <w:p w:rsidR="005D75BF" w:rsidRDefault="00FB1DB6" w:rsidP="00FB1DB6">
            <w:pPr>
              <w:contextualSpacing/>
              <w:jc w:val="center"/>
            </w:pPr>
            <w:r>
              <w:t>2021-2022</w:t>
            </w:r>
          </w:p>
        </w:tc>
        <w:tc>
          <w:tcPr>
            <w:tcW w:w="1129" w:type="dxa"/>
          </w:tcPr>
          <w:p w:rsidR="005D75BF" w:rsidRDefault="00FB1DB6" w:rsidP="00FB1DB6">
            <w:pPr>
              <w:contextualSpacing/>
              <w:jc w:val="center"/>
            </w:pPr>
            <w:r>
              <w:t>2022-2023</w:t>
            </w:r>
          </w:p>
        </w:tc>
        <w:tc>
          <w:tcPr>
            <w:tcW w:w="1198" w:type="dxa"/>
          </w:tcPr>
          <w:p w:rsidR="005D75BF" w:rsidRDefault="00FB1DB6" w:rsidP="00FB1DB6">
            <w:pPr>
              <w:contextualSpacing/>
              <w:jc w:val="center"/>
            </w:pPr>
            <w:r>
              <w:t>2023-2024</w:t>
            </w:r>
          </w:p>
        </w:tc>
      </w:tr>
      <w:tr w:rsidR="00FB1DB6" w:rsidTr="00FC1D0A">
        <w:tc>
          <w:tcPr>
            <w:tcW w:w="1738" w:type="dxa"/>
          </w:tcPr>
          <w:p w:rsidR="00FB1DB6" w:rsidRPr="00FB1DB6" w:rsidRDefault="00FB1DB6" w:rsidP="0024560F">
            <w:pPr>
              <w:contextualSpacing/>
              <w:rPr>
                <w:b/>
              </w:rPr>
            </w:pPr>
            <w:r w:rsidRPr="00FB1DB6">
              <w:rPr>
                <w:b/>
              </w:rPr>
              <w:t>Accountability Year</w:t>
            </w:r>
          </w:p>
        </w:tc>
        <w:tc>
          <w:tcPr>
            <w:tcW w:w="1157" w:type="dxa"/>
          </w:tcPr>
          <w:p w:rsidR="00FB1DB6" w:rsidRDefault="00FB1DB6" w:rsidP="00FB1DB6">
            <w:pPr>
              <w:contextualSpacing/>
              <w:jc w:val="center"/>
            </w:pPr>
          </w:p>
        </w:tc>
        <w:tc>
          <w:tcPr>
            <w:tcW w:w="1129" w:type="dxa"/>
          </w:tcPr>
          <w:p w:rsidR="00FB1DB6" w:rsidRDefault="00FB1DB6" w:rsidP="00FB1DB6">
            <w:pPr>
              <w:contextualSpacing/>
              <w:jc w:val="center"/>
            </w:pPr>
            <w:r>
              <w:t>2019-2020</w:t>
            </w:r>
          </w:p>
        </w:tc>
        <w:tc>
          <w:tcPr>
            <w:tcW w:w="1129" w:type="dxa"/>
          </w:tcPr>
          <w:p w:rsidR="00FB1DB6" w:rsidRDefault="00FB1DB6" w:rsidP="00FB1DB6">
            <w:pPr>
              <w:contextualSpacing/>
              <w:jc w:val="center"/>
            </w:pPr>
            <w:r>
              <w:t>2020-2021</w:t>
            </w:r>
          </w:p>
        </w:tc>
        <w:tc>
          <w:tcPr>
            <w:tcW w:w="1129" w:type="dxa"/>
          </w:tcPr>
          <w:p w:rsidR="00FB1DB6" w:rsidRDefault="00FB1DB6" w:rsidP="00FB1DB6">
            <w:pPr>
              <w:contextualSpacing/>
              <w:jc w:val="center"/>
            </w:pPr>
            <w:r>
              <w:t>2021-2022</w:t>
            </w:r>
          </w:p>
        </w:tc>
        <w:tc>
          <w:tcPr>
            <w:tcW w:w="1129" w:type="dxa"/>
          </w:tcPr>
          <w:p w:rsidR="00FB1DB6" w:rsidRDefault="00FB1DB6" w:rsidP="00FB1DB6">
            <w:pPr>
              <w:contextualSpacing/>
              <w:jc w:val="center"/>
            </w:pPr>
            <w:r>
              <w:t>2022-2023</w:t>
            </w:r>
          </w:p>
        </w:tc>
        <w:tc>
          <w:tcPr>
            <w:tcW w:w="1129" w:type="dxa"/>
          </w:tcPr>
          <w:p w:rsidR="00FB1DB6" w:rsidRDefault="00FB1DB6" w:rsidP="00FB1DB6">
            <w:pPr>
              <w:contextualSpacing/>
              <w:jc w:val="center"/>
            </w:pPr>
            <w:r>
              <w:t>2023-2024</w:t>
            </w:r>
          </w:p>
        </w:tc>
        <w:tc>
          <w:tcPr>
            <w:tcW w:w="1198" w:type="dxa"/>
          </w:tcPr>
          <w:p w:rsidR="00FB1DB6" w:rsidRDefault="00FB1DB6" w:rsidP="00FB1DB6">
            <w:pPr>
              <w:contextualSpacing/>
              <w:jc w:val="center"/>
            </w:pPr>
            <w:r>
              <w:t>2024-2025</w:t>
            </w:r>
          </w:p>
        </w:tc>
      </w:tr>
      <w:tr w:rsidR="00FB1DB6" w:rsidTr="00FC1D0A">
        <w:tc>
          <w:tcPr>
            <w:tcW w:w="1738" w:type="dxa"/>
          </w:tcPr>
          <w:p w:rsidR="00FB1DB6" w:rsidRPr="00FB1DB6" w:rsidRDefault="00FB1DB6" w:rsidP="0024560F">
            <w:pPr>
              <w:contextualSpacing/>
              <w:rPr>
                <w:b/>
              </w:rPr>
            </w:pPr>
            <w:r w:rsidRPr="00FB1DB6">
              <w:rPr>
                <w:b/>
              </w:rPr>
              <w:t>All Students</w:t>
            </w:r>
          </w:p>
          <w:p w:rsidR="00FB1DB6" w:rsidRPr="00FB1DB6" w:rsidRDefault="00FB1DB6" w:rsidP="0024560F">
            <w:pPr>
              <w:contextualSpacing/>
              <w:rPr>
                <w:b/>
              </w:rPr>
            </w:pPr>
          </w:p>
        </w:tc>
        <w:tc>
          <w:tcPr>
            <w:tcW w:w="1157" w:type="dxa"/>
          </w:tcPr>
          <w:p w:rsidR="00FB1DB6" w:rsidRDefault="00FB1DB6" w:rsidP="00FB1DB6">
            <w:pPr>
              <w:contextualSpacing/>
              <w:jc w:val="center"/>
            </w:pPr>
            <w:r>
              <w:t>15</w:t>
            </w:r>
          </w:p>
        </w:tc>
        <w:tc>
          <w:tcPr>
            <w:tcW w:w="1129" w:type="dxa"/>
          </w:tcPr>
          <w:p w:rsidR="00FB1DB6" w:rsidRDefault="00FB1DB6" w:rsidP="00FB1DB6">
            <w:pPr>
              <w:contextualSpacing/>
              <w:jc w:val="center"/>
            </w:pPr>
            <w:r>
              <w:t>14</w:t>
            </w:r>
          </w:p>
        </w:tc>
        <w:tc>
          <w:tcPr>
            <w:tcW w:w="1129" w:type="dxa"/>
          </w:tcPr>
          <w:p w:rsidR="00FB1DB6" w:rsidRDefault="00FB1DB6" w:rsidP="00FB1DB6">
            <w:pPr>
              <w:contextualSpacing/>
              <w:jc w:val="center"/>
            </w:pPr>
            <w:r>
              <w:t>13</w:t>
            </w:r>
          </w:p>
        </w:tc>
        <w:tc>
          <w:tcPr>
            <w:tcW w:w="1129" w:type="dxa"/>
          </w:tcPr>
          <w:p w:rsidR="00FB1DB6" w:rsidRDefault="00FB1DB6" w:rsidP="00FB1DB6">
            <w:pPr>
              <w:contextualSpacing/>
              <w:jc w:val="center"/>
            </w:pPr>
            <w:r>
              <w:t>12</w:t>
            </w:r>
          </w:p>
        </w:tc>
        <w:tc>
          <w:tcPr>
            <w:tcW w:w="1129" w:type="dxa"/>
          </w:tcPr>
          <w:p w:rsidR="00FB1DB6" w:rsidRDefault="00FB1DB6" w:rsidP="00FB1DB6">
            <w:pPr>
              <w:contextualSpacing/>
              <w:jc w:val="center"/>
            </w:pPr>
            <w:r>
              <w:t>12</w:t>
            </w:r>
          </w:p>
        </w:tc>
        <w:tc>
          <w:tcPr>
            <w:tcW w:w="1129" w:type="dxa"/>
          </w:tcPr>
          <w:p w:rsidR="00FB1DB6" w:rsidRDefault="00FB1DB6" w:rsidP="00FB1DB6">
            <w:pPr>
              <w:contextualSpacing/>
              <w:jc w:val="center"/>
            </w:pPr>
            <w:r>
              <w:t>11</w:t>
            </w:r>
          </w:p>
        </w:tc>
        <w:tc>
          <w:tcPr>
            <w:tcW w:w="1198" w:type="dxa"/>
          </w:tcPr>
          <w:p w:rsidR="00FB1DB6" w:rsidRDefault="00FB1DB6" w:rsidP="00FB1DB6">
            <w:pPr>
              <w:contextualSpacing/>
              <w:jc w:val="center"/>
            </w:pPr>
            <w:r>
              <w:t>10</w:t>
            </w:r>
          </w:p>
        </w:tc>
      </w:tr>
      <w:tr w:rsidR="00FB1DB6" w:rsidTr="00FC1D0A">
        <w:tc>
          <w:tcPr>
            <w:tcW w:w="1738" w:type="dxa"/>
          </w:tcPr>
          <w:p w:rsidR="00FB1DB6" w:rsidRPr="00FB1DB6" w:rsidRDefault="00FB1DB6" w:rsidP="0024560F">
            <w:pPr>
              <w:contextualSpacing/>
              <w:rPr>
                <w:b/>
              </w:rPr>
            </w:pPr>
            <w:r w:rsidRPr="00FB1DB6">
              <w:rPr>
                <w:b/>
              </w:rPr>
              <w:t>Asian Students</w:t>
            </w:r>
          </w:p>
        </w:tc>
        <w:tc>
          <w:tcPr>
            <w:tcW w:w="1157" w:type="dxa"/>
          </w:tcPr>
          <w:p w:rsidR="00FB1DB6" w:rsidRDefault="00FB1DB6" w:rsidP="00FB1DB6">
            <w:pPr>
              <w:contextualSpacing/>
              <w:jc w:val="center"/>
            </w:pPr>
            <w:r>
              <w:t>10</w:t>
            </w:r>
          </w:p>
        </w:tc>
        <w:tc>
          <w:tcPr>
            <w:tcW w:w="1129" w:type="dxa"/>
          </w:tcPr>
          <w:p w:rsidR="00FB1DB6" w:rsidRDefault="00FB1DB6" w:rsidP="00FB1DB6">
            <w:pPr>
              <w:contextualSpacing/>
              <w:jc w:val="center"/>
            </w:pPr>
            <w:r>
              <w:t>10</w:t>
            </w:r>
          </w:p>
        </w:tc>
        <w:tc>
          <w:tcPr>
            <w:tcW w:w="1129" w:type="dxa"/>
          </w:tcPr>
          <w:p w:rsidR="00FB1DB6" w:rsidRDefault="00FB1DB6" w:rsidP="00FB1DB6">
            <w:pPr>
              <w:contextualSpacing/>
              <w:jc w:val="center"/>
            </w:pPr>
            <w:r>
              <w:t>10</w:t>
            </w:r>
          </w:p>
        </w:tc>
        <w:tc>
          <w:tcPr>
            <w:tcW w:w="1129" w:type="dxa"/>
          </w:tcPr>
          <w:p w:rsidR="00FB1DB6" w:rsidRDefault="00FB1DB6" w:rsidP="00FB1DB6">
            <w:pPr>
              <w:contextualSpacing/>
              <w:jc w:val="center"/>
            </w:pPr>
            <w:r>
              <w:t>10</w:t>
            </w:r>
          </w:p>
        </w:tc>
        <w:tc>
          <w:tcPr>
            <w:tcW w:w="1129" w:type="dxa"/>
          </w:tcPr>
          <w:p w:rsidR="00FB1DB6" w:rsidRDefault="00FB1DB6" w:rsidP="00FB1DB6">
            <w:pPr>
              <w:contextualSpacing/>
              <w:jc w:val="center"/>
            </w:pPr>
            <w:r>
              <w:t>10</w:t>
            </w:r>
          </w:p>
        </w:tc>
        <w:tc>
          <w:tcPr>
            <w:tcW w:w="1129" w:type="dxa"/>
          </w:tcPr>
          <w:p w:rsidR="00FB1DB6" w:rsidRDefault="00FB1DB6" w:rsidP="00FB1DB6">
            <w:pPr>
              <w:contextualSpacing/>
              <w:jc w:val="center"/>
            </w:pPr>
            <w:r>
              <w:t>10</w:t>
            </w:r>
          </w:p>
        </w:tc>
        <w:tc>
          <w:tcPr>
            <w:tcW w:w="1198" w:type="dxa"/>
          </w:tcPr>
          <w:p w:rsidR="00FB1DB6" w:rsidRDefault="00FB1DB6" w:rsidP="00FB1DB6">
            <w:pPr>
              <w:contextualSpacing/>
              <w:jc w:val="center"/>
            </w:pPr>
            <w:r>
              <w:t>10</w:t>
            </w:r>
          </w:p>
        </w:tc>
      </w:tr>
      <w:tr w:rsidR="00FB1DB6" w:rsidTr="00FC1D0A">
        <w:tc>
          <w:tcPr>
            <w:tcW w:w="1738" w:type="dxa"/>
          </w:tcPr>
          <w:p w:rsidR="00FB1DB6" w:rsidRPr="00FB1DB6" w:rsidRDefault="00FB1DB6" w:rsidP="0024560F">
            <w:pPr>
              <w:contextualSpacing/>
              <w:rPr>
                <w:b/>
              </w:rPr>
            </w:pPr>
            <w:r w:rsidRPr="00FB1DB6">
              <w:rPr>
                <w:b/>
              </w:rPr>
              <w:t>Black Students</w:t>
            </w:r>
          </w:p>
        </w:tc>
        <w:tc>
          <w:tcPr>
            <w:tcW w:w="1157" w:type="dxa"/>
          </w:tcPr>
          <w:p w:rsidR="00FB1DB6" w:rsidRDefault="00FB1DB6" w:rsidP="00FB1DB6">
            <w:pPr>
              <w:contextualSpacing/>
              <w:jc w:val="center"/>
            </w:pPr>
            <w:r>
              <w:t>16</w:t>
            </w:r>
          </w:p>
        </w:tc>
        <w:tc>
          <w:tcPr>
            <w:tcW w:w="1129" w:type="dxa"/>
          </w:tcPr>
          <w:p w:rsidR="00FB1DB6" w:rsidRDefault="00FB1DB6" w:rsidP="00FB1DB6">
            <w:pPr>
              <w:contextualSpacing/>
              <w:jc w:val="center"/>
            </w:pPr>
            <w:r>
              <w:t>15</w:t>
            </w:r>
          </w:p>
        </w:tc>
        <w:tc>
          <w:tcPr>
            <w:tcW w:w="1129" w:type="dxa"/>
          </w:tcPr>
          <w:p w:rsidR="00FB1DB6" w:rsidRDefault="00FB1DB6" w:rsidP="00FB1DB6">
            <w:pPr>
              <w:contextualSpacing/>
              <w:jc w:val="center"/>
            </w:pPr>
            <w:r>
              <w:t>14</w:t>
            </w:r>
          </w:p>
        </w:tc>
        <w:tc>
          <w:tcPr>
            <w:tcW w:w="1129" w:type="dxa"/>
          </w:tcPr>
          <w:p w:rsidR="00FB1DB6" w:rsidRDefault="00FB1DB6" w:rsidP="00FB1DB6">
            <w:pPr>
              <w:contextualSpacing/>
              <w:jc w:val="center"/>
            </w:pPr>
            <w:r>
              <w:t>13</w:t>
            </w:r>
          </w:p>
        </w:tc>
        <w:tc>
          <w:tcPr>
            <w:tcW w:w="1129" w:type="dxa"/>
          </w:tcPr>
          <w:p w:rsidR="00FB1DB6" w:rsidRDefault="00FB1DB6" w:rsidP="00FB1DB6">
            <w:pPr>
              <w:contextualSpacing/>
              <w:jc w:val="center"/>
            </w:pPr>
            <w:r>
              <w:t>12</w:t>
            </w:r>
          </w:p>
        </w:tc>
        <w:tc>
          <w:tcPr>
            <w:tcW w:w="1129" w:type="dxa"/>
          </w:tcPr>
          <w:p w:rsidR="00FB1DB6" w:rsidRDefault="00FB1DB6" w:rsidP="00FB1DB6">
            <w:pPr>
              <w:contextualSpacing/>
              <w:jc w:val="center"/>
            </w:pPr>
            <w:r>
              <w:t>11</w:t>
            </w:r>
          </w:p>
        </w:tc>
        <w:tc>
          <w:tcPr>
            <w:tcW w:w="1198" w:type="dxa"/>
          </w:tcPr>
          <w:p w:rsidR="00FB1DB6" w:rsidRDefault="00FB1DB6" w:rsidP="00FB1DB6">
            <w:pPr>
              <w:contextualSpacing/>
              <w:jc w:val="center"/>
            </w:pPr>
            <w:r>
              <w:t>10</w:t>
            </w:r>
          </w:p>
        </w:tc>
      </w:tr>
      <w:tr w:rsidR="00FB1DB6" w:rsidTr="00FC1D0A">
        <w:tc>
          <w:tcPr>
            <w:tcW w:w="1738" w:type="dxa"/>
          </w:tcPr>
          <w:p w:rsidR="00FB1DB6" w:rsidRPr="00FB1DB6" w:rsidRDefault="00FB1DB6" w:rsidP="0024560F">
            <w:pPr>
              <w:contextualSpacing/>
              <w:rPr>
                <w:b/>
              </w:rPr>
            </w:pPr>
            <w:r w:rsidRPr="00FB1DB6">
              <w:rPr>
                <w:b/>
              </w:rPr>
              <w:t>Economically Disadvantaged Students</w:t>
            </w:r>
          </w:p>
        </w:tc>
        <w:tc>
          <w:tcPr>
            <w:tcW w:w="1157" w:type="dxa"/>
          </w:tcPr>
          <w:p w:rsidR="00FB1DB6" w:rsidRDefault="00FB1DB6" w:rsidP="00FB1DB6">
            <w:pPr>
              <w:contextualSpacing/>
              <w:jc w:val="center"/>
            </w:pPr>
            <w:r>
              <w:t>21</w:t>
            </w:r>
          </w:p>
        </w:tc>
        <w:tc>
          <w:tcPr>
            <w:tcW w:w="1129" w:type="dxa"/>
          </w:tcPr>
          <w:p w:rsidR="00FB1DB6" w:rsidRDefault="00FB1DB6" w:rsidP="00FB1DB6">
            <w:pPr>
              <w:contextualSpacing/>
              <w:jc w:val="center"/>
            </w:pPr>
            <w:r>
              <w:t>19</w:t>
            </w:r>
          </w:p>
        </w:tc>
        <w:tc>
          <w:tcPr>
            <w:tcW w:w="1129" w:type="dxa"/>
          </w:tcPr>
          <w:p w:rsidR="00FB1DB6" w:rsidRDefault="00FB1DB6" w:rsidP="00FB1DB6">
            <w:pPr>
              <w:contextualSpacing/>
              <w:jc w:val="center"/>
            </w:pPr>
            <w:r>
              <w:t>17</w:t>
            </w:r>
          </w:p>
        </w:tc>
        <w:tc>
          <w:tcPr>
            <w:tcW w:w="1129" w:type="dxa"/>
          </w:tcPr>
          <w:p w:rsidR="00FB1DB6" w:rsidRDefault="00FB1DB6" w:rsidP="00FB1DB6">
            <w:pPr>
              <w:contextualSpacing/>
              <w:jc w:val="center"/>
            </w:pPr>
            <w:r>
              <w:t>15</w:t>
            </w:r>
          </w:p>
        </w:tc>
        <w:tc>
          <w:tcPr>
            <w:tcW w:w="1129" w:type="dxa"/>
          </w:tcPr>
          <w:p w:rsidR="00FB1DB6" w:rsidRDefault="00FB1DB6" w:rsidP="00FB1DB6">
            <w:pPr>
              <w:contextualSpacing/>
              <w:jc w:val="center"/>
            </w:pPr>
            <w:r>
              <w:t>13</w:t>
            </w:r>
          </w:p>
        </w:tc>
        <w:tc>
          <w:tcPr>
            <w:tcW w:w="1129" w:type="dxa"/>
          </w:tcPr>
          <w:p w:rsidR="00FB1DB6" w:rsidRDefault="00FB1DB6" w:rsidP="00FB1DB6">
            <w:pPr>
              <w:contextualSpacing/>
              <w:jc w:val="center"/>
            </w:pPr>
            <w:r>
              <w:t>11</w:t>
            </w:r>
          </w:p>
        </w:tc>
        <w:tc>
          <w:tcPr>
            <w:tcW w:w="1198" w:type="dxa"/>
          </w:tcPr>
          <w:p w:rsidR="00FB1DB6" w:rsidRDefault="00FB1DB6" w:rsidP="00FB1DB6">
            <w:pPr>
              <w:contextualSpacing/>
              <w:jc w:val="center"/>
            </w:pPr>
            <w:r>
              <w:t>10</w:t>
            </w:r>
          </w:p>
        </w:tc>
      </w:tr>
      <w:tr w:rsidR="00FB1DB6" w:rsidTr="00FC1D0A">
        <w:tc>
          <w:tcPr>
            <w:tcW w:w="1738" w:type="dxa"/>
          </w:tcPr>
          <w:p w:rsidR="00FB1DB6" w:rsidRPr="00FB1DB6" w:rsidRDefault="00FB1DB6" w:rsidP="0024560F">
            <w:pPr>
              <w:contextualSpacing/>
              <w:rPr>
                <w:b/>
              </w:rPr>
            </w:pPr>
            <w:r w:rsidRPr="00FB1DB6">
              <w:rPr>
                <w:b/>
              </w:rPr>
              <w:t>English Learners</w:t>
            </w:r>
          </w:p>
        </w:tc>
        <w:tc>
          <w:tcPr>
            <w:tcW w:w="1157" w:type="dxa"/>
          </w:tcPr>
          <w:p w:rsidR="00FB1DB6" w:rsidRDefault="00FB1DB6" w:rsidP="00FB1DB6">
            <w:pPr>
              <w:contextualSpacing/>
              <w:jc w:val="center"/>
            </w:pPr>
            <w:r>
              <w:t>14</w:t>
            </w:r>
          </w:p>
        </w:tc>
        <w:tc>
          <w:tcPr>
            <w:tcW w:w="1129" w:type="dxa"/>
          </w:tcPr>
          <w:p w:rsidR="00FB1DB6" w:rsidRDefault="00FB1DB6" w:rsidP="00FB1DB6">
            <w:pPr>
              <w:contextualSpacing/>
              <w:jc w:val="center"/>
            </w:pPr>
            <w:r>
              <w:t>13</w:t>
            </w:r>
          </w:p>
        </w:tc>
        <w:tc>
          <w:tcPr>
            <w:tcW w:w="1129" w:type="dxa"/>
          </w:tcPr>
          <w:p w:rsidR="00FB1DB6" w:rsidRDefault="00FB1DB6" w:rsidP="00FB1DB6">
            <w:pPr>
              <w:contextualSpacing/>
              <w:jc w:val="center"/>
            </w:pPr>
            <w:r>
              <w:t>13</w:t>
            </w:r>
          </w:p>
        </w:tc>
        <w:tc>
          <w:tcPr>
            <w:tcW w:w="1129" w:type="dxa"/>
          </w:tcPr>
          <w:p w:rsidR="00FB1DB6" w:rsidRDefault="00FB1DB6" w:rsidP="00FB1DB6">
            <w:pPr>
              <w:contextualSpacing/>
              <w:jc w:val="center"/>
            </w:pPr>
            <w:r>
              <w:t>12</w:t>
            </w:r>
          </w:p>
        </w:tc>
        <w:tc>
          <w:tcPr>
            <w:tcW w:w="1129" w:type="dxa"/>
          </w:tcPr>
          <w:p w:rsidR="00FB1DB6" w:rsidRDefault="00FB1DB6" w:rsidP="00FB1DB6">
            <w:pPr>
              <w:contextualSpacing/>
              <w:jc w:val="center"/>
            </w:pPr>
            <w:r>
              <w:t>12</w:t>
            </w:r>
          </w:p>
        </w:tc>
        <w:tc>
          <w:tcPr>
            <w:tcW w:w="1129" w:type="dxa"/>
          </w:tcPr>
          <w:p w:rsidR="00FB1DB6" w:rsidRDefault="00FB1DB6" w:rsidP="00FB1DB6">
            <w:pPr>
              <w:contextualSpacing/>
              <w:jc w:val="center"/>
            </w:pPr>
            <w:r>
              <w:t>11</w:t>
            </w:r>
          </w:p>
        </w:tc>
        <w:tc>
          <w:tcPr>
            <w:tcW w:w="1198" w:type="dxa"/>
          </w:tcPr>
          <w:p w:rsidR="00FB1DB6" w:rsidRDefault="00FB1DB6" w:rsidP="00FB1DB6">
            <w:pPr>
              <w:contextualSpacing/>
              <w:jc w:val="center"/>
            </w:pPr>
            <w:r>
              <w:t>10</w:t>
            </w:r>
          </w:p>
        </w:tc>
      </w:tr>
      <w:tr w:rsidR="00FB1DB6" w:rsidTr="00FC1D0A">
        <w:tc>
          <w:tcPr>
            <w:tcW w:w="1738" w:type="dxa"/>
          </w:tcPr>
          <w:p w:rsidR="00FB1DB6" w:rsidRPr="00FB1DB6" w:rsidRDefault="00FB1DB6" w:rsidP="0024560F">
            <w:pPr>
              <w:contextualSpacing/>
              <w:rPr>
                <w:b/>
              </w:rPr>
            </w:pPr>
            <w:r w:rsidRPr="00FB1DB6">
              <w:rPr>
                <w:b/>
              </w:rPr>
              <w:t>Hispanic Students</w:t>
            </w:r>
          </w:p>
        </w:tc>
        <w:tc>
          <w:tcPr>
            <w:tcW w:w="1157" w:type="dxa"/>
          </w:tcPr>
          <w:p w:rsidR="00FB1DB6" w:rsidRDefault="00FB1DB6" w:rsidP="00FB1DB6">
            <w:pPr>
              <w:contextualSpacing/>
              <w:jc w:val="center"/>
            </w:pPr>
            <w:r>
              <w:t>16</w:t>
            </w:r>
          </w:p>
        </w:tc>
        <w:tc>
          <w:tcPr>
            <w:tcW w:w="1129" w:type="dxa"/>
          </w:tcPr>
          <w:p w:rsidR="00FB1DB6" w:rsidRDefault="00FB1DB6" w:rsidP="00FB1DB6">
            <w:pPr>
              <w:contextualSpacing/>
              <w:jc w:val="center"/>
            </w:pPr>
            <w:r>
              <w:t>15</w:t>
            </w:r>
          </w:p>
        </w:tc>
        <w:tc>
          <w:tcPr>
            <w:tcW w:w="1129" w:type="dxa"/>
          </w:tcPr>
          <w:p w:rsidR="00FB1DB6" w:rsidRDefault="00FB1DB6" w:rsidP="00FB1DB6">
            <w:pPr>
              <w:contextualSpacing/>
              <w:jc w:val="center"/>
            </w:pPr>
            <w:r>
              <w:t>14</w:t>
            </w:r>
          </w:p>
        </w:tc>
        <w:tc>
          <w:tcPr>
            <w:tcW w:w="1129" w:type="dxa"/>
          </w:tcPr>
          <w:p w:rsidR="00FB1DB6" w:rsidRDefault="00FB1DB6" w:rsidP="00FB1DB6">
            <w:pPr>
              <w:contextualSpacing/>
              <w:jc w:val="center"/>
            </w:pPr>
            <w:r>
              <w:t>13</w:t>
            </w:r>
          </w:p>
        </w:tc>
        <w:tc>
          <w:tcPr>
            <w:tcW w:w="1129" w:type="dxa"/>
          </w:tcPr>
          <w:p w:rsidR="00FB1DB6" w:rsidRDefault="00FB1DB6" w:rsidP="00FB1DB6">
            <w:pPr>
              <w:contextualSpacing/>
              <w:jc w:val="center"/>
            </w:pPr>
            <w:r>
              <w:t>12</w:t>
            </w:r>
          </w:p>
        </w:tc>
        <w:tc>
          <w:tcPr>
            <w:tcW w:w="1129" w:type="dxa"/>
          </w:tcPr>
          <w:p w:rsidR="00FB1DB6" w:rsidRDefault="00FB1DB6" w:rsidP="00FB1DB6">
            <w:pPr>
              <w:contextualSpacing/>
              <w:jc w:val="center"/>
            </w:pPr>
            <w:r>
              <w:t>11</w:t>
            </w:r>
          </w:p>
        </w:tc>
        <w:tc>
          <w:tcPr>
            <w:tcW w:w="1198" w:type="dxa"/>
          </w:tcPr>
          <w:p w:rsidR="00FB1DB6" w:rsidRDefault="00FB1DB6" w:rsidP="00FB1DB6">
            <w:pPr>
              <w:contextualSpacing/>
              <w:jc w:val="center"/>
            </w:pPr>
            <w:r>
              <w:t>10</w:t>
            </w:r>
          </w:p>
        </w:tc>
      </w:tr>
      <w:tr w:rsidR="00FB1DB6" w:rsidTr="00FC1D0A">
        <w:tc>
          <w:tcPr>
            <w:tcW w:w="1738" w:type="dxa"/>
          </w:tcPr>
          <w:p w:rsidR="00FB1DB6" w:rsidRPr="00FB1DB6" w:rsidRDefault="00FB1DB6" w:rsidP="0024560F">
            <w:pPr>
              <w:contextualSpacing/>
              <w:rPr>
                <w:b/>
              </w:rPr>
            </w:pPr>
            <w:r w:rsidRPr="00FB1DB6">
              <w:rPr>
                <w:b/>
              </w:rPr>
              <w:t>Students with Disabilities</w:t>
            </w:r>
          </w:p>
        </w:tc>
        <w:tc>
          <w:tcPr>
            <w:tcW w:w="1157" w:type="dxa"/>
          </w:tcPr>
          <w:p w:rsidR="00FB1DB6" w:rsidRDefault="00FB1DB6" w:rsidP="00FB1DB6">
            <w:pPr>
              <w:contextualSpacing/>
              <w:jc w:val="center"/>
            </w:pPr>
            <w:r>
              <w:t>22</w:t>
            </w:r>
          </w:p>
        </w:tc>
        <w:tc>
          <w:tcPr>
            <w:tcW w:w="1129" w:type="dxa"/>
          </w:tcPr>
          <w:p w:rsidR="00FB1DB6" w:rsidRDefault="00FB1DB6" w:rsidP="00FB1DB6">
            <w:pPr>
              <w:contextualSpacing/>
              <w:jc w:val="center"/>
            </w:pPr>
            <w:r>
              <w:t>20</w:t>
            </w:r>
          </w:p>
        </w:tc>
        <w:tc>
          <w:tcPr>
            <w:tcW w:w="1129" w:type="dxa"/>
          </w:tcPr>
          <w:p w:rsidR="00FB1DB6" w:rsidRDefault="00FB1DB6" w:rsidP="00FB1DB6">
            <w:pPr>
              <w:contextualSpacing/>
              <w:jc w:val="center"/>
            </w:pPr>
            <w:r>
              <w:t>18</w:t>
            </w:r>
          </w:p>
        </w:tc>
        <w:tc>
          <w:tcPr>
            <w:tcW w:w="1129" w:type="dxa"/>
          </w:tcPr>
          <w:p w:rsidR="00FB1DB6" w:rsidRDefault="00FB1DB6" w:rsidP="00FB1DB6">
            <w:pPr>
              <w:contextualSpacing/>
              <w:jc w:val="center"/>
            </w:pPr>
            <w:r>
              <w:t>16</w:t>
            </w:r>
          </w:p>
        </w:tc>
        <w:tc>
          <w:tcPr>
            <w:tcW w:w="1129" w:type="dxa"/>
          </w:tcPr>
          <w:p w:rsidR="00FB1DB6" w:rsidRDefault="00FB1DB6" w:rsidP="00FB1DB6">
            <w:pPr>
              <w:contextualSpacing/>
              <w:jc w:val="center"/>
            </w:pPr>
            <w:r>
              <w:t>14</w:t>
            </w:r>
          </w:p>
        </w:tc>
        <w:tc>
          <w:tcPr>
            <w:tcW w:w="1129" w:type="dxa"/>
          </w:tcPr>
          <w:p w:rsidR="00FB1DB6" w:rsidRDefault="00FB1DB6" w:rsidP="00FB1DB6">
            <w:pPr>
              <w:contextualSpacing/>
              <w:jc w:val="center"/>
            </w:pPr>
            <w:r>
              <w:t>12</w:t>
            </w:r>
          </w:p>
        </w:tc>
        <w:tc>
          <w:tcPr>
            <w:tcW w:w="1198" w:type="dxa"/>
          </w:tcPr>
          <w:p w:rsidR="00FB1DB6" w:rsidRDefault="00FB1DB6" w:rsidP="00FB1DB6">
            <w:pPr>
              <w:contextualSpacing/>
              <w:jc w:val="center"/>
            </w:pPr>
            <w:r>
              <w:t>10</w:t>
            </w:r>
          </w:p>
        </w:tc>
      </w:tr>
      <w:tr w:rsidR="00FB1DB6" w:rsidTr="00FC1D0A">
        <w:tc>
          <w:tcPr>
            <w:tcW w:w="1738" w:type="dxa"/>
          </w:tcPr>
          <w:p w:rsidR="00FB1DB6" w:rsidRPr="00FB1DB6" w:rsidRDefault="00FB1DB6" w:rsidP="0024560F">
            <w:pPr>
              <w:contextualSpacing/>
              <w:rPr>
                <w:b/>
              </w:rPr>
            </w:pPr>
            <w:r w:rsidRPr="00FB1DB6">
              <w:rPr>
                <w:b/>
              </w:rPr>
              <w:t>White Students</w:t>
            </w:r>
          </w:p>
        </w:tc>
        <w:tc>
          <w:tcPr>
            <w:tcW w:w="1157" w:type="dxa"/>
          </w:tcPr>
          <w:p w:rsidR="00FB1DB6" w:rsidRDefault="00FB1DB6" w:rsidP="00FB1DB6">
            <w:pPr>
              <w:contextualSpacing/>
              <w:jc w:val="center"/>
            </w:pPr>
            <w:r>
              <w:t>16</w:t>
            </w:r>
          </w:p>
        </w:tc>
        <w:tc>
          <w:tcPr>
            <w:tcW w:w="1129" w:type="dxa"/>
          </w:tcPr>
          <w:p w:rsidR="00FB1DB6" w:rsidRDefault="00FB1DB6" w:rsidP="00FB1DB6">
            <w:pPr>
              <w:contextualSpacing/>
              <w:jc w:val="center"/>
            </w:pPr>
            <w:r>
              <w:t>15</w:t>
            </w:r>
          </w:p>
        </w:tc>
        <w:tc>
          <w:tcPr>
            <w:tcW w:w="1129" w:type="dxa"/>
          </w:tcPr>
          <w:p w:rsidR="00FB1DB6" w:rsidRDefault="00FB1DB6" w:rsidP="00FB1DB6">
            <w:pPr>
              <w:contextualSpacing/>
              <w:jc w:val="center"/>
            </w:pPr>
            <w:r>
              <w:t>14</w:t>
            </w:r>
          </w:p>
        </w:tc>
        <w:tc>
          <w:tcPr>
            <w:tcW w:w="1129" w:type="dxa"/>
          </w:tcPr>
          <w:p w:rsidR="00FB1DB6" w:rsidRDefault="00FB1DB6" w:rsidP="00FB1DB6">
            <w:pPr>
              <w:contextualSpacing/>
              <w:jc w:val="center"/>
            </w:pPr>
            <w:r>
              <w:t>13</w:t>
            </w:r>
          </w:p>
        </w:tc>
        <w:tc>
          <w:tcPr>
            <w:tcW w:w="1129" w:type="dxa"/>
          </w:tcPr>
          <w:p w:rsidR="00FB1DB6" w:rsidRDefault="00FB1DB6" w:rsidP="00FB1DB6">
            <w:pPr>
              <w:contextualSpacing/>
              <w:jc w:val="center"/>
            </w:pPr>
            <w:r>
              <w:t>12</w:t>
            </w:r>
          </w:p>
        </w:tc>
        <w:tc>
          <w:tcPr>
            <w:tcW w:w="1129" w:type="dxa"/>
          </w:tcPr>
          <w:p w:rsidR="00FB1DB6" w:rsidRDefault="00FB1DB6" w:rsidP="00FB1DB6">
            <w:pPr>
              <w:contextualSpacing/>
              <w:jc w:val="center"/>
            </w:pPr>
            <w:r>
              <w:t>11</w:t>
            </w:r>
          </w:p>
        </w:tc>
        <w:tc>
          <w:tcPr>
            <w:tcW w:w="1198" w:type="dxa"/>
          </w:tcPr>
          <w:p w:rsidR="00FB1DB6" w:rsidRDefault="00FB1DB6" w:rsidP="00FB1DB6">
            <w:pPr>
              <w:contextualSpacing/>
              <w:jc w:val="center"/>
            </w:pPr>
            <w:r>
              <w:t>10</w:t>
            </w:r>
          </w:p>
        </w:tc>
      </w:tr>
    </w:tbl>
    <w:p w:rsidR="0024560F" w:rsidRDefault="0024560F" w:rsidP="0024560F">
      <w:pPr>
        <w:contextualSpacing/>
      </w:pPr>
    </w:p>
    <w:p w:rsidR="0024560F" w:rsidRPr="00044A1A" w:rsidRDefault="0024560F" w:rsidP="0024560F">
      <w:pPr>
        <w:contextualSpacing/>
        <w:rPr>
          <w:u w:val="single"/>
        </w:rPr>
      </w:pPr>
      <w:r w:rsidRPr="00044A1A">
        <w:rPr>
          <w:u w:val="single"/>
        </w:rPr>
        <w:t>Title II, Part A, Use of State Set-Aside Funds</w:t>
      </w:r>
    </w:p>
    <w:p w:rsidR="0024560F" w:rsidRDefault="0024560F" w:rsidP="0024560F">
      <w:pPr>
        <w:spacing w:after="0"/>
      </w:pPr>
      <w:r>
        <w:t>In the coming months, the Board of Education will consider revisions to the teacher performance standards and evaluation criteria. The amendment proposes to use Title II, Part A, state level set-aside funds to support training and technical assistance to school divisions on upcoming revisions to the teacher evaluation system. This use of funds is proposed as an addition to initiatives that are currently supported with Title II, Part A, state level set-aside funds.</w:t>
      </w:r>
    </w:p>
    <w:p w:rsidR="0094605A" w:rsidRDefault="0094605A" w:rsidP="0024560F">
      <w:pPr>
        <w:spacing w:after="0"/>
      </w:pPr>
    </w:p>
    <w:p w:rsidR="00FC401E" w:rsidRDefault="00FC401E" w:rsidP="0024560F">
      <w:pPr>
        <w:spacing w:after="0"/>
      </w:pPr>
      <w:r>
        <w:t xml:space="preserve">If approved, accountability changes will be implemented beginning with the accountability ratings for the 2019-2020 school </w:t>
      </w:r>
      <w:proofErr w:type="gramStart"/>
      <w:r>
        <w:t>year</w:t>
      </w:r>
      <w:proofErr w:type="gramEnd"/>
      <w:r>
        <w:t>.</w:t>
      </w:r>
    </w:p>
    <w:p w:rsidR="00FC401E" w:rsidRPr="0024560F" w:rsidRDefault="00FC401E" w:rsidP="0024560F">
      <w:pPr>
        <w:spacing w:after="0"/>
      </w:pPr>
    </w:p>
    <w:p w:rsidR="00A972CE" w:rsidRPr="007503E8" w:rsidRDefault="00A972CE" w:rsidP="007503E8">
      <w:pPr>
        <w:pStyle w:val="Heading2"/>
        <w:spacing w:before="0" w:after="0"/>
      </w:pPr>
      <w:r w:rsidRPr="007503E8">
        <w:lastRenderedPageBreak/>
        <w:t>Action Req</w:t>
      </w:r>
      <w:bookmarkStart w:id="0" w:name="_GoBack"/>
      <w:bookmarkEnd w:id="0"/>
      <w:r w:rsidRPr="007503E8">
        <w:t xml:space="preserve">uested:  </w:t>
      </w:r>
    </w:p>
    <w:p w:rsidR="00BF0F1A" w:rsidRDefault="00C75D3C" w:rsidP="008172C2">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BF0F1A">
            <w:t>Action will be requested at a future meeting. Specify anticipated date below:</w:t>
          </w:r>
        </w:sdtContent>
      </w:sdt>
    </w:p>
    <w:p w:rsidR="00BF0F1A" w:rsidRDefault="00BF0F1A" w:rsidP="008172C2">
      <w:r w:rsidRPr="00BF0F1A">
        <w:t>July 25, 2019</w:t>
      </w:r>
    </w:p>
    <w:p w:rsidR="00F13347" w:rsidRDefault="00A972CE" w:rsidP="00F13347">
      <w:pPr>
        <w:pStyle w:val="Heading2"/>
        <w:spacing w:before="0" w:after="0"/>
        <w:contextualSpacing/>
      </w:pPr>
      <w:r w:rsidRPr="0094605A">
        <w:t>Superintendent’s Recommendation:</w:t>
      </w:r>
      <w:r w:rsidRPr="007503E8">
        <w:t xml:space="preserve"> </w:t>
      </w:r>
    </w:p>
    <w:p w:rsidR="007503E8" w:rsidRPr="007503E8" w:rsidRDefault="00BF0F1A" w:rsidP="00F13347">
      <w:pPr>
        <w:spacing w:after="0"/>
        <w:contextualSpacing/>
      </w:pPr>
      <w:r w:rsidRPr="00F13347">
        <w:t xml:space="preserve">The Superintendent of Public Instruction recommends the Board of Education receive for first review the amendment to </w:t>
      </w:r>
      <w:r w:rsidR="00775706">
        <w:t xml:space="preserve">Virginia’s </w:t>
      </w:r>
      <w:r w:rsidRPr="00F13347">
        <w:t>consolidated state plan.</w:t>
      </w:r>
      <w:r>
        <w:t xml:space="preserve"> </w:t>
      </w:r>
    </w:p>
    <w:p w:rsidR="00892D0F" w:rsidRPr="007503E8" w:rsidRDefault="00892D0F" w:rsidP="007503E8">
      <w:pPr>
        <w:spacing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8172C2" w:rsidRDefault="00BF0F1A" w:rsidP="007503E8">
          <w:pPr>
            <w:spacing w:after="0"/>
          </w:pPr>
          <w:r>
            <w:t>No previous review or action.</w:t>
          </w:r>
        </w:p>
      </w:sdtContent>
    </w:sdt>
    <w:p w:rsidR="004164A0" w:rsidRDefault="004164A0" w:rsidP="004164A0">
      <w:pPr>
        <w:spacing w:after="0"/>
        <w:rPr>
          <w:rStyle w:val="Heading2Char"/>
          <w:b w:val="0"/>
        </w:rPr>
      </w:pPr>
    </w:p>
    <w:p w:rsidR="0020239B" w:rsidRDefault="000E009D" w:rsidP="004164A0">
      <w:pPr>
        <w:pStyle w:val="Heading2"/>
        <w:spacing w:before="0" w:after="0"/>
        <w:rPr>
          <w:b w:val="0"/>
        </w:rPr>
      </w:pPr>
      <w:r w:rsidRPr="008172C2">
        <w:rPr>
          <w:rStyle w:val="Heading2Char"/>
          <w:b/>
        </w:rPr>
        <w:t>Background Information and Statutory Authority:</w:t>
      </w:r>
      <w:r w:rsidRPr="008172C2">
        <w:rPr>
          <w:b w:val="0"/>
        </w:rPr>
        <w:t xml:space="preserve"> </w:t>
      </w:r>
    </w:p>
    <w:p w:rsidR="00E50790" w:rsidRDefault="008E6887" w:rsidP="00E50790">
      <w:pPr>
        <w:spacing w:after="0"/>
      </w:pPr>
      <w:r>
        <w:t xml:space="preserve">Section 1111 of ESSA requires states to submit significant changes to their consolidated state plans to USED </w:t>
      </w:r>
      <w:r w:rsidR="00E50790">
        <w:t>for review and approval</w:t>
      </w:r>
      <w:r>
        <w:t xml:space="preserve">. </w:t>
      </w:r>
    </w:p>
    <w:p w:rsidR="00E50790" w:rsidRDefault="00E50790" w:rsidP="00E50790">
      <w:pPr>
        <w:spacing w:after="0"/>
      </w:pPr>
    </w:p>
    <w:p w:rsidR="00E50790" w:rsidRDefault="008E6887" w:rsidP="00E50790">
      <w:pPr>
        <w:spacing w:after="0"/>
      </w:pPr>
      <w:r>
        <w:t xml:space="preserve">Virginia’s consolidated state plan was approved by USED in May 2018. Since that time, two amendments have been submitted. </w:t>
      </w:r>
      <w:r w:rsidR="00E50790">
        <w:t>The first amendment</w:t>
      </w:r>
      <w:r w:rsidR="00306E2A">
        <w:t xml:space="preserve"> to the plan</w:t>
      </w:r>
      <w:r w:rsidR="00E50790">
        <w:t xml:space="preserve">, which was approved by USED </w:t>
      </w:r>
      <w:r w:rsidR="00306E2A">
        <w:t>in Octo</w:t>
      </w:r>
      <w:r w:rsidR="00E50790">
        <w:t xml:space="preserve">ber 2018, reflected a minor change to the process for identifying schools for comprehensive support and improvement. </w:t>
      </w:r>
      <w:r w:rsidR="00306E2A">
        <w:t>The second amendment to the plan</w:t>
      </w:r>
      <w:r w:rsidR="00E50790">
        <w:t xml:space="preserve"> was submitted in March 2019</w:t>
      </w:r>
      <w:r w:rsidR="00306E2A">
        <w:t xml:space="preserve"> to provide</w:t>
      </w:r>
      <w:r w:rsidR="00E50790">
        <w:t xml:space="preserve"> the definition of ineffective teacher that the state will use for </w:t>
      </w:r>
      <w:r w:rsidR="00306E2A">
        <w:t xml:space="preserve">required </w:t>
      </w:r>
      <w:r w:rsidR="00E50790">
        <w:t xml:space="preserve">federal reporting. Approval for this amendment is pending. </w:t>
      </w:r>
    </w:p>
    <w:p w:rsidR="00E50790" w:rsidRDefault="00E50790" w:rsidP="004164A0">
      <w:pPr>
        <w:spacing w:after="0"/>
      </w:pPr>
    </w:p>
    <w:p w:rsidR="00D749A8" w:rsidRDefault="00E50790" w:rsidP="00D749A8">
      <w:pPr>
        <w:spacing w:after="0"/>
      </w:pPr>
      <w:r>
        <w:t xml:space="preserve">If approved by the Board, amendment </w:t>
      </w:r>
      <w:r w:rsidR="005D75BF">
        <w:t>three</w:t>
      </w:r>
      <w:r>
        <w:t xml:space="preserve"> will be submitted to</w:t>
      </w:r>
      <w:r w:rsidR="00D749A8">
        <w:t xml:space="preserve"> make the </w:t>
      </w:r>
      <w:r w:rsidR="005D75BF">
        <w:t>four</w:t>
      </w:r>
      <w:r w:rsidR="00D749A8">
        <w:t xml:space="preserve"> plan changes described above</w:t>
      </w:r>
      <w:r w:rsidR="00306E2A">
        <w:t xml:space="preserve"> and summarized below</w:t>
      </w:r>
      <w:r>
        <w:t xml:space="preserve">: </w:t>
      </w:r>
    </w:p>
    <w:p w:rsidR="00D749A8" w:rsidRDefault="00D749A8" w:rsidP="00D749A8">
      <w:pPr>
        <w:spacing w:after="0"/>
      </w:pPr>
    </w:p>
    <w:p w:rsidR="00D749A8" w:rsidRDefault="00D749A8" w:rsidP="00D749A8">
      <w:pPr>
        <w:pStyle w:val="ListParagraph"/>
        <w:numPr>
          <w:ilvl w:val="0"/>
          <w:numId w:val="7"/>
        </w:numPr>
        <w:spacing w:after="0"/>
      </w:pPr>
      <w:r>
        <w:t>U</w:t>
      </w:r>
      <w:r w:rsidR="00E50790">
        <w:t xml:space="preserve">se the current year’s cohort data to calculate the FGI; </w:t>
      </w:r>
    </w:p>
    <w:p w:rsidR="005D75BF" w:rsidRDefault="000E1C6D" w:rsidP="00D749A8">
      <w:pPr>
        <w:pStyle w:val="ListParagraph"/>
        <w:numPr>
          <w:ilvl w:val="0"/>
          <w:numId w:val="7"/>
        </w:numPr>
        <w:spacing w:after="0"/>
      </w:pPr>
      <w:r>
        <w:t>Revise</w:t>
      </w:r>
      <w:r w:rsidR="00E50790">
        <w:t xml:space="preserve"> the</w:t>
      </w:r>
      <w:r w:rsidR="00D749A8">
        <w:t xml:space="preserve"> federal mathematics targets to reflect </w:t>
      </w:r>
      <w:r>
        <w:t xml:space="preserve">statewide data from </w:t>
      </w:r>
      <w:r w:rsidR="00D749A8">
        <w:t xml:space="preserve">new SOL mathematics tests administered during the 2018-2019 school year; </w:t>
      </w:r>
    </w:p>
    <w:p w:rsidR="00D749A8" w:rsidRDefault="005D75BF" w:rsidP="00D749A8">
      <w:pPr>
        <w:pStyle w:val="ListParagraph"/>
        <w:numPr>
          <w:ilvl w:val="0"/>
          <w:numId w:val="7"/>
        </w:numPr>
        <w:spacing w:after="0"/>
      </w:pPr>
      <w:r>
        <w:t xml:space="preserve">Revise the federal chronic absenteeism targets to calculate the targets using the same methodology used on other federal indicators; </w:t>
      </w:r>
      <w:r w:rsidR="00D749A8">
        <w:t xml:space="preserve">and </w:t>
      </w:r>
    </w:p>
    <w:p w:rsidR="00D749A8" w:rsidRDefault="00D749A8" w:rsidP="00D749A8">
      <w:pPr>
        <w:pStyle w:val="ListParagraph"/>
        <w:numPr>
          <w:ilvl w:val="0"/>
          <w:numId w:val="7"/>
        </w:numPr>
        <w:spacing w:after="0"/>
      </w:pPr>
      <w:r>
        <w:t xml:space="preserve">Use Title II, Part A, state level set-aside funds to support training and technical assistance to school divisions on upcoming revisions to the teacher evaluation system. </w:t>
      </w:r>
    </w:p>
    <w:p w:rsidR="00D749A8" w:rsidRDefault="00D749A8" w:rsidP="00D749A8">
      <w:pPr>
        <w:spacing w:after="0"/>
      </w:pPr>
    </w:p>
    <w:p w:rsidR="00D749A8" w:rsidRDefault="00D749A8" w:rsidP="00D749A8">
      <w:pPr>
        <w:spacing w:after="0"/>
      </w:pPr>
      <w:r>
        <w:t xml:space="preserve">Following approval by USED, accountability changes will be implemented beginning with the accountability ratings for the 2019-2020 school </w:t>
      </w:r>
      <w:proofErr w:type="gramStart"/>
      <w:r>
        <w:t>year</w:t>
      </w:r>
      <w:proofErr w:type="gramEnd"/>
      <w:r>
        <w:t>.</w:t>
      </w:r>
    </w:p>
    <w:p w:rsidR="004164A0" w:rsidRPr="0024560F" w:rsidRDefault="004164A0" w:rsidP="004164A0">
      <w:pPr>
        <w:spacing w:after="0"/>
      </w:pPr>
    </w:p>
    <w:p w:rsidR="00A569C4" w:rsidRDefault="00123E2E" w:rsidP="004164A0">
      <w:pPr>
        <w:pStyle w:val="Heading2"/>
        <w:spacing w:before="0" w:after="0"/>
        <w:rPr>
          <w:rStyle w:val="Heading2Char"/>
          <w:b/>
        </w:rPr>
      </w:pPr>
      <w:r w:rsidRPr="008172C2">
        <w:rPr>
          <w:rStyle w:val="Heading2Char"/>
          <w:b/>
        </w:rPr>
        <w:t>Timetable for Further Review/Action:</w:t>
      </w:r>
    </w:p>
    <w:p w:rsidR="004164A0" w:rsidRPr="004164A0" w:rsidRDefault="00BF0F1A" w:rsidP="00A569C4">
      <w:r w:rsidRPr="00A569C4">
        <w:t xml:space="preserve">Final review is </w:t>
      </w:r>
      <w:proofErr w:type="gramStart"/>
      <w:r w:rsidR="00775706">
        <w:t xml:space="preserve">anticipated </w:t>
      </w:r>
      <w:r w:rsidRPr="00A569C4">
        <w:t xml:space="preserve"> at</w:t>
      </w:r>
      <w:proofErr w:type="gramEnd"/>
      <w:r w:rsidRPr="00A569C4">
        <w:t xml:space="preserve"> the Board’s July 25, 2019 meeting.</w:t>
      </w:r>
    </w:p>
    <w:p w:rsidR="009B109E" w:rsidRDefault="000E009D" w:rsidP="004164A0">
      <w:pPr>
        <w:pStyle w:val="Heading2"/>
        <w:spacing w:before="0" w:after="0"/>
      </w:pPr>
      <w:r w:rsidRPr="007503E8">
        <w:t xml:space="preserve">Impact on Fiscal and Human Resources: </w:t>
      </w:r>
    </w:p>
    <w:p w:rsidR="0020239B" w:rsidRPr="0020239B" w:rsidRDefault="00BF0F1A" w:rsidP="00BF0F1A">
      <w:r>
        <w:t>Costs associated with the implementation of the consolidated state plan amendment will be provided by federal funds awarded under ESSA.</w:t>
      </w:r>
    </w:p>
    <w:sectPr w:rsidR="0020239B" w:rsidRPr="0020239B" w:rsidSect="00C75D3C">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C75D3C">
          <w:rPr>
            <w:rFonts w:cs="Times New Roman"/>
            <w:noProof/>
          </w:rPr>
          <w:t>A</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9B1DEA"/>
    <w:multiLevelType w:val="hybridMultilevel"/>
    <w:tmpl w:val="A550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02552"/>
    <w:rsid w:val="0004026A"/>
    <w:rsid w:val="000D590D"/>
    <w:rsid w:val="000E009D"/>
    <w:rsid w:val="000E1C6D"/>
    <w:rsid w:val="00123E2E"/>
    <w:rsid w:val="0020239B"/>
    <w:rsid w:val="0024560F"/>
    <w:rsid w:val="00306E2A"/>
    <w:rsid w:val="003730EB"/>
    <w:rsid w:val="003D27FD"/>
    <w:rsid w:val="003E15B5"/>
    <w:rsid w:val="004164A0"/>
    <w:rsid w:val="00510815"/>
    <w:rsid w:val="00530462"/>
    <w:rsid w:val="005357C5"/>
    <w:rsid w:val="00537153"/>
    <w:rsid w:val="005A0D26"/>
    <w:rsid w:val="005C021D"/>
    <w:rsid w:val="005D75BF"/>
    <w:rsid w:val="0065013E"/>
    <w:rsid w:val="00680D3D"/>
    <w:rsid w:val="007503E8"/>
    <w:rsid w:val="00775706"/>
    <w:rsid w:val="007A607C"/>
    <w:rsid w:val="00805AF1"/>
    <w:rsid w:val="008172C2"/>
    <w:rsid w:val="00892D0F"/>
    <w:rsid w:val="008E6887"/>
    <w:rsid w:val="008F30BB"/>
    <w:rsid w:val="0094605A"/>
    <w:rsid w:val="009B109E"/>
    <w:rsid w:val="009B7A05"/>
    <w:rsid w:val="00A47F8C"/>
    <w:rsid w:val="00A569C4"/>
    <w:rsid w:val="00A972CE"/>
    <w:rsid w:val="00AC0C95"/>
    <w:rsid w:val="00B54CA9"/>
    <w:rsid w:val="00BA7FAF"/>
    <w:rsid w:val="00BC5B04"/>
    <w:rsid w:val="00BF0F1A"/>
    <w:rsid w:val="00C42ECA"/>
    <w:rsid w:val="00C75D3C"/>
    <w:rsid w:val="00D749A8"/>
    <w:rsid w:val="00D9096B"/>
    <w:rsid w:val="00DE10FB"/>
    <w:rsid w:val="00E50790"/>
    <w:rsid w:val="00EC7CF9"/>
    <w:rsid w:val="00F13347"/>
    <w:rsid w:val="00F77BDE"/>
    <w:rsid w:val="00FB1DB6"/>
    <w:rsid w:val="00FC1D0A"/>
    <w:rsid w:val="00FC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47"/>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F0F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47"/>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F0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ynn.Sodat@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4CA8-31A2-4319-8192-CF818663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First Review of an Amendment to Virginia's ESSA State Plan</vt:lpstr>
    </vt:vector>
  </TitlesOfParts>
  <Company>Virginia IT Infrastructure Partnership</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Review of an Amendment to Virginia's ESSA State Plan</dc:title>
  <dc:creator>Lynn Sodat</dc:creator>
  <cp:lastModifiedBy>Emily V. Webb (DOE) </cp:lastModifiedBy>
  <cp:revision>2</cp:revision>
  <cp:lastPrinted>2017-10-02T20:08:00Z</cp:lastPrinted>
  <dcterms:created xsi:type="dcterms:W3CDTF">2019-06-11T15:04:00Z</dcterms:created>
  <dcterms:modified xsi:type="dcterms:W3CDTF">2019-06-11T15:04:00Z</dcterms:modified>
</cp:coreProperties>
</file>