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31BBAB33" w14:textId="77777777" w:rsidTr="009B7A05">
        <w:trPr>
          <w:trHeight w:val="144"/>
          <w:tblHeader/>
        </w:trPr>
        <w:tc>
          <w:tcPr>
            <w:tcW w:w="8125" w:type="dxa"/>
            <w:tcMar>
              <w:left w:w="115" w:type="dxa"/>
              <w:right w:w="115" w:type="dxa"/>
            </w:tcMar>
            <w:vAlign w:val="center"/>
          </w:tcPr>
          <w:p w14:paraId="12B73B9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1A74DEBA"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1091502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22944A80" wp14:editId="2DFAD6C9">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07A399A0" w14:textId="6C8BCF0D" w:rsidR="00A972CE" w:rsidRPr="007503E8" w:rsidRDefault="007503E8" w:rsidP="005B4D38">
      <w:pPr>
        <w:pStyle w:val="Heading1"/>
        <w:spacing w:before="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5B4CFD">
        <w:rPr>
          <w:rFonts w:cs="Times New Roman"/>
          <w:szCs w:val="24"/>
        </w:rPr>
        <w:tab/>
      </w:r>
      <w:r w:rsidR="00CA388A">
        <w:rPr>
          <w:rFonts w:cs="Times New Roman"/>
          <w:szCs w:val="24"/>
        </w:rPr>
        <w:t>F</w:t>
      </w:r>
      <w:r w:rsidR="00B954C0">
        <w:rPr>
          <w:rFonts w:cs="Times New Roman"/>
          <w:szCs w:val="24"/>
        </w:rPr>
        <w:br/>
      </w:r>
    </w:p>
    <w:p w14:paraId="2A49374A" w14:textId="656829CC" w:rsidR="00A972CE" w:rsidRPr="007503E8" w:rsidRDefault="00A972CE" w:rsidP="005B4D38">
      <w:pPr>
        <w:pStyle w:val="Heading2"/>
        <w:spacing w:before="0" w:after="0" w:line="240" w:lineRule="auto"/>
      </w:pPr>
      <w:r w:rsidRPr="007503E8">
        <w:t>Date:</w:t>
      </w:r>
      <w:r w:rsidR="007503E8" w:rsidRPr="007503E8">
        <w:tab/>
      </w:r>
      <w:r w:rsidR="005B4CFD">
        <w:tab/>
      </w:r>
      <w:r w:rsidR="005B4CFD">
        <w:tab/>
      </w:r>
      <w:r w:rsidR="003C3EC2">
        <w:t>October 15</w:t>
      </w:r>
      <w:r w:rsidR="00581D9E">
        <w:t>, 2020</w:t>
      </w:r>
      <w:r w:rsidR="00B954C0">
        <w:br/>
      </w:r>
    </w:p>
    <w:p w14:paraId="55DAD325" w14:textId="769164FA" w:rsidR="00A972CE" w:rsidRPr="007503E8" w:rsidRDefault="00A972CE" w:rsidP="005B4D38">
      <w:pPr>
        <w:pStyle w:val="Heading3"/>
        <w:spacing w:before="0" w:line="240" w:lineRule="auto"/>
        <w:ind w:left="2160" w:hanging="2160"/>
        <w:rPr>
          <w:rFonts w:cs="Times New Roman"/>
          <w:color w:val="auto"/>
          <w:szCs w:val="24"/>
        </w:rPr>
      </w:pPr>
      <w:r w:rsidRPr="007503E8">
        <w:rPr>
          <w:rFonts w:cs="Times New Roman"/>
          <w:color w:val="auto"/>
          <w:szCs w:val="24"/>
        </w:rPr>
        <w:t xml:space="preserve">Title: </w:t>
      </w:r>
      <w:r w:rsidR="005B4CFD">
        <w:rPr>
          <w:rFonts w:cs="Times New Roman"/>
          <w:color w:val="auto"/>
          <w:szCs w:val="24"/>
        </w:rPr>
        <w:tab/>
      </w:r>
      <w:r w:rsidR="005B4CFD" w:rsidRPr="003C3EC2">
        <w:rPr>
          <w:rFonts w:ascii="Times" w:hAnsi="Times" w:cs="Times"/>
          <w:color w:val="auto"/>
          <w:szCs w:val="24"/>
        </w:rPr>
        <w:t>F</w:t>
      </w:r>
      <w:r w:rsidR="000642E6">
        <w:rPr>
          <w:rFonts w:ascii="Times" w:hAnsi="Times" w:cs="Times"/>
          <w:color w:val="auto"/>
          <w:szCs w:val="24"/>
        </w:rPr>
        <w:t>inal</w:t>
      </w:r>
      <w:r w:rsidR="005B4CFD" w:rsidRPr="003C3EC2">
        <w:rPr>
          <w:rFonts w:ascii="Times" w:hAnsi="Times" w:cs="Times"/>
          <w:color w:val="auto"/>
          <w:szCs w:val="24"/>
        </w:rPr>
        <w:t xml:space="preserve"> Review of </w:t>
      </w:r>
      <w:r w:rsidR="003C3EC2" w:rsidRPr="003C3EC2">
        <w:rPr>
          <w:rFonts w:ascii="Times" w:hAnsi="Times" w:cs="Times"/>
          <w:color w:val="auto"/>
          <w:szCs w:val="24"/>
        </w:rPr>
        <w:t xml:space="preserve">the Notice of Intended Regulatory Action to Revise the </w:t>
      </w:r>
      <w:r w:rsidR="003C3EC2" w:rsidRPr="003C3EC2">
        <w:rPr>
          <w:rFonts w:ascii="Times" w:hAnsi="Times" w:cs="Times"/>
          <w:i/>
          <w:color w:val="auto"/>
          <w:szCs w:val="24"/>
        </w:rPr>
        <w:t>Regulations</w:t>
      </w:r>
      <w:r w:rsidR="003C3EC2" w:rsidRPr="003C3EC2">
        <w:rPr>
          <w:rFonts w:ascii="Times" w:hAnsi="Times" w:cs="Times"/>
          <w:i/>
          <w:szCs w:val="24"/>
        </w:rPr>
        <w:t xml:space="preserve"> Establishing Standards for Accrediting Public Schools in Virginia</w:t>
      </w:r>
      <w:r w:rsidR="003C3EC2">
        <w:rPr>
          <w:rFonts w:cs="Times New Roman"/>
          <w:color w:val="auto"/>
          <w:szCs w:val="24"/>
        </w:rPr>
        <w:t xml:space="preserve"> </w:t>
      </w:r>
      <w:r w:rsidR="005B4CFD">
        <w:rPr>
          <w:rFonts w:cs="Times New Roman"/>
          <w:color w:val="auto"/>
          <w:szCs w:val="24"/>
        </w:rPr>
        <w:t xml:space="preserve"> </w:t>
      </w:r>
      <w:r w:rsidR="007C2EB2">
        <w:rPr>
          <w:rFonts w:cs="Times New Roman"/>
          <w:color w:val="auto"/>
          <w:szCs w:val="24"/>
        </w:rPr>
        <w:t xml:space="preserve"> </w:t>
      </w:r>
      <w:r w:rsidR="00B954C0">
        <w:rPr>
          <w:rFonts w:cs="Times New Roman"/>
          <w:color w:val="auto"/>
          <w:szCs w:val="24"/>
        </w:rPr>
        <w:br/>
      </w:r>
    </w:p>
    <w:p w14:paraId="46E3144C" w14:textId="77777777" w:rsidR="007503E8" w:rsidRPr="007503E8" w:rsidRDefault="00A972CE" w:rsidP="005B4D38">
      <w:pPr>
        <w:pStyle w:val="Heading4"/>
        <w:spacing w:before="0" w:line="240" w:lineRule="auto"/>
        <w:rPr>
          <w:rFonts w:cs="Times New Roman"/>
          <w:szCs w:val="24"/>
        </w:rPr>
      </w:pPr>
      <w:r w:rsidRPr="007503E8">
        <w:rPr>
          <w:rFonts w:cs="Times New Roman"/>
          <w:szCs w:val="24"/>
        </w:rPr>
        <w:t xml:space="preserve">Presenter: </w:t>
      </w:r>
      <w:r w:rsidR="005B4CFD">
        <w:rPr>
          <w:rFonts w:cs="Times New Roman"/>
          <w:szCs w:val="24"/>
        </w:rPr>
        <w:tab/>
      </w:r>
      <w:r w:rsidR="005B4CFD">
        <w:rPr>
          <w:rFonts w:cs="Times New Roman"/>
          <w:szCs w:val="24"/>
        </w:rPr>
        <w:tab/>
      </w:r>
      <w:r w:rsidR="007C2EB2">
        <w:rPr>
          <w:rFonts w:cs="Times New Roman"/>
          <w:szCs w:val="24"/>
        </w:rPr>
        <w:t>Dr. Leslie Sale, Director of Policy</w:t>
      </w:r>
      <w:r w:rsidR="00B954C0">
        <w:rPr>
          <w:rFonts w:cs="Times New Roman"/>
          <w:szCs w:val="24"/>
        </w:rPr>
        <w:br/>
      </w:r>
    </w:p>
    <w:p w14:paraId="108E89FE" w14:textId="35D10C2F" w:rsidR="00A972CE" w:rsidRPr="007503E8" w:rsidRDefault="00A972CE" w:rsidP="005B4D38">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7C2EB2">
        <w:rPr>
          <w:rFonts w:cs="Times New Roman"/>
          <w:szCs w:val="24"/>
        </w:rPr>
        <w:t xml:space="preserve"> </w:t>
      </w:r>
      <w:r w:rsidR="005B4CFD">
        <w:rPr>
          <w:rFonts w:cs="Times New Roman"/>
          <w:szCs w:val="24"/>
        </w:rPr>
        <w:tab/>
      </w:r>
      <w:r w:rsidR="005B4CFD">
        <w:rPr>
          <w:rFonts w:cs="Times New Roman"/>
          <w:szCs w:val="24"/>
        </w:rPr>
        <w:tab/>
      </w:r>
      <w:hyperlink r:id="rId9" w:history="1">
        <w:r w:rsidR="000642E6" w:rsidRPr="00AF1712">
          <w:rPr>
            <w:rStyle w:val="Hyperlink"/>
            <w:rFonts w:cs="Times New Roman"/>
            <w:szCs w:val="24"/>
          </w:rPr>
          <w:t>Leslie.Sale@doe.virginia.gov</w:t>
        </w:r>
      </w:hyperlink>
      <w:r w:rsidR="000642E6">
        <w:rPr>
          <w:rFonts w:cs="Times New Roman"/>
          <w:szCs w:val="24"/>
        </w:rPr>
        <w:t xml:space="preserve"> </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7C2EB2">
        <w:rPr>
          <w:rFonts w:cs="Times New Roman"/>
          <w:szCs w:val="24"/>
        </w:rPr>
        <w:t>(804)786-0941</w:t>
      </w:r>
    </w:p>
    <w:p w14:paraId="47509BB5" w14:textId="77777777" w:rsidR="00A972CE" w:rsidRPr="007503E8" w:rsidRDefault="00A972CE" w:rsidP="0094605A">
      <w:pPr>
        <w:spacing w:after="0"/>
      </w:pPr>
    </w:p>
    <w:p w14:paraId="7A723EB3" w14:textId="77777777" w:rsidR="00A972CE" w:rsidRPr="007503E8" w:rsidRDefault="00A972CE" w:rsidP="007503E8">
      <w:pPr>
        <w:pStyle w:val="Heading2"/>
        <w:spacing w:before="0" w:after="0"/>
      </w:pPr>
      <w:r w:rsidRPr="007503E8">
        <w:t xml:space="preserve">Purpose of Presentation: </w:t>
      </w:r>
    </w:p>
    <w:p w14:paraId="0BDC51F7" w14:textId="6827F64E" w:rsidR="00A972CE" w:rsidRPr="007503E8" w:rsidRDefault="000642E6"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t>Action required by state or federal law or regulation.</w:t>
          </w:r>
        </w:sdtContent>
      </w:sdt>
    </w:p>
    <w:p w14:paraId="1E412ACD" w14:textId="77777777" w:rsidR="00B954C0" w:rsidRDefault="00B954C0" w:rsidP="00B954C0">
      <w:pPr>
        <w:spacing w:after="0"/>
      </w:pPr>
    </w:p>
    <w:p w14:paraId="2A6E65D7" w14:textId="3538DD69" w:rsidR="00734BC5" w:rsidRDefault="00A972CE" w:rsidP="003C3EC2">
      <w:pPr>
        <w:spacing w:after="0"/>
      </w:pPr>
      <w:r w:rsidRPr="00B954C0">
        <w:rPr>
          <w:rStyle w:val="Heading2Char"/>
        </w:rPr>
        <w:t>Executive Summary:</w:t>
      </w:r>
      <w:r w:rsidR="00B954C0">
        <w:rPr>
          <w:rStyle w:val="Heading2Char"/>
        </w:rPr>
        <w:br/>
      </w:r>
      <w:r w:rsidR="004077A1">
        <w:t xml:space="preserve">In 2017, the Board of Education </w:t>
      </w:r>
      <w:r w:rsidR="009D3895">
        <w:t xml:space="preserve">finalized its comprehensive review of and update to </w:t>
      </w:r>
      <w:r w:rsidR="007B7EBD">
        <w:t>the</w:t>
      </w:r>
      <w:r w:rsidR="009D3895">
        <w:t xml:space="preserve"> </w:t>
      </w:r>
      <w:r w:rsidR="009D3895" w:rsidRPr="009D3895">
        <w:rPr>
          <w:i/>
        </w:rPr>
        <w:t>Regulations Establishing Standards for Accrediting Public Schools in Virginia</w:t>
      </w:r>
      <w:r w:rsidR="009D3895" w:rsidRPr="009D3895">
        <w:t xml:space="preserve"> (also known as the Standards of Accreditation or SOA)</w:t>
      </w:r>
      <w:r w:rsidR="009D3895">
        <w:t xml:space="preserve">. </w:t>
      </w:r>
      <w:r w:rsidR="00D76BDB">
        <w:t>The Board approved a</w:t>
      </w:r>
      <w:r w:rsidR="009D3895">
        <w:t xml:space="preserve"> number of substantive changes to the SOA </w:t>
      </w:r>
      <w:r w:rsidR="00D76BDB">
        <w:t>during its update, including a</w:t>
      </w:r>
      <w:r w:rsidR="000F3257">
        <w:t xml:space="preserve"> revised state accreditation model, an emphasis on continuous improvement, and the integration of the Profile of a Virginia Graduate</w:t>
      </w:r>
      <w:r w:rsidR="00250225">
        <w:t>, among others</w:t>
      </w:r>
      <w:r w:rsidR="000F3257">
        <w:t>.</w:t>
      </w:r>
    </w:p>
    <w:p w14:paraId="5B1BD26D" w14:textId="55647D08" w:rsidR="009D3895" w:rsidRDefault="009D3895" w:rsidP="003C3EC2">
      <w:pPr>
        <w:spacing w:after="0"/>
      </w:pPr>
    </w:p>
    <w:p w14:paraId="79113058" w14:textId="4BB73208" w:rsidR="000F3257" w:rsidRDefault="009D3895" w:rsidP="003C3EC2">
      <w:pPr>
        <w:spacing w:after="0"/>
      </w:pPr>
      <w:r w:rsidRPr="009D3895">
        <w:t xml:space="preserve">The new Standards of Accreditation became effective in the 2018-2019 school year. Since implementation, the Virginia Department of Education (VDOE) has monitored feedback from the field as well as convened an internal committee to evaluate and address questions and concerns related to the </w:t>
      </w:r>
      <w:r w:rsidR="00224919">
        <w:t xml:space="preserve">new </w:t>
      </w:r>
      <w:r w:rsidRPr="009D3895">
        <w:t>SOA.</w:t>
      </w:r>
      <w:r w:rsidR="00224919">
        <w:t xml:space="preserve"> As a result of this work, VDOE staff has compiled several technical and practical amendments to the regulations that would improve the impact and efficacy of the SOA. </w:t>
      </w:r>
      <w:r w:rsidRPr="009D3895">
        <w:t>Additionally, in June</w:t>
      </w:r>
      <w:r w:rsidR="007B7EBD">
        <w:t xml:space="preserve"> </w:t>
      </w:r>
      <w:r w:rsidRPr="009D3895">
        <w:t>2020, the Board established its own Special Committee for the Review of the Standards of Accreditation tasked with exploring the positive, negative, and unintended consequences of the new accreditation model</w:t>
      </w:r>
      <w:r w:rsidR="000642E6">
        <w:t xml:space="preserve"> and 2017 SOA revisions</w:t>
      </w:r>
      <w:r w:rsidRPr="009D3895">
        <w:t xml:space="preserve">. </w:t>
      </w:r>
    </w:p>
    <w:p w14:paraId="641052F8" w14:textId="77777777" w:rsidR="000F3257" w:rsidRDefault="000F3257" w:rsidP="003C3EC2">
      <w:pPr>
        <w:spacing w:after="0"/>
      </w:pPr>
    </w:p>
    <w:p w14:paraId="294F1D0A" w14:textId="2977AB98" w:rsidR="00224919" w:rsidRPr="007C2EB2" w:rsidRDefault="000F3257" w:rsidP="003C3EC2">
      <w:pPr>
        <w:spacing w:after="0"/>
      </w:pPr>
      <w:r>
        <w:t>T</w:t>
      </w:r>
      <w:r w:rsidR="007B7EBD">
        <w:t xml:space="preserve">here </w:t>
      </w:r>
      <w:r w:rsidR="00224919">
        <w:t xml:space="preserve">is an anticipated need to reopen the SOA </w:t>
      </w:r>
      <w:r>
        <w:t xml:space="preserve">in order </w:t>
      </w:r>
      <w:r w:rsidR="00224919">
        <w:t xml:space="preserve">to incorporate a range </w:t>
      </w:r>
      <w:r w:rsidR="000642E6">
        <w:t xml:space="preserve">of </w:t>
      </w:r>
      <w:r w:rsidR="00224919">
        <w:t>regulatory amendments</w:t>
      </w:r>
      <w:r>
        <w:t xml:space="preserve"> based</w:t>
      </w:r>
      <w:r w:rsidRPr="009D3895">
        <w:t xml:space="preserve"> </w:t>
      </w:r>
      <w:r>
        <w:t xml:space="preserve">on stakeholder </w:t>
      </w:r>
      <w:r w:rsidRPr="009D3895">
        <w:t xml:space="preserve">feedback, VDOE </w:t>
      </w:r>
      <w:r>
        <w:t>staff recommendations</w:t>
      </w:r>
      <w:r w:rsidRPr="009D3895">
        <w:t xml:space="preserve">, and the </w:t>
      </w:r>
      <w:r>
        <w:t xml:space="preserve">Special </w:t>
      </w:r>
      <w:r w:rsidRPr="009D3895">
        <w:t>Committee’s early findings</w:t>
      </w:r>
      <w:r>
        <w:t xml:space="preserve">. </w:t>
      </w:r>
      <w:r w:rsidR="00224919">
        <w:t xml:space="preserve">The attached </w:t>
      </w:r>
      <w:r w:rsidR="00224919" w:rsidRPr="003C3EC2">
        <w:t>Notice of Intended Regulatory Action</w:t>
      </w:r>
      <w:r w:rsidR="00224919">
        <w:t xml:space="preserve"> is the first step in the formal regulatory process and upon review and approval by both the Board and executive </w:t>
      </w:r>
      <w:r w:rsidR="00224919">
        <w:lastRenderedPageBreak/>
        <w:t xml:space="preserve">branch, will allow VDOE staff and the Board’s Special Committee </w:t>
      </w:r>
      <w:r>
        <w:t>to offer clarity, change, or improvement to several, identified action items in the SOA.</w:t>
      </w:r>
    </w:p>
    <w:p w14:paraId="6845AF03" w14:textId="77777777" w:rsidR="00A972CE" w:rsidRPr="007503E8" w:rsidRDefault="003D27FD" w:rsidP="007503E8">
      <w:pPr>
        <w:pStyle w:val="Heading2"/>
        <w:spacing w:before="0" w:after="0"/>
      </w:pPr>
      <w:r>
        <w:br/>
      </w:r>
      <w:r w:rsidR="00A972CE" w:rsidRPr="007503E8">
        <w:t xml:space="preserve">Action Requested:  </w:t>
      </w:r>
    </w:p>
    <w:p w14:paraId="5457F1FC" w14:textId="3506A50A" w:rsidR="00A972CE" w:rsidRPr="007503E8" w:rsidRDefault="000642E6"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C3EC2">
            <w:t>Final review: Action requested at this meeting.</w:t>
          </w:r>
        </w:sdtContent>
      </w:sdt>
    </w:p>
    <w:p w14:paraId="4CEB3FF7" w14:textId="0D28794F" w:rsidR="005B4CFD" w:rsidRDefault="003D27FD" w:rsidP="005B4CFD">
      <w:pPr>
        <w:spacing w:after="0"/>
        <w:rPr>
          <w:rFonts w:cs="Times New Roman"/>
          <w:szCs w:val="24"/>
        </w:rPr>
      </w:pPr>
      <w:r>
        <w:br/>
      </w:r>
      <w:r w:rsidR="00A972CE" w:rsidRPr="005B4CFD">
        <w:rPr>
          <w:rStyle w:val="Heading2Char"/>
        </w:rPr>
        <w:t>Superintendent’s Recommendation:</w:t>
      </w:r>
      <w:r w:rsidR="00A972CE" w:rsidRPr="007503E8">
        <w:t xml:space="preserve"> </w:t>
      </w:r>
      <w:r w:rsidR="007503E8">
        <w:br/>
      </w:r>
      <w:r w:rsidR="005B4CFD" w:rsidRPr="006E6285">
        <w:t xml:space="preserve">The Superintendent of Public Instruction recommends that the Board of Education </w:t>
      </w:r>
      <w:r w:rsidR="003C3EC2">
        <w:t xml:space="preserve">approve the </w:t>
      </w:r>
      <w:r w:rsidR="003C3EC2" w:rsidRPr="003C3EC2">
        <w:t xml:space="preserve">Notice of Intended Regulatory Action to </w:t>
      </w:r>
      <w:r w:rsidR="003C3EC2">
        <w:t>r</w:t>
      </w:r>
      <w:r w:rsidR="003C3EC2" w:rsidRPr="003C3EC2">
        <w:t xml:space="preserve">evise the </w:t>
      </w:r>
      <w:r w:rsidR="003C3EC2" w:rsidRPr="003C3EC2">
        <w:rPr>
          <w:i/>
        </w:rPr>
        <w:t>Regulations Establishing Standards for Accrediting Public Schools in Virginia</w:t>
      </w:r>
      <w:r w:rsidR="005B4CFD" w:rsidRPr="006E6285">
        <w:rPr>
          <w:rFonts w:cs="Times New Roman"/>
          <w:szCs w:val="24"/>
        </w:rPr>
        <w:t>.</w:t>
      </w:r>
      <w:r w:rsidR="005B4CFD">
        <w:rPr>
          <w:rFonts w:cs="Times New Roman"/>
          <w:szCs w:val="24"/>
        </w:rPr>
        <w:t xml:space="preserve"> </w:t>
      </w:r>
    </w:p>
    <w:p w14:paraId="7801C463" w14:textId="77777777" w:rsidR="005B4CFD" w:rsidRPr="005B4CFD" w:rsidRDefault="005B4CFD" w:rsidP="005B4CFD">
      <w:pPr>
        <w:pStyle w:val="Heading3"/>
        <w:spacing w:before="0"/>
      </w:pPr>
      <w:r>
        <w:rPr>
          <w:rFonts w:cs="Times New Roman"/>
          <w:color w:val="auto"/>
          <w:szCs w:val="24"/>
        </w:rPr>
        <w:t xml:space="preserve">  </w:t>
      </w:r>
    </w:p>
    <w:p w14:paraId="76D80C1D" w14:textId="77777777" w:rsidR="00892D0F" w:rsidRPr="007C2EB2" w:rsidRDefault="00892D0F" w:rsidP="007503E8">
      <w:pPr>
        <w:pStyle w:val="Heading2"/>
        <w:spacing w:before="0" w:after="0"/>
      </w:pPr>
      <w:r w:rsidRPr="007C2EB2">
        <w:t>Rationale for Action:</w:t>
      </w:r>
    </w:p>
    <w:p w14:paraId="5955A201" w14:textId="67FF004C" w:rsidR="00892D0F" w:rsidRPr="007503E8" w:rsidRDefault="00224919" w:rsidP="007503E8">
      <w:pPr>
        <w:spacing w:after="0"/>
      </w:pPr>
      <w:r>
        <w:t>In approving the</w:t>
      </w:r>
      <w:r w:rsidR="004077A1">
        <w:t xml:space="preserve"> </w:t>
      </w:r>
      <w:r>
        <w:t xml:space="preserve">NOIRA, the Board </w:t>
      </w:r>
      <w:r w:rsidR="0038289A">
        <w:t>is initiating the</w:t>
      </w:r>
      <w:r>
        <w:t xml:space="preserve"> formal regulatory process </w:t>
      </w:r>
      <w:r w:rsidR="0038289A">
        <w:t>to amend the SOA</w:t>
      </w:r>
      <w:r w:rsidR="00CF757E">
        <w:t xml:space="preserve"> based on feedback from the field, VDOE recommendations and the Board’s Special Committee</w:t>
      </w:r>
      <w:r w:rsidR="0038289A">
        <w:t>.</w:t>
      </w:r>
      <w:r w:rsidR="00CF757E">
        <w:t xml:space="preserve"> </w:t>
      </w:r>
      <w:r w:rsidR="007503E8">
        <w:br/>
      </w:r>
    </w:p>
    <w:p w14:paraId="4534E8BD"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2AA894BD" w14:textId="12114F30" w:rsidR="00A82D02" w:rsidRPr="003C3EC2" w:rsidRDefault="003C3EC2" w:rsidP="007C2EB2">
          <w:pPr>
            <w:spacing w:after="0"/>
            <w:rPr>
              <w:rStyle w:val="Heading2Char"/>
              <w:rFonts w:eastAsiaTheme="minorHAnsi" w:cstheme="minorBidi"/>
              <w:b w:val="0"/>
              <w:bCs w:val="0"/>
              <w:szCs w:val="22"/>
            </w:rPr>
          </w:pPr>
          <w:r>
            <w:t>No previous review or action.</w:t>
          </w:r>
        </w:p>
      </w:sdtContent>
    </w:sdt>
    <w:p w14:paraId="787E7BEF" w14:textId="77777777" w:rsidR="00CF757E" w:rsidRDefault="00CF757E" w:rsidP="005B4CFD">
      <w:pPr>
        <w:spacing w:after="0"/>
        <w:rPr>
          <w:rStyle w:val="Heading2Char"/>
        </w:rPr>
      </w:pPr>
    </w:p>
    <w:p w14:paraId="205EDAFF" w14:textId="52D4257C" w:rsidR="007C2EB2" w:rsidRDefault="000E009D" w:rsidP="005B4CFD">
      <w:pPr>
        <w:spacing w:after="0"/>
      </w:pPr>
      <w:r w:rsidRPr="007503E8">
        <w:rPr>
          <w:rStyle w:val="Heading2Char"/>
        </w:rPr>
        <w:t>Background Information and Statutory Authority:</w:t>
      </w:r>
      <w:r w:rsidRPr="007503E8">
        <w:t xml:space="preserve"> </w:t>
      </w:r>
      <w:r w:rsidR="007503E8">
        <w:br/>
      </w:r>
      <w:r w:rsidR="00CF757E">
        <w:t xml:space="preserve">Section </w:t>
      </w:r>
      <w:hyperlink r:id="rId10" w:history="1">
        <w:r w:rsidR="00CF757E" w:rsidRPr="00CF757E">
          <w:rPr>
            <w:rStyle w:val="Hyperlink"/>
          </w:rPr>
          <w:t>22.1-16</w:t>
        </w:r>
      </w:hyperlink>
      <w:r w:rsidR="00CF757E">
        <w:t xml:space="preserve"> of </w:t>
      </w:r>
      <w:r w:rsidR="007C2EB2" w:rsidRPr="007C2EB2">
        <w:rPr>
          <w:i/>
        </w:rPr>
        <w:t>Code of Virginia</w:t>
      </w:r>
      <w:r w:rsidR="007C2EB2">
        <w:t xml:space="preserve"> </w:t>
      </w:r>
      <w:r w:rsidR="00EC6310">
        <w:t>establishes</w:t>
      </w:r>
      <w:r w:rsidR="007C2EB2">
        <w:t xml:space="preserve"> </w:t>
      </w:r>
      <w:r w:rsidR="00734BC5">
        <w:t>the Board of Education</w:t>
      </w:r>
      <w:r w:rsidR="00EC6310">
        <w:t xml:space="preserve">’s </w:t>
      </w:r>
      <w:r w:rsidR="00734BC5">
        <w:t xml:space="preserve">authority </w:t>
      </w:r>
      <w:r w:rsidR="00CF757E">
        <w:t xml:space="preserve">to promulgate regulations necessary to fulfill its powers and responsibilities generally. </w:t>
      </w:r>
      <w:r w:rsidR="007C2EB2">
        <w:t xml:space="preserve"> </w:t>
      </w:r>
      <w:r w:rsidR="005B4CFD">
        <w:br/>
      </w:r>
    </w:p>
    <w:p w14:paraId="72043549" w14:textId="6A4A0B94" w:rsidR="00734BC5" w:rsidRDefault="007C2EB2" w:rsidP="00CF757E">
      <w:pPr>
        <w:pBdr>
          <w:top w:val="single" w:sz="4" w:space="1" w:color="auto"/>
          <w:left w:val="single" w:sz="4" w:space="4" w:color="auto"/>
          <w:bottom w:val="single" w:sz="4" w:space="1" w:color="auto"/>
          <w:right w:val="single" w:sz="4" w:space="4" w:color="auto"/>
        </w:pBdr>
        <w:spacing w:after="0"/>
        <w:ind w:left="720" w:right="720"/>
      </w:pPr>
      <w:r w:rsidRPr="007C2EB2">
        <w:t>§</w:t>
      </w:r>
      <w:r>
        <w:t xml:space="preserve"> </w:t>
      </w:r>
      <w:r w:rsidR="00CF757E">
        <w:t xml:space="preserve">22.1-16 </w:t>
      </w:r>
      <w:r>
        <w:t xml:space="preserve">of the </w:t>
      </w:r>
      <w:r w:rsidRPr="00734BC5">
        <w:rPr>
          <w:i/>
        </w:rPr>
        <w:t>Code of Virginia</w:t>
      </w:r>
      <w:r>
        <w:t>:</w:t>
      </w:r>
    </w:p>
    <w:p w14:paraId="58287147" w14:textId="7A423F64" w:rsidR="00CF757E" w:rsidRDefault="00CF757E" w:rsidP="00CF757E">
      <w:pPr>
        <w:pBdr>
          <w:top w:val="single" w:sz="4" w:space="1" w:color="auto"/>
          <w:left w:val="single" w:sz="4" w:space="4" w:color="auto"/>
          <w:bottom w:val="single" w:sz="4" w:space="1" w:color="auto"/>
          <w:right w:val="single" w:sz="4" w:space="4" w:color="auto"/>
        </w:pBdr>
        <w:spacing w:after="0"/>
        <w:ind w:left="720" w:right="720"/>
      </w:pPr>
      <w:r>
        <w:t>The Board of Education may adopt bylaws for its own government and promulgate such regulations as may be necessary to carry out its powers and duties and the provisions of this title.</w:t>
      </w:r>
    </w:p>
    <w:p w14:paraId="2ADE040F" w14:textId="77777777" w:rsidR="007C2EB2" w:rsidRDefault="007C2EB2" w:rsidP="007C2EB2">
      <w:pPr>
        <w:spacing w:after="0"/>
      </w:pPr>
    </w:p>
    <w:p w14:paraId="2E59E9CB" w14:textId="40B66DE9" w:rsidR="009D3895" w:rsidRDefault="009D3895" w:rsidP="009D3895">
      <w:pPr>
        <w:spacing w:after="0"/>
      </w:pPr>
      <w:r>
        <w:t>The Board</w:t>
      </w:r>
      <w:r w:rsidR="00CF757E">
        <w:t>’s</w:t>
      </w:r>
      <w:r>
        <w:t xml:space="preserve"> authority </w:t>
      </w:r>
      <w:r w:rsidR="00CF757E">
        <w:t>to promulgate</w:t>
      </w:r>
      <w:r>
        <w:t xml:space="preserve"> regulations governing standards for accrediting public schools is found in § 22.1-253.13:3 of the </w:t>
      </w:r>
      <w:r w:rsidRPr="00CF757E">
        <w:rPr>
          <w:i/>
        </w:rPr>
        <w:t>Code of Virginia</w:t>
      </w:r>
      <w:r>
        <w:t xml:space="preserve">: </w:t>
      </w:r>
    </w:p>
    <w:p w14:paraId="4A6AEE68" w14:textId="624C77FA" w:rsidR="009D3895" w:rsidRDefault="009D3895" w:rsidP="009D3895">
      <w:pPr>
        <w:spacing w:after="0"/>
      </w:pPr>
    </w:p>
    <w:p w14:paraId="2AA39A0C" w14:textId="4D00E4C2" w:rsidR="00CF757E" w:rsidRPr="00CF757E" w:rsidRDefault="00CF757E" w:rsidP="00CF757E">
      <w:pPr>
        <w:pBdr>
          <w:top w:val="single" w:sz="4" w:space="1" w:color="auto"/>
          <w:left w:val="single" w:sz="4" w:space="4" w:color="auto"/>
          <w:bottom w:val="single" w:sz="4" w:space="1" w:color="auto"/>
          <w:right w:val="single" w:sz="4" w:space="4" w:color="auto"/>
        </w:pBdr>
        <w:spacing w:after="0"/>
        <w:ind w:left="720" w:right="720"/>
      </w:pPr>
      <w:r>
        <w:t xml:space="preserve">§ </w:t>
      </w:r>
      <w:hyperlink r:id="rId11" w:history="1">
        <w:r w:rsidRPr="00CF757E">
          <w:rPr>
            <w:rStyle w:val="Hyperlink"/>
          </w:rPr>
          <w:t>22.1-253.13:3</w:t>
        </w:r>
      </w:hyperlink>
      <w:r>
        <w:t xml:space="preserve"> of the </w:t>
      </w:r>
      <w:r w:rsidRPr="00CF757E">
        <w:rPr>
          <w:i/>
        </w:rPr>
        <w:t>Code of Virginia</w:t>
      </w:r>
      <w:r>
        <w:t>:</w:t>
      </w:r>
    </w:p>
    <w:p w14:paraId="467608D3" w14:textId="7F019C24" w:rsidR="0020239B" w:rsidRPr="007503E8" w:rsidRDefault="00CF757E" w:rsidP="00CF757E">
      <w:pPr>
        <w:pBdr>
          <w:top w:val="single" w:sz="4" w:space="1" w:color="auto"/>
          <w:left w:val="single" w:sz="4" w:space="4" w:color="auto"/>
          <w:bottom w:val="single" w:sz="4" w:space="1" w:color="auto"/>
          <w:right w:val="single" w:sz="4" w:space="4" w:color="auto"/>
        </w:pBdr>
        <w:spacing w:after="0"/>
        <w:ind w:left="720" w:right="720"/>
      </w:pPr>
      <w:r>
        <w:t xml:space="preserve">A. </w:t>
      </w:r>
      <w:r w:rsidR="009D3895">
        <w:t>The Board of Education shall promulgate regulations establishing standards for accreditation pursuant to the Administrative Process Act (§ 2.2-4000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requirements for graduation from high school, community relations, and the philosophy, goals, and objectives of public education in Virginia.</w:t>
      </w:r>
    </w:p>
    <w:p w14:paraId="7A4A70D8" w14:textId="77777777" w:rsidR="00CF757E" w:rsidRDefault="00CF757E" w:rsidP="007C2EB2">
      <w:pPr>
        <w:spacing w:after="0"/>
        <w:contextualSpacing/>
        <w:rPr>
          <w:rStyle w:val="Heading2Char"/>
        </w:rPr>
      </w:pPr>
    </w:p>
    <w:p w14:paraId="627C7766" w14:textId="16D3F89E" w:rsidR="00CF757E" w:rsidRDefault="00CF757E" w:rsidP="00CF757E">
      <w:pPr>
        <w:spacing w:after="0"/>
        <w:contextualSpacing/>
      </w:pPr>
      <w:r>
        <w:t xml:space="preserve">The SOA seek to ensure that an effective educational program is established and maintained in all Virginia public schools and </w:t>
      </w:r>
      <w:r w:rsidR="000F3257">
        <w:t>set out</w:t>
      </w:r>
      <w:r w:rsidR="00D76BDB">
        <w:t xml:space="preserve"> the following</w:t>
      </w:r>
      <w:r>
        <w:t>: expectations for student achievement; graduation requirements; requirements for instructional programs and staffing; standards for school facilities; standards for school and community communications; a system of accreditation; and plans for school improvement.</w:t>
      </w:r>
    </w:p>
    <w:p w14:paraId="267AF2A4" w14:textId="55BB4941" w:rsidR="00CF757E" w:rsidRDefault="00CF757E" w:rsidP="00CF757E">
      <w:pPr>
        <w:spacing w:after="0"/>
        <w:contextualSpacing/>
      </w:pPr>
    </w:p>
    <w:p w14:paraId="5B4F018D" w14:textId="60803FBD" w:rsidR="00CF757E" w:rsidRDefault="00CF757E" w:rsidP="00CF757E">
      <w:pPr>
        <w:spacing w:after="0"/>
      </w:pPr>
      <w:r>
        <w:t>In 2017, the Board finalized its comprehensive review of and update to the Standards of Accreditation</w:t>
      </w:r>
      <w:r w:rsidR="000F3257">
        <w:t xml:space="preserve">. </w:t>
      </w:r>
      <w:r w:rsidR="00D76BDB">
        <w:t xml:space="preserve">The Board approved a number of substantive changes to the SOA during its update, </w:t>
      </w:r>
      <w:r w:rsidR="000F3257">
        <w:t>including new and revised school quality indicators</w:t>
      </w:r>
      <w:r w:rsidR="00D76BDB">
        <w:t xml:space="preserve"> which inform the state accreditation model</w:t>
      </w:r>
      <w:r w:rsidR="000F3257">
        <w:t xml:space="preserve"> as well as a more pronounced emphasis on</w:t>
      </w:r>
      <w:r w:rsidR="000F3257" w:rsidRPr="009D3895">
        <w:t xml:space="preserve"> </w:t>
      </w:r>
      <w:r w:rsidR="000F3257">
        <w:t xml:space="preserve">closing achievement gaps and </w:t>
      </w:r>
      <w:r w:rsidR="000F3257" w:rsidRPr="009D3895">
        <w:t>continuous improvement</w:t>
      </w:r>
      <w:r w:rsidR="000F3257">
        <w:t xml:space="preserve"> in schools and divisions</w:t>
      </w:r>
      <w:r w:rsidR="000F3257" w:rsidRPr="009D3895">
        <w:t>. The revision also allowed the Board to incorporate expectations for student achievement as outlined in the Profile of a Virginia graduate and the 5Cs (critical thinking, creative thinking, communication, collaboration, and citizenship)</w:t>
      </w:r>
      <w:r w:rsidR="000F3257">
        <w:t>.</w:t>
      </w:r>
    </w:p>
    <w:p w14:paraId="00FB525F" w14:textId="77777777" w:rsidR="00CF757E" w:rsidRDefault="00CF757E" w:rsidP="00CF757E">
      <w:pPr>
        <w:spacing w:after="0"/>
        <w:contextualSpacing/>
      </w:pPr>
    </w:p>
    <w:p w14:paraId="5BA46053" w14:textId="50CAFEDF" w:rsidR="000F3257" w:rsidRDefault="00CF757E" w:rsidP="00CF757E">
      <w:pPr>
        <w:spacing w:after="0"/>
        <w:contextualSpacing/>
      </w:pPr>
      <w:r>
        <w:t xml:space="preserve">The new </w:t>
      </w:r>
      <w:r w:rsidR="000F3257">
        <w:t xml:space="preserve">SOA </w:t>
      </w:r>
      <w:r>
        <w:t xml:space="preserve">became effective in the 2018-2019 school year. Since implementation, VDOE has monitored feedback and inquiries from the field as well as convened an internal committee representing various units across the agency to evaluate and address questions and concerns related to the SOA. VDOE staff </w:t>
      </w:r>
      <w:r w:rsidR="00A63F1A">
        <w:t xml:space="preserve">has </w:t>
      </w:r>
      <w:r>
        <w:t xml:space="preserve">identified several changes and areas of improvement </w:t>
      </w:r>
      <w:r w:rsidR="00A63F1A">
        <w:t>that would require</w:t>
      </w:r>
      <w:r>
        <w:t xml:space="preserve"> amendments to the regulations. Additionally, in June</w:t>
      </w:r>
      <w:r w:rsidR="00D76BDB">
        <w:t xml:space="preserve"> </w:t>
      </w:r>
      <w:r>
        <w:t xml:space="preserve">2020, the Board established its own Special Committee for the Review of the Standards of Accreditation tasked with exploring the positive, negative, and unintended consequences of the new accreditation model. </w:t>
      </w:r>
      <w:r w:rsidR="00A63F1A">
        <w:t>The Special Committee has</w:t>
      </w:r>
      <w:r w:rsidR="00D76BDB">
        <w:t xml:space="preserve"> already</w:t>
      </w:r>
      <w:r w:rsidR="00A63F1A">
        <w:t xml:space="preserve"> heard from a number of </w:t>
      </w:r>
      <w:r w:rsidR="00D76BDB">
        <w:t xml:space="preserve">content experts and </w:t>
      </w:r>
      <w:r w:rsidR="00A63F1A">
        <w:t xml:space="preserve">stakeholders and will </w:t>
      </w:r>
      <w:r w:rsidR="00D76BDB">
        <w:t xml:space="preserve">continue its due diligence </w:t>
      </w:r>
      <w:r w:rsidR="0080456C">
        <w:t>in evaluating</w:t>
      </w:r>
      <w:r w:rsidR="00A63F1A">
        <w:t xml:space="preserve"> whether there is a need to revisit accreditation and school quality indicators. </w:t>
      </w:r>
    </w:p>
    <w:p w14:paraId="1EFD498E" w14:textId="75FB950A" w:rsidR="00A63F1A" w:rsidRDefault="00A63F1A" w:rsidP="00CF757E">
      <w:pPr>
        <w:spacing w:after="0"/>
        <w:contextualSpacing/>
      </w:pPr>
    </w:p>
    <w:p w14:paraId="4F919346" w14:textId="248CD29F" w:rsidR="00A63F1A" w:rsidRDefault="00A63F1A" w:rsidP="00CF757E">
      <w:pPr>
        <w:spacing w:after="0"/>
        <w:contextualSpacing/>
      </w:pPr>
      <w:r>
        <w:t xml:space="preserve">The NOIRA would </w:t>
      </w:r>
      <w:r w:rsidR="00D76BDB">
        <w:t xml:space="preserve">begin the </w:t>
      </w:r>
      <w:r>
        <w:t>formal process of regulatory change with the intent of proposing language that: (1) provi</w:t>
      </w:r>
      <w:r w:rsidR="00D76BDB">
        <w:t>des</w:t>
      </w:r>
      <w:r>
        <w:t xml:space="preserve"> clarifying technical edits; (2) incorporat</w:t>
      </w:r>
      <w:r w:rsidR="00D76BDB">
        <w:t>es</w:t>
      </w:r>
      <w:r>
        <w:t xml:space="preserve"> items </w:t>
      </w:r>
      <w:r w:rsidR="00D76BDB">
        <w:t xml:space="preserve">unaddressed </w:t>
      </w:r>
      <w:r>
        <w:t xml:space="preserve">during the comprehensive update; and (3) </w:t>
      </w:r>
      <w:r w:rsidR="00D76BDB">
        <w:t>corrects for</w:t>
      </w:r>
      <w:r>
        <w:t xml:space="preserve"> any negative or unintended consequences of the new accreditation model where prudent.</w:t>
      </w:r>
    </w:p>
    <w:p w14:paraId="4978F1E8" w14:textId="3FE52A72" w:rsidR="00D76BDB" w:rsidRDefault="00D76BDB" w:rsidP="00CF757E">
      <w:pPr>
        <w:spacing w:after="0"/>
        <w:contextualSpacing/>
      </w:pPr>
    </w:p>
    <w:p w14:paraId="09FE24F0" w14:textId="6192C428" w:rsidR="00A63F1A" w:rsidRDefault="00D76BDB" w:rsidP="00A63F1A">
      <w:pPr>
        <w:spacing w:after="0"/>
        <w:contextualSpacing/>
      </w:pPr>
      <w:r>
        <w:t xml:space="preserve">VDOE staff plans to continue its internal review of the SOA in the next several months, part of which will include external stakeholder engagement and feedback solicitations. Staff will also support </w:t>
      </w:r>
      <w:r w:rsidR="0080456C">
        <w:t xml:space="preserve">the work of the Special Committee as it weighs the </w:t>
      </w:r>
      <w:r w:rsidR="00A63F1A">
        <w:t xml:space="preserve">need for additional </w:t>
      </w:r>
      <w:r w:rsidR="0080456C">
        <w:t xml:space="preserve">regulatory </w:t>
      </w:r>
      <w:r w:rsidR="00A63F1A">
        <w:t xml:space="preserve">action. </w:t>
      </w:r>
    </w:p>
    <w:p w14:paraId="40D1618F" w14:textId="77777777" w:rsidR="00CF757E" w:rsidRDefault="00CF757E" w:rsidP="007C2EB2">
      <w:pPr>
        <w:spacing w:after="0"/>
        <w:contextualSpacing/>
        <w:rPr>
          <w:rStyle w:val="Heading2Char"/>
        </w:rPr>
      </w:pPr>
    </w:p>
    <w:p w14:paraId="393D704D" w14:textId="2418485C" w:rsidR="007C2EB2" w:rsidRPr="00B67590" w:rsidRDefault="00123E2E" w:rsidP="007C2EB2">
      <w:pPr>
        <w:spacing w:after="0"/>
        <w:contextualSpacing/>
        <w:rPr>
          <w:rFonts w:cs="Times New Roman"/>
          <w:szCs w:val="24"/>
        </w:rPr>
      </w:pPr>
      <w:r w:rsidRPr="007503E8">
        <w:rPr>
          <w:rStyle w:val="Heading2Char"/>
        </w:rPr>
        <w:t>Timetable for Further Review/Action:</w:t>
      </w:r>
      <w:r w:rsidR="00D9096B" w:rsidRPr="007503E8">
        <w:br/>
      </w:r>
      <w:r w:rsidR="007C2EB2" w:rsidRPr="00B67590">
        <w:rPr>
          <w:rFonts w:cs="Times New Roman"/>
          <w:szCs w:val="24"/>
        </w:rPr>
        <w:t>Upon Board approval, and any technical or editorial edits by Department staff, th</w:t>
      </w:r>
      <w:r w:rsidR="003C3EC2">
        <w:rPr>
          <w:rFonts w:cs="Times New Roman"/>
          <w:szCs w:val="24"/>
        </w:rPr>
        <w:t>e NOIRA</w:t>
      </w:r>
      <w:r w:rsidR="007C2EB2">
        <w:rPr>
          <w:rFonts w:cs="Times New Roman"/>
          <w:szCs w:val="24"/>
        </w:rPr>
        <w:t xml:space="preserve"> will be </w:t>
      </w:r>
      <w:r w:rsidR="000642E6">
        <w:rPr>
          <w:rFonts w:cs="Times New Roman"/>
          <w:szCs w:val="24"/>
        </w:rPr>
        <w:t xml:space="preserve">submitted </w:t>
      </w:r>
      <w:r w:rsidR="007C2EB2">
        <w:rPr>
          <w:rFonts w:cs="Times New Roman"/>
          <w:szCs w:val="24"/>
        </w:rPr>
        <w:t xml:space="preserve">to Town Hall </w:t>
      </w:r>
      <w:r w:rsidR="000642E6">
        <w:rPr>
          <w:rFonts w:cs="Times New Roman"/>
          <w:szCs w:val="24"/>
        </w:rPr>
        <w:t xml:space="preserve">for executive branch review </w:t>
      </w:r>
      <w:bookmarkStart w:id="0" w:name="_GoBack"/>
      <w:bookmarkEnd w:id="0"/>
      <w:r w:rsidR="000642E6">
        <w:rPr>
          <w:rFonts w:cs="Times New Roman"/>
          <w:szCs w:val="24"/>
        </w:rPr>
        <w:t xml:space="preserve">pursuant to the Administrative Process Act. </w:t>
      </w:r>
      <w:r w:rsidR="003C3EC2">
        <w:rPr>
          <w:rFonts w:cs="Times New Roman"/>
          <w:szCs w:val="24"/>
        </w:rPr>
        <w:t xml:space="preserve">Staff anticipates having proposed </w:t>
      </w:r>
      <w:r w:rsidR="00A63F1A">
        <w:rPr>
          <w:rFonts w:cs="Times New Roman"/>
          <w:szCs w:val="24"/>
        </w:rPr>
        <w:t xml:space="preserve">stage draft </w:t>
      </w:r>
      <w:r w:rsidR="003C3EC2">
        <w:rPr>
          <w:rFonts w:cs="Times New Roman"/>
          <w:szCs w:val="24"/>
        </w:rPr>
        <w:t xml:space="preserve">regulations ready for Board first review in spring 2021 assuming </w:t>
      </w:r>
      <w:r w:rsidR="00CF757E">
        <w:rPr>
          <w:rFonts w:cs="Times New Roman"/>
          <w:szCs w:val="24"/>
        </w:rPr>
        <w:t>executive branch</w:t>
      </w:r>
      <w:r w:rsidR="003C3EC2">
        <w:rPr>
          <w:rFonts w:cs="Times New Roman"/>
          <w:szCs w:val="24"/>
        </w:rPr>
        <w:t xml:space="preserve"> review of the NOIRA is also complete.</w:t>
      </w:r>
    </w:p>
    <w:p w14:paraId="78326259" w14:textId="77777777" w:rsidR="00A63F1A" w:rsidRDefault="00A63F1A" w:rsidP="007503E8">
      <w:pPr>
        <w:pStyle w:val="Heading2"/>
        <w:spacing w:before="0" w:after="0"/>
        <w:rPr>
          <w:rFonts w:eastAsiaTheme="minorHAnsi" w:cstheme="minorBidi"/>
          <w:b w:val="0"/>
          <w:bCs w:val="0"/>
          <w:szCs w:val="22"/>
        </w:rPr>
      </w:pPr>
    </w:p>
    <w:p w14:paraId="6F4D9CBB" w14:textId="5A07CC38" w:rsidR="009B109E" w:rsidRDefault="000E009D" w:rsidP="007503E8">
      <w:pPr>
        <w:pStyle w:val="Heading2"/>
        <w:spacing w:before="0" w:after="0"/>
      </w:pPr>
      <w:r w:rsidRPr="007503E8">
        <w:t xml:space="preserve">Impact on Fiscal and Human Resources: </w:t>
      </w:r>
    </w:p>
    <w:p w14:paraId="0F82A8D9" w14:textId="56128033" w:rsidR="0020239B" w:rsidRDefault="007C2EB2" w:rsidP="00A82D02">
      <w:pPr>
        <w:spacing w:after="0"/>
        <w:contextualSpacing/>
        <w:rPr>
          <w:rFonts w:cs="Times New Roman"/>
          <w:szCs w:val="24"/>
        </w:rPr>
      </w:pPr>
      <w:r>
        <w:rPr>
          <w:rFonts w:cs="Times New Roman"/>
          <w:szCs w:val="24"/>
        </w:rPr>
        <w:t>There are no costs associated with th</w:t>
      </w:r>
      <w:r w:rsidR="003C3EC2">
        <w:rPr>
          <w:rFonts w:cs="Times New Roman"/>
          <w:szCs w:val="24"/>
        </w:rPr>
        <w:t>is action</w:t>
      </w:r>
      <w:r w:rsidR="006E6285">
        <w:rPr>
          <w:rFonts w:cs="Times New Roman"/>
          <w:szCs w:val="24"/>
        </w:rPr>
        <w:t>.</w:t>
      </w:r>
      <w:bookmarkStart w:id="1" w:name="_heading=h.gjdgxs" w:colFirst="0" w:colLast="0"/>
      <w:bookmarkEnd w:id="1"/>
    </w:p>
    <w:p w14:paraId="1ECD07BC" w14:textId="4750F490" w:rsidR="006A796D" w:rsidRDefault="006A796D" w:rsidP="00A82D02">
      <w:pPr>
        <w:spacing w:after="0"/>
        <w:contextualSpacing/>
      </w:pPr>
    </w:p>
    <w:p w14:paraId="07C32556" w14:textId="647C12BB" w:rsidR="006A796D" w:rsidRDefault="006A796D" w:rsidP="00A82D02">
      <w:pPr>
        <w:spacing w:after="0"/>
        <w:contextualSpacing/>
      </w:pPr>
    </w:p>
    <w:p w14:paraId="06E77C82" w14:textId="7925FFEF" w:rsidR="006A796D" w:rsidRPr="0020239B" w:rsidRDefault="006A796D" w:rsidP="006A796D">
      <w:pPr>
        <w:spacing w:after="0"/>
        <w:contextualSpacing/>
      </w:pPr>
    </w:p>
    <w:sectPr w:rsidR="006A796D" w:rsidRPr="0020239B" w:rsidSect="00A82D02">
      <w:footerReference w:type="default" r:id="rId12"/>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13464" w14:textId="77777777" w:rsidR="00606ECD" w:rsidRDefault="00606ECD" w:rsidP="000E009D">
      <w:pPr>
        <w:spacing w:after="0" w:line="240" w:lineRule="auto"/>
      </w:pPr>
      <w:r>
        <w:separator/>
      </w:r>
    </w:p>
  </w:endnote>
  <w:endnote w:type="continuationSeparator" w:id="0">
    <w:p w14:paraId="3CCDDDC2" w14:textId="77777777" w:rsidR="00606ECD" w:rsidRDefault="00606ECD"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635598"/>
      <w:docPartObj>
        <w:docPartGallery w:val="Page Numbers (Bottom of Page)"/>
        <w:docPartUnique/>
      </w:docPartObj>
    </w:sdtPr>
    <w:sdtEndPr>
      <w:rPr>
        <w:noProof/>
      </w:rPr>
    </w:sdtEndPr>
    <w:sdtContent>
      <w:p w14:paraId="30332B51" w14:textId="27BA1583" w:rsidR="00896A59" w:rsidRDefault="00896A59">
        <w:pPr>
          <w:pStyle w:val="Footer"/>
          <w:jc w:val="center"/>
        </w:pPr>
        <w:r>
          <w:fldChar w:fldCharType="begin"/>
        </w:r>
        <w:r>
          <w:instrText xml:space="preserve"> PAGE   \* MERGEFORMAT </w:instrText>
        </w:r>
        <w:r>
          <w:fldChar w:fldCharType="separate"/>
        </w:r>
        <w:r w:rsidR="000642E6">
          <w:rPr>
            <w:noProof/>
          </w:rPr>
          <w:t>A</w:t>
        </w:r>
        <w:r>
          <w:rPr>
            <w:noProof/>
          </w:rPr>
          <w:fldChar w:fldCharType="end"/>
        </w:r>
      </w:p>
    </w:sdtContent>
  </w:sdt>
  <w:p w14:paraId="3611A089" w14:textId="77777777" w:rsidR="00896A59" w:rsidRDefault="00896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F73E8" w14:textId="77777777" w:rsidR="00606ECD" w:rsidRDefault="00606ECD" w:rsidP="000E009D">
      <w:pPr>
        <w:spacing w:after="0" w:line="240" w:lineRule="auto"/>
      </w:pPr>
      <w:r>
        <w:separator/>
      </w:r>
    </w:p>
  </w:footnote>
  <w:footnote w:type="continuationSeparator" w:id="0">
    <w:p w14:paraId="671F2094" w14:textId="77777777" w:rsidR="00606ECD" w:rsidRDefault="00606ECD"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318"/>
    <w:multiLevelType w:val="hybridMultilevel"/>
    <w:tmpl w:val="DA06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302"/>
    <w:multiLevelType w:val="multilevel"/>
    <w:tmpl w:val="C5A4CB86"/>
    <w:lvl w:ilvl="0">
      <w:start w:val="1"/>
      <w:numFmt w:val="decimal"/>
      <w:pStyle w:val="ListBullet"/>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1566"/>
    <w:multiLevelType w:val="multilevel"/>
    <w:tmpl w:val="6396C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96268"/>
    <w:multiLevelType w:val="multilevel"/>
    <w:tmpl w:val="FCC8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CC74FF"/>
    <w:multiLevelType w:val="hybridMultilevel"/>
    <w:tmpl w:val="A3FA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00D0C"/>
    <w:multiLevelType w:val="multilevel"/>
    <w:tmpl w:val="78EC8B32"/>
    <w:lvl w:ilvl="0">
      <w:start w:val="1"/>
      <w:numFmt w:val="bullet"/>
      <w:pStyle w:val="List"/>
      <w:lvlText w:val="●"/>
      <w:lvlJc w:val="left"/>
      <w:pPr>
        <w:ind w:left="720" w:hanging="360"/>
      </w:pPr>
      <w:rPr>
        <w:rFonts w:ascii="Noto Sans Symbols" w:eastAsia="Noto Sans Symbols" w:hAnsi="Noto Sans Symbols" w:cs="Noto Sans Symbols"/>
      </w:rPr>
    </w:lvl>
    <w:lvl w:ilvl="1">
      <w:start w:val="1"/>
      <w:numFmt w:val="bullet"/>
      <w:pStyle w:val="List2"/>
      <w:lvlText w:val="o"/>
      <w:lvlJc w:val="left"/>
      <w:pPr>
        <w:ind w:left="1440" w:hanging="360"/>
      </w:pPr>
      <w:rPr>
        <w:rFonts w:ascii="Courier New" w:eastAsia="Courier New" w:hAnsi="Courier New" w:cs="Courier New"/>
      </w:rPr>
    </w:lvl>
    <w:lvl w:ilvl="2">
      <w:start w:val="1"/>
      <w:numFmt w:val="bullet"/>
      <w:pStyle w:val="Lis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437E34"/>
    <w:multiLevelType w:val="multilevel"/>
    <w:tmpl w:val="ED9868F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459D6C15"/>
    <w:multiLevelType w:val="multilevel"/>
    <w:tmpl w:val="69E86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107AD"/>
    <w:multiLevelType w:val="hybridMultilevel"/>
    <w:tmpl w:val="38161A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B64BDF"/>
    <w:multiLevelType w:val="hybridMultilevel"/>
    <w:tmpl w:val="F54E36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E843A1"/>
    <w:multiLevelType w:val="multilevel"/>
    <w:tmpl w:val="5DD2A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C40EAC"/>
    <w:multiLevelType w:val="multilevel"/>
    <w:tmpl w:val="2774F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C419C5"/>
    <w:multiLevelType w:val="multilevel"/>
    <w:tmpl w:val="B9581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307585"/>
    <w:multiLevelType w:val="multilevel"/>
    <w:tmpl w:val="81700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D6B2E"/>
    <w:multiLevelType w:val="hybridMultilevel"/>
    <w:tmpl w:val="07C8D4BA"/>
    <w:lvl w:ilvl="0" w:tplc="565681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29F10A0"/>
    <w:multiLevelType w:val="hybridMultilevel"/>
    <w:tmpl w:val="3E92C1C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EA1CC3"/>
    <w:multiLevelType w:val="multilevel"/>
    <w:tmpl w:val="65C235F8"/>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2"/>
  </w:num>
  <w:num w:numId="4">
    <w:abstractNumId w:val="14"/>
  </w:num>
  <w:num w:numId="5">
    <w:abstractNumId w:val="6"/>
  </w:num>
  <w:num w:numId="6">
    <w:abstractNumId w:val="2"/>
  </w:num>
  <w:num w:numId="7">
    <w:abstractNumId w:val="13"/>
  </w:num>
  <w:num w:numId="8">
    <w:abstractNumId w:val="5"/>
  </w:num>
  <w:num w:numId="9">
    <w:abstractNumId w:val="0"/>
  </w:num>
  <w:num w:numId="10">
    <w:abstractNumId w:val="21"/>
  </w:num>
  <w:num w:numId="11">
    <w:abstractNumId w:val="20"/>
  </w:num>
  <w:num w:numId="12">
    <w:abstractNumId w:val="15"/>
  </w:num>
  <w:num w:numId="13">
    <w:abstractNumId w:val="1"/>
  </w:num>
  <w:num w:numId="14">
    <w:abstractNumId w:val="7"/>
  </w:num>
  <w:num w:numId="15">
    <w:abstractNumId w:val="8"/>
  </w:num>
  <w:num w:numId="16">
    <w:abstractNumId w:val="17"/>
  </w:num>
  <w:num w:numId="17">
    <w:abstractNumId w:val="3"/>
    <w:lvlOverride w:ilvl="0">
      <w:lvl w:ilvl="0">
        <w:numFmt w:val="decimal"/>
        <w:lvlText w:val="%1."/>
        <w:lvlJc w:val="left"/>
      </w:lvl>
    </w:lvlOverride>
  </w:num>
  <w:num w:numId="18">
    <w:abstractNumId w:val="18"/>
    <w:lvlOverride w:ilvl="0">
      <w:lvl w:ilvl="0">
        <w:numFmt w:val="decimal"/>
        <w:lvlText w:val="%1."/>
        <w:lvlJc w:val="left"/>
      </w:lvl>
    </w:lvlOverride>
  </w:num>
  <w:num w:numId="19">
    <w:abstractNumId w:val="16"/>
    <w:lvlOverride w:ilvl="1">
      <w:lvl w:ilvl="1">
        <w:numFmt w:val="lowerLetter"/>
        <w:lvlText w:val="%2."/>
        <w:lvlJc w:val="left"/>
      </w:lvl>
    </w:lvlOverride>
  </w:num>
  <w:num w:numId="20">
    <w:abstractNumId w:val="4"/>
  </w:num>
  <w:num w:numId="21">
    <w:abstractNumId w:val="9"/>
  </w:num>
  <w:num w:numId="22">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abstractNumId w:val="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4">
    <w:abstractNumId w:val="22"/>
  </w:num>
  <w:num w:numId="25">
    <w:abstractNumId w:val="11"/>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642E6"/>
    <w:rsid w:val="000D590D"/>
    <w:rsid w:val="000E009D"/>
    <w:rsid w:val="000F3257"/>
    <w:rsid w:val="00123E2E"/>
    <w:rsid w:val="001820BE"/>
    <w:rsid w:val="001E7905"/>
    <w:rsid w:val="0020239B"/>
    <w:rsid w:val="00224919"/>
    <w:rsid w:val="00250225"/>
    <w:rsid w:val="002B6CE2"/>
    <w:rsid w:val="003730EB"/>
    <w:rsid w:val="0038289A"/>
    <w:rsid w:val="003C3EC2"/>
    <w:rsid w:val="003D27FD"/>
    <w:rsid w:val="003E15B5"/>
    <w:rsid w:val="004077A1"/>
    <w:rsid w:val="00491539"/>
    <w:rsid w:val="004D568F"/>
    <w:rsid w:val="00530462"/>
    <w:rsid w:val="005357C5"/>
    <w:rsid w:val="00537153"/>
    <w:rsid w:val="00581D9E"/>
    <w:rsid w:val="005B4CFD"/>
    <w:rsid w:val="005B4D38"/>
    <w:rsid w:val="005C021D"/>
    <w:rsid w:val="00600CAE"/>
    <w:rsid w:val="00606ECD"/>
    <w:rsid w:val="0065013E"/>
    <w:rsid w:val="00680D3D"/>
    <w:rsid w:val="006A796D"/>
    <w:rsid w:val="006E6285"/>
    <w:rsid w:val="006F73F6"/>
    <w:rsid w:val="00720B51"/>
    <w:rsid w:val="00734BC5"/>
    <w:rsid w:val="007503E8"/>
    <w:rsid w:val="00765B7B"/>
    <w:rsid w:val="007A607C"/>
    <w:rsid w:val="007B7EBD"/>
    <w:rsid w:val="007C2EB2"/>
    <w:rsid w:val="0080456C"/>
    <w:rsid w:val="00805AF1"/>
    <w:rsid w:val="00892D0F"/>
    <w:rsid w:val="00896A59"/>
    <w:rsid w:val="008A3BD7"/>
    <w:rsid w:val="0094605A"/>
    <w:rsid w:val="009B109E"/>
    <w:rsid w:val="009B7A05"/>
    <w:rsid w:val="009D3895"/>
    <w:rsid w:val="00A47F8C"/>
    <w:rsid w:val="00A63F1A"/>
    <w:rsid w:val="00A82D02"/>
    <w:rsid w:val="00A972CE"/>
    <w:rsid w:val="00AB71E7"/>
    <w:rsid w:val="00AC0C95"/>
    <w:rsid w:val="00B954C0"/>
    <w:rsid w:val="00BA7FAF"/>
    <w:rsid w:val="00C42ECA"/>
    <w:rsid w:val="00CA388A"/>
    <w:rsid w:val="00CC55DC"/>
    <w:rsid w:val="00CF757E"/>
    <w:rsid w:val="00D60739"/>
    <w:rsid w:val="00D76BDB"/>
    <w:rsid w:val="00D8513F"/>
    <w:rsid w:val="00D9096B"/>
    <w:rsid w:val="00E143DF"/>
    <w:rsid w:val="00E80BDC"/>
    <w:rsid w:val="00EC6310"/>
    <w:rsid w:val="00EC7CF9"/>
    <w:rsid w:val="00F65908"/>
    <w:rsid w:val="00F75A01"/>
    <w:rsid w:val="00F77BDE"/>
    <w:rsid w:val="00FA6E51"/>
    <w:rsid w:val="00FC545D"/>
    <w:rsid w:val="00FF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57CF1"/>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List">
    <w:name w:val="List"/>
    <w:basedOn w:val="Normal"/>
    <w:uiPriority w:val="99"/>
    <w:unhideWhenUsed/>
    <w:rsid w:val="00896A59"/>
    <w:pPr>
      <w:numPr>
        <w:numId w:val="14"/>
      </w:numPr>
      <w:spacing w:after="120" w:line="240" w:lineRule="auto"/>
      <w:ind w:left="360"/>
      <w:contextualSpacing/>
    </w:pPr>
    <w:rPr>
      <w:rFonts w:eastAsiaTheme="minorEastAsia" w:cs="Times New Roman"/>
      <w:sz w:val="22"/>
    </w:rPr>
  </w:style>
  <w:style w:type="paragraph" w:styleId="ListBullet">
    <w:name w:val="List Bullet"/>
    <w:basedOn w:val="ListParagraph"/>
    <w:uiPriority w:val="99"/>
    <w:unhideWhenUsed/>
    <w:rsid w:val="00896A59"/>
    <w:pPr>
      <w:numPr>
        <w:numId w:val="13"/>
      </w:numPr>
      <w:tabs>
        <w:tab w:val="num" w:pos="360"/>
      </w:tabs>
      <w:spacing w:after="120" w:line="240" w:lineRule="auto"/>
      <w:ind w:left="720" w:firstLine="0"/>
    </w:pPr>
    <w:rPr>
      <w:rFonts w:eastAsiaTheme="minorEastAsia" w:cs="Times New Roman"/>
      <w:sz w:val="22"/>
    </w:rPr>
  </w:style>
  <w:style w:type="paragraph" w:styleId="List2">
    <w:name w:val="List 2"/>
    <w:basedOn w:val="List"/>
    <w:uiPriority w:val="99"/>
    <w:unhideWhenUsed/>
    <w:rsid w:val="00896A59"/>
    <w:pPr>
      <w:numPr>
        <w:ilvl w:val="1"/>
      </w:numPr>
    </w:pPr>
  </w:style>
  <w:style w:type="paragraph" w:styleId="List3">
    <w:name w:val="List 3"/>
    <w:basedOn w:val="List2"/>
    <w:uiPriority w:val="99"/>
    <w:unhideWhenUsed/>
    <w:rsid w:val="00896A59"/>
    <w:pPr>
      <w:numPr>
        <w:ilvl w:val="2"/>
      </w:numPr>
      <w:ind w:left="1080"/>
    </w:pPr>
  </w:style>
  <w:style w:type="character" w:styleId="CommentReference">
    <w:name w:val="annotation reference"/>
    <w:basedOn w:val="DefaultParagraphFont"/>
    <w:uiPriority w:val="99"/>
    <w:semiHidden/>
    <w:unhideWhenUsed/>
    <w:rsid w:val="00A82D02"/>
    <w:rPr>
      <w:sz w:val="16"/>
      <w:szCs w:val="16"/>
    </w:rPr>
  </w:style>
  <w:style w:type="paragraph" w:styleId="CommentText">
    <w:name w:val="annotation text"/>
    <w:basedOn w:val="Normal"/>
    <w:link w:val="CommentTextChar"/>
    <w:uiPriority w:val="99"/>
    <w:semiHidden/>
    <w:unhideWhenUsed/>
    <w:rsid w:val="00A82D02"/>
    <w:pPr>
      <w:spacing w:line="240" w:lineRule="auto"/>
    </w:pPr>
    <w:rPr>
      <w:sz w:val="20"/>
      <w:szCs w:val="20"/>
    </w:rPr>
  </w:style>
  <w:style w:type="character" w:customStyle="1" w:styleId="CommentTextChar">
    <w:name w:val="Comment Text Char"/>
    <w:basedOn w:val="DefaultParagraphFont"/>
    <w:link w:val="CommentText"/>
    <w:uiPriority w:val="99"/>
    <w:semiHidden/>
    <w:rsid w:val="00A82D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2D02"/>
    <w:rPr>
      <w:b/>
      <w:bCs/>
    </w:rPr>
  </w:style>
  <w:style w:type="character" w:customStyle="1" w:styleId="CommentSubjectChar">
    <w:name w:val="Comment Subject Char"/>
    <w:basedOn w:val="CommentTextChar"/>
    <w:link w:val="CommentSubject"/>
    <w:uiPriority w:val="99"/>
    <w:semiHidden/>
    <w:rsid w:val="00A82D02"/>
    <w:rPr>
      <w:rFonts w:ascii="Times New Roman" w:hAnsi="Times New Roman"/>
      <w:b/>
      <w:bCs/>
      <w:sz w:val="20"/>
      <w:szCs w:val="20"/>
    </w:rPr>
  </w:style>
  <w:style w:type="character" w:styleId="Hyperlink">
    <w:name w:val="Hyperlink"/>
    <w:basedOn w:val="DefaultParagraphFont"/>
    <w:uiPriority w:val="99"/>
    <w:unhideWhenUsed/>
    <w:rsid w:val="00CF757E"/>
    <w:rPr>
      <w:color w:val="0000FF" w:themeColor="hyperlink"/>
      <w:u w:val="single"/>
    </w:rPr>
  </w:style>
  <w:style w:type="character" w:customStyle="1" w:styleId="UnresolvedMention">
    <w:name w:val="Unresolved Mention"/>
    <w:basedOn w:val="DefaultParagraphFont"/>
    <w:uiPriority w:val="99"/>
    <w:semiHidden/>
    <w:unhideWhenUsed/>
    <w:rsid w:val="00CF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0398">
      <w:bodyDiv w:val="1"/>
      <w:marLeft w:val="0"/>
      <w:marRight w:val="0"/>
      <w:marTop w:val="0"/>
      <w:marBottom w:val="0"/>
      <w:divBdr>
        <w:top w:val="none" w:sz="0" w:space="0" w:color="auto"/>
        <w:left w:val="none" w:sz="0" w:space="0" w:color="auto"/>
        <w:bottom w:val="none" w:sz="0" w:space="0" w:color="auto"/>
        <w:right w:val="none" w:sz="0" w:space="0" w:color="auto"/>
      </w:divBdr>
    </w:div>
    <w:div w:id="229269568">
      <w:bodyDiv w:val="1"/>
      <w:marLeft w:val="0"/>
      <w:marRight w:val="0"/>
      <w:marTop w:val="0"/>
      <w:marBottom w:val="0"/>
      <w:divBdr>
        <w:top w:val="none" w:sz="0" w:space="0" w:color="auto"/>
        <w:left w:val="none" w:sz="0" w:space="0" w:color="auto"/>
        <w:bottom w:val="none" w:sz="0" w:space="0" w:color="auto"/>
        <w:right w:val="none" w:sz="0" w:space="0" w:color="auto"/>
      </w:divBdr>
    </w:div>
    <w:div w:id="536547443">
      <w:bodyDiv w:val="1"/>
      <w:marLeft w:val="0"/>
      <w:marRight w:val="0"/>
      <w:marTop w:val="0"/>
      <w:marBottom w:val="0"/>
      <w:divBdr>
        <w:top w:val="none" w:sz="0" w:space="0" w:color="auto"/>
        <w:left w:val="none" w:sz="0" w:space="0" w:color="auto"/>
        <w:bottom w:val="none" w:sz="0" w:space="0" w:color="auto"/>
        <w:right w:val="none" w:sz="0" w:space="0" w:color="auto"/>
      </w:divBdr>
    </w:div>
    <w:div w:id="592053221">
      <w:bodyDiv w:val="1"/>
      <w:marLeft w:val="0"/>
      <w:marRight w:val="0"/>
      <w:marTop w:val="0"/>
      <w:marBottom w:val="0"/>
      <w:divBdr>
        <w:top w:val="none" w:sz="0" w:space="0" w:color="auto"/>
        <w:left w:val="none" w:sz="0" w:space="0" w:color="auto"/>
        <w:bottom w:val="none" w:sz="0" w:space="0" w:color="auto"/>
        <w:right w:val="none" w:sz="0" w:space="0" w:color="auto"/>
      </w:divBdr>
    </w:div>
    <w:div w:id="683089018">
      <w:bodyDiv w:val="1"/>
      <w:marLeft w:val="0"/>
      <w:marRight w:val="0"/>
      <w:marTop w:val="0"/>
      <w:marBottom w:val="0"/>
      <w:divBdr>
        <w:top w:val="none" w:sz="0" w:space="0" w:color="auto"/>
        <w:left w:val="none" w:sz="0" w:space="0" w:color="auto"/>
        <w:bottom w:val="none" w:sz="0" w:space="0" w:color="auto"/>
        <w:right w:val="none" w:sz="0" w:space="0" w:color="auto"/>
      </w:divBdr>
    </w:div>
    <w:div w:id="863131481">
      <w:bodyDiv w:val="1"/>
      <w:marLeft w:val="0"/>
      <w:marRight w:val="0"/>
      <w:marTop w:val="0"/>
      <w:marBottom w:val="0"/>
      <w:divBdr>
        <w:top w:val="none" w:sz="0" w:space="0" w:color="auto"/>
        <w:left w:val="none" w:sz="0" w:space="0" w:color="auto"/>
        <w:bottom w:val="none" w:sz="0" w:space="0" w:color="auto"/>
        <w:right w:val="none" w:sz="0" w:space="0" w:color="auto"/>
      </w:divBdr>
    </w:div>
    <w:div w:id="1180893364">
      <w:bodyDiv w:val="1"/>
      <w:marLeft w:val="0"/>
      <w:marRight w:val="0"/>
      <w:marTop w:val="0"/>
      <w:marBottom w:val="0"/>
      <w:divBdr>
        <w:top w:val="none" w:sz="0" w:space="0" w:color="auto"/>
        <w:left w:val="none" w:sz="0" w:space="0" w:color="auto"/>
        <w:bottom w:val="none" w:sz="0" w:space="0" w:color="auto"/>
        <w:right w:val="none" w:sz="0" w:space="0" w:color="auto"/>
      </w:divBdr>
    </w:div>
    <w:div w:id="180473372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579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2/section22.1-253.1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lis.virginia.gov/vacode/title22.1/chapter2/section22.1-16/" TargetMode="External"/><Relationship Id="rId4" Type="http://schemas.openxmlformats.org/officeDocument/2006/relationships/settings" Target="settings.xml"/><Relationship Id="rId9" Type="http://schemas.openxmlformats.org/officeDocument/2006/relationships/hyperlink" Target="mailto:Leslie.Sale@doe.virgini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386584"/>
    <w:rsid w:val="00525D02"/>
    <w:rsid w:val="00581B7C"/>
    <w:rsid w:val="00AA6A5C"/>
    <w:rsid w:val="00AB0FB1"/>
    <w:rsid w:val="00B95EC1"/>
    <w:rsid w:val="00C04F06"/>
    <w:rsid w:val="00D064EE"/>
    <w:rsid w:val="00DE1E43"/>
    <w:rsid w:val="00ED7B5A"/>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4609-9963-4EB7-BADF-3DAFA3DC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2017-10-02T20:08:00Z</cp:lastPrinted>
  <dcterms:created xsi:type="dcterms:W3CDTF">2020-09-30T15:51:00Z</dcterms:created>
  <dcterms:modified xsi:type="dcterms:W3CDTF">2020-09-30T15:51:00Z</dcterms:modified>
</cp:coreProperties>
</file>