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69207FDD" w14:textId="77777777" w:rsidTr="009B7A05">
        <w:trPr>
          <w:trHeight w:val="144"/>
          <w:tblHeader/>
        </w:trPr>
        <w:tc>
          <w:tcPr>
            <w:tcW w:w="8125" w:type="dxa"/>
            <w:tcMar>
              <w:left w:w="115" w:type="dxa"/>
              <w:right w:w="115" w:type="dxa"/>
            </w:tcMar>
            <w:vAlign w:val="center"/>
          </w:tcPr>
          <w:p w14:paraId="0133E8D6"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3F7808B9"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7AF376C6"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4830958C" wp14:editId="0AE5F3D4">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ED63DE5" w14:textId="739CFA82" w:rsidR="00A972CE" w:rsidRPr="007503E8" w:rsidRDefault="007503E8" w:rsidP="00A548A5">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523445">
        <w:rPr>
          <w:rFonts w:cs="Times New Roman"/>
          <w:szCs w:val="24"/>
        </w:rPr>
        <w:tab/>
      </w:r>
      <w:r w:rsidR="002D1C5E">
        <w:rPr>
          <w:rFonts w:cs="Times New Roman"/>
          <w:szCs w:val="24"/>
        </w:rPr>
        <w:t>C</w:t>
      </w:r>
      <w:r w:rsidR="00B954C0">
        <w:rPr>
          <w:rFonts w:cs="Times New Roman"/>
          <w:szCs w:val="24"/>
        </w:rPr>
        <w:br/>
      </w:r>
    </w:p>
    <w:p w14:paraId="1C11304B" w14:textId="7A255055" w:rsidR="00A972CE" w:rsidRPr="007503E8" w:rsidRDefault="00A972CE" w:rsidP="00A548A5">
      <w:pPr>
        <w:pStyle w:val="Heading2"/>
        <w:spacing w:before="0" w:after="0" w:line="240" w:lineRule="auto"/>
      </w:pPr>
      <w:r w:rsidRPr="007503E8">
        <w:t>Date:</w:t>
      </w:r>
      <w:r w:rsidR="007503E8" w:rsidRPr="007503E8">
        <w:tab/>
      </w:r>
      <w:r w:rsidR="00603C1C">
        <w:tab/>
      </w:r>
      <w:r w:rsidR="00603C1C">
        <w:tab/>
      </w:r>
      <w:r w:rsidR="00B751A0">
        <w:t>April 22, 2021</w:t>
      </w:r>
      <w:r w:rsidR="00603C1C">
        <w:t xml:space="preserve"> </w:t>
      </w:r>
      <w:r w:rsidR="00B954C0">
        <w:br/>
      </w:r>
    </w:p>
    <w:p w14:paraId="5A766644" w14:textId="6B1F5E92" w:rsidR="00A972CE" w:rsidRPr="007503E8" w:rsidRDefault="00A972CE" w:rsidP="00A548A5">
      <w:pPr>
        <w:pStyle w:val="Heading3"/>
        <w:spacing w:before="0" w:line="240" w:lineRule="auto"/>
        <w:ind w:left="2160" w:hanging="2160"/>
        <w:rPr>
          <w:rFonts w:cs="Times New Roman"/>
          <w:color w:val="auto"/>
          <w:szCs w:val="24"/>
        </w:rPr>
      </w:pPr>
      <w:r w:rsidRPr="007503E8">
        <w:rPr>
          <w:rFonts w:cs="Times New Roman"/>
          <w:color w:val="auto"/>
          <w:szCs w:val="24"/>
        </w:rPr>
        <w:t xml:space="preserve">Title: </w:t>
      </w:r>
      <w:r w:rsidR="00603C1C">
        <w:rPr>
          <w:rFonts w:cs="Times New Roman"/>
          <w:color w:val="auto"/>
          <w:szCs w:val="24"/>
        </w:rPr>
        <w:tab/>
      </w:r>
      <w:r w:rsidR="00652DF4">
        <w:rPr>
          <w:rFonts w:cs="Times New Roman"/>
          <w:color w:val="auto"/>
          <w:szCs w:val="24"/>
        </w:rPr>
        <w:t>Final</w:t>
      </w:r>
      <w:r w:rsidR="001903AC" w:rsidRPr="00BA66EE">
        <w:rPr>
          <w:rFonts w:cs="Times New Roman"/>
          <w:color w:val="auto"/>
          <w:szCs w:val="24"/>
        </w:rPr>
        <w:t xml:space="preserve"> </w:t>
      </w:r>
      <w:r w:rsidR="00BA66EE">
        <w:rPr>
          <w:rFonts w:cs="Times New Roman"/>
          <w:color w:val="auto"/>
          <w:szCs w:val="24"/>
        </w:rPr>
        <w:t>R</w:t>
      </w:r>
      <w:r w:rsidR="001903AC" w:rsidRPr="00BA66EE">
        <w:rPr>
          <w:rFonts w:cs="Times New Roman"/>
          <w:color w:val="auto"/>
          <w:szCs w:val="24"/>
        </w:rPr>
        <w:t xml:space="preserve">eview of </w:t>
      </w:r>
      <w:r w:rsidR="00BA66EE">
        <w:rPr>
          <w:rFonts w:cs="Times New Roman"/>
          <w:color w:val="auto"/>
          <w:szCs w:val="24"/>
        </w:rPr>
        <w:t>C</w:t>
      </w:r>
      <w:r w:rsidR="001903AC" w:rsidRPr="00BA66EE">
        <w:rPr>
          <w:rFonts w:cs="Times New Roman"/>
          <w:color w:val="auto"/>
          <w:szCs w:val="24"/>
        </w:rPr>
        <w:t xml:space="preserve">hild </w:t>
      </w:r>
      <w:r w:rsidR="00BA66EE">
        <w:rPr>
          <w:rFonts w:cs="Times New Roman"/>
          <w:color w:val="auto"/>
          <w:szCs w:val="24"/>
        </w:rPr>
        <w:t>C</w:t>
      </w:r>
      <w:r w:rsidR="001903AC" w:rsidRPr="00BA66EE">
        <w:rPr>
          <w:rFonts w:cs="Times New Roman"/>
          <w:color w:val="auto"/>
          <w:szCs w:val="24"/>
        </w:rPr>
        <w:t xml:space="preserve">are </w:t>
      </w:r>
      <w:r w:rsidR="00BA66EE">
        <w:rPr>
          <w:rFonts w:cs="Times New Roman"/>
          <w:color w:val="auto"/>
          <w:szCs w:val="24"/>
        </w:rPr>
        <w:t>R</w:t>
      </w:r>
      <w:r w:rsidR="001903AC" w:rsidRPr="00BA66EE">
        <w:rPr>
          <w:rFonts w:cs="Times New Roman"/>
          <w:color w:val="auto"/>
          <w:szCs w:val="24"/>
        </w:rPr>
        <w:t xml:space="preserve">egulations </w:t>
      </w:r>
      <w:r w:rsidR="00BA66EE">
        <w:rPr>
          <w:rFonts w:cs="Times New Roman"/>
          <w:color w:val="auto"/>
          <w:szCs w:val="24"/>
        </w:rPr>
        <w:t>T</w:t>
      </w:r>
      <w:r w:rsidR="001903AC" w:rsidRPr="00BA66EE">
        <w:rPr>
          <w:rFonts w:cs="Times New Roman"/>
          <w:color w:val="auto"/>
          <w:szCs w:val="24"/>
        </w:rPr>
        <w:t>ransferring from the Board of Social Services to the Board of Education</w:t>
      </w:r>
      <w:r w:rsidR="00A548A5">
        <w:rPr>
          <w:rFonts w:cs="Times New Roman"/>
          <w:color w:val="auto"/>
          <w:szCs w:val="24"/>
        </w:rPr>
        <w:t xml:space="preserve"> (</w:t>
      </w:r>
      <w:r w:rsidR="00A548A5" w:rsidRPr="00681BB9">
        <w:rPr>
          <w:rFonts w:cs="Times New Roman"/>
          <w:i/>
          <w:color w:val="auto"/>
          <w:szCs w:val="24"/>
        </w:rPr>
        <w:t>Exempt Action</w:t>
      </w:r>
      <w:r w:rsidR="00A548A5">
        <w:rPr>
          <w:rFonts w:cs="Times New Roman"/>
          <w:color w:val="auto"/>
          <w:szCs w:val="24"/>
        </w:rPr>
        <w:t xml:space="preserve">) </w:t>
      </w:r>
      <w:r w:rsidR="00B954C0">
        <w:rPr>
          <w:rFonts w:cs="Times New Roman"/>
          <w:color w:val="auto"/>
          <w:szCs w:val="24"/>
        </w:rPr>
        <w:br/>
      </w:r>
    </w:p>
    <w:p w14:paraId="0B3E2150" w14:textId="569BF03E" w:rsidR="007503E8" w:rsidRPr="007503E8" w:rsidRDefault="00A972CE" w:rsidP="00A548A5">
      <w:pPr>
        <w:pStyle w:val="Heading4"/>
        <w:spacing w:before="0" w:line="240" w:lineRule="auto"/>
        <w:rPr>
          <w:rFonts w:cs="Times New Roman"/>
          <w:szCs w:val="24"/>
        </w:rPr>
      </w:pPr>
      <w:r w:rsidRPr="007503E8">
        <w:rPr>
          <w:rFonts w:cs="Times New Roman"/>
          <w:szCs w:val="24"/>
        </w:rPr>
        <w:t xml:space="preserve">Presenter: </w:t>
      </w:r>
      <w:r w:rsidR="00603C1C">
        <w:rPr>
          <w:rFonts w:cs="Times New Roman"/>
          <w:szCs w:val="24"/>
        </w:rPr>
        <w:tab/>
      </w:r>
      <w:r w:rsidR="00603C1C">
        <w:rPr>
          <w:rFonts w:cs="Times New Roman"/>
          <w:szCs w:val="24"/>
        </w:rPr>
        <w:tab/>
      </w:r>
      <w:r w:rsidR="00BA66EE">
        <w:rPr>
          <w:rFonts w:cs="Times New Roman"/>
          <w:szCs w:val="24"/>
        </w:rPr>
        <w:t xml:space="preserve">Ms. </w:t>
      </w:r>
      <w:r w:rsidR="001903AC" w:rsidRPr="00BA66EE">
        <w:rPr>
          <w:rFonts w:cs="Times New Roman"/>
          <w:szCs w:val="24"/>
        </w:rPr>
        <w:t>Jenna Conway, Chief School Readiness Officer</w:t>
      </w:r>
      <w:r w:rsidR="00B954C0" w:rsidRPr="00BA66EE">
        <w:rPr>
          <w:rFonts w:cs="Times New Roman"/>
          <w:szCs w:val="24"/>
        </w:rPr>
        <w:br/>
      </w:r>
    </w:p>
    <w:p w14:paraId="6990AF09" w14:textId="588669D1" w:rsidR="00A972CE" w:rsidRPr="00BA66EE" w:rsidRDefault="00A972CE" w:rsidP="00A548A5">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603C1C">
        <w:rPr>
          <w:rFonts w:cs="Times New Roman"/>
          <w:szCs w:val="24"/>
        </w:rPr>
        <w:tab/>
      </w:r>
      <w:r w:rsidR="00603C1C">
        <w:rPr>
          <w:rFonts w:cs="Times New Roman"/>
          <w:szCs w:val="24"/>
        </w:rPr>
        <w:tab/>
      </w:r>
      <w:hyperlink r:id="rId9" w:history="1">
        <w:r w:rsidR="00603C1C" w:rsidRPr="00DE784F">
          <w:rPr>
            <w:rStyle w:val="Hyperlink"/>
            <w:rFonts w:cs="Times New Roman"/>
            <w:szCs w:val="24"/>
          </w:rPr>
          <w:t>jenna.conway@govenor.virginia.gov</w:t>
        </w:r>
      </w:hyperlink>
      <w:r w:rsidR="00603C1C">
        <w:rPr>
          <w:rFonts w:cs="Times New Roman"/>
          <w:szCs w:val="24"/>
        </w:rPr>
        <w:t xml:space="preserve"> </w:t>
      </w:r>
      <w:r w:rsidR="00F77BDE" w:rsidRPr="00BA66EE">
        <w:rPr>
          <w:rFonts w:cs="Times New Roman"/>
          <w:szCs w:val="24"/>
        </w:rPr>
        <w:tab/>
      </w:r>
      <w:r w:rsidR="00892D0F" w:rsidRPr="007503E8">
        <w:rPr>
          <w:rFonts w:cs="Times New Roman"/>
          <w:szCs w:val="24"/>
        </w:rPr>
        <w:t xml:space="preserve">Phone: </w:t>
      </w:r>
      <w:r w:rsidR="00BA66EE">
        <w:rPr>
          <w:rFonts w:cs="Times New Roman"/>
          <w:szCs w:val="24"/>
        </w:rPr>
        <w:t>(804) 774-9564</w:t>
      </w:r>
    </w:p>
    <w:p w14:paraId="6E97D637" w14:textId="77777777" w:rsidR="00A972CE" w:rsidRPr="007503E8" w:rsidRDefault="00A972CE" w:rsidP="0094605A">
      <w:pPr>
        <w:spacing w:after="0"/>
      </w:pPr>
    </w:p>
    <w:p w14:paraId="5201F60A" w14:textId="77777777" w:rsidR="00A972CE" w:rsidRPr="007503E8" w:rsidRDefault="00A972CE" w:rsidP="007503E8">
      <w:pPr>
        <w:pStyle w:val="Heading2"/>
        <w:spacing w:before="0" w:after="0"/>
      </w:pPr>
      <w:r w:rsidRPr="007503E8">
        <w:t xml:space="preserve">Purpose of Presentation: </w:t>
      </w:r>
    </w:p>
    <w:p w14:paraId="3048B36D" w14:textId="77777777" w:rsidR="00A972CE" w:rsidRPr="007503E8" w:rsidRDefault="00E27129"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A66EE">
            <w:t>Action required by state or federal law or regulation.</w:t>
          </w:r>
        </w:sdtContent>
      </w:sdt>
    </w:p>
    <w:p w14:paraId="7018359C" w14:textId="77777777" w:rsidR="00B954C0" w:rsidRDefault="00B954C0" w:rsidP="00B954C0">
      <w:pPr>
        <w:spacing w:after="0"/>
      </w:pPr>
    </w:p>
    <w:p w14:paraId="07A7565C" w14:textId="160E232B" w:rsidR="00A61E2F" w:rsidRPr="00FA1B21" w:rsidRDefault="00A972CE" w:rsidP="00A61E2F">
      <w:pPr>
        <w:spacing w:after="0"/>
        <w:rPr>
          <w:rFonts w:eastAsia="Times New Roman" w:cs="Times New Roman"/>
          <w:color w:val="000000"/>
        </w:rPr>
      </w:pPr>
      <w:r w:rsidRPr="00B954C0">
        <w:rPr>
          <w:rStyle w:val="Heading2Char"/>
        </w:rPr>
        <w:t>Executive Summary:</w:t>
      </w:r>
      <w:r w:rsidRPr="0094605A">
        <w:t xml:space="preserve"> </w:t>
      </w:r>
      <w:r w:rsidR="00BA7FAF">
        <w:t xml:space="preserve"> </w:t>
      </w:r>
      <w:r w:rsidR="00D9096B" w:rsidRPr="0094605A">
        <w:br/>
      </w:r>
      <w:r w:rsidR="00BA66EE">
        <w:t>Effective July 1, 2021, the Board of Education is responsible for establishing a unified public-private system for early childhood care and</w:t>
      </w:r>
      <w:r w:rsidR="00BE6DCC">
        <w:t xml:space="preserve"> education (ECCE) in the Commonwealth, to be implemented by the Virginia Department of Education</w:t>
      </w:r>
      <w:r w:rsidR="00A61E2F">
        <w:t xml:space="preserve"> (VDOE)</w:t>
      </w:r>
      <w:r w:rsidR="00BE6DCC">
        <w:t xml:space="preserve">. </w:t>
      </w:r>
      <w:r w:rsidR="00B14955" w:rsidRPr="00361A82">
        <w:rPr>
          <w:rFonts w:eastAsia="Times New Roman" w:cs="Times New Roman"/>
          <w:color w:val="000000"/>
        </w:rPr>
        <w:t xml:space="preserve">Chapters </w:t>
      </w:r>
      <w:hyperlink r:id="rId10" w:history="1">
        <w:r w:rsidR="00B14955" w:rsidRPr="008F28AE">
          <w:rPr>
            <w:rStyle w:val="Hyperlink"/>
            <w:rFonts w:eastAsia="Times New Roman" w:cs="Times New Roman"/>
          </w:rPr>
          <w:t>860</w:t>
        </w:r>
      </w:hyperlink>
      <w:r w:rsidR="00B14955" w:rsidRPr="00361A82">
        <w:rPr>
          <w:rFonts w:eastAsia="Times New Roman" w:cs="Times New Roman"/>
          <w:color w:val="000000"/>
        </w:rPr>
        <w:t xml:space="preserve"> and </w:t>
      </w:r>
      <w:hyperlink r:id="rId11" w:history="1">
        <w:r w:rsidR="00B14955" w:rsidRPr="008F28AE">
          <w:rPr>
            <w:rStyle w:val="Hyperlink"/>
            <w:rFonts w:eastAsia="Times New Roman" w:cs="Times New Roman"/>
          </w:rPr>
          <w:t>861</w:t>
        </w:r>
      </w:hyperlink>
      <w:r w:rsidR="00B14955" w:rsidRPr="00361A82">
        <w:rPr>
          <w:rFonts w:eastAsia="Times New Roman" w:cs="Times New Roman"/>
          <w:color w:val="000000"/>
        </w:rPr>
        <w:t xml:space="preserve"> of the 2020 Acts of the General Assembly</w:t>
      </w:r>
      <w:r w:rsidR="00BE6DCC" w:rsidRPr="00BE6DCC">
        <w:t xml:space="preserve"> </w:t>
      </w:r>
      <w:r w:rsidR="00BE6DCC">
        <w:t xml:space="preserve">require regulations </w:t>
      </w:r>
      <w:r w:rsidR="00BE6DCC" w:rsidRPr="00BE6DCC">
        <w:t xml:space="preserve">governing the implementation and oversight of ECCE </w:t>
      </w:r>
      <w:r w:rsidR="00BE6DCC">
        <w:t xml:space="preserve">programs to be transferred from the Board of Social Services to the Board of Education. These regulations are to be adopted as written, with minor modifications as needed to be incorporated into </w:t>
      </w:r>
      <w:r w:rsidR="00A61E2F">
        <w:t xml:space="preserve">the </w:t>
      </w:r>
      <w:r w:rsidR="00BE6DCC">
        <w:t xml:space="preserve">Education </w:t>
      </w:r>
      <w:r w:rsidR="00A61E2F">
        <w:t xml:space="preserve">administrative </w:t>
      </w:r>
      <w:r w:rsidR="00BE6DCC">
        <w:t>code</w:t>
      </w:r>
      <w:r w:rsidR="00A61E2F">
        <w:t xml:space="preserve"> section</w:t>
      </w:r>
      <w:r w:rsidR="00BE6DCC">
        <w:t>.</w:t>
      </w:r>
      <w:r w:rsidR="00A61E2F" w:rsidRPr="00A61E2F">
        <w:rPr>
          <w:rFonts w:eastAsia="Times New Roman" w:cs="Times New Roman"/>
          <w:color w:val="000000"/>
        </w:rPr>
        <w:t xml:space="preserve"> </w:t>
      </w:r>
      <w:r w:rsidR="00A61E2F" w:rsidRPr="00361A82">
        <w:rPr>
          <w:rFonts w:eastAsia="Times New Roman" w:cs="Times New Roman"/>
          <w:color w:val="000000"/>
        </w:rPr>
        <w:t xml:space="preserve">The </w:t>
      </w:r>
      <w:r w:rsidR="00A61E2F">
        <w:rPr>
          <w:rFonts w:eastAsia="Times New Roman" w:cs="Times New Roman"/>
          <w:color w:val="000000"/>
        </w:rPr>
        <w:t xml:space="preserve">Board’s </w:t>
      </w:r>
      <w:r w:rsidR="00A61E2F" w:rsidRPr="00361A82">
        <w:rPr>
          <w:rFonts w:eastAsia="Times New Roman" w:cs="Times New Roman"/>
          <w:color w:val="000000"/>
        </w:rPr>
        <w:t>initial actions to adopt these regulations with “necessary amendments” are exempt from Article 2 (</w:t>
      </w:r>
      <w:hyperlink r:id="rId12" w:history="1">
        <w:r w:rsidR="00E9230D" w:rsidRPr="00E9230D">
          <w:rPr>
            <w:rStyle w:val="Hyperlink"/>
            <w:rFonts w:eastAsia="Times New Roman" w:cs="Times New Roman"/>
          </w:rPr>
          <w:t>§</w:t>
        </w:r>
        <w:r w:rsidR="00A61E2F" w:rsidRPr="00E9230D">
          <w:rPr>
            <w:rStyle w:val="Hyperlink"/>
            <w:rFonts w:eastAsia="Times New Roman" w:cs="Times New Roman"/>
          </w:rPr>
          <w:t>2.2-4006</w:t>
        </w:r>
      </w:hyperlink>
      <w:r w:rsidR="00A61E2F" w:rsidRPr="00361A82">
        <w:rPr>
          <w:rFonts w:eastAsia="Times New Roman" w:cs="Times New Roman"/>
          <w:color w:val="000000"/>
        </w:rPr>
        <w:t xml:space="preserve"> et seq.) of Chapter 40 of Title 2.2 of the </w:t>
      </w:r>
      <w:r w:rsidR="00A61E2F" w:rsidRPr="00A61E2F">
        <w:rPr>
          <w:rFonts w:eastAsia="Times New Roman" w:cs="Times New Roman"/>
          <w:i/>
          <w:color w:val="000000"/>
        </w:rPr>
        <w:t>Code of Virginia</w:t>
      </w:r>
      <w:r w:rsidR="00A61E2F" w:rsidRPr="00361A82">
        <w:rPr>
          <w:rFonts w:eastAsia="Times New Roman" w:cs="Times New Roman"/>
          <w:color w:val="000000"/>
        </w:rPr>
        <w:t xml:space="preserve">. Necessary amendments </w:t>
      </w:r>
      <w:r w:rsidR="00A61E2F">
        <w:rPr>
          <w:rFonts w:eastAsia="Times New Roman" w:cs="Times New Roman"/>
          <w:color w:val="000000"/>
        </w:rPr>
        <w:t xml:space="preserve">for the purposes of such exempt action </w:t>
      </w:r>
      <w:r w:rsidR="00A61E2F" w:rsidRPr="00361A82">
        <w:rPr>
          <w:rFonts w:eastAsia="Times New Roman" w:cs="Times New Roman"/>
          <w:color w:val="000000"/>
        </w:rPr>
        <w:t>include</w:t>
      </w:r>
      <w:r w:rsidR="00A61E2F">
        <w:rPr>
          <w:rFonts w:eastAsia="Times New Roman" w:cs="Times New Roman"/>
          <w:color w:val="000000"/>
        </w:rPr>
        <w:t>:</w:t>
      </w:r>
      <w:r w:rsidR="00A61E2F" w:rsidRPr="00361A82">
        <w:rPr>
          <w:rFonts w:eastAsia="Times New Roman" w:cs="Times New Roman"/>
          <w:color w:val="000000"/>
        </w:rPr>
        <w:t> </w:t>
      </w:r>
    </w:p>
    <w:p w14:paraId="39A8AEAF" w14:textId="77777777" w:rsidR="00A61E2F" w:rsidRDefault="00A61E2F" w:rsidP="00A61E2F">
      <w:pPr>
        <w:numPr>
          <w:ilvl w:val="0"/>
          <w:numId w:val="8"/>
        </w:numPr>
        <w:spacing w:after="0"/>
        <w:textAlignment w:val="baseline"/>
        <w:rPr>
          <w:rFonts w:eastAsia="Times New Roman" w:cs="Times New Roman"/>
          <w:color w:val="000000"/>
        </w:rPr>
      </w:pPr>
      <w:r w:rsidRPr="00361A82">
        <w:rPr>
          <w:rFonts w:eastAsia="Times New Roman" w:cs="Times New Roman"/>
          <w:color w:val="000000"/>
        </w:rPr>
        <w:t xml:space="preserve">Renumbering; </w:t>
      </w:r>
    </w:p>
    <w:p w14:paraId="1742504F" w14:textId="77777777" w:rsidR="00A61E2F" w:rsidRPr="00361A82" w:rsidRDefault="00A61E2F" w:rsidP="00A61E2F">
      <w:pPr>
        <w:numPr>
          <w:ilvl w:val="0"/>
          <w:numId w:val="8"/>
        </w:numPr>
        <w:spacing w:after="0"/>
        <w:textAlignment w:val="baseline"/>
        <w:rPr>
          <w:rFonts w:eastAsia="Times New Roman" w:cs="Times New Roman"/>
          <w:color w:val="000000"/>
        </w:rPr>
      </w:pPr>
      <w:r>
        <w:rPr>
          <w:rFonts w:eastAsia="Times New Roman" w:cs="Times New Roman"/>
          <w:color w:val="000000"/>
        </w:rPr>
        <w:t>C</w:t>
      </w:r>
      <w:r w:rsidRPr="00361A82">
        <w:rPr>
          <w:rFonts w:eastAsia="Times New Roman" w:cs="Times New Roman"/>
          <w:color w:val="000000"/>
        </w:rPr>
        <w:t xml:space="preserve">hanging references </w:t>
      </w:r>
      <w:r>
        <w:rPr>
          <w:rFonts w:eastAsia="Times New Roman" w:cs="Times New Roman"/>
          <w:color w:val="000000"/>
        </w:rPr>
        <w:t>from</w:t>
      </w:r>
      <w:r w:rsidRPr="00361A82">
        <w:rPr>
          <w:rFonts w:eastAsia="Times New Roman" w:cs="Times New Roman"/>
          <w:color w:val="000000"/>
        </w:rPr>
        <w:t xml:space="preserve"> the Board of Social Services to the Board of Education;</w:t>
      </w:r>
    </w:p>
    <w:p w14:paraId="38CEEA62" w14:textId="77777777" w:rsidR="00B14955" w:rsidRDefault="00A61E2F" w:rsidP="00A61E2F">
      <w:pPr>
        <w:numPr>
          <w:ilvl w:val="0"/>
          <w:numId w:val="8"/>
        </w:numPr>
        <w:spacing w:after="0"/>
        <w:textAlignment w:val="baseline"/>
        <w:rPr>
          <w:rFonts w:eastAsia="Times New Roman" w:cs="Times New Roman"/>
          <w:color w:val="000000"/>
        </w:rPr>
      </w:pPr>
      <w:r w:rsidRPr="00361A82">
        <w:rPr>
          <w:rFonts w:eastAsia="Times New Roman" w:cs="Times New Roman"/>
          <w:color w:val="000000"/>
        </w:rPr>
        <w:t>Changing code references</w:t>
      </w:r>
      <w:r>
        <w:rPr>
          <w:rFonts w:eastAsia="Times New Roman" w:cs="Times New Roman"/>
          <w:color w:val="000000"/>
        </w:rPr>
        <w:t xml:space="preserve"> and descriptions</w:t>
      </w:r>
      <w:r w:rsidRPr="00361A82">
        <w:rPr>
          <w:rFonts w:eastAsia="Times New Roman" w:cs="Times New Roman"/>
          <w:color w:val="000000"/>
        </w:rPr>
        <w:t xml:space="preserve">; </w:t>
      </w:r>
    </w:p>
    <w:p w14:paraId="660FAD48" w14:textId="0E5E22F8" w:rsidR="00A61E2F" w:rsidRPr="00361A82" w:rsidRDefault="00B14955" w:rsidP="00A61E2F">
      <w:pPr>
        <w:numPr>
          <w:ilvl w:val="0"/>
          <w:numId w:val="8"/>
        </w:numPr>
        <w:spacing w:after="0"/>
        <w:textAlignment w:val="baseline"/>
        <w:rPr>
          <w:rFonts w:eastAsia="Times New Roman" w:cs="Times New Roman"/>
          <w:color w:val="000000"/>
        </w:rPr>
      </w:pPr>
      <w:r>
        <w:rPr>
          <w:rFonts w:eastAsia="Times New Roman" w:cs="Times New Roman"/>
          <w:color w:val="000000"/>
        </w:rPr>
        <w:t xml:space="preserve">Striking regulations specific to adult care programs and child welfare programs; </w:t>
      </w:r>
      <w:r w:rsidR="00A61E2F" w:rsidRPr="00361A82">
        <w:rPr>
          <w:rFonts w:eastAsia="Times New Roman" w:cs="Times New Roman"/>
          <w:color w:val="000000"/>
        </w:rPr>
        <w:t>and </w:t>
      </w:r>
    </w:p>
    <w:p w14:paraId="596B5C7B" w14:textId="77777777" w:rsidR="00B14955" w:rsidRDefault="00B14955" w:rsidP="00B14955">
      <w:pPr>
        <w:numPr>
          <w:ilvl w:val="0"/>
          <w:numId w:val="8"/>
        </w:numPr>
        <w:spacing w:after="0"/>
        <w:textAlignment w:val="baseline"/>
        <w:rPr>
          <w:rFonts w:eastAsia="Times New Roman" w:cs="Times New Roman"/>
          <w:color w:val="000000"/>
        </w:rPr>
      </w:pPr>
      <w:r w:rsidRPr="00361A82">
        <w:rPr>
          <w:rFonts w:eastAsia="Times New Roman" w:cs="Times New Roman"/>
          <w:color w:val="000000"/>
        </w:rPr>
        <w:t xml:space="preserve">Striking regulations related to child support enforcement pursuant to </w:t>
      </w:r>
      <w:hyperlink r:id="rId13" w:history="1">
        <w:r w:rsidRPr="008F28AE">
          <w:rPr>
            <w:rStyle w:val="Hyperlink"/>
            <w:rFonts w:eastAsia="Times New Roman" w:cs="Times New Roman"/>
          </w:rPr>
          <w:t>§ 63.2-1911</w:t>
        </w:r>
      </w:hyperlink>
      <w:r w:rsidRPr="00361A82">
        <w:rPr>
          <w:rFonts w:eastAsia="Times New Roman" w:cs="Times New Roman"/>
          <w:color w:val="000000"/>
        </w:rPr>
        <w:t>. </w:t>
      </w:r>
    </w:p>
    <w:p w14:paraId="6BCD99C8" w14:textId="47CA94BF" w:rsidR="00BE6DCC" w:rsidRDefault="00BE6DCC" w:rsidP="00BA66EE">
      <w:pPr>
        <w:spacing w:after="0"/>
      </w:pPr>
    </w:p>
    <w:p w14:paraId="4198F8AB" w14:textId="77777777" w:rsidR="00A61E2F" w:rsidRDefault="00A61E2F" w:rsidP="00A61E2F">
      <w:pPr>
        <w:spacing w:after="0"/>
        <w:textAlignment w:val="baseline"/>
        <w:rPr>
          <w:rFonts w:eastAsia="Times New Roman" w:cs="Times New Roman"/>
          <w:color w:val="000000"/>
        </w:rPr>
      </w:pPr>
      <w:r>
        <w:rPr>
          <w:rFonts w:eastAsia="Times New Roman" w:cs="Times New Roman"/>
          <w:color w:val="000000"/>
        </w:rPr>
        <w:t>VDOE will conduct a comprehensive review of these regulations in partnership with the new Early Childhood Advisory Council to identify and recommend substantive policy changes to the Board later this year.</w:t>
      </w:r>
    </w:p>
    <w:p w14:paraId="49916E17" w14:textId="6B4B554C" w:rsidR="00BE6DCC" w:rsidRDefault="00BE6DCC" w:rsidP="00BA66EE">
      <w:pPr>
        <w:spacing w:after="0"/>
      </w:pPr>
    </w:p>
    <w:p w14:paraId="44143B98" w14:textId="5F703089" w:rsidR="008B3CF4" w:rsidRDefault="008B3CF4" w:rsidP="00BA66EE">
      <w:pPr>
        <w:spacing w:after="0"/>
      </w:pPr>
      <w:r>
        <w:lastRenderedPageBreak/>
        <w:t>This item supports</w:t>
      </w:r>
      <w:r w:rsidR="00A548A5">
        <w:t xml:space="preserve"> Priority 1 </w:t>
      </w:r>
      <w:r>
        <w:t>of the Board’s Comprehensive Plan to provide high-quality learning environments for all students.</w:t>
      </w:r>
    </w:p>
    <w:p w14:paraId="51E5820C" w14:textId="77777777" w:rsidR="00B751A0" w:rsidRDefault="00B751A0" w:rsidP="007503E8">
      <w:pPr>
        <w:pStyle w:val="Heading2"/>
        <w:spacing w:before="0" w:after="0"/>
      </w:pPr>
    </w:p>
    <w:p w14:paraId="6B393980" w14:textId="6F9212BB" w:rsidR="00A972CE" w:rsidRPr="007503E8" w:rsidRDefault="00A972CE" w:rsidP="007503E8">
      <w:pPr>
        <w:pStyle w:val="Heading2"/>
        <w:spacing w:before="0" w:after="0"/>
      </w:pPr>
      <w:r w:rsidRPr="007503E8">
        <w:t xml:space="preserve">Action Requested:  </w:t>
      </w:r>
    </w:p>
    <w:p w14:paraId="0D5FD8D7" w14:textId="3CA42A64" w:rsidR="00A972CE" w:rsidRPr="007503E8" w:rsidRDefault="00E27129"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B751A0">
            <w:t>Final review: Action requested at this meeting.</w:t>
          </w:r>
        </w:sdtContent>
      </w:sdt>
    </w:p>
    <w:p w14:paraId="49BA741E" w14:textId="1AA1E20C" w:rsidR="00B751A0" w:rsidRDefault="003D27FD" w:rsidP="00B751A0">
      <w:pPr>
        <w:pStyle w:val="Heading2"/>
        <w:spacing w:before="0" w:after="0"/>
        <w:rPr>
          <w:b w:val="0"/>
          <w:iCs/>
        </w:rPr>
      </w:pPr>
      <w:r>
        <w:br/>
      </w:r>
      <w:r w:rsidR="00A972CE" w:rsidRPr="0094605A">
        <w:t>Superintendent’s Recommendation:</w:t>
      </w:r>
      <w:r w:rsidR="00A972CE" w:rsidRPr="007503E8">
        <w:t xml:space="preserve"> </w:t>
      </w:r>
      <w:r w:rsidR="007503E8">
        <w:br/>
      </w:r>
      <w:r w:rsidR="00B751A0" w:rsidRPr="00BA66EE">
        <w:rPr>
          <w:b w:val="0"/>
          <w:iCs/>
        </w:rPr>
        <w:t>The Superintendent of Public Instruction recommends the Board of Educatio</w:t>
      </w:r>
      <w:r w:rsidR="00B751A0">
        <w:rPr>
          <w:b w:val="0"/>
          <w:iCs/>
        </w:rPr>
        <w:t xml:space="preserve">n approve the </w:t>
      </w:r>
      <w:r w:rsidR="00B751A0" w:rsidRPr="00BA66EE">
        <w:rPr>
          <w:b w:val="0"/>
          <w:iCs/>
        </w:rPr>
        <w:t>Child Care Regulations Transferring from the Board of Social Services to the Board of Education</w:t>
      </w:r>
      <w:r w:rsidR="00A61E2F">
        <w:rPr>
          <w:b w:val="0"/>
          <w:iCs/>
        </w:rPr>
        <w:t xml:space="preserve"> (</w:t>
      </w:r>
      <w:r w:rsidR="00A61E2F" w:rsidRPr="00681BB9">
        <w:rPr>
          <w:b w:val="0"/>
          <w:i/>
          <w:iCs/>
        </w:rPr>
        <w:t>Exempt Action</w:t>
      </w:r>
      <w:r w:rsidR="00A61E2F">
        <w:rPr>
          <w:b w:val="0"/>
          <w:iCs/>
        </w:rPr>
        <w:t>)</w:t>
      </w:r>
      <w:r w:rsidR="00EF34A6">
        <w:rPr>
          <w:b w:val="0"/>
          <w:iCs/>
        </w:rPr>
        <w:t xml:space="preserve"> and authorizes VDOE staff to make technical edits </w:t>
      </w:r>
      <w:r w:rsidR="00E27129">
        <w:rPr>
          <w:b w:val="0"/>
          <w:iCs/>
        </w:rPr>
        <w:t>to the regulations and forms,</w:t>
      </w:r>
      <w:bookmarkStart w:id="0" w:name="_GoBack"/>
      <w:bookmarkEnd w:id="0"/>
      <w:r w:rsidR="00E27129">
        <w:rPr>
          <w:b w:val="0"/>
          <w:iCs/>
        </w:rPr>
        <w:t xml:space="preserve"> </w:t>
      </w:r>
      <w:r w:rsidR="00EF34A6">
        <w:rPr>
          <w:b w:val="0"/>
          <w:iCs/>
        </w:rPr>
        <w:t xml:space="preserve">as needed. </w:t>
      </w:r>
    </w:p>
    <w:p w14:paraId="1AFE464B" w14:textId="77777777" w:rsidR="00B751A0" w:rsidRPr="00B751A0" w:rsidRDefault="00B751A0" w:rsidP="00E9230D">
      <w:pPr>
        <w:spacing w:after="0"/>
      </w:pPr>
    </w:p>
    <w:p w14:paraId="6CDA2ADF" w14:textId="77777777" w:rsidR="00E9230D" w:rsidRDefault="00B751A0" w:rsidP="00B751A0">
      <w:pPr>
        <w:pStyle w:val="Heading2"/>
        <w:spacing w:before="0" w:after="0"/>
      </w:pPr>
      <w:r w:rsidRPr="004E4A6D">
        <w:t xml:space="preserve">Rationale for Action: </w:t>
      </w:r>
    </w:p>
    <w:p w14:paraId="0B10AAA4" w14:textId="03358E23" w:rsidR="00B751A0" w:rsidRPr="00B751A0" w:rsidRDefault="00E9230D" w:rsidP="00E9230D">
      <w:pPr>
        <w:spacing w:after="0"/>
        <w:rPr>
          <w:b/>
        </w:rPr>
      </w:pPr>
      <w:r>
        <w:t>Board action is required to adopt and transfer the child care regulations as required by Cha</w:t>
      </w:r>
      <w:r w:rsidR="00B751A0" w:rsidRPr="004E4A6D">
        <w:rPr>
          <w:rFonts w:eastAsia="Times New Roman"/>
          <w:color w:val="000000"/>
        </w:rPr>
        <w:t xml:space="preserve">pters </w:t>
      </w:r>
      <w:hyperlink r:id="rId14" w:history="1">
        <w:r w:rsidR="00B751A0" w:rsidRPr="00E9230D">
          <w:rPr>
            <w:rStyle w:val="Hyperlink"/>
            <w:rFonts w:eastAsia="Times New Roman"/>
          </w:rPr>
          <w:t>860</w:t>
        </w:r>
      </w:hyperlink>
      <w:r w:rsidR="00B751A0" w:rsidRPr="004E4A6D">
        <w:rPr>
          <w:rFonts w:eastAsia="Times New Roman"/>
          <w:color w:val="000000"/>
        </w:rPr>
        <w:t xml:space="preserve"> and </w:t>
      </w:r>
      <w:hyperlink r:id="rId15" w:history="1">
        <w:r w:rsidR="00B751A0" w:rsidRPr="00E9230D">
          <w:rPr>
            <w:rStyle w:val="Hyperlink"/>
            <w:rFonts w:eastAsia="Times New Roman"/>
          </w:rPr>
          <w:t>861</w:t>
        </w:r>
      </w:hyperlink>
      <w:r w:rsidR="00B751A0" w:rsidRPr="004E4A6D">
        <w:rPr>
          <w:rFonts w:eastAsia="Times New Roman"/>
          <w:color w:val="000000"/>
        </w:rPr>
        <w:t xml:space="preserve"> of the 2020 Acts of the General Assembly</w:t>
      </w:r>
      <w:r w:rsidR="00B751A0">
        <w:rPr>
          <w:rFonts w:eastAsia="Times New Roman"/>
          <w:color w:val="000000"/>
        </w:rPr>
        <w:t>.</w:t>
      </w:r>
    </w:p>
    <w:p w14:paraId="1EA0B480" w14:textId="77777777" w:rsidR="00BA66EE" w:rsidRPr="00BA66EE" w:rsidRDefault="00BA66EE" w:rsidP="00A61E2F">
      <w:pPr>
        <w:spacing w:after="0"/>
      </w:pPr>
    </w:p>
    <w:p w14:paraId="1639448E"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2E07BBF3" w14:textId="1EF655F7" w:rsidR="00123E2E" w:rsidRPr="007503E8" w:rsidRDefault="00B751A0" w:rsidP="003D27FD">
          <w:pPr>
            <w:spacing w:after="0"/>
          </w:pPr>
          <w:r>
            <w:t>Previous review and action. Specify date and action taken below:</w:t>
          </w:r>
        </w:p>
      </w:sdtContent>
    </w:sdt>
    <w:p w14:paraId="79C2343D" w14:textId="75CFBE8E" w:rsidR="00A47F8C" w:rsidRDefault="00B751A0" w:rsidP="00A548A5">
      <w:pPr>
        <w:spacing w:after="0"/>
      </w:pPr>
      <w:r>
        <w:rPr>
          <w:b/>
        </w:rPr>
        <w:t xml:space="preserve">Action: </w:t>
      </w:r>
      <w:r>
        <w:t>First Review</w:t>
      </w:r>
    </w:p>
    <w:p w14:paraId="3DCE46F8" w14:textId="24168905" w:rsidR="00B751A0" w:rsidRPr="00B751A0" w:rsidRDefault="00B751A0" w:rsidP="00A548A5">
      <w:pPr>
        <w:spacing w:after="0"/>
      </w:pPr>
      <w:r>
        <w:rPr>
          <w:b/>
        </w:rPr>
        <w:t xml:space="preserve">Date: </w:t>
      </w:r>
      <w:r>
        <w:t>March 17, 2021</w:t>
      </w:r>
    </w:p>
    <w:p w14:paraId="6E6E7132" w14:textId="77777777" w:rsidR="00B751A0" w:rsidRPr="007503E8" w:rsidRDefault="00B751A0" w:rsidP="00A548A5">
      <w:pPr>
        <w:spacing w:after="0"/>
      </w:pPr>
    </w:p>
    <w:p w14:paraId="2A5AF5A2" w14:textId="7428FB00" w:rsidR="00BA66EE" w:rsidRPr="00361A82" w:rsidRDefault="000E009D" w:rsidP="00BA66EE">
      <w:pPr>
        <w:spacing w:after="0"/>
        <w:rPr>
          <w:rFonts w:eastAsia="Times New Roman" w:cs="Times New Roman"/>
          <w:szCs w:val="24"/>
        </w:rPr>
      </w:pPr>
      <w:r w:rsidRPr="007503E8">
        <w:rPr>
          <w:rStyle w:val="Heading2Char"/>
        </w:rPr>
        <w:t>Background Information and Statutory Authority:</w:t>
      </w:r>
      <w:r w:rsidR="007503E8">
        <w:br/>
      </w:r>
      <w:r w:rsidR="00BA66EE" w:rsidRPr="00361A82">
        <w:rPr>
          <w:rFonts w:eastAsia="Times New Roman" w:cs="Times New Roman"/>
          <w:color w:val="000000"/>
        </w:rPr>
        <w:t xml:space="preserve">Pursuant to </w:t>
      </w:r>
      <w:hyperlink r:id="rId16" w:history="1">
        <w:r w:rsidR="00BA66EE" w:rsidRPr="008F28AE">
          <w:rPr>
            <w:rStyle w:val="Hyperlink"/>
            <w:rFonts w:eastAsia="Times New Roman" w:cs="Times New Roman"/>
          </w:rPr>
          <w:t xml:space="preserve">§ 22.1-289.03 of the </w:t>
        </w:r>
        <w:r w:rsidR="00BA66EE" w:rsidRPr="00E9230D">
          <w:rPr>
            <w:rStyle w:val="Hyperlink"/>
            <w:rFonts w:eastAsia="Times New Roman" w:cs="Times New Roman"/>
            <w:i/>
          </w:rPr>
          <w:t>Code of Virginia</w:t>
        </w:r>
      </w:hyperlink>
      <w:r w:rsidR="00BA66EE" w:rsidRPr="00361A82">
        <w:rPr>
          <w:rFonts w:eastAsia="Times New Roman" w:cs="Times New Roman"/>
          <w:color w:val="000000"/>
        </w:rPr>
        <w:t>, the Board of Education (</w:t>
      </w:r>
      <w:r w:rsidR="00A548A5">
        <w:rPr>
          <w:rFonts w:eastAsia="Times New Roman" w:cs="Times New Roman"/>
          <w:color w:val="000000"/>
        </w:rPr>
        <w:t>Board</w:t>
      </w:r>
      <w:r w:rsidR="00BA66EE" w:rsidRPr="00361A82">
        <w:rPr>
          <w:rFonts w:eastAsia="Times New Roman" w:cs="Times New Roman"/>
          <w:color w:val="000000"/>
        </w:rPr>
        <w:t xml:space="preserve">) is responsible for establishing </w:t>
      </w:r>
      <w:r w:rsidR="00BE6DCC">
        <w:rPr>
          <w:rFonts w:eastAsia="Times New Roman" w:cs="Times New Roman"/>
          <w:color w:val="000000"/>
        </w:rPr>
        <w:t>“</w:t>
      </w:r>
      <w:r w:rsidR="00BA66EE" w:rsidRPr="00361A82">
        <w:rPr>
          <w:rFonts w:eastAsia="Times New Roman" w:cs="Times New Roman"/>
          <w:color w:val="000000"/>
        </w:rPr>
        <w:t xml:space="preserve">a </w:t>
      </w:r>
      <w:r w:rsidR="00BE6DCC">
        <w:rPr>
          <w:rFonts w:eastAsia="Times New Roman" w:cs="Times New Roman"/>
          <w:color w:val="000000"/>
        </w:rPr>
        <w:t xml:space="preserve">statewide </w:t>
      </w:r>
      <w:r w:rsidR="00BA66EE" w:rsidRPr="00361A82">
        <w:rPr>
          <w:rFonts w:eastAsia="Times New Roman" w:cs="Times New Roman"/>
          <w:color w:val="000000"/>
        </w:rPr>
        <w:t>unified public-private</w:t>
      </w:r>
      <w:r w:rsidR="00BE6DCC">
        <w:rPr>
          <w:rFonts w:eastAsia="Times New Roman" w:cs="Times New Roman"/>
          <w:color w:val="000000"/>
        </w:rPr>
        <w:t xml:space="preserve"> system for</w:t>
      </w:r>
      <w:r w:rsidR="00BA66EE" w:rsidRPr="00361A82">
        <w:rPr>
          <w:rFonts w:eastAsia="Times New Roman" w:cs="Times New Roman"/>
          <w:color w:val="000000"/>
        </w:rPr>
        <w:t xml:space="preserve"> early childhood care and education system</w:t>
      </w:r>
      <w:r w:rsidR="00BE6DCC">
        <w:rPr>
          <w:rFonts w:eastAsia="Times New Roman" w:cs="Times New Roman"/>
          <w:color w:val="000000"/>
        </w:rPr>
        <w:t xml:space="preserve"> in the Commonwealth to ensure that every child has the opportunity to enter kindergarten healthy and ready to learn.” The system will be “</w:t>
      </w:r>
      <w:r w:rsidR="00BA66EE" w:rsidRPr="00361A82">
        <w:rPr>
          <w:rFonts w:eastAsia="Times New Roman" w:cs="Times New Roman"/>
          <w:color w:val="000000"/>
        </w:rPr>
        <w:t xml:space="preserve">implemented by the </w:t>
      </w:r>
      <w:r w:rsidR="00BE6DCC">
        <w:rPr>
          <w:rFonts w:eastAsia="Times New Roman" w:cs="Times New Roman"/>
          <w:color w:val="000000"/>
        </w:rPr>
        <w:t xml:space="preserve">Board, the Superintendent [of Public Instruction] and the </w:t>
      </w:r>
      <w:r w:rsidR="00BA66EE" w:rsidRPr="00361A82">
        <w:rPr>
          <w:rFonts w:eastAsia="Times New Roman" w:cs="Times New Roman"/>
          <w:color w:val="000000"/>
        </w:rPr>
        <w:t xml:space="preserve">Department </w:t>
      </w:r>
      <w:r w:rsidR="00BE6DCC">
        <w:rPr>
          <w:rFonts w:eastAsia="Times New Roman" w:cs="Times New Roman"/>
          <w:color w:val="000000"/>
        </w:rPr>
        <w:t>[</w:t>
      </w:r>
      <w:r w:rsidR="00BA66EE" w:rsidRPr="00361A82">
        <w:rPr>
          <w:rFonts w:eastAsia="Times New Roman" w:cs="Times New Roman"/>
          <w:color w:val="000000"/>
        </w:rPr>
        <w:t>of Education (VDOE)</w:t>
      </w:r>
      <w:r w:rsidR="00BE6DCC">
        <w:rPr>
          <w:rFonts w:eastAsia="Times New Roman" w:cs="Times New Roman"/>
          <w:color w:val="000000"/>
        </w:rPr>
        <w:t>]”</w:t>
      </w:r>
      <w:r w:rsidR="00BA66EE" w:rsidRPr="00361A82">
        <w:rPr>
          <w:rFonts w:eastAsia="Times New Roman" w:cs="Times New Roman"/>
          <w:color w:val="000000"/>
        </w:rPr>
        <w:t xml:space="preserve"> effective July 1, 2021. Funding and oversight of early childhood care and education (ECCE) programs and policies</w:t>
      </w:r>
      <w:r w:rsidR="00BA66EE">
        <w:rPr>
          <w:rFonts w:eastAsia="Times New Roman" w:cs="Times New Roman"/>
          <w:color w:val="000000"/>
        </w:rPr>
        <w:t>—i</w:t>
      </w:r>
      <w:r w:rsidR="00BA66EE" w:rsidRPr="00361A82">
        <w:rPr>
          <w:rFonts w:eastAsia="Times New Roman" w:cs="Times New Roman"/>
          <w:color w:val="000000"/>
        </w:rPr>
        <w:t>ncluding the Child Care Subsidy Program and child care licensing and monitoring</w:t>
      </w:r>
      <w:r w:rsidR="00BA66EE">
        <w:rPr>
          <w:rFonts w:eastAsia="Times New Roman" w:cs="Times New Roman"/>
          <w:color w:val="000000"/>
        </w:rPr>
        <w:t>—</w:t>
      </w:r>
      <w:r w:rsidR="00BA66EE" w:rsidRPr="00361A82">
        <w:rPr>
          <w:rFonts w:eastAsia="Times New Roman" w:cs="Times New Roman"/>
          <w:color w:val="000000"/>
        </w:rPr>
        <w:t>will transition to VDOE from the Virginia Department of Social Services on July 1 accordingly.</w:t>
      </w:r>
    </w:p>
    <w:p w14:paraId="7E8E09DC" w14:textId="77777777" w:rsidR="00BA66EE" w:rsidRPr="00361A82" w:rsidRDefault="00BA66EE" w:rsidP="00BA66EE">
      <w:pPr>
        <w:spacing w:after="0"/>
        <w:rPr>
          <w:rFonts w:eastAsia="Times New Roman" w:cs="Times New Roman"/>
          <w:szCs w:val="24"/>
        </w:rPr>
      </w:pPr>
    </w:p>
    <w:p w14:paraId="2A1D3E1A" w14:textId="73BD4776" w:rsidR="00BA66EE" w:rsidRPr="00FA1B21" w:rsidRDefault="00BA66EE" w:rsidP="00BA66EE">
      <w:pPr>
        <w:spacing w:after="0"/>
        <w:rPr>
          <w:rFonts w:eastAsia="Times New Roman" w:cs="Times New Roman"/>
          <w:color w:val="000000"/>
        </w:rPr>
      </w:pPr>
      <w:r w:rsidRPr="00361A82">
        <w:rPr>
          <w:rFonts w:eastAsia="Times New Roman" w:cs="Times New Roman"/>
          <w:color w:val="000000"/>
        </w:rPr>
        <w:t xml:space="preserve">Chapters </w:t>
      </w:r>
      <w:hyperlink r:id="rId17" w:history="1">
        <w:r w:rsidRPr="008F28AE">
          <w:rPr>
            <w:rStyle w:val="Hyperlink"/>
            <w:rFonts w:eastAsia="Times New Roman" w:cs="Times New Roman"/>
          </w:rPr>
          <w:t>860</w:t>
        </w:r>
      </w:hyperlink>
      <w:r w:rsidRPr="00361A82">
        <w:rPr>
          <w:rFonts w:eastAsia="Times New Roman" w:cs="Times New Roman"/>
          <w:color w:val="000000"/>
        </w:rPr>
        <w:t xml:space="preserve"> and </w:t>
      </w:r>
      <w:hyperlink r:id="rId18" w:history="1">
        <w:r w:rsidRPr="008F28AE">
          <w:rPr>
            <w:rStyle w:val="Hyperlink"/>
            <w:rFonts w:eastAsia="Times New Roman" w:cs="Times New Roman"/>
          </w:rPr>
          <w:t>861</w:t>
        </w:r>
      </w:hyperlink>
      <w:r w:rsidRPr="00361A82">
        <w:rPr>
          <w:rFonts w:eastAsia="Times New Roman" w:cs="Times New Roman"/>
          <w:color w:val="000000"/>
        </w:rPr>
        <w:t xml:space="preserve"> of the 2020 Acts of the General Assembly require that the regulations governing the implementation and oversight of ECCE programs be transferred from the Board of Social Services to the </w:t>
      </w:r>
      <w:r w:rsidR="00A548A5">
        <w:rPr>
          <w:rFonts w:eastAsia="Times New Roman" w:cs="Times New Roman"/>
          <w:color w:val="000000"/>
        </w:rPr>
        <w:t xml:space="preserve">Board </w:t>
      </w:r>
      <w:r w:rsidR="00FA1B21">
        <w:rPr>
          <w:rFonts w:eastAsia="Times New Roman" w:cs="Times New Roman"/>
          <w:color w:val="000000"/>
        </w:rPr>
        <w:t>and state that such transferred regulations “remain in full force and effect until altered, amended, or rescinded by the Board of Education</w:t>
      </w:r>
      <w:r w:rsidRPr="00361A82">
        <w:rPr>
          <w:rFonts w:eastAsia="Times New Roman" w:cs="Times New Roman"/>
          <w:color w:val="000000"/>
        </w:rPr>
        <w:t>.</w:t>
      </w:r>
      <w:r w:rsidR="00FA1B21">
        <w:rPr>
          <w:rFonts w:eastAsia="Times New Roman" w:cs="Times New Roman"/>
          <w:color w:val="000000"/>
        </w:rPr>
        <w:t>”</w:t>
      </w:r>
      <w:r w:rsidRPr="00361A82">
        <w:rPr>
          <w:rFonts w:eastAsia="Times New Roman" w:cs="Times New Roman"/>
          <w:color w:val="000000"/>
        </w:rPr>
        <w:t xml:space="preserve"> The </w:t>
      </w:r>
      <w:r w:rsidR="00A548A5">
        <w:rPr>
          <w:rFonts w:eastAsia="Times New Roman" w:cs="Times New Roman"/>
          <w:color w:val="000000"/>
        </w:rPr>
        <w:t xml:space="preserve">Board’s </w:t>
      </w:r>
      <w:r w:rsidRPr="00361A82">
        <w:rPr>
          <w:rFonts w:eastAsia="Times New Roman" w:cs="Times New Roman"/>
          <w:color w:val="000000"/>
        </w:rPr>
        <w:t>initial actions to adopt these regulations with “necessary amendments” are exempt from Article 2 (</w:t>
      </w:r>
      <w:r w:rsidRPr="00361A82">
        <w:rPr>
          <w:rFonts w:ascii="Leelawadee UI" w:eastAsia="Times New Roman" w:hAnsi="Leelawadee UI" w:cs="Leelawadee UI"/>
          <w:color w:val="000000"/>
        </w:rPr>
        <w:t>ง</w:t>
      </w:r>
      <w:r w:rsidRPr="00361A82">
        <w:rPr>
          <w:rFonts w:eastAsia="Times New Roman" w:cs="Times New Roman"/>
          <w:color w:val="000000"/>
        </w:rPr>
        <w:t xml:space="preserve"> </w:t>
      </w:r>
      <w:hyperlink r:id="rId19" w:history="1">
        <w:r w:rsidRPr="008F28AE">
          <w:rPr>
            <w:rStyle w:val="Hyperlink"/>
            <w:rFonts w:eastAsia="Times New Roman" w:cs="Times New Roman"/>
          </w:rPr>
          <w:t xml:space="preserve">2.2-4006 </w:t>
        </w:r>
        <w:proofErr w:type="gramStart"/>
        <w:r w:rsidRPr="008F28AE">
          <w:rPr>
            <w:rStyle w:val="Hyperlink"/>
            <w:rFonts w:eastAsia="Times New Roman" w:cs="Times New Roman"/>
          </w:rPr>
          <w:t>et</w:t>
        </w:r>
        <w:proofErr w:type="gramEnd"/>
        <w:r w:rsidRPr="008F28AE">
          <w:rPr>
            <w:rStyle w:val="Hyperlink"/>
            <w:rFonts w:eastAsia="Times New Roman" w:cs="Times New Roman"/>
          </w:rPr>
          <w:t xml:space="preserve"> seq</w:t>
        </w:r>
      </w:hyperlink>
      <w:r w:rsidRPr="00361A82">
        <w:rPr>
          <w:rFonts w:eastAsia="Times New Roman" w:cs="Times New Roman"/>
          <w:color w:val="000000"/>
        </w:rPr>
        <w:t xml:space="preserve">.) of Chapter 40 of Title 2.2 of the Code of Virginia. Necessary amendments </w:t>
      </w:r>
      <w:r w:rsidR="008B3CF4">
        <w:rPr>
          <w:rFonts w:eastAsia="Times New Roman" w:cs="Times New Roman"/>
          <w:color w:val="000000"/>
        </w:rPr>
        <w:t xml:space="preserve">for the purposes of such exempt action </w:t>
      </w:r>
      <w:r w:rsidRPr="00361A82">
        <w:rPr>
          <w:rFonts w:eastAsia="Times New Roman" w:cs="Times New Roman"/>
          <w:color w:val="000000"/>
        </w:rPr>
        <w:t>include</w:t>
      </w:r>
      <w:r>
        <w:rPr>
          <w:rFonts w:eastAsia="Times New Roman" w:cs="Times New Roman"/>
          <w:color w:val="000000"/>
        </w:rPr>
        <w:t>:</w:t>
      </w:r>
      <w:r w:rsidRPr="00361A82">
        <w:rPr>
          <w:rFonts w:eastAsia="Times New Roman" w:cs="Times New Roman"/>
          <w:color w:val="000000"/>
        </w:rPr>
        <w:t> </w:t>
      </w:r>
    </w:p>
    <w:p w14:paraId="3EE4249E" w14:textId="77777777" w:rsidR="00BA66EE" w:rsidRDefault="00BA66EE" w:rsidP="00BA66EE">
      <w:pPr>
        <w:numPr>
          <w:ilvl w:val="0"/>
          <w:numId w:val="8"/>
        </w:numPr>
        <w:spacing w:after="0"/>
        <w:textAlignment w:val="baseline"/>
        <w:rPr>
          <w:rFonts w:eastAsia="Times New Roman" w:cs="Times New Roman"/>
          <w:color w:val="000000"/>
        </w:rPr>
      </w:pPr>
      <w:r w:rsidRPr="00361A82">
        <w:rPr>
          <w:rFonts w:eastAsia="Times New Roman" w:cs="Times New Roman"/>
          <w:color w:val="000000"/>
        </w:rPr>
        <w:t xml:space="preserve">Renumbering; </w:t>
      </w:r>
    </w:p>
    <w:p w14:paraId="515D8B94" w14:textId="0EF5DC66" w:rsidR="00BA66EE" w:rsidRPr="00361A82" w:rsidRDefault="00BA66EE" w:rsidP="00BA66EE">
      <w:pPr>
        <w:numPr>
          <w:ilvl w:val="0"/>
          <w:numId w:val="8"/>
        </w:numPr>
        <w:spacing w:after="0"/>
        <w:textAlignment w:val="baseline"/>
        <w:rPr>
          <w:rFonts w:eastAsia="Times New Roman" w:cs="Times New Roman"/>
          <w:color w:val="000000"/>
        </w:rPr>
      </w:pPr>
      <w:r>
        <w:rPr>
          <w:rFonts w:eastAsia="Times New Roman" w:cs="Times New Roman"/>
          <w:color w:val="000000"/>
        </w:rPr>
        <w:t>C</w:t>
      </w:r>
      <w:r w:rsidRPr="00361A82">
        <w:rPr>
          <w:rFonts w:eastAsia="Times New Roman" w:cs="Times New Roman"/>
          <w:color w:val="000000"/>
        </w:rPr>
        <w:t xml:space="preserve">hanging references </w:t>
      </w:r>
      <w:r w:rsidR="005B712E">
        <w:rPr>
          <w:rFonts w:eastAsia="Times New Roman" w:cs="Times New Roman"/>
          <w:color w:val="000000"/>
        </w:rPr>
        <w:t>from</w:t>
      </w:r>
      <w:r w:rsidRPr="00361A82">
        <w:rPr>
          <w:rFonts w:eastAsia="Times New Roman" w:cs="Times New Roman"/>
          <w:color w:val="000000"/>
        </w:rPr>
        <w:t xml:space="preserve"> the Board of Social Services to the Board of Education;</w:t>
      </w:r>
    </w:p>
    <w:p w14:paraId="017C29A8" w14:textId="77777777" w:rsidR="00B14955" w:rsidRDefault="00BA66EE" w:rsidP="00BA66EE">
      <w:pPr>
        <w:numPr>
          <w:ilvl w:val="0"/>
          <w:numId w:val="8"/>
        </w:numPr>
        <w:spacing w:after="0"/>
        <w:textAlignment w:val="baseline"/>
        <w:rPr>
          <w:rFonts w:eastAsia="Times New Roman" w:cs="Times New Roman"/>
          <w:color w:val="000000"/>
        </w:rPr>
      </w:pPr>
      <w:r w:rsidRPr="00361A82">
        <w:rPr>
          <w:rFonts w:eastAsia="Times New Roman" w:cs="Times New Roman"/>
          <w:color w:val="000000"/>
        </w:rPr>
        <w:lastRenderedPageBreak/>
        <w:t>Changing code references</w:t>
      </w:r>
      <w:r w:rsidR="00FA1B21">
        <w:rPr>
          <w:rFonts w:eastAsia="Times New Roman" w:cs="Times New Roman"/>
          <w:color w:val="000000"/>
        </w:rPr>
        <w:t xml:space="preserve"> and descriptions</w:t>
      </w:r>
      <w:r w:rsidRPr="00361A82">
        <w:rPr>
          <w:rFonts w:eastAsia="Times New Roman" w:cs="Times New Roman"/>
          <w:color w:val="000000"/>
        </w:rPr>
        <w:t xml:space="preserve">; </w:t>
      </w:r>
    </w:p>
    <w:p w14:paraId="0CC07FDD" w14:textId="63B0BCF4" w:rsidR="00BA66EE" w:rsidRPr="00B14955" w:rsidRDefault="00B14955" w:rsidP="00B14955">
      <w:pPr>
        <w:numPr>
          <w:ilvl w:val="0"/>
          <w:numId w:val="8"/>
        </w:numPr>
        <w:spacing w:after="0"/>
        <w:textAlignment w:val="baseline"/>
        <w:rPr>
          <w:rFonts w:eastAsia="Times New Roman" w:cs="Times New Roman"/>
          <w:color w:val="000000"/>
        </w:rPr>
      </w:pPr>
      <w:r>
        <w:rPr>
          <w:rFonts w:eastAsia="Times New Roman" w:cs="Times New Roman"/>
          <w:color w:val="000000"/>
        </w:rPr>
        <w:t>Striking regulations specific to adult care programs and child welfare programs; a</w:t>
      </w:r>
      <w:r w:rsidR="00BA66EE" w:rsidRPr="00B14955">
        <w:rPr>
          <w:rFonts w:eastAsia="Times New Roman" w:cs="Times New Roman"/>
          <w:color w:val="000000"/>
        </w:rPr>
        <w:t>nd </w:t>
      </w:r>
    </w:p>
    <w:p w14:paraId="4FF6059E" w14:textId="22B807C8" w:rsidR="00BA66EE" w:rsidRDefault="00BA66EE" w:rsidP="00BA66EE">
      <w:pPr>
        <w:numPr>
          <w:ilvl w:val="0"/>
          <w:numId w:val="8"/>
        </w:numPr>
        <w:spacing w:after="0"/>
        <w:textAlignment w:val="baseline"/>
        <w:rPr>
          <w:rFonts w:eastAsia="Times New Roman" w:cs="Times New Roman"/>
          <w:color w:val="000000"/>
        </w:rPr>
      </w:pPr>
      <w:r w:rsidRPr="00361A82">
        <w:rPr>
          <w:rFonts w:eastAsia="Times New Roman" w:cs="Times New Roman"/>
          <w:color w:val="000000"/>
        </w:rPr>
        <w:t xml:space="preserve">Striking regulations related to child support enforcement pursuant to </w:t>
      </w:r>
      <w:hyperlink r:id="rId20" w:history="1">
        <w:r w:rsidRPr="008F28AE">
          <w:rPr>
            <w:rStyle w:val="Hyperlink"/>
            <w:rFonts w:eastAsia="Times New Roman" w:cs="Times New Roman"/>
          </w:rPr>
          <w:t>§ 63.2-1911</w:t>
        </w:r>
      </w:hyperlink>
      <w:r w:rsidRPr="00361A82">
        <w:rPr>
          <w:rFonts w:eastAsia="Times New Roman" w:cs="Times New Roman"/>
          <w:color w:val="000000"/>
        </w:rPr>
        <w:t>. </w:t>
      </w:r>
    </w:p>
    <w:p w14:paraId="2C42716A" w14:textId="77777777" w:rsidR="00FA1B21" w:rsidRDefault="00FA1B21" w:rsidP="00FA1B21">
      <w:pPr>
        <w:spacing w:after="0"/>
        <w:textAlignment w:val="baseline"/>
        <w:rPr>
          <w:rFonts w:eastAsia="Times New Roman" w:cs="Times New Roman"/>
          <w:color w:val="000000"/>
        </w:rPr>
      </w:pPr>
    </w:p>
    <w:p w14:paraId="0C05C262" w14:textId="77777777" w:rsidR="00FA1B21" w:rsidRDefault="00FA1B21" w:rsidP="00FA1B21">
      <w:pPr>
        <w:spacing w:after="0"/>
        <w:textAlignment w:val="baseline"/>
        <w:rPr>
          <w:rFonts w:eastAsia="Times New Roman" w:cs="Times New Roman"/>
          <w:color w:val="000000"/>
        </w:rPr>
      </w:pPr>
      <w:r>
        <w:rPr>
          <w:rFonts w:eastAsia="Times New Roman" w:cs="Times New Roman"/>
          <w:color w:val="000000"/>
        </w:rPr>
        <w:t>VDOE will conduct a comprehensive review of these regulations in partnership with the new Early Childhood Advisory Council to identify and recommend substantive policy changes to the Board later this year.</w:t>
      </w:r>
    </w:p>
    <w:p w14:paraId="53FED908" w14:textId="77777777" w:rsidR="00FA1B21" w:rsidRDefault="00FA1B21" w:rsidP="00FA1B21">
      <w:pPr>
        <w:spacing w:after="0"/>
        <w:textAlignment w:val="baseline"/>
        <w:rPr>
          <w:rFonts w:eastAsia="Times New Roman" w:cs="Times New Roman"/>
          <w:color w:val="000000"/>
        </w:rPr>
      </w:pPr>
    </w:p>
    <w:p w14:paraId="72D8E0EB" w14:textId="55A6D6E1" w:rsidR="00FA1B21" w:rsidRPr="00361A82" w:rsidRDefault="00A548A5" w:rsidP="00FA1B21">
      <w:pPr>
        <w:spacing w:after="0"/>
        <w:textAlignment w:val="baseline"/>
        <w:rPr>
          <w:rFonts w:eastAsia="Times New Roman" w:cs="Times New Roman"/>
          <w:color w:val="000000"/>
        </w:rPr>
      </w:pPr>
      <w:r>
        <w:rPr>
          <w:rFonts w:eastAsia="Times New Roman" w:cs="Times New Roman"/>
          <w:color w:val="000000"/>
        </w:rPr>
        <w:t xml:space="preserve">The attachments </w:t>
      </w:r>
      <w:r w:rsidR="00FA1B21">
        <w:rPr>
          <w:rFonts w:eastAsia="Times New Roman" w:cs="Times New Roman"/>
          <w:color w:val="000000"/>
        </w:rPr>
        <w:t xml:space="preserve">includes partially marked-up copies of the following sections of Social Services code, which are set to transfer to the </w:t>
      </w:r>
      <w:r>
        <w:rPr>
          <w:rFonts w:eastAsia="Times New Roman" w:cs="Times New Roman"/>
          <w:color w:val="000000"/>
        </w:rPr>
        <w:t>Board</w:t>
      </w:r>
      <w:r w:rsidR="00FA1B21">
        <w:rPr>
          <w:rFonts w:eastAsia="Times New Roman" w:cs="Times New Roman"/>
          <w:color w:val="000000"/>
        </w:rPr>
        <w:t xml:space="preserve">. Administrative code numbers that will change during the formal transfer process are highlighted in yellow. </w:t>
      </w:r>
    </w:p>
    <w:p w14:paraId="211B30D9" w14:textId="34046383" w:rsidR="008F28AE" w:rsidRDefault="008F28AE" w:rsidP="008F28AE">
      <w:pPr>
        <w:numPr>
          <w:ilvl w:val="0"/>
          <w:numId w:val="9"/>
        </w:numPr>
        <w:spacing w:after="0"/>
        <w:textAlignment w:val="baseline"/>
        <w:rPr>
          <w:rFonts w:eastAsia="Times New Roman" w:cs="Times New Roman"/>
          <w:color w:val="000000"/>
        </w:rPr>
      </w:pPr>
      <w:r w:rsidRPr="00FA1B21">
        <w:rPr>
          <w:rFonts w:eastAsia="Times New Roman" w:cs="Times New Roman"/>
          <w:color w:val="000000"/>
        </w:rPr>
        <w:t>22VAC40-80: General Procedures and Information for Licensure</w:t>
      </w:r>
      <w:r>
        <w:rPr>
          <w:rFonts w:eastAsia="Times New Roman" w:cs="Times New Roman"/>
          <w:color w:val="000000"/>
        </w:rPr>
        <w:t xml:space="preserve"> (Attachment A)</w:t>
      </w:r>
    </w:p>
    <w:p w14:paraId="276A5788" w14:textId="44D10E1E" w:rsidR="008F28AE" w:rsidRDefault="008F28AE" w:rsidP="008F28AE">
      <w:pPr>
        <w:numPr>
          <w:ilvl w:val="0"/>
          <w:numId w:val="9"/>
        </w:numPr>
        <w:spacing w:after="0"/>
        <w:textAlignment w:val="baseline"/>
        <w:rPr>
          <w:rFonts w:eastAsia="Times New Roman" w:cs="Times New Roman"/>
          <w:color w:val="000000"/>
        </w:rPr>
      </w:pPr>
      <w:r w:rsidRPr="00361A82">
        <w:rPr>
          <w:rFonts w:eastAsia="Times New Roman" w:cs="Times New Roman"/>
          <w:color w:val="000000"/>
        </w:rPr>
        <w:t>22VAC60-160: Fee</w:t>
      </w:r>
      <w:r>
        <w:rPr>
          <w:rFonts w:eastAsia="Times New Roman" w:cs="Times New Roman"/>
          <w:color w:val="000000"/>
        </w:rPr>
        <w:t>s (Attachment B)</w:t>
      </w:r>
    </w:p>
    <w:p w14:paraId="23176D8A" w14:textId="7CEC4DEB" w:rsidR="008F28AE" w:rsidRPr="008F28AE" w:rsidRDefault="008F28AE" w:rsidP="008F28AE">
      <w:pPr>
        <w:numPr>
          <w:ilvl w:val="0"/>
          <w:numId w:val="9"/>
        </w:numPr>
        <w:spacing w:after="0"/>
        <w:textAlignment w:val="baseline"/>
        <w:rPr>
          <w:rFonts w:eastAsia="Times New Roman" w:cs="Times New Roman"/>
          <w:color w:val="000000"/>
        </w:rPr>
      </w:pPr>
      <w:r w:rsidRPr="00361A82">
        <w:rPr>
          <w:rFonts w:eastAsia="Times New Roman" w:cs="Times New Roman"/>
          <w:color w:val="000000"/>
        </w:rPr>
        <w:t>22VAC40-191: Background Checks for Child Welfare Agencies</w:t>
      </w:r>
      <w:r>
        <w:rPr>
          <w:rFonts w:eastAsia="Times New Roman" w:cs="Times New Roman"/>
          <w:color w:val="000000"/>
        </w:rPr>
        <w:t xml:space="preserve"> (Attachment C)</w:t>
      </w:r>
    </w:p>
    <w:p w14:paraId="05398F7C" w14:textId="2A396228" w:rsidR="00BA66EE" w:rsidRPr="00361A82" w:rsidRDefault="00BA66EE" w:rsidP="00FA1B21">
      <w:pPr>
        <w:numPr>
          <w:ilvl w:val="0"/>
          <w:numId w:val="9"/>
        </w:numPr>
        <w:spacing w:after="0"/>
        <w:textAlignment w:val="baseline"/>
        <w:rPr>
          <w:rFonts w:eastAsia="Times New Roman" w:cs="Times New Roman"/>
          <w:color w:val="000000"/>
        </w:rPr>
      </w:pPr>
      <w:r w:rsidRPr="00361A82">
        <w:rPr>
          <w:rFonts w:eastAsia="Times New Roman" w:cs="Times New Roman"/>
          <w:color w:val="000000"/>
        </w:rPr>
        <w:t>22VAC40-185: Standards for Licensed Child Day Centers</w:t>
      </w:r>
      <w:r w:rsidR="00B14955">
        <w:rPr>
          <w:rFonts w:eastAsia="Times New Roman" w:cs="Times New Roman"/>
          <w:color w:val="000000"/>
        </w:rPr>
        <w:t xml:space="preserve"> (Attachment D)</w:t>
      </w:r>
    </w:p>
    <w:p w14:paraId="0C42421F" w14:textId="5990B818" w:rsidR="00BA66EE" w:rsidRPr="00361A82" w:rsidRDefault="00BA66EE" w:rsidP="00FA1B21">
      <w:pPr>
        <w:numPr>
          <w:ilvl w:val="0"/>
          <w:numId w:val="9"/>
        </w:numPr>
        <w:spacing w:after="0"/>
        <w:textAlignment w:val="baseline"/>
        <w:rPr>
          <w:rFonts w:eastAsia="Times New Roman" w:cs="Times New Roman"/>
          <w:color w:val="000000"/>
        </w:rPr>
      </w:pPr>
      <w:r w:rsidRPr="00361A82">
        <w:rPr>
          <w:rFonts w:eastAsia="Times New Roman" w:cs="Times New Roman"/>
          <w:color w:val="000000"/>
        </w:rPr>
        <w:t>22VAC40-111: Standards for Licensed Family Day Homes</w:t>
      </w:r>
      <w:r w:rsidR="00A548A5">
        <w:rPr>
          <w:rFonts w:eastAsia="Times New Roman" w:cs="Times New Roman"/>
          <w:color w:val="000000"/>
        </w:rPr>
        <w:t xml:space="preserve"> (Attachment </w:t>
      </w:r>
      <w:r w:rsidR="00B14955">
        <w:rPr>
          <w:rFonts w:eastAsia="Times New Roman" w:cs="Times New Roman"/>
          <w:color w:val="000000"/>
        </w:rPr>
        <w:t>E</w:t>
      </w:r>
      <w:r w:rsidR="00A548A5">
        <w:rPr>
          <w:rFonts w:eastAsia="Times New Roman" w:cs="Times New Roman"/>
          <w:color w:val="000000"/>
        </w:rPr>
        <w:t xml:space="preserve">) </w:t>
      </w:r>
    </w:p>
    <w:p w14:paraId="64EF49F8" w14:textId="59330776" w:rsidR="00BA66EE" w:rsidRPr="00361A82" w:rsidRDefault="00BA66EE" w:rsidP="00FA1B21">
      <w:pPr>
        <w:numPr>
          <w:ilvl w:val="0"/>
          <w:numId w:val="9"/>
        </w:numPr>
        <w:spacing w:after="0"/>
        <w:textAlignment w:val="baseline"/>
        <w:rPr>
          <w:rFonts w:eastAsia="Times New Roman" w:cs="Times New Roman"/>
          <w:color w:val="000000"/>
        </w:rPr>
      </w:pPr>
      <w:r w:rsidRPr="00361A82">
        <w:rPr>
          <w:rFonts w:eastAsia="Times New Roman" w:cs="Times New Roman"/>
          <w:color w:val="000000"/>
        </w:rPr>
        <w:t>22VAC40-180: Voluntary Registration of Family Day Homes</w:t>
      </w:r>
      <w:r w:rsidR="00FA1B21">
        <w:rPr>
          <w:rFonts w:eastAsia="Times New Roman" w:cs="Times New Roman"/>
          <w:color w:val="000000"/>
        </w:rPr>
        <w:t>—</w:t>
      </w:r>
      <w:r w:rsidRPr="00361A82">
        <w:rPr>
          <w:rFonts w:eastAsia="Times New Roman" w:cs="Times New Roman"/>
          <w:color w:val="000000"/>
        </w:rPr>
        <w:t>Requirements for Providers</w:t>
      </w:r>
      <w:r w:rsidR="00B14955">
        <w:rPr>
          <w:rFonts w:eastAsia="Times New Roman" w:cs="Times New Roman"/>
          <w:color w:val="000000"/>
        </w:rPr>
        <w:t xml:space="preserve"> (Attachment F)</w:t>
      </w:r>
    </w:p>
    <w:p w14:paraId="4AF59D76" w14:textId="58D7D41F" w:rsidR="00BA66EE" w:rsidRPr="00361A82" w:rsidRDefault="00BA66EE" w:rsidP="00FA1B21">
      <w:pPr>
        <w:numPr>
          <w:ilvl w:val="0"/>
          <w:numId w:val="9"/>
        </w:numPr>
        <w:spacing w:after="0"/>
        <w:textAlignment w:val="baseline"/>
        <w:rPr>
          <w:rFonts w:eastAsia="Times New Roman" w:cs="Times New Roman"/>
          <w:color w:val="000000"/>
        </w:rPr>
      </w:pPr>
      <w:r w:rsidRPr="00361A82">
        <w:rPr>
          <w:rFonts w:eastAsia="Times New Roman" w:cs="Times New Roman"/>
          <w:color w:val="000000"/>
        </w:rPr>
        <w:t>22VAC40-120: Minimum Standards for Family Day Systems</w:t>
      </w:r>
      <w:r w:rsidR="00B14955">
        <w:rPr>
          <w:rFonts w:eastAsia="Times New Roman" w:cs="Times New Roman"/>
          <w:color w:val="000000"/>
        </w:rPr>
        <w:t xml:space="preserve"> (Attachment G)</w:t>
      </w:r>
    </w:p>
    <w:p w14:paraId="4BA6A70F" w14:textId="527E90B0" w:rsidR="00BA66EE" w:rsidRPr="00361A82" w:rsidRDefault="00BA66EE" w:rsidP="00FA1B21">
      <w:pPr>
        <w:numPr>
          <w:ilvl w:val="0"/>
          <w:numId w:val="9"/>
        </w:numPr>
        <w:spacing w:after="0"/>
        <w:textAlignment w:val="baseline"/>
        <w:rPr>
          <w:rFonts w:eastAsia="Times New Roman" w:cs="Times New Roman"/>
          <w:color w:val="000000"/>
        </w:rPr>
      </w:pPr>
      <w:r w:rsidRPr="00361A82">
        <w:rPr>
          <w:rFonts w:eastAsia="Times New Roman" w:cs="Times New Roman"/>
          <w:color w:val="000000"/>
        </w:rPr>
        <w:t>22VAC40-665: Child Care Program</w:t>
      </w:r>
      <w:r w:rsidR="00B14955">
        <w:rPr>
          <w:rFonts w:eastAsia="Times New Roman" w:cs="Times New Roman"/>
          <w:color w:val="000000"/>
        </w:rPr>
        <w:t xml:space="preserve"> (Attachment H)</w:t>
      </w:r>
    </w:p>
    <w:p w14:paraId="5363D991" w14:textId="42EA11C0" w:rsidR="00FA1B21" w:rsidRDefault="00BA66EE" w:rsidP="00FA1B21">
      <w:pPr>
        <w:numPr>
          <w:ilvl w:val="0"/>
          <w:numId w:val="9"/>
        </w:numPr>
        <w:spacing w:after="0"/>
        <w:textAlignment w:val="baseline"/>
        <w:rPr>
          <w:rFonts w:eastAsia="Times New Roman" w:cs="Times New Roman"/>
          <w:color w:val="000000"/>
        </w:rPr>
      </w:pPr>
      <w:r w:rsidRPr="00361A82">
        <w:rPr>
          <w:rFonts w:eastAsia="Times New Roman" w:cs="Times New Roman"/>
          <w:color w:val="000000"/>
        </w:rPr>
        <w:t>22VAC40-690: Virginia Child Care Provider Scholarship Program</w:t>
      </w:r>
      <w:r w:rsidR="00B14955">
        <w:rPr>
          <w:rFonts w:eastAsia="Times New Roman" w:cs="Times New Roman"/>
          <w:color w:val="000000"/>
        </w:rPr>
        <w:t xml:space="preserve"> (Attachment I)</w:t>
      </w:r>
    </w:p>
    <w:p w14:paraId="75A1CC72" w14:textId="77777777" w:rsidR="00B14955" w:rsidRDefault="00B14955" w:rsidP="007503E8">
      <w:pPr>
        <w:spacing w:after="0"/>
        <w:rPr>
          <w:rStyle w:val="Heading2Char"/>
        </w:rPr>
      </w:pPr>
    </w:p>
    <w:p w14:paraId="517041E8" w14:textId="382B712E" w:rsidR="00FA1B21" w:rsidRDefault="00123E2E" w:rsidP="007503E8">
      <w:pPr>
        <w:spacing w:after="0"/>
        <w:rPr>
          <w:rStyle w:val="Heading2Char"/>
        </w:rPr>
      </w:pPr>
      <w:r w:rsidRPr="007503E8">
        <w:rPr>
          <w:rStyle w:val="Heading2Char"/>
        </w:rPr>
        <w:t>Timetable for Further Review/Action:</w:t>
      </w:r>
    </w:p>
    <w:p w14:paraId="3BD65E09" w14:textId="77777777" w:rsidR="00B751A0" w:rsidRPr="007503E8" w:rsidRDefault="00B751A0" w:rsidP="00B751A0">
      <w:pPr>
        <w:spacing w:after="0"/>
      </w:pPr>
      <w:r>
        <w:rPr>
          <w:rStyle w:val="Heading2Char"/>
          <w:b w:val="0"/>
        </w:rPr>
        <w:t xml:space="preserve">Upon Board approval, VDOE staff will submit this Exempt Action pursuant to the requirements of the Administrative Process Act.  </w:t>
      </w:r>
      <w:r>
        <w:br/>
      </w:r>
    </w:p>
    <w:p w14:paraId="5D847F56" w14:textId="77777777" w:rsidR="009B109E" w:rsidRDefault="000E009D" w:rsidP="007503E8">
      <w:pPr>
        <w:pStyle w:val="Heading2"/>
        <w:spacing w:before="0" w:after="0"/>
      </w:pPr>
      <w:r w:rsidRPr="007503E8">
        <w:t xml:space="preserve">Impact on Fiscal and Human Resources: </w:t>
      </w:r>
    </w:p>
    <w:p w14:paraId="3F15F3A3" w14:textId="08FBEA9F" w:rsidR="0020239B" w:rsidRDefault="00E47742" w:rsidP="007503E8">
      <w:r>
        <w:t xml:space="preserve">There is no fiscal impact of this action. Existing </w:t>
      </w:r>
      <w:r w:rsidR="00E9230D">
        <w:t xml:space="preserve">VDOE staff will facilitate the transfer process of the child care regulations. </w:t>
      </w:r>
      <w:r>
        <w:t xml:space="preserve"> </w:t>
      </w:r>
    </w:p>
    <w:p w14:paraId="5DADBDB7" w14:textId="77777777" w:rsidR="00E9763E" w:rsidRDefault="00E9763E" w:rsidP="007503E8">
      <w:pPr>
        <w:sectPr w:rsidR="00E9763E" w:rsidSect="000E009D">
          <w:footerReference w:type="default" r:id="rId21"/>
          <w:pgSz w:w="12240" w:h="15840"/>
          <w:pgMar w:top="1440" w:right="1440" w:bottom="1440" w:left="1440" w:header="720" w:footer="720" w:gutter="0"/>
          <w:pgNumType w:fmt="upperLetter"/>
          <w:cols w:space="720"/>
          <w:docGrid w:linePitch="360"/>
        </w:sectPr>
      </w:pPr>
    </w:p>
    <w:p w14:paraId="046D7D39" w14:textId="77777777" w:rsidR="00E9763E" w:rsidRPr="007D038D" w:rsidRDefault="00E9763E" w:rsidP="00E9763E">
      <w:pPr>
        <w:pStyle w:val="Title"/>
        <w:spacing w:after="0"/>
        <w:rPr>
          <w:rFonts w:ascii="Comic Sans MS" w:hAnsi="Comic Sans MS"/>
          <w:sz w:val="32"/>
        </w:rPr>
      </w:pPr>
      <w:r w:rsidRPr="007D038D">
        <w:rPr>
          <w:rFonts w:ascii="Verdana" w:hAnsi="Verdana"/>
          <w:b/>
          <w:bCs/>
          <w:noProof/>
        </w:rPr>
        <w:lastRenderedPageBreak/>
        <w:drawing>
          <wp:inline distT="0" distB="0" distL="0" distR="0" wp14:anchorId="2123B91A" wp14:editId="7280E811">
            <wp:extent cx="5943600" cy="1417320"/>
            <wp:effectExtent l="19050" t="0" r="0" b="0"/>
            <wp:docPr id="2" name="Picture 2"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22"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14:paraId="7769A7B4" w14:textId="233BFFCA" w:rsidR="00E9763E" w:rsidRPr="007D038D" w:rsidRDefault="00E9763E" w:rsidP="00E9763E">
      <w:pPr>
        <w:pStyle w:val="Title"/>
        <w:spacing w:after="0"/>
        <w:rPr>
          <w:rFonts w:ascii="Verdana" w:hAnsi="Verdana" w:cs="Arial"/>
          <w:sz w:val="20"/>
        </w:rPr>
      </w:pPr>
      <w:r w:rsidRPr="007D038D">
        <w:rPr>
          <w:rFonts w:ascii="Verdana" w:hAnsi="Verdana" w:cs="Arial"/>
          <w:sz w:val="22"/>
        </w:rPr>
        <w:t>townhall.virginia.gov</w:t>
      </w:r>
    </w:p>
    <w:p w14:paraId="43346916" w14:textId="77777777" w:rsidR="00E9763E" w:rsidRPr="007D038D" w:rsidRDefault="00E9763E" w:rsidP="00E9763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4CB048CF" w14:textId="77777777" w:rsidR="00E9763E" w:rsidRPr="007D038D" w:rsidRDefault="00E9763E" w:rsidP="00E9763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8"/>
          <w:szCs w:val="28"/>
        </w:rPr>
      </w:pPr>
      <w:r w:rsidRPr="007D038D">
        <w:rPr>
          <w:rFonts w:ascii="Verdana" w:hAnsi="Verdana"/>
          <w:color w:val="auto"/>
          <w:sz w:val="28"/>
          <w:szCs w:val="28"/>
        </w:rPr>
        <w:t>Exempt Action</w:t>
      </w:r>
      <w:r>
        <w:rPr>
          <w:rFonts w:ascii="Verdana" w:hAnsi="Verdana"/>
          <w:color w:val="auto"/>
          <w:sz w:val="28"/>
          <w:szCs w:val="28"/>
        </w:rPr>
        <w:t xml:space="preserve">: </w:t>
      </w:r>
      <w:r w:rsidRPr="007D038D">
        <w:rPr>
          <w:rFonts w:ascii="Verdana" w:hAnsi="Verdana"/>
          <w:color w:val="auto"/>
          <w:sz w:val="28"/>
          <w:szCs w:val="28"/>
        </w:rPr>
        <w:t>Final Regulation</w:t>
      </w:r>
    </w:p>
    <w:p w14:paraId="21E6028B" w14:textId="77777777" w:rsidR="00E9763E" w:rsidRPr="007D038D" w:rsidRDefault="00E9763E" w:rsidP="00E9763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8"/>
          <w:szCs w:val="28"/>
        </w:rPr>
      </w:pPr>
      <w:r w:rsidRPr="007D038D">
        <w:rPr>
          <w:rFonts w:ascii="Verdana" w:hAnsi="Verdana"/>
          <w:color w:val="auto"/>
          <w:sz w:val="28"/>
          <w:szCs w:val="28"/>
        </w:rPr>
        <w:t>Agency Background Document</w:t>
      </w:r>
    </w:p>
    <w:p w14:paraId="0FFC6411" w14:textId="77777777" w:rsidR="00E9763E" w:rsidRPr="007D038D" w:rsidRDefault="00E9763E" w:rsidP="00E9763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6097A449" w14:textId="77777777" w:rsidR="00E9763E" w:rsidRPr="007D038D" w:rsidRDefault="00E9763E" w:rsidP="00E9763E">
      <w:pPr>
        <w:spacing w:after="0"/>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300"/>
      </w:tblGrid>
      <w:tr w:rsidR="00E9763E" w:rsidRPr="007D038D" w14:paraId="075022E1" w14:textId="77777777" w:rsidTr="00CA0FF2">
        <w:trPr>
          <w:trHeight w:val="90"/>
        </w:trPr>
        <w:tc>
          <w:tcPr>
            <w:tcW w:w="3060" w:type="dxa"/>
          </w:tcPr>
          <w:p w14:paraId="348662A1" w14:textId="77777777" w:rsidR="00E9763E" w:rsidRPr="00E9763E" w:rsidRDefault="00E9763E" w:rsidP="00E9763E">
            <w:pPr>
              <w:spacing w:before="40" w:after="0"/>
              <w:jc w:val="right"/>
              <w:rPr>
                <w:rFonts w:ascii="Arial" w:hAnsi="Arial"/>
                <w:b/>
                <w:sz w:val="20"/>
                <w:szCs w:val="20"/>
              </w:rPr>
            </w:pPr>
            <w:r w:rsidRPr="00E9763E">
              <w:rPr>
                <w:rFonts w:ascii="Arial" w:hAnsi="Arial"/>
                <w:b/>
                <w:sz w:val="20"/>
                <w:szCs w:val="20"/>
              </w:rPr>
              <w:t>Agency name</w:t>
            </w:r>
          </w:p>
        </w:tc>
        <w:tc>
          <w:tcPr>
            <w:tcW w:w="6300" w:type="dxa"/>
          </w:tcPr>
          <w:p w14:paraId="228299B9" w14:textId="77777777" w:rsidR="00E9763E" w:rsidRPr="00E9763E" w:rsidRDefault="00E9763E" w:rsidP="00E9763E">
            <w:pPr>
              <w:pStyle w:val="bodytext6"/>
              <w:spacing w:before="40"/>
              <w:rPr>
                <w:rFonts w:cs="Arial"/>
                <w:sz w:val="20"/>
              </w:rPr>
            </w:pPr>
            <w:r w:rsidRPr="00E9763E">
              <w:rPr>
                <w:rFonts w:cs="Arial"/>
                <w:sz w:val="20"/>
              </w:rPr>
              <w:t xml:space="preserve">Virginia Board of Education </w:t>
            </w:r>
          </w:p>
        </w:tc>
      </w:tr>
      <w:tr w:rsidR="00E9763E" w:rsidRPr="007D038D" w14:paraId="172B7611" w14:textId="77777777" w:rsidTr="00CA0FF2">
        <w:tc>
          <w:tcPr>
            <w:tcW w:w="3060" w:type="dxa"/>
          </w:tcPr>
          <w:p w14:paraId="2856CEF5" w14:textId="77777777" w:rsidR="00E9763E" w:rsidRPr="00E9763E" w:rsidRDefault="00E9763E" w:rsidP="00E9763E">
            <w:pPr>
              <w:spacing w:before="40" w:after="0"/>
              <w:jc w:val="right"/>
              <w:rPr>
                <w:rFonts w:ascii="Arial" w:hAnsi="Arial"/>
                <w:b/>
                <w:sz w:val="20"/>
                <w:szCs w:val="20"/>
              </w:rPr>
            </w:pPr>
            <w:r w:rsidRPr="00E9763E">
              <w:rPr>
                <w:rFonts w:ascii="Arial" w:hAnsi="Arial"/>
                <w:b/>
                <w:sz w:val="20"/>
                <w:szCs w:val="20"/>
              </w:rPr>
              <w:t xml:space="preserve">Virginia Administrative Code (VAC) Chapter citation(s) </w:t>
            </w:r>
          </w:p>
        </w:tc>
        <w:tc>
          <w:tcPr>
            <w:tcW w:w="6300" w:type="dxa"/>
          </w:tcPr>
          <w:p w14:paraId="254E4FD8" w14:textId="77777777" w:rsidR="00E9763E" w:rsidRPr="00E9763E" w:rsidRDefault="00E9763E" w:rsidP="00E9763E">
            <w:pPr>
              <w:spacing w:before="40" w:after="0"/>
              <w:rPr>
                <w:rFonts w:ascii="Arial" w:hAnsi="Arial" w:cs="Arial"/>
                <w:color w:val="000000"/>
                <w:sz w:val="20"/>
                <w:szCs w:val="20"/>
              </w:rPr>
            </w:pPr>
            <w:r w:rsidRPr="00E9763E">
              <w:rPr>
                <w:rFonts w:ascii="Arial" w:hAnsi="Arial" w:cs="Arial"/>
                <w:color w:val="000000"/>
                <w:sz w:val="20"/>
                <w:szCs w:val="20"/>
              </w:rPr>
              <w:t>22VAC40-80</w:t>
            </w:r>
          </w:p>
          <w:p w14:paraId="4859C5D8" w14:textId="77777777" w:rsidR="00E9763E" w:rsidRPr="00E9763E" w:rsidRDefault="00E9763E" w:rsidP="00E9763E">
            <w:pPr>
              <w:spacing w:before="40" w:after="0"/>
              <w:rPr>
                <w:rFonts w:ascii="Arial" w:hAnsi="Arial" w:cs="Arial"/>
                <w:color w:val="000000"/>
                <w:sz w:val="20"/>
                <w:szCs w:val="20"/>
              </w:rPr>
            </w:pPr>
            <w:r w:rsidRPr="00E9763E">
              <w:rPr>
                <w:rFonts w:ascii="Arial" w:hAnsi="Arial" w:cs="Arial"/>
                <w:color w:val="000000"/>
                <w:sz w:val="20"/>
                <w:szCs w:val="20"/>
              </w:rPr>
              <w:t>22VAC60-160</w:t>
            </w:r>
          </w:p>
          <w:p w14:paraId="3707C809" w14:textId="77777777" w:rsidR="00E9763E" w:rsidRPr="00E9763E" w:rsidRDefault="00E9763E" w:rsidP="00E9763E">
            <w:pPr>
              <w:spacing w:before="40" w:after="0"/>
              <w:rPr>
                <w:rFonts w:ascii="Arial" w:hAnsi="Arial" w:cs="Arial"/>
                <w:color w:val="000000"/>
                <w:sz w:val="20"/>
                <w:szCs w:val="20"/>
              </w:rPr>
            </w:pPr>
            <w:r w:rsidRPr="00E9763E">
              <w:rPr>
                <w:rFonts w:ascii="Arial" w:hAnsi="Arial" w:cs="Arial"/>
                <w:color w:val="000000"/>
                <w:sz w:val="20"/>
                <w:szCs w:val="20"/>
              </w:rPr>
              <w:t>22VAC40-191</w:t>
            </w:r>
          </w:p>
          <w:p w14:paraId="4091CF92" w14:textId="77777777" w:rsidR="00E9763E" w:rsidRPr="00E9763E" w:rsidRDefault="00E9763E" w:rsidP="00E9763E">
            <w:pPr>
              <w:spacing w:before="40" w:after="0"/>
              <w:rPr>
                <w:rFonts w:ascii="Arial" w:hAnsi="Arial" w:cs="Arial"/>
                <w:color w:val="000000"/>
                <w:sz w:val="20"/>
                <w:szCs w:val="20"/>
              </w:rPr>
            </w:pPr>
            <w:r w:rsidRPr="00E9763E">
              <w:rPr>
                <w:rFonts w:ascii="Arial" w:hAnsi="Arial" w:cs="Arial"/>
                <w:color w:val="000000"/>
                <w:sz w:val="20"/>
                <w:szCs w:val="20"/>
              </w:rPr>
              <w:t>22VAC40-185</w:t>
            </w:r>
          </w:p>
          <w:p w14:paraId="34D4E6C3" w14:textId="77777777" w:rsidR="00E9763E" w:rsidRPr="00E9763E" w:rsidRDefault="00E9763E" w:rsidP="00E9763E">
            <w:pPr>
              <w:spacing w:before="40" w:after="0"/>
              <w:rPr>
                <w:rFonts w:ascii="Arial" w:hAnsi="Arial" w:cs="Arial"/>
                <w:color w:val="000000"/>
                <w:sz w:val="20"/>
                <w:szCs w:val="20"/>
              </w:rPr>
            </w:pPr>
            <w:r w:rsidRPr="00E9763E">
              <w:rPr>
                <w:rFonts w:ascii="Arial" w:hAnsi="Arial" w:cs="Arial"/>
                <w:color w:val="000000"/>
                <w:sz w:val="20"/>
                <w:szCs w:val="20"/>
              </w:rPr>
              <w:t>22VAC40-111</w:t>
            </w:r>
          </w:p>
          <w:p w14:paraId="66A58EB2" w14:textId="77777777" w:rsidR="00E9763E" w:rsidRPr="00E9763E" w:rsidRDefault="00E9763E" w:rsidP="00E9763E">
            <w:pPr>
              <w:spacing w:before="40" w:after="0"/>
              <w:rPr>
                <w:rFonts w:ascii="Arial" w:hAnsi="Arial" w:cs="Arial"/>
                <w:color w:val="000000"/>
                <w:sz w:val="20"/>
                <w:szCs w:val="20"/>
              </w:rPr>
            </w:pPr>
            <w:r w:rsidRPr="00E9763E">
              <w:rPr>
                <w:rFonts w:ascii="Arial" w:hAnsi="Arial" w:cs="Arial"/>
                <w:color w:val="000000"/>
                <w:sz w:val="20"/>
                <w:szCs w:val="20"/>
              </w:rPr>
              <w:t>22VAC40-180</w:t>
            </w:r>
          </w:p>
          <w:p w14:paraId="786023EB" w14:textId="77777777" w:rsidR="00E9763E" w:rsidRPr="00E9763E" w:rsidRDefault="00E9763E" w:rsidP="00E9763E">
            <w:pPr>
              <w:spacing w:before="40" w:after="0"/>
              <w:rPr>
                <w:rFonts w:ascii="Arial" w:hAnsi="Arial" w:cs="Arial"/>
                <w:color w:val="000000"/>
                <w:sz w:val="20"/>
                <w:szCs w:val="20"/>
              </w:rPr>
            </w:pPr>
            <w:r w:rsidRPr="00E9763E">
              <w:rPr>
                <w:rFonts w:ascii="Arial" w:hAnsi="Arial" w:cs="Arial"/>
                <w:color w:val="000000"/>
                <w:sz w:val="20"/>
                <w:szCs w:val="20"/>
              </w:rPr>
              <w:t>22VAC40-120</w:t>
            </w:r>
          </w:p>
          <w:p w14:paraId="1B4EE5BC" w14:textId="77777777" w:rsidR="00E9763E" w:rsidRPr="00E9763E" w:rsidRDefault="00E9763E" w:rsidP="00E9763E">
            <w:pPr>
              <w:spacing w:before="40" w:after="0"/>
              <w:rPr>
                <w:rFonts w:ascii="Arial" w:hAnsi="Arial" w:cs="Arial"/>
                <w:color w:val="000000"/>
                <w:sz w:val="20"/>
                <w:szCs w:val="20"/>
              </w:rPr>
            </w:pPr>
            <w:r w:rsidRPr="00E9763E">
              <w:rPr>
                <w:rFonts w:ascii="Arial" w:hAnsi="Arial" w:cs="Arial"/>
                <w:color w:val="000000"/>
                <w:sz w:val="20"/>
                <w:szCs w:val="20"/>
              </w:rPr>
              <w:t>22VAC40-665</w:t>
            </w:r>
          </w:p>
          <w:p w14:paraId="3CD01E69" w14:textId="77777777" w:rsidR="00E9763E" w:rsidRPr="00E9763E" w:rsidRDefault="00E9763E" w:rsidP="00E9763E">
            <w:pPr>
              <w:spacing w:before="40" w:after="0"/>
              <w:rPr>
                <w:rFonts w:ascii="Arial" w:hAnsi="Arial" w:cs="Arial"/>
                <w:sz w:val="20"/>
                <w:szCs w:val="20"/>
              </w:rPr>
            </w:pPr>
            <w:r w:rsidRPr="00E9763E">
              <w:rPr>
                <w:rFonts w:ascii="Arial" w:hAnsi="Arial" w:cs="Arial"/>
                <w:color w:val="000000"/>
                <w:sz w:val="20"/>
                <w:szCs w:val="20"/>
              </w:rPr>
              <w:t>22VAC40-690</w:t>
            </w:r>
          </w:p>
        </w:tc>
      </w:tr>
      <w:tr w:rsidR="00E9763E" w:rsidRPr="007D038D" w14:paraId="00C9A64F" w14:textId="77777777" w:rsidTr="00CA0FF2">
        <w:tc>
          <w:tcPr>
            <w:tcW w:w="3060" w:type="dxa"/>
          </w:tcPr>
          <w:p w14:paraId="795D2E6F" w14:textId="77777777" w:rsidR="00E9763E" w:rsidRPr="00E9763E" w:rsidRDefault="00E9763E" w:rsidP="00E9763E">
            <w:pPr>
              <w:spacing w:before="40" w:after="0"/>
              <w:jc w:val="right"/>
              <w:rPr>
                <w:rFonts w:ascii="Arial" w:hAnsi="Arial"/>
                <w:b/>
                <w:sz w:val="20"/>
                <w:szCs w:val="20"/>
              </w:rPr>
            </w:pPr>
            <w:r w:rsidRPr="00E9763E">
              <w:rPr>
                <w:rFonts w:ascii="Arial" w:hAnsi="Arial"/>
                <w:b/>
                <w:sz w:val="20"/>
                <w:szCs w:val="20"/>
              </w:rPr>
              <w:t>VAC Chapter title(s)</w:t>
            </w:r>
          </w:p>
        </w:tc>
        <w:tc>
          <w:tcPr>
            <w:tcW w:w="6300" w:type="dxa"/>
          </w:tcPr>
          <w:p w14:paraId="06CB4460"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General Procedures and Information for Licensure</w:t>
            </w:r>
          </w:p>
          <w:p w14:paraId="3F0AC7A7"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Fees</w:t>
            </w:r>
          </w:p>
          <w:p w14:paraId="1B9A3507"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Background Checks for Child Welfare Agencies</w:t>
            </w:r>
          </w:p>
          <w:p w14:paraId="05F0FB7A"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Standards for Licensed Child Day Centers</w:t>
            </w:r>
          </w:p>
          <w:p w14:paraId="08EC3810"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Standards for Licensed Family Day Homes</w:t>
            </w:r>
          </w:p>
          <w:p w14:paraId="692F6EE3"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Voluntary Registration of Family Day Homes—Requirements for Providers</w:t>
            </w:r>
          </w:p>
          <w:p w14:paraId="5BBDF9B1"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Minimum Standards for Family Day Systems</w:t>
            </w:r>
          </w:p>
          <w:p w14:paraId="2220E57A"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Child Care Program</w:t>
            </w:r>
          </w:p>
          <w:p w14:paraId="63103B8E"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Virginia Child Care Provider Scholarship Program</w:t>
            </w:r>
          </w:p>
        </w:tc>
      </w:tr>
      <w:tr w:rsidR="00E9763E" w:rsidRPr="007D038D" w14:paraId="3BD4BC67" w14:textId="77777777" w:rsidTr="00CA0FF2">
        <w:tc>
          <w:tcPr>
            <w:tcW w:w="3060" w:type="dxa"/>
          </w:tcPr>
          <w:p w14:paraId="52FDD181" w14:textId="77777777" w:rsidR="00E9763E" w:rsidRPr="00E9763E" w:rsidRDefault="00E9763E" w:rsidP="00E9763E">
            <w:pPr>
              <w:spacing w:before="40" w:after="0"/>
              <w:jc w:val="right"/>
              <w:rPr>
                <w:rFonts w:ascii="Arial" w:hAnsi="Arial"/>
                <w:b/>
                <w:sz w:val="20"/>
                <w:szCs w:val="20"/>
              </w:rPr>
            </w:pPr>
            <w:r w:rsidRPr="00E9763E">
              <w:rPr>
                <w:rFonts w:ascii="Arial" w:hAnsi="Arial"/>
                <w:b/>
                <w:sz w:val="20"/>
                <w:szCs w:val="20"/>
              </w:rPr>
              <w:t>Action title</w:t>
            </w:r>
          </w:p>
        </w:tc>
        <w:tc>
          <w:tcPr>
            <w:tcW w:w="6300" w:type="dxa"/>
          </w:tcPr>
          <w:p w14:paraId="6E5B3387"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 xml:space="preserve">Final Review of Child Care Regulations Transferring from the Board of Social Services to the Board of Education </w:t>
            </w:r>
            <w:r w:rsidRPr="00E9763E">
              <w:rPr>
                <w:rFonts w:ascii="Arial" w:hAnsi="Arial" w:cs="Arial"/>
                <w:i/>
                <w:sz w:val="20"/>
                <w:szCs w:val="20"/>
              </w:rPr>
              <w:t>(Exempt Action)</w:t>
            </w:r>
          </w:p>
        </w:tc>
      </w:tr>
      <w:tr w:rsidR="00E9763E" w:rsidRPr="007D038D" w14:paraId="340938E8" w14:textId="77777777" w:rsidTr="00CA0FF2">
        <w:tc>
          <w:tcPr>
            <w:tcW w:w="3060" w:type="dxa"/>
          </w:tcPr>
          <w:p w14:paraId="6B4C86B8" w14:textId="77777777" w:rsidR="00E9763E" w:rsidRPr="00E9763E" w:rsidRDefault="00E9763E" w:rsidP="00E9763E">
            <w:pPr>
              <w:spacing w:before="40" w:after="0"/>
              <w:jc w:val="right"/>
              <w:rPr>
                <w:rFonts w:ascii="Arial" w:hAnsi="Arial"/>
                <w:b/>
                <w:sz w:val="20"/>
                <w:szCs w:val="20"/>
              </w:rPr>
            </w:pPr>
            <w:r w:rsidRPr="00E9763E">
              <w:rPr>
                <w:rFonts w:ascii="Arial" w:hAnsi="Arial"/>
                <w:b/>
                <w:sz w:val="20"/>
                <w:szCs w:val="20"/>
              </w:rPr>
              <w:t>Final agency action date</w:t>
            </w:r>
          </w:p>
        </w:tc>
        <w:tc>
          <w:tcPr>
            <w:tcW w:w="6300" w:type="dxa"/>
          </w:tcPr>
          <w:p w14:paraId="71D92FBC"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 xml:space="preserve">April 22, 2021 </w:t>
            </w:r>
          </w:p>
        </w:tc>
      </w:tr>
      <w:tr w:rsidR="00E9763E" w:rsidRPr="007D038D" w14:paraId="36825126" w14:textId="77777777" w:rsidTr="00CA0FF2">
        <w:tc>
          <w:tcPr>
            <w:tcW w:w="3060" w:type="dxa"/>
          </w:tcPr>
          <w:p w14:paraId="60D8EEA0" w14:textId="77777777" w:rsidR="00E9763E" w:rsidRPr="00E9763E" w:rsidRDefault="00E9763E" w:rsidP="00E9763E">
            <w:pPr>
              <w:spacing w:before="40" w:after="0"/>
              <w:jc w:val="right"/>
              <w:rPr>
                <w:rFonts w:ascii="Arial" w:hAnsi="Arial"/>
                <w:b/>
                <w:sz w:val="20"/>
                <w:szCs w:val="20"/>
              </w:rPr>
            </w:pPr>
            <w:r w:rsidRPr="00E9763E">
              <w:rPr>
                <w:rFonts w:ascii="Arial" w:hAnsi="Arial"/>
                <w:b/>
                <w:sz w:val="20"/>
                <w:szCs w:val="20"/>
              </w:rPr>
              <w:t>Date this document prepared</w:t>
            </w:r>
          </w:p>
        </w:tc>
        <w:tc>
          <w:tcPr>
            <w:tcW w:w="6300" w:type="dxa"/>
          </w:tcPr>
          <w:p w14:paraId="7D4761DD" w14:textId="77777777" w:rsidR="00E9763E" w:rsidRPr="00E9763E" w:rsidRDefault="00E9763E" w:rsidP="00E9763E">
            <w:pPr>
              <w:spacing w:before="40" w:after="0"/>
              <w:rPr>
                <w:rFonts w:ascii="Arial" w:hAnsi="Arial" w:cs="Arial"/>
                <w:sz w:val="20"/>
                <w:szCs w:val="20"/>
              </w:rPr>
            </w:pPr>
            <w:r w:rsidRPr="00E9763E">
              <w:rPr>
                <w:rFonts w:ascii="Arial" w:hAnsi="Arial" w:cs="Arial"/>
                <w:sz w:val="20"/>
                <w:szCs w:val="20"/>
              </w:rPr>
              <w:t xml:space="preserve">April 8, 2021 </w:t>
            </w:r>
          </w:p>
        </w:tc>
      </w:tr>
    </w:tbl>
    <w:p w14:paraId="406FEE01" w14:textId="77777777" w:rsidR="00E9763E" w:rsidRPr="007D038D" w:rsidRDefault="00E9763E" w:rsidP="00E9763E">
      <w:pPr>
        <w:spacing w:after="0"/>
        <w:rPr>
          <w:rFonts w:ascii="Arial" w:hAnsi="Arial" w:cs="Arial"/>
          <w:bCs/>
          <w:sz w:val="18"/>
        </w:rPr>
      </w:pPr>
    </w:p>
    <w:p w14:paraId="210A75FB" w14:textId="77777777" w:rsidR="00E9763E" w:rsidRPr="007D038D" w:rsidRDefault="00E9763E" w:rsidP="00E9763E">
      <w:pPr>
        <w:spacing w:after="0"/>
        <w:rPr>
          <w:rFonts w:ascii="Arial" w:hAnsi="Arial" w:cs="Arial"/>
          <w:b/>
          <w:bCs/>
          <w:i/>
          <w:iCs/>
          <w:sz w:val="18"/>
        </w:rPr>
      </w:pPr>
      <w:r>
        <w:rPr>
          <w:rFonts w:ascii="Arial" w:hAnsi="Arial" w:cs="Arial"/>
          <w:bCs/>
          <w:sz w:val="18"/>
        </w:rPr>
        <w:t>Although</w:t>
      </w:r>
      <w:r w:rsidRPr="007D038D">
        <w:rPr>
          <w:rFonts w:ascii="Arial" w:hAnsi="Arial" w:cs="Arial"/>
          <w:bCs/>
          <w:sz w:val="18"/>
        </w:rPr>
        <w:t xml:space="preserve"> a regulatory action may be exempt from executive branch review pursuant to § 2.2-4002 or § 2.2-4006 of the</w:t>
      </w:r>
      <w:r w:rsidRPr="007D038D">
        <w:rPr>
          <w:rFonts w:ascii="Arial" w:hAnsi="Arial" w:cs="Arial"/>
          <w:bCs/>
          <w:i/>
          <w:sz w:val="18"/>
        </w:rPr>
        <w:t xml:space="preserve"> Code of Virginia</w:t>
      </w:r>
      <w:r w:rsidRPr="007D038D">
        <w:rPr>
          <w:rFonts w:ascii="Arial" w:hAnsi="Arial" w:cs="Arial"/>
          <w:bCs/>
          <w:sz w:val="18"/>
        </w:rPr>
        <w:t xml:space="preserve">, the agency is still encouraged to provide information to the public on the Regulatory Town Hall using this form. However, the agency may still be required to comply with the Virginia Register Act, Executive Order 14 (as amended, July 16, 2018), </w:t>
      </w:r>
      <w:r w:rsidRPr="007D038D">
        <w:rPr>
          <w:rFonts w:ascii="Arial" w:hAnsi="Arial" w:cs="Arial"/>
          <w:sz w:val="18"/>
        </w:rPr>
        <w:t>the Regulations for Filing and Publishing Agency Regulations (</w:t>
      </w:r>
      <w:r>
        <w:rPr>
          <w:rFonts w:ascii="Arial" w:hAnsi="Arial" w:cs="Arial"/>
          <w:sz w:val="18"/>
        </w:rPr>
        <w:t>1</w:t>
      </w:r>
      <w:r w:rsidRPr="007D038D">
        <w:rPr>
          <w:rFonts w:ascii="Arial" w:hAnsi="Arial" w:cs="Arial"/>
          <w:sz w:val="18"/>
        </w:rPr>
        <w:t xml:space="preserve">VAC7-10), </w:t>
      </w:r>
      <w:r w:rsidRPr="007D038D">
        <w:rPr>
          <w:rFonts w:ascii="Arial" w:hAnsi="Arial" w:cs="Arial"/>
          <w:bCs/>
          <w:sz w:val="18"/>
        </w:rPr>
        <w:t xml:space="preserve">and the </w:t>
      </w:r>
      <w:r w:rsidRPr="00F14466">
        <w:rPr>
          <w:rFonts w:ascii="Arial" w:hAnsi="Arial" w:cs="Arial"/>
          <w:i/>
          <w:iCs/>
          <w:sz w:val="18"/>
        </w:rPr>
        <w:t>Form and Style Requirements for the Virginia Register of Regulations and Virginia Administrative Code</w:t>
      </w:r>
      <w:r>
        <w:rPr>
          <w:rFonts w:ascii="Arial" w:hAnsi="Arial" w:cs="Arial"/>
          <w:bCs/>
          <w:i/>
          <w:iCs/>
          <w:sz w:val="18"/>
        </w:rPr>
        <w:t>.</w:t>
      </w:r>
    </w:p>
    <w:p w14:paraId="295CDAF4" w14:textId="77777777" w:rsidR="00E9763E" w:rsidRPr="007D038D" w:rsidRDefault="00E9763E" w:rsidP="00E9763E">
      <w:pPr>
        <w:pStyle w:val="bodytext5"/>
        <w:spacing w:before="0"/>
        <w:rPr>
          <w:rFonts w:cs="Arial"/>
          <w:b w:val="0"/>
          <w:bCs/>
          <w:i/>
          <w:iCs/>
          <w:sz w:val="18"/>
        </w:rPr>
      </w:pPr>
    </w:p>
    <w:p w14:paraId="6A488207" w14:textId="77777777" w:rsidR="00E9763E" w:rsidRPr="007D038D" w:rsidRDefault="00E9763E" w:rsidP="00E9763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7AB13A01" w14:textId="77777777" w:rsidR="00E9763E" w:rsidRPr="007D038D" w:rsidRDefault="00E9763E" w:rsidP="00E9763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r w:rsidRPr="007D038D">
        <w:rPr>
          <w:rFonts w:ascii="Verdana" w:hAnsi="Verdana" w:cs="Arial"/>
          <w:color w:val="auto"/>
        </w:rPr>
        <w:t xml:space="preserve">Brief </w:t>
      </w:r>
      <w:proofErr w:type="gramStart"/>
      <w:r w:rsidRPr="007D038D">
        <w:rPr>
          <w:rFonts w:ascii="Verdana" w:hAnsi="Verdana" w:cs="Arial"/>
          <w:color w:val="auto"/>
        </w:rPr>
        <w:t>Summary</w:t>
      </w:r>
      <w:proofErr w:type="gramEnd"/>
      <w:r w:rsidRPr="007D038D">
        <w:rPr>
          <w:rFonts w:ascii="Verdana" w:hAnsi="Verdana" w:cs="Arial"/>
          <w:color w:val="auto"/>
        </w:rPr>
        <w:br/>
      </w:r>
      <w:r w:rsidRPr="007E2D42">
        <w:rPr>
          <w:rFonts w:ascii="Verdana" w:hAnsi="Verdana" w:cs="Arial"/>
          <w:color w:val="D6E3BC" w:themeColor="accent3" w:themeTint="66"/>
          <w:sz w:val="16"/>
          <w:szCs w:val="16"/>
        </w:rPr>
        <w:t xml:space="preserve">[RIS1] </w:t>
      </w:r>
    </w:p>
    <w:p w14:paraId="7C0B350A" w14:textId="77777777" w:rsidR="00E9763E" w:rsidRPr="007D038D" w:rsidRDefault="00E9763E" w:rsidP="00E9763E">
      <w:pPr>
        <w:pStyle w:val="bodytext5"/>
        <w:spacing w:before="0"/>
        <w:rPr>
          <w:b w:val="0"/>
          <w:i/>
          <w:sz w:val="6"/>
          <w:szCs w:val="6"/>
        </w:rPr>
      </w:pPr>
    </w:p>
    <w:p w14:paraId="54FECA6D" w14:textId="77777777" w:rsidR="00E9763E" w:rsidRPr="007D038D" w:rsidRDefault="00E9763E" w:rsidP="00E9763E">
      <w:pPr>
        <w:pStyle w:val="bodytext5"/>
        <w:spacing w:before="0"/>
        <w:rPr>
          <w:b w:val="0"/>
          <w:i/>
          <w:sz w:val="20"/>
        </w:rPr>
      </w:pPr>
      <w:r>
        <w:rPr>
          <w:b w:val="0"/>
          <w:i/>
          <w:sz w:val="20"/>
        </w:rPr>
        <w:t>P</w:t>
      </w:r>
      <w:r w:rsidRPr="007D038D">
        <w:rPr>
          <w:b w:val="0"/>
          <w:i/>
          <w:sz w:val="20"/>
        </w:rPr>
        <w:t xml:space="preserve">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  </w:t>
      </w:r>
    </w:p>
    <w:p w14:paraId="4DA892EF" w14:textId="77777777" w:rsidR="00E9763E" w:rsidRPr="007D038D" w:rsidRDefault="00E9763E" w:rsidP="00E9763E">
      <w:pPr>
        <w:pStyle w:val="bodytext5"/>
        <w:spacing w:before="0"/>
        <w:rPr>
          <w:rFonts w:ascii="Times New Roman" w:hAnsi="Times New Roman"/>
          <w:sz w:val="14"/>
          <w:szCs w:val="14"/>
          <w:u w:val="thick"/>
        </w:rPr>
      </w:pP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p>
    <w:p w14:paraId="5719C4C6" w14:textId="77777777" w:rsidR="00E9763E" w:rsidRPr="007D038D" w:rsidRDefault="00E9763E" w:rsidP="00E9763E">
      <w:pPr>
        <w:pStyle w:val="BodyText3"/>
        <w:spacing w:before="0"/>
        <w:rPr>
          <w:rFonts w:ascii="Times New Roman" w:hAnsi="Times New Roman"/>
          <w:i w:val="0"/>
          <w:sz w:val="14"/>
          <w:szCs w:val="14"/>
          <w:u w:val="thick"/>
        </w:rPr>
      </w:pPr>
    </w:p>
    <w:p w14:paraId="129EB3A1" w14:textId="77777777" w:rsidR="00E9763E" w:rsidRPr="007B626E" w:rsidRDefault="00E9763E" w:rsidP="00E9763E">
      <w:pPr>
        <w:spacing w:after="0"/>
        <w:rPr>
          <w:rFonts w:ascii="Arial" w:hAnsi="Arial" w:cs="Arial"/>
          <w:sz w:val="22"/>
        </w:rPr>
      </w:pPr>
      <w:r w:rsidRPr="007B626E">
        <w:rPr>
          <w:rFonts w:ascii="Arial" w:hAnsi="Arial" w:cs="Arial"/>
          <w:color w:val="000000"/>
          <w:sz w:val="22"/>
        </w:rPr>
        <w:t xml:space="preserve">Pursuant to </w:t>
      </w:r>
      <w:hyperlink r:id="rId23" w:history="1">
        <w:r w:rsidRPr="007B626E">
          <w:rPr>
            <w:rStyle w:val="Hyperlink"/>
            <w:rFonts w:ascii="Arial" w:hAnsi="Arial" w:cs="Arial"/>
            <w:sz w:val="22"/>
          </w:rPr>
          <w:t>§ 22.1-289.03 of the Code of Virginia</w:t>
        </w:r>
      </w:hyperlink>
      <w:r w:rsidRPr="007B626E">
        <w:rPr>
          <w:rFonts w:ascii="Arial" w:hAnsi="Arial" w:cs="Arial"/>
          <w:color w:val="000000"/>
          <w:sz w:val="22"/>
        </w:rPr>
        <w:t>, the Board of Education (Board) is responsible for establishing “a statewide unified public-private system for early childhood care and education system in the Commonwealth to ensure that every child has the opportunity to enter kindergarten healthy and ready to learn.” The system will be “implemented by the Board, the Superintendent [of Public Instruction] and the Department [of Education (VDOE)]” effective July 1, 2021. Funding and oversight of early childhood care and education (ECCE) programs and policies—including the Child Care Subsidy Program and child care licensing and monitoring—will transition to VDOE from the Virginia Department of Social Services on July 1 accordingly.</w:t>
      </w:r>
    </w:p>
    <w:p w14:paraId="6D5DD6D7" w14:textId="77777777" w:rsidR="00E9763E" w:rsidRPr="007B626E" w:rsidRDefault="00E9763E" w:rsidP="00E9763E">
      <w:pPr>
        <w:spacing w:after="0"/>
        <w:rPr>
          <w:rFonts w:ascii="Arial" w:hAnsi="Arial" w:cs="Arial"/>
          <w:sz w:val="22"/>
        </w:rPr>
      </w:pPr>
    </w:p>
    <w:p w14:paraId="4407EE84" w14:textId="77777777" w:rsidR="00E9763E" w:rsidRPr="007B626E" w:rsidRDefault="00E9763E" w:rsidP="00E9763E">
      <w:pPr>
        <w:spacing w:after="0"/>
        <w:rPr>
          <w:rFonts w:ascii="Arial" w:hAnsi="Arial" w:cs="Arial"/>
          <w:color w:val="000000"/>
          <w:sz w:val="22"/>
        </w:rPr>
      </w:pPr>
      <w:r w:rsidRPr="007B626E">
        <w:rPr>
          <w:rFonts w:ascii="Arial" w:hAnsi="Arial" w:cs="Arial"/>
          <w:color w:val="000000"/>
          <w:sz w:val="22"/>
        </w:rPr>
        <w:t xml:space="preserve">Chapters </w:t>
      </w:r>
      <w:hyperlink r:id="rId24" w:history="1">
        <w:r w:rsidRPr="007B626E">
          <w:rPr>
            <w:rStyle w:val="Hyperlink"/>
            <w:rFonts w:ascii="Arial" w:hAnsi="Arial" w:cs="Arial"/>
            <w:sz w:val="22"/>
          </w:rPr>
          <w:t>860</w:t>
        </w:r>
      </w:hyperlink>
      <w:r w:rsidRPr="007B626E">
        <w:rPr>
          <w:rFonts w:ascii="Arial" w:hAnsi="Arial" w:cs="Arial"/>
          <w:color w:val="000000"/>
          <w:sz w:val="22"/>
        </w:rPr>
        <w:t xml:space="preserve"> and </w:t>
      </w:r>
      <w:hyperlink r:id="rId25" w:history="1">
        <w:r w:rsidRPr="007B626E">
          <w:rPr>
            <w:rStyle w:val="Hyperlink"/>
            <w:rFonts w:ascii="Arial" w:hAnsi="Arial" w:cs="Arial"/>
            <w:sz w:val="22"/>
          </w:rPr>
          <w:t>861</w:t>
        </w:r>
      </w:hyperlink>
      <w:r w:rsidRPr="007B626E">
        <w:rPr>
          <w:rFonts w:ascii="Arial" w:hAnsi="Arial" w:cs="Arial"/>
          <w:color w:val="000000"/>
          <w:sz w:val="22"/>
        </w:rPr>
        <w:t xml:space="preserve"> of the 2020 Acts of the General Assembly require that the regulations governing the implementation and oversight of ECCE programs be transferred from the Board of Social Services to the Board and state that such transferred regulations “remain in full force and effect until altered, amended, or rescinded by the Board of Education.” The Board’s initial actions to adopt these regulations with “necessary amendments” are exempt from Article 2 (</w:t>
      </w:r>
      <w:r w:rsidRPr="007B626E">
        <w:rPr>
          <w:rFonts w:ascii="Leelawadee UI" w:hAnsi="Leelawadee UI" w:cs="Leelawadee UI"/>
          <w:color w:val="000000"/>
          <w:sz w:val="22"/>
        </w:rPr>
        <w:t>ง</w:t>
      </w:r>
      <w:r w:rsidRPr="007B626E">
        <w:rPr>
          <w:rFonts w:ascii="Arial" w:hAnsi="Arial" w:cs="Arial"/>
          <w:color w:val="000000"/>
          <w:sz w:val="22"/>
        </w:rPr>
        <w:t xml:space="preserve"> </w:t>
      </w:r>
      <w:hyperlink r:id="rId26" w:history="1">
        <w:r w:rsidRPr="007B626E">
          <w:rPr>
            <w:rStyle w:val="Hyperlink"/>
            <w:rFonts w:ascii="Arial" w:hAnsi="Arial" w:cs="Arial"/>
            <w:sz w:val="22"/>
          </w:rPr>
          <w:t xml:space="preserve">2.2-4006 </w:t>
        </w:r>
        <w:proofErr w:type="gramStart"/>
        <w:r w:rsidRPr="007B626E">
          <w:rPr>
            <w:rStyle w:val="Hyperlink"/>
            <w:rFonts w:ascii="Arial" w:hAnsi="Arial" w:cs="Arial"/>
            <w:sz w:val="22"/>
          </w:rPr>
          <w:t>et</w:t>
        </w:r>
        <w:proofErr w:type="gramEnd"/>
        <w:r w:rsidRPr="007B626E">
          <w:rPr>
            <w:rStyle w:val="Hyperlink"/>
            <w:rFonts w:ascii="Arial" w:hAnsi="Arial" w:cs="Arial"/>
            <w:sz w:val="22"/>
          </w:rPr>
          <w:t xml:space="preserve"> seq</w:t>
        </w:r>
      </w:hyperlink>
      <w:r w:rsidRPr="007B626E">
        <w:rPr>
          <w:rFonts w:ascii="Arial" w:hAnsi="Arial" w:cs="Arial"/>
          <w:color w:val="000000"/>
          <w:sz w:val="22"/>
        </w:rPr>
        <w:t>.) of Chapter 40 of Title 2.2 of the Code of Virginia. Necessary amendments for the purposes of such exempt action include: </w:t>
      </w:r>
    </w:p>
    <w:p w14:paraId="7F5613E4" w14:textId="77777777" w:rsidR="00E9763E" w:rsidRPr="007B626E" w:rsidRDefault="00E9763E" w:rsidP="00E9763E">
      <w:pPr>
        <w:numPr>
          <w:ilvl w:val="0"/>
          <w:numId w:val="8"/>
        </w:numPr>
        <w:spacing w:after="0"/>
        <w:textAlignment w:val="baseline"/>
        <w:rPr>
          <w:rFonts w:ascii="Arial" w:hAnsi="Arial" w:cs="Arial"/>
          <w:color w:val="000000"/>
        </w:rPr>
      </w:pPr>
      <w:r w:rsidRPr="007B626E">
        <w:rPr>
          <w:rFonts w:ascii="Arial" w:hAnsi="Arial" w:cs="Arial"/>
          <w:color w:val="000000"/>
          <w:sz w:val="22"/>
        </w:rPr>
        <w:t>Renumbering</w:t>
      </w:r>
      <w:r w:rsidRPr="007B626E">
        <w:rPr>
          <w:rFonts w:ascii="Arial" w:hAnsi="Arial" w:cs="Arial"/>
          <w:color w:val="000000"/>
        </w:rPr>
        <w:t xml:space="preserve">; </w:t>
      </w:r>
    </w:p>
    <w:p w14:paraId="24461F25" w14:textId="77777777" w:rsidR="00E9763E" w:rsidRPr="007B626E" w:rsidRDefault="00E9763E" w:rsidP="00E9763E">
      <w:pPr>
        <w:numPr>
          <w:ilvl w:val="0"/>
          <w:numId w:val="8"/>
        </w:numPr>
        <w:spacing w:after="0"/>
        <w:textAlignment w:val="baseline"/>
        <w:rPr>
          <w:rFonts w:ascii="Arial" w:hAnsi="Arial" w:cs="Arial"/>
          <w:color w:val="000000"/>
        </w:rPr>
      </w:pPr>
      <w:r w:rsidRPr="007B626E">
        <w:rPr>
          <w:rFonts w:ascii="Arial" w:hAnsi="Arial" w:cs="Arial"/>
          <w:color w:val="000000"/>
        </w:rPr>
        <w:t>Changing references from the Board of Social Services to the Board of Education;</w:t>
      </w:r>
    </w:p>
    <w:p w14:paraId="31259819" w14:textId="77777777" w:rsidR="00E9763E" w:rsidRPr="007B626E" w:rsidRDefault="00E9763E" w:rsidP="00E9763E">
      <w:pPr>
        <w:numPr>
          <w:ilvl w:val="0"/>
          <w:numId w:val="8"/>
        </w:numPr>
        <w:spacing w:after="0"/>
        <w:textAlignment w:val="baseline"/>
        <w:rPr>
          <w:rFonts w:ascii="Arial" w:hAnsi="Arial" w:cs="Arial"/>
          <w:color w:val="000000"/>
        </w:rPr>
      </w:pPr>
      <w:r w:rsidRPr="007B626E">
        <w:rPr>
          <w:rFonts w:ascii="Arial" w:hAnsi="Arial" w:cs="Arial"/>
          <w:color w:val="000000"/>
        </w:rPr>
        <w:t xml:space="preserve">Changing code references and descriptions; </w:t>
      </w:r>
    </w:p>
    <w:p w14:paraId="0A48BFC4" w14:textId="77777777" w:rsidR="00E9763E" w:rsidRPr="007B626E" w:rsidRDefault="00E9763E" w:rsidP="00E9763E">
      <w:pPr>
        <w:numPr>
          <w:ilvl w:val="0"/>
          <w:numId w:val="8"/>
        </w:numPr>
        <w:spacing w:after="0"/>
        <w:textAlignment w:val="baseline"/>
        <w:rPr>
          <w:rFonts w:ascii="Arial" w:hAnsi="Arial" w:cs="Arial"/>
          <w:color w:val="000000"/>
        </w:rPr>
      </w:pPr>
      <w:r w:rsidRPr="007B626E">
        <w:rPr>
          <w:rFonts w:ascii="Arial" w:hAnsi="Arial" w:cs="Arial"/>
          <w:color w:val="000000"/>
        </w:rPr>
        <w:t>Striking regulations specific to adult care programs and child welfare programs; and </w:t>
      </w:r>
    </w:p>
    <w:p w14:paraId="23F17D06" w14:textId="77777777" w:rsidR="00E9763E" w:rsidRPr="007B626E" w:rsidRDefault="00E9763E" w:rsidP="00E9763E">
      <w:pPr>
        <w:numPr>
          <w:ilvl w:val="0"/>
          <w:numId w:val="8"/>
        </w:numPr>
        <w:spacing w:after="0"/>
        <w:textAlignment w:val="baseline"/>
        <w:rPr>
          <w:rFonts w:ascii="Arial" w:hAnsi="Arial" w:cs="Arial"/>
          <w:color w:val="000000"/>
        </w:rPr>
      </w:pPr>
      <w:r w:rsidRPr="007B626E">
        <w:rPr>
          <w:rFonts w:ascii="Arial" w:hAnsi="Arial" w:cs="Arial"/>
          <w:color w:val="000000"/>
        </w:rPr>
        <w:t xml:space="preserve">Striking regulations related to child support enforcement pursuant to </w:t>
      </w:r>
      <w:hyperlink r:id="rId27" w:history="1">
        <w:r w:rsidRPr="007B626E">
          <w:rPr>
            <w:rStyle w:val="Hyperlink"/>
            <w:rFonts w:ascii="Arial" w:hAnsi="Arial" w:cs="Arial"/>
          </w:rPr>
          <w:t>§ 63.2-1911</w:t>
        </w:r>
      </w:hyperlink>
      <w:r w:rsidRPr="007B626E">
        <w:rPr>
          <w:rFonts w:ascii="Arial" w:hAnsi="Arial" w:cs="Arial"/>
          <w:color w:val="000000"/>
        </w:rPr>
        <w:t>. </w:t>
      </w:r>
    </w:p>
    <w:p w14:paraId="02561937" w14:textId="77777777" w:rsidR="00E9763E" w:rsidRDefault="00E9763E" w:rsidP="00E9763E">
      <w:pPr>
        <w:spacing w:after="0"/>
        <w:rPr>
          <w:rFonts w:cs="Arial"/>
          <w:sz w:val="20"/>
          <w:highlight w:val="yellow"/>
        </w:rPr>
      </w:pPr>
    </w:p>
    <w:p w14:paraId="3C11F1C7" w14:textId="77777777" w:rsidR="00E9763E" w:rsidRPr="007E2D42" w:rsidRDefault="00E9763E" w:rsidP="00E9763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D6E3BC" w:themeColor="accent3" w:themeTint="66"/>
          <w:sz w:val="16"/>
          <w:szCs w:val="16"/>
        </w:rPr>
      </w:pPr>
      <w:r w:rsidRPr="007E2D42">
        <w:rPr>
          <w:rFonts w:ascii="Verdana" w:hAnsi="Verdana" w:cs="Arial"/>
          <w:color w:val="D6E3BC" w:themeColor="accent3" w:themeTint="66"/>
          <w:sz w:val="16"/>
          <w:szCs w:val="16"/>
        </w:rPr>
        <w:t>[RIS2]</w:t>
      </w:r>
    </w:p>
    <w:p w14:paraId="17752BE0" w14:textId="77777777" w:rsidR="00E9763E" w:rsidRPr="007D038D" w:rsidRDefault="00E9763E" w:rsidP="00E9763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7D038D">
        <w:rPr>
          <w:rFonts w:ascii="Verdana" w:hAnsi="Verdana" w:cs="Arial"/>
          <w:color w:val="auto"/>
          <w:szCs w:val="24"/>
        </w:rPr>
        <w:t>Mandate and Impetus</w:t>
      </w:r>
    </w:p>
    <w:p w14:paraId="0520ECEC" w14:textId="77777777" w:rsidR="00E9763E" w:rsidRPr="007D038D" w:rsidRDefault="00E9763E" w:rsidP="00E9763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5B2DC438" w14:textId="77777777" w:rsidR="00E9763E" w:rsidRPr="007D038D" w:rsidRDefault="00E9763E" w:rsidP="00E9763E">
      <w:pPr>
        <w:pStyle w:val="Text"/>
        <w:spacing w:before="0" w:line="240" w:lineRule="auto"/>
        <w:rPr>
          <w:sz w:val="6"/>
          <w:szCs w:val="6"/>
        </w:rPr>
      </w:pPr>
    </w:p>
    <w:p w14:paraId="05CD71D0" w14:textId="77777777" w:rsidR="00E9763E" w:rsidRPr="007D038D" w:rsidRDefault="00E9763E" w:rsidP="00E9763E">
      <w:pPr>
        <w:pStyle w:val="bodytext50"/>
        <w:spacing w:before="0"/>
        <w:rPr>
          <w:rFonts w:cs="Times New Roman"/>
          <w:b w:val="0"/>
          <w:bCs w:val="0"/>
          <w:i/>
          <w:sz w:val="20"/>
          <w:szCs w:val="20"/>
        </w:rPr>
      </w:pPr>
      <w:r>
        <w:rPr>
          <w:rFonts w:cs="Times New Roman"/>
          <w:b w:val="0"/>
          <w:bCs w:val="0"/>
          <w:i/>
          <w:sz w:val="20"/>
          <w:szCs w:val="20"/>
        </w:rPr>
        <w:t>I</w:t>
      </w:r>
      <w:r w:rsidRPr="007D038D">
        <w:rPr>
          <w:rFonts w:cs="Times New Roman"/>
          <w:b w:val="0"/>
          <w:bCs w:val="0"/>
          <w:i/>
          <w:sz w:val="20"/>
          <w:szCs w:val="20"/>
        </w:rPr>
        <w:t xml:space="preserve">dentify the mandate for this regulatory change and any other impetus that specifically prompted its initiation (e.g., new or modified mandate, internal staff review, </w:t>
      </w:r>
      <w:proofErr w:type="gramStart"/>
      <w:r w:rsidRPr="007D038D">
        <w:rPr>
          <w:rFonts w:cs="Times New Roman"/>
          <w:b w:val="0"/>
          <w:bCs w:val="0"/>
          <w:i/>
          <w:sz w:val="20"/>
          <w:szCs w:val="20"/>
        </w:rPr>
        <w:t>petition</w:t>
      </w:r>
      <w:proofErr w:type="gramEnd"/>
      <w:r w:rsidRPr="007D038D">
        <w:rPr>
          <w:rFonts w:cs="Times New Roman"/>
          <w:b w:val="0"/>
          <w:bCs w:val="0"/>
          <w:i/>
          <w:sz w:val="20"/>
          <w:szCs w:val="20"/>
        </w:rPr>
        <w:t xml:space="preserve"> for rulemaking, periodic review, </w:t>
      </w:r>
      <w:r>
        <w:rPr>
          <w:rFonts w:cs="Times New Roman"/>
          <w:b w:val="0"/>
          <w:bCs w:val="0"/>
          <w:i/>
          <w:sz w:val="20"/>
          <w:szCs w:val="20"/>
        </w:rPr>
        <w:t xml:space="preserve">or </w:t>
      </w:r>
      <w:r w:rsidRPr="007D038D">
        <w:rPr>
          <w:rFonts w:cs="Times New Roman"/>
          <w:b w:val="0"/>
          <w:bCs w:val="0"/>
          <w:i/>
          <w:sz w:val="20"/>
          <w:szCs w:val="20"/>
        </w:rPr>
        <w:t xml:space="preserve">board decision). “Mandate” is defined as “a directive from the General Assembly, the federal government, or a court that requires that a regulation be promulgated, amended, or repealed in whole or part.” </w:t>
      </w:r>
    </w:p>
    <w:p w14:paraId="3593E765" w14:textId="77777777" w:rsidR="00E9763E" w:rsidRPr="007D038D" w:rsidRDefault="00E9763E" w:rsidP="00E9763E">
      <w:pPr>
        <w:pStyle w:val="bodytext5"/>
        <w:spacing w:before="0"/>
        <w:rPr>
          <w:rFonts w:ascii="Times New Roman" w:hAnsi="Times New Roman"/>
          <w:b w:val="0"/>
          <w:sz w:val="14"/>
          <w:szCs w:val="14"/>
          <w:u w:val="double"/>
        </w:rPr>
      </w:pP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p>
    <w:p w14:paraId="0620D554" w14:textId="77777777" w:rsidR="00E9763E" w:rsidRPr="007D038D" w:rsidRDefault="00E9763E" w:rsidP="00E9763E">
      <w:pPr>
        <w:pStyle w:val="BodyText3"/>
        <w:spacing w:before="0"/>
        <w:rPr>
          <w:rFonts w:ascii="Times New Roman" w:hAnsi="Times New Roman"/>
          <w:i w:val="0"/>
          <w:sz w:val="14"/>
          <w:szCs w:val="14"/>
          <w:u w:val="thick"/>
        </w:rPr>
      </w:pPr>
    </w:p>
    <w:p w14:paraId="34A49D81" w14:textId="77777777" w:rsidR="00E9763E" w:rsidRDefault="00E9763E" w:rsidP="00E9763E">
      <w:pPr>
        <w:pStyle w:val="summary"/>
        <w:rPr>
          <w:rFonts w:cs="Times New Roman"/>
          <w:color w:val="000000"/>
        </w:rPr>
      </w:pPr>
      <w:r>
        <w:rPr>
          <w:rFonts w:cs="Times New Roman"/>
          <w:color w:val="000000"/>
        </w:rPr>
        <w:t xml:space="preserve">Chapters </w:t>
      </w:r>
      <w:hyperlink r:id="rId28" w:history="1">
        <w:r>
          <w:rPr>
            <w:rStyle w:val="Hyperlink"/>
            <w:rFonts w:cs="Times New Roman"/>
          </w:rPr>
          <w:t>860</w:t>
        </w:r>
      </w:hyperlink>
      <w:r>
        <w:rPr>
          <w:rFonts w:cs="Times New Roman"/>
          <w:color w:val="000000"/>
        </w:rPr>
        <w:t xml:space="preserve"> and </w:t>
      </w:r>
      <w:hyperlink r:id="rId29" w:history="1">
        <w:r>
          <w:rPr>
            <w:rStyle w:val="Hyperlink"/>
            <w:rFonts w:cs="Times New Roman"/>
          </w:rPr>
          <w:t>861</w:t>
        </w:r>
      </w:hyperlink>
      <w:r>
        <w:rPr>
          <w:rFonts w:cs="Times New Roman"/>
          <w:color w:val="000000"/>
        </w:rPr>
        <w:t xml:space="preserve"> of the 2020 Acts of the General Assembly require that the regulations governing the implementation and oversight of ECCE programs be transferred from the Board of Social Services to the Board of Education. The Board must adopt these regulations with necessary amendments in order to comply with the law. </w:t>
      </w:r>
    </w:p>
    <w:p w14:paraId="2A3B3B3A" w14:textId="77777777" w:rsidR="00E9763E" w:rsidRDefault="00E9763E" w:rsidP="00E9763E">
      <w:pPr>
        <w:pStyle w:val="summary"/>
        <w:rPr>
          <w:rFonts w:cs="Times New Roman"/>
          <w:color w:val="000000"/>
        </w:rPr>
      </w:pPr>
    </w:p>
    <w:p w14:paraId="4E34FF3F" w14:textId="77777777" w:rsidR="00E9763E" w:rsidRPr="007D038D" w:rsidRDefault="00E9763E" w:rsidP="00E9763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62310015" w14:textId="77777777" w:rsidR="00E9763E" w:rsidRPr="007D038D" w:rsidRDefault="00E9763E" w:rsidP="00E9763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7D038D">
        <w:rPr>
          <w:rFonts w:ascii="Verdana" w:hAnsi="Verdana"/>
          <w:color w:val="auto"/>
          <w:sz w:val="24"/>
          <w:szCs w:val="24"/>
        </w:rPr>
        <w:t>Statement of Final Agency Action</w:t>
      </w:r>
    </w:p>
    <w:p w14:paraId="0CDD0A90" w14:textId="77777777" w:rsidR="00E9763E" w:rsidRPr="007D038D" w:rsidRDefault="00E9763E" w:rsidP="00E9763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16EADD21" w14:textId="77777777" w:rsidR="00E9763E" w:rsidRPr="007D038D" w:rsidRDefault="00E9763E" w:rsidP="00E9763E">
      <w:pPr>
        <w:pStyle w:val="bodytext5"/>
        <w:spacing w:before="0"/>
        <w:rPr>
          <w:b w:val="0"/>
          <w:i/>
          <w:sz w:val="6"/>
          <w:szCs w:val="6"/>
        </w:rPr>
      </w:pPr>
    </w:p>
    <w:p w14:paraId="4B31F1E9" w14:textId="77777777" w:rsidR="00E9763E" w:rsidRPr="007D038D" w:rsidRDefault="00E9763E" w:rsidP="00E9763E">
      <w:pPr>
        <w:pStyle w:val="bodytext5"/>
        <w:spacing w:before="0"/>
        <w:rPr>
          <w:b w:val="0"/>
          <w:sz w:val="20"/>
        </w:rPr>
      </w:pPr>
      <w:r>
        <w:rPr>
          <w:b w:val="0"/>
          <w:i/>
          <w:sz w:val="20"/>
        </w:rPr>
        <w:t>P</w:t>
      </w:r>
      <w:r w:rsidRPr="007D038D">
        <w:rPr>
          <w:b w:val="0"/>
          <w:i/>
          <w:sz w:val="20"/>
        </w:rPr>
        <w:t>rovide a statement of the final action taken by the agency including: 1) the date the action was taken; 2) the name of the agency taking the action; and 3) the title of the regulation.</w:t>
      </w:r>
    </w:p>
    <w:p w14:paraId="561A56F4" w14:textId="77777777" w:rsidR="00E9763E" w:rsidRPr="007D038D" w:rsidRDefault="00E9763E" w:rsidP="00E9763E">
      <w:pPr>
        <w:pStyle w:val="bodytext5"/>
        <w:spacing w:before="0"/>
        <w:rPr>
          <w:rFonts w:ascii="Times New Roman" w:hAnsi="Times New Roman"/>
          <w:sz w:val="14"/>
          <w:szCs w:val="14"/>
          <w:u w:val="thick"/>
        </w:rPr>
      </w:pP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r w:rsidRPr="007D038D">
        <w:rPr>
          <w:rFonts w:ascii="Times New Roman" w:hAnsi="Times New Roman"/>
          <w:sz w:val="14"/>
          <w:szCs w:val="14"/>
          <w:u w:val="thick"/>
        </w:rPr>
        <w:tab/>
      </w:r>
    </w:p>
    <w:p w14:paraId="4B86AA47" w14:textId="77777777" w:rsidR="00E9763E" w:rsidRDefault="00E9763E" w:rsidP="00E9763E">
      <w:pPr>
        <w:pStyle w:val="bodytext6"/>
        <w:rPr>
          <w:rFonts w:ascii="Times New Roman" w:hAnsi="Times New Roman"/>
          <w:sz w:val="14"/>
          <w:szCs w:val="14"/>
          <w:u w:val="thick"/>
        </w:rPr>
      </w:pPr>
    </w:p>
    <w:p w14:paraId="083F4541" w14:textId="77777777" w:rsidR="00E9763E" w:rsidRDefault="00E9763E" w:rsidP="00E9763E">
      <w:pPr>
        <w:pStyle w:val="bodytext6"/>
        <w:rPr>
          <w:rFonts w:cs="Arial"/>
          <w:szCs w:val="22"/>
        </w:rPr>
      </w:pPr>
      <w:r w:rsidRPr="00B90877">
        <w:rPr>
          <w:rFonts w:cs="Arial"/>
          <w:szCs w:val="22"/>
        </w:rPr>
        <w:t xml:space="preserve">The </w:t>
      </w:r>
      <w:r>
        <w:rPr>
          <w:rFonts w:cs="Arial"/>
          <w:szCs w:val="22"/>
        </w:rPr>
        <w:t>Virginia Board of Education provided final review and approval of the following regulations on April 22, 2021:</w:t>
      </w:r>
    </w:p>
    <w:p w14:paraId="7E5091D2" w14:textId="77777777" w:rsidR="00E9763E" w:rsidRPr="00B90877" w:rsidRDefault="00E9763E" w:rsidP="00E9763E">
      <w:pPr>
        <w:pStyle w:val="bodytext6"/>
        <w:numPr>
          <w:ilvl w:val="0"/>
          <w:numId w:val="11"/>
        </w:numPr>
        <w:rPr>
          <w:rFonts w:cs="Arial"/>
          <w:szCs w:val="22"/>
        </w:rPr>
      </w:pPr>
      <w:r w:rsidRPr="00B90877">
        <w:rPr>
          <w:rFonts w:cs="Arial"/>
          <w:szCs w:val="22"/>
        </w:rPr>
        <w:t>22VAC40-80: General Procedure</w:t>
      </w:r>
      <w:r>
        <w:rPr>
          <w:rFonts w:cs="Arial"/>
          <w:szCs w:val="22"/>
        </w:rPr>
        <w:t>s and Information for Licensure</w:t>
      </w:r>
    </w:p>
    <w:p w14:paraId="73F722DE" w14:textId="77777777" w:rsidR="00E9763E" w:rsidRPr="00B90877" w:rsidRDefault="00E9763E" w:rsidP="00E9763E">
      <w:pPr>
        <w:pStyle w:val="bodytext6"/>
        <w:numPr>
          <w:ilvl w:val="0"/>
          <w:numId w:val="11"/>
        </w:numPr>
        <w:rPr>
          <w:rFonts w:cs="Arial"/>
          <w:szCs w:val="22"/>
        </w:rPr>
      </w:pPr>
      <w:r>
        <w:rPr>
          <w:rFonts w:cs="Arial"/>
          <w:szCs w:val="22"/>
        </w:rPr>
        <w:t xml:space="preserve">22VAC60-160: Fees </w:t>
      </w:r>
    </w:p>
    <w:p w14:paraId="6B0188F8" w14:textId="77777777" w:rsidR="00E9763E" w:rsidRPr="00B90877" w:rsidRDefault="00E9763E" w:rsidP="00E9763E">
      <w:pPr>
        <w:pStyle w:val="bodytext6"/>
        <w:numPr>
          <w:ilvl w:val="0"/>
          <w:numId w:val="11"/>
        </w:numPr>
        <w:rPr>
          <w:rFonts w:cs="Arial"/>
          <w:szCs w:val="22"/>
        </w:rPr>
      </w:pPr>
      <w:r>
        <w:rPr>
          <w:rFonts w:cs="Arial"/>
          <w:szCs w:val="22"/>
        </w:rPr>
        <w:t>2</w:t>
      </w:r>
      <w:r w:rsidRPr="00B90877">
        <w:rPr>
          <w:rFonts w:cs="Arial"/>
          <w:szCs w:val="22"/>
        </w:rPr>
        <w:t>2VAC40-191: Background Checks for Child Welfare Agencies</w:t>
      </w:r>
      <w:r>
        <w:rPr>
          <w:rFonts w:cs="Arial"/>
          <w:szCs w:val="22"/>
        </w:rPr>
        <w:t xml:space="preserve"> </w:t>
      </w:r>
    </w:p>
    <w:p w14:paraId="34F088B5" w14:textId="77777777" w:rsidR="00E9763E" w:rsidRPr="00B90877" w:rsidRDefault="00E9763E" w:rsidP="00E9763E">
      <w:pPr>
        <w:pStyle w:val="bodytext6"/>
        <w:numPr>
          <w:ilvl w:val="0"/>
          <w:numId w:val="11"/>
        </w:numPr>
        <w:rPr>
          <w:rFonts w:cs="Arial"/>
          <w:szCs w:val="22"/>
        </w:rPr>
      </w:pPr>
      <w:r>
        <w:rPr>
          <w:rFonts w:cs="Arial"/>
          <w:szCs w:val="22"/>
        </w:rPr>
        <w:t>2</w:t>
      </w:r>
      <w:r w:rsidRPr="00B90877">
        <w:rPr>
          <w:rFonts w:cs="Arial"/>
          <w:szCs w:val="22"/>
        </w:rPr>
        <w:t xml:space="preserve">2VAC40-185: Standards </w:t>
      </w:r>
      <w:r>
        <w:rPr>
          <w:rFonts w:cs="Arial"/>
          <w:szCs w:val="22"/>
        </w:rPr>
        <w:t xml:space="preserve">for Licensed Child Day Centers </w:t>
      </w:r>
    </w:p>
    <w:p w14:paraId="0AB94FEA" w14:textId="77777777" w:rsidR="00E9763E" w:rsidRPr="00B90877" w:rsidRDefault="00E9763E" w:rsidP="00E9763E">
      <w:pPr>
        <w:pStyle w:val="bodytext6"/>
        <w:numPr>
          <w:ilvl w:val="0"/>
          <w:numId w:val="11"/>
        </w:numPr>
        <w:rPr>
          <w:rFonts w:cs="Arial"/>
          <w:szCs w:val="22"/>
        </w:rPr>
      </w:pPr>
      <w:r w:rsidRPr="00B90877">
        <w:rPr>
          <w:rFonts w:cs="Arial"/>
          <w:szCs w:val="22"/>
        </w:rPr>
        <w:t>22VAC40-111: Standards</w:t>
      </w:r>
      <w:r>
        <w:rPr>
          <w:rFonts w:cs="Arial"/>
          <w:szCs w:val="22"/>
        </w:rPr>
        <w:t xml:space="preserve"> for Licensed Family Day Homes</w:t>
      </w:r>
      <w:r w:rsidRPr="00B90877">
        <w:rPr>
          <w:rFonts w:cs="Arial"/>
          <w:szCs w:val="22"/>
        </w:rPr>
        <w:t xml:space="preserve"> </w:t>
      </w:r>
    </w:p>
    <w:p w14:paraId="023B746A" w14:textId="77777777" w:rsidR="00E9763E" w:rsidRPr="00B90877" w:rsidRDefault="00E9763E" w:rsidP="00E9763E">
      <w:pPr>
        <w:pStyle w:val="bodytext6"/>
        <w:numPr>
          <w:ilvl w:val="0"/>
          <w:numId w:val="11"/>
        </w:numPr>
        <w:rPr>
          <w:rFonts w:cs="Arial"/>
          <w:szCs w:val="22"/>
        </w:rPr>
      </w:pPr>
      <w:r w:rsidRPr="00B90877">
        <w:rPr>
          <w:rFonts w:cs="Arial"/>
          <w:szCs w:val="22"/>
        </w:rPr>
        <w:t>22VAC40-180: Voluntary Registration of Family Day Ho</w:t>
      </w:r>
      <w:r>
        <w:rPr>
          <w:rFonts w:cs="Arial"/>
          <w:szCs w:val="22"/>
        </w:rPr>
        <w:t xml:space="preserve">mes—Requirements for Providers </w:t>
      </w:r>
    </w:p>
    <w:p w14:paraId="3DEDC706" w14:textId="77777777" w:rsidR="00E9763E" w:rsidRPr="00B90877" w:rsidRDefault="00E9763E" w:rsidP="00E9763E">
      <w:pPr>
        <w:pStyle w:val="bodytext6"/>
        <w:numPr>
          <w:ilvl w:val="0"/>
          <w:numId w:val="11"/>
        </w:numPr>
        <w:rPr>
          <w:rFonts w:cs="Arial"/>
          <w:szCs w:val="22"/>
        </w:rPr>
      </w:pPr>
      <w:r w:rsidRPr="00B90877">
        <w:rPr>
          <w:rFonts w:cs="Arial"/>
          <w:szCs w:val="22"/>
        </w:rPr>
        <w:t>22VAC40-120: Minimum S</w:t>
      </w:r>
      <w:r>
        <w:rPr>
          <w:rFonts w:cs="Arial"/>
          <w:szCs w:val="22"/>
        </w:rPr>
        <w:t>tandards for Family Day Systems</w:t>
      </w:r>
    </w:p>
    <w:p w14:paraId="65F8F3B7" w14:textId="77777777" w:rsidR="00E9763E" w:rsidRPr="00B90877" w:rsidRDefault="00E9763E" w:rsidP="00E9763E">
      <w:pPr>
        <w:pStyle w:val="bodytext6"/>
        <w:numPr>
          <w:ilvl w:val="0"/>
          <w:numId w:val="11"/>
        </w:numPr>
        <w:rPr>
          <w:rFonts w:cs="Arial"/>
          <w:szCs w:val="22"/>
        </w:rPr>
      </w:pPr>
      <w:r w:rsidRPr="00B90877">
        <w:rPr>
          <w:rFonts w:cs="Arial"/>
          <w:szCs w:val="22"/>
        </w:rPr>
        <w:t>2</w:t>
      </w:r>
      <w:r>
        <w:rPr>
          <w:rFonts w:cs="Arial"/>
          <w:szCs w:val="22"/>
        </w:rPr>
        <w:t>2VAC40-665: Child Care Program</w:t>
      </w:r>
    </w:p>
    <w:p w14:paraId="1AAAAFB7" w14:textId="77777777" w:rsidR="00E9763E" w:rsidRPr="00B90877" w:rsidRDefault="00E9763E" w:rsidP="00E9763E">
      <w:pPr>
        <w:pStyle w:val="bodytext6"/>
        <w:numPr>
          <w:ilvl w:val="0"/>
          <w:numId w:val="11"/>
        </w:numPr>
        <w:rPr>
          <w:rFonts w:cs="Arial"/>
          <w:szCs w:val="22"/>
        </w:rPr>
      </w:pPr>
      <w:r w:rsidRPr="00B90877">
        <w:rPr>
          <w:rFonts w:cs="Arial"/>
          <w:szCs w:val="22"/>
        </w:rPr>
        <w:t>22VAC40-690: Virginia Child Car</w:t>
      </w:r>
      <w:r>
        <w:rPr>
          <w:rFonts w:cs="Arial"/>
          <w:szCs w:val="22"/>
        </w:rPr>
        <w:t>e Provider Scholarship Program</w:t>
      </w:r>
    </w:p>
    <w:p w14:paraId="43647FA6" w14:textId="772B92DA" w:rsidR="00E9763E" w:rsidRPr="0020239B" w:rsidRDefault="00E9763E" w:rsidP="00E9763E">
      <w:pPr>
        <w:spacing w:after="0"/>
      </w:pPr>
    </w:p>
    <w:sectPr w:rsidR="00E9763E" w:rsidRPr="0020239B" w:rsidSect="00E9763E">
      <w:headerReference w:type="default" r:id="rId30"/>
      <w:footerReference w:type="even" r:id="rId31"/>
      <w:footerReference w:type="default" r:id="rId32"/>
      <w:headerReference w:type="first" r:id="rId3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F16B" w14:textId="77777777" w:rsidR="008B3250" w:rsidRDefault="008B3250" w:rsidP="000E009D">
      <w:pPr>
        <w:spacing w:after="0" w:line="240" w:lineRule="auto"/>
      </w:pPr>
      <w:r>
        <w:separator/>
      </w:r>
    </w:p>
  </w:endnote>
  <w:endnote w:type="continuationSeparator" w:id="0">
    <w:p w14:paraId="2F3FC507" w14:textId="77777777" w:rsidR="008B3250" w:rsidRDefault="008B3250"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12F8DFF2" w14:textId="417DF4AD"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E27129">
          <w:rPr>
            <w:rFonts w:cs="Times New Roman"/>
            <w:noProof/>
          </w:rPr>
          <w:t>B</w:t>
        </w:r>
        <w:r w:rsidRPr="000E009D">
          <w:rPr>
            <w:rFonts w:cs="Times New Roman"/>
            <w:noProof/>
          </w:rPr>
          <w:fldChar w:fldCharType="end"/>
        </w:r>
      </w:p>
    </w:sdtContent>
  </w:sdt>
  <w:p w14:paraId="70B3FEBC" w14:textId="77777777"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6F1E" w14:textId="77777777" w:rsidR="004177B6" w:rsidRDefault="00E97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409170" w14:textId="77777777" w:rsidR="004177B6" w:rsidRDefault="00E27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BDA4" w14:textId="0E604457" w:rsidR="004177B6" w:rsidRDefault="00E97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7129">
      <w:rPr>
        <w:rStyle w:val="PageNumber"/>
        <w:noProof/>
      </w:rPr>
      <w:t>3</w:t>
    </w:r>
    <w:r>
      <w:rPr>
        <w:rStyle w:val="PageNumber"/>
      </w:rPr>
      <w:fldChar w:fldCharType="end"/>
    </w:r>
  </w:p>
  <w:p w14:paraId="1BC14720" w14:textId="77777777" w:rsidR="004177B6" w:rsidRDefault="00E27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CF45C" w14:textId="77777777" w:rsidR="008B3250" w:rsidRDefault="008B3250" w:rsidP="000E009D">
      <w:pPr>
        <w:spacing w:after="0" w:line="240" w:lineRule="auto"/>
      </w:pPr>
      <w:r>
        <w:separator/>
      </w:r>
    </w:p>
  </w:footnote>
  <w:footnote w:type="continuationSeparator" w:id="0">
    <w:p w14:paraId="41F9AB26" w14:textId="77777777" w:rsidR="008B3250" w:rsidRDefault="008B3250"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DB45" w14:textId="77777777" w:rsidR="004177B6" w:rsidRDefault="00E9763E">
    <w:pPr>
      <w:pStyle w:val="Header"/>
      <w:rPr>
        <w:rFonts w:ascii="Arial" w:hAnsi="Arial"/>
        <w:b/>
        <w:sz w:val="28"/>
      </w:rPr>
    </w:pPr>
    <w:r>
      <w:rPr>
        <w:rFonts w:ascii="Arial" w:hAnsi="Arial"/>
        <w:b/>
        <w:sz w:val="20"/>
      </w:rPr>
      <w:t>Town Hall Agency Background Document</w:t>
    </w:r>
    <w:r>
      <w:tab/>
      <w:t xml:space="preserve">   </w:t>
    </w:r>
    <w:r>
      <w:tab/>
    </w:r>
    <w:r>
      <w:rPr>
        <w:rFonts w:ascii="Arial" w:hAnsi="Arial"/>
        <w:b/>
        <w:sz w:val="28"/>
      </w:rPr>
      <w:t>Form: TH-09</w:t>
    </w:r>
  </w:p>
  <w:p w14:paraId="6A0FD316" w14:textId="77777777" w:rsidR="004177B6" w:rsidRDefault="00E27129">
    <w:pPr>
      <w:pStyle w:val="Header"/>
      <w:rPr>
        <w:rFonts w:ascii="Arial" w:hAnsi="Arial"/>
        <w:b/>
        <w:sz w:val="20"/>
      </w:rPr>
    </w:pPr>
  </w:p>
  <w:p w14:paraId="7C21D7D8" w14:textId="77777777" w:rsidR="004177B6" w:rsidRDefault="00E27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E2AF" w14:textId="77777777" w:rsidR="004177B6" w:rsidRDefault="00E9763E">
    <w:pPr>
      <w:pStyle w:val="Header"/>
      <w:jc w:val="right"/>
      <w:rPr>
        <w:rFonts w:ascii="Arial" w:hAnsi="Arial"/>
        <w:b/>
        <w:sz w:val="28"/>
      </w:rPr>
    </w:pPr>
    <w:r>
      <w:rPr>
        <w:rFonts w:ascii="Arial" w:hAnsi="Arial"/>
        <w:b/>
        <w:sz w:val="28"/>
      </w:rPr>
      <w:t>Form: TH-09</w:t>
    </w:r>
  </w:p>
  <w:p w14:paraId="06B15162" w14:textId="77777777" w:rsidR="004177B6" w:rsidRDefault="00E9763E">
    <w:pPr>
      <w:pStyle w:val="Header"/>
      <w:jc w:val="right"/>
      <w:rPr>
        <w:rFonts w:ascii="Arial" w:hAnsi="Arial"/>
        <w:b/>
        <w:sz w:val="20"/>
      </w:rPr>
    </w:pPr>
    <w:r>
      <w:rPr>
        <w:rFonts w:ascii="Arial" w:hAnsi="Arial"/>
        <w:b/>
        <w:sz w:val="20"/>
      </w:rPr>
      <w:t>April 2020</w:t>
    </w:r>
  </w:p>
  <w:p w14:paraId="5B8BCF2D" w14:textId="77777777" w:rsidR="004177B6" w:rsidRDefault="00E27129">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AD2"/>
    <w:multiLevelType w:val="multilevel"/>
    <w:tmpl w:val="7842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F3FD3"/>
    <w:multiLevelType w:val="multilevel"/>
    <w:tmpl w:val="9796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137A3"/>
    <w:multiLevelType w:val="multilevel"/>
    <w:tmpl w:val="4A7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445CA"/>
    <w:multiLevelType w:val="hybridMultilevel"/>
    <w:tmpl w:val="37D8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6"/>
  </w:num>
  <w:num w:numId="5">
    <w:abstractNumId w:val="3"/>
  </w:num>
  <w:num w:numId="6">
    <w:abstractNumId w:val="2"/>
  </w:num>
  <w:num w:numId="7">
    <w:abstractNumId w:val="5"/>
  </w:num>
  <w:num w:numId="8">
    <w:abstractNumId w:val="1"/>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590D"/>
    <w:rsid w:val="000E009D"/>
    <w:rsid w:val="000F41C8"/>
    <w:rsid w:val="000F4A58"/>
    <w:rsid w:val="00123E2E"/>
    <w:rsid w:val="001903AC"/>
    <w:rsid w:val="001F518C"/>
    <w:rsid w:val="0020239B"/>
    <w:rsid w:val="002D1C5E"/>
    <w:rsid w:val="003730EB"/>
    <w:rsid w:val="003D27FD"/>
    <w:rsid w:val="003E15B5"/>
    <w:rsid w:val="00523445"/>
    <w:rsid w:val="00530462"/>
    <w:rsid w:val="005357C5"/>
    <w:rsid w:val="00537153"/>
    <w:rsid w:val="005B712E"/>
    <w:rsid w:val="005C021D"/>
    <w:rsid w:val="00603C1C"/>
    <w:rsid w:val="0065013E"/>
    <w:rsid w:val="00652DF4"/>
    <w:rsid w:val="00680D3D"/>
    <w:rsid w:val="00681BB9"/>
    <w:rsid w:val="007503E8"/>
    <w:rsid w:val="007A607C"/>
    <w:rsid w:val="00805AF1"/>
    <w:rsid w:val="008217E1"/>
    <w:rsid w:val="00892D0F"/>
    <w:rsid w:val="008B3250"/>
    <w:rsid w:val="008B3CF4"/>
    <w:rsid w:val="008F28AE"/>
    <w:rsid w:val="009165DB"/>
    <w:rsid w:val="0094605A"/>
    <w:rsid w:val="009B109E"/>
    <w:rsid w:val="009B7A05"/>
    <w:rsid w:val="00A47F8C"/>
    <w:rsid w:val="00A548A5"/>
    <w:rsid w:val="00A61E2F"/>
    <w:rsid w:val="00A972CE"/>
    <w:rsid w:val="00AC0C95"/>
    <w:rsid w:val="00AC12B7"/>
    <w:rsid w:val="00B14955"/>
    <w:rsid w:val="00B23CD4"/>
    <w:rsid w:val="00B751A0"/>
    <w:rsid w:val="00B954C0"/>
    <w:rsid w:val="00BA66EE"/>
    <w:rsid w:val="00BA7FAF"/>
    <w:rsid w:val="00BE6DCC"/>
    <w:rsid w:val="00C42ECA"/>
    <w:rsid w:val="00CE52FB"/>
    <w:rsid w:val="00D9096B"/>
    <w:rsid w:val="00E27129"/>
    <w:rsid w:val="00E47742"/>
    <w:rsid w:val="00E849E1"/>
    <w:rsid w:val="00E90D05"/>
    <w:rsid w:val="00E9230D"/>
    <w:rsid w:val="00E9763E"/>
    <w:rsid w:val="00EC7CF9"/>
    <w:rsid w:val="00EF34A6"/>
    <w:rsid w:val="00F77BDE"/>
    <w:rsid w:val="00FA1B21"/>
    <w:rsid w:val="00FF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2C1E3"/>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E6DCC"/>
    <w:rPr>
      <w:sz w:val="16"/>
      <w:szCs w:val="16"/>
    </w:rPr>
  </w:style>
  <w:style w:type="paragraph" w:styleId="CommentText">
    <w:name w:val="annotation text"/>
    <w:basedOn w:val="Normal"/>
    <w:link w:val="CommentTextChar"/>
    <w:uiPriority w:val="99"/>
    <w:semiHidden/>
    <w:unhideWhenUsed/>
    <w:rsid w:val="00BE6DCC"/>
    <w:pPr>
      <w:spacing w:line="240" w:lineRule="auto"/>
    </w:pPr>
    <w:rPr>
      <w:sz w:val="20"/>
      <w:szCs w:val="20"/>
    </w:rPr>
  </w:style>
  <w:style w:type="character" w:customStyle="1" w:styleId="CommentTextChar">
    <w:name w:val="Comment Text Char"/>
    <w:basedOn w:val="DefaultParagraphFont"/>
    <w:link w:val="CommentText"/>
    <w:uiPriority w:val="99"/>
    <w:semiHidden/>
    <w:rsid w:val="00BE6D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6DCC"/>
    <w:rPr>
      <w:b/>
      <w:bCs/>
    </w:rPr>
  </w:style>
  <w:style w:type="character" w:customStyle="1" w:styleId="CommentSubjectChar">
    <w:name w:val="Comment Subject Char"/>
    <w:basedOn w:val="CommentTextChar"/>
    <w:link w:val="CommentSubject"/>
    <w:uiPriority w:val="99"/>
    <w:semiHidden/>
    <w:rsid w:val="00BE6DCC"/>
    <w:rPr>
      <w:rFonts w:ascii="Times New Roman" w:hAnsi="Times New Roman"/>
      <w:b/>
      <w:bCs/>
      <w:sz w:val="20"/>
      <w:szCs w:val="20"/>
    </w:rPr>
  </w:style>
  <w:style w:type="character" w:styleId="Hyperlink">
    <w:name w:val="Hyperlink"/>
    <w:basedOn w:val="DefaultParagraphFont"/>
    <w:uiPriority w:val="99"/>
    <w:unhideWhenUsed/>
    <w:rsid w:val="00603C1C"/>
    <w:rPr>
      <w:color w:val="0000FF" w:themeColor="hyperlink"/>
      <w:u w:val="single"/>
    </w:rPr>
  </w:style>
  <w:style w:type="paragraph" w:customStyle="1" w:styleId="Text">
    <w:name w:val="Text"/>
    <w:rsid w:val="00E9763E"/>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E9763E"/>
    <w:pPr>
      <w:spacing w:before="240" w:after="0" w:line="240" w:lineRule="auto"/>
    </w:pPr>
    <w:rPr>
      <w:rFonts w:ascii="Arial" w:eastAsia="Times New Roman" w:hAnsi="Arial" w:cs="Times New Roman"/>
      <w:b/>
      <w:sz w:val="22"/>
      <w:szCs w:val="20"/>
    </w:rPr>
  </w:style>
  <w:style w:type="paragraph" w:customStyle="1" w:styleId="bodytext6">
    <w:name w:val="body text6"/>
    <w:basedOn w:val="Normal"/>
    <w:rsid w:val="00E9763E"/>
    <w:pPr>
      <w:spacing w:after="0" w:line="240" w:lineRule="auto"/>
    </w:pPr>
    <w:rPr>
      <w:rFonts w:ascii="Arial" w:eastAsia="Times New Roman" w:hAnsi="Arial" w:cs="Times New Roman"/>
      <w:sz w:val="22"/>
      <w:szCs w:val="20"/>
    </w:rPr>
  </w:style>
  <w:style w:type="paragraph" w:styleId="BodyText3">
    <w:name w:val="Body Text 3"/>
    <w:basedOn w:val="Normal"/>
    <w:link w:val="BodyText3Char"/>
    <w:rsid w:val="00E9763E"/>
    <w:pPr>
      <w:tabs>
        <w:tab w:val="left" w:pos="0"/>
        <w:tab w:val="left" w:pos="90"/>
      </w:tabs>
      <w:spacing w:before="240" w:after="0" w:line="240" w:lineRule="auto"/>
    </w:pPr>
    <w:rPr>
      <w:rFonts w:ascii="Arial" w:eastAsia="Times New Roman" w:hAnsi="Arial" w:cs="Times New Roman"/>
      <w:i/>
      <w:sz w:val="20"/>
      <w:szCs w:val="20"/>
    </w:rPr>
  </w:style>
  <w:style w:type="character" w:customStyle="1" w:styleId="BodyText3Char">
    <w:name w:val="Body Text 3 Char"/>
    <w:basedOn w:val="DefaultParagraphFont"/>
    <w:link w:val="BodyText3"/>
    <w:rsid w:val="00E9763E"/>
    <w:rPr>
      <w:rFonts w:ascii="Arial" w:eastAsia="Times New Roman" w:hAnsi="Arial" w:cs="Times New Roman"/>
      <w:i/>
      <w:sz w:val="20"/>
      <w:szCs w:val="20"/>
    </w:rPr>
  </w:style>
  <w:style w:type="paragraph" w:customStyle="1" w:styleId="TemplateSection">
    <w:name w:val="TemplateSection"/>
    <w:basedOn w:val="Heading2"/>
    <w:rsid w:val="00E9763E"/>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TemplateSubtitle">
    <w:name w:val="TemplateSubtitle"/>
    <w:basedOn w:val="Subtitle"/>
    <w:rsid w:val="00E9763E"/>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color w:val="FFFFFF"/>
      <w:spacing w:val="0"/>
      <w:sz w:val="32"/>
      <w:szCs w:val="20"/>
    </w:rPr>
  </w:style>
  <w:style w:type="character" w:styleId="PageNumber">
    <w:name w:val="page number"/>
    <w:basedOn w:val="DefaultParagraphFont"/>
    <w:rsid w:val="00E9763E"/>
  </w:style>
  <w:style w:type="paragraph" w:customStyle="1" w:styleId="summary">
    <w:name w:val="summary"/>
    <w:rsid w:val="00E9763E"/>
    <w:pPr>
      <w:spacing w:after="0" w:line="240" w:lineRule="auto"/>
    </w:pPr>
    <w:rPr>
      <w:rFonts w:ascii="Arial" w:eastAsia="Times New Roman" w:hAnsi="Arial" w:cs="Arial"/>
      <w:szCs w:val="20"/>
    </w:rPr>
  </w:style>
  <w:style w:type="paragraph" w:customStyle="1" w:styleId="bodytext50">
    <w:name w:val="bodytext5"/>
    <w:basedOn w:val="Normal"/>
    <w:rsid w:val="00E9763E"/>
    <w:pPr>
      <w:spacing w:before="240" w:after="0" w:line="240" w:lineRule="auto"/>
    </w:pPr>
    <w:rPr>
      <w:rFonts w:ascii="Arial" w:eastAsia="Times New Roman" w:hAnsi="Arial" w:cs="Arial"/>
      <w:b/>
      <w:bCs/>
      <w:sz w:val="22"/>
    </w:rPr>
  </w:style>
  <w:style w:type="paragraph" w:styleId="BodyText">
    <w:name w:val="Body Text"/>
    <w:basedOn w:val="Normal"/>
    <w:link w:val="BodyTextChar"/>
    <w:uiPriority w:val="99"/>
    <w:semiHidden/>
    <w:unhideWhenUsed/>
    <w:rsid w:val="00E9763E"/>
    <w:pPr>
      <w:spacing w:after="120"/>
    </w:pPr>
  </w:style>
  <w:style w:type="character" w:customStyle="1" w:styleId="BodyTextChar">
    <w:name w:val="Body Text Char"/>
    <w:basedOn w:val="DefaultParagraphFont"/>
    <w:link w:val="BodyText"/>
    <w:uiPriority w:val="99"/>
    <w:semiHidden/>
    <w:rsid w:val="00E9763E"/>
    <w:rPr>
      <w:rFonts w:ascii="Times New Roman" w:hAnsi="Times New Roman"/>
      <w:sz w:val="24"/>
    </w:rPr>
  </w:style>
  <w:style w:type="paragraph" w:styleId="Subtitle">
    <w:name w:val="Subtitle"/>
    <w:basedOn w:val="Normal"/>
    <w:next w:val="Normal"/>
    <w:link w:val="SubtitleChar"/>
    <w:uiPriority w:val="11"/>
    <w:qFormat/>
    <w:rsid w:val="00E9763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9763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vacode/title63.2/chapter19/section63.2-1911/" TargetMode="External"/><Relationship Id="rId18" Type="http://schemas.openxmlformats.org/officeDocument/2006/relationships/hyperlink" Target="https://lis.virginia.gov/cgi-bin/legp604.exe?201+ful+CHAP0861" TargetMode="External"/><Relationship Id="rId26" Type="http://schemas.openxmlformats.org/officeDocument/2006/relationships/hyperlink" Target="https://law.lis.virginia.gov/vacode/2.2-4006/"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w.lis.virginia.gov/vacode/2.2-4006/" TargetMode="External"/><Relationship Id="rId17" Type="http://schemas.openxmlformats.org/officeDocument/2006/relationships/hyperlink" Target="https://lis.virginia.gov/cgi-bin/legp604.exe?201+ful+CHAP0860" TargetMode="External"/><Relationship Id="rId25" Type="http://schemas.openxmlformats.org/officeDocument/2006/relationships/hyperlink" Target="https://lis.virginia.gov/cgi-bin/legp604.exe?201+ful+CHAP086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aw.lis.virginia.gov/vacode/title22.1/chapter14.1/section22.1-289.03/" TargetMode="External"/><Relationship Id="rId20" Type="http://schemas.openxmlformats.org/officeDocument/2006/relationships/hyperlink" Target="https://law.lis.virginia.gov/vacode/title63.2/chapter19/section63.2-1911/" TargetMode="External"/><Relationship Id="rId29" Type="http://schemas.openxmlformats.org/officeDocument/2006/relationships/hyperlink" Target="https://lis.virginia.gov/cgi-bin/legp604.exe?201+ful+CHAP08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01+ful+CHAP0861" TargetMode="External"/><Relationship Id="rId24" Type="http://schemas.openxmlformats.org/officeDocument/2006/relationships/hyperlink" Target="https://lis.virginia.gov/cgi-bin/legp604.exe?201+ful+CHAP086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s.virginia.gov/cgi-bin/legp604.exe?201+ful+CHAP0861" TargetMode="External"/><Relationship Id="rId23" Type="http://schemas.openxmlformats.org/officeDocument/2006/relationships/hyperlink" Target="https://law.lis.virginia.gov/vacode/title22.1/chapter14.1/section22.1-289.03/" TargetMode="External"/><Relationship Id="rId28" Type="http://schemas.openxmlformats.org/officeDocument/2006/relationships/hyperlink" Target="https://lis.virginia.gov/cgi-bin/legp604.exe?201+ful+CHAP0860" TargetMode="External"/><Relationship Id="rId36" Type="http://schemas.openxmlformats.org/officeDocument/2006/relationships/theme" Target="theme/theme1.xml"/><Relationship Id="rId10" Type="http://schemas.openxmlformats.org/officeDocument/2006/relationships/hyperlink" Target="https://lis.virginia.gov/cgi-bin/legp604.exe?201+ful+CHAP0860" TargetMode="External"/><Relationship Id="rId19" Type="http://schemas.openxmlformats.org/officeDocument/2006/relationships/hyperlink" Target="https://law.lis.virginia.gov/vacode/2.2-400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enna.conway@govenor.virginia.gov" TargetMode="External"/><Relationship Id="rId14" Type="http://schemas.openxmlformats.org/officeDocument/2006/relationships/hyperlink" Target="https://lis.virginia.gov/cgi-bin/legp604.exe?201+ful+CHAP0860" TargetMode="External"/><Relationship Id="rId22" Type="http://schemas.openxmlformats.org/officeDocument/2006/relationships/image" Target="media/image2.png"/><Relationship Id="rId27" Type="http://schemas.openxmlformats.org/officeDocument/2006/relationships/hyperlink" Target="https://law.lis.virginia.gov/vacode/title63.2/chapter19/section63.2-1911/"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340F43"/>
    <w:rsid w:val="00885F31"/>
    <w:rsid w:val="00A02FBD"/>
    <w:rsid w:val="00AA6A5C"/>
    <w:rsid w:val="00B95EC1"/>
    <w:rsid w:val="00DE1E43"/>
    <w:rsid w:val="00EC4891"/>
    <w:rsid w:val="00F87C0F"/>
    <w:rsid w:val="00FD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DBF5-7A21-45E8-AC93-CA7EDC35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4</cp:revision>
  <cp:lastPrinted>2017-10-02T20:08:00Z</cp:lastPrinted>
  <dcterms:created xsi:type="dcterms:W3CDTF">2021-04-09T17:43:00Z</dcterms:created>
  <dcterms:modified xsi:type="dcterms:W3CDTF">2021-04-20T00:14:00Z</dcterms:modified>
</cp:coreProperties>
</file>