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9C6CDC">
        <w:trPr>
          <w:trHeight w:val="144"/>
        </w:trPr>
        <w:tc>
          <w:tcPr>
            <w:tcW w:w="7824" w:type="dxa"/>
            <w:tcMar>
              <w:left w:w="115" w:type="dxa"/>
              <w:right w:w="115" w:type="dxa"/>
            </w:tcMar>
            <w:vAlign w:val="center"/>
          </w:tcPr>
          <w:p w:rsidR="009C6CDC" w:rsidRDefault="0097621D">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Virginia Board of Education Agenda Item</w:t>
            </w:r>
          </w:p>
        </w:tc>
        <w:tc>
          <w:tcPr>
            <w:tcW w:w="1446" w:type="dxa"/>
            <w:tcMar>
              <w:left w:w="115" w:type="dxa"/>
              <w:right w:w="115" w:type="dxa"/>
            </w:tcMar>
            <w:vAlign w:val="center"/>
          </w:tcPr>
          <w:p w:rsidR="009C6CDC" w:rsidRDefault="009C6CDC">
            <w:pPr>
              <w:pStyle w:val="Title"/>
              <w:pBdr>
                <w:bottom w:val="none" w:sz="0" w:space="0" w:color="000000"/>
              </w:pBdr>
              <w:spacing w:after="0"/>
              <w:jc w:val="center"/>
              <w:rPr>
                <w:rFonts w:ascii="Times New Roman" w:eastAsia="Times New Roman" w:hAnsi="Times New Roman" w:cs="Times New Roman"/>
                <w:b/>
                <w:color w:val="000000"/>
                <w:sz w:val="16"/>
                <w:szCs w:val="16"/>
              </w:rPr>
            </w:pPr>
          </w:p>
          <w:p w:rsidR="009C6CDC" w:rsidRDefault="0097621D">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noProof/>
                <w:sz w:val="44"/>
                <w:szCs w:val="44"/>
              </w:rPr>
              <w:drawing>
                <wp:inline distT="0" distB="0" distL="0" distR="0">
                  <wp:extent cx="695325" cy="704850"/>
                  <wp:effectExtent l="0" t="0" r="0" b="0"/>
                  <wp:docPr id="4" name="image2.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2.jpg" descr="Seal of the Commonwealth of Virginia"/>
                          <pic:cNvPicPr preferRelativeResize="0"/>
                        </pic:nvPicPr>
                        <pic:blipFill>
                          <a:blip r:embed="rId7"/>
                          <a:srcRect/>
                          <a:stretch>
                            <a:fillRect/>
                          </a:stretch>
                        </pic:blipFill>
                        <pic:spPr>
                          <a:xfrm>
                            <a:off x="0" y="0"/>
                            <a:ext cx="695325" cy="704850"/>
                          </a:xfrm>
                          <a:prstGeom prst="rect">
                            <a:avLst/>
                          </a:prstGeom>
                          <a:ln/>
                        </pic:spPr>
                      </pic:pic>
                    </a:graphicData>
                  </a:graphic>
                </wp:inline>
              </w:drawing>
            </w:r>
          </w:p>
        </w:tc>
      </w:tr>
    </w:tbl>
    <w:p w:rsidR="009C6CDC" w:rsidRDefault="0097621D">
      <w:pPr>
        <w:pStyle w:val="Heading1"/>
        <w:spacing w:before="0"/>
      </w:pPr>
      <w:r>
        <w:br/>
        <w:t>Agenda Item:</w:t>
      </w:r>
      <w:r>
        <w:tab/>
      </w:r>
      <w:r>
        <w:tab/>
        <w:t>G</w:t>
      </w:r>
      <w:r>
        <w:br/>
      </w:r>
    </w:p>
    <w:p w:rsidR="009C6CDC" w:rsidRDefault="0097621D">
      <w:pPr>
        <w:pStyle w:val="Heading1"/>
        <w:spacing w:before="0"/>
      </w:pPr>
      <w:r>
        <w:t>Date:</w:t>
      </w:r>
      <w:r>
        <w:tab/>
      </w:r>
      <w:r>
        <w:tab/>
      </w:r>
      <w:r>
        <w:tab/>
        <w:t>June 17, 2021</w:t>
      </w:r>
    </w:p>
    <w:p w:rsidR="009C6CDC" w:rsidRDefault="009C6CDC">
      <w:pPr>
        <w:spacing w:after="0"/>
      </w:pPr>
    </w:p>
    <w:p w:rsidR="009C6CDC" w:rsidRDefault="0097621D">
      <w:pPr>
        <w:pStyle w:val="Heading2"/>
        <w:spacing w:before="0" w:after="0"/>
        <w:ind w:left="2160" w:hanging="2160"/>
      </w:pPr>
      <w:r>
        <w:t xml:space="preserve">Title: </w:t>
      </w:r>
      <w:r>
        <w:tab/>
      </w:r>
      <w:r>
        <w:rPr>
          <w:color w:val="222222"/>
          <w:highlight w:val="white"/>
        </w:rPr>
        <w:t xml:space="preserve">First Review of a Notice of Intended Regulatory Action (NOIRA) to Amend the </w:t>
      </w:r>
      <w:r>
        <w:rPr>
          <w:i/>
          <w:color w:val="222222"/>
          <w:highlight w:val="white"/>
        </w:rPr>
        <w:t xml:space="preserve">Licensure Regulations for School Personnel </w:t>
      </w:r>
      <w:r>
        <w:rPr>
          <w:color w:val="222222"/>
          <w:highlight w:val="white"/>
        </w:rPr>
        <w:t>(8VAC20-23) to Include Instruction in Cultural Competency for Initial Licensure and Renewal of a License</w:t>
      </w:r>
      <w:r>
        <w:rPr>
          <w:i/>
        </w:rPr>
        <w:t xml:space="preserve"> </w:t>
      </w:r>
    </w:p>
    <w:p w:rsidR="009C6CDC" w:rsidRDefault="009C6CDC">
      <w:pPr>
        <w:spacing w:after="0"/>
      </w:pPr>
    </w:p>
    <w:p w:rsidR="009C6CDC" w:rsidRDefault="0097621D">
      <w:pPr>
        <w:pStyle w:val="Heading3"/>
        <w:spacing w:before="0"/>
      </w:pPr>
      <w:r>
        <w:t xml:space="preserve">Presenter: </w:t>
      </w:r>
      <w:r>
        <w:tab/>
      </w:r>
      <w:r>
        <w:tab/>
        <w:t>Maggie M. Clemmons, Director of Licensure and School Leadership</w:t>
      </w:r>
    </w:p>
    <w:p w:rsidR="009C6CDC" w:rsidRDefault="009C6CDC">
      <w:pPr>
        <w:spacing w:after="0"/>
      </w:pPr>
    </w:p>
    <w:p w:rsidR="009C6CDC" w:rsidRDefault="0097621D">
      <w:pPr>
        <w:pStyle w:val="Heading4"/>
        <w:spacing w:before="0"/>
      </w:pPr>
      <w:r>
        <w:t>Email:</w:t>
      </w:r>
      <w:r>
        <w:tab/>
        <w:t xml:space="preserve">  </w:t>
      </w:r>
      <w:r>
        <w:tab/>
      </w:r>
      <w:r>
        <w:tab/>
      </w:r>
      <w:hyperlink r:id="rId8">
        <w:r>
          <w:rPr>
            <w:color w:val="0000FF"/>
            <w:u w:val="single"/>
          </w:rPr>
          <w:t>M</w:t>
        </w:r>
        <w:r>
          <w:rPr>
            <w:color w:val="0000FF"/>
            <w:u w:val="single"/>
          </w:rPr>
          <w:t>aggie.Clemmons@doe.virginia.gov</w:t>
        </w:r>
      </w:hyperlink>
      <w:r>
        <w:t xml:space="preserve"> </w:t>
      </w:r>
      <w:r>
        <w:tab/>
        <w:t>Phone: (804) 371-2476</w:t>
      </w:r>
    </w:p>
    <w:p w:rsidR="009C6CDC" w:rsidRDefault="009C6CDC">
      <w:pPr>
        <w:spacing w:after="0"/>
      </w:pPr>
    </w:p>
    <w:p w:rsidR="009C6CDC" w:rsidRDefault="0097621D">
      <w:pPr>
        <w:pStyle w:val="Heading2"/>
        <w:spacing w:before="0" w:after="0" w:line="240" w:lineRule="auto"/>
      </w:pPr>
      <w:r>
        <w:t xml:space="preserve">Purpose of Presentation: </w:t>
      </w:r>
    </w:p>
    <w:p w:rsidR="009C6CDC" w:rsidRDefault="0097621D">
      <w:pPr>
        <w:spacing w:after="0"/>
        <w:rPr>
          <w:b/>
        </w:rPr>
      </w:pPr>
      <w:r>
        <w:t>Action required by state or federal law or regulation.</w:t>
      </w:r>
    </w:p>
    <w:p w:rsidR="009C6CDC" w:rsidRDefault="0097621D">
      <w:pPr>
        <w:pStyle w:val="Heading2"/>
        <w:spacing w:before="0" w:after="0" w:line="240" w:lineRule="auto"/>
      </w:pPr>
      <w:r>
        <w:br/>
        <w:t>Executive Summary:</w:t>
      </w:r>
    </w:p>
    <w:p w:rsidR="009C6CDC" w:rsidRDefault="0097621D">
      <w:pPr>
        <w:spacing w:after="0" w:line="240" w:lineRule="auto"/>
        <w:rPr>
          <w:highlight w:val="white"/>
        </w:rPr>
      </w:pPr>
      <w:r>
        <w:t xml:space="preserve">The notice of intended regulatory action is to amend the </w:t>
      </w:r>
      <w:r>
        <w:rPr>
          <w:i/>
        </w:rPr>
        <w:t>Licensure Regulations for School Personnel</w:t>
      </w:r>
      <w:r>
        <w:rPr>
          <w:i/>
        </w:rPr>
        <w:t xml:space="preserve"> </w:t>
      </w:r>
      <w:r>
        <w:t xml:space="preserve">to comport with legislation passed in the 2021 General Assembly. The </w:t>
      </w:r>
      <w:r>
        <w:rPr>
          <w:i/>
        </w:rPr>
        <w:t>Licensure Regulations for School Personnel</w:t>
      </w:r>
      <w:r>
        <w:t xml:space="preserve"> set out licensure requirements for Virginia’s public school personnel. The 2021 Virginia General Assembly approved</w:t>
      </w:r>
      <w:r>
        <w:rPr>
          <w:highlight w:val="white"/>
        </w:rPr>
        <w:t xml:space="preserve"> </w:t>
      </w:r>
      <w:hyperlink r:id="rId9">
        <w:r>
          <w:rPr>
            <w:color w:val="000000"/>
            <w:u w:val="single"/>
          </w:rPr>
          <w:t>HB 1904</w:t>
        </w:r>
      </w:hyperlink>
      <w:r>
        <w:t xml:space="preserve"> (Jenkins) and </w:t>
      </w:r>
      <w:hyperlink r:id="rId10">
        <w:r>
          <w:rPr>
            <w:color w:val="000000"/>
            <w:u w:val="single"/>
          </w:rPr>
          <w:t>SB 1196</w:t>
        </w:r>
      </w:hyperlink>
      <w:r>
        <w:t xml:space="preserve"> (Locke), which in part </w:t>
      </w:r>
      <w:r>
        <w:rPr>
          <w:highlight w:val="white"/>
        </w:rPr>
        <w:t xml:space="preserve">amends </w:t>
      </w:r>
      <w:hyperlink r:id="rId11">
        <w:r>
          <w:rPr>
            <w:color w:val="0000FF"/>
            <w:highlight w:val="white"/>
            <w:u w:val="single"/>
          </w:rPr>
          <w:t>§ 22.1-298.1</w:t>
        </w:r>
      </w:hyperlink>
      <w:r>
        <w:rPr>
          <w:color w:val="333333"/>
          <w:highlight w:val="white"/>
        </w:rPr>
        <w:t xml:space="preserve"> </w:t>
      </w:r>
      <w:r>
        <w:t xml:space="preserve">of </w:t>
      </w:r>
      <w:r>
        <w:rPr>
          <w:highlight w:val="white"/>
        </w:rPr>
        <w:t xml:space="preserve">the </w:t>
      </w:r>
      <w:r>
        <w:rPr>
          <w:i/>
          <w:highlight w:val="white"/>
        </w:rPr>
        <w:t>Code of Virginia</w:t>
      </w:r>
      <w:r>
        <w:rPr>
          <w:highlight w:val="white"/>
        </w:rPr>
        <w:t>.</w:t>
      </w:r>
    </w:p>
    <w:p w:rsidR="009C6CDC" w:rsidRDefault="009C6CDC">
      <w:pPr>
        <w:spacing w:after="0" w:line="240" w:lineRule="auto"/>
        <w:rPr>
          <w:highlight w:val="white"/>
        </w:rPr>
      </w:pPr>
    </w:p>
    <w:p w:rsidR="009C6CDC" w:rsidRDefault="0097621D">
      <w:pPr>
        <w:spacing w:after="0" w:line="240" w:lineRule="auto"/>
      </w:pPr>
      <w:hyperlink r:id="rId12">
        <w:r>
          <w:rPr>
            <w:color w:val="0000FF"/>
            <w:u w:val="single"/>
          </w:rPr>
          <w:t>HB 1904</w:t>
        </w:r>
      </w:hyperlink>
      <w:r>
        <w:t xml:space="preserve"> (Jenkins) and </w:t>
      </w:r>
      <w:hyperlink r:id="rId13">
        <w:r>
          <w:rPr>
            <w:color w:val="0000FF"/>
            <w:u w:val="single"/>
          </w:rPr>
          <w:t>SB 1196</w:t>
        </w:r>
      </w:hyperlink>
      <w:r>
        <w:t xml:space="preserve"> (Locke) were identical bills that support a cultural competent educator workforce in the Commonwealth. Specifically, this legislation requires that any person seeking initial licensure or renewal of a</w:t>
      </w:r>
      <w:r>
        <w:t xml:space="preserve"> license shall complete instruction or training in cultural competency as prescribed by the Board. </w:t>
      </w:r>
    </w:p>
    <w:p w:rsidR="009C6CDC" w:rsidRDefault="009C6CDC">
      <w:pPr>
        <w:spacing w:after="0" w:line="240" w:lineRule="auto"/>
      </w:pPr>
    </w:p>
    <w:p w:rsidR="009C6CDC" w:rsidRDefault="0097621D">
      <w:pPr>
        <w:spacing w:after="0" w:line="240" w:lineRule="auto"/>
      </w:pPr>
      <w:r>
        <w:t xml:space="preserve">To reflect these changes, amendments to </w:t>
      </w:r>
      <w:r>
        <w:rPr>
          <w:highlight w:val="white"/>
        </w:rPr>
        <w:t>t</w:t>
      </w:r>
      <w:r>
        <w:t xml:space="preserve">he </w:t>
      </w:r>
      <w:r>
        <w:rPr>
          <w:i/>
        </w:rPr>
        <w:t xml:space="preserve">Licensure Regulations for School Personnel </w:t>
      </w:r>
      <w:r>
        <w:t>(</w:t>
      </w:r>
      <w:hyperlink r:id="rId14">
        <w:r>
          <w:rPr>
            <w:color w:val="0000FF"/>
            <w:u w:val="single"/>
          </w:rPr>
          <w:t>8VAC20-23-40</w:t>
        </w:r>
      </w:hyperlink>
      <w:r>
        <w:t>) are required. This initiative supports the Board of Education’s Comprehensive Plan to recruit, develop, and retain well-prepared and skilled teachers.</w:t>
      </w:r>
    </w:p>
    <w:p w:rsidR="009C6CDC" w:rsidRDefault="009C6CDC">
      <w:pPr>
        <w:spacing w:after="0" w:line="240" w:lineRule="auto"/>
      </w:pPr>
    </w:p>
    <w:p w:rsidR="009C6CDC" w:rsidRDefault="0097621D">
      <w:pPr>
        <w:pStyle w:val="Heading2"/>
        <w:spacing w:before="0" w:after="0"/>
      </w:pPr>
      <w:r>
        <w:t xml:space="preserve">Action Requested:  </w:t>
      </w:r>
    </w:p>
    <w:p w:rsidR="009C6CDC" w:rsidRDefault="0097621D">
      <w:pPr>
        <w:spacing w:after="0" w:line="240" w:lineRule="auto"/>
      </w:pPr>
      <w:r>
        <w:t>Other. Specify below:</w:t>
      </w:r>
    </w:p>
    <w:p w:rsidR="009C6CDC" w:rsidRDefault="0097621D">
      <w:pPr>
        <w:spacing w:after="0" w:line="240" w:lineRule="auto"/>
      </w:pPr>
      <w:r>
        <w:t>The Board is request</w:t>
      </w:r>
      <w:r>
        <w:t xml:space="preserve">ed to waive first review and approve the Notice of Intended Regulatory Action (NOIRA) to amend the </w:t>
      </w:r>
      <w:r>
        <w:rPr>
          <w:i/>
        </w:rPr>
        <w:t>Licensure Regulations for School Personnel</w:t>
      </w:r>
      <w:r>
        <w:t>.</w:t>
      </w:r>
    </w:p>
    <w:p w:rsidR="009C6CDC" w:rsidRDefault="0097621D">
      <w:pPr>
        <w:pStyle w:val="Heading2"/>
        <w:spacing w:before="0" w:after="0" w:line="240" w:lineRule="auto"/>
      </w:pPr>
      <w:r>
        <w:lastRenderedPageBreak/>
        <w:t>Superintendent’s Recommendation:</w:t>
      </w:r>
    </w:p>
    <w:p w:rsidR="009C6CDC" w:rsidRDefault="0097621D">
      <w:pPr>
        <w:rPr>
          <w:b/>
        </w:rPr>
      </w:pPr>
      <w:r>
        <w:t>The Superintendent of Public Instruction recommends the Board of Education waive</w:t>
      </w:r>
      <w:r>
        <w:t xml:space="preserve"> first review and approve the Notice of Intended Regulation Action to begin the process to amend the </w:t>
      </w:r>
      <w:r>
        <w:rPr>
          <w:i/>
        </w:rPr>
        <w:t xml:space="preserve">Licensure Regulations for School Personnel </w:t>
      </w:r>
      <w:r>
        <w:t xml:space="preserve">to </w:t>
      </w:r>
      <w:r>
        <w:rPr>
          <w:color w:val="222222"/>
          <w:highlight w:val="white"/>
        </w:rPr>
        <w:t>include instruction in cultural competency for initial licensure and renewal of a license</w:t>
      </w:r>
      <w:r>
        <w:t>.</w:t>
      </w:r>
    </w:p>
    <w:p w:rsidR="009C6CDC" w:rsidRDefault="0097621D">
      <w:pPr>
        <w:pStyle w:val="Heading2"/>
        <w:spacing w:before="0" w:after="0" w:line="240" w:lineRule="auto"/>
      </w:pPr>
      <w:r>
        <w:t>Previous Review or</w:t>
      </w:r>
      <w:r>
        <w:t xml:space="preserve"> Action:  </w:t>
      </w:r>
    </w:p>
    <w:p w:rsidR="009C6CDC" w:rsidRDefault="0097621D">
      <w:pPr>
        <w:spacing w:after="0"/>
        <w:rPr>
          <w:b/>
        </w:rPr>
      </w:pPr>
      <w:r>
        <w:t>No previous review or action.</w:t>
      </w:r>
    </w:p>
    <w:p w:rsidR="009C6CDC" w:rsidRDefault="009C6CDC">
      <w:pPr>
        <w:pStyle w:val="Heading2"/>
        <w:spacing w:before="0" w:after="0"/>
      </w:pPr>
    </w:p>
    <w:p w:rsidR="009C6CDC" w:rsidRDefault="0097621D">
      <w:pPr>
        <w:pStyle w:val="Heading2"/>
        <w:spacing w:before="0" w:after="0"/>
      </w:pPr>
      <w:r>
        <w:t xml:space="preserve">Background Information and Statutory Authority: </w:t>
      </w:r>
    </w:p>
    <w:p w:rsidR="009C6CDC" w:rsidRDefault="0097621D">
      <w:pPr>
        <w:pBdr>
          <w:top w:val="nil"/>
          <w:left w:val="nil"/>
          <w:bottom w:val="nil"/>
          <w:right w:val="nil"/>
          <w:between w:val="nil"/>
        </w:pBdr>
        <w:spacing w:after="0" w:line="240" w:lineRule="auto"/>
        <w:rPr>
          <w:color w:val="000000"/>
        </w:rPr>
      </w:pPr>
      <w:r>
        <w:rPr>
          <w:color w:val="000000"/>
        </w:rPr>
        <w:t xml:space="preserve">The Board of Education has the statutory authority to prescribe requirements for the licensure of teachers and school personnel.  Section </w:t>
      </w:r>
      <w:hyperlink r:id="rId15">
        <w:r>
          <w:rPr>
            <w:color w:val="0000FF"/>
            <w:u w:val="single"/>
          </w:rPr>
          <w:t>22.1-298.1</w:t>
        </w:r>
      </w:hyperlink>
      <w:r>
        <w:rPr>
          <w:color w:val="000000"/>
        </w:rPr>
        <w:t xml:space="preserve">  of the </w:t>
      </w:r>
      <w:r>
        <w:rPr>
          <w:i/>
          <w:color w:val="000000"/>
        </w:rPr>
        <w:t>Code of Virginia</w:t>
      </w:r>
      <w:r>
        <w:rPr>
          <w:color w:val="000000"/>
        </w:rPr>
        <w:t xml:space="preserve">, provides, in part, the following:  </w:t>
      </w:r>
    </w:p>
    <w:p w:rsidR="009C6CDC" w:rsidRDefault="0097621D">
      <w:pPr>
        <w:pBdr>
          <w:top w:val="single" w:sz="4" w:space="1" w:color="000000"/>
          <w:left w:val="single" w:sz="4" w:space="4" w:color="000000"/>
          <w:bottom w:val="single" w:sz="4" w:space="1" w:color="000000"/>
          <w:right w:val="single" w:sz="4" w:space="0" w:color="000000"/>
        </w:pBdr>
        <w:spacing w:before="280" w:after="280"/>
        <w:ind w:left="720"/>
      </w:pPr>
      <w:r>
        <w:t>§ 22.1-298.1. Regulations governing licensure.</w:t>
      </w:r>
    </w:p>
    <w:p w:rsidR="009C6CDC" w:rsidRDefault="0097621D">
      <w:pPr>
        <w:pBdr>
          <w:top w:val="single" w:sz="4" w:space="1" w:color="000000"/>
          <w:left w:val="single" w:sz="4" w:space="4" w:color="000000"/>
          <w:bottom w:val="single" w:sz="4" w:space="1" w:color="000000"/>
          <w:right w:val="single" w:sz="4" w:space="0" w:color="000000"/>
        </w:pBdr>
        <w:spacing w:before="280" w:after="280"/>
        <w:ind w:left="720"/>
      </w:pPr>
      <w:r>
        <w:t>B. The Board of Education shall prescribe, b</w:t>
      </w:r>
      <w:r>
        <w:t>y regulation, the requirements for the licensure of teachers and other school personnel required to hold a license.</w:t>
      </w:r>
    </w:p>
    <w:p w:rsidR="009C6CDC" w:rsidRDefault="0097621D">
      <w:pPr>
        <w:spacing w:after="0" w:line="240" w:lineRule="auto"/>
        <w:rPr>
          <w:highlight w:val="white"/>
        </w:rPr>
      </w:pPr>
      <w:r>
        <w:t>The 2021 Virginia General Assembly approved</w:t>
      </w:r>
      <w:r>
        <w:rPr>
          <w:highlight w:val="white"/>
        </w:rPr>
        <w:t xml:space="preserve"> </w:t>
      </w:r>
      <w:hyperlink r:id="rId16">
        <w:r>
          <w:rPr>
            <w:color w:val="0000FF"/>
            <w:u w:val="single"/>
          </w:rPr>
          <w:t>HB</w:t>
        </w:r>
        <w:r>
          <w:rPr>
            <w:color w:val="0000FF"/>
            <w:u w:val="single"/>
          </w:rPr>
          <w:t xml:space="preserve"> 1904</w:t>
        </w:r>
      </w:hyperlink>
      <w:r>
        <w:t xml:space="preserve"> (Jenkins) and </w:t>
      </w:r>
      <w:hyperlink r:id="rId17">
        <w:r>
          <w:rPr>
            <w:color w:val="0000FF"/>
            <w:u w:val="single"/>
          </w:rPr>
          <w:t>SB 1196</w:t>
        </w:r>
      </w:hyperlink>
      <w:r>
        <w:t xml:space="preserve"> (Locke), which in part </w:t>
      </w:r>
      <w:r>
        <w:rPr>
          <w:color w:val="333333"/>
          <w:highlight w:val="white"/>
        </w:rPr>
        <w:t xml:space="preserve">amends </w:t>
      </w:r>
      <w:hyperlink r:id="rId18">
        <w:r>
          <w:rPr>
            <w:color w:val="0000FF"/>
            <w:highlight w:val="white"/>
            <w:u w:val="single"/>
          </w:rPr>
          <w:t>§ 22.1-298.1</w:t>
        </w:r>
      </w:hyperlink>
      <w:r>
        <w:rPr>
          <w:color w:val="333333"/>
          <w:highlight w:val="white"/>
        </w:rPr>
        <w:t xml:space="preserve"> </w:t>
      </w:r>
      <w:r>
        <w:t xml:space="preserve">of </w:t>
      </w:r>
      <w:r>
        <w:rPr>
          <w:color w:val="333333"/>
          <w:highlight w:val="white"/>
        </w:rPr>
        <w:t xml:space="preserve">the </w:t>
      </w:r>
      <w:r>
        <w:rPr>
          <w:i/>
          <w:color w:val="333333"/>
          <w:highlight w:val="white"/>
        </w:rPr>
        <w:t>Code of Virginia</w:t>
      </w:r>
      <w:r>
        <w:rPr>
          <w:color w:val="333333"/>
          <w:highlight w:val="white"/>
        </w:rPr>
        <w:t>.</w:t>
      </w:r>
    </w:p>
    <w:p w:rsidR="009C6CDC" w:rsidRDefault="009C6CDC">
      <w:pPr>
        <w:spacing w:after="0" w:line="240" w:lineRule="auto"/>
        <w:rPr>
          <w:highlight w:val="white"/>
        </w:rPr>
      </w:pPr>
    </w:p>
    <w:p w:rsidR="009C6CDC" w:rsidRDefault="0097621D">
      <w:pPr>
        <w:spacing w:after="0" w:line="240" w:lineRule="auto"/>
      </w:pPr>
      <w:hyperlink r:id="rId19">
        <w:r>
          <w:rPr>
            <w:color w:val="0000FF"/>
            <w:u w:val="single"/>
          </w:rPr>
          <w:t>HB 1904</w:t>
        </w:r>
      </w:hyperlink>
      <w:r>
        <w:t xml:space="preserve"> (Jenkins) and </w:t>
      </w:r>
      <w:hyperlink r:id="rId20">
        <w:r>
          <w:rPr>
            <w:color w:val="0000FF"/>
            <w:u w:val="single"/>
          </w:rPr>
          <w:t>SB 1196</w:t>
        </w:r>
      </w:hyperlink>
      <w:r>
        <w:t xml:space="preserve"> (Locke) were identical bills that support a cultural competent educator workforce in the Commonwealth. Specifically, this legislation requires:</w:t>
      </w:r>
    </w:p>
    <w:p w:rsidR="009C6CDC" w:rsidRDefault="009C6CDC">
      <w:pPr>
        <w:spacing w:after="0" w:line="240" w:lineRule="auto"/>
      </w:pPr>
    </w:p>
    <w:p w:rsidR="009C6CDC" w:rsidRDefault="009C6CDC">
      <w:pPr>
        <w:spacing w:after="0" w:line="240" w:lineRule="auto"/>
      </w:pPr>
    </w:p>
    <w:p w:rsidR="009C6CDC" w:rsidRDefault="0097621D">
      <w:pPr>
        <w:pBdr>
          <w:top w:val="single" w:sz="4" w:space="1" w:color="000000"/>
          <w:left w:val="single" w:sz="4" w:space="4" w:color="000000"/>
          <w:bottom w:val="single" w:sz="4" w:space="1" w:color="000000"/>
          <w:right w:val="single" w:sz="4" w:space="4" w:color="000000"/>
        </w:pBdr>
        <w:spacing w:after="0" w:line="240" w:lineRule="auto"/>
        <w:ind w:left="720"/>
      </w:pPr>
      <w:r>
        <w:t>9. Every person seeking initial licensure or renewal of a license shall complete instruction or training in c</w:t>
      </w:r>
      <w:r>
        <w:t>ultural competency.</w:t>
      </w:r>
    </w:p>
    <w:p w:rsidR="009C6CDC" w:rsidRDefault="009C6CDC">
      <w:pPr>
        <w:spacing w:after="0" w:line="240" w:lineRule="auto"/>
      </w:pPr>
    </w:p>
    <w:p w:rsidR="009C6CDC" w:rsidRDefault="009C6CDC">
      <w:pPr>
        <w:spacing w:after="0" w:line="240" w:lineRule="auto"/>
      </w:pPr>
    </w:p>
    <w:p w:rsidR="009C6CDC" w:rsidRDefault="0097621D">
      <w:pPr>
        <w:spacing w:after="0" w:line="240" w:lineRule="auto"/>
      </w:pPr>
      <w:r>
        <w:t xml:space="preserve">The proposed amendments to the </w:t>
      </w:r>
      <w:r>
        <w:rPr>
          <w:i/>
        </w:rPr>
        <w:t>Licensure Regulations for School Personnel</w:t>
      </w:r>
      <w:r>
        <w:t xml:space="preserve"> will incorporate this legislative change. </w:t>
      </w:r>
    </w:p>
    <w:p w:rsidR="009C6CDC" w:rsidRDefault="009C6CDC">
      <w:pPr>
        <w:pStyle w:val="Heading2"/>
        <w:spacing w:before="0" w:after="0"/>
      </w:pPr>
    </w:p>
    <w:p w:rsidR="009C6CDC" w:rsidRDefault="0097621D">
      <w:pPr>
        <w:pStyle w:val="Heading2"/>
        <w:spacing w:before="0" w:after="0"/>
      </w:pPr>
      <w:r>
        <w:t>Timetable for Further Review/Action:</w:t>
      </w:r>
      <w:r>
        <w:br/>
      </w:r>
      <w:r>
        <w:rPr>
          <w:b w:val="0"/>
        </w:rPr>
        <w:t>Following Board approval, the NOIRA will be submitted to Town Hall for executive branch review. The timetable for further action will be governed by the standard rulemaking requirements of the Administrative Process Act (APA).</w:t>
      </w:r>
      <w:r>
        <w:br/>
      </w:r>
    </w:p>
    <w:p w:rsidR="009C6CDC" w:rsidRDefault="0097621D">
      <w:pPr>
        <w:pStyle w:val="Heading2"/>
        <w:spacing w:before="0" w:after="0" w:line="240" w:lineRule="auto"/>
      </w:pPr>
      <w:r>
        <w:t>Impact on Fiscal and Human R</w:t>
      </w:r>
      <w:r>
        <w:t xml:space="preserve">esources: </w:t>
      </w:r>
    </w:p>
    <w:p w:rsidR="009C6CDC" w:rsidRDefault="0097621D" w:rsidP="0097621D">
      <w:pPr>
        <w:spacing w:after="0"/>
      </w:pPr>
      <w:r>
        <w:t>The administrative impact required in amending the regulations will be absorbed within existing resources.</w:t>
      </w:r>
      <w:bookmarkStart w:id="0" w:name="_GoBack"/>
      <w:bookmarkEnd w:id="0"/>
    </w:p>
    <w:sectPr w:rsidR="009C6CDC">
      <w:footerReference w:type="default" r:id="rId21"/>
      <w:pgSz w:w="12240" w:h="15840"/>
      <w:pgMar w:top="126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7621D">
      <w:pPr>
        <w:spacing w:after="0" w:line="240" w:lineRule="auto"/>
      </w:pPr>
      <w:r>
        <w:separator/>
      </w:r>
    </w:p>
  </w:endnote>
  <w:endnote w:type="continuationSeparator" w:id="0">
    <w:p w:rsidR="00000000" w:rsidRDefault="00976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CDC" w:rsidRDefault="0097621D">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524E3C">
      <w:rPr>
        <w:color w:val="000000"/>
      </w:rPr>
      <w:fldChar w:fldCharType="separate"/>
    </w:r>
    <w:r>
      <w:rPr>
        <w:noProof/>
        <w:color w:val="000000"/>
      </w:rPr>
      <w:t>2</w:t>
    </w:r>
    <w:r>
      <w:rPr>
        <w:color w:val="000000"/>
      </w:rPr>
      <w:fldChar w:fldCharType="end"/>
    </w:r>
  </w:p>
  <w:p w:rsidR="009C6CDC" w:rsidRDefault="009C6CD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7621D">
      <w:pPr>
        <w:spacing w:after="0" w:line="240" w:lineRule="auto"/>
      </w:pPr>
      <w:r>
        <w:separator/>
      </w:r>
    </w:p>
  </w:footnote>
  <w:footnote w:type="continuationSeparator" w:id="0">
    <w:p w:rsidR="00000000" w:rsidRDefault="009762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CDC"/>
    <w:rsid w:val="00524E3C"/>
    <w:rsid w:val="0097621D"/>
    <w:rsid w:val="009C6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75E264-6204-4F39-90A4-30E53DC8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CC6"/>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b/>
      <w:bCs/>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rsid w:val="00D9096B"/>
    <w:rPr>
      <w:rFonts w:ascii="Times New Roman" w:eastAsiaTheme="majorEastAsia" w:hAnsi="Times New Roman" w:cs="Times New Roman"/>
      <w:b/>
      <w:bCs/>
      <w:sz w:val="24"/>
      <w:szCs w:val="24"/>
    </w:rPr>
  </w:style>
  <w:style w:type="paragraph" w:styleId="Header">
    <w:name w:val="header"/>
    <w:basedOn w:val="Normal"/>
    <w:link w:val="HeaderChar"/>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style>
  <w:style w:type="paragraph" w:customStyle="1" w:styleId="Text">
    <w:name w:val="Text"/>
    <w:rsid w:val="00004853"/>
    <w:pPr>
      <w:spacing w:before="240" w:after="0" w:line="360" w:lineRule="auto"/>
    </w:pPr>
    <w:rPr>
      <w:szCs w:val="20"/>
    </w:rPr>
  </w:style>
  <w:style w:type="paragraph" w:customStyle="1" w:styleId="bodytext5">
    <w:name w:val="body text 5"/>
    <w:basedOn w:val="BodyText"/>
    <w:rsid w:val="00004853"/>
    <w:pPr>
      <w:spacing w:before="240" w:after="0" w:line="240" w:lineRule="auto"/>
    </w:pPr>
    <w:rPr>
      <w:rFonts w:ascii="Arial" w:hAnsi="Arial"/>
      <w:b/>
      <w:sz w:val="22"/>
      <w:szCs w:val="20"/>
    </w:rPr>
  </w:style>
  <w:style w:type="paragraph" w:customStyle="1" w:styleId="bodytext6">
    <w:name w:val="body text6"/>
    <w:basedOn w:val="Normal"/>
    <w:rsid w:val="00004853"/>
    <w:pPr>
      <w:spacing w:after="0" w:line="240" w:lineRule="auto"/>
    </w:pPr>
    <w:rPr>
      <w:rFonts w:ascii="Arial" w:hAnsi="Arial"/>
      <w:sz w:val="22"/>
      <w:szCs w:val="20"/>
    </w:rPr>
  </w:style>
  <w:style w:type="paragraph" w:styleId="BodyText3">
    <w:name w:val="Body Text 3"/>
    <w:basedOn w:val="Normal"/>
    <w:link w:val="BodyText3Char"/>
    <w:rsid w:val="00004853"/>
    <w:pPr>
      <w:spacing w:before="40" w:after="40" w:line="240" w:lineRule="auto"/>
    </w:pPr>
    <w:rPr>
      <w:b/>
      <w:i/>
      <w:sz w:val="20"/>
      <w:szCs w:val="20"/>
    </w:rPr>
  </w:style>
  <w:style w:type="character" w:customStyle="1" w:styleId="BodyText3Char">
    <w:name w:val="Body Text 3 Char"/>
    <w:basedOn w:val="DefaultParagraphFont"/>
    <w:link w:val="BodyText3"/>
    <w:rsid w:val="00004853"/>
    <w:rPr>
      <w:rFonts w:ascii="Times New Roman" w:eastAsia="Times New Roman" w:hAnsi="Times New Roman" w:cs="Times New Roman"/>
      <w:b/>
      <w:i/>
      <w:sz w:val="20"/>
      <w:szCs w:val="20"/>
    </w:rPr>
  </w:style>
  <w:style w:type="paragraph" w:customStyle="1" w:styleId="TemplateSubtitle">
    <w:name w:val="TemplateSubtitle"/>
    <w:basedOn w:val="Subtitle"/>
    <w:rsid w:val="00004853"/>
    <w:pPr>
      <w:pBdr>
        <w:top w:val="single" w:sz="4" w:space="6" w:color="0000FF"/>
        <w:left w:val="single" w:sz="4" w:space="4" w:color="0000FF"/>
        <w:bottom w:val="single" w:sz="4" w:space="6" w:color="0000FF"/>
        <w:right w:val="single" w:sz="4" w:space="4" w:color="0000FF"/>
      </w:pBdr>
      <w:shd w:val="clear" w:color="auto" w:fill="0000FF"/>
      <w:spacing w:after="0" w:line="240" w:lineRule="auto"/>
      <w:jc w:val="center"/>
    </w:pPr>
    <w:rPr>
      <w:rFonts w:ascii="Comic Sans MS" w:eastAsia="Times New Roman" w:hAnsi="Comic Sans MS" w:cs="Times New Roman"/>
      <w:b/>
      <w:i w:val="0"/>
      <w:color w:val="FFFFFF"/>
      <w:sz w:val="32"/>
      <w:szCs w:val="20"/>
    </w:rPr>
  </w:style>
  <w:style w:type="paragraph" w:customStyle="1" w:styleId="TemplateSection">
    <w:name w:val="TemplateSection"/>
    <w:basedOn w:val="Heading2"/>
    <w:rsid w:val="00004853"/>
    <w:pPr>
      <w:keepLines w:val="0"/>
      <w:spacing w:before="0" w:after="0" w:line="240" w:lineRule="auto"/>
    </w:pPr>
    <w:rPr>
      <w:rFonts w:ascii="Comic Sans MS" w:eastAsia="Times New Roman" w:hAnsi="Comic Sans MS"/>
      <w:bCs w:val="0"/>
      <w:sz w:val="26"/>
    </w:rPr>
  </w:style>
  <w:style w:type="character" w:styleId="Hyperlink">
    <w:name w:val="Hyperlink"/>
    <w:basedOn w:val="DefaultParagraphFont"/>
    <w:rsid w:val="00004853"/>
    <w:rPr>
      <w:color w:val="0000FF"/>
      <w:u w:val="single"/>
    </w:rPr>
  </w:style>
  <w:style w:type="paragraph" w:customStyle="1" w:styleId="bodytext50">
    <w:name w:val="bodytext5"/>
    <w:basedOn w:val="Normal"/>
    <w:rsid w:val="00004853"/>
    <w:pPr>
      <w:spacing w:before="240" w:after="0" w:line="240" w:lineRule="auto"/>
    </w:pPr>
    <w:rPr>
      <w:rFonts w:ascii="Arial" w:hAnsi="Arial" w:cs="Arial"/>
      <w:b/>
      <w:bCs/>
      <w:sz w:val="22"/>
    </w:rPr>
  </w:style>
  <w:style w:type="paragraph" w:styleId="Caption">
    <w:name w:val="caption"/>
    <w:basedOn w:val="Normal"/>
    <w:next w:val="Normal"/>
    <w:unhideWhenUsed/>
    <w:qFormat/>
    <w:rsid w:val="00004853"/>
    <w:pPr>
      <w:spacing w:line="240" w:lineRule="auto"/>
    </w:pPr>
    <w:rPr>
      <w:b/>
      <w:bCs/>
      <w:color w:val="4F81BD" w:themeColor="accent1"/>
      <w:sz w:val="18"/>
      <w:szCs w:val="18"/>
    </w:rPr>
  </w:style>
  <w:style w:type="paragraph" w:styleId="BodyText">
    <w:name w:val="Body Text"/>
    <w:basedOn w:val="Normal"/>
    <w:link w:val="BodyTextChar"/>
    <w:uiPriority w:val="99"/>
    <w:semiHidden/>
    <w:unhideWhenUsed/>
    <w:rsid w:val="00004853"/>
    <w:pPr>
      <w:spacing w:after="120"/>
    </w:pPr>
  </w:style>
  <w:style w:type="character" w:customStyle="1" w:styleId="BodyTextChar">
    <w:name w:val="Body Text Char"/>
    <w:basedOn w:val="DefaultParagraphFont"/>
    <w:link w:val="BodyText"/>
    <w:uiPriority w:val="99"/>
    <w:semiHidden/>
    <w:rsid w:val="00004853"/>
    <w:rPr>
      <w:rFonts w:ascii="Times New Roman" w:hAnsi="Times New Roman"/>
      <w:sz w:val="24"/>
    </w:rPr>
  </w:style>
  <w:style w:type="paragraph" w:styleId="Subtitle">
    <w:name w:val="Subtitle"/>
    <w:basedOn w:val="Normal"/>
    <w:next w:val="Normal"/>
    <w:link w:val="SubtitleChar"/>
    <w:rPr>
      <w:rFonts w:ascii="Cambria" w:eastAsia="Cambria" w:hAnsi="Cambria" w:cs="Cambria"/>
      <w:i/>
      <w:color w:val="4F81BD"/>
    </w:rPr>
  </w:style>
  <w:style w:type="character" w:customStyle="1" w:styleId="SubtitleChar">
    <w:name w:val="Subtitle Char"/>
    <w:basedOn w:val="DefaultParagraphFont"/>
    <w:link w:val="Subtitle"/>
    <w:uiPriority w:val="11"/>
    <w:rsid w:val="00004853"/>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7D7407"/>
    <w:rPr>
      <w:b w:val="0"/>
      <w:bCs w:val="0"/>
      <w:i/>
      <w:iCs/>
      <w:sz w:val="24"/>
      <w:szCs w:val="24"/>
    </w:rPr>
  </w:style>
  <w:style w:type="paragraph" w:styleId="NormalWeb">
    <w:name w:val="Normal (Web)"/>
    <w:basedOn w:val="Normal"/>
    <w:uiPriority w:val="99"/>
    <w:semiHidden/>
    <w:unhideWhenUsed/>
    <w:rsid w:val="007D7407"/>
    <w:pPr>
      <w:spacing w:before="135" w:after="90" w:line="240" w:lineRule="auto"/>
    </w:pPr>
  </w:style>
  <w:style w:type="paragraph" w:customStyle="1" w:styleId="purpose">
    <w:name w:val="purpose"/>
    <w:rsid w:val="00FC3CCF"/>
    <w:pPr>
      <w:spacing w:after="0" w:line="240" w:lineRule="auto"/>
    </w:pPr>
    <w:rPr>
      <w:rFonts w:ascii="Arial" w:hAnsi="Arial" w:cs="Arial"/>
      <w:sz w:val="20"/>
      <w:szCs w:val="20"/>
    </w:rPr>
  </w:style>
  <w:style w:type="character" w:styleId="FollowedHyperlink">
    <w:name w:val="FollowedHyperlink"/>
    <w:basedOn w:val="DefaultParagraphFont"/>
    <w:uiPriority w:val="99"/>
    <w:semiHidden/>
    <w:unhideWhenUsed/>
    <w:rsid w:val="00FC3CCF"/>
    <w:rPr>
      <w:color w:val="800080" w:themeColor="followedHyperlink"/>
      <w:u w:val="single"/>
    </w:rPr>
  </w:style>
  <w:style w:type="character" w:customStyle="1" w:styleId="il">
    <w:name w:val="il"/>
    <w:basedOn w:val="DefaultParagraphFont"/>
    <w:rsid w:val="00C44A37"/>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ggie.Clemmons@doe.virginia.gov" TargetMode="External"/><Relationship Id="rId13" Type="http://schemas.openxmlformats.org/officeDocument/2006/relationships/hyperlink" Target="https://lis.virginia.gov/cgi-bin/legp604.exe?212+sum+SB1196&amp;212+sum+SB1196" TargetMode="External"/><Relationship Id="rId18" Type="http://schemas.openxmlformats.org/officeDocument/2006/relationships/hyperlink" Target="http://law.lis.virginia.gov/vacode/22.1-298.1"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lis.virginia.gov/cgi-bin/legp604.exe?212+sum+HB1904&amp;212+sum+HB1904" TargetMode="External"/><Relationship Id="rId17" Type="http://schemas.openxmlformats.org/officeDocument/2006/relationships/hyperlink" Target="https://lis.virginia.gov/cgi-bin/legp604.exe?212+sum+SB1196&amp;212+sum+SB1196" TargetMode="External"/><Relationship Id="rId2" Type="http://schemas.openxmlformats.org/officeDocument/2006/relationships/styles" Target="styles.xml"/><Relationship Id="rId16" Type="http://schemas.openxmlformats.org/officeDocument/2006/relationships/hyperlink" Target="https://lis.virginia.gov/cgi-bin/legp604.exe?212+sum+HB1904&amp;212+sum+HB1904" TargetMode="External"/><Relationship Id="rId20" Type="http://schemas.openxmlformats.org/officeDocument/2006/relationships/hyperlink" Target="https://lis.virginia.gov/cgi-bin/legp604.exe?212+sum+SB1196&amp;212+sum+SB119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aw.lis.virginia.gov/vacode/22.1-298.1" TargetMode="External"/><Relationship Id="rId5" Type="http://schemas.openxmlformats.org/officeDocument/2006/relationships/footnotes" Target="footnotes.xml"/><Relationship Id="rId15" Type="http://schemas.openxmlformats.org/officeDocument/2006/relationships/hyperlink" Target="https://law.lis.virginia.gov/vacode/title22.1/chapter15/section22.1-298.1/" TargetMode="External"/><Relationship Id="rId23" Type="http://schemas.openxmlformats.org/officeDocument/2006/relationships/theme" Target="theme/theme1.xml"/><Relationship Id="rId10" Type="http://schemas.openxmlformats.org/officeDocument/2006/relationships/hyperlink" Target="https://lis.virginia.gov/cgi-bin/legp604.exe?212+sum+SB1196&amp;212+sum+SB1196" TargetMode="External"/><Relationship Id="rId19" Type="http://schemas.openxmlformats.org/officeDocument/2006/relationships/hyperlink" Target="https://lis.virginia.gov/cgi-bin/legp604.exe?212+sum+HB1904&amp;212+sum+HB1904" TargetMode="External"/><Relationship Id="rId4" Type="http://schemas.openxmlformats.org/officeDocument/2006/relationships/webSettings" Target="webSettings.xml"/><Relationship Id="rId9" Type="http://schemas.openxmlformats.org/officeDocument/2006/relationships/hyperlink" Target="https://lis.virginia.gov/cgi-bin/legp604.exe?212+sum+HB1904&amp;212+sum+HB1904" TargetMode="External"/><Relationship Id="rId14" Type="http://schemas.openxmlformats.org/officeDocument/2006/relationships/hyperlink" Target="https://law.lis.virginia.gov/admincode/title8/agency20/chapter23/section4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VbIC5bRtpeV1nEFNw5q9qAJ6yw==">AMUW2mXxrc97MjvbmSPT0PRIUebsjkMHjxQcYlqBaPkpfiyMa5Gf/pC0+ek5agIyhtm2hCGZAm+sg1o0ncNQAMKGEu64Xr/3nDe7q5l0b+BnLJSVjDgF5GTpo66EQOg+PqfOY8d4LN9e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Webb, Emily (DOE)</cp:lastModifiedBy>
  <cp:revision>2</cp:revision>
  <dcterms:created xsi:type="dcterms:W3CDTF">2021-06-03T20:53:00Z</dcterms:created>
  <dcterms:modified xsi:type="dcterms:W3CDTF">2021-06-03T20:53:00Z</dcterms:modified>
</cp:coreProperties>
</file>