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EC7099">
        <w:trPr>
          <w:trHeight w:val="144"/>
        </w:trPr>
        <w:tc>
          <w:tcPr>
            <w:tcW w:w="7824" w:type="dxa"/>
            <w:tcMar>
              <w:left w:w="115" w:type="dxa"/>
              <w:right w:w="115" w:type="dxa"/>
            </w:tcMar>
            <w:vAlign w:val="center"/>
          </w:tcPr>
          <w:p w:rsidR="00EC7099" w:rsidRDefault="00AC34AC">
            <w:pPr>
              <w:pStyle w:val="Title"/>
              <w:rPr>
                <w:rFonts w:ascii="Times New Roman" w:eastAsia="Times New Roman" w:hAnsi="Times New Roman" w:cs="Times New Roman"/>
                <w:b/>
                <w:sz w:val="36"/>
                <w:szCs w:val="36"/>
              </w:rPr>
            </w:pPr>
            <w:bookmarkStart w:id="0" w:name="_heading=h.gjdgxs" w:colFirst="0" w:colLast="0"/>
            <w:bookmarkEnd w:id="0"/>
            <w:r>
              <w:rPr>
                <w:rFonts w:ascii="Times New Roman" w:eastAsia="Times New Roman" w:hAnsi="Times New Roman" w:cs="Times New Roman"/>
                <w:b/>
                <w:sz w:val="36"/>
                <w:szCs w:val="36"/>
              </w:rPr>
              <w:t>Virginia Board of Education Agenda Item</w:t>
            </w:r>
          </w:p>
        </w:tc>
        <w:tc>
          <w:tcPr>
            <w:tcW w:w="1446" w:type="dxa"/>
            <w:tcMar>
              <w:left w:w="115" w:type="dxa"/>
              <w:right w:w="115" w:type="dxa"/>
            </w:tcMar>
            <w:vAlign w:val="center"/>
          </w:tcPr>
          <w:p w:rsidR="00EC7099" w:rsidRDefault="00EC7099">
            <w:pPr>
              <w:pStyle w:val="Title"/>
              <w:rPr>
                <w:rFonts w:ascii="Times New Roman" w:eastAsia="Times New Roman" w:hAnsi="Times New Roman" w:cs="Times New Roman"/>
                <w:b/>
                <w:sz w:val="16"/>
                <w:szCs w:val="16"/>
              </w:rPr>
            </w:pPr>
          </w:p>
          <w:p w:rsidR="00EC7099" w:rsidRDefault="00AC34AC">
            <w:pPr>
              <w:pStyle w:val="Title"/>
              <w:rPr>
                <w:rFonts w:ascii="Times New Roman" w:eastAsia="Times New Roman" w:hAnsi="Times New Roman" w:cs="Times New Roman"/>
                <w:b/>
                <w:sz w:val="36"/>
                <w:szCs w:val="36"/>
              </w:rPr>
            </w:pPr>
            <w:r>
              <w:rPr>
                <w:rFonts w:ascii="Times New Roman" w:hAnsi="Times New Roman"/>
                <w:b/>
                <w:noProof/>
                <w:sz w:val="44"/>
                <w:szCs w:val="44"/>
              </w:rPr>
              <w:drawing>
                <wp:inline distT="0" distB="0" distL="0" distR="0">
                  <wp:extent cx="695325" cy="704850"/>
                  <wp:effectExtent l="0" t="0" r="0" b="0"/>
                  <wp:docPr id="5"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EC7099" w:rsidRDefault="00AC34AC">
      <w:pPr>
        <w:pStyle w:val="Heading1"/>
        <w:spacing w:after="0"/>
        <w:jc w:val="left"/>
        <w:rPr>
          <w:rFonts w:ascii="Times New Roman" w:hAnsi="Times New Roman" w:cs="Times New Roman"/>
          <w:sz w:val="24"/>
          <w:szCs w:val="24"/>
        </w:rPr>
      </w:pPr>
      <w:r>
        <w:rPr>
          <w:rFonts w:ascii="Times New Roman" w:hAnsi="Times New Roman" w:cs="Times New Roman"/>
          <w:sz w:val="24"/>
          <w:szCs w:val="24"/>
        </w:rPr>
        <w:br/>
        <w:t>Agenda Item:</w:t>
      </w:r>
      <w:r>
        <w:rPr>
          <w:rFonts w:ascii="Times New Roman" w:hAnsi="Times New Roman" w:cs="Times New Roman"/>
          <w:sz w:val="24"/>
          <w:szCs w:val="24"/>
        </w:rPr>
        <w:tab/>
      </w:r>
      <w:r>
        <w:rPr>
          <w:rFonts w:ascii="Times New Roman" w:hAnsi="Times New Roman" w:cs="Times New Roman"/>
          <w:sz w:val="24"/>
          <w:szCs w:val="24"/>
        </w:rPr>
        <w:tab/>
        <w:t>O</w:t>
      </w:r>
    </w:p>
    <w:p w:rsidR="00EC7099" w:rsidRDefault="00AC34AC">
      <w:pPr>
        <w:pStyle w:val="Heading2"/>
        <w:pBdr>
          <w:bottom w:val="none" w:sz="0" w:space="0" w:color="000000"/>
        </w:pBdr>
        <w:spacing w:befor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November 18, 2021</w:t>
      </w:r>
    </w:p>
    <w:p w:rsidR="00EC7099" w:rsidRDefault="00EC7099"/>
    <w:p w:rsidR="00EC7099" w:rsidRDefault="00AC34AC">
      <w:pPr>
        <w:pStyle w:val="Heading3"/>
        <w:spacing w:before="0" w:after="0"/>
        <w:ind w:left="2160" w:hanging="2160"/>
        <w:jc w:val="left"/>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Written Report: Statewide Annual Performance Report for Career and Technical Education and the Virginia Community College System as a Sub-recipient of Perkins Funds from the Department of Education for School Year 2019-2020</w:t>
      </w:r>
    </w:p>
    <w:p w:rsidR="00EC7099" w:rsidRDefault="00EC7099">
      <w:pPr>
        <w:rPr>
          <w:b/>
        </w:rPr>
      </w:pPr>
    </w:p>
    <w:p w:rsidR="00EC7099" w:rsidRDefault="00AC34AC">
      <w:pPr>
        <w:pStyle w:val="Heading3"/>
        <w:spacing w:before="0" w:after="0"/>
        <w:ind w:left="2160" w:hanging="2160"/>
        <w:jc w:val="left"/>
        <w:rPr>
          <w:rFonts w:ascii="Times New Roman" w:hAnsi="Times New Roman" w:cs="Times New Roman"/>
        </w:rPr>
      </w:pPr>
      <w:r>
        <w:rPr>
          <w:rFonts w:ascii="Times New Roman" w:hAnsi="Times New Roman" w:cs="Times New Roman"/>
        </w:rPr>
        <w:t xml:space="preserve">Presenter: </w:t>
      </w:r>
      <w:r>
        <w:rPr>
          <w:rFonts w:ascii="Times New Roman" w:hAnsi="Times New Roman" w:cs="Times New Roman"/>
        </w:rPr>
        <w:tab/>
      </w:r>
      <w:r>
        <w:rPr>
          <w:rFonts w:ascii="Times New Roman" w:hAnsi="Times New Roman" w:cs="Times New Roman"/>
        </w:rPr>
        <w:t xml:space="preserve">George R. </w:t>
      </w:r>
      <w:proofErr w:type="spellStart"/>
      <w:r>
        <w:rPr>
          <w:rFonts w:ascii="Times New Roman" w:hAnsi="Times New Roman" w:cs="Times New Roman"/>
        </w:rPr>
        <w:t>Willcox</w:t>
      </w:r>
      <w:proofErr w:type="spellEnd"/>
      <w:r>
        <w:rPr>
          <w:rFonts w:ascii="Times New Roman" w:hAnsi="Times New Roman" w:cs="Times New Roman"/>
        </w:rPr>
        <w:t>, Director, Operations and Accountability, Office of Career, Technical, and Adult Education</w:t>
      </w:r>
    </w:p>
    <w:p w:rsidR="00EC7099" w:rsidRDefault="00AC34AC">
      <w:pPr>
        <w:pStyle w:val="Heading3"/>
        <w:spacing w:before="0" w:after="0"/>
        <w:ind w:left="2160"/>
        <w:jc w:val="left"/>
        <w:rPr>
          <w:rFonts w:ascii="Times New Roman" w:hAnsi="Times New Roman" w:cs="Times New Roman"/>
        </w:rPr>
      </w:pPr>
      <w:r>
        <w:rPr>
          <w:rFonts w:ascii="Times New Roman" w:hAnsi="Times New Roman" w:cs="Times New Roman"/>
        </w:rPr>
        <w:br/>
      </w:r>
      <w:proofErr w:type="spellStart"/>
      <w:r>
        <w:rPr>
          <w:rFonts w:ascii="Times New Roman" w:hAnsi="Times New Roman" w:cs="Times New Roman"/>
        </w:rPr>
        <w:t>Aris</w:t>
      </w:r>
      <w:proofErr w:type="spellEnd"/>
      <w:r>
        <w:rPr>
          <w:rFonts w:ascii="Times New Roman" w:hAnsi="Times New Roman" w:cs="Times New Roman"/>
        </w:rPr>
        <w:t xml:space="preserve"> </w:t>
      </w:r>
      <w:proofErr w:type="spellStart"/>
      <w:r>
        <w:rPr>
          <w:rFonts w:ascii="Times New Roman" w:hAnsi="Times New Roman" w:cs="Times New Roman"/>
        </w:rPr>
        <w:t>Bearse</w:t>
      </w:r>
      <w:proofErr w:type="spellEnd"/>
      <w:r>
        <w:rPr>
          <w:rFonts w:ascii="Times New Roman" w:hAnsi="Times New Roman" w:cs="Times New Roman"/>
        </w:rPr>
        <w:t>, Director of Institutional Research, Virginia Community College System</w:t>
      </w:r>
    </w:p>
    <w:p w:rsidR="00EC7099" w:rsidRDefault="00AC34AC">
      <w:pPr>
        <w:pStyle w:val="Heading3"/>
        <w:spacing w:before="0" w:after="0"/>
        <w:jc w:val="left"/>
        <w:rPr>
          <w:rFonts w:ascii="Times New Roman" w:hAnsi="Times New Roman" w:cs="Times New Roman"/>
        </w:rPr>
      </w:pPr>
      <w:r>
        <w:rPr>
          <w:rFonts w:ascii="Times New Roman" w:hAnsi="Times New Roman" w:cs="Times New Roman"/>
        </w:rPr>
        <w:b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9">
        <w:r>
          <w:rPr>
            <w:rFonts w:ascii="Times New Roman" w:hAnsi="Times New Roman" w:cs="Times New Roman"/>
            <w:color w:val="000000"/>
            <w:u w:val="single"/>
          </w:rPr>
          <w:t>George.willcox@doe.virginia.gov</w:t>
        </w:r>
      </w:hyperlink>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Phone: (804) 225-2052</w:t>
      </w:r>
    </w:p>
    <w:p w:rsidR="00EC7099" w:rsidRDefault="00EC7099">
      <w:pPr>
        <w:rPr>
          <w:b/>
        </w:rPr>
      </w:pPr>
    </w:p>
    <w:p w:rsidR="00EC7099" w:rsidRDefault="00AC34AC">
      <w:pPr>
        <w:pStyle w:val="Heading2"/>
        <w:pBdr>
          <w:bottom w:val="none" w:sz="0" w:space="0" w:color="000000"/>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Purpose of Presentation: </w:t>
      </w:r>
    </w:p>
    <w:p w:rsidR="00EC7099" w:rsidRDefault="00AC34AC">
      <w:pPr>
        <w:spacing w:line="276" w:lineRule="auto"/>
      </w:pPr>
      <w:r>
        <w:t>For information only. No action required.</w:t>
      </w:r>
    </w:p>
    <w:p w:rsidR="00EC7099" w:rsidRDefault="00AC34AC">
      <w:pPr>
        <w:pStyle w:val="Heading2"/>
        <w:pBdr>
          <w:bottom w:val="none" w:sz="0" w:space="0" w:color="000000"/>
        </w:pBdr>
        <w:spacing w:before="0"/>
        <w:jc w:val="left"/>
        <w:rPr>
          <w:rFonts w:ascii="Times New Roman" w:eastAsia="Times New Roman" w:hAnsi="Times New Roman" w:cs="Times New Roman"/>
          <w:sz w:val="24"/>
          <w:szCs w:val="24"/>
        </w:rPr>
      </w:pPr>
      <w:r>
        <w:br/>
      </w:r>
      <w:r>
        <w:rPr>
          <w:rFonts w:ascii="Times New Roman" w:eastAsia="Times New Roman" w:hAnsi="Times New Roman" w:cs="Times New Roman"/>
          <w:sz w:val="24"/>
          <w:szCs w:val="24"/>
        </w:rPr>
        <w:t>Executive Summary:</w:t>
      </w:r>
    </w:p>
    <w:p w:rsidR="00EC7099" w:rsidRDefault="00AC34AC">
      <w:pPr>
        <w:spacing w:after="200" w:line="276" w:lineRule="auto"/>
        <w:rPr>
          <w:color w:val="000000"/>
        </w:rPr>
      </w:pPr>
      <w:r>
        <w:t>The Virginia System of Performance Standards and Measures addresses performance based on annual continuous improvement. For 2019-2020, Virginia met or exceeded all performance baseline targets for secondary Career and Technical Education (CTE) Programs wit</w:t>
      </w:r>
      <w:r>
        <w:t xml:space="preserve">h the exception of the 4S1 Nontraditional Program Concentration measure. In 2019-2020, the Virginia Community College System (VCCS) exceeded the baseline target for all three postsecondary performance measures. </w:t>
      </w:r>
      <w:r>
        <w:rPr>
          <w:color w:val="000000"/>
        </w:rPr>
        <w:t>The baseline year performance data for 2019-2</w:t>
      </w:r>
      <w:r>
        <w:rPr>
          <w:color w:val="000000"/>
        </w:rPr>
        <w:t>020 was not required to be submitted to the U.S. Department of Education (USED).</w:t>
      </w:r>
    </w:p>
    <w:p w:rsidR="00EC7099" w:rsidRDefault="00AC34AC">
      <w:pPr>
        <w:spacing w:after="200" w:line="276" w:lineRule="auto"/>
        <w:sectPr w:rsidR="00EC7099" w:rsidSect="00AC34AC">
          <w:footerReference w:type="even" r:id="rId10"/>
          <w:footerReference w:type="default" r:id="rId11"/>
          <w:footerReference w:type="first" r:id="rId12"/>
          <w:pgSz w:w="12240" w:h="15840"/>
          <w:pgMar w:top="936" w:right="1440" w:bottom="648" w:left="1440" w:header="720" w:footer="720" w:gutter="0"/>
          <w:pgNumType w:fmt="upperLetter" w:start="1"/>
          <w:cols w:space="720"/>
          <w:titlePg/>
        </w:sectPr>
      </w:pPr>
      <w:r>
        <w:t>Performance targets that are not met by the 132 school divisions, nine regional technical centers, and 23 community colleges must be addressed with specific strategies for improvement in their local plan. Perkins funds may be redirected if a target is cons</w:t>
      </w:r>
      <w:r>
        <w:t>istently not met for three consecutive years. The following charts indicate the number of school divisions, regional technical centers, and community colleges that did not meet the performance target for the baseline year of 2019-2020.</w:t>
      </w:r>
    </w:p>
    <w:p w:rsidR="00EC7099" w:rsidRDefault="00AC34AC">
      <w:pPr>
        <w:spacing w:after="240"/>
        <w:jc w:val="center"/>
        <w:rPr>
          <w:b/>
        </w:rPr>
      </w:pPr>
      <w:r>
        <w:rPr>
          <w:b/>
        </w:rPr>
        <w:t>Summary of CTE Perfo</w:t>
      </w:r>
      <w:r>
        <w:rPr>
          <w:b/>
        </w:rPr>
        <w:t>rmance Measures Not Met for Baseline Year</w:t>
      </w:r>
    </w:p>
    <w:tbl>
      <w:tblPr>
        <w:tblStyle w:val="a0"/>
        <w:tblW w:w="90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5760"/>
        <w:gridCol w:w="2070"/>
      </w:tblGrid>
      <w:tr w:rsidR="00EC7099">
        <w:trPr>
          <w:trHeight w:val="1637"/>
        </w:trPr>
        <w:tc>
          <w:tcPr>
            <w:tcW w:w="1170" w:type="dxa"/>
            <w:vAlign w:val="center"/>
          </w:tcPr>
          <w:p w:rsidR="00EC7099" w:rsidRPr="00AC34AC" w:rsidRDefault="00AC34AC">
            <w:pPr>
              <w:jc w:val="center"/>
              <w:rPr>
                <w:rFonts w:ascii="Times New Roman" w:hAnsi="Times New Roman" w:cs="Times New Roman"/>
                <w:b/>
                <w:color w:val="000000"/>
              </w:rPr>
            </w:pPr>
            <w:r w:rsidRPr="00AC34AC">
              <w:rPr>
                <w:rFonts w:ascii="Times New Roman" w:hAnsi="Times New Roman" w:cs="Times New Roman"/>
                <w:b/>
                <w:color w:val="000000"/>
              </w:rPr>
              <w:t>Code</w:t>
            </w:r>
          </w:p>
        </w:tc>
        <w:tc>
          <w:tcPr>
            <w:tcW w:w="5760" w:type="dxa"/>
            <w:vAlign w:val="center"/>
          </w:tcPr>
          <w:p w:rsidR="00EC7099" w:rsidRPr="00AC34AC" w:rsidRDefault="00AC34AC">
            <w:pPr>
              <w:jc w:val="center"/>
              <w:rPr>
                <w:rFonts w:ascii="Times New Roman" w:hAnsi="Times New Roman" w:cs="Times New Roman"/>
                <w:b/>
                <w:color w:val="000000"/>
              </w:rPr>
            </w:pPr>
            <w:r w:rsidRPr="00AC34AC">
              <w:rPr>
                <w:rFonts w:ascii="Times New Roman" w:hAnsi="Times New Roman" w:cs="Times New Roman"/>
                <w:b/>
                <w:color w:val="000000"/>
              </w:rPr>
              <w:t>State Secondary Performance Measure</w:t>
            </w:r>
          </w:p>
        </w:tc>
        <w:tc>
          <w:tcPr>
            <w:tcW w:w="2070" w:type="dxa"/>
            <w:vAlign w:val="center"/>
          </w:tcPr>
          <w:p w:rsidR="00EC7099" w:rsidRPr="00AC34AC" w:rsidRDefault="00AC34AC">
            <w:pPr>
              <w:jc w:val="center"/>
              <w:rPr>
                <w:rFonts w:ascii="Times New Roman" w:hAnsi="Times New Roman" w:cs="Times New Roman"/>
                <w:b/>
                <w:color w:val="000000"/>
              </w:rPr>
            </w:pPr>
            <w:r w:rsidRPr="00AC34AC">
              <w:rPr>
                <w:rFonts w:ascii="Times New Roman" w:hAnsi="Times New Roman" w:cs="Times New Roman"/>
                <w:b/>
                <w:color w:val="000000"/>
              </w:rPr>
              <w:t>School Divisions/Centers</w:t>
            </w:r>
          </w:p>
          <w:p w:rsidR="00EC7099" w:rsidRPr="00AC34AC" w:rsidRDefault="00AC34AC">
            <w:pPr>
              <w:jc w:val="center"/>
              <w:rPr>
                <w:rFonts w:ascii="Times New Roman" w:hAnsi="Times New Roman" w:cs="Times New Roman"/>
                <w:b/>
                <w:color w:val="000000"/>
              </w:rPr>
            </w:pPr>
            <w:r w:rsidRPr="00AC34AC">
              <w:rPr>
                <w:rFonts w:ascii="Times New Roman" w:hAnsi="Times New Roman" w:cs="Times New Roman"/>
                <w:b/>
                <w:color w:val="000000"/>
              </w:rPr>
              <w:t>Did not meet</w:t>
            </w:r>
          </w:p>
          <w:p w:rsidR="00EC7099" w:rsidRPr="00AC34AC" w:rsidRDefault="00AC34AC">
            <w:pPr>
              <w:jc w:val="center"/>
              <w:rPr>
                <w:rFonts w:ascii="Times New Roman" w:hAnsi="Times New Roman" w:cs="Times New Roman"/>
                <w:b/>
                <w:color w:val="000000"/>
              </w:rPr>
            </w:pPr>
            <w:r w:rsidRPr="00AC34AC">
              <w:rPr>
                <w:rFonts w:ascii="Times New Roman" w:hAnsi="Times New Roman" w:cs="Times New Roman"/>
                <w:b/>
                <w:color w:val="000000"/>
              </w:rPr>
              <w:t>for the Baseline Year 2019-2020</w:t>
            </w:r>
          </w:p>
        </w:tc>
      </w:tr>
      <w:tr w:rsidR="00EC7099">
        <w:trPr>
          <w:trHeight w:val="431"/>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1S1</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Four–Year Graduation Rate</w:t>
            </w:r>
          </w:p>
        </w:tc>
        <w:tc>
          <w:tcPr>
            <w:tcW w:w="2070" w:type="dxa"/>
            <w:vAlign w:val="center"/>
          </w:tcPr>
          <w:p w:rsidR="00EC7099" w:rsidRPr="00AC34AC" w:rsidRDefault="00AC34AC">
            <w:pPr>
              <w:jc w:val="center"/>
              <w:rPr>
                <w:rFonts w:ascii="Times New Roman" w:hAnsi="Times New Roman" w:cs="Times New Roman"/>
                <w:color w:val="000000"/>
              </w:rPr>
            </w:pPr>
            <w:r w:rsidRPr="00AC34AC">
              <w:rPr>
                <w:rFonts w:ascii="Times New Roman" w:hAnsi="Times New Roman" w:cs="Times New Roman"/>
                <w:color w:val="000000"/>
              </w:rPr>
              <w:t>None</w:t>
            </w:r>
          </w:p>
        </w:tc>
      </w:tr>
      <w:tr w:rsidR="00EC7099">
        <w:trPr>
          <w:trHeight w:val="638"/>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2S1</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Academic Attainment – End of Course (EOC) English: Reading</w:t>
            </w:r>
          </w:p>
        </w:tc>
        <w:tc>
          <w:tcPr>
            <w:tcW w:w="2070" w:type="dxa"/>
            <w:vAlign w:val="center"/>
          </w:tcPr>
          <w:p w:rsidR="00EC7099" w:rsidRPr="00AC34AC" w:rsidRDefault="00AC34AC">
            <w:pPr>
              <w:jc w:val="center"/>
              <w:rPr>
                <w:rFonts w:ascii="Times New Roman" w:hAnsi="Times New Roman" w:cs="Times New Roman"/>
              </w:rPr>
            </w:pPr>
            <w:r w:rsidRPr="00AC34AC">
              <w:rPr>
                <w:rFonts w:ascii="Times New Roman" w:hAnsi="Times New Roman" w:cs="Times New Roman"/>
                <w:color w:val="000000"/>
              </w:rPr>
              <w:t>1</w:t>
            </w:r>
          </w:p>
        </w:tc>
      </w:tr>
      <w:tr w:rsidR="00EC7099">
        <w:trPr>
          <w:trHeight w:val="692"/>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2S2</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 xml:space="preserve">Academic Attainment – End of Course (EOC) Mathematics </w:t>
            </w:r>
          </w:p>
        </w:tc>
        <w:tc>
          <w:tcPr>
            <w:tcW w:w="2070" w:type="dxa"/>
            <w:vAlign w:val="center"/>
          </w:tcPr>
          <w:p w:rsidR="00EC7099" w:rsidRPr="00AC34AC" w:rsidRDefault="00AC34AC">
            <w:pPr>
              <w:jc w:val="center"/>
              <w:rPr>
                <w:rFonts w:ascii="Times New Roman" w:hAnsi="Times New Roman" w:cs="Times New Roman"/>
              </w:rPr>
            </w:pPr>
            <w:r w:rsidRPr="00AC34AC">
              <w:rPr>
                <w:rFonts w:ascii="Times New Roman" w:hAnsi="Times New Roman" w:cs="Times New Roman"/>
                <w:color w:val="000000"/>
              </w:rPr>
              <w:t>None</w:t>
            </w:r>
          </w:p>
        </w:tc>
      </w:tr>
      <w:tr w:rsidR="00EC7099">
        <w:trPr>
          <w:trHeight w:val="539"/>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2S3</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Academic Attainment – End of Course (EOC) Science</w:t>
            </w:r>
          </w:p>
        </w:tc>
        <w:tc>
          <w:tcPr>
            <w:tcW w:w="2070" w:type="dxa"/>
            <w:vAlign w:val="center"/>
          </w:tcPr>
          <w:p w:rsidR="00EC7099" w:rsidRPr="00AC34AC" w:rsidRDefault="00AC34AC">
            <w:pPr>
              <w:jc w:val="center"/>
              <w:rPr>
                <w:rFonts w:ascii="Times New Roman" w:hAnsi="Times New Roman" w:cs="Times New Roman"/>
                <w:color w:val="000000"/>
              </w:rPr>
            </w:pPr>
            <w:r w:rsidRPr="00AC34AC">
              <w:rPr>
                <w:rFonts w:ascii="Times New Roman" w:hAnsi="Times New Roman" w:cs="Times New Roman"/>
                <w:color w:val="000000"/>
              </w:rPr>
              <w:t>None</w:t>
            </w:r>
          </w:p>
        </w:tc>
      </w:tr>
      <w:tr w:rsidR="00EC7099">
        <w:trPr>
          <w:trHeight w:val="431"/>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3S1</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Post–Program Placement</w:t>
            </w:r>
          </w:p>
        </w:tc>
        <w:tc>
          <w:tcPr>
            <w:tcW w:w="2070" w:type="dxa"/>
            <w:vAlign w:val="center"/>
          </w:tcPr>
          <w:p w:rsidR="00EC7099" w:rsidRPr="00AC34AC" w:rsidRDefault="00AC34AC">
            <w:pPr>
              <w:jc w:val="center"/>
              <w:rPr>
                <w:rFonts w:ascii="Times New Roman" w:hAnsi="Times New Roman" w:cs="Times New Roman"/>
                <w:color w:val="000000"/>
              </w:rPr>
            </w:pPr>
            <w:r w:rsidRPr="00AC34AC">
              <w:rPr>
                <w:rFonts w:ascii="Times New Roman" w:hAnsi="Times New Roman" w:cs="Times New Roman"/>
                <w:color w:val="000000"/>
              </w:rPr>
              <w:t>47</w:t>
            </w:r>
          </w:p>
        </w:tc>
      </w:tr>
      <w:tr w:rsidR="00EC7099">
        <w:trPr>
          <w:trHeight w:val="458"/>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4S1</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Nontraditional Program Concentration</w:t>
            </w:r>
          </w:p>
        </w:tc>
        <w:tc>
          <w:tcPr>
            <w:tcW w:w="2070" w:type="dxa"/>
            <w:vAlign w:val="center"/>
          </w:tcPr>
          <w:p w:rsidR="00EC7099" w:rsidRPr="00AC34AC" w:rsidRDefault="00AC34AC">
            <w:pPr>
              <w:jc w:val="center"/>
              <w:rPr>
                <w:rFonts w:ascii="Times New Roman" w:hAnsi="Times New Roman" w:cs="Times New Roman"/>
                <w:color w:val="000000"/>
              </w:rPr>
            </w:pPr>
            <w:r w:rsidRPr="00AC34AC">
              <w:rPr>
                <w:rFonts w:ascii="Times New Roman" w:hAnsi="Times New Roman" w:cs="Times New Roman"/>
                <w:color w:val="000000"/>
              </w:rPr>
              <w:t>98</w:t>
            </w:r>
          </w:p>
        </w:tc>
      </w:tr>
      <w:tr w:rsidR="00EC7099">
        <w:trPr>
          <w:trHeight w:val="701"/>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5S1-A</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Completers Attaining a Recognized Postsecondary Credential</w:t>
            </w:r>
          </w:p>
        </w:tc>
        <w:tc>
          <w:tcPr>
            <w:tcW w:w="2070" w:type="dxa"/>
            <w:vAlign w:val="center"/>
          </w:tcPr>
          <w:p w:rsidR="00EC7099" w:rsidRPr="00AC34AC" w:rsidRDefault="00AC34AC">
            <w:pPr>
              <w:jc w:val="center"/>
              <w:rPr>
                <w:rFonts w:ascii="Times New Roman" w:hAnsi="Times New Roman" w:cs="Times New Roman"/>
              </w:rPr>
            </w:pPr>
            <w:r w:rsidRPr="00AC34AC">
              <w:rPr>
                <w:rFonts w:ascii="Times New Roman" w:hAnsi="Times New Roman" w:cs="Times New Roman"/>
              </w:rPr>
              <w:t>17</w:t>
            </w:r>
          </w:p>
        </w:tc>
      </w:tr>
      <w:tr w:rsidR="00EC7099">
        <w:trPr>
          <w:trHeight w:val="458"/>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5S1-B</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Completers Participating in Credentialing Tests</w:t>
            </w:r>
          </w:p>
        </w:tc>
        <w:tc>
          <w:tcPr>
            <w:tcW w:w="2070" w:type="dxa"/>
            <w:vAlign w:val="center"/>
          </w:tcPr>
          <w:p w:rsidR="00EC7099" w:rsidRPr="00AC34AC" w:rsidRDefault="00AC34AC">
            <w:pPr>
              <w:jc w:val="center"/>
              <w:rPr>
                <w:rFonts w:ascii="Times New Roman" w:hAnsi="Times New Roman" w:cs="Times New Roman"/>
                <w:color w:val="000000"/>
              </w:rPr>
            </w:pPr>
            <w:r w:rsidRPr="00AC34AC">
              <w:rPr>
                <w:rFonts w:ascii="Times New Roman" w:hAnsi="Times New Roman" w:cs="Times New Roman"/>
                <w:color w:val="000000"/>
              </w:rPr>
              <w:t>26</w:t>
            </w:r>
          </w:p>
        </w:tc>
      </w:tr>
      <w:tr w:rsidR="00EC7099">
        <w:trPr>
          <w:trHeight w:val="593"/>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5S1-C</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 xml:space="preserve">Test Takers (Completers) Passing Credentialing Tests </w:t>
            </w:r>
          </w:p>
        </w:tc>
        <w:tc>
          <w:tcPr>
            <w:tcW w:w="2070" w:type="dxa"/>
            <w:vAlign w:val="center"/>
          </w:tcPr>
          <w:p w:rsidR="00EC7099" w:rsidRPr="00AC34AC" w:rsidRDefault="00AC34AC">
            <w:pPr>
              <w:jc w:val="center"/>
              <w:rPr>
                <w:rFonts w:ascii="Times New Roman" w:hAnsi="Times New Roman" w:cs="Times New Roman"/>
                <w:color w:val="000000"/>
              </w:rPr>
            </w:pPr>
            <w:r w:rsidRPr="00AC34AC">
              <w:rPr>
                <w:rFonts w:ascii="Times New Roman" w:hAnsi="Times New Roman" w:cs="Times New Roman"/>
                <w:color w:val="000000"/>
              </w:rPr>
              <w:t>31</w:t>
            </w:r>
          </w:p>
        </w:tc>
      </w:tr>
      <w:tr w:rsidR="00EC7099">
        <w:trPr>
          <w:trHeight w:val="431"/>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5S1-D</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Completers Passing Credentialing Tests</w:t>
            </w:r>
          </w:p>
        </w:tc>
        <w:tc>
          <w:tcPr>
            <w:tcW w:w="2070" w:type="dxa"/>
            <w:vAlign w:val="center"/>
          </w:tcPr>
          <w:p w:rsidR="00EC7099" w:rsidRPr="00AC34AC" w:rsidRDefault="00AC34AC">
            <w:pPr>
              <w:jc w:val="center"/>
              <w:rPr>
                <w:rFonts w:ascii="Times New Roman" w:hAnsi="Times New Roman" w:cs="Times New Roman"/>
                <w:color w:val="000000"/>
              </w:rPr>
            </w:pPr>
            <w:r w:rsidRPr="00AC34AC">
              <w:rPr>
                <w:rFonts w:ascii="Times New Roman" w:hAnsi="Times New Roman" w:cs="Times New Roman"/>
                <w:color w:val="000000"/>
              </w:rPr>
              <w:t>25</w:t>
            </w:r>
          </w:p>
        </w:tc>
      </w:tr>
      <w:tr w:rsidR="00EC7099">
        <w:trPr>
          <w:trHeight w:val="539"/>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5S3</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Program Quality–Participated in Work-Based Learning</w:t>
            </w:r>
          </w:p>
        </w:tc>
        <w:tc>
          <w:tcPr>
            <w:tcW w:w="2070" w:type="dxa"/>
            <w:vAlign w:val="center"/>
          </w:tcPr>
          <w:p w:rsidR="00EC7099" w:rsidRPr="00AC34AC" w:rsidRDefault="00AC34AC">
            <w:pPr>
              <w:jc w:val="center"/>
              <w:rPr>
                <w:rFonts w:ascii="Times New Roman" w:hAnsi="Times New Roman" w:cs="Times New Roman"/>
                <w:color w:val="000000"/>
              </w:rPr>
            </w:pPr>
            <w:r w:rsidRPr="00AC34AC">
              <w:rPr>
                <w:rFonts w:ascii="Times New Roman" w:hAnsi="Times New Roman" w:cs="Times New Roman"/>
                <w:color w:val="000000"/>
              </w:rPr>
              <w:t>45</w:t>
            </w:r>
          </w:p>
        </w:tc>
      </w:tr>
      <w:tr w:rsidR="00EC7099">
        <w:trPr>
          <w:trHeight w:val="449"/>
        </w:trPr>
        <w:tc>
          <w:tcPr>
            <w:tcW w:w="117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5S4</w:t>
            </w:r>
          </w:p>
        </w:tc>
        <w:tc>
          <w:tcPr>
            <w:tcW w:w="5760" w:type="dxa"/>
            <w:vAlign w:val="center"/>
          </w:tcPr>
          <w:p w:rsidR="00EC7099" w:rsidRPr="00AC34AC" w:rsidRDefault="00AC34AC">
            <w:pPr>
              <w:rPr>
                <w:rFonts w:ascii="Times New Roman" w:hAnsi="Times New Roman" w:cs="Times New Roman"/>
                <w:color w:val="000000"/>
              </w:rPr>
            </w:pPr>
            <w:r w:rsidRPr="00AC34AC">
              <w:rPr>
                <w:rFonts w:ascii="Times New Roman" w:hAnsi="Times New Roman" w:cs="Times New Roman"/>
                <w:color w:val="000000"/>
              </w:rPr>
              <w:t>Program Quality–Technical Skills Attainment</w:t>
            </w:r>
          </w:p>
        </w:tc>
        <w:tc>
          <w:tcPr>
            <w:tcW w:w="2070" w:type="dxa"/>
            <w:vAlign w:val="center"/>
          </w:tcPr>
          <w:p w:rsidR="00EC7099" w:rsidRPr="00AC34AC" w:rsidRDefault="00AC34AC">
            <w:pPr>
              <w:jc w:val="center"/>
              <w:rPr>
                <w:rFonts w:ascii="Times New Roman" w:hAnsi="Times New Roman" w:cs="Times New Roman"/>
                <w:color w:val="000000"/>
              </w:rPr>
            </w:pPr>
            <w:r w:rsidRPr="00AC34AC">
              <w:rPr>
                <w:rFonts w:ascii="Times New Roman" w:hAnsi="Times New Roman" w:cs="Times New Roman"/>
                <w:color w:val="000000"/>
              </w:rPr>
              <w:t>11</w:t>
            </w:r>
          </w:p>
        </w:tc>
      </w:tr>
    </w:tbl>
    <w:p w:rsidR="00EC7099" w:rsidRDefault="00EC7099">
      <w:pPr>
        <w:rPr>
          <w:b/>
        </w:rPr>
      </w:pPr>
    </w:p>
    <w:p w:rsidR="00EC7099" w:rsidRDefault="00AC34AC">
      <w:pPr>
        <w:jc w:val="center"/>
        <w:rPr>
          <w:b/>
        </w:rPr>
      </w:pPr>
      <w:r>
        <w:rPr>
          <w:b/>
        </w:rPr>
        <w:t>Summary of VCCS CTE Performance Measures Not Met for Baseline Year</w:t>
      </w:r>
    </w:p>
    <w:tbl>
      <w:tblPr>
        <w:tblStyle w:val="a1"/>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4075"/>
        <w:gridCol w:w="2160"/>
        <w:gridCol w:w="1890"/>
      </w:tblGrid>
      <w:tr w:rsidR="00EC7099">
        <w:trPr>
          <w:trHeight w:val="1637"/>
        </w:trPr>
        <w:tc>
          <w:tcPr>
            <w:tcW w:w="915" w:type="dxa"/>
            <w:vAlign w:val="center"/>
          </w:tcPr>
          <w:p w:rsidR="00EC7099" w:rsidRDefault="00AC34AC">
            <w:pPr>
              <w:jc w:val="center"/>
              <w:rPr>
                <w:b/>
                <w:color w:val="000000"/>
              </w:rPr>
            </w:pPr>
            <w:r>
              <w:rPr>
                <w:b/>
                <w:color w:val="000000"/>
              </w:rPr>
              <w:t>Code</w:t>
            </w:r>
          </w:p>
        </w:tc>
        <w:tc>
          <w:tcPr>
            <w:tcW w:w="4075" w:type="dxa"/>
            <w:vAlign w:val="center"/>
          </w:tcPr>
          <w:p w:rsidR="00EC7099" w:rsidRDefault="00AC34AC">
            <w:pPr>
              <w:jc w:val="center"/>
              <w:rPr>
                <w:b/>
                <w:color w:val="000000"/>
              </w:rPr>
            </w:pPr>
            <w:r>
              <w:rPr>
                <w:b/>
                <w:color w:val="000000"/>
              </w:rPr>
              <w:t>State Postsecondary Performance Measure</w:t>
            </w:r>
          </w:p>
        </w:tc>
        <w:tc>
          <w:tcPr>
            <w:tcW w:w="2160" w:type="dxa"/>
            <w:vAlign w:val="center"/>
          </w:tcPr>
          <w:p w:rsidR="00EC7099" w:rsidRDefault="00AC34AC">
            <w:pPr>
              <w:jc w:val="center"/>
              <w:rPr>
                <w:b/>
                <w:color w:val="000000"/>
              </w:rPr>
            </w:pPr>
            <w:r>
              <w:rPr>
                <w:b/>
                <w:color w:val="000000"/>
              </w:rPr>
              <w:t xml:space="preserve">Community Colleges </w:t>
            </w:r>
          </w:p>
          <w:p w:rsidR="00EC7099" w:rsidRDefault="00AC34AC">
            <w:pPr>
              <w:jc w:val="center"/>
              <w:rPr>
                <w:b/>
                <w:color w:val="000000"/>
              </w:rPr>
            </w:pPr>
            <w:r>
              <w:rPr>
                <w:b/>
                <w:color w:val="000000"/>
              </w:rPr>
              <w:t>Did not meet Target for the Baseline Year 2019-2020</w:t>
            </w:r>
          </w:p>
        </w:tc>
        <w:tc>
          <w:tcPr>
            <w:tcW w:w="1890" w:type="dxa"/>
            <w:vAlign w:val="center"/>
          </w:tcPr>
          <w:p w:rsidR="00EC7099" w:rsidRDefault="00AC34AC">
            <w:pPr>
              <w:jc w:val="center"/>
              <w:rPr>
                <w:b/>
                <w:color w:val="000000"/>
              </w:rPr>
            </w:pPr>
            <w:r>
              <w:rPr>
                <w:b/>
                <w:color w:val="000000"/>
              </w:rPr>
              <w:t xml:space="preserve">Community Colleges </w:t>
            </w:r>
          </w:p>
          <w:p w:rsidR="00EC7099" w:rsidRDefault="00AC34AC">
            <w:pPr>
              <w:jc w:val="center"/>
              <w:rPr>
                <w:b/>
                <w:color w:val="000000"/>
              </w:rPr>
            </w:pPr>
            <w:r>
              <w:rPr>
                <w:b/>
                <w:color w:val="000000"/>
              </w:rPr>
              <w:t>Did not meet</w:t>
            </w:r>
          </w:p>
          <w:p w:rsidR="00EC7099" w:rsidRDefault="00AC34AC">
            <w:pPr>
              <w:jc w:val="center"/>
              <w:rPr>
                <w:b/>
                <w:color w:val="000000"/>
              </w:rPr>
            </w:pPr>
            <w:r>
              <w:rPr>
                <w:b/>
                <w:color w:val="000000"/>
              </w:rPr>
              <w:t>90% of Target for the Baseline Year 2019-2020</w:t>
            </w:r>
          </w:p>
        </w:tc>
      </w:tr>
      <w:tr w:rsidR="00EC7099">
        <w:trPr>
          <w:trHeight w:val="512"/>
        </w:trPr>
        <w:tc>
          <w:tcPr>
            <w:tcW w:w="915" w:type="dxa"/>
            <w:vAlign w:val="center"/>
          </w:tcPr>
          <w:p w:rsidR="00EC7099" w:rsidRDefault="00AC34AC">
            <w:pPr>
              <w:rPr>
                <w:color w:val="000000"/>
              </w:rPr>
            </w:pPr>
            <w:r>
              <w:rPr>
                <w:color w:val="000000"/>
              </w:rPr>
              <w:t>1P1</w:t>
            </w:r>
          </w:p>
        </w:tc>
        <w:tc>
          <w:tcPr>
            <w:tcW w:w="4075" w:type="dxa"/>
            <w:vAlign w:val="center"/>
          </w:tcPr>
          <w:p w:rsidR="00EC7099" w:rsidRDefault="00AC34AC">
            <w:pPr>
              <w:rPr>
                <w:color w:val="000000"/>
              </w:rPr>
            </w:pPr>
            <w:r>
              <w:rPr>
                <w:color w:val="000000"/>
              </w:rPr>
              <w:t>Post–Program Placement</w:t>
            </w:r>
          </w:p>
        </w:tc>
        <w:tc>
          <w:tcPr>
            <w:tcW w:w="2160" w:type="dxa"/>
            <w:vAlign w:val="center"/>
          </w:tcPr>
          <w:p w:rsidR="00EC7099" w:rsidRDefault="00AC34AC">
            <w:pPr>
              <w:jc w:val="center"/>
              <w:rPr>
                <w:color w:val="000000"/>
              </w:rPr>
            </w:pPr>
            <w:r>
              <w:rPr>
                <w:color w:val="000000"/>
              </w:rPr>
              <w:t>0</w:t>
            </w:r>
          </w:p>
        </w:tc>
        <w:tc>
          <w:tcPr>
            <w:tcW w:w="1890" w:type="dxa"/>
            <w:vAlign w:val="center"/>
          </w:tcPr>
          <w:p w:rsidR="00EC7099" w:rsidRDefault="00AC34AC">
            <w:pPr>
              <w:jc w:val="center"/>
              <w:rPr>
                <w:color w:val="000000"/>
              </w:rPr>
            </w:pPr>
            <w:r>
              <w:rPr>
                <w:color w:val="000000"/>
              </w:rPr>
              <w:t>0</w:t>
            </w:r>
          </w:p>
        </w:tc>
      </w:tr>
      <w:tr w:rsidR="00EC7099">
        <w:trPr>
          <w:trHeight w:val="638"/>
        </w:trPr>
        <w:tc>
          <w:tcPr>
            <w:tcW w:w="915" w:type="dxa"/>
            <w:vAlign w:val="center"/>
          </w:tcPr>
          <w:p w:rsidR="00EC7099" w:rsidRDefault="00AC34AC">
            <w:pPr>
              <w:rPr>
                <w:color w:val="000000"/>
              </w:rPr>
            </w:pPr>
            <w:r>
              <w:rPr>
                <w:color w:val="000000"/>
              </w:rPr>
              <w:t>2P1</w:t>
            </w:r>
          </w:p>
        </w:tc>
        <w:tc>
          <w:tcPr>
            <w:tcW w:w="4075" w:type="dxa"/>
            <w:vAlign w:val="center"/>
          </w:tcPr>
          <w:p w:rsidR="00EC7099" w:rsidRDefault="00AC34AC">
            <w:pPr>
              <w:rPr>
                <w:color w:val="000000"/>
              </w:rPr>
            </w:pPr>
            <w:r>
              <w:rPr>
                <w:color w:val="000000"/>
              </w:rPr>
              <w:t>Credential Attainment</w:t>
            </w:r>
          </w:p>
        </w:tc>
        <w:tc>
          <w:tcPr>
            <w:tcW w:w="2160" w:type="dxa"/>
            <w:vAlign w:val="center"/>
          </w:tcPr>
          <w:p w:rsidR="00EC7099" w:rsidRDefault="00AC34AC">
            <w:pPr>
              <w:jc w:val="center"/>
            </w:pPr>
            <w:r>
              <w:rPr>
                <w:color w:val="000000"/>
              </w:rPr>
              <w:t>3</w:t>
            </w:r>
          </w:p>
        </w:tc>
        <w:tc>
          <w:tcPr>
            <w:tcW w:w="1890" w:type="dxa"/>
            <w:vAlign w:val="center"/>
          </w:tcPr>
          <w:p w:rsidR="00EC7099" w:rsidRDefault="00AC34AC">
            <w:pPr>
              <w:jc w:val="center"/>
              <w:rPr>
                <w:color w:val="000000"/>
              </w:rPr>
            </w:pPr>
            <w:r>
              <w:rPr>
                <w:color w:val="000000"/>
              </w:rPr>
              <w:t>3</w:t>
            </w:r>
          </w:p>
        </w:tc>
      </w:tr>
      <w:tr w:rsidR="00EC7099">
        <w:trPr>
          <w:trHeight w:val="692"/>
        </w:trPr>
        <w:tc>
          <w:tcPr>
            <w:tcW w:w="915" w:type="dxa"/>
            <w:vAlign w:val="center"/>
          </w:tcPr>
          <w:p w:rsidR="00EC7099" w:rsidRDefault="00AC34AC">
            <w:pPr>
              <w:rPr>
                <w:color w:val="000000"/>
              </w:rPr>
            </w:pPr>
            <w:r>
              <w:rPr>
                <w:color w:val="000000"/>
              </w:rPr>
              <w:t>3P1</w:t>
            </w:r>
          </w:p>
        </w:tc>
        <w:tc>
          <w:tcPr>
            <w:tcW w:w="4075" w:type="dxa"/>
            <w:vAlign w:val="center"/>
          </w:tcPr>
          <w:p w:rsidR="00EC7099" w:rsidRDefault="00AC34AC">
            <w:pPr>
              <w:rPr>
                <w:color w:val="000000"/>
              </w:rPr>
            </w:pPr>
            <w:r>
              <w:rPr>
                <w:color w:val="000000"/>
              </w:rPr>
              <w:t>Nontraditional Program Concentration</w:t>
            </w:r>
          </w:p>
        </w:tc>
        <w:tc>
          <w:tcPr>
            <w:tcW w:w="2160" w:type="dxa"/>
            <w:vAlign w:val="center"/>
          </w:tcPr>
          <w:p w:rsidR="00EC7099" w:rsidRDefault="00AC34AC">
            <w:pPr>
              <w:jc w:val="center"/>
            </w:pPr>
            <w:r>
              <w:rPr>
                <w:color w:val="000000"/>
              </w:rPr>
              <w:t>18</w:t>
            </w:r>
          </w:p>
        </w:tc>
        <w:tc>
          <w:tcPr>
            <w:tcW w:w="1890" w:type="dxa"/>
            <w:vAlign w:val="center"/>
          </w:tcPr>
          <w:p w:rsidR="00EC7099" w:rsidRDefault="00AC34AC">
            <w:pPr>
              <w:jc w:val="center"/>
              <w:rPr>
                <w:color w:val="000000"/>
              </w:rPr>
            </w:pPr>
            <w:r>
              <w:rPr>
                <w:color w:val="000000"/>
              </w:rPr>
              <w:t>16</w:t>
            </w:r>
          </w:p>
        </w:tc>
      </w:tr>
    </w:tbl>
    <w:p w:rsidR="00EC7099" w:rsidRDefault="00EC7099"/>
    <w:p w:rsidR="00EC7099" w:rsidRDefault="00EC7099"/>
    <w:p w:rsidR="00EC7099" w:rsidRDefault="00AC34AC">
      <w:pPr>
        <w:rPr>
          <w:b/>
        </w:rPr>
      </w:pPr>
      <w:r>
        <w:rPr>
          <w:b/>
        </w:rPr>
        <w:t xml:space="preserve">Action Requested:  </w:t>
      </w:r>
    </w:p>
    <w:p w:rsidR="00EC7099" w:rsidRDefault="00AC34AC" w:rsidP="00AC34AC">
      <w:pPr>
        <w:spacing w:line="276" w:lineRule="auto"/>
      </w:pPr>
      <w:r>
        <w:t>No action requested.</w:t>
      </w:r>
      <w:r>
        <w:br/>
      </w:r>
      <w:bookmarkStart w:id="1" w:name="_GoBack"/>
      <w:bookmarkEnd w:id="1"/>
    </w:p>
    <w:p w:rsidR="00EC7099" w:rsidRDefault="00AC34AC">
      <w:pPr>
        <w:pStyle w:val="Heading2"/>
        <w:pBdr>
          <w:bottom w:val="none" w:sz="0" w:space="0" w:color="000000"/>
        </w:pBdr>
        <w:spacing w:befor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Superintendent’s Recommendation: </w:t>
      </w:r>
    </w:p>
    <w:p w:rsidR="00EC7099" w:rsidRDefault="00AC34AC" w:rsidP="00AC34AC">
      <w:pPr>
        <w:spacing w:line="276" w:lineRule="auto"/>
      </w:pPr>
      <w:r>
        <w:t xml:space="preserve">The Superintendent of Public Instruction recommends that the Board receive the report as presented </w:t>
      </w:r>
      <w:r>
        <w:t>and communicate t</w:t>
      </w:r>
      <w:r>
        <w:t>o audiences as required by the Perkins legislation.</w:t>
      </w:r>
      <w:r>
        <w:br/>
      </w:r>
    </w:p>
    <w:p w:rsidR="00EC7099" w:rsidRDefault="00AC34AC">
      <w:pPr>
        <w:spacing w:line="276" w:lineRule="auto"/>
        <w:rPr>
          <w:b/>
        </w:rPr>
      </w:pPr>
      <w:r>
        <w:rPr>
          <w:b/>
        </w:rPr>
        <w:t xml:space="preserve">Previous Review or Action:  </w:t>
      </w:r>
    </w:p>
    <w:p w:rsidR="00EC7099" w:rsidRDefault="00AC34AC">
      <w:pPr>
        <w:spacing w:line="276" w:lineRule="auto"/>
      </w:pPr>
      <w:r>
        <w:t>No previous review or action.</w:t>
      </w:r>
    </w:p>
    <w:p w:rsidR="00EC7099" w:rsidRDefault="00AC34AC" w:rsidP="00AC34AC">
      <w:pPr>
        <w:pStyle w:val="Heading2"/>
        <w:pBdr>
          <w:bottom w:val="none" w:sz="0" w:space="0" w:color="000000"/>
        </w:pBdr>
        <w:spacing w:befor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Background Information and Statutory Authority: </w:t>
      </w:r>
    </w:p>
    <w:p w:rsidR="00EC7099" w:rsidRDefault="00AC34AC">
      <w:pPr>
        <w:spacing w:line="276" w:lineRule="auto"/>
      </w:pPr>
      <w:r>
        <w:t xml:space="preserve">The Strengthening Career and Technical </w:t>
      </w:r>
      <w:r>
        <w:rPr>
          <w:color w:val="000000"/>
        </w:rPr>
        <w:t>Education</w:t>
      </w:r>
      <w:r>
        <w:t xml:space="preserve"> for the 21</w:t>
      </w:r>
      <w:r>
        <w:rPr>
          <w:vertAlign w:val="superscript"/>
        </w:rPr>
        <w:t>st</w:t>
      </w:r>
      <w:r>
        <w:t xml:space="preserve"> Century Act (Perkins V) amended th</w:t>
      </w:r>
      <w:r>
        <w:t>e Carl D. Perkins Career and Technical Education Act of 2006 (Perkins IV). Perkins V focuses on developing the academic knowledge and technical and employability skills of secondary education students and postsecondary education students who elect to enrol</w:t>
      </w:r>
      <w:r>
        <w:t>l in career and technical education programs and programs of study, by:</w:t>
      </w:r>
    </w:p>
    <w:p w:rsidR="00EC7099" w:rsidRDefault="00AC34AC">
      <w:pPr>
        <w:numPr>
          <w:ilvl w:val="0"/>
          <w:numId w:val="1"/>
        </w:numPr>
        <w:pBdr>
          <w:top w:val="nil"/>
          <w:left w:val="nil"/>
          <w:bottom w:val="nil"/>
          <w:right w:val="nil"/>
          <w:between w:val="nil"/>
        </w:pBdr>
        <w:spacing w:line="276" w:lineRule="auto"/>
        <w:rPr>
          <w:color w:val="000000"/>
        </w:rPr>
      </w:pPr>
      <w:r>
        <w:rPr>
          <w:color w:val="000000"/>
        </w:rPr>
        <w:t>Building on the efforts of states and localities to develop challenging academic and technical standards and to assist students in meeting such standards, including preparation for high-skill, high-wage, or in-demand occupations in current or emerging prof</w:t>
      </w:r>
      <w:r>
        <w:rPr>
          <w:color w:val="000000"/>
        </w:rPr>
        <w:t>essions;</w:t>
      </w:r>
    </w:p>
    <w:p w:rsidR="00EC7099" w:rsidRDefault="00AC34AC">
      <w:pPr>
        <w:numPr>
          <w:ilvl w:val="0"/>
          <w:numId w:val="1"/>
        </w:numPr>
        <w:pBdr>
          <w:top w:val="nil"/>
          <w:left w:val="nil"/>
          <w:bottom w:val="nil"/>
          <w:right w:val="nil"/>
          <w:between w:val="nil"/>
        </w:pBdr>
        <w:spacing w:line="276" w:lineRule="auto"/>
        <w:rPr>
          <w:color w:val="000000"/>
        </w:rPr>
      </w:pPr>
      <w:r>
        <w:rPr>
          <w:color w:val="000000"/>
        </w:rPr>
        <w:t>Promoting the development of services and activities that integrate rigorous and challenging academic and career and technical instruction, and that link secondary education and postsecondary education for participating career and technical education stude</w:t>
      </w:r>
      <w:r>
        <w:rPr>
          <w:color w:val="000000"/>
        </w:rPr>
        <w:t>nts;</w:t>
      </w:r>
    </w:p>
    <w:p w:rsidR="00EC7099" w:rsidRDefault="00AC34AC">
      <w:pPr>
        <w:numPr>
          <w:ilvl w:val="0"/>
          <w:numId w:val="1"/>
        </w:numPr>
        <w:pBdr>
          <w:top w:val="nil"/>
          <w:left w:val="nil"/>
          <w:bottom w:val="nil"/>
          <w:right w:val="nil"/>
          <w:between w:val="nil"/>
        </w:pBdr>
        <w:spacing w:line="276" w:lineRule="auto"/>
        <w:rPr>
          <w:color w:val="000000"/>
        </w:rPr>
      </w:pPr>
      <w:r>
        <w:rPr>
          <w:color w:val="000000"/>
        </w:rPr>
        <w:t>Increasing state and local flexibility in providing services and activities designed to develop, implement, and improve career and technical education;</w:t>
      </w:r>
    </w:p>
    <w:p w:rsidR="00EC7099" w:rsidRDefault="00AC34AC">
      <w:pPr>
        <w:numPr>
          <w:ilvl w:val="0"/>
          <w:numId w:val="1"/>
        </w:numPr>
        <w:pBdr>
          <w:top w:val="nil"/>
          <w:left w:val="nil"/>
          <w:bottom w:val="nil"/>
          <w:right w:val="nil"/>
          <w:between w:val="nil"/>
        </w:pBdr>
        <w:spacing w:line="276" w:lineRule="auto"/>
        <w:rPr>
          <w:color w:val="000000"/>
        </w:rPr>
      </w:pPr>
      <w:r>
        <w:rPr>
          <w:color w:val="000000"/>
        </w:rPr>
        <w:t>Conducting and disseminating national research and disseminating information on best practices that</w:t>
      </w:r>
      <w:r>
        <w:rPr>
          <w:color w:val="000000"/>
        </w:rPr>
        <w:t xml:space="preserve"> improve career and technical education programs and programs of study, services, and activities;</w:t>
      </w:r>
    </w:p>
    <w:p w:rsidR="00EC7099" w:rsidRDefault="00AC34AC">
      <w:pPr>
        <w:numPr>
          <w:ilvl w:val="0"/>
          <w:numId w:val="1"/>
        </w:numPr>
        <w:pBdr>
          <w:top w:val="nil"/>
          <w:left w:val="nil"/>
          <w:bottom w:val="nil"/>
          <w:right w:val="nil"/>
          <w:between w:val="nil"/>
        </w:pBdr>
        <w:spacing w:line="276" w:lineRule="auto"/>
        <w:rPr>
          <w:color w:val="000000"/>
        </w:rPr>
      </w:pPr>
      <w:r>
        <w:rPr>
          <w:color w:val="000000"/>
        </w:rPr>
        <w:t>Providing technical assistance that‒</w:t>
      </w:r>
    </w:p>
    <w:p w:rsidR="00EC7099" w:rsidRDefault="00AC34AC">
      <w:pPr>
        <w:numPr>
          <w:ilvl w:val="1"/>
          <w:numId w:val="1"/>
        </w:numPr>
        <w:pBdr>
          <w:top w:val="nil"/>
          <w:left w:val="nil"/>
          <w:bottom w:val="nil"/>
          <w:right w:val="nil"/>
          <w:between w:val="nil"/>
        </w:pBdr>
        <w:spacing w:line="276" w:lineRule="auto"/>
        <w:rPr>
          <w:color w:val="000000"/>
        </w:rPr>
      </w:pPr>
      <w:r>
        <w:rPr>
          <w:color w:val="000000"/>
        </w:rPr>
        <w:t>Promotes leadership, initial preparation, and professional development at the state and local levels; and</w:t>
      </w:r>
    </w:p>
    <w:p w:rsidR="00EC7099" w:rsidRDefault="00AC34AC">
      <w:pPr>
        <w:numPr>
          <w:ilvl w:val="1"/>
          <w:numId w:val="1"/>
        </w:numPr>
        <w:pBdr>
          <w:top w:val="nil"/>
          <w:left w:val="nil"/>
          <w:bottom w:val="nil"/>
          <w:right w:val="nil"/>
          <w:between w:val="nil"/>
        </w:pBdr>
        <w:spacing w:line="276" w:lineRule="auto"/>
        <w:rPr>
          <w:color w:val="000000"/>
        </w:rPr>
      </w:pPr>
      <w:r>
        <w:rPr>
          <w:color w:val="000000"/>
        </w:rPr>
        <w:t>Improves the qu</w:t>
      </w:r>
      <w:r>
        <w:rPr>
          <w:color w:val="000000"/>
        </w:rPr>
        <w:t>ality of career and technical education teachers, faculty, administrators, and counselors;</w:t>
      </w:r>
    </w:p>
    <w:p w:rsidR="00EC7099" w:rsidRDefault="00AC34AC">
      <w:pPr>
        <w:numPr>
          <w:ilvl w:val="0"/>
          <w:numId w:val="1"/>
        </w:numPr>
        <w:pBdr>
          <w:top w:val="nil"/>
          <w:left w:val="nil"/>
          <w:bottom w:val="nil"/>
          <w:right w:val="nil"/>
          <w:between w:val="nil"/>
        </w:pBdr>
        <w:spacing w:line="276" w:lineRule="auto"/>
        <w:rPr>
          <w:color w:val="000000"/>
        </w:rPr>
      </w:pPr>
      <w:r>
        <w:rPr>
          <w:color w:val="000000"/>
        </w:rPr>
        <w:t>Supporting partnerships among secondary schools, postsecondary institutions, baccalaureate degree granting institutions, area career and technical education schools,</w:t>
      </w:r>
      <w:r>
        <w:rPr>
          <w:color w:val="000000"/>
        </w:rPr>
        <w:t xml:space="preserve"> local workforce investments boards, business and industry, and intermediaries; </w:t>
      </w:r>
    </w:p>
    <w:p w:rsidR="00EC7099" w:rsidRDefault="00AC34AC">
      <w:pPr>
        <w:numPr>
          <w:ilvl w:val="0"/>
          <w:numId w:val="1"/>
        </w:numPr>
        <w:pBdr>
          <w:top w:val="nil"/>
          <w:left w:val="nil"/>
          <w:bottom w:val="nil"/>
          <w:right w:val="nil"/>
          <w:between w:val="nil"/>
        </w:pBdr>
        <w:spacing w:line="276" w:lineRule="auto"/>
        <w:rPr>
          <w:color w:val="000000"/>
        </w:rPr>
      </w:pPr>
      <w:r>
        <w:rPr>
          <w:color w:val="000000"/>
        </w:rPr>
        <w:t>Providing individuals with opportunities throughout their lifetimes to develop, in conjunction with other education and training programs, the knowledge and skills needed to k</w:t>
      </w:r>
      <w:r>
        <w:rPr>
          <w:color w:val="000000"/>
        </w:rPr>
        <w:t>eep the United States competitive; and</w:t>
      </w:r>
    </w:p>
    <w:p w:rsidR="00EC7099" w:rsidRDefault="00AC34AC">
      <w:pPr>
        <w:numPr>
          <w:ilvl w:val="0"/>
          <w:numId w:val="1"/>
        </w:numPr>
        <w:pBdr>
          <w:top w:val="nil"/>
          <w:left w:val="nil"/>
          <w:bottom w:val="nil"/>
          <w:right w:val="nil"/>
          <w:between w:val="nil"/>
        </w:pBdr>
        <w:spacing w:after="200" w:line="276" w:lineRule="auto"/>
        <w:rPr>
          <w:color w:val="000000"/>
        </w:rPr>
      </w:pPr>
      <w:r>
        <w:rPr>
          <w:color w:val="000000"/>
        </w:rPr>
        <w:t xml:space="preserve">Increasing the employment opportunities for populations who are chronically unemployed or underemployed, including individuals with disabilities, individuals from economically disadvantaged families, out-of-workforce </w:t>
      </w:r>
      <w:r>
        <w:rPr>
          <w:color w:val="000000"/>
        </w:rPr>
        <w:t>individuals, youth who are in/or have aged out of the foster care system, and homeless individuals.</w:t>
      </w:r>
    </w:p>
    <w:p w:rsidR="00EC7099" w:rsidRDefault="00AC34AC">
      <w:pPr>
        <w:spacing w:after="200" w:line="276" w:lineRule="auto"/>
      </w:pPr>
      <w:r>
        <w:t xml:space="preserve">Perkins V requires that </w:t>
      </w:r>
      <w:r>
        <w:rPr>
          <w:color w:val="000000"/>
        </w:rPr>
        <w:t>the</w:t>
      </w:r>
      <w:r>
        <w:t xml:space="preserve"> results of the U.S. Department of Education negotiated state-adjusted levels of performance (targets) for secondary and postsecondary CTE be communicated to the Board of Education and other audiences. Each school division and community college receives an</w:t>
      </w:r>
      <w:r>
        <w:t xml:space="preserve"> annual report of performance. The state- and division-level </w:t>
      </w:r>
      <w:hyperlink r:id="rId13">
        <w:r>
          <w:rPr>
            <w:color w:val="0000FF"/>
            <w:u w:val="single"/>
          </w:rPr>
          <w:t>reports</w:t>
        </w:r>
      </w:hyperlink>
      <w:r>
        <w:t xml:space="preserve"> are available on the Virginia Department of Education’s website. </w:t>
      </w:r>
    </w:p>
    <w:p w:rsidR="00EC7099" w:rsidRDefault="00AC34AC">
      <w:pPr>
        <w:spacing w:after="200" w:line="276" w:lineRule="auto"/>
        <w:rPr>
          <w:u w:val="single"/>
        </w:rPr>
      </w:pPr>
      <w:r>
        <w:rPr>
          <w:u w:val="single"/>
        </w:rPr>
        <w:t xml:space="preserve">Secondary CTE </w:t>
      </w:r>
      <w:r>
        <w:rPr>
          <w:u w:val="single"/>
        </w:rPr>
        <w:t>Programs</w:t>
      </w:r>
    </w:p>
    <w:p w:rsidR="00EC7099" w:rsidRDefault="00AC34AC">
      <w:pPr>
        <w:spacing w:after="200" w:line="276" w:lineRule="auto"/>
        <w:rPr>
          <w:color w:val="000000"/>
        </w:rPr>
      </w:pPr>
      <w:r>
        <w:rPr>
          <w:color w:val="000000"/>
        </w:rPr>
        <w:t>The Virginia system for 2019-2020 addresses the following performance targets: four-year graduation rate; academic attainment–English: Reading, Mathematics, and Science; post-program placement, nontraditional program concentration; completers atta</w:t>
      </w:r>
      <w:r>
        <w:rPr>
          <w:color w:val="000000"/>
        </w:rPr>
        <w:t>ining a recognized post-secondary credential; completers participating in credentialing test; test takers (completers) passing credentialing tests; completers passing credentialing tests; program quality-</w:t>
      </w:r>
      <w:proofErr w:type="spellStart"/>
      <w:r>
        <w:rPr>
          <w:color w:val="000000"/>
        </w:rPr>
        <w:t>partcipated</w:t>
      </w:r>
      <w:proofErr w:type="spellEnd"/>
      <w:r>
        <w:rPr>
          <w:color w:val="000000"/>
        </w:rPr>
        <w:t xml:space="preserve"> in work-based learning; and program qual</w:t>
      </w:r>
      <w:r>
        <w:rPr>
          <w:color w:val="000000"/>
        </w:rPr>
        <w:t>ity-technical skills attainment. A baseline for the technical skills attainment was established for the 2009-2010 school year based on five separate performance indicators instead of one indicator. The technical skills attainment measure includes an indica</w:t>
      </w:r>
      <w:r>
        <w:rPr>
          <w:color w:val="000000"/>
        </w:rPr>
        <w:t xml:space="preserve">tor for college and career readiness, completers who passed a credentialing test plus completers who earned an Advanced Studies Diploma and did not pass a credentialing test. This indicator was calculated based on the 2010-2011 revised formula. </w:t>
      </w:r>
    </w:p>
    <w:p w:rsidR="00EC7099" w:rsidRDefault="00AC34AC">
      <w:pPr>
        <w:spacing w:after="200" w:line="276" w:lineRule="auto"/>
      </w:pPr>
      <w:r>
        <w:rPr>
          <w:highlight w:val="white"/>
        </w:rPr>
        <w:t>In the Str</w:t>
      </w:r>
      <w:r>
        <w:rPr>
          <w:highlight w:val="white"/>
        </w:rPr>
        <w:t>engthening Career and Technical Education for the 21st Century Act (Perkins V), a new baseline and new targets were established for academic attainment in reading, mathematics, and science. Previously, the academic attainment targets for CTE Programs had b</w:t>
      </w:r>
      <w:r>
        <w:rPr>
          <w:highlight w:val="white"/>
        </w:rPr>
        <w:t>een based on the targets contained in Virginia’s Consolidated State Plan required under the Elementary and Secondary Education Act. However, because the average performance of CTE students now surpasses the targets contained in the most recent version of t</w:t>
      </w:r>
      <w:r>
        <w:rPr>
          <w:highlight w:val="white"/>
        </w:rPr>
        <w:t>he Consolidated State Plan (approved by the U.S. Department of Education in May 2018), a new methodology was required. The current targets are based on analyses of the longitudinal performance of Virginia CTE students and consideration of the Measures of I</w:t>
      </w:r>
      <w:r>
        <w:rPr>
          <w:highlight w:val="white"/>
        </w:rPr>
        <w:t>nterim Progress contained in Virginia's approved Consolidated State Plan as required under the Every Student Succeeds Act (ESSA).</w:t>
      </w:r>
    </w:p>
    <w:p w:rsidR="00EC7099" w:rsidRDefault="00AC34AC">
      <w:pPr>
        <w:spacing w:after="200" w:line="276" w:lineRule="auto"/>
        <w:rPr>
          <w:u w:val="single"/>
        </w:rPr>
      </w:pPr>
      <w:r>
        <w:rPr>
          <w:u w:val="single"/>
        </w:rPr>
        <w:t>Postsecondary CTE Programs</w:t>
      </w:r>
    </w:p>
    <w:p w:rsidR="00EC7099" w:rsidRDefault="00AC34AC" w:rsidP="00AC34AC">
      <w:pPr>
        <w:spacing w:line="276" w:lineRule="auto"/>
      </w:pPr>
      <w:r>
        <w:t>The VCCS addresses the three postsecondary Perkins performance targets which include post-program p</w:t>
      </w:r>
      <w:r>
        <w:t>lacement, credential attainment, and nontraditional program concentration. Institutions are considered to have met the target if they are within 90 percent of the target.</w:t>
      </w:r>
      <w:r>
        <w:br/>
      </w:r>
    </w:p>
    <w:p w:rsidR="00EC7099" w:rsidRDefault="00AC34AC">
      <w:pPr>
        <w:pStyle w:val="Heading2"/>
        <w:pBdr>
          <w:bottom w:val="none" w:sz="0" w:space="0" w:color="000000"/>
        </w:pBdr>
        <w:spacing w:befor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Timetable for Further Review/Action:</w:t>
      </w:r>
    </w:p>
    <w:p w:rsidR="00EC7099" w:rsidRDefault="00AC34AC" w:rsidP="00AC34AC">
      <w:pPr>
        <w:widowControl w:val="0"/>
        <w:pBdr>
          <w:top w:val="nil"/>
          <w:left w:val="nil"/>
          <w:bottom w:val="nil"/>
          <w:right w:val="nil"/>
          <w:between w:val="nil"/>
        </w:pBdr>
        <w:rPr>
          <w:color w:val="000000"/>
        </w:rPr>
      </w:pPr>
      <w:r>
        <w:rPr>
          <w:color w:val="000000"/>
        </w:rPr>
        <w:t xml:space="preserve">No further action or review is anticipated. </w:t>
      </w:r>
      <w:r>
        <w:rPr>
          <w:color w:val="000000"/>
        </w:rPr>
        <w:br/>
      </w:r>
    </w:p>
    <w:p w:rsidR="00EC7099" w:rsidRDefault="00AC34AC">
      <w:pPr>
        <w:pStyle w:val="Heading2"/>
        <w:pBdr>
          <w:bottom w:val="none" w:sz="0" w:space="0" w:color="000000"/>
        </w:pBdr>
        <w:spacing w:befor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Imp</w:t>
      </w:r>
      <w:r>
        <w:rPr>
          <w:rFonts w:ascii="Times New Roman" w:eastAsia="Times New Roman" w:hAnsi="Times New Roman" w:cs="Times New Roman"/>
          <w:sz w:val="24"/>
          <w:szCs w:val="24"/>
        </w:rPr>
        <w:t xml:space="preserve">act on Fiscal and Human Resources: </w:t>
      </w:r>
    </w:p>
    <w:p w:rsidR="00EC7099" w:rsidRDefault="00AC34AC">
      <w:pPr>
        <w:spacing w:after="200" w:line="276" w:lineRule="auto"/>
        <w:sectPr w:rsidR="00EC7099" w:rsidSect="00AC34AC">
          <w:pgSz w:w="12240" w:h="15840"/>
          <w:pgMar w:top="936" w:right="1440" w:bottom="648" w:left="1440" w:header="720" w:footer="720" w:gutter="0"/>
          <w:pgNumType w:fmt="upperLetter"/>
          <w:cols w:space="720"/>
        </w:sectPr>
      </w:pPr>
      <w:r>
        <w:t>There is minimum impact on resources. The agency’s existing resources can absorb costs at this time.</w:t>
      </w:r>
    </w:p>
    <w:p w:rsidR="00EC7099" w:rsidRDefault="00AC34AC">
      <w:pPr>
        <w:spacing w:after="400"/>
        <w:jc w:val="center"/>
        <w:rPr>
          <w:b/>
          <w:smallCaps/>
          <w:sz w:val="36"/>
          <w:szCs w:val="36"/>
        </w:rPr>
      </w:pPr>
      <w:r>
        <w:rPr>
          <w:noProof/>
        </w:rPr>
        <w:drawing>
          <wp:inline distT="0" distB="0" distL="0" distR="0">
            <wp:extent cx="2547620" cy="943610"/>
            <wp:effectExtent l="0" t="0" r="0" b="0"/>
            <wp:docPr id="7" name="image3.jpg" descr="Learning that works for Virginia Logo"/>
            <wp:cNvGraphicFramePr/>
            <a:graphic xmlns:a="http://schemas.openxmlformats.org/drawingml/2006/main">
              <a:graphicData uri="http://schemas.openxmlformats.org/drawingml/2006/picture">
                <pic:pic xmlns:pic="http://schemas.openxmlformats.org/drawingml/2006/picture">
                  <pic:nvPicPr>
                    <pic:cNvPr id="0" name="image3.jpg" descr="Learning that works for Virginia Logo"/>
                    <pic:cNvPicPr preferRelativeResize="0"/>
                  </pic:nvPicPr>
                  <pic:blipFill>
                    <a:blip r:embed="rId14"/>
                    <a:srcRect/>
                    <a:stretch>
                      <a:fillRect/>
                    </a:stretch>
                  </pic:blipFill>
                  <pic:spPr>
                    <a:xfrm>
                      <a:off x="0" y="0"/>
                      <a:ext cx="2547620" cy="943610"/>
                    </a:xfrm>
                    <a:prstGeom prst="rect">
                      <a:avLst/>
                    </a:prstGeom>
                    <a:ln/>
                  </pic:spPr>
                </pic:pic>
              </a:graphicData>
            </a:graphic>
          </wp:inline>
        </w:drawing>
      </w:r>
    </w:p>
    <w:p w:rsidR="00EC7099" w:rsidRDefault="00AC34AC">
      <w:pPr>
        <w:spacing w:after="300"/>
        <w:jc w:val="center"/>
        <w:rPr>
          <w:rFonts w:ascii="Tahoma" w:eastAsia="Tahoma" w:hAnsi="Tahoma" w:cs="Tahoma"/>
          <w:sz w:val="44"/>
          <w:szCs w:val="44"/>
        </w:rPr>
      </w:pPr>
      <w:r>
        <w:rPr>
          <w:rFonts w:ascii="Tahoma" w:eastAsia="Tahoma" w:hAnsi="Tahoma" w:cs="Tahoma"/>
          <w:sz w:val="44"/>
          <w:szCs w:val="44"/>
        </w:rPr>
        <w:t>Virginia Department of Education</w:t>
      </w:r>
    </w:p>
    <w:p w:rsidR="00EC7099" w:rsidRDefault="00AC34AC">
      <w:pPr>
        <w:spacing w:after="1080"/>
        <w:jc w:val="center"/>
        <w:rPr>
          <w:rFonts w:ascii="Tahoma" w:eastAsia="Tahoma" w:hAnsi="Tahoma" w:cs="Tahoma"/>
          <w:sz w:val="44"/>
          <w:szCs w:val="44"/>
        </w:rPr>
      </w:pPr>
      <w:r>
        <w:rPr>
          <w:rFonts w:ascii="Tahoma" w:eastAsia="Tahoma" w:hAnsi="Tahoma" w:cs="Tahoma"/>
          <w:sz w:val="44"/>
          <w:szCs w:val="44"/>
        </w:rPr>
        <w:t>Career and Technical Education</w:t>
      </w:r>
    </w:p>
    <w:p w:rsidR="00EC7099" w:rsidRDefault="00AC34AC">
      <w:pPr>
        <w:spacing w:after="600" w:line="600" w:lineRule="auto"/>
        <w:jc w:val="center"/>
        <w:rPr>
          <w:rFonts w:ascii="Tahoma" w:eastAsia="Tahoma" w:hAnsi="Tahoma" w:cs="Tahoma"/>
          <w:b/>
          <w:sz w:val="44"/>
          <w:szCs w:val="44"/>
        </w:rPr>
      </w:pPr>
      <w:r>
        <w:rPr>
          <w:rFonts w:ascii="Tahoma" w:eastAsia="Tahoma" w:hAnsi="Tahoma" w:cs="Tahoma"/>
          <w:b/>
          <w:sz w:val="44"/>
          <w:szCs w:val="44"/>
        </w:rPr>
        <w:t>Annual Performance Report (APR</w:t>
      </w:r>
      <w:proofErr w:type="gramStart"/>
      <w:r>
        <w:rPr>
          <w:rFonts w:ascii="Tahoma" w:eastAsia="Tahoma" w:hAnsi="Tahoma" w:cs="Tahoma"/>
          <w:b/>
          <w:sz w:val="44"/>
          <w:szCs w:val="44"/>
        </w:rPr>
        <w:t>)</w:t>
      </w:r>
      <w:proofErr w:type="gramEnd"/>
      <w:r>
        <w:rPr>
          <w:rFonts w:ascii="Tahoma" w:eastAsia="Tahoma" w:hAnsi="Tahoma" w:cs="Tahoma"/>
          <w:b/>
          <w:sz w:val="44"/>
          <w:szCs w:val="44"/>
        </w:rPr>
        <w:br/>
        <w:t>for</w:t>
      </w:r>
      <w:r>
        <w:rPr>
          <w:rFonts w:ascii="Tahoma" w:eastAsia="Tahoma" w:hAnsi="Tahoma" w:cs="Tahoma"/>
          <w:b/>
          <w:sz w:val="44"/>
          <w:szCs w:val="44"/>
        </w:rPr>
        <w:br/>
        <w:t>Statewide</w:t>
      </w:r>
    </w:p>
    <w:p w:rsidR="00EC7099" w:rsidRDefault="00AC34AC">
      <w:pPr>
        <w:spacing w:after="960"/>
        <w:jc w:val="center"/>
        <w:rPr>
          <w:rFonts w:ascii="Tahoma" w:eastAsia="Tahoma" w:hAnsi="Tahoma" w:cs="Tahoma"/>
          <w:sz w:val="36"/>
          <w:szCs w:val="36"/>
        </w:rPr>
      </w:pPr>
      <w:r>
        <w:rPr>
          <w:rFonts w:ascii="Tahoma" w:eastAsia="Tahoma" w:hAnsi="Tahoma" w:cs="Tahoma"/>
          <w:sz w:val="36"/>
          <w:szCs w:val="36"/>
        </w:rPr>
        <w:t>School Year</w:t>
      </w:r>
      <w:r>
        <w:rPr>
          <w:rFonts w:ascii="Tahoma" w:eastAsia="Tahoma" w:hAnsi="Tahoma" w:cs="Tahoma"/>
          <w:sz w:val="36"/>
          <w:szCs w:val="36"/>
        </w:rPr>
        <w:br/>
        <w:t>2019-2020</w:t>
      </w:r>
    </w:p>
    <w:p w:rsidR="00EC7099" w:rsidRDefault="00AC34AC">
      <w:pPr>
        <w:spacing w:after="960"/>
        <w:jc w:val="center"/>
        <w:rPr>
          <w:rFonts w:ascii="Tahoma" w:eastAsia="Tahoma" w:hAnsi="Tahoma" w:cs="Tahoma"/>
          <w:b/>
          <w:sz w:val="28"/>
          <w:szCs w:val="28"/>
        </w:rPr>
      </w:pPr>
      <w:r>
        <w:rPr>
          <w:rFonts w:ascii="Tahoma" w:eastAsia="Tahoma" w:hAnsi="Tahoma" w:cs="Tahoma"/>
          <w:b/>
          <w:sz w:val="28"/>
          <w:szCs w:val="28"/>
        </w:rPr>
        <w:t>2019-2020 is a baseline year to provide context for Perkins V Performance Measures.  These performance reports are produced for informational purposes.</w:t>
      </w:r>
    </w:p>
    <w:p w:rsidR="00EC7099" w:rsidRDefault="00AC34AC">
      <w:pPr>
        <w:rPr>
          <w:rFonts w:ascii="Tahoma" w:eastAsia="Tahoma" w:hAnsi="Tahoma" w:cs="Tahoma"/>
          <w:sz w:val="22"/>
          <w:szCs w:val="22"/>
        </w:rPr>
      </w:pPr>
      <w:r>
        <w:br w:type="page"/>
      </w:r>
    </w:p>
    <w:p w:rsidR="00EC7099" w:rsidRDefault="00AC34AC">
      <w:pPr>
        <w:pBdr>
          <w:bottom w:val="single" w:sz="12" w:space="1" w:color="000000"/>
        </w:pBdr>
        <w:spacing w:before="120"/>
        <w:jc w:val="center"/>
        <w:rPr>
          <w:rFonts w:ascii="Tahoma" w:eastAsia="Tahoma" w:hAnsi="Tahoma" w:cs="Tahoma"/>
          <w:b/>
          <w:sz w:val="28"/>
          <w:szCs w:val="28"/>
        </w:rPr>
      </w:pPr>
      <w:r>
        <w:rPr>
          <w:rFonts w:ascii="Tahoma" w:eastAsia="Tahoma" w:hAnsi="Tahoma" w:cs="Tahoma"/>
          <w:b/>
          <w:sz w:val="28"/>
          <w:szCs w:val="28"/>
        </w:rPr>
        <w:t>(1S1) Four-Year Graduation Rate</w:t>
      </w:r>
    </w:p>
    <w:p w:rsidR="00EC7099" w:rsidRDefault="00AC34AC">
      <w:pPr>
        <w:spacing w:before="120"/>
        <w:rPr>
          <w:rFonts w:ascii="Tahoma" w:eastAsia="Tahoma" w:hAnsi="Tahoma" w:cs="Tahoma"/>
        </w:rPr>
      </w:pPr>
      <w:r>
        <w:rPr>
          <w:rFonts w:ascii="Tahoma" w:eastAsia="Tahoma" w:hAnsi="Tahoma" w:cs="Tahoma"/>
          <w:b/>
        </w:rPr>
        <w:t xml:space="preserve">Four-Year Graduation Rate – </w:t>
      </w:r>
      <w:r>
        <w:rPr>
          <w:rFonts w:ascii="Tahoma" w:eastAsia="Tahoma" w:hAnsi="Tahoma" w:cs="Tahoma"/>
        </w:rPr>
        <w:t>The number of CTE completers (based on CTE serving school division) who earned an Advanced Studies Diploma, International Baccalaureate Diploma, or Standard Diploma.</w:t>
      </w:r>
    </w:p>
    <w:p w:rsidR="00EC7099" w:rsidRDefault="00EC7099">
      <w:pPr>
        <w:spacing w:before="60"/>
        <w:jc w:val="both"/>
        <w:rPr>
          <w:rFonts w:ascii="Tahoma" w:eastAsia="Tahoma" w:hAnsi="Tahoma" w:cs="Tahoma"/>
          <w:sz w:val="12"/>
          <w:szCs w:val="12"/>
        </w:rPr>
      </w:pPr>
    </w:p>
    <w:p w:rsidR="00EC7099" w:rsidRDefault="00AC34AC">
      <w:pPr>
        <w:rPr>
          <w:rFonts w:ascii="Tahoma" w:eastAsia="Tahoma" w:hAnsi="Tahoma" w:cs="Tahoma"/>
          <w:b/>
        </w:rPr>
      </w:pPr>
      <w:r>
        <w:rPr>
          <w:rFonts w:ascii="Tahoma" w:eastAsia="Tahoma" w:hAnsi="Tahoma" w:cs="Tahoma"/>
          <w:b/>
        </w:rPr>
        <w:t>Performance Standard: 1S1 Four-Year Graduation Rate = 93%.</w:t>
      </w:r>
    </w:p>
    <w:p w:rsidR="00EC7099" w:rsidRDefault="00EC7099">
      <w:pPr>
        <w:spacing w:before="60"/>
        <w:jc w:val="both"/>
        <w:rPr>
          <w:rFonts w:ascii="Tahoma" w:eastAsia="Tahoma" w:hAnsi="Tahoma" w:cs="Tahoma"/>
          <w:sz w:val="16"/>
          <w:szCs w:val="16"/>
        </w:rPr>
      </w:pPr>
    </w:p>
    <w:tbl>
      <w:tblPr>
        <w:tblStyle w:val="a2"/>
        <w:tblW w:w="7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6"/>
        <w:gridCol w:w="3150"/>
      </w:tblGrid>
      <w:tr w:rsidR="00EC7099">
        <w:trPr>
          <w:trHeight w:val="494"/>
          <w:jc w:val="center"/>
        </w:trPr>
        <w:tc>
          <w:tcPr>
            <w:tcW w:w="3886"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315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57"/>
          <w:jc w:val="center"/>
        </w:trPr>
        <w:tc>
          <w:tcPr>
            <w:tcW w:w="3886"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98.91% (45,592 of 46,094)</w:t>
            </w:r>
          </w:p>
        </w:tc>
        <w:tc>
          <w:tcPr>
            <w:tcW w:w="315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93%</w:t>
            </w:r>
          </w:p>
        </w:tc>
      </w:tr>
    </w:tbl>
    <w:p w:rsidR="00EC7099" w:rsidRDefault="00EC7099"/>
    <w:p w:rsidR="00EC7099" w:rsidRDefault="00AC34AC">
      <w:pPr>
        <w:pBdr>
          <w:bottom w:val="single" w:sz="12" w:space="1" w:color="000000"/>
        </w:pBdr>
        <w:spacing w:before="120"/>
        <w:jc w:val="center"/>
        <w:rPr>
          <w:rFonts w:ascii="Tahoma" w:eastAsia="Tahoma" w:hAnsi="Tahoma" w:cs="Tahoma"/>
          <w:b/>
          <w:sz w:val="28"/>
          <w:szCs w:val="28"/>
        </w:rPr>
      </w:pPr>
      <w:r>
        <w:rPr>
          <w:rFonts w:ascii="Tahoma" w:eastAsia="Tahoma" w:hAnsi="Tahoma" w:cs="Tahoma"/>
          <w:b/>
          <w:sz w:val="28"/>
          <w:szCs w:val="28"/>
        </w:rPr>
        <w:t>(2S1, 2S2, and 2S3) Academic Proficiency</w:t>
      </w:r>
    </w:p>
    <w:p w:rsidR="00EC7099" w:rsidRDefault="00AC34AC">
      <w:pPr>
        <w:spacing w:before="120"/>
        <w:ind w:right="-180"/>
        <w:rPr>
          <w:rFonts w:ascii="Tahoma" w:eastAsia="Tahoma" w:hAnsi="Tahoma" w:cs="Tahoma"/>
        </w:rPr>
      </w:pPr>
      <w:r>
        <w:rPr>
          <w:rFonts w:ascii="Tahoma" w:eastAsia="Tahoma" w:hAnsi="Tahoma" w:cs="Tahoma"/>
          <w:b/>
        </w:rPr>
        <w:t xml:space="preserve">Academic Proficiency – </w:t>
      </w:r>
      <w:r>
        <w:rPr>
          <w:rFonts w:ascii="Tahoma" w:eastAsia="Tahoma" w:hAnsi="Tahoma" w:cs="Tahoma"/>
        </w:rPr>
        <w:t>Students (based on responsible school division) who completed a CTE program (all and special populations) and were also enrolled in an academic course for which a Standards of Learning (SOL) end-of-course test is required, will attain a passing score on th</w:t>
      </w:r>
      <w:r>
        <w:rPr>
          <w:rFonts w:ascii="Tahoma" w:eastAsia="Tahoma" w:hAnsi="Tahoma" w:cs="Tahoma"/>
        </w:rPr>
        <w:t>e corresponding test.</w:t>
      </w:r>
    </w:p>
    <w:p w:rsidR="00EC7099" w:rsidRDefault="00EC7099">
      <w:pPr>
        <w:ind w:right="-187"/>
        <w:jc w:val="both"/>
        <w:rPr>
          <w:rFonts w:ascii="Tahoma" w:eastAsia="Tahoma" w:hAnsi="Tahoma" w:cs="Tahoma"/>
          <w:sz w:val="18"/>
          <w:szCs w:val="18"/>
        </w:rPr>
      </w:pPr>
    </w:p>
    <w:p w:rsidR="00EC7099" w:rsidRDefault="00AC34AC">
      <w:pPr>
        <w:tabs>
          <w:tab w:val="left" w:pos="2880"/>
        </w:tabs>
        <w:rPr>
          <w:rFonts w:ascii="Tahoma" w:eastAsia="Tahoma" w:hAnsi="Tahoma" w:cs="Tahoma"/>
          <w:b/>
        </w:rPr>
      </w:pPr>
      <w:r>
        <w:rPr>
          <w:rFonts w:ascii="Tahoma" w:eastAsia="Tahoma" w:hAnsi="Tahoma" w:cs="Tahoma"/>
          <w:b/>
        </w:rPr>
        <w:t>Performance Standard:</w:t>
      </w:r>
      <w:r>
        <w:rPr>
          <w:rFonts w:ascii="Tahoma" w:eastAsia="Tahoma" w:hAnsi="Tahoma" w:cs="Tahoma"/>
          <w:b/>
        </w:rPr>
        <w:tab/>
        <w:t>2S1 English: Reading = 85.00%</w:t>
      </w:r>
    </w:p>
    <w:p w:rsidR="00EC7099" w:rsidRDefault="00AC34AC">
      <w:pPr>
        <w:tabs>
          <w:tab w:val="left" w:pos="2880"/>
        </w:tabs>
        <w:rPr>
          <w:rFonts w:ascii="Tahoma" w:eastAsia="Tahoma" w:hAnsi="Tahoma" w:cs="Tahoma"/>
          <w:b/>
        </w:rPr>
      </w:pPr>
      <w:r>
        <w:rPr>
          <w:rFonts w:ascii="Tahoma" w:eastAsia="Tahoma" w:hAnsi="Tahoma" w:cs="Tahoma"/>
          <w:b/>
        </w:rPr>
        <w:tab/>
        <w:t>2S2 Mathematics (Highest Level) = 85.00%</w:t>
      </w:r>
    </w:p>
    <w:p w:rsidR="00EC7099" w:rsidRDefault="00AC34AC">
      <w:pPr>
        <w:tabs>
          <w:tab w:val="left" w:pos="2880"/>
        </w:tabs>
        <w:rPr>
          <w:rFonts w:ascii="Tahoma" w:eastAsia="Tahoma" w:hAnsi="Tahoma" w:cs="Tahoma"/>
          <w:b/>
        </w:rPr>
      </w:pPr>
      <w:r>
        <w:rPr>
          <w:rFonts w:ascii="Tahoma" w:eastAsia="Tahoma" w:hAnsi="Tahoma" w:cs="Tahoma"/>
          <w:b/>
        </w:rPr>
        <w:tab/>
        <w:t>2S3 Science = 85.00%</w:t>
      </w:r>
    </w:p>
    <w:p w:rsidR="00EC7099" w:rsidRDefault="00EC7099">
      <w:pPr>
        <w:ind w:firstLine="720"/>
        <w:jc w:val="center"/>
        <w:rPr>
          <w:rFonts w:ascii="Tahoma" w:eastAsia="Tahoma" w:hAnsi="Tahoma" w:cs="Tahoma"/>
          <w:b/>
          <w:sz w:val="10"/>
          <w:szCs w:val="10"/>
        </w:rPr>
      </w:pPr>
    </w:p>
    <w:p w:rsidR="00EC7099" w:rsidRDefault="00AC34AC">
      <w:pPr>
        <w:spacing w:before="120" w:after="120"/>
        <w:jc w:val="center"/>
        <w:rPr>
          <w:rFonts w:ascii="Tahoma" w:eastAsia="Tahoma" w:hAnsi="Tahoma" w:cs="Tahoma"/>
          <w:b/>
        </w:rPr>
      </w:pPr>
      <w:r>
        <w:rPr>
          <w:rFonts w:ascii="Tahoma" w:eastAsia="Tahoma" w:hAnsi="Tahoma" w:cs="Tahoma"/>
          <w:b/>
        </w:rPr>
        <w:t>ALL CTE COMPLETERS PERFORMANCE</w:t>
      </w:r>
    </w:p>
    <w:tbl>
      <w:tblPr>
        <w:tblStyle w:val="a3"/>
        <w:tblW w:w="8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649"/>
        <w:gridCol w:w="2070"/>
      </w:tblGrid>
      <w:tr w:rsidR="00EC7099">
        <w:trPr>
          <w:trHeight w:val="395"/>
          <w:jc w:val="center"/>
        </w:trPr>
        <w:tc>
          <w:tcPr>
            <w:tcW w:w="2693" w:type="dxa"/>
            <w:shd w:val="clear" w:color="auto" w:fill="D9D9D9"/>
            <w:vAlign w:val="center"/>
          </w:tcPr>
          <w:p w:rsidR="00EC7099" w:rsidRDefault="00AC34AC">
            <w:pPr>
              <w:spacing w:before="60"/>
              <w:jc w:val="center"/>
              <w:rPr>
                <w:rFonts w:ascii="Tahoma" w:eastAsia="Tahoma" w:hAnsi="Tahoma" w:cs="Tahoma"/>
                <w:b/>
                <w:sz w:val="20"/>
                <w:szCs w:val="20"/>
              </w:rPr>
            </w:pPr>
            <w:r>
              <w:rPr>
                <w:rFonts w:ascii="Tahoma" w:eastAsia="Tahoma" w:hAnsi="Tahoma" w:cs="Tahoma"/>
                <w:b/>
                <w:sz w:val="20"/>
                <w:szCs w:val="20"/>
              </w:rPr>
              <w:t>SOL Test</w:t>
            </w:r>
          </w:p>
        </w:tc>
        <w:tc>
          <w:tcPr>
            <w:tcW w:w="3649" w:type="dxa"/>
            <w:tcBorders>
              <w:bottom w:val="single" w:sz="4" w:space="0" w:color="000000"/>
            </w:tcBorders>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207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782"/>
          <w:jc w:val="center"/>
        </w:trPr>
        <w:tc>
          <w:tcPr>
            <w:tcW w:w="2693" w:type="dxa"/>
            <w:vAlign w:val="center"/>
          </w:tcPr>
          <w:p w:rsidR="00EC7099" w:rsidRDefault="00AC34AC">
            <w:pPr>
              <w:ind w:left="86"/>
              <w:jc w:val="center"/>
              <w:rPr>
                <w:rFonts w:ascii="Tahoma" w:eastAsia="Tahoma" w:hAnsi="Tahoma" w:cs="Tahoma"/>
                <w:b/>
                <w:sz w:val="20"/>
                <w:szCs w:val="20"/>
              </w:rPr>
            </w:pPr>
            <w:r>
              <w:rPr>
                <w:rFonts w:ascii="Tahoma" w:eastAsia="Tahoma" w:hAnsi="Tahoma" w:cs="Tahoma"/>
                <w:b/>
                <w:sz w:val="20"/>
                <w:szCs w:val="20"/>
              </w:rPr>
              <w:t>EOC English: Reading</w:t>
            </w:r>
          </w:p>
          <w:p w:rsidR="00EC7099" w:rsidRDefault="00AC34AC">
            <w:pPr>
              <w:ind w:left="86"/>
              <w:jc w:val="center"/>
              <w:rPr>
                <w:rFonts w:ascii="Tahoma" w:eastAsia="Tahoma" w:hAnsi="Tahoma" w:cs="Tahoma"/>
                <w:b/>
                <w:sz w:val="20"/>
                <w:szCs w:val="20"/>
              </w:rPr>
            </w:pPr>
            <w:r>
              <w:rPr>
                <w:rFonts w:ascii="Tahoma" w:eastAsia="Tahoma" w:hAnsi="Tahoma" w:cs="Tahoma"/>
                <w:b/>
                <w:sz w:val="20"/>
                <w:szCs w:val="20"/>
              </w:rPr>
              <w:t>(2S1)</w:t>
            </w:r>
          </w:p>
        </w:tc>
        <w:tc>
          <w:tcPr>
            <w:tcW w:w="3649"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95.54% (42,149 of 44,116)</w:t>
            </w:r>
          </w:p>
        </w:tc>
        <w:tc>
          <w:tcPr>
            <w:tcW w:w="207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85%</w:t>
            </w:r>
          </w:p>
        </w:tc>
      </w:tr>
      <w:tr w:rsidR="00EC7099">
        <w:trPr>
          <w:trHeight w:val="800"/>
          <w:jc w:val="center"/>
        </w:trPr>
        <w:tc>
          <w:tcPr>
            <w:tcW w:w="2693" w:type="dxa"/>
            <w:vAlign w:val="center"/>
          </w:tcPr>
          <w:p w:rsidR="00EC7099" w:rsidRDefault="00AC34AC">
            <w:pPr>
              <w:ind w:left="86"/>
              <w:jc w:val="center"/>
              <w:rPr>
                <w:rFonts w:ascii="Tahoma" w:eastAsia="Tahoma" w:hAnsi="Tahoma" w:cs="Tahoma"/>
                <w:b/>
                <w:sz w:val="20"/>
                <w:szCs w:val="20"/>
              </w:rPr>
            </w:pPr>
            <w:r>
              <w:rPr>
                <w:rFonts w:ascii="Tahoma" w:eastAsia="Tahoma" w:hAnsi="Tahoma" w:cs="Tahoma"/>
                <w:b/>
                <w:sz w:val="20"/>
                <w:szCs w:val="20"/>
              </w:rPr>
              <w:t>EOC Mathematics</w:t>
            </w:r>
          </w:p>
          <w:p w:rsidR="00EC7099" w:rsidRDefault="00AC34AC">
            <w:pPr>
              <w:ind w:left="86"/>
              <w:jc w:val="center"/>
              <w:rPr>
                <w:rFonts w:ascii="Tahoma" w:eastAsia="Tahoma" w:hAnsi="Tahoma" w:cs="Tahoma"/>
                <w:b/>
                <w:sz w:val="16"/>
                <w:szCs w:val="16"/>
              </w:rPr>
            </w:pPr>
            <w:r>
              <w:rPr>
                <w:rFonts w:ascii="Tahoma" w:eastAsia="Tahoma" w:hAnsi="Tahoma" w:cs="Tahoma"/>
                <w:b/>
                <w:sz w:val="16"/>
                <w:szCs w:val="16"/>
              </w:rPr>
              <w:t>(Highest level)</w:t>
            </w:r>
          </w:p>
          <w:p w:rsidR="00EC7099" w:rsidRDefault="00AC34AC">
            <w:pPr>
              <w:ind w:left="86"/>
              <w:jc w:val="center"/>
              <w:rPr>
                <w:rFonts w:ascii="Tahoma" w:eastAsia="Tahoma" w:hAnsi="Tahoma" w:cs="Tahoma"/>
                <w:b/>
                <w:sz w:val="20"/>
                <w:szCs w:val="20"/>
              </w:rPr>
            </w:pPr>
            <w:r>
              <w:rPr>
                <w:rFonts w:ascii="Tahoma" w:eastAsia="Tahoma" w:hAnsi="Tahoma" w:cs="Tahoma"/>
                <w:b/>
                <w:sz w:val="20"/>
                <w:szCs w:val="20"/>
              </w:rPr>
              <w:t>(2S2)</w:t>
            </w:r>
          </w:p>
        </w:tc>
        <w:tc>
          <w:tcPr>
            <w:tcW w:w="3649"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97.20% (43,008 of 44,245)</w:t>
            </w:r>
          </w:p>
        </w:tc>
        <w:tc>
          <w:tcPr>
            <w:tcW w:w="207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85%</w:t>
            </w:r>
          </w:p>
        </w:tc>
      </w:tr>
      <w:tr w:rsidR="00EC7099">
        <w:trPr>
          <w:trHeight w:val="800"/>
          <w:jc w:val="center"/>
        </w:trPr>
        <w:tc>
          <w:tcPr>
            <w:tcW w:w="2693" w:type="dxa"/>
            <w:vAlign w:val="center"/>
          </w:tcPr>
          <w:p w:rsidR="00EC7099" w:rsidRDefault="00AC34AC">
            <w:pPr>
              <w:ind w:left="86"/>
              <w:jc w:val="center"/>
              <w:rPr>
                <w:rFonts w:ascii="Tahoma" w:eastAsia="Tahoma" w:hAnsi="Tahoma" w:cs="Tahoma"/>
                <w:b/>
                <w:sz w:val="20"/>
                <w:szCs w:val="20"/>
              </w:rPr>
            </w:pPr>
            <w:r>
              <w:rPr>
                <w:rFonts w:ascii="Tahoma" w:eastAsia="Tahoma" w:hAnsi="Tahoma" w:cs="Tahoma"/>
                <w:b/>
                <w:sz w:val="20"/>
                <w:szCs w:val="20"/>
              </w:rPr>
              <w:t>EOC Science</w:t>
            </w:r>
          </w:p>
          <w:p w:rsidR="00EC7099" w:rsidRDefault="00AC34AC">
            <w:pPr>
              <w:ind w:left="86"/>
              <w:jc w:val="center"/>
              <w:rPr>
                <w:rFonts w:ascii="Tahoma" w:eastAsia="Tahoma" w:hAnsi="Tahoma" w:cs="Tahoma"/>
                <w:b/>
                <w:sz w:val="20"/>
                <w:szCs w:val="20"/>
              </w:rPr>
            </w:pPr>
            <w:r>
              <w:rPr>
                <w:rFonts w:ascii="Tahoma" w:eastAsia="Tahoma" w:hAnsi="Tahoma" w:cs="Tahoma"/>
                <w:b/>
                <w:sz w:val="20"/>
                <w:szCs w:val="20"/>
              </w:rPr>
              <w:t>(2S3)</w:t>
            </w:r>
          </w:p>
        </w:tc>
        <w:tc>
          <w:tcPr>
            <w:tcW w:w="3649"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95.07% (41,951 of 44,126)</w:t>
            </w:r>
          </w:p>
        </w:tc>
        <w:tc>
          <w:tcPr>
            <w:tcW w:w="207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85.00%</w:t>
            </w:r>
          </w:p>
        </w:tc>
      </w:tr>
    </w:tbl>
    <w:p w:rsidR="00EC7099" w:rsidRDefault="00EC7099">
      <w:pPr>
        <w:rPr>
          <w:rFonts w:ascii="Tahoma" w:eastAsia="Tahoma" w:hAnsi="Tahoma" w:cs="Tahoma"/>
          <w:b/>
          <w:sz w:val="6"/>
          <w:szCs w:val="6"/>
        </w:rPr>
      </w:pPr>
    </w:p>
    <w:p w:rsidR="00EC7099" w:rsidRDefault="00EC7099">
      <w:pPr>
        <w:jc w:val="center"/>
        <w:rPr>
          <w:rFonts w:ascii="Tahoma" w:eastAsia="Tahoma" w:hAnsi="Tahoma" w:cs="Tahoma"/>
          <w:b/>
          <w:sz w:val="4"/>
          <w:szCs w:val="4"/>
        </w:rPr>
      </w:pPr>
    </w:p>
    <w:p w:rsidR="00EC7099" w:rsidRDefault="00AC34AC">
      <w:pPr>
        <w:spacing w:before="120" w:after="120"/>
        <w:jc w:val="center"/>
        <w:rPr>
          <w:rFonts w:ascii="Tahoma" w:eastAsia="Tahoma" w:hAnsi="Tahoma" w:cs="Tahoma"/>
          <w:b/>
        </w:rPr>
      </w:pPr>
      <w:r>
        <w:rPr>
          <w:rFonts w:ascii="Tahoma" w:eastAsia="Tahoma" w:hAnsi="Tahoma" w:cs="Tahoma"/>
          <w:b/>
        </w:rPr>
        <w:t>ALL SPECIAL POPULATIONS PERFORMANCE</w:t>
      </w:r>
    </w:p>
    <w:tbl>
      <w:tblPr>
        <w:tblStyle w:val="a4"/>
        <w:tblW w:w="7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9"/>
        <w:gridCol w:w="3880"/>
      </w:tblGrid>
      <w:tr w:rsidR="00EC7099">
        <w:trPr>
          <w:trHeight w:val="557"/>
          <w:jc w:val="center"/>
        </w:trPr>
        <w:tc>
          <w:tcPr>
            <w:tcW w:w="3229" w:type="dxa"/>
            <w:shd w:val="clear" w:color="auto" w:fill="D9D9D9"/>
            <w:vAlign w:val="center"/>
          </w:tcPr>
          <w:p w:rsidR="00EC7099" w:rsidRDefault="00AC34AC">
            <w:pPr>
              <w:spacing w:before="60"/>
              <w:jc w:val="center"/>
              <w:rPr>
                <w:rFonts w:ascii="Tahoma" w:eastAsia="Tahoma" w:hAnsi="Tahoma" w:cs="Tahoma"/>
                <w:b/>
                <w:sz w:val="20"/>
                <w:szCs w:val="20"/>
              </w:rPr>
            </w:pPr>
            <w:r>
              <w:rPr>
                <w:rFonts w:ascii="Tahoma" w:eastAsia="Tahoma" w:hAnsi="Tahoma" w:cs="Tahoma"/>
                <w:b/>
                <w:sz w:val="20"/>
                <w:szCs w:val="20"/>
              </w:rPr>
              <w:t>SOL Test</w:t>
            </w:r>
          </w:p>
        </w:tc>
        <w:tc>
          <w:tcPr>
            <w:tcW w:w="388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r>
      <w:tr w:rsidR="00EC7099">
        <w:trPr>
          <w:trHeight w:val="461"/>
          <w:jc w:val="center"/>
        </w:trPr>
        <w:tc>
          <w:tcPr>
            <w:tcW w:w="3229" w:type="dxa"/>
            <w:vAlign w:val="center"/>
          </w:tcPr>
          <w:p w:rsidR="00EC7099" w:rsidRDefault="00AC34AC">
            <w:pPr>
              <w:spacing w:before="60"/>
              <w:jc w:val="center"/>
              <w:rPr>
                <w:rFonts w:ascii="Tahoma" w:eastAsia="Tahoma" w:hAnsi="Tahoma" w:cs="Tahoma"/>
                <w:b/>
                <w:sz w:val="20"/>
                <w:szCs w:val="20"/>
              </w:rPr>
            </w:pPr>
            <w:r>
              <w:rPr>
                <w:rFonts w:ascii="Tahoma" w:eastAsia="Tahoma" w:hAnsi="Tahoma" w:cs="Tahoma"/>
                <w:b/>
                <w:sz w:val="20"/>
                <w:szCs w:val="20"/>
              </w:rPr>
              <w:t>EOC English: Reading (2S1)</w:t>
            </w:r>
          </w:p>
        </w:tc>
        <w:tc>
          <w:tcPr>
            <w:tcW w:w="388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93.55% (24,741 of 26,447)</w:t>
            </w:r>
          </w:p>
        </w:tc>
      </w:tr>
      <w:tr w:rsidR="00EC7099">
        <w:trPr>
          <w:trHeight w:val="461"/>
          <w:jc w:val="center"/>
        </w:trPr>
        <w:tc>
          <w:tcPr>
            <w:tcW w:w="3229" w:type="dxa"/>
            <w:vAlign w:val="center"/>
          </w:tcPr>
          <w:p w:rsidR="00EC7099" w:rsidRDefault="00AC34AC">
            <w:pPr>
              <w:spacing w:before="60"/>
              <w:jc w:val="center"/>
              <w:rPr>
                <w:rFonts w:ascii="Tahoma" w:eastAsia="Tahoma" w:hAnsi="Tahoma" w:cs="Tahoma"/>
                <w:b/>
                <w:sz w:val="20"/>
                <w:szCs w:val="20"/>
              </w:rPr>
            </w:pPr>
            <w:r>
              <w:rPr>
                <w:rFonts w:ascii="Tahoma" w:eastAsia="Tahoma" w:hAnsi="Tahoma" w:cs="Tahoma"/>
                <w:b/>
                <w:sz w:val="20"/>
                <w:szCs w:val="20"/>
              </w:rPr>
              <w:t>EOC Mathematics</w:t>
            </w:r>
          </w:p>
          <w:p w:rsidR="00EC7099" w:rsidRDefault="00AC34AC">
            <w:pPr>
              <w:spacing w:before="60"/>
              <w:jc w:val="center"/>
              <w:rPr>
                <w:rFonts w:ascii="Tahoma" w:eastAsia="Tahoma" w:hAnsi="Tahoma" w:cs="Tahoma"/>
                <w:b/>
                <w:sz w:val="20"/>
                <w:szCs w:val="20"/>
              </w:rPr>
            </w:pPr>
            <w:r>
              <w:rPr>
                <w:rFonts w:ascii="Tahoma" w:eastAsia="Tahoma" w:hAnsi="Tahoma" w:cs="Tahoma"/>
                <w:b/>
                <w:sz w:val="16"/>
                <w:szCs w:val="16"/>
              </w:rPr>
              <w:t xml:space="preserve">(Highest Level) </w:t>
            </w:r>
            <w:r>
              <w:rPr>
                <w:rFonts w:ascii="Tahoma" w:eastAsia="Tahoma" w:hAnsi="Tahoma" w:cs="Tahoma"/>
                <w:b/>
                <w:sz w:val="20"/>
                <w:szCs w:val="20"/>
              </w:rPr>
              <w:t>(2S2)</w:t>
            </w:r>
          </w:p>
        </w:tc>
        <w:tc>
          <w:tcPr>
            <w:tcW w:w="388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95.86% (25,415 of 26,513)</w:t>
            </w:r>
          </w:p>
        </w:tc>
      </w:tr>
      <w:tr w:rsidR="00EC7099">
        <w:trPr>
          <w:trHeight w:val="461"/>
          <w:jc w:val="center"/>
        </w:trPr>
        <w:tc>
          <w:tcPr>
            <w:tcW w:w="3229" w:type="dxa"/>
            <w:vAlign w:val="center"/>
          </w:tcPr>
          <w:p w:rsidR="00EC7099" w:rsidRDefault="00AC34AC">
            <w:pPr>
              <w:spacing w:before="60"/>
              <w:jc w:val="center"/>
              <w:rPr>
                <w:rFonts w:ascii="Tahoma" w:eastAsia="Tahoma" w:hAnsi="Tahoma" w:cs="Tahoma"/>
                <w:b/>
                <w:sz w:val="20"/>
                <w:szCs w:val="20"/>
              </w:rPr>
            </w:pPr>
            <w:r>
              <w:rPr>
                <w:rFonts w:ascii="Tahoma" w:eastAsia="Tahoma" w:hAnsi="Tahoma" w:cs="Tahoma"/>
                <w:b/>
                <w:sz w:val="20"/>
                <w:szCs w:val="20"/>
              </w:rPr>
              <w:t>EOC Science (2S3)</w:t>
            </w:r>
          </w:p>
        </w:tc>
        <w:tc>
          <w:tcPr>
            <w:tcW w:w="388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92.72% (24,502 of 26,427)</w:t>
            </w:r>
          </w:p>
        </w:tc>
      </w:tr>
    </w:tbl>
    <w:p w:rsidR="00EC7099" w:rsidRDefault="00AC34AC">
      <w:r>
        <w:br w:type="page"/>
      </w:r>
    </w:p>
    <w:p w:rsidR="00EC7099" w:rsidRDefault="00EC7099"/>
    <w:p w:rsidR="00EC7099" w:rsidRDefault="00AC34AC">
      <w:pPr>
        <w:pBdr>
          <w:bottom w:val="single" w:sz="12" w:space="1" w:color="000000"/>
        </w:pBdr>
        <w:spacing w:before="120"/>
        <w:jc w:val="center"/>
        <w:rPr>
          <w:rFonts w:ascii="Tahoma" w:eastAsia="Tahoma" w:hAnsi="Tahoma" w:cs="Tahoma"/>
          <w:b/>
          <w:sz w:val="28"/>
          <w:szCs w:val="28"/>
        </w:rPr>
      </w:pPr>
      <w:r>
        <w:rPr>
          <w:rFonts w:ascii="Tahoma" w:eastAsia="Tahoma" w:hAnsi="Tahoma" w:cs="Tahoma"/>
          <w:b/>
          <w:sz w:val="28"/>
          <w:szCs w:val="28"/>
        </w:rPr>
        <w:t>(3S1) Post-Program Placement</w:t>
      </w:r>
    </w:p>
    <w:p w:rsidR="00EC7099" w:rsidRDefault="00AC34AC">
      <w:pPr>
        <w:spacing w:before="120"/>
        <w:rPr>
          <w:rFonts w:ascii="Tahoma" w:eastAsia="Tahoma" w:hAnsi="Tahoma" w:cs="Tahoma"/>
        </w:rPr>
      </w:pPr>
      <w:r>
        <w:rPr>
          <w:rFonts w:ascii="Tahoma" w:eastAsia="Tahoma" w:hAnsi="Tahoma" w:cs="Tahoma"/>
          <w:b/>
        </w:rPr>
        <w:t xml:space="preserve">Post-Program Placement – </w:t>
      </w:r>
      <w:r>
        <w:rPr>
          <w:rFonts w:ascii="Tahoma" w:eastAsia="Tahoma" w:hAnsi="Tahoma" w:cs="Tahoma"/>
        </w:rPr>
        <w:t>CTE completers (based on CTE serving school division) will successfully transition from secondary school to employment, military, further education, or full-time equivalency of part-time combinations of transition indicators.</w:t>
      </w:r>
    </w:p>
    <w:p w:rsidR="00EC7099" w:rsidRDefault="00EC7099">
      <w:pPr>
        <w:spacing w:before="60"/>
        <w:jc w:val="both"/>
        <w:rPr>
          <w:rFonts w:ascii="Tahoma" w:eastAsia="Tahoma" w:hAnsi="Tahoma" w:cs="Tahoma"/>
          <w:sz w:val="12"/>
          <w:szCs w:val="12"/>
        </w:rPr>
      </w:pPr>
    </w:p>
    <w:p w:rsidR="00EC7099" w:rsidRDefault="00AC34AC">
      <w:pPr>
        <w:rPr>
          <w:rFonts w:ascii="Tahoma" w:eastAsia="Tahoma" w:hAnsi="Tahoma" w:cs="Tahoma"/>
          <w:b/>
        </w:rPr>
      </w:pPr>
      <w:r>
        <w:rPr>
          <w:rFonts w:ascii="Tahoma" w:eastAsia="Tahoma" w:hAnsi="Tahoma" w:cs="Tahoma"/>
          <w:b/>
        </w:rPr>
        <w:t>Performance Standard: 3S1 Pos</w:t>
      </w:r>
      <w:r>
        <w:rPr>
          <w:rFonts w:ascii="Tahoma" w:eastAsia="Tahoma" w:hAnsi="Tahoma" w:cs="Tahoma"/>
          <w:b/>
        </w:rPr>
        <w:t>t-Program Placement = 93%</w:t>
      </w:r>
    </w:p>
    <w:tbl>
      <w:tblPr>
        <w:tblStyle w:val="a5"/>
        <w:tblW w:w="6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2"/>
        <w:gridCol w:w="2682"/>
      </w:tblGrid>
      <w:tr w:rsidR="00EC7099">
        <w:trPr>
          <w:trHeight w:val="430"/>
        </w:trPr>
        <w:tc>
          <w:tcPr>
            <w:tcW w:w="4212"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2682"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26"/>
        </w:trPr>
        <w:tc>
          <w:tcPr>
            <w:tcW w:w="4212" w:type="dxa"/>
            <w:vAlign w:val="center"/>
          </w:tcPr>
          <w:p w:rsidR="00EC7099" w:rsidRDefault="00AC34AC">
            <w:pPr>
              <w:tabs>
                <w:tab w:val="right" w:pos="0"/>
                <w:tab w:val="right" w:pos="1410"/>
              </w:tabs>
              <w:spacing w:before="20" w:after="20"/>
              <w:jc w:val="center"/>
              <w:rPr>
                <w:rFonts w:ascii="Tahoma" w:eastAsia="Tahoma" w:hAnsi="Tahoma" w:cs="Tahoma"/>
                <w:sz w:val="20"/>
                <w:szCs w:val="20"/>
              </w:rPr>
            </w:pPr>
            <w:r>
              <w:rPr>
                <w:rFonts w:ascii="Tahoma" w:eastAsia="Tahoma" w:hAnsi="Tahoma" w:cs="Tahoma"/>
                <w:sz w:val="20"/>
                <w:szCs w:val="20"/>
              </w:rPr>
              <w:t>95.13% (30,079 of 31,620)</w:t>
            </w:r>
          </w:p>
        </w:tc>
        <w:tc>
          <w:tcPr>
            <w:tcW w:w="2682" w:type="dxa"/>
            <w:vAlign w:val="center"/>
          </w:tcPr>
          <w:p w:rsidR="00EC7099" w:rsidRDefault="00AC34AC">
            <w:pPr>
              <w:tabs>
                <w:tab w:val="right" w:pos="0"/>
                <w:tab w:val="right" w:pos="1396"/>
              </w:tabs>
              <w:spacing w:before="20" w:after="20"/>
              <w:jc w:val="center"/>
              <w:rPr>
                <w:rFonts w:ascii="Tahoma" w:eastAsia="Tahoma" w:hAnsi="Tahoma" w:cs="Tahoma"/>
                <w:sz w:val="20"/>
                <w:szCs w:val="20"/>
              </w:rPr>
            </w:pPr>
            <w:r>
              <w:rPr>
                <w:rFonts w:ascii="Tahoma" w:eastAsia="Tahoma" w:hAnsi="Tahoma" w:cs="Tahoma"/>
                <w:sz w:val="20"/>
                <w:szCs w:val="20"/>
              </w:rPr>
              <w:t>93%</w:t>
            </w:r>
          </w:p>
        </w:tc>
      </w:tr>
    </w:tbl>
    <w:p w:rsidR="00EC7099" w:rsidRDefault="00EC7099">
      <w:pPr>
        <w:spacing w:after="1080"/>
      </w:pPr>
    </w:p>
    <w:p w:rsidR="00EC7099" w:rsidRDefault="00EC7099">
      <w:pPr>
        <w:rPr>
          <w:sz w:val="36"/>
          <w:szCs w:val="36"/>
        </w:rPr>
      </w:pPr>
    </w:p>
    <w:p w:rsidR="00EC7099" w:rsidRDefault="00AC34AC">
      <w:pPr>
        <w:pBdr>
          <w:bottom w:val="single" w:sz="12" w:space="1" w:color="000000"/>
        </w:pBdr>
        <w:spacing w:before="120"/>
        <w:jc w:val="center"/>
        <w:rPr>
          <w:rFonts w:ascii="Tahoma" w:eastAsia="Tahoma" w:hAnsi="Tahoma" w:cs="Tahoma"/>
          <w:b/>
          <w:sz w:val="28"/>
          <w:szCs w:val="28"/>
        </w:rPr>
      </w:pPr>
      <w:r>
        <w:rPr>
          <w:rFonts w:ascii="Tahoma" w:eastAsia="Tahoma" w:hAnsi="Tahoma" w:cs="Tahoma"/>
          <w:b/>
          <w:sz w:val="28"/>
          <w:szCs w:val="28"/>
        </w:rPr>
        <w:t>Program Completer Response Rate</w:t>
      </w:r>
    </w:p>
    <w:p w:rsidR="00EC7099" w:rsidRDefault="00AC34AC">
      <w:pPr>
        <w:spacing w:before="120"/>
        <w:rPr>
          <w:rFonts w:ascii="Tahoma" w:eastAsia="Tahoma" w:hAnsi="Tahoma" w:cs="Tahoma"/>
        </w:rPr>
      </w:pPr>
      <w:r>
        <w:rPr>
          <w:rFonts w:ascii="Tahoma" w:eastAsia="Tahoma" w:hAnsi="Tahoma" w:cs="Tahoma"/>
          <w:b/>
        </w:rPr>
        <w:t xml:space="preserve">Program Completer Response Rate – </w:t>
      </w:r>
      <w:r>
        <w:rPr>
          <w:rFonts w:ascii="Tahoma" w:eastAsia="Tahoma" w:hAnsi="Tahoma" w:cs="Tahoma"/>
        </w:rPr>
        <w:t>The response rate to the Career and Technical Education Student Follow-Up Survey for school year 2018-2019.</w:t>
      </w:r>
    </w:p>
    <w:p w:rsidR="00EC7099" w:rsidRDefault="00EC7099">
      <w:pPr>
        <w:spacing w:before="60"/>
        <w:jc w:val="both"/>
        <w:rPr>
          <w:rFonts w:ascii="Tahoma" w:eastAsia="Tahoma" w:hAnsi="Tahoma" w:cs="Tahoma"/>
          <w:sz w:val="12"/>
          <w:szCs w:val="12"/>
        </w:rPr>
      </w:pPr>
    </w:p>
    <w:p w:rsidR="00EC7099" w:rsidRDefault="00AC34AC">
      <w:pPr>
        <w:rPr>
          <w:rFonts w:ascii="Tahoma" w:eastAsia="Tahoma" w:hAnsi="Tahoma" w:cs="Tahoma"/>
          <w:b/>
        </w:rPr>
      </w:pPr>
      <w:r>
        <w:rPr>
          <w:rFonts w:ascii="Tahoma" w:eastAsia="Tahoma" w:hAnsi="Tahoma" w:cs="Tahoma"/>
          <w:b/>
        </w:rPr>
        <w:t>Performance Standard: Completer Response Rate = 75%</w:t>
      </w:r>
    </w:p>
    <w:p w:rsidR="00EC7099" w:rsidRDefault="00AC34AC">
      <w:pPr>
        <w:spacing w:before="120" w:after="120"/>
        <w:jc w:val="center"/>
        <w:rPr>
          <w:rFonts w:ascii="Tahoma" w:eastAsia="Tahoma" w:hAnsi="Tahoma" w:cs="Tahoma"/>
          <w:b/>
        </w:rPr>
      </w:pPr>
      <w:r>
        <w:rPr>
          <w:rFonts w:ascii="Tahoma" w:eastAsia="Tahoma" w:hAnsi="Tahoma" w:cs="Tahoma"/>
          <w:b/>
        </w:rPr>
        <w:t>ALL CTE COMPLETERS</w:t>
      </w:r>
    </w:p>
    <w:tbl>
      <w:tblPr>
        <w:tblStyle w:val="a6"/>
        <w:tblW w:w="6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0"/>
        <w:gridCol w:w="2620"/>
      </w:tblGrid>
      <w:tr w:rsidR="00EC7099">
        <w:trPr>
          <w:trHeight w:val="440"/>
          <w:jc w:val="center"/>
        </w:trPr>
        <w:tc>
          <w:tcPr>
            <w:tcW w:w="424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262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80"/>
          <w:jc w:val="center"/>
        </w:trPr>
        <w:tc>
          <w:tcPr>
            <w:tcW w:w="4240" w:type="dxa"/>
            <w:vAlign w:val="center"/>
          </w:tcPr>
          <w:p w:rsidR="00EC7099" w:rsidRDefault="00AC34AC">
            <w:pPr>
              <w:spacing w:before="20" w:after="20"/>
              <w:ind w:left="135"/>
              <w:jc w:val="center"/>
              <w:rPr>
                <w:rFonts w:ascii="Tahoma" w:eastAsia="Tahoma" w:hAnsi="Tahoma" w:cs="Tahoma"/>
                <w:sz w:val="20"/>
                <w:szCs w:val="20"/>
              </w:rPr>
            </w:pPr>
            <w:r>
              <w:rPr>
                <w:rFonts w:ascii="Tahoma" w:eastAsia="Tahoma" w:hAnsi="Tahoma" w:cs="Tahoma"/>
                <w:sz w:val="20"/>
                <w:szCs w:val="20"/>
              </w:rPr>
              <w:t>74.89% (31,620 of 42,221)</w:t>
            </w:r>
          </w:p>
        </w:tc>
        <w:tc>
          <w:tcPr>
            <w:tcW w:w="2620" w:type="dxa"/>
            <w:vAlign w:val="center"/>
          </w:tcPr>
          <w:p w:rsidR="00EC7099" w:rsidRDefault="00AC34AC">
            <w:pPr>
              <w:spacing w:before="20" w:after="20"/>
              <w:ind w:left="106"/>
              <w:jc w:val="center"/>
              <w:rPr>
                <w:rFonts w:ascii="Tahoma" w:eastAsia="Tahoma" w:hAnsi="Tahoma" w:cs="Tahoma"/>
                <w:sz w:val="20"/>
                <w:szCs w:val="20"/>
              </w:rPr>
            </w:pPr>
            <w:r>
              <w:rPr>
                <w:rFonts w:ascii="Tahoma" w:eastAsia="Tahoma" w:hAnsi="Tahoma" w:cs="Tahoma"/>
                <w:sz w:val="20"/>
                <w:szCs w:val="20"/>
              </w:rPr>
              <w:t>75%</w:t>
            </w:r>
          </w:p>
        </w:tc>
      </w:tr>
    </w:tbl>
    <w:p w:rsidR="00EC7099" w:rsidRDefault="00EC7099">
      <w:pPr>
        <w:rPr>
          <w:sz w:val="40"/>
          <w:szCs w:val="40"/>
        </w:rPr>
      </w:pPr>
    </w:p>
    <w:p w:rsidR="00EC7099" w:rsidRDefault="00AC34AC">
      <w:pPr>
        <w:pBdr>
          <w:bottom w:val="single" w:sz="12" w:space="1" w:color="000000"/>
        </w:pBdr>
        <w:spacing w:before="120"/>
        <w:jc w:val="center"/>
        <w:rPr>
          <w:rFonts w:ascii="Tahoma" w:eastAsia="Tahoma" w:hAnsi="Tahoma" w:cs="Tahoma"/>
          <w:b/>
          <w:sz w:val="28"/>
          <w:szCs w:val="28"/>
        </w:rPr>
      </w:pPr>
      <w:r>
        <w:rPr>
          <w:rFonts w:ascii="Tahoma" w:eastAsia="Tahoma" w:hAnsi="Tahoma" w:cs="Tahoma"/>
          <w:b/>
          <w:sz w:val="28"/>
          <w:szCs w:val="28"/>
        </w:rPr>
        <w:t xml:space="preserve"> (4S1) Nontraditional Program Concentration</w:t>
      </w:r>
    </w:p>
    <w:p w:rsidR="00EC7099" w:rsidRDefault="00AC34AC">
      <w:pPr>
        <w:spacing w:before="120"/>
        <w:rPr>
          <w:rFonts w:ascii="Tahoma" w:eastAsia="Tahoma" w:hAnsi="Tahoma" w:cs="Tahoma"/>
        </w:rPr>
      </w:pPr>
      <w:r>
        <w:rPr>
          <w:rFonts w:ascii="Tahoma" w:eastAsia="Tahoma" w:hAnsi="Tahoma" w:cs="Tahoma"/>
          <w:b/>
        </w:rPr>
        <w:t xml:space="preserve">Nontraditional Program Concentration – </w:t>
      </w:r>
      <w:r>
        <w:rPr>
          <w:rFonts w:ascii="Tahoma" w:eastAsia="Tahoma" w:hAnsi="Tahoma" w:cs="Tahoma"/>
        </w:rPr>
        <w:t>Number of CTE completers from underrepresented gender groups who, during the reporting year, completed a program that leads to employment in nontraditional fields.</w:t>
      </w:r>
    </w:p>
    <w:p w:rsidR="00EC7099" w:rsidRDefault="00EC7099">
      <w:pPr>
        <w:spacing w:before="60"/>
        <w:jc w:val="both"/>
        <w:rPr>
          <w:rFonts w:ascii="Tahoma" w:eastAsia="Tahoma" w:hAnsi="Tahoma" w:cs="Tahoma"/>
          <w:sz w:val="12"/>
          <w:szCs w:val="12"/>
        </w:rPr>
      </w:pPr>
    </w:p>
    <w:p w:rsidR="00EC7099" w:rsidRDefault="00AC34AC">
      <w:pPr>
        <w:rPr>
          <w:rFonts w:ascii="Tahoma" w:eastAsia="Tahoma" w:hAnsi="Tahoma" w:cs="Tahoma"/>
          <w:b/>
        </w:rPr>
      </w:pPr>
      <w:r>
        <w:rPr>
          <w:rFonts w:ascii="Tahoma" w:eastAsia="Tahoma" w:hAnsi="Tahoma" w:cs="Tahoma"/>
          <w:b/>
        </w:rPr>
        <w:t>Performa</w:t>
      </w:r>
      <w:r>
        <w:rPr>
          <w:rFonts w:ascii="Tahoma" w:eastAsia="Tahoma" w:hAnsi="Tahoma" w:cs="Tahoma"/>
          <w:b/>
        </w:rPr>
        <w:t>nce Standard: 4S1 Nontraditional Program Concentration = 28%</w:t>
      </w:r>
    </w:p>
    <w:p w:rsidR="00EC7099" w:rsidRDefault="00EC7099">
      <w:pPr>
        <w:spacing w:before="60"/>
        <w:jc w:val="both"/>
        <w:rPr>
          <w:rFonts w:ascii="Tahoma" w:eastAsia="Tahoma" w:hAnsi="Tahoma" w:cs="Tahoma"/>
          <w:sz w:val="16"/>
          <w:szCs w:val="16"/>
        </w:rPr>
      </w:pPr>
    </w:p>
    <w:tbl>
      <w:tblPr>
        <w:tblStyle w:val="a7"/>
        <w:tblW w:w="6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2536"/>
      </w:tblGrid>
      <w:tr w:rsidR="00EC7099">
        <w:trPr>
          <w:trHeight w:val="494"/>
          <w:jc w:val="center"/>
        </w:trPr>
        <w:tc>
          <w:tcPr>
            <w:tcW w:w="423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2536"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57"/>
          <w:jc w:val="center"/>
        </w:trPr>
        <w:tc>
          <w:tcPr>
            <w:tcW w:w="423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24.64% (10,830 of 43,949)</w:t>
            </w:r>
          </w:p>
        </w:tc>
        <w:tc>
          <w:tcPr>
            <w:tcW w:w="2536"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28%</w:t>
            </w:r>
          </w:p>
        </w:tc>
      </w:tr>
    </w:tbl>
    <w:p w:rsidR="00EC7099" w:rsidRDefault="00EC7099"/>
    <w:p w:rsidR="00EC7099" w:rsidRDefault="00EC7099"/>
    <w:p w:rsidR="00EC7099" w:rsidRDefault="00AC34AC">
      <w:r>
        <w:br w:type="page"/>
      </w:r>
    </w:p>
    <w:p w:rsidR="00EC7099" w:rsidRDefault="00AC34AC">
      <w:pPr>
        <w:pBdr>
          <w:bottom w:val="single" w:sz="12" w:space="1" w:color="000000"/>
        </w:pBdr>
        <w:spacing w:before="120"/>
        <w:jc w:val="center"/>
        <w:rPr>
          <w:rFonts w:ascii="Tahoma" w:eastAsia="Tahoma" w:hAnsi="Tahoma" w:cs="Tahoma"/>
          <w:b/>
          <w:sz w:val="28"/>
          <w:szCs w:val="28"/>
        </w:rPr>
      </w:pPr>
      <w:r>
        <w:rPr>
          <w:rFonts w:ascii="Tahoma" w:eastAsia="Tahoma" w:hAnsi="Tahoma" w:cs="Tahoma"/>
          <w:b/>
          <w:sz w:val="28"/>
          <w:szCs w:val="28"/>
        </w:rPr>
        <w:t>(5S1) Program Quality - Attained Recognized Postsecondary Credential</w:t>
      </w:r>
    </w:p>
    <w:p w:rsidR="00EC7099" w:rsidRDefault="00AC34AC">
      <w:pPr>
        <w:spacing w:before="120" w:after="120"/>
        <w:rPr>
          <w:rFonts w:ascii="Tahoma" w:eastAsia="Tahoma" w:hAnsi="Tahoma" w:cs="Tahoma"/>
          <w:b/>
          <w:sz w:val="18"/>
          <w:szCs w:val="18"/>
        </w:rPr>
      </w:pPr>
      <w:r>
        <w:rPr>
          <w:rFonts w:ascii="Tahoma" w:eastAsia="Tahoma" w:hAnsi="Tahoma" w:cs="Tahoma"/>
          <w:b/>
        </w:rPr>
        <w:t>Program Quality – Attained Recognized Postsecondary Credential</w:t>
      </w:r>
      <w:r>
        <w:rPr>
          <w:rFonts w:ascii="Tahoma" w:eastAsia="Tahoma" w:hAnsi="Tahoma" w:cs="Tahoma"/>
        </w:rPr>
        <w:t xml:space="preserve"> – Number of CTE Completers who attained a recognized postsecondary credential.</w:t>
      </w:r>
    </w:p>
    <w:p w:rsidR="00EC7099" w:rsidRDefault="00EC7099">
      <w:pPr>
        <w:spacing w:before="60"/>
        <w:jc w:val="both"/>
        <w:rPr>
          <w:rFonts w:ascii="Tahoma" w:eastAsia="Tahoma" w:hAnsi="Tahoma" w:cs="Tahoma"/>
          <w:sz w:val="12"/>
          <w:szCs w:val="12"/>
        </w:rPr>
      </w:pPr>
    </w:p>
    <w:p w:rsidR="00EC7099" w:rsidRDefault="00AC34AC">
      <w:pPr>
        <w:rPr>
          <w:rFonts w:ascii="Tahoma" w:eastAsia="Tahoma" w:hAnsi="Tahoma" w:cs="Tahoma"/>
          <w:b/>
        </w:rPr>
      </w:pPr>
      <w:r>
        <w:rPr>
          <w:rFonts w:ascii="Tahoma" w:eastAsia="Tahoma" w:hAnsi="Tahoma" w:cs="Tahoma"/>
          <w:b/>
        </w:rPr>
        <w:t xml:space="preserve">Performance Standard: 5S1 Program Quality – </w:t>
      </w:r>
    </w:p>
    <w:p w:rsidR="00EC7099" w:rsidRDefault="00AC34AC">
      <w:pPr>
        <w:rPr>
          <w:rFonts w:ascii="Tahoma" w:eastAsia="Tahoma" w:hAnsi="Tahoma" w:cs="Tahoma"/>
          <w:b/>
        </w:rPr>
      </w:pPr>
      <w:r>
        <w:rPr>
          <w:rFonts w:ascii="Tahoma" w:eastAsia="Tahoma" w:hAnsi="Tahoma" w:cs="Tahoma"/>
          <w:b/>
        </w:rPr>
        <w:t>Attained Recognized Postsecondary Credential Target = 65%</w:t>
      </w:r>
    </w:p>
    <w:p w:rsidR="00EC7099" w:rsidRDefault="00EC7099">
      <w:pPr>
        <w:rPr>
          <w:rFonts w:ascii="Tahoma" w:eastAsia="Tahoma" w:hAnsi="Tahoma" w:cs="Tahoma"/>
          <w:b/>
        </w:rPr>
      </w:pPr>
    </w:p>
    <w:p w:rsidR="00EC7099" w:rsidRDefault="00AC34AC">
      <w:pPr>
        <w:jc w:val="center"/>
        <w:rPr>
          <w:rFonts w:ascii="Tahoma" w:eastAsia="Tahoma" w:hAnsi="Tahoma" w:cs="Tahoma"/>
          <w:b/>
        </w:rPr>
      </w:pPr>
      <w:r>
        <w:rPr>
          <w:rFonts w:ascii="Tahoma" w:eastAsia="Tahoma" w:hAnsi="Tahoma" w:cs="Tahoma"/>
          <w:b/>
        </w:rPr>
        <w:t>ALL CTE COMPLETERS</w:t>
      </w:r>
    </w:p>
    <w:tbl>
      <w:tblPr>
        <w:tblStyle w:val="a8"/>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4590"/>
        <w:gridCol w:w="2160"/>
      </w:tblGrid>
      <w:tr w:rsidR="00EC7099">
        <w:trPr>
          <w:trHeight w:val="494"/>
        </w:trPr>
        <w:tc>
          <w:tcPr>
            <w:tcW w:w="369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Performance Standard</w:t>
            </w:r>
          </w:p>
        </w:tc>
        <w:tc>
          <w:tcPr>
            <w:tcW w:w="459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216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5S1A</w:t>
            </w:r>
            <w:r>
              <w:rPr>
                <w:rFonts w:ascii="Tahoma" w:eastAsia="Tahoma" w:hAnsi="Tahoma" w:cs="Tahoma"/>
                <w:sz w:val="20"/>
                <w:szCs w:val="20"/>
              </w:rPr>
              <w:t>: Completers Attaining a Recognized Postsecondary Credential</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85.69% (38,911 of 45,409)</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65%</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5S1B</w:t>
            </w:r>
            <w:r>
              <w:rPr>
                <w:rFonts w:ascii="Tahoma" w:eastAsia="Tahoma" w:hAnsi="Tahoma" w:cs="Tahoma"/>
                <w:sz w:val="20"/>
                <w:szCs w:val="20"/>
              </w:rPr>
              <w:t>: Completers Participating in Credentialing Test Rate</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93.06% (42,258 of 45,409)</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85%</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5S1C:</w:t>
            </w:r>
            <w:r>
              <w:rPr>
                <w:rFonts w:ascii="Tahoma" w:eastAsia="Tahoma" w:hAnsi="Tahoma" w:cs="Tahoma"/>
                <w:sz w:val="20"/>
                <w:szCs w:val="20"/>
              </w:rPr>
              <w:t xml:space="preserve"> Completers Passing Credentialing Test Rate</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92.08% (38,911 of 42,258)</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85%</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5S1D</w:t>
            </w:r>
            <w:r>
              <w:rPr>
                <w:rFonts w:ascii="Tahoma" w:eastAsia="Tahoma" w:hAnsi="Tahoma" w:cs="Tahoma"/>
                <w:sz w:val="20"/>
                <w:szCs w:val="20"/>
              </w:rPr>
              <w:t>: Completers who passed a credential test plus Completers who earned an Advanced Studies Diploma and did not pass a credentialing test</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89.20% (40,503 of 45,409)</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81%</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5S1E</w:t>
            </w:r>
            <w:r>
              <w:rPr>
                <w:rFonts w:ascii="Tahoma" w:eastAsia="Tahoma" w:hAnsi="Tahoma" w:cs="Tahoma"/>
                <w:sz w:val="20"/>
                <w:szCs w:val="20"/>
              </w:rPr>
              <w:t>: Informational Indicator - CTE Completers who earned an Advanced Studies Diploma and passed a credentialing examination</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46.08% (20,926 of 45,409)</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N/A</w:t>
            </w:r>
          </w:p>
        </w:tc>
      </w:tr>
    </w:tbl>
    <w:p w:rsidR="00EC7099" w:rsidRDefault="00EC7099"/>
    <w:p w:rsidR="00EC7099" w:rsidRDefault="00AC34AC">
      <w:pPr>
        <w:jc w:val="center"/>
        <w:rPr>
          <w:rFonts w:ascii="Tahoma" w:eastAsia="Tahoma" w:hAnsi="Tahoma" w:cs="Tahoma"/>
          <w:b/>
        </w:rPr>
      </w:pPr>
      <w:r>
        <w:rPr>
          <w:rFonts w:ascii="Tahoma" w:eastAsia="Tahoma" w:hAnsi="Tahoma" w:cs="Tahoma"/>
          <w:b/>
        </w:rPr>
        <w:t>SPECIAL POPULATIONS</w:t>
      </w:r>
    </w:p>
    <w:tbl>
      <w:tblPr>
        <w:tblStyle w:val="a9"/>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4590"/>
        <w:gridCol w:w="2160"/>
      </w:tblGrid>
      <w:tr w:rsidR="00EC7099">
        <w:trPr>
          <w:trHeight w:val="494"/>
        </w:trPr>
        <w:tc>
          <w:tcPr>
            <w:tcW w:w="369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Performance Standard</w:t>
            </w:r>
          </w:p>
        </w:tc>
        <w:tc>
          <w:tcPr>
            <w:tcW w:w="459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216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5S1A</w:t>
            </w:r>
            <w:r>
              <w:rPr>
                <w:rFonts w:ascii="Tahoma" w:eastAsia="Tahoma" w:hAnsi="Tahoma" w:cs="Tahoma"/>
                <w:sz w:val="20"/>
                <w:szCs w:val="20"/>
              </w:rPr>
              <w:t>: Completers Attaining a Recognized Postsecondary Credential</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82.19% (22,368 of 27,215)</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65%</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5S1B</w:t>
            </w:r>
            <w:r>
              <w:rPr>
                <w:rFonts w:ascii="Tahoma" w:eastAsia="Tahoma" w:hAnsi="Tahoma" w:cs="Tahoma"/>
                <w:sz w:val="20"/>
                <w:szCs w:val="20"/>
              </w:rPr>
              <w:t>: Completers Participating in Credentialing Test Rate</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92.45% (25,160 of 27,215)</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85%</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5S1C:</w:t>
            </w:r>
            <w:r>
              <w:rPr>
                <w:rFonts w:ascii="Tahoma" w:eastAsia="Tahoma" w:hAnsi="Tahoma" w:cs="Tahoma"/>
                <w:sz w:val="20"/>
                <w:szCs w:val="20"/>
              </w:rPr>
              <w:t xml:space="preserve"> Completers Passing Credentialing Test Rate</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88.90% (22,368 of 25,160)</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85%</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5S1D</w:t>
            </w:r>
            <w:r>
              <w:rPr>
                <w:rFonts w:ascii="Tahoma" w:eastAsia="Tahoma" w:hAnsi="Tahoma" w:cs="Tahoma"/>
                <w:sz w:val="20"/>
                <w:szCs w:val="20"/>
              </w:rPr>
              <w:t>: Completers who passed a credential test plus Completers who earned an Advanced Studies Diploma and did not pass a credentialing test</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84.50% (22,997 of 27,215)</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81%</w:t>
            </w:r>
          </w:p>
        </w:tc>
      </w:tr>
      <w:tr w:rsidR="00EC7099">
        <w:trPr>
          <w:trHeight w:val="557"/>
        </w:trPr>
        <w:tc>
          <w:tcPr>
            <w:tcW w:w="3690" w:type="dxa"/>
          </w:tcPr>
          <w:p w:rsidR="00EC7099" w:rsidRDefault="00AC34AC">
            <w:pPr>
              <w:spacing w:before="60" w:after="60"/>
              <w:rPr>
                <w:rFonts w:ascii="Tahoma" w:eastAsia="Tahoma" w:hAnsi="Tahoma" w:cs="Tahoma"/>
                <w:sz w:val="20"/>
                <w:szCs w:val="20"/>
              </w:rPr>
            </w:pPr>
            <w:r>
              <w:rPr>
                <w:rFonts w:ascii="Tahoma" w:eastAsia="Tahoma" w:hAnsi="Tahoma" w:cs="Tahoma"/>
                <w:b/>
                <w:sz w:val="20"/>
                <w:szCs w:val="20"/>
              </w:rPr>
              <w:t>5S1E</w:t>
            </w:r>
            <w:r>
              <w:rPr>
                <w:rFonts w:ascii="Tahoma" w:eastAsia="Tahoma" w:hAnsi="Tahoma" w:cs="Tahoma"/>
                <w:sz w:val="20"/>
                <w:szCs w:val="20"/>
              </w:rPr>
              <w:t>: Informational Indicator - CTE Completers who earned an Advanced Studies Diploma and passed a credentialing examination</w:t>
            </w:r>
          </w:p>
        </w:tc>
        <w:tc>
          <w:tcPr>
            <w:tcW w:w="4590"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35.70% (97,15 of 27,215)</w:t>
            </w:r>
          </w:p>
        </w:tc>
        <w:tc>
          <w:tcPr>
            <w:tcW w:w="21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N/A</w:t>
            </w:r>
          </w:p>
        </w:tc>
      </w:tr>
    </w:tbl>
    <w:p w:rsidR="00EC7099" w:rsidRDefault="00EC7099"/>
    <w:p w:rsidR="00EC7099" w:rsidRDefault="00AC34AC">
      <w:r>
        <w:br w:type="page"/>
      </w:r>
    </w:p>
    <w:p w:rsidR="00EC7099" w:rsidRDefault="00AC34AC">
      <w:pPr>
        <w:pBdr>
          <w:bottom w:val="single" w:sz="12" w:space="1" w:color="000000"/>
        </w:pBdr>
        <w:spacing w:before="120"/>
        <w:jc w:val="center"/>
        <w:rPr>
          <w:rFonts w:ascii="Tahoma" w:eastAsia="Tahoma" w:hAnsi="Tahoma" w:cs="Tahoma"/>
          <w:b/>
          <w:sz w:val="28"/>
          <w:szCs w:val="28"/>
        </w:rPr>
      </w:pPr>
      <w:r>
        <w:rPr>
          <w:rFonts w:ascii="Tahoma" w:eastAsia="Tahoma" w:hAnsi="Tahoma" w:cs="Tahoma"/>
          <w:b/>
          <w:sz w:val="28"/>
          <w:szCs w:val="28"/>
        </w:rPr>
        <w:t xml:space="preserve">(5S3) Program Quality- Participated in Work-Based Learning </w:t>
      </w:r>
    </w:p>
    <w:p w:rsidR="00EC7099" w:rsidRDefault="00AC34AC">
      <w:pPr>
        <w:spacing w:before="120" w:after="120"/>
        <w:rPr>
          <w:rFonts w:ascii="Tahoma" w:eastAsia="Tahoma" w:hAnsi="Tahoma" w:cs="Tahoma"/>
          <w:b/>
          <w:sz w:val="18"/>
          <w:szCs w:val="18"/>
        </w:rPr>
      </w:pPr>
      <w:r>
        <w:rPr>
          <w:rFonts w:ascii="Tahoma" w:eastAsia="Tahoma" w:hAnsi="Tahoma" w:cs="Tahoma"/>
          <w:b/>
        </w:rPr>
        <w:t>Program Quality – Participated in Work-Based Learning</w:t>
      </w:r>
      <w:r>
        <w:rPr>
          <w:rFonts w:ascii="Tahoma" w:eastAsia="Tahoma" w:hAnsi="Tahoma" w:cs="Tahoma"/>
        </w:rPr>
        <w:t xml:space="preserve"> – The number of CTE completers who participated in Work-Based Learning.</w:t>
      </w:r>
    </w:p>
    <w:p w:rsidR="00EC7099" w:rsidRDefault="00EC7099">
      <w:pPr>
        <w:spacing w:before="60"/>
        <w:jc w:val="both"/>
        <w:rPr>
          <w:rFonts w:ascii="Tahoma" w:eastAsia="Tahoma" w:hAnsi="Tahoma" w:cs="Tahoma"/>
          <w:sz w:val="12"/>
          <w:szCs w:val="12"/>
        </w:rPr>
      </w:pPr>
    </w:p>
    <w:p w:rsidR="00EC7099" w:rsidRDefault="00AC34AC">
      <w:pPr>
        <w:rPr>
          <w:rFonts w:ascii="Tahoma" w:eastAsia="Tahoma" w:hAnsi="Tahoma" w:cs="Tahoma"/>
          <w:b/>
        </w:rPr>
      </w:pPr>
      <w:r>
        <w:rPr>
          <w:rFonts w:ascii="Tahoma" w:eastAsia="Tahoma" w:hAnsi="Tahoma" w:cs="Tahoma"/>
          <w:b/>
        </w:rPr>
        <w:t>Performance Standard: 5S3 Program Quality –</w:t>
      </w:r>
    </w:p>
    <w:p w:rsidR="00EC7099" w:rsidRDefault="00AC34AC">
      <w:pPr>
        <w:rPr>
          <w:rFonts w:ascii="Tahoma" w:eastAsia="Tahoma" w:hAnsi="Tahoma" w:cs="Tahoma"/>
          <w:b/>
        </w:rPr>
      </w:pPr>
      <w:r>
        <w:rPr>
          <w:rFonts w:ascii="Tahoma" w:eastAsia="Tahoma" w:hAnsi="Tahoma" w:cs="Tahoma"/>
          <w:b/>
        </w:rPr>
        <w:t>Participated in Work-Based Learning = 10%</w:t>
      </w:r>
    </w:p>
    <w:p w:rsidR="00EC7099" w:rsidRDefault="00EC7099">
      <w:pPr>
        <w:rPr>
          <w:rFonts w:ascii="Tahoma" w:eastAsia="Tahoma" w:hAnsi="Tahoma" w:cs="Tahoma"/>
          <w:b/>
        </w:rPr>
      </w:pPr>
    </w:p>
    <w:p w:rsidR="00EC7099" w:rsidRDefault="00AC34AC">
      <w:pPr>
        <w:jc w:val="center"/>
        <w:rPr>
          <w:rFonts w:ascii="Tahoma" w:eastAsia="Tahoma" w:hAnsi="Tahoma" w:cs="Tahoma"/>
          <w:b/>
        </w:rPr>
      </w:pPr>
      <w:r>
        <w:rPr>
          <w:rFonts w:ascii="Tahoma" w:eastAsia="Tahoma" w:hAnsi="Tahoma" w:cs="Tahoma"/>
          <w:b/>
        </w:rPr>
        <w:t>ALL CTE COMPLETERS</w:t>
      </w:r>
    </w:p>
    <w:p w:rsidR="00EC7099" w:rsidRDefault="00EC7099">
      <w:pPr>
        <w:spacing w:before="60"/>
        <w:jc w:val="both"/>
        <w:rPr>
          <w:rFonts w:ascii="Tahoma" w:eastAsia="Tahoma" w:hAnsi="Tahoma" w:cs="Tahoma"/>
          <w:sz w:val="16"/>
          <w:szCs w:val="16"/>
        </w:rPr>
      </w:pPr>
    </w:p>
    <w:tbl>
      <w:tblPr>
        <w:tblStyle w:val="aa"/>
        <w:tblW w:w="7511"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1"/>
        <w:gridCol w:w="3060"/>
      </w:tblGrid>
      <w:tr w:rsidR="00EC7099">
        <w:trPr>
          <w:trHeight w:val="494"/>
        </w:trPr>
        <w:tc>
          <w:tcPr>
            <w:tcW w:w="4451"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306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57"/>
        </w:trPr>
        <w:tc>
          <w:tcPr>
            <w:tcW w:w="4451"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24.15% (11,062 of 45,812)</w:t>
            </w:r>
          </w:p>
        </w:tc>
        <w:tc>
          <w:tcPr>
            <w:tcW w:w="30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10%</w:t>
            </w:r>
          </w:p>
        </w:tc>
      </w:tr>
    </w:tbl>
    <w:p w:rsidR="00EC7099" w:rsidRDefault="00EC7099">
      <w:pPr>
        <w:rPr>
          <w:rFonts w:ascii="Tahoma" w:eastAsia="Tahoma" w:hAnsi="Tahoma" w:cs="Tahoma"/>
          <w:b/>
          <w:sz w:val="28"/>
          <w:szCs w:val="28"/>
        </w:rPr>
      </w:pPr>
    </w:p>
    <w:p w:rsidR="00EC7099" w:rsidRDefault="00AC34AC">
      <w:pPr>
        <w:jc w:val="center"/>
        <w:rPr>
          <w:rFonts w:ascii="Tahoma" w:eastAsia="Tahoma" w:hAnsi="Tahoma" w:cs="Tahoma"/>
          <w:b/>
        </w:rPr>
      </w:pPr>
      <w:r>
        <w:rPr>
          <w:rFonts w:ascii="Tahoma" w:eastAsia="Tahoma" w:hAnsi="Tahoma" w:cs="Tahoma"/>
          <w:b/>
        </w:rPr>
        <w:t>SPECIAL POPULATIONS</w:t>
      </w:r>
    </w:p>
    <w:p w:rsidR="00EC7099" w:rsidRDefault="00EC7099">
      <w:pPr>
        <w:rPr>
          <w:rFonts w:ascii="Tahoma" w:eastAsia="Tahoma" w:hAnsi="Tahoma" w:cs="Tahoma"/>
          <w:b/>
          <w:sz w:val="20"/>
          <w:szCs w:val="20"/>
        </w:rPr>
      </w:pPr>
    </w:p>
    <w:tbl>
      <w:tblPr>
        <w:tblStyle w:val="ab"/>
        <w:tblW w:w="7511"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1"/>
        <w:gridCol w:w="3060"/>
      </w:tblGrid>
      <w:tr w:rsidR="00EC7099">
        <w:trPr>
          <w:trHeight w:val="494"/>
        </w:trPr>
        <w:tc>
          <w:tcPr>
            <w:tcW w:w="4451"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306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57"/>
        </w:trPr>
        <w:tc>
          <w:tcPr>
            <w:tcW w:w="4451"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23.49% (6,439 of 27,408)</w:t>
            </w:r>
          </w:p>
        </w:tc>
        <w:tc>
          <w:tcPr>
            <w:tcW w:w="30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10%</w:t>
            </w:r>
          </w:p>
        </w:tc>
      </w:tr>
    </w:tbl>
    <w:p w:rsidR="00EC7099" w:rsidRDefault="00EC7099">
      <w:pPr>
        <w:rPr>
          <w:rFonts w:ascii="Tahoma" w:eastAsia="Tahoma" w:hAnsi="Tahoma" w:cs="Tahoma"/>
          <w:b/>
          <w:sz w:val="28"/>
          <w:szCs w:val="28"/>
        </w:rPr>
      </w:pPr>
    </w:p>
    <w:p w:rsidR="00EC7099" w:rsidRDefault="00EC7099">
      <w:pPr>
        <w:jc w:val="center"/>
        <w:rPr>
          <w:sz w:val="28"/>
          <w:szCs w:val="28"/>
        </w:rPr>
      </w:pPr>
    </w:p>
    <w:p w:rsidR="00EC7099" w:rsidRDefault="00AC34AC">
      <w:pPr>
        <w:pBdr>
          <w:bottom w:val="single" w:sz="12" w:space="1" w:color="000000"/>
        </w:pBdr>
        <w:spacing w:before="120"/>
        <w:jc w:val="center"/>
        <w:rPr>
          <w:rFonts w:ascii="Tahoma" w:eastAsia="Tahoma" w:hAnsi="Tahoma" w:cs="Tahoma"/>
          <w:b/>
          <w:sz w:val="28"/>
          <w:szCs w:val="28"/>
        </w:rPr>
      </w:pPr>
      <w:r>
        <w:rPr>
          <w:rFonts w:ascii="Tahoma" w:eastAsia="Tahoma" w:hAnsi="Tahoma" w:cs="Tahoma"/>
          <w:b/>
          <w:sz w:val="28"/>
          <w:szCs w:val="28"/>
        </w:rPr>
        <w:t>(5S4) Program Quality- Technical Skills Attainment</w:t>
      </w:r>
    </w:p>
    <w:p w:rsidR="00EC7099" w:rsidRDefault="00AC34AC">
      <w:pPr>
        <w:spacing w:before="60"/>
        <w:jc w:val="both"/>
        <w:rPr>
          <w:rFonts w:ascii="Tahoma" w:eastAsia="Tahoma" w:hAnsi="Tahoma" w:cs="Tahoma"/>
        </w:rPr>
      </w:pPr>
      <w:r>
        <w:rPr>
          <w:rFonts w:ascii="Tahoma" w:eastAsia="Tahoma" w:hAnsi="Tahoma" w:cs="Tahoma"/>
          <w:b/>
        </w:rPr>
        <w:t>Program Quality – Technical Skills Attainment</w:t>
      </w:r>
      <w:r>
        <w:rPr>
          <w:rFonts w:ascii="Tahoma" w:eastAsia="Tahoma" w:hAnsi="Tahoma" w:cs="Tahoma"/>
        </w:rPr>
        <w:t xml:space="preserve"> – Number of CTE completers within the reporting year who attained 80% of the competencies for the program.</w:t>
      </w:r>
    </w:p>
    <w:p w:rsidR="00EC7099" w:rsidRDefault="00EC7099">
      <w:pPr>
        <w:spacing w:before="60"/>
        <w:jc w:val="both"/>
        <w:rPr>
          <w:rFonts w:ascii="Tahoma" w:eastAsia="Tahoma" w:hAnsi="Tahoma" w:cs="Tahoma"/>
        </w:rPr>
      </w:pPr>
    </w:p>
    <w:p w:rsidR="00EC7099" w:rsidRDefault="00AC34AC">
      <w:pPr>
        <w:rPr>
          <w:rFonts w:ascii="Tahoma" w:eastAsia="Tahoma" w:hAnsi="Tahoma" w:cs="Tahoma"/>
          <w:b/>
        </w:rPr>
      </w:pPr>
      <w:r>
        <w:rPr>
          <w:rFonts w:ascii="Tahoma" w:eastAsia="Tahoma" w:hAnsi="Tahoma" w:cs="Tahoma"/>
          <w:b/>
        </w:rPr>
        <w:t>Performance Standard: 5S4 Program Quality –</w:t>
      </w:r>
    </w:p>
    <w:p w:rsidR="00EC7099" w:rsidRDefault="00AC34AC">
      <w:pPr>
        <w:rPr>
          <w:rFonts w:ascii="Tahoma" w:eastAsia="Tahoma" w:hAnsi="Tahoma" w:cs="Tahoma"/>
          <w:b/>
        </w:rPr>
      </w:pPr>
      <w:r>
        <w:rPr>
          <w:rFonts w:ascii="Tahoma" w:eastAsia="Tahoma" w:hAnsi="Tahoma" w:cs="Tahoma"/>
          <w:b/>
        </w:rPr>
        <w:t>Technical Skills Attainment = 80</w:t>
      </w:r>
    </w:p>
    <w:p w:rsidR="00EC7099" w:rsidRDefault="00EC7099">
      <w:pPr>
        <w:rPr>
          <w:rFonts w:ascii="Tahoma" w:eastAsia="Tahoma" w:hAnsi="Tahoma" w:cs="Tahoma"/>
          <w:b/>
        </w:rPr>
      </w:pPr>
    </w:p>
    <w:p w:rsidR="00EC7099" w:rsidRDefault="00AC34AC">
      <w:pPr>
        <w:jc w:val="center"/>
        <w:rPr>
          <w:rFonts w:ascii="Tahoma" w:eastAsia="Tahoma" w:hAnsi="Tahoma" w:cs="Tahoma"/>
          <w:b/>
        </w:rPr>
      </w:pPr>
      <w:r>
        <w:rPr>
          <w:rFonts w:ascii="Tahoma" w:eastAsia="Tahoma" w:hAnsi="Tahoma" w:cs="Tahoma"/>
          <w:b/>
        </w:rPr>
        <w:t>ALL CTE COMPLETERS</w:t>
      </w:r>
    </w:p>
    <w:p w:rsidR="00EC7099" w:rsidRDefault="00EC7099">
      <w:pPr>
        <w:spacing w:before="60"/>
        <w:jc w:val="both"/>
        <w:rPr>
          <w:rFonts w:ascii="Tahoma" w:eastAsia="Tahoma" w:hAnsi="Tahoma" w:cs="Tahoma"/>
          <w:sz w:val="16"/>
          <w:szCs w:val="16"/>
        </w:rPr>
      </w:pPr>
    </w:p>
    <w:tbl>
      <w:tblPr>
        <w:tblStyle w:val="ac"/>
        <w:tblW w:w="7511"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1"/>
        <w:gridCol w:w="3060"/>
      </w:tblGrid>
      <w:tr w:rsidR="00EC7099">
        <w:trPr>
          <w:trHeight w:val="494"/>
        </w:trPr>
        <w:tc>
          <w:tcPr>
            <w:tcW w:w="4451"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306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57"/>
        </w:trPr>
        <w:tc>
          <w:tcPr>
            <w:tcW w:w="4451"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92.69% (42,002 of 45,315)</w:t>
            </w:r>
          </w:p>
        </w:tc>
        <w:tc>
          <w:tcPr>
            <w:tcW w:w="30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80%</w:t>
            </w:r>
          </w:p>
        </w:tc>
      </w:tr>
    </w:tbl>
    <w:p w:rsidR="00EC7099" w:rsidRDefault="00EC7099">
      <w:pPr>
        <w:rPr>
          <w:rFonts w:ascii="Tahoma" w:eastAsia="Tahoma" w:hAnsi="Tahoma" w:cs="Tahoma"/>
          <w:b/>
          <w:sz w:val="28"/>
          <w:szCs w:val="28"/>
        </w:rPr>
      </w:pPr>
    </w:p>
    <w:p w:rsidR="00EC7099" w:rsidRDefault="00AC34AC">
      <w:pPr>
        <w:jc w:val="center"/>
        <w:rPr>
          <w:rFonts w:ascii="Tahoma" w:eastAsia="Tahoma" w:hAnsi="Tahoma" w:cs="Tahoma"/>
          <w:b/>
        </w:rPr>
      </w:pPr>
      <w:r>
        <w:rPr>
          <w:rFonts w:ascii="Tahoma" w:eastAsia="Tahoma" w:hAnsi="Tahoma" w:cs="Tahoma"/>
          <w:b/>
        </w:rPr>
        <w:t>SPECIAL POPULATIONS</w:t>
      </w:r>
    </w:p>
    <w:p w:rsidR="00EC7099" w:rsidRDefault="00EC7099">
      <w:pPr>
        <w:rPr>
          <w:rFonts w:ascii="Tahoma" w:eastAsia="Tahoma" w:hAnsi="Tahoma" w:cs="Tahoma"/>
          <w:sz w:val="20"/>
          <w:szCs w:val="20"/>
        </w:rPr>
      </w:pPr>
    </w:p>
    <w:tbl>
      <w:tblPr>
        <w:tblStyle w:val="ad"/>
        <w:tblW w:w="7511"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1"/>
        <w:gridCol w:w="3060"/>
      </w:tblGrid>
      <w:tr w:rsidR="00EC7099">
        <w:trPr>
          <w:trHeight w:val="494"/>
        </w:trPr>
        <w:tc>
          <w:tcPr>
            <w:tcW w:w="4451"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2019-2020</w:t>
            </w:r>
          </w:p>
        </w:tc>
        <w:tc>
          <w:tcPr>
            <w:tcW w:w="3060" w:type="dxa"/>
            <w:shd w:val="clear" w:color="auto" w:fill="D9D9D9"/>
            <w:vAlign w:val="center"/>
          </w:tcPr>
          <w:p w:rsidR="00EC7099" w:rsidRDefault="00AC34AC">
            <w:pPr>
              <w:jc w:val="center"/>
              <w:rPr>
                <w:rFonts w:ascii="Tahoma" w:eastAsia="Tahoma" w:hAnsi="Tahoma" w:cs="Tahoma"/>
                <w:b/>
                <w:sz w:val="20"/>
                <w:szCs w:val="20"/>
              </w:rPr>
            </w:pPr>
            <w:r>
              <w:rPr>
                <w:rFonts w:ascii="Tahoma" w:eastAsia="Tahoma" w:hAnsi="Tahoma" w:cs="Tahoma"/>
                <w:b/>
                <w:sz w:val="20"/>
                <w:szCs w:val="20"/>
              </w:rPr>
              <w:t>Baseline Target</w:t>
            </w:r>
          </w:p>
        </w:tc>
      </w:tr>
      <w:tr w:rsidR="00EC7099">
        <w:trPr>
          <w:trHeight w:val="557"/>
        </w:trPr>
        <w:tc>
          <w:tcPr>
            <w:tcW w:w="4451" w:type="dxa"/>
            <w:vAlign w:val="center"/>
          </w:tcPr>
          <w:p w:rsidR="00EC7099" w:rsidRDefault="00AC34AC">
            <w:pPr>
              <w:spacing w:before="20" w:after="20"/>
              <w:jc w:val="center"/>
              <w:rPr>
                <w:rFonts w:ascii="Tahoma" w:eastAsia="Tahoma" w:hAnsi="Tahoma" w:cs="Tahoma"/>
                <w:sz w:val="20"/>
                <w:szCs w:val="20"/>
              </w:rPr>
            </w:pPr>
            <w:r>
              <w:rPr>
                <w:rFonts w:ascii="Tahoma" w:eastAsia="Tahoma" w:hAnsi="Tahoma" w:cs="Tahoma"/>
                <w:sz w:val="20"/>
                <w:szCs w:val="20"/>
              </w:rPr>
              <w:t>94.10% (25,559 of 27,161)</w:t>
            </w:r>
          </w:p>
        </w:tc>
        <w:tc>
          <w:tcPr>
            <w:tcW w:w="3060" w:type="dxa"/>
            <w:vAlign w:val="center"/>
          </w:tcPr>
          <w:p w:rsidR="00EC7099" w:rsidRDefault="00AC34AC">
            <w:pPr>
              <w:jc w:val="center"/>
              <w:rPr>
                <w:rFonts w:ascii="Tahoma" w:eastAsia="Tahoma" w:hAnsi="Tahoma" w:cs="Tahoma"/>
                <w:sz w:val="20"/>
                <w:szCs w:val="20"/>
              </w:rPr>
            </w:pPr>
            <w:r>
              <w:rPr>
                <w:rFonts w:ascii="Tahoma" w:eastAsia="Tahoma" w:hAnsi="Tahoma" w:cs="Tahoma"/>
                <w:sz w:val="20"/>
                <w:szCs w:val="20"/>
              </w:rPr>
              <w:t>80%</w:t>
            </w:r>
          </w:p>
        </w:tc>
      </w:tr>
    </w:tbl>
    <w:p w:rsidR="00EC7099" w:rsidRDefault="00EC7099"/>
    <w:p w:rsidR="00EC7099" w:rsidRDefault="00AC34AC">
      <w:r>
        <w:br w:type="page"/>
      </w:r>
    </w:p>
    <w:p w:rsidR="00EC7099" w:rsidRDefault="00AC34AC">
      <w:pPr>
        <w:pBdr>
          <w:bottom w:val="single" w:sz="12" w:space="1" w:color="000000"/>
        </w:pBdr>
        <w:spacing w:before="120"/>
        <w:jc w:val="center"/>
        <w:rPr>
          <w:rFonts w:ascii="Tahoma" w:eastAsia="Tahoma" w:hAnsi="Tahoma" w:cs="Tahoma"/>
          <w:b/>
          <w:sz w:val="28"/>
          <w:szCs w:val="28"/>
        </w:rPr>
      </w:pPr>
      <w:r>
        <w:rPr>
          <w:rFonts w:ascii="Tahoma" w:eastAsia="Tahoma" w:hAnsi="Tahoma" w:cs="Tahoma"/>
          <w:b/>
          <w:sz w:val="28"/>
          <w:szCs w:val="28"/>
        </w:rPr>
        <w:t>2019-</w:t>
      </w:r>
      <w:proofErr w:type="gramStart"/>
      <w:r>
        <w:rPr>
          <w:rFonts w:ascii="Tahoma" w:eastAsia="Tahoma" w:hAnsi="Tahoma" w:cs="Tahoma"/>
          <w:b/>
          <w:sz w:val="28"/>
          <w:szCs w:val="28"/>
        </w:rPr>
        <w:t>2020  (</w:t>
      </w:r>
      <w:proofErr w:type="gramEnd"/>
      <w:r>
        <w:rPr>
          <w:rFonts w:ascii="Tahoma" w:eastAsia="Tahoma" w:hAnsi="Tahoma" w:cs="Tahoma"/>
          <w:b/>
          <w:sz w:val="28"/>
          <w:szCs w:val="28"/>
        </w:rPr>
        <w:t>Statewide)</w:t>
      </w:r>
    </w:p>
    <w:p w:rsidR="00EC7099" w:rsidRDefault="00EC7099"/>
    <w:p w:rsidR="00EC7099" w:rsidRDefault="00AC34AC">
      <w:pPr>
        <w:spacing w:before="120" w:after="120"/>
        <w:jc w:val="center"/>
        <w:rPr>
          <w:rFonts w:ascii="Tahoma" w:eastAsia="Tahoma" w:hAnsi="Tahoma" w:cs="Tahoma"/>
          <w:b/>
          <w:sz w:val="28"/>
          <w:szCs w:val="28"/>
        </w:rPr>
      </w:pPr>
      <w:r>
        <w:rPr>
          <w:rFonts w:ascii="Tahoma" w:eastAsia="Tahoma" w:hAnsi="Tahoma" w:cs="Tahoma"/>
          <w:b/>
          <w:sz w:val="28"/>
          <w:szCs w:val="28"/>
        </w:rPr>
        <w:t>ANNUAL PERFORMANCE SUMMARY</w:t>
      </w:r>
    </w:p>
    <w:p w:rsidR="00EC7099" w:rsidRDefault="00AC34AC">
      <w:pPr>
        <w:jc w:val="center"/>
        <w:rPr>
          <w:rFonts w:ascii="Tahoma" w:eastAsia="Tahoma" w:hAnsi="Tahoma" w:cs="Tahoma"/>
          <w:b/>
          <w:sz w:val="28"/>
          <w:szCs w:val="28"/>
        </w:rPr>
      </w:pPr>
      <w:r>
        <w:rPr>
          <w:rFonts w:ascii="Tahoma" w:eastAsia="Tahoma" w:hAnsi="Tahoma" w:cs="Tahoma"/>
          <w:b/>
          <w:sz w:val="28"/>
          <w:szCs w:val="28"/>
        </w:rPr>
        <w:t>2019-2020 was the baseline year for determining Perkins V Performance Measures.  (USED did not require submission of the baseline year data.)</w:t>
      </w:r>
    </w:p>
    <w:p w:rsidR="00EC7099" w:rsidRDefault="00EC7099">
      <w:pPr>
        <w:jc w:val="center"/>
        <w:rPr>
          <w:rFonts w:ascii="Tahoma" w:eastAsia="Tahoma" w:hAnsi="Tahoma" w:cs="Tahoma"/>
          <w:b/>
          <w:sz w:val="28"/>
          <w:szCs w:val="28"/>
        </w:rPr>
      </w:pPr>
    </w:p>
    <w:tbl>
      <w:tblPr>
        <w:tblStyle w:val="ae"/>
        <w:tblW w:w="7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1890"/>
        <w:gridCol w:w="1875"/>
      </w:tblGrid>
      <w:tr w:rsidR="00EC7099">
        <w:trPr>
          <w:trHeight w:val="447"/>
          <w:jc w:val="center"/>
        </w:trPr>
        <w:tc>
          <w:tcPr>
            <w:tcW w:w="4125" w:type="dxa"/>
            <w:shd w:val="clear" w:color="auto" w:fill="D9D9D9"/>
            <w:vAlign w:val="center"/>
          </w:tcPr>
          <w:p w:rsidR="00EC7099" w:rsidRDefault="00AC34AC">
            <w:pPr>
              <w:jc w:val="center"/>
              <w:rPr>
                <w:rFonts w:ascii="Tahoma" w:eastAsia="Tahoma" w:hAnsi="Tahoma" w:cs="Tahoma"/>
                <w:b/>
                <w:sz w:val="22"/>
                <w:szCs w:val="22"/>
              </w:rPr>
            </w:pPr>
            <w:r>
              <w:rPr>
                <w:rFonts w:ascii="Tahoma" w:eastAsia="Tahoma" w:hAnsi="Tahoma" w:cs="Tahoma"/>
                <w:b/>
                <w:sz w:val="22"/>
                <w:szCs w:val="22"/>
              </w:rPr>
              <w:t>Standard</w:t>
            </w:r>
          </w:p>
        </w:tc>
        <w:tc>
          <w:tcPr>
            <w:tcW w:w="1890" w:type="dxa"/>
            <w:shd w:val="clear" w:color="auto" w:fill="D9D9D9"/>
            <w:vAlign w:val="center"/>
          </w:tcPr>
          <w:p w:rsidR="00EC7099" w:rsidRDefault="00AC34AC">
            <w:pPr>
              <w:jc w:val="center"/>
              <w:rPr>
                <w:rFonts w:ascii="Tahoma" w:eastAsia="Tahoma" w:hAnsi="Tahoma" w:cs="Tahoma"/>
                <w:b/>
                <w:sz w:val="22"/>
                <w:szCs w:val="22"/>
              </w:rPr>
            </w:pPr>
            <w:r>
              <w:rPr>
                <w:rFonts w:ascii="Tahoma" w:eastAsia="Tahoma" w:hAnsi="Tahoma" w:cs="Tahoma"/>
                <w:b/>
                <w:sz w:val="22"/>
                <w:szCs w:val="22"/>
              </w:rPr>
              <w:t>All Students</w:t>
            </w:r>
          </w:p>
        </w:tc>
        <w:tc>
          <w:tcPr>
            <w:tcW w:w="1875" w:type="dxa"/>
            <w:shd w:val="clear" w:color="auto" w:fill="D9D9D9"/>
            <w:vAlign w:val="center"/>
          </w:tcPr>
          <w:p w:rsidR="00EC7099" w:rsidRDefault="00AC34AC">
            <w:pPr>
              <w:jc w:val="center"/>
              <w:rPr>
                <w:rFonts w:ascii="Tahoma" w:eastAsia="Tahoma" w:hAnsi="Tahoma" w:cs="Tahoma"/>
                <w:b/>
                <w:sz w:val="22"/>
                <w:szCs w:val="22"/>
              </w:rPr>
            </w:pPr>
            <w:r>
              <w:rPr>
                <w:rFonts w:ascii="Tahoma" w:eastAsia="Tahoma" w:hAnsi="Tahoma" w:cs="Tahoma"/>
                <w:b/>
                <w:sz w:val="22"/>
                <w:szCs w:val="22"/>
              </w:rPr>
              <w:t>Special Population</w:t>
            </w:r>
          </w:p>
        </w:tc>
      </w:tr>
      <w:tr w:rsidR="00EC7099">
        <w:trPr>
          <w:trHeight w:val="629"/>
          <w:jc w:val="center"/>
        </w:trPr>
        <w:tc>
          <w:tcPr>
            <w:tcW w:w="4125" w:type="dxa"/>
            <w:vAlign w:val="center"/>
          </w:tcPr>
          <w:p w:rsidR="00EC7099" w:rsidRDefault="00AC34AC">
            <w:pPr>
              <w:tabs>
                <w:tab w:val="left" w:pos="644"/>
              </w:tabs>
              <w:spacing w:before="20" w:after="20"/>
              <w:rPr>
                <w:rFonts w:ascii="Tahoma" w:eastAsia="Tahoma" w:hAnsi="Tahoma" w:cs="Tahoma"/>
                <w:sz w:val="20"/>
                <w:szCs w:val="20"/>
              </w:rPr>
            </w:pPr>
            <w:r>
              <w:rPr>
                <w:rFonts w:ascii="Tahoma" w:eastAsia="Tahoma" w:hAnsi="Tahoma" w:cs="Tahoma"/>
                <w:b/>
                <w:sz w:val="20"/>
                <w:szCs w:val="20"/>
              </w:rPr>
              <w:t>1S1:</w:t>
            </w:r>
            <w:r>
              <w:rPr>
                <w:rFonts w:ascii="Tahoma" w:eastAsia="Tahoma" w:hAnsi="Tahoma" w:cs="Tahoma"/>
                <w:sz w:val="20"/>
                <w:szCs w:val="20"/>
              </w:rPr>
              <w:t xml:space="preserve"> Four-Year Graduation Rate</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N/A</w:t>
            </w:r>
          </w:p>
        </w:tc>
      </w:tr>
      <w:tr w:rsidR="00EC7099">
        <w:trPr>
          <w:trHeight w:val="593"/>
          <w:jc w:val="center"/>
        </w:trPr>
        <w:tc>
          <w:tcPr>
            <w:tcW w:w="4125" w:type="dxa"/>
            <w:vAlign w:val="center"/>
          </w:tcPr>
          <w:p w:rsidR="00EC7099" w:rsidRDefault="00AC34AC">
            <w:pPr>
              <w:tabs>
                <w:tab w:val="left" w:pos="630"/>
              </w:tabs>
              <w:spacing w:before="20" w:after="20"/>
              <w:rPr>
                <w:rFonts w:ascii="Tahoma" w:eastAsia="Tahoma" w:hAnsi="Tahoma" w:cs="Tahoma"/>
                <w:sz w:val="20"/>
                <w:szCs w:val="20"/>
              </w:rPr>
            </w:pPr>
            <w:r>
              <w:rPr>
                <w:rFonts w:ascii="Tahoma" w:eastAsia="Tahoma" w:hAnsi="Tahoma" w:cs="Tahoma"/>
                <w:b/>
                <w:sz w:val="20"/>
                <w:szCs w:val="20"/>
              </w:rPr>
              <w:t>2S1:</w:t>
            </w:r>
            <w:r>
              <w:rPr>
                <w:rFonts w:ascii="Tahoma" w:eastAsia="Tahoma" w:hAnsi="Tahoma" w:cs="Tahoma"/>
                <w:sz w:val="20"/>
                <w:szCs w:val="20"/>
              </w:rPr>
              <w:t xml:space="preserve"> Academic Proficiency: English Reading</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r>
      <w:tr w:rsidR="00EC7099">
        <w:trPr>
          <w:trHeight w:val="593"/>
          <w:jc w:val="center"/>
        </w:trPr>
        <w:tc>
          <w:tcPr>
            <w:tcW w:w="4125" w:type="dxa"/>
            <w:vAlign w:val="center"/>
          </w:tcPr>
          <w:p w:rsidR="00EC7099" w:rsidRDefault="00AC34AC">
            <w:pPr>
              <w:tabs>
                <w:tab w:val="left" w:pos="630"/>
              </w:tabs>
              <w:spacing w:before="20" w:after="20"/>
              <w:rPr>
                <w:rFonts w:ascii="Tahoma" w:eastAsia="Tahoma" w:hAnsi="Tahoma" w:cs="Tahoma"/>
                <w:sz w:val="20"/>
                <w:szCs w:val="20"/>
              </w:rPr>
            </w:pPr>
            <w:r>
              <w:rPr>
                <w:rFonts w:ascii="Tahoma" w:eastAsia="Tahoma" w:hAnsi="Tahoma" w:cs="Tahoma"/>
                <w:b/>
                <w:sz w:val="20"/>
                <w:szCs w:val="20"/>
              </w:rPr>
              <w:t>2S2:</w:t>
            </w:r>
            <w:r>
              <w:rPr>
                <w:rFonts w:ascii="Tahoma" w:eastAsia="Tahoma" w:hAnsi="Tahoma" w:cs="Tahoma"/>
                <w:sz w:val="20"/>
                <w:szCs w:val="20"/>
              </w:rPr>
              <w:t xml:space="preserve"> Academic Proficiency: Mathematics</w:t>
            </w:r>
            <w:r>
              <w:rPr>
                <w:rFonts w:ascii="Tahoma" w:eastAsia="Tahoma" w:hAnsi="Tahoma" w:cs="Tahoma"/>
                <w:sz w:val="20"/>
                <w:szCs w:val="20"/>
              </w:rPr>
              <w:br/>
              <w:t>(Highest Level)</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r>
      <w:tr w:rsidR="00EC7099">
        <w:trPr>
          <w:trHeight w:val="593"/>
          <w:jc w:val="center"/>
        </w:trPr>
        <w:tc>
          <w:tcPr>
            <w:tcW w:w="4125" w:type="dxa"/>
            <w:vAlign w:val="center"/>
          </w:tcPr>
          <w:p w:rsidR="00EC7099" w:rsidRDefault="00AC34AC">
            <w:pPr>
              <w:tabs>
                <w:tab w:val="left" w:pos="630"/>
              </w:tabs>
              <w:spacing w:before="20" w:after="20"/>
              <w:rPr>
                <w:rFonts w:ascii="Tahoma" w:eastAsia="Tahoma" w:hAnsi="Tahoma" w:cs="Tahoma"/>
                <w:sz w:val="20"/>
                <w:szCs w:val="20"/>
              </w:rPr>
            </w:pPr>
            <w:r>
              <w:rPr>
                <w:rFonts w:ascii="Tahoma" w:eastAsia="Tahoma" w:hAnsi="Tahoma" w:cs="Tahoma"/>
                <w:b/>
                <w:sz w:val="20"/>
                <w:szCs w:val="20"/>
              </w:rPr>
              <w:t>2S3:</w:t>
            </w:r>
            <w:r>
              <w:rPr>
                <w:rFonts w:ascii="Tahoma" w:eastAsia="Tahoma" w:hAnsi="Tahoma" w:cs="Tahoma"/>
                <w:sz w:val="20"/>
                <w:szCs w:val="20"/>
              </w:rPr>
              <w:t xml:space="preserve"> Academic Proficiency: Science</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r>
      <w:tr w:rsidR="00EC7099">
        <w:trPr>
          <w:trHeight w:val="611"/>
          <w:jc w:val="center"/>
        </w:trPr>
        <w:tc>
          <w:tcPr>
            <w:tcW w:w="4125" w:type="dxa"/>
            <w:vAlign w:val="center"/>
          </w:tcPr>
          <w:p w:rsidR="00EC7099" w:rsidRDefault="00AC34AC">
            <w:pPr>
              <w:tabs>
                <w:tab w:val="left" w:pos="597"/>
              </w:tabs>
              <w:rPr>
                <w:rFonts w:ascii="Tahoma" w:eastAsia="Tahoma" w:hAnsi="Tahoma" w:cs="Tahoma"/>
                <w:sz w:val="20"/>
                <w:szCs w:val="20"/>
              </w:rPr>
            </w:pPr>
            <w:r>
              <w:rPr>
                <w:rFonts w:ascii="Tahoma" w:eastAsia="Tahoma" w:hAnsi="Tahoma" w:cs="Tahoma"/>
                <w:b/>
                <w:sz w:val="20"/>
                <w:szCs w:val="20"/>
              </w:rPr>
              <w:t>3S1:</w:t>
            </w:r>
            <w:r>
              <w:rPr>
                <w:rFonts w:ascii="Tahoma" w:eastAsia="Tahoma" w:hAnsi="Tahoma" w:cs="Tahoma"/>
                <w:sz w:val="20"/>
                <w:szCs w:val="20"/>
              </w:rPr>
              <w:t xml:space="preserve"> Post-Program Placement</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N/A</w:t>
            </w:r>
          </w:p>
        </w:tc>
      </w:tr>
      <w:tr w:rsidR="00EC7099">
        <w:trPr>
          <w:trHeight w:val="539"/>
          <w:jc w:val="center"/>
        </w:trPr>
        <w:tc>
          <w:tcPr>
            <w:tcW w:w="4125" w:type="dxa"/>
            <w:vAlign w:val="center"/>
          </w:tcPr>
          <w:p w:rsidR="00EC7099" w:rsidRDefault="00AC34AC">
            <w:pPr>
              <w:tabs>
                <w:tab w:val="left" w:pos="597"/>
              </w:tabs>
              <w:rPr>
                <w:rFonts w:ascii="Tahoma" w:eastAsia="Tahoma" w:hAnsi="Tahoma" w:cs="Tahoma"/>
                <w:sz w:val="20"/>
                <w:szCs w:val="20"/>
              </w:rPr>
            </w:pPr>
            <w:r>
              <w:rPr>
                <w:rFonts w:ascii="Tahoma" w:eastAsia="Tahoma" w:hAnsi="Tahoma" w:cs="Tahoma"/>
                <w:b/>
                <w:sz w:val="20"/>
                <w:szCs w:val="20"/>
              </w:rPr>
              <w:t>4S1:</w:t>
            </w:r>
            <w:r>
              <w:rPr>
                <w:rFonts w:ascii="Tahoma" w:eastAsia="Tahoma" w:hAnsi="Tahoma" w:cs="Tahoma"/>
                <w:sz w:val="20"/>
                <w:szCs w:val="20"/>
              </w:rPr>
              <w:t xml:space="preserve"> Nontraditional Program Concentration</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NOT 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N/A</w:t>
            </w:r>
          </w:p>
        </w:tc>
      </w:tr>
      <w:tr w:rsidR="00EC7099">
        <w:trPr>
          <w:trHeight w:val="548"/>
          <w:jc w:val="center"/>
        </w:trPr>
        <w:tc>
          <w:tcPr>
            <w:tcW w:w="4125" w:type="dxa"/>
            <w:vAlign w:val="center"/>
          </w:tcPr>
          <w:p w:rsidR="00EC7099" w:rsidRDefault="00AC34AC">
            <w:pPr>
              <w:tabs>
                <w:tab w:val="left" w:pos="597"/>
              </w:tabs>
              <w:rPr>
                <w:rFonts w:ascii="Tahoma" w:eastAsia="Tahoma" w:hAnsi="Tahoma" w:cs="Tahoma"/>
                <w:sz w:val="20"/>
                <w:szCs w:val="20"/>
              </w:rPr>
            </w:pPr>
            <w:r>
              <w:rPr>
                <w:rFonts w:ascii="Tahoma" w:eastAsia="Tahoma" w:hAnsi="Tahoma" w:cs="Tahoma"/>
                <w:b/>
                <w:sz w:val="20"/>
                <w:szCs w:val="20"/>
              </w:rPr>
              <w:t>5S1A:</w:t>
            </w:r>
            <w:r>
              <w:rPr>
                <w:rFonts w:ascii="Tahoma" w:eastAsia="Tahoma" w:hAnsi="Tahoma" w:cs="Tahoma"/>
                <w:sz w:val="20"/>
                <w:szCs w:val="20"/>
              </w:rPr>
              <w:t xml:space="preserve"> Program Quality - Attained Recognized Postsecondary Credential</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r>
      <w:tr w:rsidR="00EC7099">
        <w:trPr>
          <w:trHeight w:val="548"/>
          <w:jc w:val="center"/>
        </w:trPr>
        <w:tc>
          <w:tcPr>
            <w:tcW w:w="4125" w:type="dxa"/>
            <w:vAlign w:val="center"/>
          </w:tcPr>
          <w:p w:rsidR="00EC7099" w:rsidRDefault="00AC34AC">
            <w:pPr>
              <w:tabs>
                <w:tab w:val="left" w:pos="597"/>
              </w:tabs>
              <w:rPr>
                <w:rFonts w:ascii="Tahoma" w:eastAsia="Tahoma" w:hAnsi="Tahoma" w:cs="Tahoma"/>
                <w:sz w:val="20"/>
                <w:szCs w:val="20"/>
              </w:rPr>
            </w:pPr>
            <w:r>
              <w:rPr>
                <w:rFonts w:ascii="Tahoma" w:eastAsia="Tahoma" w:hAnsi="Tahoma" w:cs="Tahoma"/>
                <w:b/>
                <w:sz w:val="20"/>
                <w:szCs w:val="20"/>
              </w:rPr>
              <w:t>5S1B:</w:t>
            </w:r>
            <w:r>
              <w:rPr>
                <w:rFonts w:ascii="Tahoma" w:eastAsia="Tahoma" w:hAnsi="Tahoma" w:cs="Tahoma"/>
                <w:sz w:val="20"/>
                <w:szCs w:val="20"/>
              </w:rPr>
              <w:t xml:space="preserve"> Completers Participating in Credentialing Examinations</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r>
      <w:tr w:rsidR="00EC7099">
        <w:trPr>
          <w:trHeight w:val="548"/>
          <w:jc w:val="center"/>
        </w:trPr>
        <w:tc>
          <w:tcPr>
            <w:tcW w:w="4125" w:type="dxa"/>
            <w:vAlign w:val="center"/>
          </w:tcPr>
          <w:p w:rsidR="00EC7099" w:rsidRDefault="00AC34AC">
            <w:pPr>
              <w:tabs>
                <w:tab w:val="left" w:pos="597"/>
              </w:tabs>
              <w:rPr>
                <w:rFonts w:ascii="Tahoma" w:eastAsia="Tahoma" w:hAnsi="Tahoma" w:cs="Tahoma"/>
                <w:sz w:val="20"/>
                <w:szCs w:val="20"/>
              </w:rPr>
            </w:pPr>
            <w:r>
              <w:rPr>
                <w:rFonts w:ascii="Tahoma" w:eastAsia="Tahoma" w:hAnsi="Tahoma" w:cs="Tahoma"/>
                <w:b/>
                <w:sz w:val="20"/>
                <w:szCs w:val="20"/>
              </w:rPr>
              <w:t>5S1C:</w:t>
            </w:r>
            <w:r>
              <w:rPr>
                <w:rFonts w:ascii="Tahoma" w:eastAsia="Tahoma" w:hAnsi="Tahoma" w:cs="Tahoma"/>
                <w:sz w:val="20"/>
                <w:szCs w:val="20"/>
              </w:rPr>
              <w:t xml:space="preserve"> Pass Rate for Completers Participating in Credentialing Exams</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r>
      <w:tr w:rsidR="00EC7099">
        <w:trPr>
          <w:trHeight w:val="548"/>
          <w:jc w:val="center"/>
        </w:trPr>
        <w:tc>
          <w:tcPr>
            <w:tcW w:w="4125" w:type="dxa"/>
            <w:vAlign w:val="center"/>
          </w:tcPr>
          <w:p w:rsidR="00EC7099" w:rsidRDefault="00AC34AC">
            <w:pPr>
              <w:tabs>
                <w:tab w:val="left" w:pos="597"/>
              </w:tabs>
              <w:rPr>
                <w:rFonts w:ascii="Tahoma" w:eastAsia="Tahoma" w:hAnsi="Tahoma" w:cs="Tahoma"/>
                <w:sz w:val="20"/>
                <w:szCs w:val="20"/>
              </w:rPr>
            </w:pPr>
            <w:r>
              <w:rPr>
                <w:rFonts w:ascii="Tahoma" w:eastAsia="Tahoma" w:hAnsi="Tahoma" w:cs="Tahoma"/>
                <w:b/>
                <w:sz w:val="20"/>
                <w:szCs w:val="20"/>
              </w:rPr>
              <w:t>5S1D:</w:t>
            </w:r>
            <w:r>
              <w:rPr>
                <w:rFonts w:ascii="Tahoma" w:eastAsia="Tahoma" w:hAnsi="Tahoma" w:cs="Tahoma"/>
                <w:sz w:val="20"/>
                <w:szCs w:val="20"/>
              </w:rPr>
              <w:t xml:space="preserve"> Completers Passing Credential Examinations and Earning an Advanced Studies Diploma</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r>
      <w:tr w:rsidR="00EC7099">
        <w:trPr>
          <w:trHeight w:val="548"/>
          <w:jc w:val="center"/>
        </w:trPr>
        <w:tc>
          <w:tcPr>
            <w:tcW w:w="4125" w:type="dxa"/>
            <w:vAlign w:val="center"/>
          </w:tcPr>
          <w:p w:rsidR="00EC7099" w:rsidRDefault="00AC34AC">
            <w:pPr>
              <w:tabs>
                <w:tab w:val="left" w:pos="597"/>
              </w:tabs>
              <w:rPr>
                <w:rFonts w:ascii="Tahoma" w:eastAsia="Tahoma" w:hAnsi="Tahoma" w:cs="Tahoma"/>
                <w:sz w:val="20"/>
                <w:szCs w:val="20"/>
              </w:rPr>
            </w:pPr>
            <w:r>
              <w:rPr>
                <w:rFonts w:ascii="Tahoma" w:eastAsia="Tahoma" w:hAnsi="Tahoma" w:cs="Tahoma"/>
                <w:b/>
                <w:sz w:val="20"/>
                <w:szCs w:val="20"/>
              </w:rPr>
              <w:t>5S3:</w:t>
            </w:r>
            <w:r>
              <w:rPr>
                <w:rFonts w:ascii="Tahoma" w:eastAsia="Tahoma" w:hAnsi="Tahoma" w:cs="Tahoma"/>
                <w:sz w:val="20"/>
                <w:szCs w:val="20"/>
              </w:rPr>
              <w:t xml:space="preserve"> Program Quality - Participated in Work-Based Learning</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r>
      <w:tr w:rsidR="00EC7099">
        <w:trPr>
          <w:trHeight w:val="548"/>
          <w:jc w:val="center"/>
        </w:trPr>
        <w:tc>
          <w:tcPr>
            <w:tcW w:w="4125" w:type="dxa"/>
            <w:vAlign w:val="center"/>
          </w:tcPr>
          <w:p w:rsidR="00EC7099" w:rsidRDefault="00AC34AC">
            <w:pPr>
              <w:tabs>
                <w:tab w:val="left" w:pos="597"/>
              </w:tabs>
              <w:rPr>
                <w:rFonts w:ascii="Tahoma" w:eastAsia="Tahoma" w:hAnsi="Tahoma" w:cs="Tahoma"/>
                <w:sz w:val="20"/>
                <w:szCs w:val="20"/>
              </w:rPr>
            </w:pPr>
            <w:r>
              <w:rPr>
                <w:rFonts w:ascii="Tahoma" w:eastAsia="Tahoma" w:hAnsi="Tahoma" w:cs="Tahoma"/>
                <w:b/>
                <w:sz w:val="20"/>
                <w:szCs w:val="20"/>
              </w:rPr>
              <w:t>5S4:</w:t>
            </w:r>
            <w:r>
              <w:rPr>
                <w:rFonts w:ascii="Tahoma" w:eastAsia="Tahoma" w:hAnsi="Tahoma" w:cs="Tahoma"/>
                <w:sz w:val="20"/>
                <w:szCs w:val="20"/>
              </w:rPr>
              <w:t xml:space="preserve"> Program Quality - Technical Skills Attainment</w:t>
            </w:r>
          </w:p>
        </w:tc>
        <w:tc>
          <w:tcPr>
            <w:tcW w:w="1890"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c>
          <w:tcPr>
            <w:tcW w:w="1875" w:type="dxa"/>
            <w:vAlign w:val="center"/>
          </w:tcPr>
          <w:p w:rsidR="00EC7099" w:rsidRDefault="00AC34AC">
            <w:pPr>
              <w:jc w:val="center"/>
              <w:rPr>
                <w:rFonts w:ascii="Tahoma" w:eastAsia="Tahoma" w:hAnsi="Tahoma" w:cs="Tahoma"/>
                <w:sz w:val="28"/>
                <w:szCs w:val="28"/>
              </w:rPr>
            </w:pPr>
            <w:r>
              <w:rPr>
                <w:rFonts w:ascii="Tahoma" w:eastAsia="Tahoma" w:hAnsi="Tahoma" w:cs="Tahoma"/>
                <w:sz w:val="28"/>
                <w:szCs w:val="28"/>
              </w:rPr>
              <w:t>MET</w:t>
            </w:r>
          </w:p>
        </w:tc>
      </w:tr>
    </w:tbl>
    <w:p w:rsidR="00EC7099" w:rsidRDefault="00AC34AC">
      <w:pPr>
        <w:spacing w:before="280" w:after="280"/>
        <w:rPr>
          <w:sz w:val="20"/>
          <w:szCs w:val="20"/>
        </w:rPr>
      </w:pPr>
      <w:r>
        <w:rPr>
          <w:sz w:val="20"/>
          <w:szCs w:val="20"/>
        </w:rPr>
        <w:t>Note: Prior to 2019-2020, the calcu</w:t>
      </w:r>
      <w:r>
        <w:rPr>
          <w:sz w:val="20"/>
          <w:szCs w:val="20"/>
        </w:rPr>
        <w:t xml:space="preserve">lation for determining the nontraditional performance measure was based on the number of students enrolled in courses with an identified nontraditional gender. Beginning in 2019-2020, the performance measure was changed to require all CTE Completers for a </w:t>
      </w:r>
      <w:r>
        <w:rPr>
          <w:sz w:val="20"/>
          <w:szCs w:val="20"/>
        </w:rPr>
        <w:t xml:space="preserve">given reporting period be a part of the calculation whether or not their CTE program had a nontraditional gender identified. USED has issued a waiver for this measure for the 2020-2021 reporting period as they examine the impact the calculation change has </w:t>
      </w:r>
      <w:r>
        <w:rPr>
          <w:sz w:val="20"/>
          <w:szCs w:val="20"/>
        </w:rPr>
        <w:t>had on states and to study the potential of a new calculation method for determining performance measure 4S1.</w:t>
      </w:r>
    </w:p>
    <w:p w:rsidR="00EC7099" w:rsidRDefault="00AC34AC">
      <w:pPr>
        <w:spacing w:before="280" w:after="280"/>
        <w:rPr>
          <w:rFonts w:ascii="Tahoma" w:eastAsia="Tahoma" w:hAnsi="Tahoma" w:cs="Tahoma"/>
          <w:b/>
          <w:sz w:val="20"/>
          <w:szCs w:val="20"/>
        </w:rPr>
        <w:sectPr w:rsidR="00EC7099">
          <w:footerReference w:type="even" r:id="rId15"/>
          <w:footerReference w:type="default" r:id="rId16"/>
          <w:footerReference w:type="first" r:id="rId17"/>
          <w:pgSz w:w="12240" w:h="15840"/>
          <w:pgMar w:top="1152" w:right="1080" w:bottom="1267" w:left="1440" w:header="720" w:footer="720" w:gutter="0"/>
          <w:pgNumType w:start="1"/>
          <w:cols w:space="720"/>
        </w:sectPr>
      </w:pPr>
      <w:r>
        <w:rPr>
          <w:rFonts w:ascii="Calibri" w:eastAsia="Calibri" w:hAnsi="Calibri" w:cs="Calibri"/>
          <w:color w:val="1F497D"/>
          <w:sz w:val="20"/>
          <w:szCs w:val="20"/>
        </w:rPr>
        <w:t> </w:t>
      </w:r>
      <w:r>
        <w:rPr>
          <w:sz w:val="20"/>
          <w:szCs w:val="20"/>
        </w:rPr>
        <w:t>The 2019-2020 Statewide Annual Performance Report will be posted on the CTE website after presentation to the Virginia Board of Education.</w:t>
      </w:r>
      <w:r>
        <w:rPr>
          <w:rFonts w:ascii="Tahoma" w:eastAsia="Tahoma" w:hAnsi="Tahoma" w:cs="Tahoma"/>
          <w:b/>
          <w:sz w:val="20"/>
          <w:szCs w:val="20"/>
        </w:rPr>
        <w:t xml:space="preserve"> </w:t>
      </w:r>
    </w:p>
    <w:p w:rsidR="00EC7099" w:rsidRDefault="00AC34AC">
      <w:pPr>
        <w:spacing w:after="160" w:line="259" w:lineRule="auto"/>
        <w:jc w:val="center"/>
        <w:rPr>
          <w:rFonts w:ascii="Calibri" w:eastAsia="Calibri" w:hAnsi="Calibri" w:cs="Calibri"/>
          <w:b/>
          <w:sz w:val="28"/>
          <w:szCs w:val="28"/>
        </w:rPr>
      </w:pPr>
      <w:r>
        <w:rPr>
          <w:rFonts w:ascii="Calibri" w:eastAsia="Calibri" w:hAnsi="Calibri" w:cs="Calibri"/>
          <w:b/>
          <w:sz w:val="28"/>
          <w:szCs w:val="28"/>
        </w:rPr>
        <w:t xml:space="preserve">2019-2020 </w:t>
      </w:r>
      <w:proofErr w:type="spellStart"/>
      <w:r>
        <w:rPr>
          <w:rFonts w:ascii="Calibri" w:eastAsia="Calibri" w:hAnsi="Calibri" w:cs="Calibri"/>
          <w:b/>
          <w:sz w:val="28"/>
          <w:szCs w:val="28"/>
        </w:rPr>
        <w:t>Divisionwide</w:t>
      </w:r>
      <w:proofErr w:type="spellEnd"/>
      <w:r>
        <w:rPr>
          <w:rFonts w:ascii="Calibri" w:eastAsia="Calibri" w:hAnsi="Calibri" w:cs="Calibri"/>
          <w:b/>
          <w:sz w:val="28"/>
          <w:szCs w:val="28"/>
        </w:rPr>
        <w:t xml:space="preserve"> Met or Not Met By Performance Measure</w:t>
      </w:r>
    </w:p>
    <w:tbl>
      <w:tblPr>
        <w:tblStyle w:val="af"/>
        <w:tblW w:w="11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070"/>
        <w:gridCol w:w="630"/>
        <w:gridCol w:w="720"/>
        <w:gridCol w:w="720"/>
        <w:gridCol w:w="630"/>
        <w:gridCol w:w="720"/>
        <w:gridCol w:w="731"/>
        <w:gridCol w:w="677"/>
        <w:gridCol w:w="667"/>
        <w:gridCol w:w="715"/>
        <w:gridCol w:w="810"/>
        <w:gridCol w:w="720"/>
        <w:gridCol w:w="727"/>
      </w:tblGrid>
      <w:tr w:rsidR="00EC7099">
        <w:trPr>
          <w:trHeight w:val="576"/>
          <w:jc w:val="center"/>
        </w:trPr>
        <w:tc>
          <w:tcPr>
            <w:tcW w:w="990" w:type="dxa"/>
            <w:vAlign w:val="center"/>
          </w:tcPr>
          <w:p w:rsidR="00EC7099" w:rsidRDefault="00AC34AC">
            <w:pPr>
              <w:jc w:val="center"/>
              <w:rPr>
                <w:b/>
                <w:sz w:val="20"/>
                <w:szCs w:val="20"/>
              </w:rPr>
            </w:pPr>
            <w:r>
              <w:rPr>
                <w:b/>
                <w:sz w:val="20"/>
                <w:szCs w:val="20"/>
              </w:rPr>
              <w:t>Division Number</w:t>
            </w:r>
          </w:p>
        </w:tc>
        <w:tc>
          <w:tcPr>
            <w:tcW w:w="2070" w:type="dxa"/>
            <w:vAlign w:val="center"/>
          </w:tcPr>
          <w:p w:rsidR="00EC7099" w:rsidRDefault="00AC34AC">
            <w:pPr>
              <w:jc w:val="center"/>
              <w:rPr>
                <w:b/>
                <w:sz w:val="20"/>
                <w:szCs w:val="20"/>
              </w:rPr>
            </w:pPr>
            <w:r>
              <w:rPr>
                <w:b/>
                <w:sz w:val="20"/>
                <w:szCs w:val="20"/>
              </w:rPr>
              <w:t>Division Name</w:t>
            </w:r>
          </w:p>
        </w:tc>
        <w:tc>
          <w:tcPr>
            <w:tcW w:w="630" w:type="dxa"/>
            <w:vAlign w:val="center"/>
          </w:tcPr>
          <w:p w:rsidR="00EC7099" w:rsidRDefault="00AC34AC">
            <w:pPr>
              <w:jc w:val="center"/>
              <w:rPr>
                <w:b/>
                <w:sz w:val="20"/>
                <w:szCs w:val="20"/>
              </w:rPr>
            </w:pPr>
            <w:r>
              <w:rPr>
                <w:b/>
                <w:sz w:val="20"/>
                <w:szCs w:val="20"/>
              </w:rPr>
              <w:t>1S1</w:t>
            </w:r>
            <w:r>
              <w:rPr>
                <w:b/>
                <w:sz w:val="20"/>
                <w:szCs w:val="20"/>
              </w:rPr>
              <w:br/>
              <w:t>93%</w:t>
            </w:r>
          </w:p>
        </w:tc>
        <w:tc>
          <w:tcPr>
            <w:tcW w:w="720" w:type="dxa"/>
            <w:vAlign w:val="center"/>
          </w:tcPr>
          <w:p w:rsidR="00EC7099" w:rsidRDefault="00AC34AC">
            <w:pPr>
              <w:jc w:val="center"/>
              <w:rPr>
                <w:b/>
                <w:sz w:val="20"/>
                <w:szCs w:val="20"/>
              </w:rPr>
            </w:pPr>
            <w:r>
              <w:rPr>
                <w:b/>
                <w:sz w:val="20"/>
                <w:szCs w:val="20"/>
              </w:rPr>
              <w:t>2S1</w:t>
            </w:r>
            <w:r>
              <w:rPr>
                <w:b/>
                <w:sz w:val="20"/>
                <w:szCs w:val="20"/>
              </w:rPr>
              <w:br/>
              <w:t>85%</w:t>
            </w:r>
          </w:p>
        </w:tc>
        <w:tc>
          <w:tcPr>
            <w:tcW w:w="720" w:type="dxa"/>
            <w:vAlign w:val="center"/>
          </w:tcPr>
          <w:p w:rsidR="00EC7099" w:rsidRDefault="00AC34AC">
            <w:pPr>
              <w:jc w:val="center"/>
              <w:rPr>
                <w:b/>
                <w:sz w:val="20"/>
                <w:szCs w:val="20"/>
              </w:rPr>
            </w:pPr>
            <w:r>
              <w:rPr>
                <w:b/>
                <w:sz w:val="20"/>
                <w:szCs w:val="20"/>
              </w:rPr>
              <w:t>2S2</w:t>
            </w:r>
            <w:r>
              <w:rPr>
                <w:b/>
                <w:sz w:val="20"/>
                <w:szCs w:val="20"/>
              </w:rPr>
              <w:br/>
              <w:t>85%</w:t>
            </w:r>
          </w:p>
        </w:tc>
        <w:tc>
          <w:tcPr>
            <w:tcW w:w="630" w:type="dxa"/>
            <w:vAlign w:val="center"/>
          </w:tcPr>
          <w:p w:rsidR="00EC7099" w:rsidRDefault="00AC34AC">
            <w:pPr>
              <w:jc w:val="center"/>
              <w:rPr>
                <w:b/>
                <w:sz w:val="20"/>
                <w:szCs w:val="20"/>
              </w:rPr>
            </w:pPr>
            <w:r>
              <w:rPr>
                <w:b/>
                <w:sz w:val="20"/>
                <w:szCs w:val="20"/>
              </w:rPr>
              <w:t xml:space="preserve">2S3 </w:t>
            </w:r>
            <w:r>
              <w:rPr>
                <w:b/>
                <w:sz w:val="20"/>
                <w:szCs w:val="20"/>
              </w:rPr>
              <w:br/>
              <w:t>85%</w:t>
            </w:r>
          </w:p>
        </w:tc>
        <w:tc>
          <w:tcPr>
            <w:tcW w:w="720" w:type="dxa"/>
            <w:vAlign w:val="center"/>
          </w:tcPr>
          <w:p w:rsidR="00EC7099" w:rsidRDefault="00AC34AC">
            <w:pPr>
              <w:jc w:val="center"/>
              <w:rPr>
                <w:b/>
                <w:sz w:val="20"/>
                <w:szCs w:val="20"/>
              </w:rPr>
            </w:pPr>
            <w:r>
              <w:rPr>
                <w:b/>
                <w:sz w:val="20"/>
                <w:szCs w:val="20"/>
              </w:rPr>
              <w:t>3S1</w:t>
            </w:r>
            <w:r>
              <w:rPr>
                <w:b/>
                <w:sz w:val="20"/>
                <w:szCs w:val="20"/>
              </w:rPr>
              <w:br/>
              <w:t>93%</w:t>
            </w:r>
          </w:p>
        </w:tc>
        <w:tc>
          <w:tcPr>
            <w:tcW w:w="731" w:type="dxa"/>
            <w:vAlign w:val="center"/>
          </w:tcPr>
          <w:p w:rsidR="00EC7099" w:rsidRDefault="00AC34AC">
            <w:pPr>
              <w:jc w:val="center"/>
              <w:rPr>
                <w:b/>
                <w:sz w:val="20"/>
                <w:szCs w:val="20"/>
              </w:rPr>
            </w:pPr>
            <w:r>
              <w:rPr>
                <w:b/>
                <w:sz w:val="20"/>
                <w:szCs w:val="20"/>
              </w:rPr>
              <w:t>4S1</w:t>
            </w:r>
            <w:r>
              <w:rPr>
                <w:b/>
                <w:sz w:val="20"/>
                <w:szCs w:val="20"/>
              </w:rPr>
              <w:br/>
              <w:t>28%</w:t>
            </w:r>
          </w:p>
        </w:tc>
        <w:tc>
          <w:tcPr>
            <w:tcW w:w="677" w:type="dxa"/>
            <w:vAlign w:val="center"/>
          </w:tcPr>
          <w:p w:rsidR="00EC7099" w:rsidRDefault="00AC34AC">
            <w:pPr>
              <w:jc w:val="center"/>
              <w:rPr>
                <w:b/>
                <w:sz w:val="20"/>
                <w:szCs w:val="20"/>
              </w:rPr>
            </w:pPr>
            <w:r>
              <w:rPr>
                <w:b/>
                <w:sz w:val="20"/>
                <w:szCs w:val="20"/>
              </w:rPr>
              <w:t>5S1A</w:t>
            </w:r>
            <w:r>
              <w:rPr>
                <w:b/>
                <w:sz w:val="20"/>
                <w:szCs w:val="20"/>
              </w:rPr>
              <w:br/>
              <w:t>65%</w:t>
            </w:r>
          </w:p>
        </w:tc>
        <w:tc>
          <w:tcPr>
            <w:tcW w:w="667" w:type="dxa"/>
            <w:vAlign w:val="center"/>
          </w:tcPr>
          <w:p w:rsidR="00EC7099" w:rsidRDefault="00AC34AC">
            <w:pPr>
              <w:jc w:val="center"/>
              <w:rPr>
                <w:b/>
                <w:sz w:val="20"/>
                <w:szCs w:val="20"/>
              </w:rPr>
            </w:pPr>
            <w:r>
              <w:rPr>
                <w:b/>
                <w:sz w:val="20"/>
                <w:szCs w:val="20"/>
              </w:rPr>
              <w:t>5S1B</w:t>
            </w:r>
            <w:r>
              <w:rPr>
                <w:b/>
                <w:sz w:val="20"/>
                <w:szCs w:val="20"/>
              </w:rPr>
              <w:br/>
              <w:t>85%</w:t>
            </w:r>
          </w:p>
        </w:tc>
        <w:tc>
          <w:tcPr>
            <w:tcW w:w="715" w:type="dxa"/>
            <w:vAlign w:val="center"/>
          </w:tcPr>
          <w:p w:rsidR="00EC7099" w:rsidRDefault="00AC34AC">
            <w:pPr>
              <w:jc w:val="center"/>
              <w:rPr>
                <w:b/>
                <w:sz w:val="20"/>
                <w:szCs w:val="20"/>
              </w:rPr>
            </w:pPr>
            <w:r>
              <w:rPr>
                <w:b/>
                <w:sz w:val="20"/>
                <w:szCs w:val="20"/>
              </w:rPr>
              <w:t>5S1C</w:t>
            </w:r>
            <w:r>
              <w:rPr>
                <w:b/>
                <w:sz w:val="20"/>
                <w:szCs w:val="20"/>
              </w:rPr>
              <w:br/>
              <w:t>85%</w:t>
            </w:r>
          </w:p>
        </w:tc>
        <w:tc>
          <w:tcPr>
            <w:tcW w:w="810" w:type="dxa"/>
            <w:vAlign w:val="center"/>
          </w:tcPr>
          <w:p w:rsidR="00EC7099" w:rsidRDefault="00AC34AC">
            <w:pPr>
              <w:jc w:val="center"/>
              <w:rPr>
                <w:b/>
                <w:sz w:val="20"/>
                <w:szCs w:val="20"/>
              </w:rPr>
            </w:pPr>
            <w:r>
              <w:rPr>
                <w:b/>
                <w:sz w:val="20"/>
                <w:szCs w:val="20"/>
              </w:rPr>
              <w:t>5S1D</w:t>
            </w:r>
            <w:r>
              <w:rPr>
                <w:b/>
                <w:sz w:val="20"/>
                <w:szCs w:val="20"/>
              </w:rPr>
              <w:br/>
              <w:t>81%</w:t>
            </w:r>
          </w:p>
        </w:tc>
        <w:tc>
          <w:tcPr>
            <w:tcW w:w="720" w:type="dxa"/>
            <w:vAlign w:val="center"/>
          </w:tcPr>
          <w:p w:rsidR="00EC7099" w:rsidRDefault="00AC34AC">
            <w:pPr>
              <w:jc w:val="center"/>
              <w:rPr>
                <w:b/>
                <w:sz w:val="20"/>
                <w:szCs w:val="20"/>
              </w:rPr>
            </w:pPr>
            <w:r>
              <w:rPr>
                <w:b/>
                <w:sz w:val="20"/>
                <w:szCs w:val="20"/>
              </w:rPr>
              <w:t>5S3</w:t>
            </w:r>
            <w:r>
              <w:rPr>
                <w:b/>
                <w:sz w:val="20"/>
                <w:szCs w:val="20"/>
              </w:rPr>
              <w:br/>
              <w:t>10%</w:t>
            </w:r>
          </w:p>
        </w:tc>
        <w:tc>
          <w:tcPr>
            <w:tcW w:w="727" w:type="dxa"/>
            <w:vAlign w:val="center"/>
          </w:tcPr>
          <w:p w:rsidR="00EC7099" w:rsidRDefault="00AC34AC">
            <w:pPr>
              <w:jc w:val="center"/>
              <w:rPr>
                <w:b/>
                <w:sz w:val="20"/>
                <w:szCs w:val="20"/>
              </w:rPr>
            </w:pPr>
            <w:r>
              <w:rPr>
                <w:b/>
                <w:sz w:val="20"/>
                <w:szCs w:val="20"/>
              </w:rPr>
              <w:t>5S4</w:t>
            </w:r>
            <w:r>
              <w:rPr>
                <w:b/>
                <w:sz w:val="20"/>
                <w:szCs w:val="20"/>
              </w:rPr>
              <w:br/>
              <w:t>80%</w:t>
            </w:r>
          </w:p>
        </w:tc>
      </w:tr>
      <w:tr w:rsidR="00EC7099">
        <w:trPr>
          <w:trHeight w:val="288"/>
          <w:jc w:val="center"/>
        </w:trPr>
        <w:tc>
          <w:tcPr>
            <w:tcW w:w="990" w:type="dxa"/>
            <w:vAlign w:val="center"/>
          </w:tcPr>
          <w:p w:rsidR="00EC7099" w:rsidRDefault="00AC34AC">
            <w:pPr>
              <w:jc w:val="center"/>
              <w:rPr>
                <w:sz w:val="20"/>
                <w:szCs w:val="20"/>
              </w:rPr>
            </w:pPr>
            <w:r>
              <w:rPr>
                <w:sz w:val="20"/>
                <w:szCs w:val="20"/>
              </w:rPr>
              <w:t>1</w:t>
            </w:r>
          </w:p>
        </w:tc>
        <w:tc>
          <w:tcPr>
            <w:tcW w:w="2070" w:type="dxa"/>
            <w:vAlign w:val="center"/>
          </w:tcPr>
          <w:p w:rsidR="00EC7099" w:rsidRDefault="00AC34AC">
            <w:pPr>
              <w:jc w:val="center"/>
              <w:rPr>
                <w:sz w:val="20"/>
                <w:szCs w:val="20"/>
              </w:rPr>
            </w:pPr>
            <w:r>
              <w:rPr>
                <w:sz w:val="20"/>
                <w:szCs w:val="20"/>
              </w:rPr>
              <w:t>Accomack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w:t>
            </w:r>
          </w:p>
        </w:tc>
        <w:tc>
          <w:tcPr>
            <w:tcW w:w="2070" w:type="dxa"/>
            <w:vAlign w:val="center"/>
          </w:tcPr>
          <w:p w:rsidR="00EC7099" w:rsidRDefault="00AC34AC">
            <w:pPr>
              <w:jc w:val="center"/>
              <w:rPr>
                <w:sz w:val="20"/>
                <w:szCs w:val="20"/>
              </w:rPr>
            </w:pPr>
            <w:r>
              <w:rPr>
                <w:sz w:val="20"/>
                <w:szCs w:val="20"/>
              </w:rPr>
              <w:t>Albemarle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w:t>
            </w:r>
          </w:p>
        </w:tc>
        <w:tc>
          <w:tcPr>
            <w:tcW w:w="2070" w:type="dxa"/>
            <w:vAlign w:val="center"/>
          </w:tcPr>
          <w:p w:rsidR="00EC7099" w:rsidRDefault="00AC34AC">
            <w:pPr>
              <w:jc w:val="center"/>
              <w:rPr>
                <w:sz w:val="20"/>
                <w:szCs w:val="20"/>
              </w:rPr>
            </w:pPr>
            <w:r>
              <w:rPr>
                <w:sz w:val="20"/>
                <w:szCs w:val="20"/>
              </w:rPr>
              <w:t>Alleghany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4</w:t>
            </w:r>
          </w:p>
        </w:tc>
        <w:tc>
          <w:tcPr>
            <w:tcW w:w="2070" w:type="dxa"/>
            <w:vAlign w:val="center"/>
          </w:tcPr>
          <w:p w:rsidR="00EC7099" w:rsidRDefault="00AC34AC">
            <w:pPr>
              <w:jc w:val="center"/>
              <w:rPr>
                <w:sz w:val="20"/>
                <w:szCs w:val="20"/>
              </w:rPr>
            </w:pPr>
            <w:r>
              <w:rPr>
                <w:sz w:val="20"/>
                <w:szCs w:val="20"/>
              </w:rPr>
              <w:t>Amelia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w:t>
            </w:r>
          </w:p>
        </w:tc>
        <w:tc>
          <w:tcPr>
            <w:tcW w:w="2070" w:type="dxa"/>
            <w:vAlign w:val="center"/>
          </w:tcPr>
          <w:p w:rsidR="00EC7099" w:rsidRDefault="00AC34AC">
            <w:pPr>
              <w:jc w:val="center"/>
              <w:rPr>
                <w:sz w:val="20"/>
                <w:szCs w:val="20"/>
              </w:rPr>
            </w:pPr>
            <w:r>
              <w:rPr>
                <w:sz w:val="20"/>
                <w:szCs w:val="20"/>
              </w:rPr>
              <w:t>Amherst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6</w:t>
            </w:r>
          </w:p>
        </w:tc>
        <w:tc>
          <w:tcPr>
            <w:tcW w:w="2070" w:type="dxa"/>
            <w:vAlign w:val="center"/>
          </w:tcPr>
          <w:p w:rsidR="00EC7099" w:rsidRDefault="00AC34AC">
            <w:pPr>
              <w:jc w:val="center"/>
              <w:rPr>
                <w:sz w:val="20"/>
                <w:szCs w:val="20"/>
              </w:rPr>
            </w:pPr>
            <w:r>
              <w:rPr>
                <w:sz w:val="20"/>
                <w:szCs w:val="20"/>
              </w:rPr>
              <w:t>Appomattox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w:t>
            </w:r>
          </w:p>
        </w:tc>
        <w:tc>
          <w:tcPr>
            <w:tcW w:w="2070" w:type="dxa"/>
            <w:vAlign w:val="center"/>
          </w:tcPr>
          <w:p w:rsidR="00EC7099" w:rsidRDefault="00AC34AC">
            <w:pPr>
              <w:jc w:val="center"/>
              <w:rPr>
                <w:sz w:val="20"/>
                <w:szCs w:val="20"/>
              </w:rPr>
            </w:pPr>
            <w:r>
              <w:rPr>
                <w:sz w:val="20"/>
                <w:szCs w:val="20"/>
              </w:rPr>
              <w:t>Arlington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w:t>
            </w:r>
          </w:p>
        </w:tc>
        <w:tc>
          <w:tcPr>
            <w:tcW w:w="2070" w:type="dxa"/>
            <w:vAlign w:val="center"/>
          </w:tcPr>
          <w:p w:rsidR="00EC7099" w:rsidRDefault="00AC34AC">
            <w:pPr>
              <w:jc w:val="center"/>
              <w:rPr>
                <w:sz w:val="20"/>
                <w:szCs w:val="20"/>
              </w:rPr>
            </w:pPr>
            <w:r>
              <w:rPr>
                <w:sz w:val="20"/>
                <w:szCs w:val="20"/>
              </w:rPr>
              <w:t>Augusta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9</w:t>
            </w:r>
          </w:p>
        </w:tc>
        <w:tc>
          <w:tcPr>
            <w:tcW w:w="2070" w:type="dxa"/>
            <w:vAlign w:val="center"/>
          </w:tcPr>
          <w:p w:rsidR="00EC7099" w:rsidRDefault="00AC34AC">
            <w:pPr>
              <w:jc w:val="center"/>
              <w:rPr>
                <w:sz w:val="20"/>
                <w:szCs w:val="20"/>
              </w:rPr>
            </w:pPr>
            <w:r>
              <w:rPr>
                <w:sz w:val="20"/>
                <w:szCs w:val="20"/>
              </w:rPr>
              <w:t>Bath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10</w:t>
            </w:r>
          </w:p>
        </w:tc>
        <w:tc>
          <w:tcPr>
            <w:tcW w:w="2070" w:type="dxa"/>
            <w:vAlign w:val="center"/>
          </w:tcPr>
          <w:p w:rsidR="00EC7099" w:rsidRDefault="00AC34AC">
            <w:pPr>
              <w:jc w:val="center"/>
              <w:rPr>
                <w:sz w:val="20"/>
                <w:szCs w:val="20"/>
              </w:rPr>
            </w:pPr>
            <w:r>
              <w:rPr>
                <w:sz w:val="20"/>
                <w:szCs w:val="20"/>
              </w:rPr>
              <w:t>Bedford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w:t>
            </w:r>
          </w:p>
        </w:tc>
        <w:tc>
          <w:tcPr>
            <w:tcW w:w="2070" w:type="dxa"/>
            <w:vAlign w:val="center"/>
          </w:tcPr>
          <w:p w:rsidR="00EC7099" w:rsidRDefault="00AC34AC">
            <w:pPr>
              <w:jc w:val="center"/>
              <w:rPr>
                <w:sz w:val="20"/>
                <w:szCs w:val="20"/>
              </w:rPr>
            </w:pPr>
            <w:r>
              <w:rPr>
                <w:sz w:val="20"/>
                <w:szCs w:val="20"/>
              </w:rPr>
              <w:t>Bland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12</w:t>
            </w:r>
          </w:p>
        </w:tc>
        <w:tc>
          <w:tcPr>
            <w:tcW w:w="2070" w:type="dxa"/>
            <w:vAlign w:val="center"/>
          </w:tcPr>
          <w:p w:rsidR="00EC7099" w:rsidRDefault="00AC34AC">
            <w:pPr>
              <w:jc w:val="center"/>
              <w:rPr>
                <w:sz w:val="20"/>
                <w:szCs w:val="20"/>
              </w:rPr>
            </w:pPr>
            <w:r>
              <w:rPr>
                <w:sz w:val="20"/>
                <w:szCs w:val="20"/>
              </w:rPr>
              <w:t>Botetourt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13</w:t>
            </w:r>
          </w:p>
        </w:tc>
        <w:tc>
          <w:tcPr>
            <w:tcW w:w="2070" w:type="dxa"/>
            <w:vAlign w:val="center"/>
          </w:tcPr>
          <w:p w:rsidR="00EC7099" w:rsidRDefault="00AC34AC">
            <w:pPr>
              <w:jc w:val="center"/>
              <w:rPr>
                <w:sz w:val="20"/>
                <w:szCs w:val="20"/>
              </w:rPr>
            </w:pPr>
            <w:r>
              <w:rPr>
                <w:sz w:val="20"/>
                <w:szCs w:val="20"/>
              </w:rPr>
              <w:t>Brunswick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14</w:t>
            </w:r>
          </w:p>
        </w:tc>
        <w:tc>
          <w:tcPr>
            <w:tcW w:w="2070" w:type="dxa"/>
            <w:vAlign w:val="center"/>
          </w:tcPr>
          <w:p w:rsidR="00EC7099" w:rsidRDefault="00AC34AC">
            <w:pPr>
              <w:jc w:val="center"/>
              <w:rPr>
                <w:sz w:val="20"/>
                <w:szCs w:val="20"/>
              </w:rPr>
            </w:pPr>
            <w:r>
              <w:rPr>
                <w:sz w:val="20"/>
                <w:szCs w:val="20"/>
              </w:rPr>
              <w:t>Buchanan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15</w:t>
            </w:r>
          </w:p>
        </w:tc>
        <w:tc>
          <w:tcPr>
            <w:tcW w:w="2070" w:type="dxa"/>
            <w:vAlign w:val="center"/>
          </w:tcPr>
          <w:p w:rsidR="00EC7099" w:rsidRDefault="00AC34AC">
            <w:pPr>
              <w:jc w:val="center"/>
              <w:rPr>
                <w:sz w:val="20"/>
                <w:szCs w:val="20"/>
              </w:rPr>
            </w:pPr>
            <w:r>
              <w:rPr>
                <w:sz w:val="20"/>
                <w:szCs w:val="20"/>
              </w:rPr>
              <w:t>Buckingham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16</w:t>
            </w:r>
          </w:p>
        </w:tc>
        <w:tc>
          <w:tcPr>
            <w:tcW w:w="2070" w:type="dxa"/>
            <w:vAlign w:val="center"/>
          </w:tcPr>
          <w:p w:rsidR="00EC7099" w:rsidRDefault="00AC34AC">
            <w:pPr>
              <w:jc w:val="center"/>
              <w:rPr>
                <w:sz w:val="20"/>
                <w:szCs w:val="20"/>
              </w:rPr>
            </w:pPr>
            <w:r>
              <w:rPr>
                <w:sz w:val="20"/>
                <w:szCs w:val="20"/>
              </w:rPr>
              <w:t>Campbell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17</w:t>
            </w:r>
          </w:p>
        </w:tc>
        <w:tc>
          <w:tcPr>
            <w:tcW w:w="2070" w:type="dxa"/>
            <w:vAlign w:val="center"/>
          </w:tcPr>
          <w:p w:rsidR="00EC7099" w:rsidRDefault="00AC34AC">
            <w:pPr>
              <w:jc w:val="center"/>
              <w:rPr>
                <w:sz w:val="20"/>
                <w:szCs w:val="20"/>
              </w:rPr>
            </w:pPr>
            <w:r>
              <w:rPr>
                <w:sz w:val="20"/>
                <w:szCs w:val="20"/>
              </w:rPr>
              <w:t>Caroline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18</w:t>
            </w:r>
          </w:p>
        </w:tc>
        <w:tc>
          <w:tcPr>
            <w:tcW w:w="2070" w:type="dxa"/>
            <w:vAlign w:val="center"/>
          </w:tcPr>
          <w:p w:rsidR="00EC7099" w:rsidRDefault="00AC34AC">
            <w:pPr>
              <w:jc w:val="center"/>
              <w:rPr>
                <w:sz w:val="20"/>
                <w:szCs w:val="20"/>
              </w:rPr>
            </w:pPr>
            <w:r>
              <w:rPr>
                <w:sz w:val="20"/>
                <w:szCs w:val="20"/>
              </w:rPr>
              <w:t>Carroll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19</w:t>
            </w:r>
          </w:p>
        </w:tc>
        <w:tc>
          <w:tcPr>
            <w:tcW w:w="2070" w:type="dxa"/>
            <w:vAlign w:val="center"/>
          </w:tcPr>
          <w:p w:rsidR="00EC7099" w:rsidRDefault="00AC34AC">
            <w:pPr>
              <w:jc w:val="center"/>
              <w:rPr>
                <w:sz w:val="20"/>
                <w:szCs w:val="20"/>
              </w:rPr>
            </w:pPr>
            <w:r>
              <w:rPr>
                <w:sz w:val="20"/>
                <w:szCs w:val="20"/>
              </w:rPr>
              <w:t>Charles City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20</w:t>
            </w:r>
          </w:p>
        </w:tc>
        <w:tc>
          <w:tcPr>
            <w:tcW w:w="2070" w:type="dxa"/>
            <w:vAlign w:val="center"/>
          </w:tcPr>
          <w:p w:rsidR="00EC7099" w:rsidRDefault="00AC34AC">
            <w:pPr>
              <w:jc w:val="center"/>
              <w:rPr>
                <w:sz w:val="20"/>
                <w:szCs w:val="20"/>
              </w:rPr>
            </w:pPr>
            <w:r>
              <w:rPr>
                <w:sz w:val="20"/>
                <w:szCs w:val="20"/>
              </w:rPr>
              <w:t>Charlotte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21</w:t>
            </w:r>
          </w:p>
        </w:tc>
        <w:tc>
          <w:tcPr>
            <w:tcW w:w="2070" w:type="dxa"/>
            <w:vAlign w:val="center"/>
          </w:tcPr>
          <w:p w:rsidR="00EC7099" w:rsidRDefault="00AC34AC">
            <w:pPr>
              <w:jc w:val="center"/>
              <w:rPr>
                <w:sz w:val="20"/>
                <w:szCs w:val="20"/>
              </w:rPr>
            </w:pPr>
            <w:r>
              <w:rPr>
                <w:sz w:val="20"/>
                <w:szCs w:val="20"/>
              </w:rPr>
              <w:t>Chesterfield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22</w:t>
            </w:r>
          </w:p>
        </w:tc>
        <w:tc>
          <w:tcPr>
            <w:tcW w:w="2070" w:type="dxa"/>
            <w:vAlign w:val="center"/>
          </w:tcPr>
          <w:p w:rsidR="00EC7099" w:rsidRDefault="00AC34AC">
            <w:pPr>
              <w:jc w:val="center"/>
              <w:rPr>
                <w:sz w:val="20"/>
                <w:szCs w:val="20"/>
              </w:rPr>
            </w:pPr>
            <w:r>
              <w:rPr>
                <w:sz w:val="20"/>
                <w:szCs w:val="20"/>
              </w:rPr>
              <w:t>Clarke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23</w:t>
            </w:r>
          </w:p>
        </w:tc>
        <w:tc>
          <w:tcPr>
            <w:tcW w:w="2070" w:type="dxa"/>
            <w:vAlign w:val="center"/>
          </w:tcPr>
          <w:p w:rsidR="00EC7099" w:rsidRDefault="00AC34AC">
            <w:pPr>
              <w:jc w:val="center"/>
              <w:rPr>
                <w:sz w:val="20"/>
                <w:szCs w:val="20"/>
              </w:rPr>
            </w:pPr>
            <w:r>
              <w:rPr>
                <w:sz w:val="20"/>
                <w:szCs w:val="20"/>
              </w:rPr>
              <w:t>Craig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24</w:t>
            </w:r>
          </w:p>
        </w:tc>
        <w:tc>
          <w:tcPr>
            <w:tcW w:w="2070" w:type="dxa"/>
            <w:vAlign w:val="center"/>
          </w:tcPr>
          <w:p w:rsidR="00EC7099" w:rsidRDefault="00AC34AC">
            <w:pPr>
              <w:jc w:val="center"/>
              <w:rPr>
                <w:sz w:val="20"/>
                <w:szCs w:val="20"/>
              </w:rPr>
            </w:pPr>
            <w:r>
              <w:rPr>
                <w:sz w:val="20"/>
                <w:szCs w:val="20"/>
              </w:rPr>
              <w:t>Culpeper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25</w:t>
            </w:r>
          </w:p>
        </w:tc>
        <w:tc>
          <w:tcPr>
            <w:tcW w:w="2070" w:type="dxa"/>
            <w:vAlign w:val="center"/>
          </w:tcPr>
          <w:p w:rsidR="00EC7099" w:rsidRDefault="00AC34AC">
            <w:pPr>
              <w:jc w:val="center"/>
              <w:rPr>
                <w:sz w:val="20"/>
                <w:szCs w:val="20"/>
              </w:rPr>
            </w:pPr>
            <w:r>
              <w:rPr>
                <w:sz w:val="20"/>
                <w:szCs w:val="20"/>
              </w:rPr>
              <w:t>Cumberland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26</w:t>
            </w:r>
          </w:p>
        </w:tc>
        <w:tc>
          <w:tcPr>
            <w:tcW w:w="2070" w:type="dxa"/>
            <w:vAlign w:val="center"/>
          </w:tcPr>
          <w:p w:rsidR="00EC7099" w:rsidRDefault="00AC34AC">
            <w:pPr>
              <w:jc w:val="center"/>
              <w:rPr>
                <w:sz w:val="20"/>
                <w:szCs w:val="20"/>
              </w:rPr>
            </w:pPr>
            <w:r>
              <w:rPr>
                <w:sz w:val="20"/>
                <w:szCs w:val="20"/>
              </w:rPr>
              <w:t>Dickenson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27</w:t>
            </w:r>
          </w:p>
        </w:tc>
        <w:tc>
          <w:tcPr>
            <w:tcW w:w="2070" w:type="dxa"/>
            <w:vAlign w:val="center"/>
          </w:tcPr>
          <w:p w:rsidR="00EC7099" w:rsidRDefault="00AC34AC">
            <w:pPr>
              <w:jc w:val="center"/>
              <w:rPr>
                <w:sz w:val="20"/>
                <w:szCs w:val="20"/>
              </w:rPr>
            </w:pPr>
            <w:r>
              <w:rPr>
                <w:sz w:val="20"/>
                <w:szCs w:val="20"/>
              </w:rPr>
              <w:t>Dinwiddie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28</w:t>
            </w:r>
          </w:p>
        </w:tc>
        <w:tc>
          <w:tcPr>
            <w:tcW w:w="2070" w:type="dxa"/>
            <w:vAlign w:val="center"/>
          </w:tcPr>
          <w:p w:rsidR="00EC7099" w:rsidRDefault="00AC34AC">
            <w:pPr>
              <w:jc w:val="center"/>
              <w:rPr>
                <w:sz w:val="20"/>
                <w:szCs w:val="20"/>
              </w:rPr>
            </w:pPr>
            <w:r>
              <w:rPr>
                <w:sz w:val="20"/>
                <w:szCs w:val="20"/>
              </w:rPr>
              <w:t>Essex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29</w:t>
            </w:r>
          </w:p>
        </w:tc>
        <w:tc>
          <w:tcPr>
            <w:tcW w:w="2070" w:type="dxa"/>
            <w:vAlign w:val="center"/>
          </w:tcPr>
          <w:p w:rsidR="00EC7099" w:rsidRDefault="00AC34AC">
            <w:pPr>
              <w:jc w:val="center"/>
              <w:rPr>
                <w:sz w:val="20"/>
                <w:szCs w:val="20"/>
              </w:rPr>
            </w:pPr>
            <w:r>
              <w:rPr>
                <w:sz w:val="20"/>
                <w:szCs w:val="20"/>
              </w:rPr>
              <w:t>Fairfax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30</w:t>
            </w:r>
          </w:p>
        </w:tc>
        <w:tc>
          <w:tcPr>
            <w:tcW w:w="2070" w:type="dxa"/>
            <w:vAlign w:val="center"/>
          </w:tcPr>
          <w:p w:rsidR="00EC7099" w:rsidRDefault="00AC34AC">
            <w:pPr>
              <w:jc w:val="center"/>
              <w:rPr>
                <w:sz w:val="20"/>
                <w:szCs w:val="20"/>
              </w:rPr>
            </w:pPr>
            <w:r>
              <w:rPr>
                <w:sz w:val="20"/>
                <w:szCs w:val="20"/>
              </w:rPr>
              <w:t>Fauquier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31</w:t>
            </w:r>
          </w:p>
        </w:tc>
        <w:tc>
          <w:tcPr>
            <w:tcW w:w="2070" w:type="dxa"/>
            <w:vAlign w:val="center"/>
          </w:tcPr>
          <w:p w:rsidR="00EC7099" w:rsidRDefault="00AC34AC">
            <w:pPr>
              <w:jc w:val="center"/>
              <w:rPr>
                <w:sz w:val="20"/>
                <w:szCs w:val="20"/>
              </w:rPr>
            </w:pPr>
            <w:r>
              <w:rPr>
                <w:sz w:val="20"/>
                <w:szCs w:val="20"/>
              </w:rPr>
              <w:t>Floyd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32</w:t>
            </w:r>
          </w:p>
        </w:tc>
        <w:tc>
          <w:tcPr>
            <w:tcW w:w="2070" w:type="dxa"/>
            <w:vAlign w:val="center"/>
          </w:tcPr>
          <w:p w:rsidR="00EC7099" w:rsidRDefault="00AC34AC">
            <w:pPr>
              <w:jc w:val="center"/>
              <w:rPr>
                <w:sz w:val="20"/>
                <w:szCs w:val="20"/>
              </w:rPr>
            </w:pPr>
            <w:r>
              <w:rPr>
                <w:sz w:val="20"/>
                <w:szCs w:val="20"/>
              </w:rPr>
              <w:t>Fluvanna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33</w:t>
            </w:r>
          </w:p>
        </w:tc>
        <w:tc>
          <w:tcPr>
            <w:tcW w:w="2070" w:type="dxa"/>
            <w:vAlign w:val="center"/>
          </w:tcPr>
          <w:p w:rsidR="00EC7099" w:rsidRDefault="00AC34AC">
            <w:pPr>
              <w:jc w:val="center"/>
              <w:rPr>
                <w:sz w:val="20"/>
                <w:szCs w:val="20"/>
              </w:rPr>
            </w:pPr>
            <w:r>
              <w:rPr>
                <w:sz w:val="20"/>
                <w:szCs w:val="20"/>
              </w:rPr>
              <w:t>Franklin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34</w:t>
            </w:r>
          </w:p>
        </w:tc>
        <w:tc>
          <w:tcPr>
            <w:tcW w:w="2070" w:type="dxa"/>
            <w:vAlign w:val="center"/>
          </w:tcPr>
          <w:p w:rsidR="00EC7099" w:rsidRDefault="00AC34AC">
            <w:pPr>
              <w:jc w:val="center"/>
              <w:rPr>
                <w:sz w:val="20"/>
                <w:szCs w:val="20"/>
              </w:rPr>
            </w:pPr>
            <w:r>
              <w:rPr>
                <w:sz w:val="20"/>
                <w:szCs w:val="20"/>
              </w:rPr>
              <w:t>Frederick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35</w:t>
            </w:r>
          </w:p>
        </w:tc>
        <w:tc>
          <w:tcPr>
            <w:tcW w:w="2070" w:type="dxa"/>
            <w:vAlign w:val="center"/>
          </w:tcPr>
          <w:p w:rsidR="00EC7099" w:rsidRDefault="00AC34AC">
            <w:pPr>
              <w:jc w:val="center"/>
              <w:rPr>
                <w:sz w:val="20"/>
                <w:szCs w:val="20"/>
              </w:rPr>
            </w:pPr>
            <w:r>
              <w:rPr>
                <w:sz w:val="20"/>
                <w:szCs w:val="20"/>
              </w:rPr>
              <w:t>Giles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36</w:t>
            </w:r>
          </w:p>
        </w:tc>
        <w:tc>
          <w:tcPr>
            <w:tcW w:w="2070" w:type="dxa"/>
            <w:vAlign w:val="center"/>
          </w:tcPr>
          <w:p w:rsidR="00EC7099" w:rsidRDefault="00AC34AC">
            <w:pPr>
              <w:jc w:val="center"/>
              <w:rPr>
                <w:sz w:val="20"/>
                <w:szCs w:val="20"/>
              </w:rPr>
            </w:pPr>
            <w:r>
              <w:rPr>
                <w:sz w:val="20"/>
                <w:szCs w:val="20"/>
              </w:rPr>
              <w:t>Gloucester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37</w:t>
            </w:r>
          </w:p>
        </w:tc>
        <w:tc>
          <w:tcPr>
            <w:tcW w:w="2070" w:type="dxa"/>
            <w:vAlign w:val="center"/>
          </w:tcPr>
          <w:p w:rsidR="00EC7099" w:rsidRDefault="00AC34AC">
            <w:pPr>
              <w:jc w:val="center"/>
              <w:rPr>
                <w:sz w:val="20"/>
                <w:szCs w:val="20"/>
              </w:rPr>
            </w:pPr>
            <w:r>
              <w:rPr>
                <w:sz w:val="20"/>
                <w:szCs w:val="20"/>
              </w:rPr>
              <w:t>Goochland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38</w:t>
            </w:r>
          </w:p>
        </w:tc>
        <w:tc>
          <w:tcPr>
            <w:tcW w:w="2070" w:type="dxa"/>
            <w:vAlign w:val="center"/>
          </w:tcPr>
          <w:p w:rsidR="00EC7099" w:rsidRDefault="00AC34AC">
            <w:pPr>
              <w:jc w:val="center"/>
              <w:rPr>
                <w:sz w:val="20"/>
                <w:szCs w:val="20"/>
              </w:rPr>
            </w:pPr>
            <w:r>
              <w:rPr>
                <w:sz w:val="20"/>
                <w:szCs w:val="20"/>
              </w:rPr>
              <w:t>Grayson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39</w:t>
            </w:r>
          </w:p>
        </w:tc>
        <w:tc>
          <w:tcPr>
            <w:tcW w:w="2070" w:type="dxa"/>
            <w:vAlign w:val="center"/>
          </w:tcPr>
          <w:p w:rsidR="00EC7099" w:rsidRDefault="00AC34AC">
            <w:pPr>
              <w:jc w:val="center"/>
              <w:rPr>
                <w:sz w:val="20"/>
                <w:szCs w:val="20"/>
              </w:rPr>
            </w:pPr>
            <w:r>
              <w:rPr>
                <w:sz w:val="20"/>
                <w:szCs w:val="20"/>
              </w:rPr>
              <w:t>Greene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40</w:t>
            </w:r>
          </w:p>
        </w:tc>
        <w:tc>
          <w:tcPr>
            <w:tcW w:w="2070" w:type="dxa"/>
            <w:vAlign w:val="center"/>
          </w:tcPr>
          <w:p w:rsidR="00EC7099" w:rsidRDefault="00AC34AC">
            <w:pPr>
              <w:jc w:val="center"/>
              <w:rPr>
                <w:sz w:val="20"/>
                <w:szCs w:val="20"/>
              </w:rPr>
            </w:pPr>
            <w:r>
              <w:rPr>
                <w:sz w:val="20"/>
                <w:szCs w:val="20"/>
              </w:rPr>
              <w:t>Greensville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41</w:t>
            </w:r>
          </w:p>
        </w:tc>
        <w:tc>
          <w:tcPr>
            <w:tcW w:w="2070" w:type="dxa"/>
            <w:vAlign w:val="center"/>
          </w:tcPr>
          <w:p w:rsidR="00EC7099" w:rsidRDefault="00AC34AC">
            <w:pPr>
              <w:jc w:val="center"/>
              <w:rPr>
                <w:sz w:val="20"/>
                <w:szCs w:val="20"/>
              </w:rPr>
            </w:pPr>
            <w:r>
              <w:rPr>
                <w:sz w:val="20"/>
                <w:szCs w:val="20"/>
              </w:rPr>
              <w:t>Halifax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42</w:t>
            </w:r>
          </w:p>
        </w:tc>
        <w:tc>
          <w:tcPr>
            <w:tcW w:w="2070" w:type="dxa"/>
            <w:vAlign w:val="center"/>
          </w:tcPr>
          <w:p w:rsidR="00EC7099" w:rsidRDefault="00AC34AC">
            <w:pPr>
              <w:jc w:val="center"/>
              <w:rPr>
                <w:sz w:val="20"/>
                <w:szCs w:val="20"/>
              </w:rPr>
            </w:pPr>
            <w:r>
              <w:rPr>
                <w:sz w:val="20"/>
                <w:szCs w:val="20"/>
              </w:rPr>
              <w:t>Hanover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43</w:t>
            </w:r>
          </w:p>
        </w:tc>
        <w:tc>
          <w:tcPr>
            <w:tcW w:w="2070" w:type="dxa"/>
            <w:vAlign w:val="center"/>
          </w:tcPr>
          <w:p w:rsidR="00EC7099" w:rsidRDefault="00AC34AC">
            <w:pPr>
              <w:jc w:val="center"/>
              <w:rPr>
                <w:sz w:val="20"/>
                <w:szCs w:val="20"/>
              </w:rPr>
            </w:pPr>
            <w:r>
              <w:rPr>
                <w:sz w:val="20"/>
                <w:szCs w:val="20"/>
              </w:rPr>
              <w:t>Henrico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44</w:t>
            </w:r>
          </w:p>
        </w:tc>
        <w:tc>
          <w:tcPr>
            <w:tcW w:w="2070" w:type="dxa"/>
            <w:vAlign w:val="center"/>
          </w:tcPr>
          <w:p w:rsidR="00EC7099" w:rsidRDefault="00AC34AC">
            <w:pPr>
              <w:jc w:val="center"/>
              <w:rPr>
                <w:sz w:val="20"/>
                <w:szCs w:val="20"/>
              </w:rPr>
            </w:pPr>
            <w:r>
              <w:rPr>
                <w:sz w:val="20"/>
                <w:szCs w:val="20"/>
              </w:rPr>
              <w:t>Henry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45</w:t>
            </w:r>
          </w:p>
        </w:tc>
        <w:tc>
          <w:tcPr>
            <w:tcW w:w="2070" w:type="dxa"/>
            <w:vAlign w:val="center"/>
          </w:tcPr>
          <w:p w:rsidR="00EC7099" w:rsidRDefault="00AC34AC">
            <w:pPr>
              <w:jc w:val="center"/>
              <w:rPr>
                <w:sz w:val="20"/>
                <w:szCs w:val="20"/>
              </w:rPr>
            </w:pPr>
            <w:r>
              <w:rPr>
                <w:sz w:val="20"/>
                <w:szCs w:val="20"/>
              </w:rPr>
              <w:t>Highland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46</w:t>
            </w:r>
          </w:p>
        </w:tc>
        <w:tc>
          <w:tcPr>
            <w:tcW w:w="2070" w:type="dxa"/>
            <w:vAlign w:val="center"/>
          </w:tcPr>
          <w:p w:rsidR="00EC7099" w:rsidRDefault="00AC34AC">
            <w:pPr>
              <w:jc w:val="center"/>
              <w:rPr>
                <w:sz w:val="20"/>
                <w:szCs w:val="20"/>
              </w:rPr>
            </w:pPr>
            <w:r>
              <w:rPr>
                <w:sz w:val="20"/>
                <w:szCs w:val="20"/>
              </w:rPr>
              <w:t>Isle of Wight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48</w:t>
            </w:r>
          </w:p>
        </w:tc>
        <w:tc>
          <w:tcPr>
            <w:tcW w:w="2070" w:type="dxa"/>
            <w:vAlign w:val="center"/>
          </w:tcPr>
          <w:p w:rsidR="00EC7099" w:rsidRDefault="00AC34AC">
            <w:pPr>
              <w:jc w:val="center"/>
              <w:rPr>
                <w:sz w:val="20"/>
                <w:szCs w:val="20"/>
              </w:rPr>
            </w:pPr>
            <w:r>
              <w:rPr>
                <w:sz w:val="20"/>
                <w:szCs w:val="20"/>
              </w:rPr>
              <w:t>King George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49</w:t>
            </w:r>
          </w:p>
        </w:tc>
        <w:tc>
          <w:tcPr>
            <w:tcW w:w="2070" w:type="dxa"/>
            <w:vAlign w:val="center"/>
          </w:tcPr>
          <w:p w:rsidR="00EC7099" w:rsidRDefault="00AC34AC">
            <w:pPr>
              <w:jc w:val="center"/>
              <w:rPr>
                <w:sz w:val="20"/>
                <w:szCs w:val="20"/>
              </w:rPr>
            </w:pPr>
            <w:r>
              <w:rPr>
                <w:sz w:val="20"/>
                <w:szCs w:val="20"/>
              </w:rPr>
              <w:t>King and Queen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50</w:t>
            </w:r>
          </w:p>
        </w:tc>
        <w:tc>
          <w:tcPr>
            <w:tcW w:w="2070" w:type="dxa"/>
            <w:vAlign w:val="center"/>
          </w:tcPr>
          <w:p w:rsidR="00EC7099" w:rsidRDefault="00AC34AC">
            <w:pPr>
              <w:jc w:val="center"/>
              <w:rPr>
                <w:sz w:val="20"/>
                <w:szCs w:val="20"/>
              </w:rPr>
            </w:pPr>
            <w:r>
              <w:rPr>
                <w:sz w:val="20"/>
                <w:szCs w:val="20"/>
              </w:rPr>
              <w:t>King William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51</w:t>
            </w:r>
          </w:p>
        </w:tc>
        <w:tc>
          <w:tcPr>
            <w:tcW w:w="2070" w:type="dxa"/>
            <w:vAlign w:val="center"/>
          </w:tcPr>
          <w:p w:rsidR="00EC7099" w:rsidRDefault="00AC34AC">
            <w:pPr>
              <w:jc w:val="center"/>
              <w:rPr>
                <w:sz w:val="20"/>
                <w:szCs w:val="20"/>
              </w:rPr>
            </w:pPr>
            <w:r>
              <w:rPr>
                <w:sz w:val="20"/>
                <w:szCs w:val="20"/>
              </w:rPr>
              <w:t>Lancaster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52</w:t>
            </w:r>
          </w:p>
        </w:tc>
        <w:tc>
          <w:tcPr>
            <w:tcW w:w="2070" w:type="dxa"/>
            <w:vAlign w:val="center"/>
          </w:tcPr>
          <w:p w:rsidR="00EC7099" w:rsidRDefault="00AC34AC">
            <w:pPr>
              <w:jc w:val="center"/>
              <w:rPr>
                <w:sz w:val="20"/>
                <w:szCs w:val="20"/>
              </w:rPr>
            </w:pPr>
            <w:r>
              <w:rPr>
                <w:sz w:val="20"/>
                <w:szCs w:val="20"/>
              </w:rPr>
              <w:t>Lee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53</w:t>
            </w:r>
          </w:p>
        </w:tc>
        <w:tc>
          <w:tcPr>
            <w:tcW w:w="2070" w:type="dxa"/>
            <w:vAlign w:val="center"/>
          </w:tcPr>
          <w:p w:rsidR="00EC7099" w:rsidRDefault="00AC34AC">
            <w:pPr>
              <w:jc w:val="center"/>
              <w:rPr>
                <w:sz w:val="20"/>
                <w:szCs w:val="20"/>
              </w:rPr>
            </w:pPr>
            <w:r>
              <w:rPr>
                <w:sz w:val="20"/>
                <w:szCs w:val="20"/>
              </w:rPr>
              <w:t>Loudoun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54</w:t>
            </w:r>
          </w:p>
        </w:tc>
        <w:tc>
          <w:tcPr>
            <w:tcW w:w="2070" w:type="dxa"/>
            <w:vAlign w:val="center"/>
          </w:tcPr>
          <w:p w:rsidR="00EC7099" w:rsidRDefault="00AC34AC">
            <w:pPr>
              <w:jc w:val="center"/>
              <w:rPr>
                <w:sz w:val="20"/>
                <w:szCs w:val="20"/>
              </w:rPr>
            </w:pPr>
            <w:r>
              <w:rPr>
                <w:sz w:val="20"/>
                <w:szCs w:val="20"/>
              </w:rPr>
              <w:t>Louisa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55</w:t>
            </w:r>
          </w:p>
        </w:tc>
        <w:tc>
          <w:tcPr>
            <w:tcW w:w="2070" w:type="dxa"/>
            <w:vAlign w:val="center"/>
          </w:tcPr>
          <w:p w:rsidR="00EC7099" w:rsidRDefault="00AC34AC">
            <w:pPr>
              <w:jc w:val="center"/>
              <w:rPr>
                <w:sz w:val="20"/>
                <w:szCs w:val="20"/>
              </w:rPr>
            </w:pPr>
            <w:r>
              <w:rPr>
                <w:sz w:val="20"/>
                <w:szCs w:val="20"/>
              </w:rPr>
              <w:t>Lunenburg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56</w:t>
            </w:r>
          </w:p>
        </w:tc>
        <w:tc>
          <w:tcPr>
            <w:tcW w:w="2070" w:type="dxa"/>
            <w:vAlign w:val="center"/>
          </w:tcPr>
          <w:p w:rsidR="00EC7099" w:rsidRDefault="00AC34AC">
            <w:pPr>
              <w:jc w:val="center"/>
              <w:rPr>
                <w:sz w:val="20"/>
                <w:szCs w:val="20"/>
              </w:rPr>
            </w:pPr>
            <w:r>
              <w:rPr>
                <w:sz w:val="20"/>
                <w:szCs w:val="20"/>
              </w:rPr>
              <w:t>Madison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57</w:t>
            </w:r>
          </w:p>
        </w:tc>
        <w:tc>
          <w:tcPr>
            <w:tcW w:w="2070" w:type="dxa"/>
            <w:vAlign w:val="center"/>
          </w:tcPr>
          <w:p w:rsidR="00EC7099" w:rsidRDefault="00AC34AC">
            <w:pPr>
              <w:jc w:val="center"/>
              <w:rPr>
                <w:sz w:val="20"/>
                <w:szCs w:val="20"/>
              </w:rPr>
            </w:pPr>
            <w:r>
              <w:rPr>
                <w:sz w:val="20"/>
                <w:szCs w:val="20"/>
              </w:rPr>
              <w:t>Mathews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58</w:t>
            </w:r>
          </w:p>
        </w:tc>
        <w:tc>
          <w:tcPr>
            <w:tcW w:w="2070" w:type="dxa"/>
            <w:vAlign w:val="center"/>
          </w:tcPr>
          <w:p w:rsidR="00EC7099" w:rsidRDefault="00AC34AC">
            <w:pPr>
              <w:jc w:val="center"/>
              <w:rPr>
                <w:sz w:val="20"/>
                <w:szCs w:val="20"/>
              </w:rPr>
            </w:pPr>
            <w:r>
              <w:rPr>
                <w:sz w:val="20"/>
                <w:szCs w:val="20"/>
              </w:rPr>
              <w:t>Mecklenburg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59</w:t>
            </w:r>
          </w:p>
        </w:tc>
        <w:tc>
          <w:tcPr>
            <w:tcW w:w="2070" w:type="dxa"/>
            <w:vAlign w:val="center"/>
          </w:tcPr>
          <w:p w:rsidR="00EC7099" w:rsidRDefault="00AC34AC">
            <w:pPr>
              <w:jc w:val="center"/>
              <w:rPr>
                <w:sz w:val="20"/>
                <w:szCs w:val="20"/>
              </w:rPr>
            </w:pPr>
            <w:r>
              <w:rPr>
                <w:sz w:val="20"/>
                <w:szCs w:val="20"/>
              </w:rPr>
              <w:t>Middlesex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60</w:t>
            </w:r>
          </w:p>
        </w:tc>
        <w:tc>
          <w:tcPr>
            <w:tcW w:w="2070" w:type="dxa"/>
            <w:vAlign w:val="center"/>
          </w:tcPr>
          <w:p w:rsidR="00EC7099" w:rsidRDefault="00AC34AC">
            <w:pPr>
              <w:jc w:val="center"/>
              <w:rPr>
                <w:sz w:val="20"/>
                <w:szCs w:val="20"/>
              </w:rPr>
            </w:pPr>
            <w:r>
              <w:rPr>
                <w:sz w:val="20"/>
                <w:szCs w:val="20"/>
              </w:rPr>
              <w:t>Montgomery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62</w:t>
            </w:r>
          </w:p>
        </w:tc>
        <w:tc>
          <w:tcPr>
            <w:tcW w:w="2070" w:type="dxa"/>
            <w:vAlign w:val="center"/>
          </w:tcPr>
          <w:p w:rsidR="00EC7099" w:rsidRDefault="00AC34AC">
            <w:pPr>
              <w:jc w:val="center"/>
              <w:rPr>
                <w:sz w:val="20"/>
                <w:szCs w:val="20"/>
              </w:rPr>
            </w:pPr>
            <w:r>
              <w:rPr>
                <w:sz w:val="20"/>
                <w:szCs w:val="20"/>
              </w:rPr>
              <w:t>Nelson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63</w:t>
            </w:r>
          </w:p>
        </w:tc>
        <w:tc>
          <w:tcPr>
            <w:tcW w:w="2070" w:type="dxa"/>
            <w:vAlign w:val="center"/>
          </w:tcPr>
          <w:p w:rsidR="00EC7099" w:rsidRDefault="00AC34AC">
            <w:pPr>
              <w:jc w:val="center"/>
              <w:rPr>
                <w:sz w:val="20"/>
                <w:szCs w:val="20"/>
              </w:rPr>
            </w:pPr>
            <w:r>
              <w:rPr>
                <w:sz w:val="20"/>
                <w:szCs w:val="20"/>
              </w:rPr>
              <w:t>New Kent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65</w:t>
            </w:r>
          </w:p>
        </w:tc>
        <w:tc>
          <w:tcPr>
            <w:tcW w:w="2070" w:type="dxa"/>
            <w:vAlign w:val="center"/>
          </w:tcPr>
          <w:p w:rsidR="00EC7099" w:rsidRDefault="00AC34AC">
            <w:pPr>
              <w:jc w:val="center"/>
              <w:rPr>
                <w:sz w:val="20"/>
                <w:szCs w:val="20"/>
              </w:rPr>
            </w:pPr>
            <w:r>
              <w:rPr>
                <w:sz w:val="20"/>
                <w:szCs w:val="20"/>
              </w:rPr>
              <w:t>Northampton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66</w:t>
            </w:r>
          </w:p>
        </w:tc>
        <w:tc>
          <w:tcPr>
            <w:tcW w:w="2070" w:type="dxa"/>
            <w:vAlign w:val="center"/>
          </w:tcPr>
          <w:p w:rsidR="00EC7099" w:rsidRDefault="00AC34AC">
            <w:pPr>
              <w:jc w:val="center"/>
              <w:rPr>
                <w:sz w:val="20"/>
                <w:szCs w:val="20"/>
              </w:rPr>
            </w:pPr>
            <w:r>
              <w:rPr>
                <w:sz w:val="20"/>
                <w:szCs w:val="20"/>
              </w:rPr>
              <w:t>Northumberland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67</w:t>
            </w:r>
          </w:p>
        </w:tc>
        <w:tc>
          <w:tcPr>
            <w:tcW w:w="2070" w:type="dxa"/>
            <w:vAlign w:val="center"/>
          </w:tcPr>
          <w:p w:rsidR="00EC7099" w:rsidRDefault="00AC34AC">
            <w:pPr>
              <w:jc w:val="center"/>
              <w:rPr>
                <w:sz w:val="20"/>
                <w:szCs w:val="20"/>
              </w:rPr>
            </w:pPr>
            <w:r>
              <w:rPr>
                <w:sz w:val="20"/>
                <w:szCs w:val="20"/>
              </w:rPr>
              <w:t>Nottoway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68</w:t>
            </w:r>
          </w:p>
        </w:tc>
        <w:tc>
          <w:tcPr>
            <w:tcW w:w="2070" w:type="dxa"/>
            <w:vAlign w:val="center"/>
          </w:tcPr>
          <w:p w:rsidR="00EC7099" w:rsidRDefault="00AC34AC">
            <w:pPr>
              <w:jc w:val="center"/>
              <w:rPr>
                <w:sz w:val="20"/>
                <w:szCs w:val="20"/>
              </w:rPr>
            </w:pPr>
            <w:r>
              <w:rPr>
                <w:sz w:val="20"/>
                <w:szCs w:val="20"/>
              </w:rPr>
              <w:t>Orange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69</w:t>
            </w:r>
          </w:p>
        </w:tc>
        <w:tc>
          <w:tcPr>
            <w:tcW w:w="2070" w:type="dxa"/>
            <w:vAlign w:val="center"/>
          </w:tcPr>
          <w:p w:rsidR="00EC7099" w:rsidRDefault="00AC34AC">
            <w:pPr>
              <w:jc w:val="center"/>
              <w:rPr>
                <w:sz w:val="20"/>
                <w:szCs w:val="20"/>
              </w:rPr>
            </w:pPr>
            <w:r>
              <w:rPr>
                <w:sz w:val="20"/>
                <w:szCs w:val="20"/>
              </w:rPr>
              <w:t>Page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70</w:t>
            </w:r>
          </w:p>
        </w:tc>
        <w:tc>
          <w:tcPr>
            <w:tcW w:w="2070" w:type="dxa"/>
            <w:vAlign w:val="center"/>
          </w:tcPr>
          <w:p w:rsidR="00EC7099" w:rsidRDefault="00AC34AC">
            <w:pPr>
              <w:jc w:val="center"/>
              <w:rPr>
                <w:sz w:val="20"/>
                <w:szCs w:val="20"/>
              </w:rPr>
            </w:pPr>
            <w:r>
              <w:rPr>
                <w:sz w:val="20"/>
                <w:szCs w:val="20"/>
              </w:rPr>
              <w:t>Patrick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71</w:t>
            </w:r>
          </w:p>
        </w:tc>
        <w:tc>
          <w:tcPr>
            <w:tcW w:w="2070" w:type="dxa"/>
            <w:vAlign w:val="center"/>
          </w:tcPr>
          <w:p w:rsidR="00EC7099" w:rsidRDefault="00AC34AC">
            <w:pPr>
              <w:jc w:val="center"/>
              <w:rPr>
                <w:sz w:val="20"/>
                <w:szCs w:val="20"/>
              </w:rPr>
            </w:pPr>
            <w:r>
              <w:rPr>
                <w:sz w:val="20"/>
                <w:szCs w:val="20"/>
              </w:rPr>
              <w:t>Pittsylvania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72</w:t>
            </w:r>
          </w:p>
        </w:tc>
        <w:tc>
          <w:tcPr>
            <w:tcW w:w="2070" w:type="dxa"/>
            <w:vAlign w:val="center"/>
          </w:tcPr>
          <w:p w:rsidR="00EC7099" w:rsidRDefault="00AC34AC">
            <w:pPr>
              <w:jc w:val="center"/>
              <w:rPr>
                <w:sz w:val="20"/>
                <w:szCs w:val="20"/>
              </w:rPr>
            </w:pPr>
            <w:r>
              <w:rPr>
                <w:sz w:val="20"/>
                <w:szCs w:val="20"/>
              </w:rPr>
              <w:t>Powhatan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73</w:t>
            </w:r>
          </w:p>
        </w:tc>
        <w:tc>
          <w:tcPr>
            <w:tcW w:w="2070" w:type="dxa"/>
            <w:vAlign w:val="center"/>
          </w:tcPr>
          <w:p w:rsidR="00EC7099" w:rsidRDefault="00AC34AC">
            <w:pPr>
              <w:jc w:val="center"/>
              <w:rPr>
                <w:sz w:val="20"/>
                <w:szCs w:val="20"/>
              </w:rPr>
            </w:pPr>
            <w:r>
              <w:rPr>
                <w:sz w:val="20"/>
                <w:szCs w:val="20"/>
              </w:rPr>
              <w:t>Prince Edward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74</w:t>
            </w:r>
          </w:p>
        </w:tc>
        <w:tc>
          <w:tcPr>
            <w:tcW w:w="2070" w:type="dxa"/>
            <w:vAlign w:val="center"/>
          </w:tcPr>
          <w:p w:rsidR="00EC7099" w:rsidRDefault="00AC34AC">
            <w:pPr>
              <w:jc w:val="center"/>
              <w:rPr>
                <w:sz w:val="20"/>
                <w:szCs w:val="20"/>
              </w:rPr>
            </w:pPr>
            <w:r>
              <w:rPr>
                <w:sz w:val="20"/>
                <w:szCs w:val="20"/>
              </w:rPr>
              <w:t>Prince George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75</w:t>
            </w:r>
          </w:p>
        </w:tc>
        <w:tc>
          <w:tcPr>
            <w:tcW w:w="2070" w:type="dxa"/>
            <w:vAlign w:val="center"/>
          </w:tcPr>
          <w:p w:rsidR="00EC7099" w:rsidRDefault="00AC34AC">
            <w:pPr>
              <w:jc w:val="center"/>
              <w:rPr>
                <w:sz w:val="20"/>
                <w:szCs w:val="20"/>
              </w:rPr>
            </w:pPr>
            <w:r>
              <w:rPr>
                <w:sz w:val="20"/>
                <w:szCs w:val="20"/>
              </w:rPr>
              <w:t>Prince William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77</w:t>
            </w:r>
          </w:p>
        </w:tc>
        <w:tc>
          <w:tcPr>
            <w:tcW w:w="2070" w:type="dxa"/>
            <w:vAlign w:val="center"/>
          </w:tcPr>
          <w:p w:rsidR="00EC7099" w:rsidRDefault="00AC34AC">
            <w:pPr>
              <w:jc w:val="center"/>
              <w:rPr>
                <w:sz w:val="20"/>
                <w:szCs w:val="20"/>
              </w:rPr>
            </w:pPr>
            <w:r>
              <w:rPr>
                <w:sz w:val="20"/>
                <w:szCs w:val="20"/>
              </w:rPr>
              <w:t>Pulaski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78</w:t>
            </w:r>
          </w:p>
        </w:tc>
        <w:tc>
          <w:tcPr>
            <w:tcW w:w="2070" w:type="dxa"/>
            <w:vAlign w:val="center"/>
          </w:tcPr>
          <w:p w:rsidR="00EC7099" w:rsidRDefault="00AC34AC">
            <w:pPr>
              <w:jc w:val="center"/>
              <w:rPr>
                <w:sz w:val="20"/>
                <w:szCs w:val="20"/>
              </w:rPr>
            </w:pPr>
            <w:r>
              <w:rPr>
                <w:sz w:val="20"/>
                <w:szCs w:val="20"/>
              </w:rPr>
              <w:t>Rappahannock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79</w:t>
            </w:r>
          </w:p>
        </w:tc>
        <w:tc>
          <w:tcPr>
            <w:tcW w:w="2070" w:type="dxa"/>
            <w:vAlign w:val="center"/>
          </w:tcPr>
          <w:p w:rsidR="00EC7099" w:rsidRDefault="00AC34AC">
            <w:pPr>
              <w:jc w:val="center"/>
              <w:rPr>
                <w:sz w:val="20"/>
                <w:szCs w:val="20"/>
              </w:rPr>
            </w:pPr>
            <w:r>
              <w:rPr>
                <w:sz w:val="20"/>
                <w:szCs w:val="20"/>
              </w:rPr>
              <w:t>Richmond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80</w:t>
            </w:r>
          </w:p>
        </w:tc>
        <w:tc>
          <w:tcPr>
            <w:tcW w:w="2070" w:type="dxa"/>
            <w:vAlign w:val="center"/>
          </w:tcPr>
          <w:p w:rsidR="00EC7099" w:rsidRDefault="00AC34AC">
            <w:pPr>
              <w:jc w:val="center"/>
              <w:rPr>
                <w:sz w:val="20"/>
                <w:szCs w:val="20"/>
              </w:rPr>
            </w:pPr>
            <w:r>
              <w:rPr>
                <w:sz w:val="20"/>
                <w:szCs w:val="20"/>
              </w:rPr>
              <w:t>Roanoke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81</w:t>
            </w:r>
          </w:p>
        </w:tc>
        <w:tc>
          <w:tcPr>
            <w:tcW w:w="2070" w:type="dxa"/>
            <w:vAlign w:val="center"/>
          </w:tcPr>
          <w:p w:rsidR="00EC7099" w:rsidRDefault="00AC34AC">
            <w:pPr>
              <w:jc w:val="center"/>
              <w:rPr>
                <w:sz w:val="20"/>
                <w:szCs w:val="20"/>
              </w:rPr>
            </w:pPr>
            <w:r>
              <w:rPr>
                <w:sz w:val="20"/>
                <w:szCs w:val="20"/>
              </w:rPr>
              <w:t>Rockbridge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719"/>
          <w:jc w:val="center"/>
        </w:trPr>
        <w:tc>
          <w:tcPr>
            <w:tcW w:w="990" w:type="dxa"/>
            <w:vAlign w:val="center"/>
          </w:tcPr>
          <w:p w:rsidR="00EC7099" w:rsidRDefault="00AC34AC">
            <w:pPr>
              <w:jc w:val="center"/>
              <w:rPr>
                <w:sz w:val="20"/>
                <w:szCs w:val="20"/>
              </w:rPr>
            </w:pPr>
            <w:r>
              <w:rPr>
                <w:sz w:val="20"/>
                <w:szCs w:val="20"/>
              </w:rPr>
              <w:t>82</w:t>
            </w:r>
          </w:p>
        </w:tc>
        <w:tc>
          <w:tcPr>
            <w:tcW w:w="2070" w:type="dxa"/>
            <w:vAlign w:val="center"/>
          </w:tcPr>
          <w:p w:rsidR="00EC7099" w:rsidRDefault="00AC34AC">
            <w:pPr>
              <w:jc w:val="center"/>
              <w:rPr>
                <w:sz w:val="20"/>
                <w:szCs w:val="20"/>
              </w:rPr>
            </w:pPr>
            <w:r>
              <w:rPr>
                <w:sz w:val="20"/>
                <w:szCs w:val="20"/>
              </w:rPr>
              <w:t>Rockingham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83</w:t>
            </w:r>
          </w:p>
        </w:tc>
        <w:tc>
          <w:tcPr>
            <w:tcW w:w="2070" w:type="dxa"/>
            <w:vAlign w:val="center"/>
          </w:tcPr>
          <w:p w:rsidR="00EC7099" w:rsidRDefault="00AC34AC">
            <w:pPr>
              <w:jc w:val="center"/>
              <w:rPr>
                <w:sz w:val="20"/>
                <w:szCs w:val="20"/>
              </w:rPr>
            </w:pPr>
            <w:r>
              <w:rPr>
                <w:sz w:val="20"/>
                <w:szCs w:val="20"/>
              </w:rPr>
              <w:t>Russell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84</w:t>
            </w:r>
          </w:p>
        </w:tc>
        <w:tc>
          <w:tcPr>
            <w:tcW w:w="2070" w:type="dxa"/>
            <w:vAlign w:val="center"/>
          </w:tcPr>
          <w:p w:rsidR="00EC7099" w:rsidRDefault="00AC34AC">
            <w:pPr>
              <w:jc w:val="center"/>
              <w:rPr>
                <w:sz w:val="20"/>
                <w:szCs w:val="20"/>
              </w:rPr>
            </w:pPr>
            <w:r>
              <w:rPr>
                <w:sz w:val="20"/>
                <w:szCs w:val="20"/>
              </w:rPr>
              <w:t>Scott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85</w:t>
            </w:r>
          </w:p>
        </w:tc>
        <w:tc>
          <w:tcPr>
            <w:tcW w:w="2070" w:type="dxa"/>
            <w:vAlign w:val="center"/>
          </w:tcPr>
          <w:p w:rsidR="00EC7099" w:rsidRDefault="00AC34AC">
            <w:pPr>
              <w:jc w:val="center"/>
              <w:rPr>
                <w:sz w:val="20"/>
                <w:szCs w:val="20"/>
              </w:rPr>
            </w:pPr>
            <w:r>
              <w:rPr>
                <w:sz w:val="20"/>
                <w:szCs w:val="20"/>
              </w:rPr>
              <w:t>Shenandoah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86</w:t>
            </w:r>
          </w:p>
        </w:tc>
        <w:tc>
          <w:tcPr>
            <w:tcW w:w="2070" w:type="dxa"/>
            <w:vAlign w:val="center"/>
          </w:tcPr>
          <w:p w:rsidR="00EC7099" w:rsidRDefault="00AC34AC">
            <w:pPr>
              <w:jc w:val="center"/>
              <w:rPr>
                <w:sz w:val="20"/>
                <w:szCs w:val="20"/>
              </w:rPr>
            </w:pPr>
            <w:r>
              <w:rPr>
                <w:sz w:val="20"/>
                <w:szCs w:val="20"/>
              </w:rPr>
              <w:t>Smyth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87</w:t>
            </w:r>
          </w:p>
        </w:tc>
        <w:tc>
          <w:tcPr>
            <w:tcW w:w="2070" w:type="dxa"/>
            <w:vAlign w:val="center"/>
          </w:tcPr>
          <w:p w:rsidR="00EC7099" w:rsidRDefault="00AC34AC">
            <w:pPr>
              <w:jc w:val="center"/>
              <w:rPr>
                <w:sz w:val="20"/>
                <w:szCs w:val="20"/>
              </w:rPr>
            </w:pPr>
            <w:r>
              <w:rPr>
                <w:sz w:val="20"/>
                <w:szCs w:val="20"/>
              </w:rPr>
              <w:t>Southampton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88</w:t>
            </w:r>
          </w:p>
        </w:tc>
        <w:tc>
          <w:tcPr>
            <w:tcW w:w="2070" w:type="dxa"/>
            <w:vAlign w:val="center"/>
          </w:tcPr>
          <w:p w:rsidR="00EC7099" w:rsidRDefault="00AC34AC">
            <w:pPr>
              <w:jc w:val="center"/>
              <w:rPr>
                <w:sz w:val="20"/>
                <w:szCs w:val="20"/>
              </w:rPr>
            </w:pPr>
            <w:r>
              <w:rPr>
                <w:sz w:val="20"/>
                <w:szCs w:val="20"/>
              </w:rPr>
              <w:t>Spotsylvania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89</w:t>
            </w:r>
          </w:p>
        </w:tc>
        <w:tc>
          <w:tcPr>
            <w:tcW w:w="2070" w:type="dxa"/>
            <w:vAlign w:val="center"/>
          </w:tcPr>
          <w:p w:rsidR="00EC7099" w:rsidRDefault="00AC34AC">
            <w:pPr>
              <w:jc w:val="center"/>
              <w:rPr>
                <w:sz w:val="20"/>
                <w:szCs w:val="20"/>
              </w:rPr>
            </w:pPr>
            <w:r>
              <w:rPr>
                <w:sz w:val="20"/>
                <w:szCs w:val="20"/>
              </w:rPr>
              <w:t>Stafford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90</w:t>
            </w:r>
          </w:p>
        </w:tc>
        <w:tc>
          <w:tcPr>
            <w:tcW w:w="2070" w:type="dxa"/>
            <w:vAlign w:val="center"/>
          </w:tcPr>
          <w:p w:rsidR="00EC7099" w:rsidRDefault="00AC34AC">
            <w:pPr>
              <w:jc w:val="center"/>
              <w:rPr>
                <w:sz w:val="20"/>
                <w:szCs w:val="20"/>
              </w:rPr>
            </w:pPr>
            <w:r>
              <w:rPr>
                <w:sz w:val="20"/>
                <w:szCs w:val="20"/>
              </w:rPr>
              <w:t>Surry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91</w:t>
            </w:r>
          </w:p>
        </w:tc>
        <w:tc>
          <w:tcPr>
            <w:tcW w:w="2070" w:type="dxa"/>
            <w:vAlign w:val="center"/>
          </w:tcPr>
          <w:p w:rsidR="00EC7099" w:rsidRDefault="00AC34AC">
            <w:pPr>
              <w:jc w:val="center"/>
              <w:rPr>
                <w:sz w:val="20"/>
                <w:szCs w:val="20"/>
              </w:rPr>
            </w:pPr>
            <w:r>
              <w:rPr>
                <w:sz w:val="20"/>
                <w:szCs w:val="20"/>
              </w:rPr>
              <w:t>Sussex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92</w:t>
            </w:r>
          </w:p>
        </w:tc>
        <w:tc>
          <w:tcPr>
            <w:tcW w:w="2070" w:type="dxa"/>
            <w:vAlign w:val="center"/>
          </w:tcPr>
          <w:p w:rsidR="00EC7099" w:rsidRDefault="00AC34AC">
            <w:pPr>
              <w:jc w:val="center"/>
              <w:rPr>
                <w:sz w:val="20"/>
                <w:szCs w:val="20"/>
              </w:rPr>
            </w:pPr>
            <w:r>
              <w:rPr>
                <w:sz w:val="20"/>
                <w:szCs w:val="20"/>
              </w:rPr>
              <w:t>Tazewell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93</w:t>
            </w:r>
          </w:p>
        </w:tc>
        <w:tc>
          <w:tcPr>
            <w:tcW w:w="2070" w:type="dxa"/>
            <w:vAlign w:val="center"/>
          </w:tcPr>
          <w:p w:rsidR="00EC7099" w:rsidRDefault="00AC34AC">
            <w:pPr>
              <w:jc w:val="center"/>
              <w:rPr>
                <w:sz w:val="20"/>
                <w:szCs w:val="20"/>
              </w:rPr>
            </w:pPr>
            <w:r>
              <w:rPr>
                <w:sz w:val="20"/>
                <w:szCs w:val="20"/>
              </w:rPr>
              <w:t>Warren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94</w:t>
            </w:r>
          </w:p>
        </w:tc>
        <w:tc>
          <w:tcPr>
            <w:tcW w:w="2070" w:type="dxa"/>
            <w:vAlign w:val="center"/>
          </w:tcPr>
          <w:p w:rsidR="00EC7099" w:rsidRDefault="00AC34AC">
            <w:pPr>
              <w:jc w:val="center"/>
              <w:rPr>
                <w:sz w:val="20"/>
                <w:szCs w:val="20"/>
              </w:rPr>
            </w:pPr>
            <w:r>
              <w:rPr>
                <w:sz w:val="20"/>
                <w:szCs w:val="20"/>
              </w:rPr>
              <w:t>Washington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95</w:t>
            </w:r>
          </w:p>
        </w:tc>
        <w:tc>
          <w:tcPr>
            <w:tcW w:w="2070" w:type="dxa"/>
            <w:vAlign w:val="center"/>
          </w:tcPr>
          <w:p w:rsidR="00EC7099" w:rsidRDefault="00AC34AC">
            <w:pPr>
              <w:jc w:val="center"/>
              <w:rPr>
                <w:sz w:val="20"/>
                <w:szCs w:val="20"/>
              </w:rPr>
            </w:pPr>
            <w:r>
              <w:rPr>
                <w:sz w:val="20"/>
                <w:szCs w:val="20"/>
              </w:rPr>
              <w:t>Westmoreland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96</w:t>
            </w:r>
          </w:p>
        </w:tc>
        <w:tc>
          <w:tcPr>
            <w:tcW w:w="2070" w:type="dxa"/>
            <w:vAlign w:val="center"/>
          </w:tcPr>
          <w:p w:rsidR="00EC7099" w:rsidRDefault="00AC34AC">
            <w:pPr>
              <w:jc w:val="center"/>
              <w:rPr>
                <w:sz w:val="20"/>
                <w:szCs w:val="20"/>
              </w:rPr>
            </w:pPr>
            <w:r>
              <w:rPr>
                <w:sz w:val="20"/>
                <w:szCs w:val="20"/>
              </w:rPr>
              <w:t>Wise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97</w:t>
            </w:r>
          </w:p>
        </w:tc>
        <w:tc>
          <w:tcPr>
            <w:tcW w:w="2070" w:type="dxa"/>
            <w:vAlign w:val="center"/>
          </w:tcPr>
          <w:p w:rsidR="00EC7099" w:rsidRDefault="00AC34AC">
            <w:pPr>
              <w:jc w:val="center"/>
              <w:rPr>
                <w:sz w:val="20"/>
                <w:szCs w:val="20"/>
              </w:rPr>
            </w:pPr>
            <w:r>
              <w:rPr>
                <w:sz w:val="20"/>
                <w:szCs w:val="20"/>
              </w:rPr>
              <w:t>Wythe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98</w:t>
            </w:r>
          </w:p>
        </w:tc>
        <w:tc>
          <w:tcPr>
            <w:tcW w:w="2070" w:type="dxa"/>
            <w:vAlign w:val="center"/>
          </w:tcPr>
          <w:p w:rsidR="00EC7099" w:rsidRDefault="00AC34AC">
            <w:pPr>
              <w:jc w:val="center"/>
              <w:rPr>
                <w:sz w:val="20"/>
                <w:szCs w:val="20"/>
              </w:rPr>
            </w:pPr>
            <w:r>
              <w:rPr>
                <w:sz w:val="20"/>
                <w:szCs w:val="20"/>
              </w:rPr>
              <w:t>York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101</w:t>
            </w:r>
          </w:p>
        </w:tc>
        <w:tc>
          <w:tcPr>
            <w:tcW w:w="2070" w:type="dxa"/>
            <w:vAlign w:val="center"/>
          </w:tcPr>
          <w:p w:rsidR="00EC7099" w:rsidRDefault="00AC34AC">
            <w:pPr>
              <w:jc w:val="center"/>
              <w:rPr>
                <w:sz w:val="20"/>
                <w:szCs w:val="20"/>
              </w:rPr>
            </w:pPr>
            <w:r>
              <w:rPr>
                <w:sz w:val="20"/>
                <w:szCs w:val="20"/>
              </w:rPr>
              <w:t>Alexandria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102</w:t>
            </w:r>
          </w:p>
        </w:tc>
        <w:tc>
          <w:tcPr>
            <w:tcW w:w="2070" w:type="dxa"/>
            <w:vAlign w:val="center"/>
          </w:tcPr>
          <w:p w:rsidR="00EC7099" w:rsidRDefault="00AC34AC">
            <w:pPr>
              <w:jc w:val="center"/>
              <w:rPr>
                <w:sz w:val="20"/>
                <w:szCs w:val="20"/>
              </w:rPr>
            </w:pPr>
            <w:r>
              <w:rPr>
                <w:sz w:val="20"/>
                <w:szCs w:val="20"/>
              </w:rPr>
              <w:t>Bristol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103</w:t>
            </w:r>
          </w:p>
        </w:tc>
        <w:tc>
          <w:tcPr>
            <w:tcW w:w="2070" w:type="dxa"/>
            <w:vAlign w:val="center"/>
          </w:tcPr>
          <w:p w:rsidR="00EC7099" w:rsidRDefault="00AC34AC">
            <w:pPr>
              <w:jc w:val="center"/>
              <w:rPr>
                <w:sz w:val="20"/>
                <w:szCs w:val="20"/>
              </w:rPr>
            </w:pPr>
            <w:r>
              <w:rPr>
                <w:sz w:val="20"/>
                <w:szCs w:val="20"/>
              </w:rPr>
              <w:t>Buena Vista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104</w:t>
            </w:r>
          </w:p>
        </w:tc>
        <w:tc>
          <w:tcPr>
            <w:tcW w:w="2070" w:type="dxa"/>
            <w:vAlign w:val="center"/>
          </w:tcPr>
          <w:p w:rsidR="00EC7099" w:rsidRDefault="00AC34AC">
            <w:pPr>
              <w:jc w:val="center"/>
              <w:rPr>
                <w:sz w:val="20"/>
                <w:szCs w:val="20"/>
              </w:rPr>
            </w:pPr>
            <w:r>
              <w:rPr>
                <w:sz w:val="20"/>
                <w:szCs w:val="20"/>
              </w:rPr>
              <w:t>Charlottesville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106</w:t>
            </w:r>
          </w:p>
        </w:tc>
        <w:tc>
          <w:tcPr>
            <w:tcW w:w="2070" w:type="dxa"/>
            <w:vAlign w:val="center"/>
          </w:tcPr>
          <w:p w:rsidR="00EC7099" w:rsidRDefault="00AC34AC">
            <w:pPr>
              <w:jc w:val="center"/>
              <w:rPr>
                <w:sz w:val="20"/>
                <w:szCs w:val="20"/>
              </w:rPr>
            </w:pPr>
            <w:r>
              <w:rPr>
                <w:sz w:val="20"/>
                <w:szCs w:val="20"/>
              </w:rPr>
              <w:t>Colonial Heights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107</w:t>
            </w:r>
          </w:p>
        </w:tc>
        <w:tc>
          <w:tcPr>
            <w:tcW w:w="2070" w:type="dxa"/>
            <w:vAlign w:val="center"/>
          </w:tcPr>
          <w:p w:rsidR="00EC7099" w:rsidRDefault="00AC34AC">
            <w:pPr>
              <w:jc w:val="center"/>
              <w:rPr>
                <w:sz w:val="20"/>
                <w:szCs w:val="20"/>
              </w:rPr>
            </w:pPr>
            <w:r>
              <w:rPr>
                <w:sz w:val="20"/>
                <w:szCs w:val="20"/>
              </w:rPr>
              <w:t>Covington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108</w:t>
            </w:r>
          </w:p>
        </w:tc>
        <w:tc>
          <w:tcPr>
            <w:tcW w:w="2070" w:type="dxa"/>
            <w:vAlign w:val="center"/>
          </w:tcPr>
          <w:p w:rsidR="00EC7099" w:rsidRDefault="00AC34AC">
            <w:pPr>
              <w:jc w:val="center"/>
              <w:rPr>
                <w:sz w:val="20"/>
                <w:szCs w:val="20"/>
              </w:rPr>
            </w:pPr>
            <w:r>
              <w:rPr>
                <w:sz w:val="20"/>
                <w:szCs w:val="20"/>
              </w:rPr>
              <w:t>Danville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109</w:t>
            </w:r>
          </w:p>
        </w:tc>
        <w:tc>
          <w:tcPr>
            <w:tcW w:w="2070" w:type="dxa"/>
            <w:vAlign w:val="center"/>
          </w:tcPr>
          <w:p w:rsidR="00EC7099" w:rsidRDefault="00AC34AC">
            <w:pPr>
              <w:jc w:val="center"/>
              <w:rPr>
                <w:sz w:val="20"/>
                <w:szCs w:val="20"/>
              </w:rPr>
            </w:pPr>
            <w:r>
              <w:rPr>
                <w:sz w:val="20"/>
                <w:szCs w:val="20"/>
              </w:rPr>
              <w:t>Falls Church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110</w:t>
            </w:r>
          </w:p>
        </w:tc>
        <w:tc>
          <w:tcPr>
            <w:tcW w:w="2070" w:type="dxa"/>
            <w:vAlign w:val="center"/>
          </w:tcPr>
          <w:p w:rsidR="00EC7099" w:rsidRDefault="00AC34AC">
            <w:pPr>
              <w:jc w:val="center"/>
              <w:rPr>
                <w:sz w:val="20"/>
                <w:szCs w:val="20"/>
              </w:rPr>
            </w:pPr>
            <w:r>
              <w:rPr>
                <w:sz w:val="20"/>
                <w:szCs w:val="20"/>
              </w:rPr>
              <w:t>Fredericksburg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719"/>
          <w:jc w:val="center"/>
        </w:trPr>
        <w:tc>
          <w:tcPr>
            <w:tcW w:w="990" w:type="dxa"/>
            <w:vAlign w:val="center"/>
          </w:tcPr>
          <w:p w:rsidR="00EC7099" w:rsidRDefault="00AC34AC">
            <w:pPr>
              <w:jc w:val="center"/>
              <w:rPr>
                <w:sz w:val="20"/>
                <w:szCs w:val="20"/>
              </w:rPr>
            </w:pPr>
            <w:r>
              <w:rPr>
                <w:sz w:val="20"/>
                <w:szCs w:val="20"/>
              </w:rPr>
              <w:t>111</w:t>
            </w:r>
          </w:p>
        </w:tc>
        <w:tc>
          <w:tcPr>
            <w:tcW w:w="2070" w:type="dxa"/>
            <w:vAlign w:val="center"/>
          </w:tcPr>
          <w:p w:rsidR="00EC7099" w:rsidRDefault="00AC34AC">
            <w:pPr>
              <w:jc w:val="center"/>
              <w:rPr>
                <w:sz w:val="20"/>
                <w:szCs w:val="20"/>
              </w:rPr>
            </w:pPr>
            <w:r>
              <w:rPr>
                <w:sz w:val="20"/>
                <w:szCs w:val="20"/>
              </w:rPr>
              <w:t>Galax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112</w:t>
            </w:r>
          </w:p>
        </w:tc>
        <w:tc>
          <w:tcPr>
            <w:tcW w:w="2070" w:type="dxa"/>
            <w:vAlign w:val="center"/>
          </w:tcPr>
          <w:p w:rsidR="00EC7099" w:rsidRDefault="00AC34AC">
            <w:pPr>
              <w:jc w:val="center"/>
              <w:rPr>
                <w:sz w:val="20"/>
                <w:szCs w:val="20"/>
              </w:rPr>
            </w:pPr>
            <w:r>
              <w:rPr>
                <w:sz w:val="20"/>
                <w:szCs w:val="20"/>
              </w:rPr>
              <w:t>Hampton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113</w:t>
            </w:r>
          </w:p>
        </w:tc>
        <w:tc>
          <w:tcPr>
            <w:tcW w:w="2070" w:type="dxa"/>
            <w:vAlign w:val="center"/>
          </w:tcPr>
          <w:p w:rsidR="00EC7099" w:rsidRDefault="00AC34AC">
            <w:pPr>
              <w:jc w:val="center"/>
              <w:rPr>
                <w:sz w:val="20"/>
                <w:szCs w:val="20"/>
              </w:rPr>
            </w:pPr>
            <w:r>
              <w:rPr>
                <w:sz w:val="20"/>
                <w:szCs w:val="20"/>
              </w:rPr>
              <w:t>Harrisonburg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114</w:t>
            </w:r>
          </w:p>
        </w:tc>
        <w:tc>
          <w:tcPr>
            <w:tcW w:w="2070" w:type="dxa"/>
            <w:vAlign w:val="center"/>
          </w:tcPr>
          <w:p w:rsidR="00EC7099" w:rsidRDefault="00AC34AC">
            <w:pPr>
              <w:jc w:val="center"/>
              <w:rPr>
                <w:sz w:val="20"/>
                <w:szCs w:val="20"/>
              </w:rPr>
            </w:pPr>
            <w:r>
              <w:rPr>
                <w:sz w:val="20"/>
                <w:szCs w:val="20"/>
              </w:rPr>
              <w:t>Hopewell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115</w:t>
            </w:r>
          </w:p>
        </w:tc>
        <w:tc>
          <w:tcPr>
            <w:tcW w:w="2070" w:type="dxa"/>
            <w:vAlign w:val="center"/>
          </w:tcPr>
          <w:p w:rsidR="00EC7099" w:rsidRDefault="00AC34AC">
            <w:pPr>
              <w:jc w:val="center"/>
              <w:rPr>
                <w:sz w:val="20"/>
                <w:szCs w:val="20"/>
              </w:rPr>
            </w:pPr>
            <w:r>
              <w:rPr>
                <w:sz w:val="20"/>
                <w:szCs w:val="20"/>
              </w:rPr>
              <w:t>Lynchburg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116</w:t>
            </w:r>
          </w:p>
        </w:tc>
        <w:tc>
          <w:tcPr>
            <w:tcW w:w="2070" w:type="dxa"/>
            <w:vAlign w:val="center"/>
          </w:tcPr>
          <w:p w:rsidR="00EC7099" w:rsidRDefault="00AC34AC">
            <w:pPr>
              <w:jc w:val="center"/>
              <w:rPr>
                <w:sz w:val="20"/>
                <w:szCs w:val="20"/>
              </w:rPr>
            </w:pPr>
            <w:r>
              <w:rPr>
                <w:sz w:val="20"/>
                <w:szCs w:val="20"/>
              </w:rPr>
              <w:t>Martinsville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117</w:t>
            </w:r>
          </w:p>
        </w:tc>
        <w:tc>
          <w:tcPr>
            <w:tcW w:w="2070" w:type="dxa"/>
            <w:vAlign w:val="center"/>
          </w:tcPr>
          <w:p w:rsidR="00EC7099" w:rsidRDefault="00AC34AC">
            <w:pPr>
              <w:jc w:val="center"/>
              <w:rPr>
                <w:sz w:val="20"/>
                <w:szCs w:val="20"/>
              </w:rPr>
            </w:pPr>
            <w:r>
              <w:rPr>
                <w:sz w:val="20"/>
                <w:szCs w:val="20"/>
              </w:rPr>
              <w:t>Newport News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118</w:t>
            </w:r>
          </w:p>
        </w:tc>
        <w:tc>
          <w:tcPr>
            <w:tcW w:w="2070" w:type="dxa"/>
            <w:vAlign w:val="center"/>
          </w:tcPr>
          <w:p w:rsidR="00EC7099" w:rsidRDefault="00AC34AC">
            <w:pPr>
              <w:jc w:val="center"/>
              <w:rPr>
                <w:sz w:val="20"/>
                <w:szCs w:val="20"/>
              </w:rPr>
            </w:pPr>
            <w:r>
              <w:rPr>
                <w:sz w:val="20"/>
                <w:szCs w:val="20"/>
              </w:rPr>
              <w:t>Norfolk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119</w:t>
            </w:r>
          </w:p>
        </w:tc>
        <w:tc>
          <w:tcPr>
            <w:tcW w:w="2070" w:type="dxa"/>
            <w:vAlign w:val="center"/>
          </w:tcPr>
          <w:p w:rsidR="00EC7099" w:rsidRDefault="00AC34AC">
            <w:pPr>
              <w:jc w:val="center"/>
              <w:rPr>
                <w:sz w:val="20"/>
                <w:szCs w:val="20"/>
              </w:rPr>
            </w:pPr>
            <w:r>
              <w:rPr>
                <w:sz w:val="20"/>
                <w:szCs w:val="20"/>
              </w:rPr>
              <w:t>Norton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120</w:t>
            </w:r>
          </w:p>
        </w:tc>
        <w:tc>
          <w:tcPr>
            <w:tcW w:w="2070" w:type="dxa"/>
            <w:vAlign w:val="center"/>
          </w:tcPr>
          <w:p w:rsidR="00EC7099" w:rsidRDefault="00AC34AC">
            <w:pPr>
              <w:jc w:val="center"/>
              <w:rPr>
                <w:sz w:val="20"/>
                <w:szCs w:val="20"/>
              </w:rPr>
            </w:pPr>
            <w:r>
              <w:rPr>
                <w:sz w:val="20"/>
                <w:szCs w:val="20"/>
              </w:rPr>
              <w:t>Petersburg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121</w:t>
            </w:r>
          </w:p>
        </w:tc>
        <w:tc>
          <w:tcPr>
            <w:tcW w:w="2070" w:type="dxa"/>
            <w:vAlign w:val="center"/>
          </w:tcPr>
          <w:p w:rsidR="00EC7099" w:rsidRDefault="00AC34AC">
            <w:pPr>
              <w:jc w:val="center"/>
              <w:rPr>
                <w:sz w:val="20"/>
                <w:szCs w:val="20"/>
              </w:rPr>
            </w:pPr>
            <w:r>
              <w:rPr>
                <w:sz w:val="20"/>
                <w:szCs w:val="20"/>
              </w:rPr>
              <w:t>Portsmouth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122</w:t>
            </w:r>
          </w:p>
        </w:tc>
        <w:tc>
          <w:tcPr>
            <w:tcW w:w="2070" w:type="dxa"/>
            <w:vAlign w:val="center"/>
          </w:tcPr>
          <w:p w:rsidR="00EC7099" w:rsidRDefault="00AC34AC">
            <w:pPr>
              <w:jc w:val="center"/>
              <w:rPr>
                <w:sz w:val="20"/>
                <w:szCs w:val="20"/>
              </w:rPr>
            </w:pPr>
            <w:r>
              <w:rPr>
                <w:sz w:val="20"/>
                <w:szCs w:val="20"/>
              </w:rPr>
              <w:t>Radford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123</w:t>
            </w:r>
          </w:p>
        </w:tc>
        <w:tc>
          <w:tcPr>
            <w:tcW w:w="2070" w:type="dxa"/>
            <w:vAlign w:val="center"/>
          </w:tcPr>
          <w:p w:rsidR="00EC7099" w:rsidRDefault="00AC34AC">
            <w:pPr>
              <w:jc w:val="center"/>
              <w:rPr>
                <w:sz w:val="20"/>
                <w:szCs w:val="20"/>
              </w:rPr>
            </w:pPr>
            <w:r>
              <w:rPr>
                <w:sz w:val="20"/>
                <w:szCs w:val="20"/>
              </w:rPr>
              <w:t>Richmond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124</w:t>
            </w:r>
          </w:p>
        </w:tc>
        <w:tc>
          <w:tcPr>
            <w:tcW w:w="2070" w:type="dxa"/>
            <w:vAlign w:val="center"/>
          </w:tcPr>
          <w:p w:rsidR="00EC7099" w:rsidRDefault="00AC34AC">
            <w:pPr>
              <w:jc w:val="center"/>
              <w:rPr>
                <w:sz w:val="20"/>
                <w:szCs w:val="20"/>
              </w:rPr>
            </w:pPr>
            <w:r>
              <w:rPr>
                <w:sz w:val="20"/>
                <w:szCs w:val="20"/>
              </w:rPr>
              <w:t>Roanoke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126</w:t>
            </w:r>
          </w:p>
        </w:tc>
        <w:tc>
          <w:tcPr>
            <w:tcW w:w="2070" w:type="dxa"/>
            <w:vAlign w:val="center"/>
          </w:tcPr>
          <w:p w:rsidR="00EC7099" w:rsidRDefault="00AC34AC">
            <w:pPr>
              <w:jc w:val="center"/>
              <w:rPr>
                <w:sz w:val="20"/>
                <w:szCs w:val="20"/>
              </w:rPr>
            </w:pPr>
            <w:r>
              <w:rPr>
                <w:sz w:val="20"/>
                <w:szCs w:val="20"/>
              </w:rPr>
              <w:t>Staunton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127</w:t>
            </w:r>
          </w:p>
        </w:tc>
        <w:tc>
          <w:tcPr>
            <w:tcW w:w="2070" w:type="dxa"/>
            <w:vAlign w:val="center"/>
          </w:tcPr>
          <w:p w:rsidR="00EC7099" w:rsidRDefault="00AC34AC">
            <w:pPr>
              <w:jc w:val="center"/>
              <w:rPr>
                <w:sz w:val="20"/>
                <w:szCs w:val="20"/>
              </w:rPr>
            </w:pPr>
            <w:r>
              <w:rPr>
                <w:sz w:val="20"/>
                <w:szCs w:val="20"/>
              </w:rPr>
              <w:t>Suffolk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128</w:t>
            </w:r>
          </w:p>
        </w:tc>
        <w:tc>
          <w:tcPr>
            <w:tcW w:w="2070" w:type="dxa"/>
            <w:vAlign w:val="center"/>
          </w:tcPr>
          <w:p w:rsidR="00EC7099" w:rsidRDefault="00AC34AC">
            <w:pPr>
              <w:jc w:val="center"/>
              <w:rPr>
                <w:sz w:val="20"/>
                <w:szCs w:val="20"/>
              </w:rPr>
            </w:pPr>
            <w:r>
              <w:rPr>
                <w:sz w:val="20"/>
                <w:szCs w:val="20"/>
              </w:rPr>
              <w:t>Virginia Beach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130</w:t>
            </w:r>
          </w:p>
        </w:tc>
        <w:tc>
          <w:tcPr>
            <w:tcW w:w="2070" w:type="dxa"/>
            <w:vAlign w:val="center"/>
          </w:tcPr>
          <w:p w:rsidR="00EC7099" w:rsidRDefault="00AC34AC">
            <w:pPr>
              <w:jc w:val="center"/>
              <w:rPr>
                <w:sz w:val="20"/>
                <w:szCs w:val="20"/>
              </w:rPr>
            </w:pPr>
            <w:r>
              <w:rPr>
                <w:sz w:val="20"/>
                <w:szCs w:val="20"/>
              </w:rPr>
              <w:t>Waynesboro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131</w:t>
            </w:r>
          </w:p>
        </w:tc>
        <w:tc>
          <w:tcPr>
            <w:tcW w:w="2070" w:type="dxa"/>
            <w:vAlign w:val="center"/>
          </w:tcPr>
          <w:p w:rsidR="00EC7099" w:rsidRDefault="00AC34AC">
            <w:pPr>
              <w:jc w:val="center"/>
              <w:rPr>
                <w:sz w:val="20"/>
                <w:szCs w:val="20"/>
              </w:rPr>
            </w:pPr>
            <w:r>
              <w:rPr>
                <w:sz w:val="20"/>
                <w:szCs w:val="20"/>
              </w:rPr>
              <w:t>Williamsburg-James City County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132</w:t>
            </w:r>
          </w:p>
        </w:tc>
        <w:tc>
          <w:tcPr>
            <w:tcW w:w="2070" w:type="dxa"/>
            <w:vAlign w:val="center"/>
          </w:tcPr>
          <w:p w:rsidR="00EC7099" w:rsidRDefault="00AC34AC">
            <w:pPr>
              <w:jc w:val="center"/>
              <w:rPr>
                <w:sz w:val="20"/>
                <w:szCs w:val="20"/>
              </w:rPr>
            </w:pPr>
            <w:r>
              <w:rPr>
                <w:sz w:val="20"/>
                <w:szCs w:val="20"/>
              </w:rPr>
              <w:t>Winchester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135</w:t>
            </w:r>
          </w:p>
        </w:tc>
        <w:tc>
          <w:tcPr>
            <w:tcW w:w="2070" w:type="dxa"/>
            <w:vAlign w:val="center"/>
          </w:tcPr>
          <w:p w:rsidR="00EC7099" w:rsidRDefault="00AC34AC">
            <w:pPr>
              <w:jc w:val="center"/>
              <w:rPr>
                <w:sz w:val="20"/>
                <w:szCs w:val="20"/>
              </w:rPr>
            </w:pPr>
            <w:r>
              <w:rPr>
                <w:sz w:val="20"/>
                <w:szCs w:val="20"/>
              </w:rPr>
              <w:t>Franklin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136</w:t>
            </w:r>
          </w:p>
        </w:tc>
        <w:tc>
          <w:tcPr>
            <w:tcW w:w="2070" w:type="dxa"/>
            <w:vAlign w:val="center"/>
          </w:tcPr>
          <w:p w:rsidR="00EC7099" w:rsidRDefault="00AC34AC">
            <w:pPr>
              <w:jc w:val="center"/>
              <w:rPr>
                <w:sz w:val="20"/>
                <w:szCs w:val="20"/>
              </w:rPr>
            </w:pPr>
            <w:r>
              <w:rPr>
                <w:sz w:val="20"/>
                <w:szCs w:val="20"/>
              </w:rPr>
              <w:t>Chesapeake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139</w:t>
            </w:r>
          </w:p>
        </w:tc>
        <w:tc>
          <w:tcPr>
            <w:tcW w:w="2070" w:type="dxa"/>
            <w:vAlign w:val="center"/>
          </w:tcPr>
          <w:p w:rsidR="00EC7099" w:rsidRDefault="00AC34AC">
            <w:pPr>
              <w:jc w:val="center"/>
              <w:rPr>
                <w:sz w:val="20"/>
                <w:szCs w:val="20"/>
              </w:rPr>
            </w:pPr>
            <w:r>
              <w:rPr>
                <w:sz w:val="20"/>
                <w:szCs w:val="20"/>
              </w:rPr>
              <w:t>Salem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142</w:t>
            </w:r>
          </w:p>
        </w:tc>
        <w:tc>
          <w:tcPr>
            <w:tcW w:w="2070" w:type="dxa"/>
            <w:vAlign w:val="center"/>
          </w:tcPr>
          <w:p w:rsidR="00EC7099" w:rsidRDefault="00AC34AC">
            <w:pPr>
              <w:jc w:val="center"/>
              <w:rPr>
                <w:sz w:val="20"/>
                <w:szCs w:val="20"/>
              </w:rPr>
            </w:pPr>
            <w:r>
              <w:rPr>
                <w:sz w:val="20"/>
                <w:szCs w:val="20"/>
              </w:rPr>
              <w:t>Poquoson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143</w:t>
            </w:r>
          </w:p>
        </w:tc>
        <w:tc>
          <w:tcPr>
            <w:tcW w:w="2070" w:type="dxa"/>
            <w:vAlign w:val="center"/>
          </w:tcPr>
          <w:p w:rsidR="00EC7099" w:rsidRDefault="00AC34AC">
            <w:pPr>
              <w:jc w:val="center"/>
              <w:rPr>
                <w:sz w:val="20"/>
                <w:szCs w:val="20"/>
              </w:rPr>
            </w:pPr>
            <w:r>
              <w:rPr>
                <w:sz w:val="20"/>
                <w:szCs w:val="20"/>
              </w:rPr>
              <w:t>Manassas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144</w:t>
            </w:r>
          </w:p>
        </w:tc>
        <w:tc>
          <w:tcPr>
            <w:tcW w:w="2070" w:type="dxa"/>
            <w:vAlign w:val="center"/>
          </w:tcPr>
          <w:p w:rsidR="00EC7099" w:rsidRDefault="00AC34AC">
            <w:pPr>
              <w:jc w:val="center"/>
              <w:rPr>
                <w:sz w:val="20"/>
                <w:szCs w:val="20"/>
              </w:rPr>
            </w:pPr>
            <w:r>
              <w:rPr>
                <w:sz w:val="20"/>
                <w:szCs w:val="20"/>
              </w:rPr>
              <w:t>Manassas Park City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202</w:t>
            </w:r>
          </w:p>
        </w:tc>
        <w:tc>
          <w:tcPr>
            <w:tcW w:w="2070" w:type="dxa"/>
            <w:vAlign w:val="center"/>
          </w:tcPr>
          <w:p w:rsidR="00EC7099" w:rsidRDefault="00AC34AC">
            <w:pPr>
              <w:jc w:val="center"/>
              <w:rPr>
                <w:sz w:val="20"/>
                <w:szCs w:val="20"/>
              </w:rPr>
            </w:pPr>
            <w:r>
              <w:rPr>
                <w:sz w:val="20"/>
                <w:szCs w:val="20"/>
              </w:rPr>
              <w:t>Colonial Beach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207</w:t>
            </w:r>
          </w:p>
        </w:tc>
        <w:tc>
          <w:tcPr>
            <w:tcW w:w="2070" w:type="dxa"/>
            <w:vAlign w:val="center"/>
          </w:tcPr>
          <w:p w:rsidR="00EC7099" w:rsidRDefault="00AC34AC">
            <w:pPr>
              <w:jc w:val="center"/>
              <w:rPr>
                <w:sz w:val="20"/>
                <w:szCs w:val="20"/>
              </w:rPr>
            </w:pPr>
            <w:r>
              <w:rPr>
                <w:sz w:val="20"/>
                <w:szCs w:val="20"/>
              </w:rPr>
              <w:t>West Point Public Schools</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917</w:t>
            </w:r>
          </w:p>
        </w:tc>
        <w:tc>
          <w:tcPr>
            <w:tcW w:w="2070" w:type="dxa"/>
            <w:vAlign w:val="center"/>
          </w:tcPr>
          <w:p w:rsidR="00EC7099" w:rsidRDefault="00AC34AC">
            <w:pPr>
              <w:jc w:val="center"/>
              <w:rPr>
                <w:sz w:val="20"/>
                <w:szCs w:val="20"/>
              </w:rPr>
            </w:pPr>
            <w:r>
              <w:rPr>
                <w:sz w:val="20"/>
                <w:szCs w:val="20"/>
              </w:rPr>
              <w:t>Department of Juvenile Justice</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NOT 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301</w:t>
            </w:r>
          </w:p>
        </w:tc>
        <w:tc>
          <w:tcPr>
            <w:tcW w:w="2070" w:type="dxa"/>
            <w:vAlign w:val="center"/>
          </w:tcPr>
          <w:p w:rsidR="00EC7099" w:rsidRDefault="00AC34AC">
            <w:pPr>
              <w:jc w:val="center"/>
              <w:rPr>
                <w:sz w:val="20"/>
                <w:szCs w:val="20"/>
              </w:rPr>
            </w:pPr>
            <w:r>
              <w:rPr>
                <w:sz w:val="20"/>
                <w:szCs w:val="20"/>
              </w:rPr>
              <w:t>Charlottesville-Albemarle Vocational-Technical Center</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N/A</w:t>
            </w:r>
          </w:p>
        </w:tc>
        <w:tc>
          <w:tcPr>
            <w:tcW w:w="63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NOT MET</w:t>
            </w:r>
          </w:p>
        </w:tc>
        <w:tc>
          <w:tcPr>
            <w:tcW w:w="810" w:type="dxa"/>
            <w:vAlign w:val="center"/>
          </w:tcPr>
          <w:p w:rsidR="00EC7099" w:rsidRDefault="00AC34AC">
            <w:pPr>
              <w:jc w:val="center"/>
              <w:rPr>
                <w:sz w:val="20"/>
                <w:szCs w:val="20"/>
              </w:rPr>
            </w:pPr>
            <w:r>
              <w:rPr>
                <w:sz w:val="20"/>
                <w:szCs w:val="20"/>
              </w:rPr>
              <w:t>NOT 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302</w:t>
            </w:r>
          </w:p>
        </w:tc>
        <w:tc>
          <w:tcPr>
            <w:tcW w:w="2070" w:type="dxa"/>
            <w:vAlign w:val="center"/>
          </w:tcPr>
          <w:p w:rsidR="00EC7099" w:rsidRDefault="00AC34AC">
            <w:pPr>
              <w:jc w:val="center"/>
              <w:rPr>
                <w:sz w:val="20"/>
                <w:szCs w:val="20"/>
              </w:rPr>
            </w:pPr>
            <w:r>
              <w:rPr>
                <w:sz w:val="20"/>
                <w:szCs w:val="20"/>
              </w:rPr>
              <w:t>Jackson River Technical Center</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N/A</w:t>
            </w:r>
          </w:p>
        </w:tc>
        <w:tc>
          <w:tcPr>
            <w:tcW w:w="63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304</w:t>
            </w:r>
          </w:p>
        </w:tc>
        <w:tc>
          <w:tcPr>
            <w:tcW w:w="2070" w:type="dxa"/>
            <w:vAlign w:val="center"/>
          </w:tcPr>
          <w:p w:rsidR="00EC7099" w:rsidRDefault="00AC34AC">
            <w:pPr>
              <w:jc w:val="center"/>
              <w:rPr>
                <w:sz w:val="20"/>
                <w:szCs w:val="20"/>
              </w:rPr>
            </w:pPr>
            <w:proofErr w:type="spellStart"/>
            <w:r>
              <w:rPr>
                <w:sz w:val="20"/>
                <w:szCs w:val="20"/>
              </w:rPr>
              <w:t>Massanutten</w:t>
            </w:r>
            <w:proofErr w:type="spellEnd"/>
            <w:r>
              <w:rPr>
                <w:sz w:val="20"/>
                <w:szCs w:val="20"/>
              </w:rPr>
              <w:t xml:space="preserve">  Technical Center</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N/A</w:t>
            </w:r>
          </w:p>
        </w:tc>
        <w:tc>
          <w:tcPr>
            <w:tcW w:w="63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306</w:t>
            </w:r>
          </w:p>
        </w:tc>
        <w:tc>
          <w:tcPr>
            <w:tcW w:w="2070" w:type="dxa"/>
            <w:vAlign w:val="center"/>
          </w:tcPr>
          <w:p w:rsidR="00EC7099" w:rsidRDefault="00AC34AC">
            <w:pPr>
              <w:jc w:val="center"/>
              <w:rPr>
                <w:sz w:val="20"/>
                <w:szCs w:val="20"/>
              </w:rPr>
            </w:pPr>
            <w:r>
              <w:rPr>
                <w:sz w:val="20"/>
                <w:szCs w:val="20"/>
              </w:rPr>
              <w:t>Valley Career and Technical Center</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N/A</w:t>
            </w:r>
          </w:p>
        </w:tc>
        <w:tc>
          <w:tcPr>
            <w:tcW w:w="63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307</w:t>
            </w:r>
          </w:p>
        </w:tc>
        <w:tc>
          <w:tcPr>
            <w:tcW w:w="2070" w:type="dxa"/>
            <w:vAlign w:val="center"/>
          </w:tcPr>
          <w:p w:rsidR="00EC7099" w:rsidRDefault="00AC34AC">
            <w:pPr>
              <w:jc w:val="center"/>
              <w:rPr>
                <w:sz w:val="20"/>
                <w:szCs w:val="20"/>
              </w:rPr>
            </w:pPr>
            <w:r>
              <w:rPr>
                <w:sz w:val="20"/>
                <w:szCs w:val="20"/>
              </w:rPr>
              <w:t>New Horizons Career and Technical Center</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N/A</w:t>
            </w:r>
          </w:p>
        </w:tc>
        <w:tc>
          <w:tcPr>
            <w:tcW w:w="63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NOT MET</w:t>
            </w:r>
          </w:p>
        </w:tc>
      </w:tr>
      <w:tr w:rsidR="00EC7099">
        <w:trPr>
          <w:trHeight w:val="288"/>
          <w:jc w:val="center"/>
        </w:trPr>
        <w:tc>
          <w:tcPr>
            <w:tcW w:w="990" w:type="dxa"/>
            <w:vAlign w:val="center"/>
          </w:tcPr>
          <w:p w:rsidR="00EC7099" w:rsidRDefault="00AC34AC">
            <w:pPr>
              <w:jc w:val="center"/>
              <w:rPr>
                <w:sz w:val="20"/>
                <w:szCs w:val="20"/>
              </w:rPr>
            </w:pPr>
            <w:r>
              <w:rPr>
                <w:sz w:val="20"/>
                <w:szCs w:val="20"/>
              </w:rPr>
              <w:t>309</w:t>
            </w:r>
          </w:p>
        </w:tc>
        <w:tc>
          <w:tcPr>
            <w:tcW w:w="2070" w:type="dxa"/>
            <w:vAlign w:val="center"/>
          </w:tcPr>
          <w:p w:rsidR="00EC7099" w:rsidRDefault="00AC34AC">
            <w:pPr>
              <w:jc w:val="center"/>
              <w:rPr>
                <w:sz w:val="20"/>
                <w:szCs w:val="20"/>
              </w:rPr>
            </w:pPr>
            <w:proofErr w:type="spellStart"/>
            <w:r>
              <w:rPr>
                <w:sz w:val="20"/>
                <w:szCs w:val="20"/>
              </w:rPr>
              <w:t>Rowanty</w:t>
            </w:r>
            <w:proofErr w:type="spellEnd"/>
            <w:r>
              <w:rPr>
                <w:sz w:val="20"/>
                <w:szCs w:val="20"/>
              </w:rPr>
              <w:t xml:space="preserve"> Vocational-Technical Center</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N/A</w:t>
            </w:r>
          </w:p>
        </w:tc>
        <w:tc>
          <w:tcPr>
            <w:tcW w:w="63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NOT 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310</w:t>
            </w:r>
          </w:p>
        </w:tc>
        <w:tc>
          <w:tcPr>
            <w:tcW w:w="2070" w:type="dxa"/>
            <w:vAlign w:val="center"/>
          </w:tcPr>
          <w:p w:rsidR="00EC7099" w:rsidRDefault="00AC34AC">
            <w:pPr>
              <w:jc w:val="center"/>
              <w:rPr>
                <w:sz w:val="20"/>
                <w:szCs w:val="20"/>
              </w:rPr>
            </w:pPr>
            <w:r>
              <w:rPr>
                <w:sz w:val="20"/>
                <w:szCs w:val="20"/>
              </w:rPr>
              <w:t>Northern Neck Technical Center</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N/A</w:t>
            </w:r>
          </w:p>
        </w:tc>
        <w:tc>
          <w:tcPr>
            <w:tcW w:w="63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NOT 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NOT MET</w:t>
            </w:r>
          </w:p>
        </w:tc>
        <w:tc>
          <w:tcPr>
            <w:tcW w:w="727" w:type="dxa"/>
            <w:vAlign w:val="center"/>
          </w:tcPr>
          <w:p w:rsidR="00EC7099" w:rsidRDefault="00AC34AC">
            <w:pPr>
              <w:jc w:val="center"/>
              <w:rPr>
                <w:sz w:val="20"/>
                <w:szCs w:val="20"/>
              </w:rPr>
            </w:pPr>
            <w:r>
              <w:rPr>
                <w:sz w:val="20"/>
                <w:szCs w:val="20"/>
              </w:rPr>
              <w:t>MET</w:t>
            </w:r>
          </w:p>
        </w:tc>
      </w:tr>
      <w:tr w:rsidR="00EC7099">
        <w:trPr>
          <w:trHeight w:val="288"/>
          <w:jc w:val="center"/>
        </w:trPr>
        <w:tc>
          <w:tcPr>
            <w:tcW w:w="990" w:type="dxa"/>
            <w:vAlign w:val="center"/>
          </w:tcPr>
          <w:p w:rsidR="00EC7099" w:rsidRDefault="00AC34AC">
            <w:pPr>
              <w:jc w:val="center"/>
              <w:rPr>
                <w:sz w:val="20"/>
                <w:szCs w:val="20"/>
              </w:rPr>
            </w:pPr>
            <w:r>
              <w:rPr>
                <w:sz w:val="20"/>
                <w:szCs w:val="20"/>
              </w:rPr>
              <w:t>311</w:t>
            </w:r>
          </w:p>
        </w:tc>
        <w:tc>
          <w:tcPr>
            <w:tcW w:w="2070" w:type="dxa"/>
            <w:vAlign w:val="center"/>
          </w:tcPr>
          <w:p w:rsidR="00EC7099" w:rsidRDefault="00AC34AC">
            <w:pPr>
              <w:jc w:val="center"/>
              <w:rPr>
                <w:sz w:val="20"/>
                <w:szCs w:val="20"/>
              </w:rPr>
            </w:pPr>
            <w:r>
              <w:rPr>
                <w:sz w:val="20"/>
                <w:szCs w:val="20"/>
              </w:rPr>
              <w:t>Amelia-Nottoway Vocational-Technical Center</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N/A</w:t>
            </w:r>
          </w:p>
        </w:tc>
        <w:tc>
          <w:tcPr>
            <w:tcW w:w="63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r w:rsidR="00EC7099">
        <w:trPr>
          <w:trHeight w:val="845"/>
          <w:jc w:val="center"/>
        </w:trPr>
        <w:tc>
          <w:tcPr>
            <w:tcW w:w="990" w:type="dxa"/>
            <w:vAlign w:val="center"/>
          </w:tcPr>
          <w:p w:rsidR="00EC7099" w:rsidRDefault="00AC34AC">
            <w:pPr>
              <w:jc w:val="center"/>
              <w:rPr>
                <w:sz w:val="20"/>
                <w:szCs w:val="20"/>
              </w:rPr>
            </w:pPr>
            <w:r>
              <w:rPr>
                <w:sz w:val="20"/>
                <w:szCs w:val="20"/>
              </w:rPr>
              <w:t>313</w:t>
            </w:r>
          </w:p>
        </w:tc>
        <w:tc>
          <w:tcPr>
            <w:tcW w:w="2070" w:type="dxa"/>
            <w:vAlign w:val="center"/>
          </w:tcPr>
          <w:p w:rsidR="00EC7099" w:rsidRDefault="00AC34AC">
            <w:pPr>
              <w:jc w:val="center"/>
              <w:rPr>
                <w:sz w:val="20"/>
                <w:szCs w:val="20"/>
              </w:rPr>
            </w:pPr>
            <w:r>
              <w:rPr>
                <w:sz w:val="20"/>
                <w:szCs w:val="20"/>
              </w:rPr>
              <w:t>Bridging Communities Regional Career &amp; Technical Center</w:t>
            </w:r>
          </w:p>
        </w:tc>
        <w:tc>
          <w:tcPr>
            <w:tcW w:w="63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N/A</w:t>
            </w:r>
          </w:p>
        </w:tc>
        <w:tc>
          <w:tcPr>
            <w:tcW w:w="630" w:type="dxa"/>
            <w:vAlign w:val="center"/>
          </w:tcPr>
          <w:p w:rsidR="00EC7099" w:rsidRDefault="00AC34AC">
            <w:pPr>
              <w:jc w:val="center"/>
              <w:rPr>
                <w:sz w:val="20"/>
                <w:szCs w:val="20"/>
              </w:rPr>
            </w:pPr>
            <w:r>
              <w:rPr>
                <w:sz w:val="20"/>
                <w:szCs w:val="20"/>
              </w:rPr>
              <w:t>N/A</w:t>
            </w:r>
          </w:p>
        </w:tc>
        <w:tc>
          <w:tcPr>
            <w:tcW w:w="720" w:type="dxa"/>
            <w:vAlign w:val="center"/>
          </w:tcPr>
          <w:p w:rsidR="00EC7099" w:rsidRDefault="00AC34AC">
            <w:pPr>
              <w:jc w:val="center"/>
              <w:rPr>
                <w:sz w:val="20"/>
                <w:szCs w:val="20"/>
              </w:rPr>
            </w:pPr>
            <w:r>
              <w:rPr>
                <w:sz w:val="20"/>
                <w:szCs w:val="20"/>
              </w:rPr>
              <w:t>MET</w:t>
            </w:r>
          </w:p>
        </w:tc>
        <w:tc>
          <w:tcPr>
            <w:tcW w:w="731" w:type="dxa"/>
            <w:vAlign w:val="center"/>
          </w:tcPr>
          <w:p w:rsidR="00EC7099" w:rsidRDefault="00AC34AC">
            <w:pPr>
              <w:jc w:val="center"/>
              <w:rPr>
                <w:sz w:val="20"/>
                <w:szCs w:val="20"/>
              </w:rPr>
            </w:pPr>
            <w:r>
              <w:rPr>
                <w:sz w:val="20"/>
                <w:szCs w:val="20"/>
              </w:rPr>
              <w:t>MET</w:t>
            </w:r>
          </w:p>
        </w:tc>
        <w:tc>
          <w:tcPr>
            <w:tcW w:w="677" w:type="dxa"/>
            <w:vAlign w:val="center"/>
          </w:tcPr>
          <w:p w:rsidR="00EC7099" w:rsidRDefault="00AC34AC">
            <w:pPr>
              <w:jc w:val="center"/>
              <w:rPr>
                <w:sz w:val="20"/>
                <w:szCs w:val="20"/>
              </w:rPr>
            </w:pPr>
            <w:r>
              <w:rPr>
                <w:sz w:val="20"/>
                <w:szCs w:val="20"/>
              </w:rPr>
              <w:t>MET</w:t>
            </w:r>
          </w:p>
        </w:tc>
        <w:tc>
          <w:tcPr>
            <w:tcW w:w="667" w:type="dxa"/>
            <w:vAlign w:val="center"/>
          </w:tcPr>
          <w:p w:rsidR="00EC7099" w:rsidRDefault="00AC34AC">
            <w:pPr>
              <w:jc w:val="center"/>
              <w:rPr>
                <w:sz w:val="20"/>
                <w:szCs w:val="20"/>
              </w:rPr>
            </w:pPr>
            <w:r>
              <w:rPr>
                <w:sz w:val="20"/>
                <w:szCs w:val="20"/>
              </w:rPr>
              <w:t>NOT MET</w:t>
            </w:r>
          </w:p>
        </w:tc>
        <w:tc>
          <w:tcPr>
            <w:tcW w:w="715" w:type="dxa"/>
            <w:vAlign w:val="center"/>
          </w:tcPr>
          <w:p w:rsidR="00EC7099" w:rsidRDefault="00AC34AC">
            <w:pPr>
              <w:jc w:val="center"/>
              <w:rPr>
                <w:sz w:val="20"/>
                <w:szCs w:val="20"/>
              </w:rPr>
            </w:pPr>
            <w:r>
              <w:rPr>
                <w:sz w:val="20"/>
                <w:szCs w:val="20"/>
              </w:rPr>
              <w:t>MET</w:t>
            </w:r>
          </w:p>
        </w:tc>
        <w:tc>
          <w:tcPr>
            <w:tcW w:w="810" w:type="dxa"/>
            <w:vAlign w:val="center"/>
          </w:tcPr>
          <w:p w:rsidR="00EC7099" w:rsidRDefault="00AC34AC">
            <w:pPr>
              <w:jc w:val="center"/>
              <w:rPr>
                <w:sz w:val="20"/>
                <w:szCs w:val="20"/>
              </w:rPr>
            </w:pPr>
            <w:r>
              <w:rPr>
                <w:sz w:val="20"/>
                <w:szCs w:val="20"/>
              </w:rPr>
              <w:t>MET</w:t>
            </w:r>
          </w:p>
        </w:tc>
        <w:tc>
          <w:tcPr>
            <w:tcW w:w="720" w:type="dxa"/>
            <w:vAlign w:val="center"/>
          </w:tcPr>
          <w:p w:rsidR="00EC7099" w:rsidRDefault="00AC34AC">
            <w:pPr>
              <w:jc w:val="center"/>
              <w:rPr>
                <w:sz w:val="20"/>
                <w:szCs w:val="20"/>
              </w:rPr>
            </w:pPr>
            <w:r>
              <w:rPr>
                <w:sz w:val="20"/>
                <w:szCs w:val="20"/>
              </w:rPr>
              <w:t>MET</w:t>
            </w:r>
          </w:p>
        </w:tc>
        <w:tc>
          <w:tcPr>
            <w:tcW w:w="727" w:type="dxa"/>
            <w:vAlign w:val="center"/>
          </w:tcPr>
          <w:p w:rsidR="00EC7099" w:rsidRDefault="00AC34AC">
            <w:pPr>
              <w:jc w:val="center"/>
              <w:rPr>
                <w:sz w:val="20"/>
                <w:szCs w:val="20"/>
              </w:rPr>
            </w:pPr>
            <w:r>
              <w:rPr>
                <w:sz w:val="20"/>
                <w:szCs w:val="20"/>
              </w:rPr>
              <w:t>MET</w:t>
            </w:r>
          </w:p>
        </w:tc>
      </w:tr>
    </w:tbl>
    <w:p w:rsidR="00EC7099" w:rsidRDefault="00EC7099">
      <w:pPr>
        <w:spacing w:after="160" w:line="259" w:lineRule="auto"/>
        <w:jc w:val="center"/>
        <w:rPr>
          <w:rFonts w:ascii="Calibri" w:eastAsia="Calibri" w:hAnsi="Calibri" w:cs="Calibri"/>
          <w:sz w:val="22"/>
          <w:szCs w:val="22"/>
        </w:rPr>
      </w:pPr>
    </w:p>
    <w:p w:rsidR="00EC7099" w:rsidRDefault="00EC7099">
      <w:pPr>
        <w:rPr>
          <w:rFonts w:ascii="Tahoma" w:eastAsia="Tahoma" w:hAnsi="Tahoma" w:cs="Tahoma"/>
          <w:b/>
          <w:sz w:val="20"/>
          <w:szCs w:val="20"/>
        </w:rPr>
        <w:sectPr w:rsidR="00EC7099">
          <w:footerReference w:type="even" r:id="rId18"/>
          <w:pgSz w:w="12240" w:h="15840"/>
          <w:pgMar w:top="864" w:right="1080" w:bottom="720" w:left="1080" w:header="1080" w:footer="720" w:gutter="0"/>
          <w:cols w:space="720"/>
        </w:sectPr>
      </w:pPr>
    </w:p>
    <w:p w:rsidR="00EC7099" w:rsidRDefault="00EC7099">
      <w:pPr>
        <w:rPr>
          <w:rFonts w:ascii="Tahoma" w:eastAsia="Tahoma" w:hAnsi="Tahoma" w:cs="Tahoma"/>
          <w:sz w:val="22"/>
          <w:szCs w:val="22"/>
        </w:rPr>
      </w:pPr>
    </w:p>
    <w:p w:rsidR="00EC7099" w:rsidRDefault="00EC7099">
      <w:pPr>
        <w:rPr>
          <w:rFonts w:ascii="Tahoma" w:eastAsia="Tahoma" w:hAnsi="Tahoma" w:cs="Tahoma"/>
          <w:sz w:val="22"/>
          <w:szCs w:val="22"/>
        </w:rPr>
      </w:pPr>
    </w:p>
    <w:p w:rsidR="00EC7099" w:rsidRDefault="00AC34AC">
      <w:pPr>
        <w:jc w:val="center"/>
        <w:rPr>
          <w:rFonts w:ascii="Calibri" w:eastAsia="Calibri" w:hAnsi="Calibri" w:cs="Calibri"/>
          <w:b/>
          <w:sz w:val="32"/>
          <w:szCs w:val="32"/>
        </w:rPr>
      </w:pPr>
      <w:r>
        <w:rPr>
          <w:rFonts w:ascii="Calibri" w:eastAsia="Calibri" w:hAnsi="Calibri" w:cs="Calibri"/>
          <w:b/>
          <w:sz w:val="32"/>
          <w:szCs w:val="32"/>
        </w:rPr>
        <w:t>Perkins Core Performance Measures</w:t>
      </w:r>
    </w:p>
    <w:p w:rsidR="00EC7099" w:rsidRDefault="00AC34AC">
      <w:pPr>
        <w:jc w:val="center"/>
        <w:rPr>
          <w:rFonts w:ascii="Calibri" w:eastAsia="Calibri" w:hAnsi="Calibri" w:cs="Calibri"/>
          <w:b/>
          <w:sz w:val="32"/>
          <w:szCs w:val="32"/>
        </w:rPr>
      </w:pPr>
      <w:r>
        <w:rPr>
          <w:rFonts w:ascii="Calibri" w:eastAsia="Calibri" w:hAnsi="Calibri" w:cs="Calibri"/>
          <w:b/>
          <w:sz w:val="32"/>
          <w:szCs w:val="32"/>
        </w:rPr>
        <w:t>Results and Targets</w:t>
      </w:r>
    </w:p>
    <w:p w:rsidR="00EC7099" w:rsidRDefault="00AC34AC">
      <w:pPr>
        <w:jc w:val="center"/>
        <w:rPr>
          <w:rFonts w:ascii="Calibri" w:eastAsia="Calibri" w:hAnsi="Calibri" w:cs="Calibri"/>
          <w:b/>
          <w:sz w:val="32"/>
          <w:szCs w:val="32"/>
        </w:rPr>
      </w:pPr>
      <w:r>
        <w:rPr>
          <w:rFonts w:ascii="Calibri" w:eastAsia="Calibri" w:hAnsi="Calibri" w:cs="Calibri"/>
          <w:b/>
          <w:sz w:val="32"/>
          <w:szCs w:val="32"/>
        </w:rPr>
        <w:t>2019-2020</w:t>
      </w:r>
    </w:p>
    <w:p w:rsidR="00EC7099" w:rsidRDefault="00EC7099">
      <w:pPr>
        <w:spacing w:after="3000"/>
        <w:jc w:val="center"/>
        <w:rPr>
          <w:rFonts w:ascii="Calibri" w:eastAsia="Calibri" w:hAnsi="Calibri" w:cs="Calibri"/>
          <w:sz w:val="32"/>
          <w:szCs w:val="32"/>
        </w:rPr>
      </w:pPr>
    </w:p>
    <w:p w:rsidR="00EC7099" w:rsidRDefault="00AC34AC">
      <w:pPr>
        <w:jc w:val="center"/>
        <w:rPr>
          <w:rFonts w:ascii="Calibri" w:eastAsia="Calibri" w:hAnsi="Calibri" w:cs="Calibri"/>
          <w:sz w:val="28"/>
          <w:szCs w:val="28"/>
        </w:rPr>
      </w:pPr>
      <w:r>
        <w:rPr>
          <w:rFonts w:ascii="Calibri" w:eastAsia="Calibri" w:hAnsi="Calibri" w:cs="Calibri"/>
          <w:noProof/>
          <w:sz w:val="32"/>
          <w:szCs w:val="32"/>
        </w:rPr>
        <w:drawing>
          <wp:inline distT="0" distB="0" distL="0" distR="0">
            <wp:extent cx="1571625" cy="685800"/>
            <wp:effectExtent l="0" t="0" r="0" b="0"/>
            <wp:docPr id="6" name="image2.jpg" descr="VCCLogo_Sm"/>
            <wp:cNvGraphicFramePr/>
            <a:graphic xmlns:a="http://schemas.openxmlformats.org/drawingml/2006/main">
              <a:graphicData uri="http://schemas.openxmlformats.org/drawingml/2006/picture">
                <pic:pic xmlns:pic="http://schemas.openxmlformats.org/drawingml/2006/picture">
                  <pic:nvPicPr>
                    <pic:cNvPr id="0" name="image2.jpg" descr="VCCLogo_Sm"/>
                    <pic:cNvPicPr preferRelativeResize="0"/>
                  </pic:nvPicPr>
                  <pic:blipFill>
                    <a:blip r:embed="rId19"/>
                    <a:srcRect/>
                    <a:stretch>
                      <a:fillRect/>
                    </a:stretch>
                  </pic:blipFill>
                  <pic:spPr>
                    <a:xfrm>
                      <a:off x="0" y="0"/>
                      <a:ext cx="1571625" cy="685800"/>
                    </a:xfrm>
                    <a:prstGeom prst="rect">
                      <a:avLst/>
                    </a:prstGeom>
                    <a:ln/>
                  </pic:spPr>
                </pic:pic>
              </a:graphicData>
            </a:graphic>
          </wp:inline>
        </w:drawing>
      </w:r>
    </w:p>
    <w:p w:rsidR="00EC7099" w:rsidRDefault="00EC7099">
      <w:pPr>
        <w:spacing w:after="6000"/>
        <w:jc w:val="center"/>
        <w:rPr>
          <w:rFonts w:ascii="Calibri" w:eastAsia="Calibri" w:hAnsi="Calibri" w:cs="Calibri"/>
          <w:sz w:val="28"/>
          <w:szCs w:val="28"/>
        </w:rPr>
      </w:pPr>
    </w:p>
    <w:p w:rsidR="00EC7099" w:rsidRDefault="00AC34AC">
      <w:pPr>
        <w:jc w:val="center"/>
        <w:rPr>
          <w:rFonts w:ascii="Calibri" w:eastAsia="Calibri" w:hAnsi="Calibri" w:cs="Calibri"/>
          <w:b/>
          <w:sz w:val="28"/>
          <w:szCs w:val="28"/>
        </w:rPr>
      </w:pPr>
      <w:r>
        <w:rPr>
          <w:rFonts w:ascii="Calibri" w:eastAsia="Calibri" w:hAnsi="Calibri" w:cs="Calibri"/>
          <w:b/>
          <w:sz w:val="28"/>
          <w:szCs w:val="28"/>
        </w:rPr>
        <w:t>Academic and Workforce Programs</w:t>
      </w:r>
    </w:p>
    <w:p w:rsidR="00EC7099" w:rsidRDefault="00AC34AC">
      <w:pPr>
        <w:jc w:val="center"/>
        <w:rPr>
          <w:rFonts w:ascii="Calibri" w:eastAsia="Calibri" w:hAnsi="Calibri" w:cs="Calibri"/>
          <w:b/>
          <w:sz w:val="28"/>
          <w:szCs w:val="28"/>
        </w:rPr>
        <w:sectPr w:rsidR="00EC7099">
          <w:footerReference w:type="default" r:id="rId20"/>
          <w:pgSz w:w="12240" w:h="15840"/>
          <w:pgMar w:top="864" w:right="1080" w:bottom="720" w:left="1080" w:header="1080" w:footer="720" w:gutter="0"/>
          <w:cols w:space="720"/>
        </w:sectPr>
      </w:pPr>
      <w:r>
        <w:rPr>
          <w:rFonts w:ascii="Calibri" w:eastAsia="Calibri" w:hAnsi="Calibri" w:cs="Calibri"/>
          <w:b/>
          <w:sz w:val="28"/>
          <w:szCs w:val="28"/>
        </w:rPr>
        <w:t xml:space="preserve"> November 2021</w:t>
      </w:r>
    </w:p>
    <w:p w:rsidR="00EC7099" w:rsidRDefault="00AC34AC">
      <w:pPr>
        <w:keepNext/>
        <w:widowControl w:val="0"/>
        <w:ind w:right="-270"/>
        <w:jc w:val="center"/>
        <w:rPr>
          <w:rFonts w:ascii="Calibri" w:eastAsia="Calibri" w:hAnsi="Calibri" w:cs="Calibri"/>
          <w:sz w:val="22"/>
          <w:szCs w:val="22"/>
        </w:rPr>
      </w:pPr>
      <w:r>
        <w:rPr>
          <w:rFonts w:ascii="Calibri" w:eastAsia="Calibri" w:hAnsi="Calibri" w:cs="Calibri"/>
          <w:b/>
          <w:sz w:val="22"/>
          <w:szCs w:val="22"/>
        </w:rPr>
        <w:t xml:space="preserve">VIRGINIA COMMUNITY COLLEGE SYSTEM </w:t>
      </w:r>
      <w:r>
        <w:rPr>
          <w:rFonts w:ascii="Calibri" w:eastAsia="Calibri" w:hAnsi="Calibri" w:cs="Calibri"/>
          <w:b/>
          <w:sz w:val="22"/>
          <w:szCs w:val="22"/>
        </w:rPr>
        <w:br/>
      </w:r>
      <w:r>
        <w:rPr>
          <w:rFonts w:ascii="Calibri" w:eastAsia="Calibri" w:hAnsi="Calibri" w:cs="Calibri"/>
          <w:b/>
          <w:sz w:val="22"/>
          <w:szCs w:val="22"/>
        </w:rPr>
        <w:t>PERFORMANCE ON PERKINS CORE PERFORMANCE STANDARDS AND MEASURES</w:t>
      </w:r>
      <w:r>
        <w:rPr>
          <w:rFonts w:ascii="Calibri" w:eastAsia="Calibri" w:hAnsi="Calibri" w:cs="Calibri"/>
          <w:b/>
          <w:sz w:val="22"/>
          <w:szCs w:val="22"/>
        </w:rPr>
        <w:br/>
        <w:t>2019-2020</w:t>
      </w:r>
    </w:p>
    <w:p w:rsidR="00EC7099" w:rsidRDefault="00EC7099"/>
    <w:p w:rsidR="00EC7099" w:rsidRDefault="00AC34AC">
      <w:pPr>
        <w:ind w:right="-270"/>
        <w:jc w:val="center"/>
        <w:rPr>
          <w:rFonts w:ascii="Calibri" w:eastAsia="Calibri" w:hAnsi="Calibri" w:cs="Calibri"/>
          <w:b/>
          <w:sz w:val="22"/>
          <w:szCs w:val="22"/>
        </w:rPr>
      </w:pPr>
      <w:r>
        <w:rPr>
          <w:rFonts w:ascii="Calibri" w:eastAsia="Calibri" w:hAnsi="Calibri" w:cs="Calibri"/>
          <w:b/>
          <w:sz w:val="22"/>
          <w:szCs w:val="22"/>
        </w:rPr>
        <w:t>Overview</w:t>
      </w:r>
    </w:p>
    <w:p w:rsidR="00EC7099" w:rsidRDefault="00EC7099">
      <w:pPr>
        <w:ind w:right="-270"/>
        <w:rPr>
          <w:rFonts w:ascii="Calibri" w:eastAsia="Calibri" w:hAnsi="Calibri" w:cs="Calibri"/>
          <w:sz w:val="20"/>
          <w:szCs w:val="20"/>
        </w:rPr>
      </w:pPr>
    </w:p>
    <w:p w:rsidR="00EC7099" w:rsidRDefault="00AC34AC">
      <w:pPr>
        <w:ind w:right="-270"/>
        <w:rPr>
          <w:rFonts w:ascii="Calibri" w:eastAsia="Calibri" w:hAnsi="Calibri" w:cs="Calibri"/>
          <w:sz w:val="22"/>
          <w:szCs w:val="22"/>
        </w:rPr>
      </w:pPr>
      <w:r>
        <w:rPr>
          <w:rFonts w:ascii="Calibri" w:eastAsia="Calibri" w:hAnsi="Calibri" w:cs="Calibri"/>
          <w:sz w:val="22"/>
          <w:szCs w:val="22"/>
        </w:rPr>
        <w:t>Perkins is a federally funded program targeting career and technical education (CTE) programs at the secondary and postsecondary levels. The program was initially establish</w:t>
      </w:r>
      <w:r>
        <w:rPr>
          <w:rFonts w:ascii="Calibri" w:eastAsia="Calibri" w:hAnsi="Calibri" w:cs="Calibri"/>
          <w:sz w:val="22"/>
          <w:szCs w:val="22"/>
        </w:rPr>
        <w:t>ed in 1963 with the passage of the Vocational Education Act, which was renamed in later authorizations by the program’s largest proponent, Carl D. Perkins.  In 2018, the program was reauthorized as Perkins V. Perkins V stresses increased attainment of work</w:t>
      </w:r>
      <w:r>
        <w:rPr>
          <w:rFonts w:ascii="Calibri" w:eastAsia="Calibri" w:hAnsi="Calibri" w:cs="Calibri"/>
          <w:sz w:val="22"/>
          <w:szCs w:val="22"/>
        </w:rPr>
        <w:t xml:space="preserve">force credentials and continuing education to meet the nation’s workforce needs. Goals of the Perkins program include: </w:t>
      </w:r>
    </w:p>
    <w:p w:rsidR="00EC7099" w:rsidRDefault="00EC7099">
      <w:pPr>
        <w:ind w:right="-270"/>
        <w:rPr>
          <w:rFonts w:ascii="Calibri" w:eastAsia="Calibri" w:hAnsi="Calibri" w:cs="Calibri"/>
          <w:sz w:val="22"/>
          <w:szCs w:val="22"/>
        </w:rPr>
      </w:pPr>
    </w:p>
    <w:p w:rsidR="00EC7099" w:rsidRDefault="00AC34AC">
      <w:pPr>
        <w:numPr>
          <w:ilvl w:val="0"/>
          <w:numId w:val="3"/>
        </w:numPr>
        <w:rPr>
          <w:rFonts w:ascii="Calibri" w:eastAsia="Calibri" w:hAnsi="Calibri" w:cs="Calibri"/>
          <w:sz w:val="22"/>
          <w:szCs w:val="22"/>
        </w:rPr>
      </w:pPr>
      <w:r>
        <w:rPr>
          <w:rFonts w:ascii="Calibri" w:eastAsia="Calibri" w:hAnsi="Calibri" w:cs="Calibri"/>
          <w:sz w:val="22"/>
          <w:szCs w:val="22"/>
        </w:rPr>
        <w:t>Further developing the academic, career, and technical skills of students through high standards;</w:t>
      </w:r>
    </w:p>
    <w:p w:rsidR="00EC7099" w:rsidRDefault="00AC34AC">
      <w:pPr>
        <w:numPr>
          <w:ilvl w:val="0"/>
          <w:numId w:val="3"/>
        </w:numPr>
        <w:rPr>
          <w:rFonts w:ascii="Calibri" w:eastAsia="Calibri" w:hAnsi="Calibri" w:cs="Calibri"/>
          <w:sz w:val="22"/>
          <w:szCs w:val="22"/>
        </w:rPr>
      </w:pPr>
      <w:r>
        <w:rPr>
          <w:rFonts w:ascii="Calibri" w:eastAsia="Calibri" w:hAnsi="Calibri" w:cs="Calibri"/>
          <w:sz w:val="22"/>
          <w:szCs w:val="22"/>
        </w:rPr>
        <w:t>Linking secondary and postsecondary c</w:t>
      </w:r>
      <w:r>
        <w:rPr>
          <w:rFonts w:ascii="Calibri" w:eastAsia="Calibri" w:hAnsi="Calibri" w:cs="Calibri"/>
          <w:sz w:val="22"/>
          <w:szCs w:val="22"/>
        </w:rPr>
        <w:t>areer and technical programs;</w:t>
      </w:r>
    </w:p>
    <w:p w:rsidR="00EC7099" w:rsidRDefault="00AC34AC">
      <w:pPr>
        <w:numPr>
          <w:ilvl w:val="0"/>
          <w:numId w:val="3"/>
        </w:numPr>
        <w:rPr>
          <w:rFonts w:ascii="Calibri" w:eastAsia="Calibri" w:hAnsi="Calibri" w:cs="Calibri"/>
          <w:sz w:val="22"/>
          <w:szCs w:val="22"/>
        </w:rPr>
      </w:pPr>
      <w:r>
        <w:rPr>
          <w:rFonts w:ascii="Calibri" w:eastAsia="Calibri" w:hAnsi="Calibri" w:cs="Calibri"/>
          <w:sz w:val="22"/>
          <w:szCs w:val="22"/>
        </w:rPr>
        <w:t>Disseminating national research about career and technical education; and</w:t>
      </w:r>
    </w:p>
    <w:p w:rsidR="00EC7099" w:rsidRDefault="00AC34AC">
      <w:pPr>
        <w:numPr>
          <w:ilvl w:val="0"/>
          <w:numId w:val="3"/>
        </w:numPr>
        <w:rPr>
          <w:rFonts w:ascii="Calibri" w:eastAsia="Calibri" w:hAnsi="Calibri" w:cs="Calibri"/>
          <w:sz w:val="22"/>
          <w:szCs w:val="22"/>
        </w:rPr>
      </w:pPr>
      <w:r>
        <w:rPr>
          <w:rFonts w:ascii="Calibri" w:eastAsia="Calibri" w:hAnsi="Calibri" w:cs="Calibri"/>
          <w:sz w:val="22"/>
          <w:szCs w:val="22"/>
        </w:rPr>
        <w:t>Providing professional development and technical assistance to career and technical educators.</w:t>
      </w:r>
    </w:p>
    <w:p w:rsidR="00EC7099" w:rsidRDefault="00EC7099">
      <w:pPr>
        <w:ind w:right="-270"/>
        <w:rPr>
          <w:rFonts w:ascii="Calibri" w:eastAsia="Calibri" w:hAnsi="Calibri" w:cs="Calibri"/>
          <w:sz w:val="22"/>
          <w:szCs w:val="22"/>
        </w:rPr>
      </w:pPr>
    </w:p>
    <w:p w:rsidR="00EC7099" w:rsidRDefault="00AC34AC">
      <w:pPr>
        <w:ind w:right="-270"/>
        <w:rPr>
          <w:rFonts w:ascii="Calibri" w:eastAsia="Calibri" w:hAnsi="Calibri" w:cs="Calibri"/>
          <w:sz w:val="22"/>
          <w:szCs w:val="22"/>
        </w:rPr>
      </w:pPr>
      <w:r>
        <w:rPr>
          <w:rFonts w:ascii="Calibri" w:eastAsia="Calibri" w:hAnsi="Calibri" w:cs="Calibri"/>
          <w:sz w:val="22"/>
          <w:szCs w:val="22"/>
        </w:rPr>
        <w:t>This is the initial performance report for Perkins V, wh</w:t>
      </w:r>
      <w:r>
        <w:rPr>
          <w:rFonts w:ascii="Calibri" w:eastAsia="Calibri" w:hAnsi="Calibri" w:cs="Calibri"/>
          <w:sz w:val="22"/>
          <w:szCs w:val="22"/>
        </w:rPr>
        <w:t>ich measures student outcomes with regard to program completion, credential attainment, continuing education, job placement, and gender equity.</w:t>
      </w:r>
    </w:p>
    <w:p w:rsidR="00EC7099" w:rsidRDefault="00EC7099">
      <w:pPr>
        <w:ind w:right="-270"/>
        <w:rPr>
          <w:rFonts w:ascii="Calibri" w:eastAsia="Calibri" w:hAnsi="Calibri" w:cs="Calibri"/>
          <w:sz w:val="22"/>
          <w:szCs w:val="22"/>
        </w:rPr>
      </w:pPr>
    </w:p>
    <w:p w:rsidR="00EC7099" w:rsidRDefault="00AC34AC">
      <w:pPr>
        <w:ind w:right="-270"/>
        <w:rPr>
          <w:rFonts w:ascii="Calibri" w:eastAsia="Calibri" w:hAnsi="Calibri" w:cs="Calibri"/>
          <w:sz w:val="22"/>
          <w:szCs w:val="22"/>
        </w:rPr>
      </w:pPr>
      <w:r>
        <w:rPr>
          <w:rFonts w:ascii="Calibri" w:eastAsia="Calibri" w:hAnsi="Calibri" w:cs="Calibri"/>
          <w:sz w:val="22"/>
          <w:szCs w:val="22"/>
        </w:rPr>
        <w:t>The Virginia Department of Education is the grant recipient of the Perkins funds for the Commonwealth.  The Vir</w:t>
      </w:r>
      <w:r>
        <w:rPr>
          <w:rFonts w:ascii="Calibri" w:eastAsia="Calibri" w:hAnsi="Calibri" w:cs="Calibri"/>
          <w:sz w:val="22"/>
          <w:szCs w:val="22"/>
        </w:rPr>
        <w:t>ginia Community College System (VCCS) receives 15 percent of the grant to administer the postsecondary component of the program.</w:t>
      </w:r>
    </w:p>
    <w:p w:rsidR="00EC7099" w:rsidRDefault="00EC7099">
      <w:pPr>
        <w:ind w:right="-270"/>
        <w:rPr>
          <w:rFonts w:ascii="Calibri" w:eastAsia="Calibri" w:hAnsi="Calibri" w:cs="Calibri"/>
          <w:sz w:val="22"/>
          <w:szCs w:val="22"/>
        </w:rPr>
      </w:pPr>
    </w:p>
    <w:p w:rsidR="00EC7099" w:rsidRDefault="00AC34AC">
      <w:pPr>
        <w:ind w:right="-270"/>
        <w:rPr>
          <w:rFonts w:ascii="Calibri" w:eastAsia="Calibri" w:hAnsi="Calibri" w:cs="Calibri"/>
          <w:sz w:val="22"/>
          <w:szCs w:val="22"/>
        </w:rPr>
      </w:pPr>
      <w:r>
        <w:rPr>
          <w:rFonts w:ascii="Calibri" w:eastAsia="Calibri" w:hAnsi="Calibri" w:cs="Calibri"/>
          <w:sz w:val="22"/>
          <w:szCs w:val="22"/>
        </w:rPr>
        <w:t>The VCCS and its 23 member colleges are expected to meet established targets each year on three performance measures. These me</w:t>
      </w:r>
      <w:r>
        <w:rPr>
          <w:rFonts w:ascii="Calibri" w:eastAsia="Calibri" w:hAnsi="Calibri" w:cs="Calibri"/>
          <w:sz w:val="22"/>
          <w:szCs w:val="22"/>
        </w:rPr>
        <w:t xml:space="preserve">asures are: post-program placement, credential attainment, and nontraditional program concentration of CTE concentrators. The appendix to this report provides definitions and the methods used for calculating the measures. </w:t>
      </w:r>
    </w:p>
    <w:p w:rsidR="00EC7099" w:rsidRDefault="00EC7099">
      <w:pPr>
        <w:pBdr>
          <w:top w:val="nil"/>
          <w:left w:val="nil"/>
          <w:bottom w:val="nil"/>
          <w:right w:val="nil"/>
          <w:between w:val="nil"/>
        </w:pBdr>
        <w:ind w:right="-270"/>
        <w:rPr>
          <w:rFonts w:ascii="Calibri" w:eastAsia="Calibri" w:hAnsi="Calibri" w:cs="Calibri"/>
          <w:color w:val="000000"/>
          <w:sz w:val="20"/>
          <w:szCs w:val="20"/>
        </w:rPr>
      </w:pPr>
    </w:p>
    <w:p w:rsidR="00EC7099" w:rsidRDefault="00AC34AC">
      <w:pPr>
        <w:pStyle w:val="Heading2"/>
      </w:pPr>
      <w:r>
        <w:t>Results for 2019-2020</w:t>
      </w:r>
    </w:p>
    <w:p w:rsidR="00EC7099" w:rsidRDefault="00EC7099">
      <w:pPr>
        <w:pBdr>
          <w:top w:val="nil"/>
          <w:left w:val="nil"/>
          <w:bottom w:val="nil"/>
          <w:right w:val="nil"/>
          <w:between w:val="nil"/>
        </w:pBdr>
        <w:ind w:right="-270"/>
        <w:rPr>
          <w:rFonts w:ascii="Calibri" w:eastAsia="Calibri" w:hAnsi="Calibri" w:cs="Calibri"/>
          <w:b/>
          <w:color w:val="000000"/>
          <w:sz w:val="20"/>
          <w:szCs w:val="20"/>
        </w:rPr>
      </w:pPr>
    </w:p>
    <w:p w:rsidR="00EC7099" w:rsidRDefault="00AC34AC">
      <w:pPr>
        <w:ind w:right="-270"/>
        <w:rPr>
          <w:rFonts w:ascii="Calibri" w:eastAsia="Calibri" w:hAnsi="Calibri" w:cs="Calibri"/>
          <w:sz w:val="22"/>
          <w:szCs w:val="22"/>
        </w:rPr>
      </w:pPr>
      <w:r>
        <w:rPr>
          <w:rFonts w:ascii="Calibri" w:eastAsia="Calibri" w:hAnsi="Calibri" w:cs="Calibri"/>
          <w:sz w:val="22"/>
          <w:szCs w:val="22"/>
        </w:rPr>
        <w:t>Baseline targets for the 2019-2020 academic year were established for each of the three new performance measures under Perkins V, and continued Perkins funding is contingent upon achieving targets for each of these measures in future years. Institutions ar</w:t>
      </w:r>
      <w:r>
        <w:rPr>
          <w:rFonts w:ascii="Calibri" w:eastAsia="Calibri" w:hAnsi="Calibri" w:cs="Calibri"/>
          <w:sz w:val="22"/>
          <w:szCs w:val="22"/>
        </w:rPr>
        <w:t>e considered to have met the threshold if they are within   90 percent of the target. In the 2019-2020 academic year, the VCCS exceeded the baseline target for all three performance measures. Table 1 shows the VCCS system-wide performance on each of the th</w:t>
      </w:r>
      <w:r>
        <w:rPr>
          <w:rFonts w:ascii="Calibri" w:eastAsia="Calibri" w:hAnsi="Calibri" w:cs="Calibri"/>
          <w:sz w:val="22"/>
          <w:szCs w:val="22"/>
        </w:rPr>
        <w:t>ree measures and compares the actual results to the Perkins baseline targets and thresholds.</w:t>
      </w:r>
    </w:p>
    <w:p w:rsidR="00EC7099" w:rsidRDefault="00EC7099">
      <w:pPr>
        <w:ind w:right="-270"/>
        <w:rPr>
          <w:rFonts w:ascii="Calibri" w:eastAsia="Calibri" w:hAnsi="Calibri" w:cs="Calibri"/>
          <w:sz w:val="22"/>
          <w:szCs w:val="22"/>
        </w:rPr>
      </w:pPr>
    </w:p>
    <w:p w:rsidR="00EC7099" w:rsidRDefault="00AC34AC">
      <w:pPr>
        <w:ind w:right="-270"/>
        <w:jc w:val="center"/>
        <w:rPr>
          <w:rFonts w:ascii="Calibri" w:eastAsia="Calibri" w:hAnsi="Calibri" w:cs="Calibri"/>
          <w:b/>
          <w:sz w:val="22"/>
          <w:szCs w:val="22"/>
        </w:rPr>
      </w:pPr>
      <w:r>
        <w:rPr>
          <w:rFonts w:ascii="Calibri" w:eastAsia="Calibri" w:hAnsi="Calibri" w:cs="Calibri"/>
          <w:b/>
          <w:sz w:val="22"/>
          <w:szCs w:val="22"/>
        </w:rPr>
        <w:t>Table 1: VCCS Performance on 2019-2020 Perkins Measures</w:t>
      </w:r>
    </w:p>
    <w:tbl>
      <w:tblPr>
        <w:tblStyle w:val="af0"/>
        <w:tblW w:w="92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230"/>
        <w:gridCol w:w="900"/>
        <w:gridCol w:w="1080"/>
        <w:gridCol w:w="1260"/>
        <w:gridCol w:w="990"/>
        <w:gridCol w:w="1799"/>
      </w:tblGrid>
      <w:tr w:rsidR="00EC7099">
        <w:trPr>
          <w:trHeight w:val="592"/>
          <w:jc w:val="center"/>
        </w:trPr>
        <w:tc>
          <w:tcPr>
            <w:tcW w:w="3230" w:type="dxa"/>
            <w:shd w:val="clear" w:color="auto" w:fill="C5D9F1"/>
            <w:vAlign w:val="bottom"/>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Perkins Performance Measure</w:t>
            </w:r>
          </w:p>
        </w:tc>
        <w:tc>
          <w:tcPr>
            <w:tcW w:w="900" w:type="dxa"/>
            <w:shd w:val="clear" w:color="auto" w:fill="C5D9F1"/>
            <w:vAlign w:val="bottom"/>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Actual</w:t>
            </w:r>
          </w:p>
        </w:tc>
        <w:tc>
          <w:tcPr>
            <w:tcW w:w="1080" w:type="dxa"/>
            <w:shd w:val="clear" w:color="auto" w:fill="C5D9F1"/>
            <w:vAlign w:val="bottom"/>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Baseline </w:t>
            </w:r>
          </w:p>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Target</w:t>
            </w:r>
          </w:p>
        </w:tc>
        <w:tc>
          <w:tcPr>
            <w:tcW w:w="1260" w:type="dxa"/>
            <w:shd w:val="clear" w:color="auto" w:fill="C5D9F1"/>
            <w:vAlign w:val="bottom"/>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90% of Target (Threshold)</w:t>
            </w:r>
          </w:p>
        </w:tc>
        <w:tc>
          <w:tcPr>
            <w:tcW w:w="990" w:type="dxa"/>
            <w:shd w:val="clear" w:color="auto" w:fill="C5D9F1"/>
            <w:vAlign w:val="bottom"/>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Actual vs. </w:t>
            </w:r>
          </w:p>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Target</w:t>
            </w:r>
          </w:p>
        </w:tc>
        <w:tc>
          <w:tcPr>
            <w:tcW w:w="1799" w:type="dxa"/>
            <w:shd w:val="clear" w:color="auto" w:fill="C5D9F1"/>
            <w:vAlign w:val="bottom"/>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Result</w:t>
            </w:r>
          </w:p>
        </w:tc>
      </w:tr>
      <w:tr w:rsidR="00EC7099">
        <w:trPr>
          <w:trHeight w:val="300"/>
          <w:jc w:val="center"/>
        </w:trPr>
        <w:tc>
          <w:tcPr>
            <w:tcW w:w="3230" w:type="dxa"/>
            <w:shd w:val="clear" w:color="auto" w:fill="auto"/>
            <w:vAlign w:val="center"/>
          </w:tcPr>
          <w:p w:rsidR="00EC7099" w:rsidRDefault="00AC34AC">
            <w:pPr>
              <w:rPr>
                <w:rFonts w:ascii="Calibri" w:eastAsia="Calibri" w:hAnsi="Calibri" w:cs="Calibri"/>
                <w:color w:val="000000"/>
                <w:sz w:val="18"/>
                <w:szCs w:val="18"/>
              </w:rPr>
            </w:pPr>
            <w:r>
              <w:rPr>
                <w:rFonts w:ascii="Calibri" w:eastAsia="Calibri" w:hAnsi="Calibri" w:cs="Calibri"/>
                <w:color w:val="000000"/>
                <w:sz w:val="18"/>
                <w:szCs w:val="18"/>
              </w:rPr>
              <w:t xml:space="preserve">1P1: </w:t>
            </w:r>
          </w:p>
          <w:p w:rsidR="00EC7099" w:rsidRDefault="00AC34AC">
            <w:pPr>
              <w:rPr>
                <w:rFonts w:ascii="Calibri" w:eastAsia="Calibri" w:hAnsi="Calibri" w:cs="Calibri"/>
                <w:color w:val="000000"/>
                <w:sz w:val="18"/>
                <w:szCs w:val="18"/>
              </w:rPr>
            </w:pPr>
            <w:r>
              <w:rPr>
                <w:rFonts w:ascii="Calibri" w:eastAsia="Calibri" w:hAnsi="Calibri" w:cs="Calibri"/>
                <w:color w:val="000000"/>
                <w:sz w:val="18"/>
                <w:szCs w:val="18"/>
              </w:rPr>
              <w:t xml:space="preserve">Post-Program Placement </w:t>
            </w:r>
          </w:p>
        </w:tc>
        <w:tc>
          <w:tcPr>
            <w:tcW w:w="900" w:type="dxa"/>
            <w:shd w:val="clear" w:color="auto" w:fill="auto"/>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82.54</w:t>
            </w:r>
          </w:p>
        </w:tc>
        <w:tc>
          <w:tcPr>
            <w:tcW w:w="1080" w:type="dxa"/>
            <w:shd w:val="clear" w:color="auto" w:fill="FFFFFF"/>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65.50</w:t>
            </w:r>
          </w:p>
        </w:tc>
        <w:tc>
          <w:tcPr>
            <w:tcW w:w="1260" w:type="dxa"/>
            <w:shd w:val="clear" w:color="auto" w:fill="FFFFFF"/>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58.95</w:t>
            </w:r>
          </w:p>
        </w:tc>
        <w:tc>
          <w:tcPr>
            <w:tcW w:w="990" w:type="dxa"/>
            <w:shd w:val="clear" w:color="auto" w:fill="FFFFFF"/>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17.04</w:t>
            </w:r>
          </w:p>
        </w:tc>
        <w:tc>
          <w:tcPr>
            <w:tcW w:w="1799" w:type="dxa"/>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Exceeds Target</w:t>
            </w:r>
          </w:p>
        </w:tc>
      </w:tr>
      <w:tr w:rsidR="00EC7099">
        <w:trPr>
          <w:trHeight w:val="300"/>
          <w:jc w:val="center"/>
        </w:trPr>
        <w:tc>
          <w:tcPr>
            <w:tcW w:w="3230" w:type="dxa"/>
            <w:shd w:val="clear" w:color="auto" w:fill="auto"/>
            <w:vAlign w:val="center"/>
          </w:tcPr>
          <w:p w:rsidR="00EC7099" w:rsidRDefault="00AC34AC">
            <w:pPr>
              <w:rPr>
                <w:rFonts w:ascii="Calibri" w:eastAsia="Calibri" w:hAnsi="Calibri" w:cs="Calibri"/>
                <w:color w:val="000000"/>
                <w:sz w:val="18"/>
                <w:szCs w:val="18"/>
              </w:rPr>
            </w:pPr>
            <w:r>
              <w:rPr>
                <w:rFonts w:ascii="Calibri" w:eastAsia="Calibri" w:hAnsi="Calibri" w:cs="Calibri"/>
                <w:color w:val="000000"/>
                <w:sz w:val="18"/>
                <w:szCs w:val="18"/>
              </w:rPr>
              <w:t xml:space="preserve">2P1: </w:t>
            </w:r>
          </w:p>
          <w:p w:rsidR="00EC7099" w:rsidRDefault="00AC34AC">
            <w:pPr>
              <w:rPr>
                <w:rFonts w:ascii="Calibri" w:eastAsia="Calibri" w:hAnsi="Calibri" w:cs="Calibri"/>
                <w:color w:val="000000"/>
                <w:sz w:val="18"/>
                <w:szCs w:val="18"/>
              </w:rPr>
            </w:pPr>
            <w:r>
              <w:rPr>
                <w:rFonts w:ascii="Calibri" w:eastAsia="Calibri" w:hAnsi="Calibri" w:cs="Calibri"/>
                <w:color w:val="000000"/>
                <w:sz w:val="18"/>
                <w:szCs w:val="18"/>
              </w:rPr>
              <w:t>Credential Attainment</w:t>
            </w:r>
          </w:p>
        </w:tc>
        <w:tc>
          <w:tcPr>
            <w:tcW w:w="900" w:type="dxa"/>
            <w:shd w:val="clear" w:color="auto" w:fill="auto"/>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46.62</w:t>
            </w:r>
          </w:p>
        </w:tc>
        <w:tc>
          <w:tcPr>
            <w:tcW w:w="1080" w:type="dxa"/>
            <w:shd w:val="clear" w:color="auto" w:fill="FFFFFF"/>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40.90</w:t>
            </w:r>
          </w:p>
        </w:tc>
        <w:tc>
          <w:tcPr>
            <w:tcW w:w="1260" w:type="dxa"/>
            <w:shd w:val="clear" w:color="auto" w:fill="FFFFFF"/>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36.81</w:t>
            </w:r>
          </w:p>
        </w:tc>
        <w:tc>
          <w:tcPr>
            <w:tcW w:w="990" w:type="dxa"/>
            <w:shd w:val="clear" w:color="auto" w:fill="FFFFFF"/>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5.72</w:t>
            </w:r>
          </w:p>
        </w:tc>
        <w:tc>
          <w:tcPr>
            <w:tcW w:w="1799" w:type="dxa"/>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Exceeds Target</w:t>
            </w:r>
          </w:p>
        </w:tc>
      </w:tr>
      <w:tr w:rsidR="00EC7099">
        <w:trPr>
          <w:trHeight w:val="300"/>
          <w:jc w:val="center"/>
        </w:trPr>
        <w:tc>
          <w:tcPr>
            <w:tcW w:w="3230" w:type="dxa"/>
            <w:shd w:val="clear" w:color="auto" w:fill="auto"/>
            <w:vAlign w:val="center"/>
          </w:tcPr>
          <w:p w:rsidR="00EC7099" w:rsidRDefault="00AC34AC">
            <w:pPr>
              <w:rPr>
                <w:rFonts w:ascii="Calibri" w:eastAsia="Calibri" w:hAnsi="Calibri" w:cs="Calibri"/>
                <w:color w:val="000000"/>
                <w:sz w:val="18"/>
                <w:szCs w:val="18"/>
              </w:rPr>
            </w:pPr>
            <w:r>
              <w:rPr>
                <w:rFonts w:ascii="Calibri" w:eastAsia="Calibri" w:hAnsi="Calibri" w:cs="Calibri"/>
                <w:color w:val="000000"/>
                <w:sz w:val="18"/>
                <w:szCs w:val="18"/>
              </w:rPr>
              <w:t xml:space="preserve">3P1: </w:t>
            </w:r>
          </w:p>
          <w:p w:rsidR="00EC7099" w:rsidRDefault="00AC34AC">
            <w:pPr>
              <w:rPr>
                <w:rFonts w:ascii="Calibri" w:eastAsia="Calibri" w:hAnsi="Calibri" w:cs="Calibri"/>
                <w:color w:val="000000"/>
                <w:sz w:val="18"/>
                <w:szCs w:val="18"/>
              </w:rPr>
            </w:pPr>
            <w:r>
              <w:rPr>
                <w:rFonts w:ascii="Calibri" w:eastAsia="Calibri" w:hAnsi="Calibri" w:cs="Calibri"/>
                <w:color w:val="000000"/>
                <w:sz w:val="18"/>
                <w:szCs w:val="18"/>
              </w:rPr>
              <w:t xml:space="preserve">Nontraditional Program Concentration </w:t>
            </w:r>
          </w:p>
        </w:tc>
        <w:tc>
          <w:tcPr>
            <w:tcW w:w="900" w:type="dxa"/>
            <w:shd w:val="clear" w:color="auto" w:fill="auto"/>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16.22</w:t>
            </w:r>
          </w:p>
        </w:tc>
        <w:tc>
          <w:tcPr>
            <w:tcW w:w="1080" w:type="dxa"/>
            <w:shd w:val="clear" w:color="auto" w:fill="FFFFFF"/>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16.10</w:t>
            </w:r>
          </w:p>
        </w:tc>
        <w:tc>
          <w:tcPr>
            <w:tcW w:w="1260" w:type="dxa"/>
            <w:shd w:val="clear" w:color="auto" w:fill="FFFFFF"/>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14.49</w:t>
            </w:r>
          </w:p>
        </w:tc>
        <w:tc>
          <w:tcPr>
            <w:tcW w:w="990" w:type="dxa"/>
            <w:shd w:val="clear" w:color="auto" w:fill="FFFFFF"/>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0.12</w:t>
            </w:r>
          </w:p>
        </w:tc>
        <w:tc>
          <w:tcPr>
            <w:tcW w:w="1799" w:type="dxa"/>
            <w:vAlign w:val="center"/>
          </w:tcPr>
          <w:p w:rsidR="00EC7099" w:rsidRDefault="00AC34AC">
            <w:pPr>
              <w:jc w:val="center"/>
              <w:rPr>
                <w:rFonts w:ascii="Calibri" w:eastAsia="Calibri" w:hAnsi="Calibri" w:cs="Calibri"/>
                <w:color w:val="000000"/>
                <w:sz w:val="18"/>
                <w:szCs w:val="18"/>
              </w:rPr>
            </w:pPr>
            <w:r>
              <w:rPr>
                <w:rFonts w:ascii="Calibri" w:eastAsia="Calibri" w:hAnsi="Calibri" w:cs="Calibri"/>
                <w:color w:val="000000"/>
                <w:sz w:val="18"/>
                <w:szCs w:val="18"/>
              </w:rPr>
              <w:t>Exceeds Target</w:t>
            </w:r>
          </w:p>
        </w:tc>
      </w:tr>
    </w:tbl>
    <w:p w:rsidR="00EC7099" w:rsidRDefault="00EC7099">
      <w:pPr>
        <w:ind w:right="-270"/>
        <w:jc w:val="center"/>
        <w:rPr>
          <w:rFonts w:ascii="Calibri" w:eastAsia="Calibri" w:hAnsi="Calibri" w:cs="Calibri"/>
          <w:b/>
          <w:sz w:val="22"/>
          <w:szCs w:val="22"/>
        </w:rPr>
      </w:pPr>
    </w:p>
    <w:p w:rsidR="00EC7099" w:rsidRDefault="00EC7099">
      <w:pPr>
        <w:pBdr>
          <w:top w:val="nil"/>
          <w:left w:val="nil"/>
          <w:bottom w:val="nil"/>
          <w:right w:val="nil"/>
          <w:between w:val="nil"/>
        </w:pBdr>
        <w:ind w:right="-270"/>
        <w:rPr>
          <w:rFonts w:ascii="Calibri" w:eastAsia="Calibri" w:hAnsi="Calibri" w:cs="Calibri"/>
          <w:b/>
          <w:color w:val="000000"/>
          <w:sz w:val="20"/>
          <w:szCs w:val="20"/>
        </w:rPr>
      </w:pPr>
    </w:p>
    <w:p w:rsidR="00EC7099" w:rsidRDefault="00AC34AC">
      <w:pPr>
        <w:rPr>
          <w:rFonts w:ascii="Calibri" w:eastAsia="Calibri" w:hAnsi="Calibri" w:cs="Calibri"/>
          <w:b/>
          <w:sz w:val="20"/>
          <w:szCs w:val="20"/>
        </w:rPr>
      </w:pPr>
      <w:r>
        <w:br w:type="page"/>
      </w:r>
    </w:p>
    <w:p w:rsidR="00EC7099" w:rsidRDefault="00AC34AC">
      <w:pPr>
        <w:ind w:right="-270"/>
        <w:jc w:val="center"/>
        <w:rPr>
          <w:rFonts w:ascii="Calibri" w:eastAsia="Calibri" w:hAnsi="Calibri" w:cs="Calibri"/>
          <w:b/>
          <w:sz w:val="22"/>
          <w:szCs w:val="22"/>
        </w:rPr>
      </w:pPr>
      <w:r>
        <w:rPr>
          <w:rFonts w:ascii="Calibri" w:eastAsia="Calibri" w:hAnsi="Calibri" w:cs="Calibri"/>
          <w:b/>
          <w:sz w:val="22"/>
          <w:szCs w:val="22"/>
        </w:rPr>
        <w:t xml:space="preserve">Individual College Success by Perkins Measure </w:t>
      </w:r>
    </w:p>
    <w:p w:rsidR="00EC7099" w:rsidRDefault="00EC7099">
      <w:pPr>
        <w:ind w:right="-270"/>
        <w:rPr>
          <w:rFonts w:ascii="Calibri" w:eastAsia="Calibri" w:hAnsi="Calibri" w:cs="Calibri"/>
          <w:b/>
          <w:sz w:val="22"/>
          <w:szCs w:val="22"/>
        </w:rPr>
      </w:pPr>
    </w:p>
    <w:p w:rsidR="00EC7099" w:rsidRDefault="00AC34AC">
      <w:pPr>
        <w:rPr>
          <w:rFonts w:ascii="Calibri" w:eastAsia="Calibri" w:hAnsi="Calibri" w:cs="Calibri"/>
          <w:sz w:val="22"/>
          <w:szCs w:val="22"/>
        </w:rPr>
      </w:pPr>
      <w:r>
        <w:rPr>
          <w:rFonts w:ascii="Calibri" w:eastAsia="Calibri" w:hAnsi="Calibri" w:cs="Calibri"/>
          <w:sz w:val="22"/>
          <w:szCs w:val="22"/>
        </w:rPr>
        <w:t>Table 2 provides data on individual performance for the 23 community colleges.  If the data point is labeled in blue font, then the college did not meet the target for the particular measure. If the cell is s</w:t>
      </w:r>
      <w:r>
        <w:rPr>
          <w:rFonts w:ascii="Calibri" w:eastAsia="Calibri" w:hAnsi="Calibri" w:cs="Calibri"/>
          <w:sz w:val="22"/>
          <w:szCs w:val="22"/>
        </w:rPr>
        <w:t>haded, then the college did not meet the 90 percent threshold for that measure. College performance on each of the three measures is summarized below.</w:t>
      </w:r>
    </w:p>
    <w:p w:rsidR="00EC7099" w:rsidRDefault="00EC7099">
      <w:pPr>
        <w:rPr>
          <w:rFonts w:ascii="Calibri" w:eastAsia="Calibri" w:hAnsi="Calibri" w:cs="Calibri"/>
          <w:sz w:val="22"/>
          <w:szCs w:val="22"/>
        </w:rPr>
      </w:pPr>
    </w:p>
    <w:p w:rsidR="00EC7099" w:rsidRDefault="00AC34AC">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1P1 Post-Program Placement:</w:t>
      </w:r>
      <w:r>
        <w:rPr>
          <w:rFonts w:ascii="Calibri" w:eastAsia="Calibri" w:hAnsi="Calibri" w:cs="Calibri"/>
          <w:color w:val="000000"/>
          <w:sz w:val="22"/>
          <w:szCs w:val="22"/>
        </w:rPr>
        <w:t xml:space="preserve">  All 23 colleges exceeded the target.</w:t>
      </w:r>
    </w:p>
    <w:p w:rsidR="00EC7099" w:rsidRDefault="00AC34AC">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2P1 Credential Attainment:</w:t>
      </w:r>
      <w:r>
        <w:rPr>
          <w:rFonts w:ascii="Calibri" w:eastAsia="Calibri" w:hAnsi="Calibri" w:cs="Calibri"/>
          <w:color w:val="000000"/>
          <w:sz w:val="22"/>
          <w:szCs w:val="22"/>
        </w:rPr>
        <w:t xml:space="preserve">  20 colleges exceeded the target, while three colleges failed to meet the 90percent threshold.</w:t>
      </w:r>
    </w:p>
    <w:p w:rsidR="00EC7099" w:rsidRDefault="00AC34AC">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3P1 Nontraditional Program Concentration:</w:t>
      </w:r>
      <w:r>
        <w:rPr>
          <w:rFonts w:ascii="Calibri" w:eastAsia="Calibri" w:hAnsi="Calibri" w:cs="Calibri"/>
          <w:color w:val="000000"/>
          <w:sz w:val="22"/>
          <w:szCs w:val="22"/>
        </w:rPr>
        <w:t xml:space="preserve">  5 colleges exceeded the target and another two colleges exceeded the 90 percent threshold. 16 colleges failed to meet</w:t>
      </w:r>
      <w:r>
        <w:rPr>
          <w:rFonts w:ascii="Calibri" w:eastAsia="Calibri" w:hAnsi="Calibri" w:cs="Calibri"/>
          <w:color w:val="000000"/>
          <w:sz w:val="22"/>
          <w:szCs w:val="22"/>
        </w:rPr>
        <w:t xml:space="preserve"> the 90 percent threshold.</w:t>
      </w:r>
    </w:p>
    <w:p w:rsidR="00EC7099" w:rsidRDefault="00EC7099">
      <w:pPr>
        <w:rPr>
          <w:rFonts w:ascii="Calibri" w:eastAsia="Calibri" w:hAnsi="Calibri" w:cs="Calibri"/>
          <w:sz w:val="22"/>
          <w:szCs w:val="22"/>
        </w:rPr>
      </w:pPr>
    </w:p>
    <w:p w:rsidR="00EC7099" w:rsidRDefault="00AC34AC">
      <w:pPr>
        <w:rPr>
          <w:rFonts w:ascii="Calibri" w:eastAsia="Calibri" w:hAnsi="Calibri" w:cs="Calibri"/>
          <w:sz w:val="22"/>
          <w:szCs w:val="22"/>
        </w:rPr>
      </w:pPr>
      <w:r>
        <w:rPr>
          <w:rFonts w:ascii="Calibri" w:eastAsia="Calibri" w:hAnsi="Calibri" w:cs="Calibri"/>
          <w:sz w:val="22"/>
          <w:szCs w:val="22"/>
        </w:rPr>
        <w:t>Each year, colleges that do not meet the state’s target at the 90 percent threshold for any measure are required to develop a plan for improvement of that measure. It is important to note that the performance targets are based o</w:t>
      </w:r>
      <w:r>
        <w:rPr>
          <w:rFonts w:ascii="Calibri" w:eastAsia="Calibri" w:hAnsi="Calibri" w:cs="Calibri"/>
          <w:sz w:val="22"/>
          <w:szCs w:val="22"/>
        </w:rPr>
        <w:t>n system-wide average baselines. Thus, colleges may have improved on a particular measure despite not meeting the system-wide target.</w:t>
      </w:r>
    </w:p>
    <w:p w:rsidR="00EC7099" w:rsidRDefault="00EC7099">
      <w:pPr>
        <w:pBdr>
          <w:top w:val="nil"/>
          <w:left w:val="nil"/>
          <w:bottom w:val="nil"/>
          <w:right w:val="nil"/>
          <w:between w:val="nil"/>
        </w:pBdr>
        <w:ind w:left="720" w:right="-270"/>
        <w:rPr>
          <w:rFonts w:ascii="Calibri" w:eastAsia="Calibri" w:hAnsi="Calibri" w:cs="Calibri"/>
          <w:b/>
          <w:color w:val="000000"/>
          <w:sz w:val="14"/>
          <w:szCs w:val="14"/>
        </w:rPr>
      </w:pPr>
    </w:p>
    <w:p w:rsidR="00EC7099" w:rsidRDefault="00AC34AC">
      <w:pPr>
        <w:ind w:right="-270"/>
        <w:jc w:val="center"/>
        <w:rPr>
          <w:rFonts w:ascii="Calibri" w:eastAsia="Calibri" w:hAnsi="Calibri" w:cs="Calibri"/>
          <w:b/>
          <w:sz w:val="22"/>
          <w:szCs w:val="22"/>
        </w:rPr>
      </w:pPr>
      <w:r>
        <w:rPr>
          <w:rFonts w:ascii="Calibri" w:eastAsia="Calibri" w:hAnsi="Calibri" w:cs="Calibri"/>
          <w:b/>
          <w:sz w:val="22"/>
          <w:szCs w:val="22"/>
        </w:rPr>
        <w:t>Summary of 2019-2020 VCCS Performance on Perkins Measures</w:t>
      </w:r>
    </w:p>
    <w:p w:rsidR="00EC7099" w:rsidRDefault="00EC7099">
      <w:pPr>
        <w:rPr>
          <w:rFonts w:ascii="Calibri" w:eastAsia="Calibri" w:hAnsi="Calibri" w:cs="Calibri"/>
          <w:sz w:val="22"/>
          <w:szCs w:val="22"/>
        </w:rPr>
      </w:pPr>
    </w:p>
    <w:p w:rsidR="00EC7099" w:rsidRDefault="00AC34AC">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As a system, the VCCS exceeded its target performance for each measure in the first year of Perkins V.</w:t>
      </w:r>
    </w:p>
    <w:p w:rsidR="00EC7099" w:rsidRDefault="00AC34AC">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Several of the larger colleges did not meet their target performance level for credential attainment, although all were at least within a few percentage </w:t>
      </w:r>
      <w:r>
        <w:rPr>
          <w:rFonts w:ascii="Calibri" w:eastAsia="Calibri" w:hAnsi="Calibri" w:cs="Calibri"/>
          <w:color w:val="000000"/>
          <w:sz w:val="22"/>
          <w:szCs w:val="22"/>
        </w:rPr>
        <w:t>points of meeting the 90 percent threshold.</w:t>
      </w:r>
    </w:p>
    <w:p w:rsidR="00EC7099" w:rsidRDefault="00AC34AC">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larger, urban colleges generally exceeded the performance target for nontraditional gender concentrators, while nearly all of the smaller, rural colleges failed to meet the target. High performance by the lar</w:t>
      </w:r>
      <w:r>
        <w:rPr>
          <w:rFonts w:ascii="Calibri" w:eastAsia="Calibri" w:hAnsi="Calibri" w:cs="Calibri"/>
          <w:color w:val="000000"/>
          <w:sz w:val="22"/>
          <w:szCs w:val="22"/>
        </w:rPr>
        <w:t>ger, urban colleges in these measures has enabled the system to meet these performance benchmarks by offsetting low percentages at most of the smaller, rural colleges.</w:t>
      </w:r>
    </w:p>
    <w:p w:rsidR="00EC7099" w:rsidRDefault="00AC34AC">
      <w:pPr>
        <w:numPr>
          <w:ilvl w:val="0"/>
          <w:numId w:val="6"/>
        </w:numPr>
        <w:rPr>
          <w:rFonts w:ascii="Calibri" w:eastAsia="Calibri" w:hAnsi="Calibri" w:cs="Calibri"/>
          <w:sz w:val="22"/>
          <w:szCs w:val="22"/>
        </w:rPr>
      </w:pPr>
      <w:r>
        <w:rPr>
          <w:rFonts w:ascii="Calibri" w:eastAsia="Calibri" w:hAnsi="Calibri" w:cs="Calibri"/>
          <w:sz w:val="22"/>
          <w:szCs w:val="22"/>
        </w:rPr>
        <w:t>The VCCS will continue to work with its colleges to expand opportunities and reduce gend</w:t>
      </w:r>
      <w:r>
        <w:rPr>
          <w:rFonts w:ascii="Calibri" w:eastAsia="Calibri" w:hAnsi="Calibri" w:cs="Calibri"/>
          <w:sz w:val="22"/>
          <w:szCs w:val="22"/>
        </w:rPr>
        <w:t>er disparities within all of the colleges’ program offerings.</w:t>
      </w:r>
    </w:p>
    <w:p w:rsidR="00EC7099" w:rsidRDefault="00EC7099">
      <w:pPr>
        <w:ind w:left="720"/>
        <w:rPr>
          <w:rFonts w:ascii="Calibri" w:eastAsia="Calibri" w:hAnsi="Calibri" w:cs="Calibri"/>
          <w:sz w:val="22"/>
          <w:szCs w:val="22"/>
        </w:rPr>
      </w:pPr>
    </w:p>
    <w:p w:rsidR="00EC7099" w:rsidRDefault="00AC34AC">
      <w:pPr>
        <w:rPr>
          <w:rFonts w:ascii="Calibri" w:eastAsia="Calibri" w:hAnsi="Calibri" w:cs="Calibri"/>
          <w:sz w:val="22"/>
          <w:szCs w:val="22"/>
        </w:rPr>
      </w:pPr>
      <w:r>
        <w:br w:type="page"/>
      </w:r>
    </w:p>
    <w:p w:rsidR="00EC7099" w:rsidRDefault="00AC34AC">
      <w:pPr>
        <w:jc w:val="center"/>
        <w:rPr>
          <w:rFonts w:ascii="Calibri" w:eastAsia="Calibri" w:hAnsi="Calibri" w:cs="Calibri"/>
          <w:b/>
          <w:color w:val="000000"/>
          <w:sz w:val="20"/>
          <w:szCs w:val="20"/>
        </w:rPr>
      </w:pPr>
      <w:r>
        <w:rPr>
          <w:rFonts w:ascii="Calibri" w:eastAsia="Calibri" w:hAnsi="Calibri" w:cs="Calibri"/>
          <w:b/>
          <w:color w:val="000000"/>
          <w:sz w:val="20"/>
          <w:szCs w:val="20"/>
        </w:rPr>
        <w:t>TABLE 2: INDIVIDUAL PERFORMANCE FOR VCCS COMMUNITY COLLEGES 2019-2020</w:t>
      </w:r>
    </w:p>
    <w:p w:rsidR="00EC7099" w:rsidRDefault="00EC7099">
      <w:pPr>
        <w:jc w:val="center"/>
        <w:rPr>
          <w:rFonts w:ascii="Calibri" w:eastAsia="Calibri" w:hAnsi="Calibri" w:cs="Calibri"/>
          <w:sz w:val="22"/>
          <w:szCs w:val="22"/>
        </w:rPr>
      </w:pPr>
    </w:p>
    <w:p w:rsidR="00EC7099" w:rsidRDefault="00EC7099">
      <w:pPr>
        <w:ind w:right="-270"/>
        <w:rPr>
          <w:rFonts w:ascii="Calibri" w:eastAsia="Calibri" w:hAnsi="Calibri" w:cs="Calibri"/>
          <w:sz w:val="20"/>
          <w:szCs w:val="20"/>
        </w:rPr>
      </w:pPr>
    </w:p>
    <w:tbl>
      <w:tblPr>
        <w:tblStyle w:val="af1"/>
        <w:tblW w:w="8722" w:type="dxa"/>
        <w:jc w:val="center"/>
        <w:tblLayout w:type="fixed"/>
        <w:tblLook w:val="0400" w:firstRow="0" w:lastRow="0" w:firstColumn="0" w:lastColumn="0" w:noHBand="0" w:noVBand="1"/>
      </w:tblPr>
      <w:tblGrid>
        <w:gridCol w:w="1780"/>
        <w:gridCol w:w="1272"/>
        <w:gridCol w:w="1260"/>
        <w:gridCol w:w="1440"/>
        <w:gridCol w:w="1440"/>
        <w:gridCol w:w="1530"/>
      </w:tblGrid>
      <w:tr w:rsidR="00EC7099">
        <w:trPr>
          <w:trHeight w:val="255"/>
          <w:jc w:val="center"/>
        </w:trPr>
        <w:tc>
          <w:tcPr>
            <w:tcW w:w="1780" w:type="dxa"/>
            <w:vMerge w:val="restart"/>
            <w:tcBorders>
              <w:top w:val="single" w:sz="4" w:space="0" w:color="000000"/>
              <w:left w:val="single" w:sz="4" w:space="0" w:color="000000"/>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 </w:t>
            </w:r>
          </w:p>
        </w:tc>
        <w:tc>
          <w:tcPr>
            <w:tcW w:w="1272" w:type="dxa"/>
            <w:tcBorders>
              <w:top w:val="single" w:sz="4" w:space="0" w:color="000000"/>
              <w:left w:val="nil"/>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20"/>
                <w:szCs w:val="20"/>
              </w:rPr>
            </w:pPr>
            <w:r>
              <w:rPr>
                <w:rFonts w:ascii="Calibri" w:eastAsia="Calibri" w:hAnsi="Calibri" w:cs="Calibri"/>
                <w:b/>
                <w:color w:val="000000"/>
                <w:sz w:val="20"/>
                <w:szCs w:val="20"/>
              </w:rPr>
              <w:t>1P1</w:t>
            </w:r>
          </w:p>
        </w:tc>
        <w:tc>
          <w:tcPr>
            <w:tcW w:w="1260" w:type="dxa"/>
            <w:tcBorders>
              <w:top w:val="single" w:sz="4" w:space="0" w:color="000000"/>
              <w:left w:val="nil"/>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20"/>
                <w:szCs w:val="20"/>
              </w:rPr>
            </w:pPr>
            <w:r>
              <w:rPr>
                <w:rFonts w:ascii="Calibri" w:eastAsia="Calibri" w:hAnsi="Calibri" w:cs="Calibri"/>
                <w:b/>
                <w:color w:val="000000"/>
                <w:sz w:val="20"/>
                <w:szCs w:val="20"/>
              </w:rPr>
              <w:t>2P1</w:t>
            </w:r>
          </w:p>
        </w:tc>
        <w:tc>
          <w:tcPr>
            <w:tcW w:w="1440" w:type="dxa"/>
            <w:tcBorders>
              <w:top w:val="single" w:sz="4" w:space="0" w:color="000000"/>
              <w:left w:val="nil"/>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20"/>
                <w:szCs w:val="20"/>
              </w:rPr>
            </w:pPr>
            <w:r>
              <w:rPr>
                <w:rFonts w:ascii="Calibri" w:eastAsia="Calibri" w:hAnsi="Calibri" w:cs="Calibri"/>
                <w:b/>
                <w:color w:val="000000"/>
                <w:sz w:val="20"/>
                <w:szCs w:val="20"/>
              </w:rPr>
              <w:t>3P1</w:t>
            </w:r>
          </w:p>
        </w:tc>
        <w:tc>
          <w:tcPr>
            <w:tcW w:w="1440" w:type="dxa"/>
            <w:vMerge w:val="restart"/>
            <w:tcBorders>
              <w:top w:val="single" w:sz="4" w:space="0" w:color="000000"/>
              <w:left w:val="nil"/>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 Targets </w:t>
            </w:r>
          </w:p>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Not Met</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 Thresholds</w:t>
            </w:r>
          </w:p>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Not Met</w:t>
            </w:r>
          </w:p>
        </w:tc>
      </w:tr>
      <w:tr w:rsidR="00EC7099">
        <w:trPr>
          <w:trHeight w:val="705"/>
          <w:jc w:val="center"/>
        </w:trPr>
        <w:tc>
          <w:tcPr>
            <w:tcW w:w="1780" w:type="dxa"/>
            <w:vMerge/>
            <w:tcBorders>
              <w:top w:val="single" w:sz="4" w:space="0" w:color="000000"/>
              <w:left w:val="single" w:sz="4" w:space="0" w:color="000000"/>
              <w:bottom w:val="single" w:sz="4" w:space="0" w:color="000000"/>
              <w:right w:val="single" w:sz="4" w:space="0" w:color="000000"/>
            </w:tcBorders>
            <w:shd w:val="clear" w:color="auto" w:fill="C5D9F1"/>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1272" w:type="dxa"/>
            <w:vMerge w:val="restart"/>
            <w:tcBorders>
              <w:top w:val="nil"/>
              <w:left w:val="single" w:sz="4" w:space="0" w:color="000000"/>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Post-Program Placement</w:t>
            </w:r>
          </w:p>
        </w:tc>
        <w:tc>
          <w:tcPr>
            <w:tcW w:w="1260" w:type="dxa"/>
            <w:vMerge w:val="restart"/>
            <w:tcBorders>
              <w:top w:val="nil"/>
              <w:left w:val="single" w:sz="4" w:space="0" w:color="000000"/>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Credential Attainment</w:t>
            </w:r>
          </w:p>
        </w:tc>
        <w:tc>
          <w:tcPr>
            <w:tcW w:w="1440" w:type="dxa"/>
            <w:vMerge w:val="restart"/>
            <w:tcBorders>
              <w:top w:val="nil"/>
              <w:left w:val="single" w:sz="4" w:space="0" w:color="000000"/>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Nontraditional Program Concentration</w:t>
            </w:r>
          </w:p>
        </w:tc>
        <w:tc>
          <w:tcPr>
            <w:tcW w:w="1440" w:type="dxa"/>
            <w:vMerge/>
            <w:tcBorders>
              <w:top w:val="single" w:sz="4" w:space="0" w:color="000000"/>
              <w:left w:val="nil"/>
              <w:bottom w:val="single" w:sz="4" w:space="0" w:color="000000"/>
              <w:right w:val="single" w:sz="4" w:space="0" w:color="000000"/>
            </w:tcBorders>
            <w:shd w:val="clear" w:color="auto" w:fill="C5D9F1"/>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5D9F1"/>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color w:val="000000"/>
                <w:sz w:val="18"/>
                <w:szCs w:val="18"/>
              </w:rPr>
            </w:pPr>
          </w:p>
        </w:tc>
      </w:tr>
      <w:tr w:rsidR="00EC7099">
        <w:trPr>
          <w:trHeight w:val="276"/>
          <w:jc w:val="center"/>
        </w:trPr>
        <w:tc>
          <w:tcPr>
            <w:tcW w:w="1780" w:type="dxa"/>
            <w:vMerge/>
            <w:tcBorders>
              <w:top w:val="single" w:sz="4" w:space="0" w:color="000000"/>
              <w:left w:val="single" w:sz="4" w:space="0" w:color="000000"/>
              <w:bottom w:val="single" w:sz="4" w:space="0" w:color="000000"/>
              <w:right w:val="single" w:sz="4" w:space="0" w:color="000000"/>
            </w:tcBorders>
            <w:shd w:val="clear" w:color="auto" w:fill="C5D9F1"/>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1272" w:type="dxa"/>
            <w:vMerge/>
            <w:tcBorders>
              <w:top w:val="nil"/>
              <w:left w:val="single" w:sz="4" w:space="0" w:color="000000"/>
              <w:bottom w:val="single" w:sz="4" w:space="0" w:color="000000"/>
              <w:right w:val="single" w:sz="4" w:space="0" w:color="000000"/>
            </w:tcBorders>
            <w:shd w:val="clear" w:color="auto" w:fill="C5D9F1"/>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1260" w:type="dxa"/>
            <w:vMerge/>
            <w:tcBorders>
              <w:top w:val="nil"/>
              <w:left w:val="single" w:sz="4" w:space="0" w:color="000000"/>
              <w:bottom w:val="single" w:sz="4" w:space="0" w:color="000000"/>
              <w:right w:val="single" w:sz="4" w:space="0" w:color="000000"/>
            </w:tcBorders>
            <w:shd w:val="clear" w:color="auto" w:fill="C5D9F1"/>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1440" w:type="dxa"/>
            <w:vMerge/>
            <w:tcBorders>
              <w:top w:val="nil"/>
              <w:left w:val="single" w:sz="4" w:space="0" w:color="000000"/>
              <w:bottom w:val="single" w:sz="4" w:space="0" w:color="000000"/>
              <w:right w:val="single" w:sz="4" w:space="0" w:color="000000"/>
            </w:tcBorders>
            <w:shd w:val="clear" w:color="auto" w:fill="C5D9F1"/>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1440" w:type="dxa"/>
            <w:vMerge/>
            <w:tcBorders>
              <w:top w:val="single" w:sz="4" w:space="0" w:color="000000"/>
              <w:left w:val="nil"/>
              <w:bottom w:val="single" w:sz="4" w:space="0" w:color="000000"/>
              <w:right w:val="single" w:sz="4" w:space="0" w:color="000000"/>
            </w:tcBorders>
            <w:shd w:val="clear" w:color="auto" w:fill="C5D9F1"/>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5D9F1"/>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color w:val="000000"/>
                <w:sz w:val="18"/>
                <w:szCs w:val="18"/>
              </w:rPr>
            </w:pP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DDD9C4"/>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Target</w:t>
            </w:r>
          </w:p>
        </w:tc>
        <w:tc>
          <w:tcPr>
            <w:tcW w:w="1272" w:type="dxa"/>
            <w:tcBorders>
              <w:top w:val="nil"/>
              <w:left w:val="nil"/>
              <w:bottom w:val="single" w:sz="4" w:space="0" w:color="000000"/>
              <w:right w:val="single" w:sz="4" w:space="0" w:color="000000"/>
            </w:tcBorders>
            <w:shd w:val="clear" w:color="auto" w:fill="DDD9C4"/>
            <w:vAlign w:val="center"/>
          </w:tcPr>
          <w:p w:rsidR="00EC7099" w:rsidRDefault="00AC34AC">
            <w:pPr>
              <w:jc w:val="right"/>
              <w:rPr>
                <w:rFonts w:ascii="Calibri" w:eastAsia="Calibri" w:hAnsi="Calibri" w:cs="Calibri"/>
                <w:b/>
                <w:sz w:val="18"/>
                <w:szCs w:val="18"/>
              </w:rPr>
            </w:pPr>
            <w:r>
              <w:rPr>
                <w:rFonts w:ascii="Calibri" w:eastAsia="Calibri" w:hAnsi="Calibri" w:cs="Calibri"/>
                <w:b/>
                <w:sz w:val="18"/>
                <w:szCs w:val="18"/>
              </w:rPr>
              <w:t>65.50</w:t>
            </w:r>
          </w:p>
        </w:tc>
        <w:tc>
          <w:tcPr>
            <w:tcW w:w="1260" w:type="dxa"/>
            <w:tcBorders>
              <w:top w:val="nil"/>
              <w:left w:val="nil"/>
              <w:bottom w:val="single" w:sz="4" w:space="0" w:color="000000"/>
              <w:right w:val="single" w:sz="4" w:space="0" w:color="000000"/>
            </w:tcBorders>
            <w:shd w:val="clear" w:color="auto" w:fill="DDD9C4"/>
            <w:vAlign w:val="center"/>
          </w:tcPr>
          <w:p w:rsidR="00EC7099" w:rsidRDefault="00AC34AC">
            <w:pPr>
              <w:jc w:val="right"/>
              <w:rPr>
                <w:rFonts w:ascii="Calibri" w:eastAsia="Calibri" w:hAnsi="Calibri" w:cs="Calibri"/>
                <w:b/>
                <w:sz w:val="18"/>
                <w:szCs w:val="18"/>
              </w:rPr>
            </w:pPr>
            <w:r>
              <w:rPr>
                <w:rFonts w:ascii="Calibri" w:eastAsia="Calibri" w:hAnsi="Calibri" w:cs="Calibri"/>
                <w:b/>
                <w:sz w:val="18"/>
                <w:szCs w:val="18"/>
              </w:rPr>
              <w:t>40.90</w:t>
            </w:r>
          </w:p>
        </w:tc>
        <w:tc>
          <w:tcPr>
            <w:tcW w:w="1440" w:type="dxa"/>
            <w:tcBorders>
              <w:top w:val="nil"/>
              <w:left w:val="nil"/>
              <w:bottom w:val="single" w:sz="4" w:space="0" w:color="000000"/>
              <w:right w:val="single" w:sz="4" w:space="0" w:color="000000"/>
            </w:tcBorders>
            <w:shd w:val="clear" w:color="auto" w:fill="DDD9C4"/>
            <w:vAlign w:val="center"/>
          </w:tcPr>
          <w:p w:rsidR="00EC7099" w:rsidRDefault="00AC34AC">
            <w:pPr>
              <w:jc w:val="right"/>
              <w:rPr>
                <w:rFonts w:ascii="Calibri" w:eastAsia="Calibri" w:hAnsi="Calibri" w:cs="Calibri"/>
                <w:b/>
                <w:sz w:val="18"/>
                <w:szCs w:val="18"/>
              </w:rPr>
            </w:pPr>
            <w:r>
              <w:rPr>
                <w:rFonts w:ascii="Calibri" w:eastAsia="Calibri" w:hAnsi="Calibri" w:cs="Calibri"/>
                <w:b/>
                <w:sz w:val="18"/>
                <w:szCs w:val="18"/>
              </w:rPr>
              <w:t>16.10</w:t>
            </w:r>
          </w:p>
        </w:tc>
        <w:tc>
          <w:tcPr>
            <w:tcW w:w="1440" w:type="dxa"/>
            <w:vMerge w:val="restart"/>
            <w:tcBorders>
              <w:top w:val="nil"/>
              <w:left w:val="nil"/>
              <w:right w:val="nil"/>
            </w:tcBorders>
            <w:shd w:val="clear" w:color="auto" w:fill="DDD9C4"/>
            <w:vAlign w:val="center"/>
          </w:tcPr>
          <w:p w:rsidR="00EC7099" w:rsidRDefault="00EC7099">
            <w:pPr>
              <w:rPr>
                <w:rFonts w:ascii="Calibri" w:eastAsia="Calibri" w:hAnsi="Calibri" w:cs="Calibri"/>
                <w:b/>
                <w:color w:val="4F81BD"/>
                <w:sz w:val="18"/>
                <w:szCs w:val="18"/>
              </w:rPr>
            </w:pPr>
          </w:p>
        </w:tc>
        <w:tc>
          <w:tcPr>
            <w:tcW w:w="1530" w:type="dxa"/>
            <w:vMerge w:val="restart"/>
            <w:tcBorders>
              <w:top w:val="single" w:sz="4" w:space="0" w:color="000000"/>
              <w:left w:val="nil"/>
              <w:right w:val="single" w:sz="4" w:space="0" w:color="000000"/>
            </w:tcBorders>
            <w:shd w:val="clear" w:color="auto" w:fill="DDD9C4"/>
            <w:vAlign w:val="center"/>
          </w:tcPr>
          <w:p w:rsidR="00EC7099" w:rsidRDefault="00EC7099">
            <w:pPr>
              <w:jc w:val="center"/>
              <w:rPr>
                <w:rFonts w:ascii="Calibri" w:eastAsia="Calibri" w:hAnsi="Calibri" w:cs="Calibri"/>
                <w:b/>
                <w:color w:val="4F81BD"/>
                <w:sz w:val="18"/>
                <w:szCs w:val="18"/>
              </w:rPr>
            </w:pPr>
          </w:p>
        </w:tc>
      </w:tr>
      <w:tr w:rsidR="00EC7099">
        <w:trPr>
          <w:trHeight w:val="255"/>
          <w:jc w:val="center"/>
        </w:trPr>
        <w:tc>
          <w:tcPr>
            <w:tcW w:w="1780" w:type="dxa"/>
            <w:tcBorders>
              <w:top w:val="nil"/>
              <w:left w:val="single" w:sz="4" w:space="0" w:color="000000"/>
              <w:bottom w:val="nil"/>
              <w:right w:val="single" w:sz="4" w:space="0" w:color="000000"/>
            </w:tcBorders>
            <w:shd w:val="clear" w:color="auto" w:fill="DDD9C4"/>
            <w:vAlign w:val="bottom"/>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90% of Target</w:t>
            </w:r>
          </w:p>
        </w:tc>
        <w:tc>
          <w:tcPr>
            <w:tcW w:w="1272" w:type="dxa"/>
            <w:tcBorders>
              <w:top w:val="nil"/>
              <w:left w:val="nil"/>
              <w:bottom w:val="nil"/>
              <w:right w:val="single" w:sz="4" w:space="0" w:color="000000"/>
            </w:tcBorders>
            <w:shd w:val="clear" w:color="auto" w:fill="DDD9C4"/>
            <w:vAlign w:val="bottom"/>
          </w:tcPr>
          <w:p w:rsidR="00EC7099" w:rsidRDefault="00AC34AC">
            <w:pPr>
              <w:jc w:val="right"/>
              <w:rPr>
                <w:rFonts w:ascii="Calibri" w:eastAsia="Calibri" w:hAnsi="Calibri" w:cs="Calibri"/>
                <w:b/>
                <w:sz w:val="18"/>
                <w:szCs w:val="18"/>
              </w:rPr>
            </w:pPr>
            <w:r>
              <w:rPr>
                <w:rFonts w:ascii="Calibri" w:eastAsia="Calibri" w:hAnsi="Calibri" w:cs="Calibri"/>
                <w:b/>
                <w:sz w:val="18"/>
                <w:szCs w:val="18"/>
              </w:rPr>
              <w:t>58.95</w:t>
            </w:r>
          </w:p>
        </w:tc>
        <w:tc>
          <w:tcPr>
            <w:tcW w:w="1260" w:type="dxa"/>
            <w:tcBorders>
              <w:top w:val="nil"/>
              <w:left w:val="nil"/>
              <w:bottom w:val="nil"/>
              <w:right w:val="single" w:sz="4" w:space="0" w:color="000000"/>
            </w:tcBorders>
            <w:shd w:val="clear" w:color="auto" w:fill="DDD9C4"/>
            <w:vAlign w:val="bottom"/>
          </w:tcPr>
          <w:p w:rsidR="00EC7099" w:rsidRDefault="00AC34AC">
            <w:pPr>
              <w:jc w:val="right"/>
              <w:rPr>
                <w:rFonts w:ascii="Calibri" w:eastAsia="Calibri" w:hAnsi="Calibri" w:cs="Calibri"/>
                <w:b/>
                <w:sz w:val="18"/>
                <w:szCs w:val="18"/>
              </w:rPr>
            </w:pPr>
            <w:r>
              <w:rPr>
                <w:rFonts w:ascii="Calibri" w:eastAsia="Calibri" w:hAnsi="Calibri" w:cs="Calibri"/>
                <w:b/>
                <w:sz w:val="18"/>
                <w:szCs w:val="18"/>
              </w:rPr>
              <w:t>36.81</w:t>
            </w:r>
          </w:p>
        </w:tc>
        <w:tc>
          <w:tcPr>
            <w:tcW w:w="1440" w:type="dxa"/>
            <w:tcBorders>
              <w:top w:val="nil"/>
              <w:left w:val="nil"/>
              <w:bottom w:val="nil"/>
              <w:right w:val="single" w:sz="4" w:space="0" w:color="000000"/>
            </w:tcBorders>
            <w:shd w:val="clear" w:color="auto" w:fill="DDD9C4"/>
            <w:vAlign w:val="bottom"/>
          </w:tcPr>
          <w:p w:rsidR="00EC7099" w:rsidRDefault="00AC34AC">
            <w:pPr>
              <w:jc w:val="right"/>
              <w:rPr>
                <w:rFonts w:ascii="Calibri" w:eastAsia="Calibri" w:hAnsi="Calibri" w:cs="Calibri"/>
                <w:b/>
                <w:sz w:val="18"/>
                <w:szCs w:val="18"/>
              </w:rPr>
            </w:pPr>
            <w:r>
              <w:rPr>
                <w:rFonts w:ascii="Calibri" w:eastAsia="Calibri" w:hAnsi="Calibri" w:cs="Calibri"/>
                <w:b/>
                <w:sz w:val="18"/>
                <w:szCs w:val="18"/>
              </w:rPr>
              <w:t>14.49</w:t>
            </w:r>
          </w:p>
        </w:tc>
        <w:tc>
          <w:tcPr>
            <w:tcW w:w="1440" w:type="dxa"/>
            <w:vMerge/>
            <w:tcBorders>
              <w:top w:val="nil"/>
              <w:left w:val="nil"/>
              <w:right w:val="nil"/>
            </w:tcBorders>
            <w:shd w:val="clear" w:color="auto" w:fill="DDD9C4"/>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sz w:val="18"/>
                <w:szCs w:val="18"/>
              </w:rPr>
            </w:pPr>
          </w:p>
        </w:tc>
        <w:tc>
          <w:tcPr>
            <w:tcW w:w="1530" w:type="dxa"/>
            <w:vMerge/>
            <w:tcBorders>
              <w:top w:val="single" w:sz="4" w:space="0" w:color="000000"/>
              <w:left w:val="nil"/>
              <w:right w:val="single" w:sz="4" w:space="0" w:color="000000"/>
            </w:tcBorders>
            <w:shd w:val="clear" w:color="auto" w:fill="DDD9C4"/>
            <w:vAlign w:val="center"/>
          </w:tcPr>
          <w:p w:rsidR="00EC7099" w:rsidRDefault="00EC7099">
            <w:pPr>
              <w:widowControl w:val="0"/>
              <w:pBdr>
                <w:top w:val="nil"/>
                <w:left w:val="nil"/>
                <w:bottom w:val="nil"/>
                <w:right w:val="nil"/>
                <w:between w:val="nil"/>
              </w:pBdr>
              <w:spacing w:line="276" w:lineRule="auto"/>
              <w:rPr>
                <w:rFonts w:ascii="Calibri" w:eastAsia="Calibri" w:hAnsi="Calibri" w:cs="Calibri"/>
                <w:b/>
                <w:sz w:val="18"/>
                <w:szCs w:val="18"/>
              </w:rPr>
            </w:pPr>
          </w:p>
        </w:tc>
      </w:tr>
      <w:tr w:rsidR="00EC7099">
        <w:trPr>
          <w:trHeight w:val="120"/>
          <w:jc w:val="center"/>
        </w:trPr>
        <w:tc>
          <w:tcPr>
            <w:tcW w:w="1780" w:type="dxa"/>
            <w:tcBorders>
              <w:top w:val="single" w:sz="4" w:space="0" w:color="000000"/>
              <w:left w:val="single" w:sz="4" w:space="0" w:color="000000"/>
              <w:bottom w:val="single" w:sz="4" w:space="0" w:color="000000"/>
              <w:right w:val="nil"/>
            </w:tcBorders>
            <w:shd w:val="clear" w:color="auto" w:fill="C5D9F1"/>
            <w:vAlign w:val="bottom"/>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 </w:t>
            </w:r>
          </w:p>
        </w:tc>
        <w:tc>
          <w:tcPr>
            <w:tcW w:w="1272" w:type="dxa"/>
            <w:tcBorders>
              <w:top w:val="single" w:sz="4" w:space="0" w:color="000000"/>
              <w:left w:val="nil"/>
              <w:bottom w:val="single" w:sz="4" w:space="0" w:color="000000"/>
              <w:right w:val="nil"/>
            </w:tcBorders>
            <w:shd w:val="clear" w:color="auto" w:fill="C5D9F1"/>
            <w:vAlign w:val="bottom"/>
          </w:tcPr>
          <w:p w:rsidR="00EC7099" w:rsidRDefault="00AC34AC">
            <w:pPr>
              <w:rPr>
                <w:rFonts w:ascii="Calibri" w:eastAsia="Calibri" w:hAnsi="Calibri" w:cs="Calibri"/>
                <w:b/>
                <w:sz w:val="18"/>
                <w:szCs w:val="18"/>
              </w:rPr>
            </w:pPr>
            <w:r>
              <w:rPr>
                <w:rFonts w:ascii="Calibri" w:eastAsia="Calibri" w:hAnsi="Calibri" w:cs="Calibri"/>
                <w:b/>
                <w:sz w:val="18"/>
                <w:szCs w:val="18"/>
              </w:rPr>
              <w:t> </w:t>
            </w:r>
          </w:p>
        </w:tc>
        <w:tc>
          <w:tcPr>
            <w:tcW w:w="1260" w:type="dxa"/>
            <w:tcBorders>
              <w:top w:val="single" w:sz="4" w:space="0" w:color="000000"/>
              <w:left w:val="nil"/>
              <w:bottom w:val="single" w:sz="4" w:space="0" w:color="000000"/>
              <w:right w:val="nil"/>
            </w:tcBorders>
            <w:shd w:val="clear" w:color="auto" w:fill="C5D9F1"/>
            <w:vAlign w:val="bottom"/>
          </w:tcPr>
          <w:p w:rsidR="00EC7099" w:rsidRDefault="00AC34AC">
            <w:pPr>
              <w:rPr>
                <w:rFonts w:ascii="Calibri" w:eastAsia="Calibri" w:hAnsi="Calibri" w:cs="Calibri"/>
                <w:b/>
                <w:sz w:val="18"/>
                <w:szCs w:val="18"/>
              </w:rPr>
            </w:pPr>
            <w:r>
              <w:rPr>
                <w:rFonts w:ascii="Calibri" w:eastAsia="Calibri" w:hAnsi="Calibri" w:cs="Calibri"/>
                <w:b/>
                <w:sz w:val="18"/>
                <w:szCs w:val="18"/>
              </w:rPr>
              <w:t> </w:t>
            </w:r>
          </w:p>
        </w:tc>
        <w:tc>
          <w:tcPr>
            <w:tcW w:w="1440" w:type="dxa"/>
            <w:tcBorders>
              <w:top w:val="single" w:sz="4" w:space="0" w:color="000000"/>
              <w:left w:val="nil"/>
              <w:bottom w:val="single" w:sz="4" w:space="0" w:color="000000"/>
              <w:right w:val="nil"/>
            </w:tcBorders>
            <w:shd w:val="clear" w:color="auto" w:fill="C5D9F1"/>
            <w:vAlign w:val="bottom"/>
          </w:tcPr>
          <w:p w:rsidR="00EC7099" w:rsidRDefault="00AC34AC">
            <w:pPr>
              <w:rPr>
                <w:rFonts w:ascii="Calibri" w:eastAsia="Calibri" w:hAnsi="Calibri" w:cs="Calibri"/>
                <w:b/>
                <w:sz w:val="18"/>
                <w:szCs w:val="18"/>
              </w:rPr>
            </w:pPr>
            <w:r>
              <w:rPr>
                <w:rFonts w:ascii="Calibri" w:eastAsia="Calibri" w:hAnsi="Calibri" w:cs="Calibri"/>
                <w:b/>
                <w:sz w:val="18"/>
                <w:szCs w:val="18"/>
              </w:rPr>
              <w:t> </w:t>
            </w:r>
          </w:p>
        </w:tc>
        <w:tc>
          <w:tcPr>
            <w:tcW w:w="1440" w:type="dxa"/>
            <w:tcBorders>
              <w:top w:val="single" w:sz="4" w:space="0" w:color="000000"/>
              <w:left w:val="nil"/>
              <w:bottom w:val="single" w:sz="4" w:space="0" w:color="000000"/>
              <w:right w:val="nil"/>
            </w:tcBorders>
            <w:shd w:val="clear" w:color="auto" w:fill="C5D9F1"/>
            <w:vAlign w:val="center"/>
          </w:tcPr>
          <w:p w:rsidR="00EC7099" w:rsidRDefault="00AC34AC">
            <w:pPr>
              <w:rPr>
                <w:rFonts w:ascii="Calibri" w:eastAsia="Calibri" w:hAnsi="Calibri" w:cs="Calibri"/>
                <w:color w:val="000000"/>
                <w:sz w:val="18"/>
                <w:szCs w:val="18"/>
              </w:rPr>
            </w:pPr>
            <w:r>
              <w:rPr>
                <w:rFonts w:ascii="Calibri" w:eastAsia="Calibri" w:hAnsi="Calibri" w:cs="Calibri"/>
                <w:color w:val="000000"/>
                <w:sz w:val="18"/>
                <w:szCs w:val="18"/>
              </w:rPr>
              <w:t> </w:t>
            </w:r>
          </w:p>
        </w:tc>
        <w:tc>
          <w:tcPr>
            <w:tcW w:w="1530" w:type="dxa"/>
            <w:tcBorders>
              <w:top w:val="single" w:sz="4" w:space="0" w:color="000000"/>
              <w:left w:val="nil"/>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 </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Blue Ridge</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88.47</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67.75</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12.87</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Central Virginia</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84.48</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53.25</w:t>
            </w:r>
          </w:p>
        </w:tc>
        <w:tc>
          <w:tcPr>
            <w:tcW w:w="144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16.71</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0</w:t>
            </w:r>
          </w:p>
        </w:tc>
      </w:tr>
      <w:tr w:rsidR="00EC7099">
        <w:trPr>
          <w:trHeight w:val="270"/>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Dabney S. Lancaster</w:t>
            </w:r>
          </w:p>
        </w:tc>
        <w:tc>
          <w:tcPr>
            <w:tcW w:w="1272" w:type="dxa"/>
            <w:tcBorders>
              <w:top w:val="single" w:sz="4" w:space="0" w:color="000000"/>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84.64</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68.24</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11.88</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Danville</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76.06</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61.42</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9.68</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Eastern Shore</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84.11</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46.10</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4.61</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proofErr w:type="spellStart"/>
            <w:r>
              <w:rPr>
                <w:rFonts w:ascii="Calibri" w:eastAsia="Calibri" w:hAnsi="Calibri" w:cs="Calibri"/>
                <w:b/>
                <w:color w:val="000000"/>
                <w:sz w:val="18"/>
                <w:szCs w:val="18"/>
              </w:rPr>
              <w:t>Germanna</w:t>
            </w:r>
            <w:proofErr w:type="spellEnd"/>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89.93</w:t>
            </w:r>
          </w:p>
        </w:tc>
        <w:tc>
          <w:tcPr>
            <w:tcW w:w="1260" w:type="dxa"/>
            <w:tcBorders>
              <w:top w:val="single" w:sz="4" w:space="0" w:color="000000"/>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61.52</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11.04</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 xml:space="preserve">J. </w:t>
            </w:r>
            <w:proofErr w:type="spellStart"/>
            <w:r>
              <w:rPr>
                <w:rFonts w:ascii="Calibri" w:eastAsia="Calibri" w:hAnsi="Calibri" w:cs="Calibri"/>
                <w:b/>
                <w:color w:val="000000"/>
                <w:sz w:val="18"/>
                <w:szCs w:val="18"/>
              </w:rPr>
              <w:t>Sargeant</w:t>
            </w:r>
            <w:proofErr w:type="spellEnd"/>
            <w:r>
              <w:rPr>
                <w:rFonts w:ascii="Calibri" w:eastAsia="Calibri" w:hAnsi="Calibri" w:cs="Calibri"/>
                <w:b/>
                <w:color w:val="000000"/>
                <w:sz w:val="18"/>
                <w:szCs w:val="18"/>
              </w:rPr>
              <w:t xml:space="preserve"> Reynolds</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86.76</w:t>
            </w:r>
          </w:p>
        </w:tc>
        <w:tc>
          <w:tcPr>
            <w:tcW w:w="1260" w:type="dxa"/>
            <w:tcBorders>
              <w:top w:val="single" w:sz="4" w:space="0" w:color="000000"/>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33.90</w:t>
            </w:r>
          </w:p>
        </w:tc>
        <w:tc>
          <w:tcPr>
            <w:tcW w:w="144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19.44</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John Tyler</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82.85</w:t>
            </w:r>
          </w:p>
        </w:tc>
        <w:tc>
          <w:tcPr>
            <w:tcW w:w="1260" w:type="dxa"/>
            <w:tcBorders>
              <w:top w:val="single" w:sz="4" w:space="0" w:color="000000"/>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48.79</w:t>
            </w:r>
          </w:p>
        </w:tc>
        <w:tc>
          <w:tcPr>
            <w:tcW w:w="144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18.96</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0</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Lord Fairfax</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89.79</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68.23</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10.07</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Mountain Empire</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76.47</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57.78</w:t>
            </w:r>
          </w:p>
        </w:tc>
        <w:tc>
          <w:tcPr>
            <w:tcW w:w="1440" w:type="dxa"/>
            <w:tcBorders>
              <w:top w:val="single" w:sz="4" w:space="0" w:color="000000"/>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9.03</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New River</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88.20</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52.43</w:t>
            </w:r>
          </w:p>
        </w:tc>
        <w:tc>
          <w:tcPr>
            <w:tcW w:w="1440" w:type="dxa"/>
            <w:tcBorders>
              <w:top w:val="single" w:sz="4" w:space="0" w:color="000000"/>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9.17</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Northern Virginia</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77.65</w:t>
            </w:r>
          </w:p>
        </w:tc>
        <w:tc>
          <w:tcPr>
            <w:tcW w:w="1260" w:type="dxa"/>
            <w:tcBorders>
              <w:top w:val="single" w:sz="4" w:space="0" w:color="000000"/>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36.20</w:t>
            </w:r>
          </w:p>
        </w:tc>
        <w:tc>
          <w:tcPr>
            <w:tcW w:w="144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20.11</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Patrick Henry</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85.68</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58.74</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10.36</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Paul D. Camp</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83.25</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64.96</w:t>
            </w:r>
          </w:p>
        </w:tc>
        <w:tc>
          <w:tcPr>
            <w:tcW w:w="1440" w:type="dxa"/>
            <w:tcBorders>
              <w:top w:val="single" w:sz="4" w:space="0" w:color="000000"/>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15.03</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0</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Piedmont Virginia</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85.15</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58.43</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13.48</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0</w:t>
            </w:r>
          </w:p>
        </w:tc>
      </w:tr>
      <w:tr w:rsidR="00EC7099">
        <w:trPr>
          <w:trHeight w:val="287"/>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Rappahannock</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87.99</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60.37</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9.68</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Southside Virginia</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80.53</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55.51</w:t>
            </w:r>
          </w:p>
        </w:tc>
        <w:tc>
          <w:tcPr>
            <w:tcW w:w="1440" w:type="dxa"/>
            <w:tcBorders>
              <w:top w:val="single" w:sz="4" w:space="0" w:color="000000"/>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10.64</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Southwest Virginia</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79.04</w:t>
            </w:r>
          </w:p>
        </w:tc>
        <w:tc>
          <w:tcPr>
            <w:tcW w:w="1260" w:type="dxa"/>
            <w:tcBorders>
              <w:top w:val="single" w:sz="4" w:space="0" w:color="000000"/>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46.78</w:t>
            </w:r>
          </w:p>
        </w:tc>
        <w:tc>
          <w:tcPr>
            <w:tcW w:w="1440" w:type="dxa"/>
            <w:tcBorders>
              <w:top w:val="single" w:sz="4" w:space="0" w:color="000000"/>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12.52</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Thomas Nelson</w:t>
            </w:r>
          </w:p>
        </w:tc>
        <w:tc>
          <w:tcPr>
            <w:tcW w:w="1272" w:type="dxa"/>
            <w:tcBorders>
              <w:top w:val="single" w:sz="4" w:space="0" w:color="000000"/>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82.80</w:t>
            </w:r>
          </w:p>
        </w:tc>
        <w:tc>
          <w:tcPr>
            <w:tcW w:w="1260" w:type="dxa"/>
            <w:tcBorders>
              <w:top w:val="single" w:sz="4" w:space="0" w:color="000000"/>
              <w:left w:val="nil"/>
              <w:bottom w:val="single" w:sz="4" w:space="0" w:color="000000"/>
              <w:right w:val="single" w:sz="4" w:space="0" w:color="000000"/>
            </w:tcBorders>
            <w:shd w:val="clear" w:color="auto" w:fill="DBE5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36.62</w:t>
            </w:r>
          </w:p>
        </w:tc>
        <w:tc>
          <w:tcPr>
            <w:tcW w:w="144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15.52</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2</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Tidewater</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76.46</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43.02</w:t>
            </w:r>
          </w:p>
        </w:tc>
        <w:tc>
          <w:tcPr>
            <w:tcW w:w="144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22.93</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0</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Virginia Highlands</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76.30</w:t>
            </w:r>
          </w:p>
        </w:tc>
        <w:tc>
          <w:tcPr>
            <w:tcW w:w="126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51.76</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13.95</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Virginia Western</w:t>
            </w:r>
          </w:p>
        </w:tc>
        <w:tc>
          <w:tcPr>
            <w:tcW w:w="1272"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87.12</w:t>
            </w:r>
          </w:p>
        </w:tc>
        <w:tc>
          <w:tcPr>
            <w:tcW w:w="1260" w:type="dxa"/>
            <w:tcBorders>
              <w:top w:val="single" w:sz="4" w:space="0" w:color="000000"/>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54.68</w:t>
            </w:r>
          </w:p>
        </w:tc>
        <w:tc>
          <w:tcPr>
            <w:tcW w:w="1440" w:type="dxa"/>
            <w:tcBorders>
              <w:top w:val="nil"/>
              <w:left w:val="nil"/>
              <w:bottom w:val="single" w:sz="4" w:space="0" w:color="000000"/>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13.83</w:t>
            </w:r>
          </w:p>
        </w:tc>
        <w:tc>
          <w:tcPr>
            <w:tcW w:w="1440" w:type="dxa"/>
            <w:tcBorders>
              <w:top w:val="nil"/>
              <w:left w:val="nil"/>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255"/>
          <w:jc w:val="center"/>
        </w:trPr>
        <w:tc>
          <w:tcPr>
            <w:tcW w:w="1780" w:type="dxa"/>
            <w:tcBorders>
              <w:top w:val="nil"/>
              <w:left w:val="single" w:sz="4" w:space="0" w:color="000000"/>
              <w:bottom w:val="nil"/>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Wytheville</w:t>
            </w:r>
          </w:p>
        </w:tc>
        <w:tc>
          <w:tcPr>
            <w:tcW w:w="1272" w:type="dxa"/>
            <w:tcBorders>
              <w:top w:val="nil"/>
              <w:left w:val="nil"/>
              <w:bottom w:val="nil"/>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80.72</w:t>
            </w:r>
          </w:p>
        </w:tc>
        <w:tc>
          <w:tcPr>
            <w:tcW w:w="1260" w:type="dxa"/>
            <w:tcBorders>
              <w:top w:val="nil"/>
              <w:left w:val="nil"/>
              <w:bottom w:val="nil"/>
              <w:right w:val="single" w:sz="4" w:space="0" w:color="000000"/>
            </w:tcBorders>
            <w:shd w:val="clear" w:color="auto" w:fill="auto"/>
            <w:vAlign w:val="bottom"/>
          </w:tcPr>
          <w:p w:rsidR="00EC7099" w:rsidRDefault="00AC34AC">
            <w:pPr>
              <w:jc w:val="right"/>
              <w:rPr>
                <w:rFonts w:ascii="Calibri" w:eastAsia="Calibri" w:hAnsi="Calibri" w:cs="Calibri"/>
                <w:sz w:val="18"/>
                <w:szCs w:val="18"/>
              </w:rPr>
            </w:pPr>
            <w:r>
              <w:rPr>
                <w:rFonts w:ascii="Calibri" w:eastAsia="Calibri" w:hAnsi="Calibri" w:cs="Calibri"/>
                <w:sz w:val="18"/>
                <w:szCs w:val="18"/>
              </w:rPr>
              <w:t>60.91</w:t>
            </w:r>
          </w:p>
        </w:tc>
        <w:tc>
          <w:tcPr>
            <w:tcW w:w="1440" w:type="dxa"/>
            <w:tcBorders>
              <w:top w:val="nil"/>
              <w:left w:val="nil"/>
              <w:bottom w:val="nil"/>
              <w:right w:val="single" w:sz="4" w:space="0" w:color="000000"/>
            </w:tcBorders>
            <w:shd w:val="clear" w:color="auto" w:fill="C6D9F1"/>
            <w:vAlign w:val="bottom"/>
          </w:tcPr>
          <w:p w:rsidR="00EC7099" w:rsidRDefault="00AC34AC">
            <w:pPr>
              <w:jc w:val="right"/>
              <w:rPr>
                <w:rFonts w:ascii="Calibri" w:eastAsia="Calibri" w:hAnsi="Calibri" w:cs="Calibri"/>
                <w:color w:val="4F81BD"/>
                <w:sz w:val="18"/>
                <w:szCs w:val="18"/>
              </w:rPr>
            </w:pPr>
            <w:r>
              <w:rPr>
                <w:rFonts w:ascii="Calibri" w:eastAsia="Calibri" w:hAnsi="Calibri" w:cs="Calibri"/>
                <w:color w:val="4F81BD"/>
                <w:sz w:val="18"/>
                <w:szCs w:val="18"/>
              </w:rPr>
              <w:t>11.63</w:t>
            </w:r>
          </w:p>
        </w:tc>
        <w:tc>
          <w:tcPr>
            <w:tcW w:w="1440" w:type="dxa"/>
            <w:tcBorders>
              <w:top w:val="nil"/>
              <w:left w:val="nil"/>
              <w:bottom w:val="nil"/>
              <w:right w:val="single" w:sz="4" w:space="0" w:color="000000"/>
            </w:tcBorders>
            <w:shd w:val="clear" w:color="auto" w:fill="auto"/>
            <w:vAlign w:val="center"/>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c>
          <w:tcPr>
            <w:tcW w:w="1530" w:type="dxa"/>
            <w:tcBorders>
              <w:top w:val="nil"/>
              <w:left w:val="nil"/>
              <w:bottom w:val="nil"/>
              <w:right w:val="single" w:sz="4" w:space="0" w:color="000000"/>
            </w:tcBorders>
            <w:shd w:val="clear" w:color="auto" w:fill="auto"/>
            <w:vAlign w:val="bottom"/>
          </w:tcPr>
          <w:p w:rsidR="00EC7099" w:rsidRDefault="00AC34AC">
            <w:pPr>
              <w:jc w:val="right"/>
              <w:rPr>
                <w:rFonts w:ascii="Calibri" w:eastAsia="Calibri" w:hAnsi="Calibri" w:cs="Calibri"/>
                <w:color w:val="000000"/>
                <w:sz w:val="18"/>
                <w:szCs w:val="18"/>
              </w:rPr>
            </w:pPr>
            <w:r>
              <w:rPr>
                <w:rFonts w:ascii="Calibri" w:eastAsia="Calibri" w:hAnsi="Calibri" w:cs="Calibri"/>
                <w:color w:val="000000"/>
                <w:sz w:val="18"/>
                <w:szCs w:val="18"/>
              </w:rPr>
              <w:t>1</w:t>
            </w:r>
          </w:p>
        </w:tc>
      </w:tr>
      <w:tr w:rsidR="00EC7099">
        <w:trPr>
          <w:trHeight w:val="120"/>
          <w:jc w:val="center"/>
        </w:trPr>
        <w:tc>
          <w:tcPr>
            <w:tcW w:w="1780" w:type="dxa"/>
            <w:tcBorders>
              <w:top w:val="single" w:sz="4" w:space="0" w:color="000000"/>
              <w:left w:val="single" w:sz="4" w:space="0" w:color="000000"/>
              <w:bottom w:val="single" w:sz="4" w:space="0" w:color="000000"/>
              <w:right w:val="nil"/>
            </w:tcBorders>
            <w:shd w:val="clear" w:color="auto" w:fill="C5D9F1"/>
            <w:vAlign w:val="bottom"/>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 </w:t>
            </w:r>
          </w:p>
        </w:tc>
        <w:tc>
          <w:tcPr>
            <w:tcW w:w="1272" w:type="dxa"/>
            <w:tcBorders>
              <w:top w:val="single" w:sz="4" w:space="0" w:color="000000"/>
              <w:left w:val="nil"/>
              <w:bottom w:val="single" w:sz="4" w:space="0" w:color="000000"/>
              <w:right w:val="nil"/>
            </w:tcBorders>
            <w:shd w:val="clear" w:color="auto" w:fill="C5D9F1"/>
            <w:vAlign w:val="bottom"/>
          </w:tcPr>
          <w:p w:rsidR="00EC7099" w:rsidRDefault="00AC34AC">
            <w:pPr>
              <w:rPr>
                <w:rFonts w:ascii="Calibri" w:eastAsia="Calibri" w:hAnsi="Calibri" w:cs="Calibri"/>
                <w:b/>
                <w:sz w:val="18"/>
                <w:szCs w:val="18"/>
              </w:rPr>
            </w:pPr>
            <w:r>
              <w:rPr>
                <w:rFonts w:ascii="Calibri" w:eastAsia="Calibri" w:hAnsi="Calibri" w:cs="Calibri"/>
                <w:b/>
                <w:sz w:val="18"/>
                <w:szCs w:val="18"/>
              </w:rPr>
              <w:t> </w:t>
            </w:r>
          </w:p>
        </w:tc>
        <w:tc>
          <w:tcPr>
            <w:tcW w:w="1260" w:type="dxa"/>
            <w:tcBorders>
              <w:top w:val="single" w:sz="4" w:space="0" w:color="000000"/>
              <w:left w:val="nil"/>
              <w:bottom w:val="single" w:sz="4" w:space="0" w:color="000000"/>
              <w:right w:val="nil"/>
            </w:tcBorders>
            <w:shd w:val="clear" w:color="auto" w:fill="C5D9F1"/>
            <w:vAlign w:val="bottom"/>
          </w:tcPr>
          <w:p w:rsidR="00EC7099" w:rsidRDefault="00AC34AC">
            <w:pPr>
              <w:rPr>
                <w:rFonts w:ascii="Calibri" w:eastAsia="Calibri" w:hAnsi="Calibri" w:cs="Calibri"/>
                <w:b/>
                <w:sz w:val="18"/>
                <w:szCs w:val="18"/>
              </w:rPr>
            </w:pPr>
            <w:r>
              <w:rPr>
                <w:rFonts w:ascii="Calibri" w:eastAsia="Calibri" w:hAnsi="Calibri" w:cs="Calibri"/>
                <w:b/>
                <w:sz w:val="18"/>
                <w:szCs w:val="18"/>
              </w:rPr>
              <w:t> </w:t>
            </w:r>
          </w:p>
        </w:tc>
        <w:tc>
          <w:tcPr>
            <w:tcW w:w="1440" w:type="dxa"/>
            <w:tcBorders>
              <w:top w:val="single" w:sz="4" w:space="0" w:color="000000"/>
              <w:left w:val="nil"/>
              <w:bottom w:val="single" w:sz="4" w:space="0" w:color="000000"/>
              <w:right w:val="nil"/>
            </w:tcBorders>
            <w:shd w:val="clear" w:color="auto" w:fill="C6D9F1"/>
            <w:vAlign w:val="bottom"/>
          </w:tcPr>
          <w:p w:rsidR="00EC7099" w:rsidRDefault="00AC34AC">
            <w:pPr>
              <w:rPr>
                <w:rFonts w:ascii="Calibri" w:eastAsia="Calibri" w:hAnsi="Calibri" w:cs="Calibri"/>
                <w:b/>
                <w:sz w:val="18"/>
                <w:szCs w:val="18"/>
              </w:rPr>
            </w:pPr>
            <w:r>
              <w:rPr>
                <w:rFonts w:ascii="Calibri" w:eastAsia="Calibri" w:hAnsi="Calibri" w:cs="Calibri"/>
                <w:b/>
                <w:sz w:val="18"/>
                <w:szCs w:val="18"/>
              </w:rPr>
              <w:t> </w:t>
            </w:r>
          </w:p>
        </w:tc>
        <w:tc>
          <w:tcPr>
            <w:tcW w:w="1440" w:type="dxa"/>
            <w:tcBorders>
              <w:top w:val="single" w:sz="4" w:space="0" w:color="000000"/>
              <w:left w:val="nil"/>
              <w:bottom w:val="single" w:sz="4" w:space="0" w:color="000000"/>
              <w:right w:val="nil"/>
            </w:tcBorders>
            <w:shd w:val="clear" w:color="auto" w:fill="C5D9F1"/>
            <w:vAlign w:val="center"/>
          </w:tcPr>
          <w:p w:rsidR="00EC7099" w:rsidRDefault="00AC34AC">
            <w:pPr>
              <w:rPr>
                <w:rFonts w:ascii="Calibri" w:eastAsia="Calibri" w:hAnsi="Calibri" w:cs="Calibri"/>
                <w:color w:val="000000"/>
                <w:sz w:val="18"/>
                <w:szCs w:val="18"/>
              </w:rPr>
            </w:pPr>
            <w:r>
              <w:rPr>
                <w:rFonts w:ascii="Calibri" w:eastAsia="Calibri" w:hAnsi="Calibri" w:cs="Calibri"/>
                <w:color w:val="000000"/>
                <w:sz w:val="18"/>
                <w:szCs w:val="18"/>
              </w:rPr>
              <w:t> </w:t>
            </w:r>
          </w:p>
        </w:tc>
        <w:tc>
          <w:tcPr>
            <w:tcW w:w="1530" w:type="dxa"/>
            <w:tcBorders>
              <w:top w:val="single" w:sz="4" w:space="0" w:color="000000"/>
              <w:left w:val="nil"/>
              <w:bottom w:val="single" w:sz="4" w:space="0" w:color="000000"/>
              <w:right w:val="single" w:sz="4" w:space="0" w:color="000000"/>
            </w:tcBorders>
            <w:shd w:val="clear" w:color="auto" w:fill="C5D9F1"/>
            <w:vAlign w:val="center"/>
          </w:tcPr>
          <w:p w:rsidR="00EC7099" w:rsidRDefault="00AC34AC">
            <w:pPr>
              <w:jc w:val="center"/>
              <w:rPr>
                <w:rFonts w:ascii="Calibri" w:eastAsia="Calibri" w:hAnsi="Calibri" w:cs="Calibri"/>
                <w:b/>
                <w:color w:val="000000"/>
                <w:sz w:val="18"/>
                <w:szCs w:val="18"/>
              </w:rPr>
            </w:pPr>
            <w:r>
              <w:rPr>
                <w:rFonts w:ascii="Calibri" w:eastAsia="Calibri" w:hAnsi="Calibri" w:cs="Calibri"/>
                <w:b/>
                <w:color w:val="000000"/>
                <w:sz w:val="18"/>
                <w:szCs w:val="18"/>
              </w:rPr>
              <w:t> </w:t>
            </w:r>
          </w:p>
        </w:tc>
      </w:tr>
      <w:tr w:rsidR="00EC7099">
        <w:trPr>
          <w:trHeight w:val="255"/>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099" w:rsidRDefault="00AC34AC">
            <w:pPr>
              <w:rPr>
                <w:rFonts w:ascii="Calibri" w:eastAsia="Calibri" w:hAnsi="Calibri" w:cs="Calibri"/>
                <w:b/>
                <w:color w:val="000000"/>
                <w:sz w:val="18"/>
                <w:szCs w:val="18"/>
              </w:rPr>
            </w:pPr>
            <w:r>
              <w:rPr>
                <w:rFonts w:ascii="Calibri" w:eastAsia="Calibri" w:hAnsi="Calibri" w:cs="Calibri"/>
                <w:b/>
                <w:color w:val="000000"/>
                <w:sz w:val="18"/>
                <w:szCs w:val="18"/>
              </w:rPr>
              <w:t>VCCS</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b/>
                <w:sz w:val="18"/>
                <w:szCs w:val="18"/>
              </w:rPr>
            </w:pPr>
            <w:r>
              <w:rPr>
                <w:rFonts w:ascii="Calibri" w:eastAsia="Calibri" w:hAnsi="Calibri" w:cs="Calibri"/>
                <w:b/>
                <w:sz w:val="18"/>
                <w:szCs w:val="18"/>
              </w:rPr>
              <w:t>82.54%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b/>
                <w:color w:val="4F81BD"/>
                <w:sz w:val="18"/>
                <w:szCs w:val="18"/>
              </w:rPr>
            </w:pPr>
            <w:r>
              <w:rPr>
                <w:rFonts w:ascii="Calibri" w:eastAsia="Calibri" w:hAnsi="Calibri" w:cs="Calibri"/>
                <w:b/>
                <w:sz w:val="18"/>
                <w:szCs w:val="18"/>
              </w:rPr>
              <w:t>46.62%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b/>
                <w:sz w:val="18"/>
                <w:szCs w:val="18"/>
              </w:rPr>
            </w:pPr>
            <w:r>
              <w:rPr>
                <w:rFonts w:ascii="Calibri" w:eastAsia="Calibri" w:hAnsi="Calibri" w:cs="Calibri"/>
                <w:b/>
                <w:sz w:val="18"/>
                <w:szCs w:val="18"/>
              </w:rPr>
              <w:t>16.22%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099" w:rsidRDefault="00AC34AC">
            <w:pPr>
              <w:jc w:val="right"/>
              <w:rPr>
                <w:rFonts w:ascii="Calibri" w:eastAsia="Calibri" w:hAnsi="Calibri" w:cs="Calibri"/>
                <w:b/>
                <w:color w:val="000000"/>
                <w:sz w:val="18"/>
                <w:szCs w:val="18"/>
              </w:rPr>
            </w:pPr>
            <w:r>
              <w:rPr>
                <w:rFonts w:ascii="Calibri" w:eastAsia="Calibri" w:hAnsi="Calibri" w:cs="Calibri"/>
                <w:b/>
                <w:color w:val="000000"/>
                <w:sz w:val="18"/>
                <w:szCs w:val="18"/>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7099" w:rsidRDefault="00AC34AC">
            <w:pPr>
              <w:jc w:val="right"/>
              <w:rPr>
                <w:rFonts w:ascii="Calibri" w:eastAsia="Calibri" w:hAnsi="Calibri" w:cs="Calibri"/>
                <w:b/>
                <w:color w:val="000000"/>
                <w:sz w:val="18"/>
                <w:szCs w:val="18"/>
              </w:rPr>
            </w:pPr>
            <w:r>
              <w:rPr>
                <w:rFonts w:ascii="Calibri" w:eastAsia="Calibri" w:hAnsi="Calibri" w:cs="Calibri"/>
                <w:b/>
                <w:color w:val="000000"/>
                <w:sz w:val="18"/>
                <w:szCs w:val="18"/>
              </w:rPr>
              <w:t>0</w:t>
            </w:r>
          </w:p>
        </w:tc>
      </w:tr>
    </w:tbl>
    <w:p w:rsidR="00EC7099" w:rsidRDefault="00EC7099">
      <w:pPr>
        <w:rPr>
          <w:rFonts w:ascii="Calibri" w:eastAsia="Calibri" w:hAnsi="Calibri" w:cs="Calibri"/>
          <w:b/>
          <w:sz w:val="28"/>
          <w:szCs w:val="28"/>
        </w:rPr>
      </w:pPr>
    </w:p>
    <w:p w:rsidR="00EC7099" w:rsidRDefault="00AC34AC">
      <w:pPr>
        <w:rPr>
          <w:rFonts w:ascii="Calibri" w:eastAsia="Calibri" w:hAnsi="Calibri" w:cs="Calibri"/>
          <w:b/>
          <w:sz w:val="28"/>
          <w:szCs w:val="28"/>
        </w:rPr>
      </w:pPr>
      <w:r>
        <w:br w:type="page"/>
      </w:r>
    </w:p>
    <w:p w:rsidR="00EC7099" w:rsidRDefault="00AC34AC">
      <w:pPr>
        <w:ind w:right="-270"/>
        <w:jc w:val="center"/>
        <w:rPr>
          <w:rFonts w:ascii="Calibri" w:eastAsia="Calibri" w:hAnsi="Calibri" w:cs="Calibri"/>
          <w:b/>
          <w:sz w:val="28"/>
          <w:szCs w:val="28"/>
        </w:rPr>
      </w:pPr>
      <w:r>
        <w:rPr>
          <w:rFonts w:ascii="Calibri" w:eastAsia="Calibri" w:hAnsi="Calibri" w:cs="Calibri"/>
          <w:b/>
          <w:sz w:val="28"/>
          <w:szCs w:val="28"/>
        </w:rPr>
        <w:t>Appendix</w:t>
      </w:r>
    </w:p>
    <w:p w:rsidR="00EC7099" w:rsidRDefault="00EC7099">
      <w:pPr>
        <w:ind w:right="-270"/>
        <w:jc w:val="center"/>
        <w:rPr>
          <w:rFonts w:ascii="Calibri" w:eastAsia="Calibri" w:hAnsi="Calibri" w:cs="Calibri"/>
          <w:sz w:val="22"/>
          <w:szCs w:val="22"/>
        </w:rPr>
      </w:pPr>
    </w:p>
    <w:p w:rsidR="00EC7099" w:rsidRDefault="00AC34AC">
      <w:pPr>
        <w:ind w:right="-270"/>
        <w:jc w:val="center"/>
        <w:rPr>
          <w:rFonts w:ascii="Calibri" w:eastAsia="Calibri" w:hAnsi="Calibri" w:cs="Calibri"/>
          <w:b/>
          <w:sz w:val="22"/>
          <w:szCs w:val="22"/>
        </w:rPr>
      </w:pPr>
      <w:r>
        <w:rPr>
          <w:rFonts w:ascii="Calibri" w:eastAsia="Calibri" w:hAnsi="Calibri" w:cs="Calibri"/>
          <w:b/>
          <w:sz w:val="22"/>
          <w:szCs w:val="22"/>
        </w:rPr>
        <w:t>Method of Calculating Postsecondary Perkins Performance Measures</w:t>
      </w:r>
    </w:p>
    <w:p w:rsidR="00EC7099" w:rsidRDefault="00EC7099">
      <w:pPr>
        <w:ind w:right="-270"/>
        <w:rPr>
          <w:rFonts w:ascii="Calibri" w:eastAsia="Calibri" w:hAnsi="Calibri" w:cs="Calibri"/>
          <w:b/>
          <w:sz w:val="20"/>
          <w:szCs w:val="20"/>
        </w:rPr>
      </w:pPr>
    </w:p>
    <w:p w:rsidR="00EC7099" w:rsidRDefault="00AC34AC">
      <w:pPr>
        <w:ind w:right="-270"/>
        <w:rPr>
          <w:rFonts w:ascii="Calibri" w:eastAsia="Calibri" w:hAnsi="Calibri" w:cs="Calibri"/>
          <w:sz w:val="22"/>
          <w:szCs w:val="22"/>
        </w:rPr>
      </w:pPr>
      <w:r>
        <w:rPr>
          <w:rFonts w:ascii="Calibri" w:eastAsia="Calibri" w:hAnsi="Calibri" w:cs="Calibri"/>
          <w:sz w:val="22"/>
          <w:szCs w:val="22"/>
        </w:rPr>
        <w:t>Performance measures are calculated based on three different classifications of students: concentrators, completers, and credential earners.  The following is a definition for each classification:</w:t>
      </w:r>
    </w:p>
    <w:p w:rsidR="00EC7099" w:rsidRDefault="00AC34AC">
      <w:pPr>
        <w:numPr>
          <w:ilvl w:val="0"/>
          <w:numId w:val="5"/>
        </w:numPr>
        <w:ind w:right="-270"/>
        <w:rPr>
          <w:rFonts w:ascii="Calibri" w:eastAsia="Calibri" w:hAnsi="Calibri" w:cs="Calibri"/>
          <w:sz w:val="22"/>
          <w:szCs w:val="22"/>
        </w:rPr>
      </w:pPr>
      <w:r>
        <w:rPr>
          <w:rFonts w:ascii="Calibri" w:eastAsia="Calibri" w:hAnsi="Calibri" w:cs="Calibri"/>
          <w:sz w:val="22"/>
          <w:szCs w:val="22"/>
          <w:u w:val="single"/>
        </w:rPr>
        <w:t>Concentrator:</w:t>
      </w:r>
      <w:r>
        <w:rPr>
          <w:rFonts w:ascii="Calibri" w:eastAsia="Calibri" w:hAnsi="Calibri" w:cs="Calibri"/>
          <w:sz w:val="22"/>
          <w:szCs w:val="22"/>
        </w:rPr>
        <w:t xml:space="preserve">  A student who has declared a career and tech</w:t>
      </w:r>
      <w:r>
        <w:rPr>
          <w:rFonts w:ascii="Calibri" w:eastAsia="Calibri" w:hAnsi="Calibri" w:cs="Calibri"/>
          <w:sz w:val="22"/>
          <w:szCs w:val="22"/>
        </w:rPr>
        <w:t>nical education (CTE) major and is enrolled in credit-bearing courses during the reporting year who has earned 12 or more degree-bearing credits, or has completed a noncredit Workforce Credential Grant (WCG) program during the reporting year.</w:t>
      </w:r>
    </w:p>
    <w:p w:rsidR="00EC7099" w:rsidRDefault="00AC34AC">
      <w:pPr>
        <w:numPr>
          <w:ilvl w:val="0"/>
          <w:numId w:val="5"/>
        </w:numPr>
        <w:ind w:right="-270"/>
        <w:rPr>
          <w:rFonts w:ascii="Calibri" w:eastAsia="Calibri" w:hAnsi="Calibri" w:cs="Calibri"/>
          <w:sz w:val="22"/>
          <w:szCs w:val="22"/>
        </w:rPr>
      </w:pPr>
      <w:r>
        <w:rPr>
          <w:rFonts w:ascii="Calibri" w:eastAsia="Calibri" w:hAnsi="Calibri" w:cs="Calibri"/>
          <w:sz w:val="22"/>
          <w:szCs w:val="22"/>
          <w:u w:val="single"/>
        </w:rPr>
        <w:t>Completer:</w:t>
      </w:r>
      <w:r>
        <w:rPr>
          <w:rFonts w:ascii="Calibri" w:eastAsia="Calibri" w:hAnsi="Calibri" w:cs="Calibri"/>
          <w:sz w:val="22"/>
          <w:szCs w:val="22"/>
        </w:rPr>
        <w:t xml:space="preserve">  A</w:t>
      </w:r>
      <w:r>
        <w:rPr>
          <w:rFonts w:ascii="Calibri" w:eastAsia="Calibri" w:hAnsi="Calibri" w:cs="Calibri"/>
          <w:sz w:val="22"/>
          <w:szCs w:val="22"/>
        </w:rPr>
        <w:t xml:space="preserve"> CTE concentrator who earned a VCCS degree or certificate in a credit-bearing program, or who successfully completed a WCG program during the reporting year.</w:t>
      </w:r>
    </w:p>
    <w:p w:rsidR="00EC7099" w:rsidRDefault="00AC34AC">
      <w:pPr>
        <w:numPr>
          <w:ilvl w:val="0"/>
          <w:numId w:val="5"/>
        </w:numPr>
        <w:ind w:right="-270"/>
        <w:rPr>
          <w:rFonts w:ascii="Calibri" w:eastAsia="Calibri" w:hAnsi="Calibri" w:cs="Calibri"/>
          <w:sz w:val="22"/>
          <w:szCs w:val="22"/>
        </w:rPr>
      </w:pPr>
      <w:r>
        <w:rPr>
          <w:rFonts w:ascii="Calibri" w:eastAsia="Calibri" w:hAnsi="Calibri" w:cs="Calibri"/>
          <w:sz w:val="22"/>
          <w:szCs w:val="22"/>
          <w:u w:val="single"/>
        </w:rPr>
        <w:t>Credential Earner:</w:t>
      </w:r>
      <w:r>
        <w:rPr>
          <w:rFonts w:ascii="Calibri" w:eastAsia="Calibri" w:hAnsi="Calibri" w:cs="Calibri"/>
          <w:sz w:val="22"/>
          <w:szCs w:val="22"/>
        </w:rPr>
        <w:t xml:space="preserve">  A CTE concentrator who earned a VCCS degree or certificate during the reportin</w:t>
      </w:r>
      <w:r>
        <w:rPr>
          <w:rFonts w:ascii="Calibri" w:eastAsia="Calibri" w:hAnsi="Calibri" w:cs="Calibri"/>
          <w:sz w:val="22"/>
          <w:szCs w:val="22"/>
        </w:rPr>
        <w:t>g period, or earned a recognized third-party postsecondary credential within 12 months following the reporting period.</w:t>
      </w:r>
    </w:p>
    <w:p w:rsidR="00EC7099" w:rsidRDefault="00EC7099">
      <w:pPr>
        <w:ind w:right="-270"/>
        <w:rPr>
          <w:rFonts w:ascii="Calibri" w:eastAsia="Calibri" w:hAnsi="Calibri" w:cs="Calibri"/>
          <w:sz w:val="20"/>
          <w:szCs w:val="20"/>
        </w:rPr>
      </w:pPr>
    </w:p>
    <w:tbl>
      <w:tblPr>
        <w:tblStyle w:val="af2"/>
        <w:tblW w:w="9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9"/>
        <w:gridCol w:w="7662"/>
      </w:tblGrid>
      <w:tr w:rsidR="00EC7099">
        <w:trPr>
          <w:trHeight w:val="340"/>
          <w:jc w:val="center"/>
        </w:trPr>
        <w:tc>
          <w:tcPr>
            <w:tcW w:w="9111" w:type="dxa"/>
            <w:gridSpan w:val="2"/>
            <w:shd w:val="clear" w:color="auto" w:fill="FFFFFF"/>
          </w:tcPr>
          <w:p w:rsidR="00EC7099" w:rsidRDefault="00EC7099">
            <w:pPr>
              <w:jc w:val="center"/>
              <w:rPr>
                <w:rFonts w:ascii="Calibri" w:eastAsia="Calibri" w:hAnsi="Calibri" w:cs="Calibri"/>
                <w:b/>
                <w:sz w:val="22"/>
                <w:szCs w:val="22"/>
              </w:rPr>
            </w:pPr>
          </w:p>
          <w:p w:rsidR="00EC7099" w:rsidRDefault="00AC34AC">
            <w:pPr>
              <w:jc w:val="center"/>
              <w:rPr>
                <w:rFonts w:ascii="Calibri" w:eastAsia="Calibri" w:hAnsi="Calibri" w:cs="Calibri"/>
                <w:b/>
                <w:sz w:val="22"/>
                <w:szCs w:val="22"/>
              </w:rPr>
            </w:pPr>
            <w:r>
              <w:rPr>
                <w:rFonts w:ascii="Calibri" w:eastAsia="Calibri" w:hAnsi="Calibri" w:cs="Calibri"/>
                <w:b/>
                <w:sz w:val="22"/>
                <w:szCs w:val="22"/>
              </w:rPr>
              <w:t>Method of Calculating Postsecondary Perkins Performance Measures</w:t>
            </w:r>
          </w:p>
          <w:p w:rsidR="00EC7099" w:rsidRDefault="00EC7099">
            <w:pPr>
              <w:jc w:val="center"/>
              <w:rPr>
                <w:rFonts w:ascii="Calibri" w:eastAsia="Calibri" w:hAnsi="Calibri" w:cs="Calibri"/>
                <w:b/>
                <w:sz w:val="22"/>
                <w:szCs w:val="22"/>
              </w:rPr>
            </w:pPr>
          </w:p>
        </w:tc>
      </w:tr>
      <w:tr w:rsidR="00EC7099">
        <w:trPr>
          <w:trHeight w:val="340"/>
          <w:jc w:val="center"/>
        </w:trPr>
        <w:tc>
          <w:tcPr>
            <w:tcW w:w="1449" w:type="dxa"/>
            <w:shd w:val="clear" w:color="auto" w:fill="C6D9F1"/>
          </w:tcPr>
          <w:p w:rsidR="00EC7099" w:rsidRDefault="00AC34AC">
            <w:pPr>
              <w:rPr>
                <w:rFonts w:ascii="Calibri" w:eastAsia="Calibri" w:hAnsi="Calibri" w:cs="Calibri"/>
                <w:b/>
                <w:sz w:val="20"/>
                <w:szCs w:val="20"/>
              </w:rPr>
            </w:pPr>
            <w:r>
              <w:rPr>
                <w:rFonts w:ascii="Calibri" w:eastAsia="Calibri" w:hAnsi="Calibri" w:cs="Calibri"/>
                <w:b/>
                <w:sz w:val="20"/>
                <w:szCs w:val="20"/>
              </w:rPr>
              <w:t>Measure</w:t>
            </w:r>
          </w:p>
        </w:tc>
        <w:tc>
          <w:tcPr>
            <w:tcW w:w="7662" w:type="dxa"/>
            <w:shd w:val="clear" w:color="auto" w:fill="C6D9F1"/>
          </w:tcPr>
          <w:p w:rsidR="00EC7099" w:rsidRDefault="00AC34AC">
            <w:pPr>
              <w:rPr>
                <w:rFonts w:ascii="Calibri" w:eastAsia="Calibri" w:hAnsi="Calibri" w:cs="Calibri"/>
                <w:b/>
                <w:sz w:val="20"/>
                <w:szCs w:val="20"/>
              </w:rPr>
            </w:pPr>
            <w:r>
              <w:rPr>
                <w:rFonts w:ascii="Calibri" w:eastAsia="Calibri" w:hAnsi="Calibri" w:cs="Calibri"/>
                <w:b/>
                <w:sz w:val="20"/>
                <w:szCs w:val="20"/>
              </w:rPr>
              <w:t xml:space="preserve">Method </w:t>
            </w:r>
          </w:p>
        </w:tc>
      </w:tr>
      <w:tr w:rsidR="00EC7099">
        <w:trPr>
          <w:jc w:val="center"/>
        </w:trPr>
        <w:tc>
          <w:tcPr>
            <w:tcW w:w="1449" w:type="dxa"/>
          </w:tcPr>
          <w:p w:rsidR="00EC7099" w:rsidRDefault="00AC34AC">
            <w:pPr>
              <w:rPr>
                <w:rFonts w:ascii="Calibri" w:eastAsia="Calibri" w:hAnsi="Calibri" w:cs="Calibri"/>
                <w:b/>
                <w:sz w:val="20"/>
                <w:szCs w:val="20"/>
              </w:rPr>
            </w:pPr>
            <w:r>
              <w:rPr>
                <w:rFonts w:ascii="Calibri" w:eastAsia="Calibri" w:hAnsi="Calibri" w:cs="Calibri"/>
                <w:b/>
                <w:sz w:val="20"/>
                <w:szCs w:val="20"/>
              </w:rPr>
              <w:t xml:space="preserve">1P1: Post-Program Placement </w:t>
            </w:r>
          </w:p>
          <w:p w:rsidR="00EC7099" w:rsidRDefault="00EC7099">
            <w:pPr>
              <w:jc w:val="center"/>
              <w:rPr>
                <w:rFonts w:ascii="Calibri" w:eastAsia="Calibri" w:hAnsi="Calibri" w:cs="Calibri"/>
                <w:b/>
                <w:sz w:val="20"/>
                <w:szCs w:val="20"/>
              </w:rPr>
            </w:pPr>
          </w:p>
        </w:tc>
        <w:tc>
          <w:tcPr>
            <w:tcW w:w="7662" w:type="dxa"/>
          </w:tcPr>
          <w:p w:rsidR="00EC7099" w:rsidRDefault="00AC34AC">
            <w:pPr>
              <w:rPr>
                <w:rFonts w:ascii="Calibri" w:eastAsia="Calibri" w:hAnsi="Calibri" w:cs="Calibri"/>
                <w:i/>
                <w:sz w:val="20"/>
                <w:szCs w:val="20"/>
              </w:rPr>
            </w:pPr>
            <w:r>
              <w:rPr>
                <w:rFonts w:ascii="Calibri" w:eastAsia="Calibri" w:hAnsi="Calibri" w:cs="Calibri"/>
                <w:i/>
                <w:sz w:val="20"/>
                <w:szCs w:val="20"/>
              </w:rPr>
              <w:t>The percentage of CTE concentrators who, during the second quarter after program completion, remain enrolled in postsecondary education, are in advanced training, military service, or a service program under the National and Community Service Act, are volu</w:t>
            </w:r>
            <w:r>
              <w:rPr>
                <w:rFonts w:ascii="Calibri" w:eastAsia="Calibri" w:hAnsi="Calibri" w:cs="Calibri"/>
                <w:i/>
                <w:sz w:val="20"/>
                <w:szCs w:val="20"/>
              </w:rPr>
              <w:t>nteers in the Peace Corps, or are placed or retained in employment.</w:t>
            </w:r>
          </w:p>
          <w:p w:rsidR="00EC7099" w:rsidRDefault="00AC34AC">
            <w:pPr>
              <w:rPr>
                <w:rFonts w:ascii="Calibri" w:eastAsia="Calibri" w:hAnsi="Calibri" w:cs="Calibri"/>
                <w:sz w:val="20"/>
                <w:szCs w:val="20"/>
              </w:rPr>
            </w:pPr>
            <w:r>
              <w:rPr>
                <w:rFonts w:ascii="Calibri" w:eastAsia="Calibri" w:hAnsi="Calibri" w:cs="Calibri"/>
                <w:b/>
                <w:sz w:val="20"/>
                <w:szCs w:val="20"/>
              </w:rPr>
              <w:t xml:space="preserve">Numerator: </w:t>
            </w:r>
            <w:r>
              <w:rPr>
                <w:rFonts w:ascii="Calibri" w:eastAsia="Calibri" w:hAnsi="Calibri" w:cs="Calibri"/>
                <w:sz w:val="20"/>
                <w:szCs w:val="20"/>
              </w:rPr>
              <w:t>CTE completers during the reporting year who were retained by the VCCS, transferred to another postsecondary institution, are pursuing a workforce credential at VCCS, or were em</w:t>
            </w:r>
            <w:r>
              <w:rPr>
                <w:rFonts w:ascii="Calibri" w:eastAsia="Calibri" w:hAnsi="Calibri" w:cs="Calibri"/>
                <w:sz w:val="20"/>
                <w:szCs w:val="20"/>
              </w:rPr>
              <w:t xml:space="preserve">ployed six months after program completion. </w:t>
            </w:r>
          </w:p>
          <w:p w:rsidR="00EC7099" w:rsidRDefault="00AC34AC">
            <w:pPr>
              <w:rPr>
                <w:rFonts w:ascii="Calibri" w:eastAsia="Calibri" w:hAnsi="Calibri" w:cs="Calibri"/>
                <w:b/>
                <w:sz w:val="20"/>
                <w:szCs w:val="20"/>
              </w:rPr>
            </w:pPr>
            <w:r>
              <w:rPr>
                <w:rFonts w:ascii="Calibri" w:eastAsia="Calibri" w:hAnsi="Calibri" w:cs="Calibri"/>
                <w:b/>
                <w:sz w:val="20"/>
                <w:szCs w:val="20"/>
              </w:rPr>
              <w:t xml:space="preserve">Denominator: </w:t>
            </w:r>
            <w:r>
              <w:rPr>
                <w:rFonts w:ascii="Calibri" w:eastAsia="Calibri" w:hAnsi="Calibri" w:cs="Calibri"/>
                <w:sz w:val="20"/>
                <w:szCs w:val="20"/>
              </w:rPr>
              <w:t xml:space="preserve">Number of CTE completers during the reporting year.   </w:t>
            </w:r>
          </w:p>
        </w:tc>
      </w:tr>
      <w:tr w:rsidR="00EC7099">
        <w:trPr>
          <w:jc w:val="center"/>
        </w:trPr>
        <w:tc>
          <w:tcPr>
            <w:tcW w:w="1449" w:type="dxa"/>
          </w:tcPr>
          <w:p w:rsidR="00EC7099" w:rsidRDefault="00AC34AC">
            <w:pPr>
              <w:rPr>
                <w:rFonts w:ascii="Calibri" w:eastAsia="Calibri" w:hAnsi="Calibri" w:cs="Calibri"/>
                <w:b/>
                <w:sz w:val="20"/>
                <w:szCs w:val="20"/>
              </w:rPr>
            </w:pPr>
            <w:r>
              <w:rPr>
                <w:rFonts w:ascii="Calibri" w:eastAsia="Calibri" w:hAnsi="Calibri" w:cs="Calibri"/>
                <w:b/>
                <w:sz w:val="20"/>
                <w:szCs w:val="20"/>
              </w:rPr>
              <w:t xml:space="preserve">2P1: Credential Attainment </w:t>
            </w:r>
          </w:p>
        </w:tc>
        <w:tc>
          <w:tcPr>
            <w:tcW w:w="7662" w:type="dxa"/>
          </w:tcPr>
          <w:p w:rsidR="00EC7099" w:rsidRDefault="00AC34AC">
            <w:pPr>
              <w:rPr>
                <w:rFonts w:ascii="Calibri" w:eastAsia="Calibri" w:hAnsi="Calibri" w:cs="Calibri"/>
                <w:i/>
                <w:sz w:val="20"/>
                <w:szCs w:val="20"/>
              </w:rPr>
            </w:pPr>
            <w:r>
              <w:rPr>
                <w:rFonts w:ascii="Calibri" w:eastAsia="Calibri" w:hAnsi="Calibri" w:cs="Calibri"/>
                <w:i/>
                <w:sz w:val="20"/>
                <w:szCs w:val="20"/>
              </w:rPr>
              <w:t xml:space="preserve">The percentage of CTE concentrators who received a recognized postsecondary credential during participation in or within one year of program completion. </w:t>
            </w:r>
          </w:p>
          <w:p w:rsidR="00EC7099" w:rsidRDefault="00AC34AC">
            <w:pPr>
              <w:rPr>
                <w:rFonts w:ascii="Calibri" w:eastAsia="Calibri" w:hAnsi="Calibri" w:cs="Calibri"/>
                <w:sz w:val="20"/>
                <w:szCs w:val="20"/>
              </w:rPr>
            </w:pPr>
            <w:r>
              <w:rPr>
                <w:rFonts w:ascii="Calibri" w:eastAsia="Calibri" w:hAnsi="Calibri" w:cs="Calibri"/>
                <w:b/>
                <w:sz w:val="20"/>
                <w:szCs w:val="20"/>
              </w:rPr>
              <w:t xml:space="preserve">Numerator: </w:t>
            </w:r>
            <w:r>
              <w:rPr>
                <w:rFonts w:ascii="Calibri" w:eastAsia="Calibri" w:hAnsi="Calibri" w:cs="Calibri"/>
                <w:sz w:val="20"/>
                <w:szCs w:val="20"/>
              </w:rPr>
              <w:t>CTE program concentrators who earned a VCCS degree or certificate, or received a recognized</w:t>
            </w:r>
            <w:r>
              <w:rPr>
                <w:rFonts w:ascii="Calibri" w:eastAsia="Calibri" w:hAnsi="Calibri" w:cs="Calibri"/>
                <w:sz w:val="20"/>
                <w:szCs w:val="20"/>
              </w:rPr>
              <w:t xml:space="preserve"> third-party credential within twelve months after completion of a noncredit CTE program.</w:t>
            </w:r>
          </w:p>
          <w:p w:rsidR="00EC7099" w:rsidRDefault="00AC34AC">
            <w:pPr>
              <w:rPr>
                <w:rFonts w:ascii="Calibri" w:eastAsia="Calibri" w:hAnsi="Calibri" w:cs="Calibri"/>
                <w:sz w:val="20"/>
                <w:szCs w:val="20"/>
              </w:rPr>
            </w:pPr>
            <w:r>
              <w:rPr>
                <w:rFonts w:ascii="Calibri" w:eastAsia="Calibri" w:hAnsi="Calibri" w:cs="Calibri"/>
                <w:b/>
                <w:sz w:val="20"/>
                <w:szCs w:val="20"/>
              </w:rPr>
              <w:t xml:space="preserve">Denominator: </w:t>
            </w:r>
            <w:r>
              <w:rPr>
                <w:rFonts w:ascii="Calibri" w:eastAsia="Calibri" w:hAnsi="Calibri" w:cs="Calibri"/>
                <w:sz w:val="20"/>
                <w:szCs w:val="20"/>
              </w:rPr>
              <w:t xml:space="preserve">Number of CTE concentrators during the reporting year. </w:t>
            </w:r>
          </w:p>
        </w:tc>
      </w:tr>
      <w:tr w:rsidR="00EC7099">
        <w:trPr>
          <w:jc w:val="center"/>
        </w:trPr>
        <w:tc>
          <w:tcPr>
            <w:tcW w:w="1449" w:type="dxa"/>
          </w:tcPr>
          <w:p w:rsidR="00EC7099" w:rsidRDefault="00AC34AC">
            <w:pPr>
              <w:rPr>
                <w:rFonts w:ascii="Calibri" w:eastAsia="Calibri" w:hAnsi="Calibri" w:cs="Calibri"/>
                <w:b/>
                <w:sz w:val="20"/>
                <w:szCs w:val="20"/>
              </w:rPr>
            </w:pPr>
            <w:r>
              <w:rPr>
                <w:rFonts w:ascii="Calibri" w:eastAsia="Calibri" w:hAnsi="Calibri" w:cs="Calibri"/>
                <w:b/>
                <w:sz w:val="20"/>
                <w:szCs w:val="20"/>
              </w:rPr>
              <w:t>3P1: Nontraditional Program Concentration</w:t>
            </w:r>
          </w:p>
          <w:p w:rsidR="00EC7099" w:rsidRDefault="00EC7099">
            <w:pPr>
              <w:rPr>
                <w:rFonts w:ascii="Calibri" w:eastAsia="Calibri" w:hAnsi="Calibri" w:cs="Calibri"/>
                <w:b/>
                <w:sz w:val="20"/>
                <w:szCs w:val="20"/>
              </w:rPr>
            </w:pPr>
          </w:p>
        </w:tc>
        <w:tc>
          <w:tcPr>
            <w:tcW w:w="7662" w:type="dxa"/>
          </w:tcPr>
          <w:p w:rsidR="00EC7099" w:rsidRDefault="00AC34AC">
            <w:pPr>
              <w:rPr>
                <w:rFonts w:ascii="Calibri" w:eastAsia="Calibri" w:hAnsi="Calibri" w:cs="Calibri"/>
                <w:i/>
                <w:sz w:val="20"/>
                <w:szCs w:val="20"/>
              </w:rPr>
            </w:pPr>
            <w:r>
              <w:rPr>
                <w:rFonts w:ascii="Calibri" w:eastAsia="Calibri" w:hAnsi="Calibri" w:cs="Calibri"/>
                <w:i/>
                <w:sz w:val="20"/>
                <w:szCs w:val="20"/>
              </w:rPr>
              <w:t>The percentage of CTE concentrators in programs of st</w:t>
            </w:r>
            <w:r>
              <w:rPr>
                <w:rFonts w:ascii="Calibri" w:eastAsia="Calibri" w:hAnsi="Calibri" w:cs="Calibri"/>
                <w:i/>
                <w:sz w:val="20"/>
                <w:szCs w:val="20"/>
              </w:rPr>
              <w:t xml:space="preserve">udy that lead to nontraditional fields given their gender.  </w:t>
            </w:r>
          </w:p>
          <w:p w:rsidR="00EC7099" w:rsidRDefault="00AC34AC">
            <w:pPr>
              <w:rPr>
                <w:rFonts w:ascii="Calibri" w:eastAsia="Calibri" w:hAnsi="Calibri" w:cs="Calibri"/>
                <w:sz w:val="20"/>
                <w:szCs w:val="20"/>
              </w:rPr>
            </w:pPr>
            <w:r>
              <w:rPr>
                <w:rFonts w:ascii="Calibri" w:eastAsia="Calibri" w:hAnsi="Calibri" w:cs="Calibri"/>
                <w:b/>
                <w:sz w:val="20"/>
                <w:szCs w:val="20"/>
              </w:rPr>
              <w:t>Numerator</w:t>
            </w:r>
            <w:r>
              <w:rPr>
                <w:rFonts w:ascii="Calibri" w:eastAsia="Calibri" w:hAnsi="Calibri" w:cs="Calibri"/>
                <w:sz w:val="20"/>
                <w:szCs w:val="20"/>
              </w:rPr>
              <w:t xml:space="preserve">: Nontraditional gender program concentrators in a nontraditional program of study.  </w:t>
            </w:r>
          </w:p>
          <w:p w:rsidR="00EC7099" w:rsidRDefault="00AC34AC">
            <w:pPr>
              <w:rPr>
                <w:rFonts w:ascii="Calibri" w:eastAsia="Calibri" w:hAnsi="Calibri" w:cs="Calibri"/>
                <w:sz w:val="20"/>
                <w:szCs w:val="20"/>
              </w:rPr>
            </w:pPr>
            <w:r>
              <w:rPr>
                <w:rFonts w:ascii="Calibri" w:eastAsia="Calibri" w:hAnsi="Calibri" w:cs="Calibri"/>
                <w:b/>
                <w:sz w:val="20"/>
                <w:szCs w:val="20"/>
              </w:rPr>
              <w:t xml:space="preserve">Denominator: </w:t>
            </w:r>
            <w:r>
              <w:rPr>
                <w:rFonts w:ascii="Calibri" w:eastAsia="Calibri" w:hAnsi="Calibri" w:cs="Calibri"/>
                <w:sz w:val="20"/>
                <w:szCs w:val="20"/>
              </w:rPr>
              <w:t>All Program concentrators in a nontraditional program of study.</w:t>
            </w:r>
          </w:p>
        </w:tc>
      </w:tr>
    </w:tbl>
    <w:p w:rsidR="00EC7099" w:rsidRDefault="00EC7099">
      <w:pPr>
        <w:ind w:right="-270"/>
        <w:rPr>
          <w:rFonts w:ascii="Calibri" w:eastAsia="Calibri" w:hAnsi="Calibri" w:cs="Calibri"/>
          <w:b/>
          <w:sz w:val="20"/>
          <w:szCs w:val="20"/>
        </w:rPr>
      </w:pPr>
    </w:p>
    <w:p w:rsidR="00EC7099" w:rsidRDefault="00EC7099">
      <w:pPr>
        <w:rPr>
          <w:rFonts w:ascii="Calibri" w:eastAsia="Calibri" w:hAnsi="Calibri" w:cs="Calibri"/>
          <w:b/>
          <w:sz w:val="20"/>
          <w:szCs w:val="20"/>
        </w:rPr>
      </w:pPr>
    </w:p>
    <w:sectPr w:rsidR="00EC7099">
      <w:pgSz w:w="12240" w:h="15840"/>
      <w:pgMar w:top="936" w:right="1440" w:bottom="648" w:left="1440" w:header="72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34AC">
      <w:r>
        <w:separator/>
      </w:r>
    </w:p>
  </w:endnote>
  <w:endnote w:type="continuationSeparator" w:id="0">
    <w:p w:rsidR="00000000" w:rsidRDefault="00AC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99" w:rsidRDefault="00AC34A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EC7099" w:rsidRDefault="00EC7099">
    <w:pPr>
      <w:pBdr>
        <w:top w:val="nil"/>
        <w:left w:val="nil"/>
        <w:bottom w:val="nil"/>
        <w:right w:val="nil"/>
        <w:between w:val="nil"/>
      </w:pBdr>
      <w:tabs>
        <w:tab w:val="center" w:pos="4320"/>
        <w:tab w:val="right" w:pos="8640"/>
      </w:tabs>
      <w:ind w:right="360"/>
      <w:rPr>
        <w:color w:val="000000"/>
      </w:rPr>
    </w:pPr>
  </w:p>
  <w:p w:rsidR="00EC7099" w:rsidRDefault="00EC70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99" w:rsidRPr="00AC34AC" w:rsidRDefault="00AC34AC">
    <w:pPr>
      <w:pStyle w:val="Title"/>
      <w:tabs>
        <w:tab w:val="right" w:pos="4392"/>
      </w:tabs>
      <w:rPr>
        <w:rFonts w:ascii="Times New Roman" w:hAnsi="Times New Roman"/>
        <w:sz w:val="36"/>
        <w:szCs w:val="36"/>
      </w:rPr>
    </w:pPr>
    <w:r w:rsidRPr="00AC34AC">
      <w:rPr>
        <w:rFonts w:ascii="Times New Roman" w:eastAsia="Tahoma" w:hAnsi="Times New Roman"/>
        <w:sz w:val="22"/>
        <w:szCs w:val="22"/>
      </w:rPr>
      <w:fldChar w:fldCharType="begin"/>
    </w:r>
    <w:r w:rsidRPr="00AC34AC">
      <w:rPr>
        <w:rFonts w:ascii="Times New Roman" w:eastAsia="Tahoma" w:hAnsi="Times New Roman"/>
        <w:sz w:val="22"/>
        <w:szCs w:val="22"/>
      </w:rPr>
      <w:instrText>PAGE</w:instrText>
    </w:r>
    <w:r w:rsidRPr="00AC34AC">
      <w:rPr>
        <w:rFonts w:ascii="Times New Roman" w:eastAsia="Tahoma" w:hAnsi="Times New Roman"/>
        <w:sz w:val="22"/>
        <w:szCs w:val="22"/>
      </w:rPr>
      <w:fldChar w:fldCharType="separate"/>
    </w:r>
    <w:r>
      <w:rPr>
        <w:rFonts w:ascii="Times New Roman" w:eastAsia="Tahoma" w:hAnsi="Times New Roman"/>
        <w:noProof/>
        <w:sz w:val="22"/>
        <w:szCs w:val="22"/>
      </w:rPr>
      <w:t>D</w:t>
    </w:r>
    <w:r w:rsidRPr="00AC34AC">
      <w:rPr>
        <w:rFonts w:ascii="Times New Roman" w:eastAsia="Tahoma" w:hAnsi="Times New Roman"/>
        <w:sz w:val="22"/>
        <w:szCs w:val="22"/>
      </w:rPr>
      <w:fldChar w:fldCharType="end"/>
    </w:r>
  </w:p>
  <w:p w:rsidR="00EC7099" w:rsidRDefault="00EC7099">
    <w:pPr>
      <w:pBdr>
        <w:top w:val="nil"/>
        <w:left w:val="nil"/>
        <w:bottom w:val="nil"/>
        <w:right w:val="nil"/>
        <w:between w:val="nil"/>
      </w:pBdr>
      <w:tabs>
        <w:tab w:val="center" w:pos="4320"/>
        <w:tab w:val="right" w:pos="864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99" w:rsidRDefault="00AC34A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A</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99" w:rsidRDefault="00AC34A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EC7099" w:rsidRDefault="00EC7099">
    <w:pPr>
      <w:pBdr>
        <w:top w:val="nil"/>
        <w:left w:val="nil"/>
        <w:bottom w:val="nil"/>
        <w:right w:val="nil"/>
        <w:between w:val="nil"/>
      </w:pBdr>
      <w:tabs>
        <w:tab w:val="center" w:pos="4320"/>
        <w:tab w:val="right" w:pos="8640"/>
      </w:tabs>
      <w:ind w:right="360"/>
      <w:rPr>
        <w:color w:val="000000"/>
      </w:rPr>
    </w:pPr>
  </w:p>
  <w:p w:rsidR="00EC7099" w:rsidRDefault="00EC709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99" w:rsidRDefault="00AC34AC">
    <w:pPr>
      <w:pBdr>
        <w:top w:val="nil"/>
        <w:left w:val="nil"/>
        <w:bottom w:val="nil"/>
        <w:right w:val="nil"/>
        <w:between w:val="nil"/>
      </w:pBdr>
      <w:tabs>
        <w:tab w:val="center" w:pos="4320"/>
        <w:tab w:val="right" w:pos="8640"/>
        <w:tab w:val="right" w:pos="9630"/>
      </w:tabs>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12</w:t>
    </w:r>
    <w:r>
      <w:rPr>
        <w:rFonts w:ascii="Calibri" w:eastAsia="Calibri" w:hAnsi="Calibri" w:cs="Calibri"/>
        <w:color w:val="000000"/>
        <w:sz w:val="20"/>
        <w:szCs w:val="20"/>
      </w:rPr>
      <w:fldChar w:fldCharType="end"/>
    </w:r>
    <w:r>
      <w:rPr>
        <w:rFonts w:ascii="Calibri" w:eastAsia="Calibri" w:hAnsi="Calibri" w:cs="Calibri"/>
        <w:color w:val="000000"/>
        <w:sz w:val="20"/>
        <w:szCs w:val="20"/>
      </w:rPr>
      <w:tab/>
      <w:t>March 12,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99" w:rsidRDefault="00AC34AC">
    <w:pPr>
      <w:pBdr>
        <w:top w:val="nil"/>
        <w:left w:val="nil"/>
        <w:bottom w:val="nil"/>
        <w:right w:val="nil"/>
        <w:between w:val="nil"/>
      </w:pBdr>
      <w:tabs>
        <w:tab w:val="center" w:pos="4320"/>
        <w:tab w:val="right" w:pos="8640"/>
      </w:tabs>
      <w:jc w:val="right"/>
      <w:rPr>
        <w:rFonts w:ascii="Tahoma" w:eastAsia="Tahoma" w:hAnsi="Tahoma" w:cs="Tahoma"/>
        <w:color w:val="000000"/>
        <w:sz w:val="20"/>
        <w:szCs w:val="20"/>
      </w:rPr>
    </w:pPr>
    <w:r>
      <w:rPr>
        <w:rFonts w:ascii="Tahoma" w:eastAsia="Tahoma" w:hAnsi="Tahoma" w:cs="Tahoma"/>
        <w:color w:val="000000"/>
        <w:sz w:val="20"/>
        <w:szCs w:val="20"/>
      </w:rPr>
      <w:t>March 12, 2021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99" w:rsidRDefault="00AC34A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EC7099" w:rsidRDefault="00EC7099">
    <w:pPr>
      <w:pBdr>
        <w:top w:val="nil"/>
        <w:left w:val="nil"/>
        <w:bottom w:val="nil"/>
        <w:right w:val="nil"/>
        <w:between w:val="nil"/>
      </w:pBdr>
      <w:tabs>
        <w:tab w:val="center" w:pos="4320"/>
        <w:tab w:val="right" w:pos="8640"/>
      </w:tabs>
      <w:ind w:right="360"/>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99" w:rsidRDefault="00AC34AC">
    <w:pPr>
      <w:pBdr>
        <w:top w:val="nil"/>
        <w:left w:val="nil"/>
        <w:bottom w:val="nil"/>
        <w:right w:val="nil"/>
        <w:between w:val="nil"/>
      </w:pBdr>
      <w:tabs>
        <w:tab w:val="center" w:pos="4320"/>
        <w:tab w:val="right" w:pos="8640"/>
        <w:tab w:val="right" w:pos="9630"/>
      </w:tabs>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16</w:t>
    </w:r>
    <w:r>
      <w:rPr>
        <w:rFonts w:ascii="Calibri" w:eastAsia="Calibri" w:hAnsi="Calibri" w:cs="Calibri"/>
        <w:color w:val="000000"/>
        <w:sz w:val="20"/>
        <w:szCs w:val="20"/>
      </w:rPr>
      <w:fldChar w:fldCharType="end"/>
    </w:r>
    <w:r>
      <w:rPr>
        <w:rFonts w:ascii="Calibri" w:eastAsia="Calibri" w:hAnsi="Calibri" w:cs="Calibri"/>
        <w:color w:val="000000"/>
        <w:sz w:val="20"/>
        <w:szCs w:val="20"/>
      </w:rPr>
      <w:tab/>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34AC">
      <w:r>
        <w:separator/>
      </w:r>
    </w:p>
  </w:footnote>
  <w:footnote w:type="continuationSeparator" w:id="0">
    <w:p w:rsidR="00000000" w:rsidRDefault="00AC3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A34"/>
    <w:multiLevelType w:val="multilevel"/>
    <w:tmpl w:val="FDBCC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6491C"/>
    <w:multiLevelType w:val="multilevel"/>
    <w:tmpl w:val="E684F37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E01A2F"/>
    <w:multiLevelType w:val="multilevel"/>
    <w:tmpl w:val="6B26F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BF60FD"/>
    <w:multiLevelType w:val="multilevel"/>
    <w:tmpl w:val="4914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43512D"/>
    <w:multiLevelType w:val="multilevel"/>
    <w:tmpl w:val="DF76573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D976BF"/>
    <w:multiLevelType w:val="multilevel"/>
    <w:tmpl w:val="7F30C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99"/>
    <w:rsid w:val="00AC34AC"/>
    <w:rsid w:val="00E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3E7"/>
  <w15:docId w15:val="{C387F400-47FF-49AC-9EE9-15B82F3E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362"/>
  </w:style>
  <w:style w:type="paragraph" w:styleId="Heading1">
    <w:name w:val="heading 1"/>
    <w:basedOn w:val="Title"/>
    <w:next w:val="Normal"/>
    <w:link w:val="Heading1Char"/>
    <w:qFormat/>
    <w:rsid w:val="004D3D84"/>
    <w:pPr>
      <w:spacing w:after="400"/>
      <w:outlineLvl w:val="0"/>
    </w:pPr>
    <w:rPr>
      <w:rFonts w:ascii="Tahoma" w:hAnsi="Tahoma" w:cs="Tahoma"/>
      <w:b/>
      <w:sz w:val="44"/>
      <w:szCs w:val="44"/>
    </w:rPr>
  </w:style>
  <w:style w:type="paragraph" w:styleId="Heading2">
    <w:name w:val="heading 2"/>
    <w:basedOn w:val="Subtitle"/>
    <w:next w:val="Normal"/>
    <w:link w:val="Heading2Char"/>
    <w:unhideWhenUsed/>
    <w:qFormat/>
    <w:rsid w:val="0002637A"/>
    <w:pPr>
      <w:pBdr>
        <w:bottom w:val="thickThinSmallGap" w:sz="12" w:space="1" w:color="auto"/>
      </w:pBdr>
      <w:spacing w:before="120"/>
      <w:jc w:val="center"/>
      <w:outlineLvl w:val="1"/>
    </w:pPr>
    <w:rPr>
      <w:rFonts w:ascii="Tahoma" w:hAnsi="Tahoma" w:cs="Tahoma"/>
      <w:b/>
      <w:sz w:val="28"/>
      <w:szCs w:val="28"/>
    </w:rPr>
  </w:style>
  <w:style w:type="paragraph" w:styleId="Heading3">
    <w:name w:val="heading 3"/>
    <w:basedOn w:val="Normal"/>
    <w:next w:val="Normal"/>
    <w:link w:val="Heading3Char"/>
    <w:unhideWhenUsed/>
    <w:qFormat/>
    <w:rsid w:val="00F72EC9"/>
    <w:pPr>
      <w:spacing w:before="120" w:after="120"/>
      <w:jc w:val="center"/>
      <w:outlineLvl w:val="2"/>
    </w:pPr>
    <w:rPr>
      <w:rFonts w:ascii="Tahoma" w:hAnsi="Tahoma" w:cs="Tahoma"/>
      <w:b/>
    </w:rPr>
  </w:style>
  <w:style w:type="paragraph" w:styleId="Heading4">
    <w:name w:val="heading 4"/>
    <w:basedOn w:val="Normal"/>
    <w:next w:val="Normal"/>
    <w:link w:val="Heading4Char"/>
    <w:qFormat/>
    <w:rsid w:val="00B048E8"/>
    <w:pPr>
      <w:keepNext/>
      <w:ind w:right="62"/>
      <w:jc w:val="center"/>
      <w:outlineLvl w:val="3"/>
    </w:pPr>
    <w:rPr>
      <w:rFonts w:ascii="Arial" w:hAnsi="Arial"/>
      <w:b/>
      <w:color w:val="FFFFFF"/>
      <w:spacing w:val="20"/>
      <w:szCs w:val="20"/>
    </w:rPr>
  </w:style>
  <w:style w:type="paragraph" w:styleId="Heading5">
    <w:name w:val="heading 5"/>
    <w:basedOn w:val="Normal"/>
    <w:next w:val="Normal"/>
    <w:link w:val="Heading5Char"/>
    <w:qFormat/>
    <w:rsid w:val="00046973"/>
    <w:pPr>
      <w:keepNext/>
      <w:jc w:val="center"/>
      <w:outlineLvl w:val="4"/>
    </w:pPr>
    <w:rPr>
      <w:rFonts w:ascii="Arial" w:hAnsi="Arial"/>
      <w:b/>
      <w:bCs/>
      <w:sz w:val="22"/>
      <w:szCs w:val="20"/>
    </w:rPr>
  </w:style>
  <w:style w:type="paragraph" w:styleId="Heading6">
    <w:name w:val="heading 6"/>
    <w:basedOn w:val="Normal"/>
    <w:next w:val="Normal"/>
    <w:link w:val="Heading6Char"/>
    <w:qFormat/>
    <w:rsid w:val="00021CFC"/>
    <w:pPr>
      <w:keepNext/>
      <w:jc w:val="center"/>
      <w:outlineLvl w:val="5"/>
    </w:pPr>
    <w:rPr>
      <w:b/>
      <w:sz w:val="20"/>
      <w:szCs w:val="20"/>
    </w:rPr>
  </w:style>
  <w:style w:type="paragraph" w:styleId="Heading7">
    <w:name w:val="heading 7"/>
    <w:basedOn w:val="Normal"/>
    <w:next w:val="Normal"/>
    <w:link w:val="Heading7Char"/>
    <w:qFormat/>
    <w:rsid w:val="00021CFC"/>
    <w:pPr>
      <w:keepNext/>
      <w:jc w:val="center"/>
      <w:outlineLvl w:val="6"/>
    </w:pPr>
    <w:rPr>
      <w:b/>
    </w:rPr>
  </w:style>
  <w:style w:type="paragraph" w:styleId="Heading8">
    <w:name w:val="heading 8"/>
    <w:basedOn w:val="Normal"/>
    <w:next w:val="Normal"/>
    <w:link w:val="Heading8Char"/>
    <w:qFormat/>
    <w:rsid w:val="00046973"/>
    <w:pPr>
      <w:keepNext/>
      <w:jc w:val="center"/>
      <w:outlineLvl w:val="7"/>
    </w:pPr>
    <w:rPr>
      <w:rFonts w:ascii="Arial" w:hAnsi="Arial"/>
      <w:b/>
      <w:spacing w:val="20"/>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48E8"/>
    <w:pPr>
      <w:jc w:val="center"/>
    </w:pPr>
    <w:rPr>
      <w:rFonts w:ascii="Arial" w:hAnsi="Arial"/>
      <w:sz w:val="32"/>
      <w:szCs w:val="20"/>
    </w:rPr>
  </w:style>
  <w:style w:type="character" w:customStyle="1" w:styleId="Heading1Char">
    <w:name w:val="Heading 1 Char"/>
    <w:basedOn w:val="DefaultParagraphFont"/>
    <w:link w:val="Heading1"/>
    <w:rsid w:val="004D3D84"/>
    <w:rPr>
      <w:rFonts w:ascii="Tahoma" w:hAnsi="Tahoma" w:cs="Tahoma"/>
      <w:b/>
      <w:sz w:val="44"/>
      <w:szCs w:val="44"/>
    </w:rPr>
  </w:style>
  <w:style w:type="paragraph" w:styleId="Subtitle">
    <w:name w:val="Subtitle"/>
    <w:basedOn w:val="Normal"/>
    <w:next w:val="Normal"/>
    <w:link w:val="SubtitleChar"/>
    <w:pPr>
      <w:spacing w:before="240"/>
      <w:jc w:val="both"/>
    </w:pPr>
    <w:rPr>
      <w:rFonts w:ascii="Arial" w:eastAsia="Arial" w:hAnsi="Arial" w:cs="Arial"/>
      <w:sz w:val="16"/>
      <w:szCs w:val="16"/>
    </w:rPr>
  </w:style>
  <w:style w:type="character" w:customStyle="1" w:styleId="SubtitleChar">
    <w:name w:val="Subtitle Char"/>
    <w:basedOn w:val="DefaultParagraphFont"/>
    <w:link w:val="Subtitle"/>
    <w:rsid w:val="00F5374B"/>
    <w:rPr>
      <w:rFonts w:ascii="Arial" w:hAnsi="Arial"/>
      <w:sz w:val="16"/>
    </w:rPr>
  </w:style>
  <w:style w:type="character" w:customStyle="1" w:styleId="Heading2Char">
    <w:name w:val="Heading 2 Char"/>
    <w:basedOn w:val="DefaultParagraphFont"/>
    <w:link w:val="Heading2"/>
    <w:rsid w:val="0002637A"/>
    <w:rPr>
      <w:rFonts w:ascii="Tahoma" w:hAnsi="Tahoma" w:cs="Tahoma"/>
      <w:b/>
      <w:sz w:val="28"/>
      <w:szCs w:val="28"/>
    </w:rPr>
  </w:style>
  <w:style w:type="character" w:customStyle="1" w:styleId="Heading3Char">
    <w:name w:val="Heading 3 Char"/>
    <w:basedOn w:val="DefaultParagraphFont"/>
    <w:link w:val="Heading3"/>
    <w:rsid w:val="00F72EC9"/>
    <w:rPr>
      <w:rFonts w:ascii="Tahoma" w:hAnsi="Tahoma" w:cs="Tahoma"/>
      <w:b/>
      <w:sz w:val="24"/>
      <w:szCs w:val="24"/>
    </w:rPr>
  </w:style>
  <w:style w:type="character" w:customStyle="1" w:styleId="Heading4Char">
    <w:name w:val="Heading 4 Char"/>
    <w:basedOn w:val="DefaultParagraphFont"/>
    <w:link w:val="Heading4"/>
    <w:rsid w:val="00046973"/>
    <w:rPr>
      <w:rFonts w:ascii="Arial" w:hAnsi="Arial"/>
      <w:b/>
      <w:color w:val="FFFFFF"/>
      <w:spacing w:val="20"/>
      <w:sz w:val="24"/>
    </w:rPr>
  </w:style>
  <w:style w:type="character" w:customStyle="1" w:styleId="Heading5Char">
    <w:name w:val="Heading 5 Char"/>
    <w:basedOn w:val="DefaultParagraphFont"/>
    <w:link w:val="Heading5"/>
    <w:rsid w:val="00046973"/>
    <w:rPr>
      <w:rFonts w:ascii="Arial" w:hAnsi="Arial"/>
      <w:b/>
      <w:bCs/>
      <w:sz w:val="22"/>
    </w:rPr>
  </w:style>
  <w:style w:type="character" w:customStyle="1" w:styleId="Heading8Char">
    <w:name w:val="Heading 8 Char"/>
    <w:basedOn w:val="DefaultParagraphFont"/>
    <w:link w:val="Heading8"/>
    <w:rsid w:val="00046973"/>
    <w:rPr>
      <w:rFonts w:ascii="Arial" w:hAnsi="Arial"/>
      <w:b/>
      <w:spacing w:val="20"/>
      <w:sz w:val="14"/>
    </w:rPr>
  </w:style>
  <w:style w:type="paragraph" w:styleId="Footer">
    <w:name w:val="footer"/>
    <w:basedOn w:val="Normal"/>
    <w:link w:val="FooterChar"/>
    <w:uiPriority w:val="99"/>
    <w:rsid w:val="00B8302F"/>
    <w:pPr>
      <w:tabs>
        <w:tab w:val="center" w:pos="4320"/>
        <w:tab w:val="right" w:pos="8640"/>
      </w:tabs>
    </w:pPr>
  </w:style>
  <w:style w:type="character" w:customStyle="1" w:styleId="FooterChar">
    <w:name w:val="Footer Char"/>
    <w:basedOn w:val="DefaultParagraphFont"/>
    <w:link w:val="Footer"/>
    <w:uiPriority w:val="99"/>
    <w:rsid w:val="00046973"/>
    <w:rPr>
      <w:sz w:val="24"/>
      <w:szCs w:val="24"/>
    </w:rPr>
  </w:style>
  <w:style w:type="character" w:styleId="PageNumber">
    <w:name w:val="page number"/>
    <w:basedOn w:val="DefaultParagraphFont"/>
    <w:rsid w:val="00B8302F"/>
  </w:style>
  <w:style w:type="paragraph" w:styleId="BodyText2">
    <w:name w:val="Body Text 2"/>
    <w:basedOn w:val="Normal"/>
    <w:link w:val="BodyText2Char"/>
    <w:rsid w:val="00F3407B"/>
    <w:rPr>
      <w:rFonts w:ascii="Arial" w:hAnsi="Arial"/>
      <w:sz w:val="14"/>
      <w:szCs w:val="20"/>
    </w:rPr>
  </w:style>
  <w:style w:type="character" w:customStyle="1" w:styleId="BodyText2Char">
    <w:name w:val="Body Text 2 Char"/>
    <w:basedOn w:val="DefaultParagraphFont"/>
    <w:link w:val="BodyText2"/>
    <w:rsid w:val="00046973"/>
    <w:rPr>
      <w:rFonts w:ascii="Arial" w:hAnsi="Arial"/>
      <w:sz w:val="14"/>
    </w:rPr>
  </w:style>
  <w:style w:type="paragraph" w:styleId="Header">
    <w:name w:val="header"/>
    <w:basedOn w:val="Normal"/>
    <w:link w:val="HeaderChar"/>
    <w:rsid w:val="009D032C"/>
    <w:pPr>
      <w:tabs>
        <w:tab w:val="center" w:pos="4320"/>
        <w:tab w:val="right" w:pos="8640"/>
      </w:tabs>
    </w:pPr>
  </w:style>
  <w:style w:type="character" w:customStyle="1" w:styleId="HeaderChar">
    <w:name w:val="Header Char"/>
    <w:basedOn w:val="DefaultParagraphFont"/>
    <w:link w:val="Header"/>
    <w:rsid w:val="00046973"/>
    <w:rPr>
      <w:sz w:val="24"/>
      <w:szCs w:val="24"/>
    </w:rPr>
  </w:style>
  <w:style w:type="paragraph" w:styleId="BalloonText">
    <w:name w:val="Balloon Text"/>
    <w:basedOn w:val="Normal"/>
    <w:link w:val="BalloonTextChar"/>
    <w:semiHidden/>
    <w:rsid w:val="006F102B"/>
    <w:rPr>
      <w:rFonts w:ascii="Tahoma" w:hAnsi="Tahoma" w:cs="Tahoma"/>
      <w:sz w:val="16"/>
      <w:szCs w:val="16"/>
    </w:rPr>
  </w:style>
  <w:style w:type="character" w:customStyle="1" w:styleId="BalloonTextChar">
    <w:name w:val="Balloon Text Char"/>
    <w:basedOn w:val="DefaultParagraphFont"/>
    <w:link w:val="BalloonText"/>
    <w:uiPriority w:val="99"/>
    <w:semiHidden/>
    <w:rsid w:val="00046973"/>
    <w:rPr>
      <w:rFonts w:ascii="Tahoma" w:hAnsi="Tahoma" w:cs="Tahoma"/>
      <w:sz w:val="16"/>
      <w:szCs w:val="16"/>
    </w:rPr>
  </w:style>
  <w:style w:type="paragraph" w:styleId="ListParagraph">
    <w:name w:val="List Paragraph"/>
    <w:basedOn w:val="Normal"/>
    <w:uiPriority w:val="34"/>
    <w:qFormat/>
    <w:rsid w:val="00BC5D0E"/>
    <w:pPr>
      <w:widowControl w:val="0"/>
      <w:suppressAutoHyphens/>
      <w:ind w:left="720"/>
    </w:pPr>
    <w:rPr>
      <w:rFonts w:ascii="Arial" w:hAnsi="Arial"/>
      <w:sz w:val="18"/>
      <w:szCs w:val="18"/>
      <w:lang w:eastAsia="ar-SA"/>
    </w:rPr>
  </w:style>
  <w:style w:type="paragraph" w:styleId="DocumentMap">
    <w:name w:val="Document Map"/>
    <w:basedOn w:val="Normal"/>
    <w:link w:val="DocumentMapChar"/>
    <w:rsid w:val="0079092C"/>
    <w:rPr>
      <w:rFonts w:ascii="Tahoma" w:hAnsi="Tahoma" w:cs="Tahoma"/>
      <w:sz w:val="16"/>
      <w:szCs w:val="16"/>
    </w:rPr>
  </w:style>
  <w:style w:type="character" w:customStyle="1" w:styleId="DocumentMapChar">
    <w:name w:val="Document Map Char"/>
    <w:basedOn w:val="DefaultParagraphFont"/>
    <w:link w:val="DocumentMap"/>
    <w:rsid w:val="0079092C"/>
    <w:rPr>
      <w:rFonts w:ascii="Tahoma" w:hAnsi="Tahoma" w:cs="Tahoma"/>
      <w:sz w:val="16"/>
      <w:szCs w:val="16"/>
    </w:rPr>
  </w:style>
  <w:style w:type="character" w:styleId="Hyperlink">
    <w:name w:val="Hyperlink"/>
    <w:basedOn w:val="DefaultParagraphFont"/>
    <w:uiPriority w:val="99"/>
    <w:rsid w:val="004E4F4E"/>
    <w:rPr>
      <w:color w:val="0000FF" w:themeColor="hyperlink"/>
      <w:u w:val="single"/>
    </w:rPr>
  </w:style>
  <w:style w:type="table" w:styleId="TableGrid">
    <w:name w:val="Table Grid"/>
    <w:basedOn w:val="TableNormal"/>
    <w:rsid w:val="00C0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11328"/>
    <w:rPr>
      <w:sz w:val="20"/>
      <w:szCs w:val="20"/>
    </w:rPr>
  </w:style>
  <w:style w:type="character" w:customStyle="1" w:styleId="FootnoteTextChar">
    <w:name w:val="Footnote Text Char"/>
    <w:basedOn w:val="DefaultParagraphFont"/>
    <w:link w:val="FootnoteText"/>
    <w:semiHidden/>
    <w:rsid w:val="00811328"/>
  </w:style>
  <w:style w:type="character" w:styleId="FootnoteReference">
    <w:name w:val="footnote reference"/>
    <w:basedOn w:val="DefaultParagraphFont"/>
    <w:semiHidden/>
    <w:unhideWhenUsed/>
    <w:rsid w:val="00811328"/>
    <w:rPr>
      <w:vertAlign w:val="superscript"/>
    </w:rPr>
  </w:style>
  <w:style w:type="paragraph" w:styleId="BodyText">
    <w:name w:val="Body Text"/>
    <w:basedOn w:val="Normal"/>
    <w:link w:val="BodyTextChar"/>
    <w:rsid w:val="00046973"/>
    <w:pPr>
      <w:widowControl w:val="0"/>
      <w:jc w:val="both"/>
    </w:pPr>
    <w:rPr>
      <w:rFonts w:ascii="Arial" w:hAnsi="Arial"/>
      <w:snapToGrid w:val="0"/>
      <w:sz w:val="22"/>
      <w:szCs w:val="20"/>
    </w:rPr>
  </w:style>
  <w:style w:type="character" w:customStyle="1" w:styleId="BodyTextChar">
    <w:name w:val="Body Text Char"/>
    <w:basedOn w:val="DefaultParagraphFont"/>
    <w:link w:val="BodyText"/>
    <w:rsid w:val="00046973"/>
    <w:rPr>
      <w:rFonts w:ascii="Arial" w:hAnsi="Arial"/>
      <w:snapToGrid w:val="0"/>
      <w:sz w:val="22"/>
    </w:rPr>
  </w:style>
  <w:style w:type="paragraph" w:styleId="Caption">
    <w:name w:val="caption"/>
    <w:basedOn w:val="Normal"/>
    <w:next w:val="Normal"/>
    <w:rsid w:val="00046973"/>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FN-Filename">
    <w:name w:val="FN-Filename"/>
    <w:basedOn w:val="BodyText"/>
    <w:rsid w:val="00046973"/>
    <w:pPr>
      <w:widowControl/>
      <w:overflowPunct w:val="0"/>
      <w:autoSpaceDE w:val="0"/>
      <w:autoSpaceDN w:val="0"/>
      <w:adjustRightInd w:val="0"/>
      <w:jc w:val="right"/>
      <w:textAlignment w:val="baseline"/>
    </w:pPr>
    <w:rPr>
      <w:rFonts w:ascii="CG Times (WN)" w:hAnsi="CG Times (WN)"/>
      <w:snapToGrid/>
      <w:sz w:val="18"/>
    </w:rPr>
  </w:style>
  <w:style w:type="paragraph" w:customStyle="1" w:styleId="StateReportHeading">
    <w:name w:val="State Report Heading"/>
    <w:basedOn w:val="Subtitle"/>
    <w:link w:val="StateReportHeadingChar"/>
    <w:rsid w:val="00046973"/>
    <w:pPr>
      <w:pBdr>
        <w:bottom w:val="thickThinSmallGap" w:sz="12" w:space="1" w:color="auto"/>
      </w:pBdr>
      <w:jc w:val="center"/>
    </w:pPr>
    <w:rPr>
      <w:b/>
      <w:sz w:val="28"/>
      <w:szCs w:val="28"/>
    </w:rPr>
  </w:style>
  <w:style w:type="character" w:customStyle="1" w:styleId="StateReportHeadingChar">
    <w:name w:val="State Report Heading Char"/>
    <w:basedOn w:val="SubtitleChar"/>
    <w:link w:val="StateReportHeading"/>
    <w:rsid w:val="00046973"/>
    <w:rPr>
      <w:rFonts w:ascii="Arial" w:hAnsi="Arial" w:cs="Arial"/>
      <w:b/>
      <w:sz w:val="28"/>
      <w:szCs w:val="28"/>
    </w:rPr>
  </w:style>
  <w:style w:type="paragraph" w:customStyle="1" w:styleId="Normal1">
    <w:name w:val="Normal1"/>
    <w:basedOn w:val="Normal"/>
    <w:link w:val="NormalChar"/>
    <w:qFormat/>
    <w:rsid w:val="00046973"/>
    <w:pPr>
      <w:widowControl w:val="0"/>
    </w:pPr>
    <w:rPr>
      <w:rFonts w:ascii="Arial" w:hAnsi="Arial" w:cs="Arial"/>
      <w:snapToGrid w:val="0"/>
      <w:szCs w:val="20"/>
    </w:rPr>
  </w:style>
  <w:style w:type="character" w:customStyle="1" w:styleId="NormalChar">
    <w:name w:val="Normal Char"/>
    <w:basedOn w:val="DefaultParagraphFont"/>
    <w:link w:val="Normal1"/>
    <w:rsid w:val="00046973"/>
    <w:rPr>
      <w:rFonts w:ascii="Arial" w:hAnsi="Arial" w:cs="Arial"/>
      <w:snapToGrid w:val="0"/>
      <w:sz w:val="24"/>
    </w:rPr>
  </w:style>
  <w:style w:type="character" w:styleId="SubtleEmphasis">
    <w:name w:val="Subtle Emphasis"/>
    <w:basedOn w:val="DefaultParagraphFont"/>
    <w:uiPriority w:val="19"/>
    <w:rsid w:val="00046973"/>
    <w:rPr>
      <w:i/>
      <w:iCs/>
      <w:color w:val="808080" w:themeColor="text1" w:themeTint="7F"/>
    </w:rPr>
  </w:style>
  <w:style w:type="character" w:styleId="SubtleReference">
    <w:name w:val="Subtle Reference"/>
    <w:basedOn w:val="DefaultParagraphFont"/>
    <w:uiPriority w:val="31"/>
    <w:qFormat/>
    <w:rsid w:val="00046973"/>
    <w:rPr>
      <w:smallCaps/>
      <w:color w:val="C0504D" w:themeColor="accent2"/>
      <w:u w:val="single"/>
    </w:rPr>
  </w:style>
  <w:style w:type="table" w:customStyle="1" w:styleId="TableGridLight1">
    <w:name w:val="Table Grid Light1"/>
    <w:basedOn w:val="TableNormal"/>
    <w:uiPriority w:val="40"/>
    <w:rsid w:val="00046973"/>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046973"/>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46973"/>
    <w:rPr>
      <w:rFonts w:ascii="Calibri" w:eastAsia="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leChar">
    <w:name w:val="Title Char"/>
    <w:basedOn w:val="DefaultParagraphFont"/>
    <w:link w:val="Title"/>
    <w:rsid w:val="004633A7"/>
    <w:rPr>
      <w:rFonts w:ascii="Arial" w:hAnsi="Arial"/>
      <w:sz w:val="32"/>
    </w:rPr>
  </w:style>
  <w:style w:type="paragraph" w:styleId="EnvelopeReturn">
    <w:name w:val="envelope return"/>
    <w:basedOn w:val="Normal"/>
    <w:rsid w:val="001F7EDF"/>
    <w:rPr>
      <w:szCs w:val="20"/>
    </w:rPr>
  </w:style>
  <w:style w:type="numbering" w:customStyle="1" w:styleId="NoList1">
    <w:name w:val="No List1"/>
    <w:next w:val="NoList"/>
    <w:uiPriority w:val="99"/>
    <w:semiHidden/>
    <w:unhideWhenUsed/>
    <w:rsid w:val="009350FD"/>
  </w:style>
  <w:style w:type="table" w:customStyle="1" w:styleId="TableGrid1">
    <w:name w:val="Table Grid1"/>
    <w:basedOn w:val="TableNormal"/>
    <w:next w:val="TableGrid"/>
    <w:uiPriority w:val="59"/>
    <w:rsid w:val="009350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0FD"/>
    <w:rPr>
      <w:color w:val="954F72"/>
      <w:u w:val="single"/>
    </w:rPr>
  </w:style>
  <w:style w:type="paragraph" w:customStyle="1" w:styleId="msonormal0">
    <w:name w:val="msonormal"/>
    <w:basedOn w:val="Normal"/>
    <w:rsid w:val="009350FD"/>
    <w:pPr>
      <w:spacing w:before="100" w:beforeAutospacing="1" w:after="100" w:afterAutospacing="1"/>
    </w:pPr>
  </w:style>
  <w:style w:type="paragraph" w:customStyle="1" w:styleId="xl67">
    <w:name w:val="xl67"/>
    <w:basedOn w:val="Normal"/>
    <w:rsid w:val="009350F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Normal"/>
    <w:rsid w:val="009350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Normal"/>
    <w:rsid w:val="009350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Normal"/>
    <w:rsid w:val="009350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Normal"/>
    <w:rsid w:val="009350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character" w:customStyle="1" w:styleId="Heading6Char">
    <w:name w:val="Heading 6 Char"/>
    <w:basedOn w:val="DefaultParagraphFont"/>
    <w:link w:val="Heading6"/>
    <w:rsid w:val="00021CFC"/>
    <w:rPr>
      <w:b/>
    </w:rPr>
  </w:style>
  <w:style w:type="character" w:customStyle="1" w:styleId="Heading7Char">
    <w:name w:val="Heading 7 Char"/>
    <w:basedOn w:val="DefaultParagraphFont"/>
    <w:link w:val="Heading7"/>
    <w:rsid w:val="00021CFC"/>
    <w:rPr>
      <w:b/>
      <w:sz w:val="24"/>
      <w:szCs w:val="24"/>
    </w:rPr>
  </w:style>
  <w:style w:type="character" w:styleId="CommentReference">
    <w:name w:val="annotation reference"/>
    <w:rsid w:val="00021CFC"/>
    <w:rPr>
      <w:sz w:val="16"/>
      <w:szCs w:val="16"/>
    </w:rPr>
  </w:style>
  <w:style w:type="paragraph" w:styleId="CommentText">
    <w:name w:val="annotation text"/>
    <w:basedOn w:val="Normal"/>
    <w:link w:val="CommentTextChar"/>
    <w:rsid w:val="00021CFC"/>
    <w:rPr>
      <w:sz w:val="20"/>
      <w:szCs w:val="20"/>
    </w:rPr>
  </w:style>
  <w:style w:type="character" w:customStyle="1" w:styleId="CommentTextChar">
    <w:name w:val="Comment Text Char"/>
    <w:basedOn w:val="DefaultParagraphFont"/>
    <w:link w:val="CommentText"/>
    <w:rsid w:val="00021CFC"/>
  </w:style>
  <w:style w:type="paragraph" w:styleId="CommentSubject">
    <w:name w:val="annotation subject"/>
    <w:basedOn w:val="CommentText"/>
    <w:next w:val="CommentText"/>
    <w:link w:val="CommentSubjectChar"/>
    <w:rsid w:val="00021CFC"/>
    <w:rPr>
      <w:b/>
      <w:bCs/>
    </w:rPr>
  </w:style>
  <w:style w:type="character" w:customStyle="1" w:styleId="CommentSubjectChar">
    <w:name w:val="Comment Subject Char"/>
    <w:basedOn w:val="CommentTextChar"/>
    <w:link w:val="CommentSubject"/>
    <w:rsid w:val="00021CFC"/>
    <w:rPr>
      <w:b/>
      <w:bCs/>
    </w:rPr>
  </w:style>
  <w:style w:type="character" w:customStyle="1" w:styleId="gmaildefault">
    <w:name w:val="gmail_default"/>
    <w:basedOn w:val="DefaultParagraphFont"/>
    <w:rsid w:val="003D4C55"/>
  </w:style>
  <w:style w:type="character" w:styleId="Emphasis">
    <w:name w:val="Emphasis"/>
    <w:basedOn w:val="DefaultParagraphFont"/>
    <w:qFormat/>
    <w:rsid w:val="008B72EC"/>
    <w:rPr>
      <w:i/>
      <w:iCs/>
    </w:rPr>
  </w:style>
  <w:style w:type="paragraph" w:customStyle="1" w:styleId="xl65">
    <w:name w:val="xl65"/>
    <w:basedOn w:val="Normal"/>
    <w:rsid w:val="008B72EC"/>
    <w:pPr>
      <w:spacing w:before="100" w:beforeAutospacing="1" w:after="100" w:afterAutospacing="1"/>
    </w:pPr>
    <w:rPr>
      <w:b/>
      <w:bCs/>
    </w:rPr>
  </w:style>
  <w:style w:type="paragraph" w:customStyle="1" w:styleId="xl66">
    <w:name w:val="xl66"/>
    <w:basedOn w:val="Normal"/>
    <w:rsid w:val="008B72EC"/>
    <w:pPr>
      <w:spacing w:before="100" w:beforeAutospacing="1" w:after="100" w:afterAutospacing="1"/>
    </w:pPr>
    <w:rPr>
      <w:b/>
      <w:bCs/>
    </w:rPr>
  </w:style>
  <w:style w:type="table" w:customStyle="1" w:styleId="TableGrid11">
    <w:name w:val="Table Grid11"/>
    <w:basedOn w:val="TableNormal"/>
    <w:next w:val="TableGrid"/>
    <w:uiPriority w:val="39"/>
    <w:rsid w:val="008B72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 w:type="table" w:customStyle="1" w:styleId="a8">
    <w:basedOn w:val="TableNormal"/>
    <w:rPr>
      <w:rFonts w:ascii="Calibri" w:eastAsia="Calibri" w:hAnsi="Calibri" w:cs="Calibri"/>
      <w:sz w:val="22"/>
      <w:szCs w:val="22"/>
    </w:rPr>
    <w:tblPr>
      <w:tblStyleRowBandSize w:val="1"/>
      <w:tblStyleColBandSize w:val="1"/>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table" w:customStyle="1" w:styleId="ad">
    <w:basedOn w:val="TableNormal"/>
    <w:rPr>
      <w:rFonts w:ascii="Calibri" w:eastAsia="Calibri" w:hAnsi="Calibri" w:cs="Calibri"/>
      <w:sz w:val="22"/>
      <w:szCs w:val="22"/>
    </w:rPr>
    <w:tblPr>
      <w:tblStyleRowBandSize w:val="1"/>
      <w:tblStyleColBandSize w:val="1"/>
    </w:tblPr>
  </w:style>
  <w:style w:type="table" w:customStyle="1" w:styleId="ae">
    <w:basedOn w:val="TableNormal"/>
    <w:rPr>
      <w:rFonts w:ascii="Calibri" w:eastAsia="Calibri" w:hAnsi="Calibri" w:cs="Calibri"/>
      <w:sz w:val="22"/>
      <w:szCs w:val="22"/>
    </w:rPr>
    <w:tblPr>
      <w:tblStyleRowBandSize w:val="1"/>
      <w:tblStyleColBandSize w:val="1"/>
    </w:tblPr>
  </w:style>
  <w:style w:type="table" w:customStyle="1" w:styleId="af">
    <w:basedOn w:val="TableNormal"/>
    <w:rPr>
      <w:rFonts w:ascii="Calibri" w:eastAsia="Calibri" w:hAnsi="Calibri" w:cs="Calibri"/>
      <w:sz w:val="22"/>
      <w:szCs w:val="22"/>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oe.virginia.gov/instruction/career_technical/statistics_reports/index.s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George.willcox@doe.virginia.gov" TargetMode="Externa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T/BABrEDvvP8gaSxGu0sYX1OdQ==">AMUW2mXAm51Bo7iurR0L24BtP+6asuwZpHG49JCADa+rmho/e38aAqK+76wxwTEm4V0ZqNIAdXx9+09keqBcmIVgitXHQbZddMPtdThRLMV2KVsJ6Lm/qVytQV8ypETnUgOzIwfDDezAosV+aBTlAmhg8JOC3EhSX9pj8xQ4vRyittPnNoLzt3LkF+a9Wfd12WSXIwQyvzbNKo/49pPedoh2WQzxXR6TqP6kY2r66M28h3C3Ahk46s7GH0ICRw4/x4r3POTTemiRptQQblK1AWP7iAzEsjKSGP63tCUzbu9VFNa0h4yY/XVkINxuwbk7gAZmk9FyfqQP0murukWHccSBjuGmN9krqbB5I9xRvjDv+UFcQDZ4/HR0zK/42nHgNt7Q6GtfKdL0vqYCU1VWfvARf0HVureGsOCxuDybksoO3ewpXPNBr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5598</Words>
  <Characters>31915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dc:creator>
  <cp:lastModifiedBy>VITA Program</cp:lastModifiedBy>
  <cp:revision>2</cp:revision>
  <dcterms:created xsi:type="dcterms:W3CDTF">2021-11-08T15:28:00Z</dcterms:created>
  <dcterms:modified xsi:type="dcterms:W3CDTF">2021-11-08T15:28:00Z</dcterms:modified>
</cp:coreProperties>
</file>