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tblBorders>
        <w:tblLayout w:type="fixed"/>
        <w:tblLook w:val="0400" w:firstRow="0" w:lastRow="0" w:firstColumn="0" w:lastColumn="0" w:noHBand="0" w:noVBand="1"/>
      </w:tblPr>
      <w:tblGrid>
        <w:gridCol w:w="7823"/>
        <w:gridCol w:w="1447"/>
      </w:tblGrid>
      <w:tr w:rsidR="00150515">
        <w:trPr>
          <w:trHeight w:val="1170"/>
        </w:trPr>
        <w:tc>
          <w:tcPr>
            <w:tcW w:w="7823" w:type="dxa"/>
            <w:tcMar>
              <w:left w:w="115" w:type="dxa"/>
              <w:right w:w="115" w:type="dxa"/>
            </w:tcMar>
            <w:vAlign w:val="center"/>
          </w:tcPr>
          <w:p w:rsidR="00150515" w:rsidRDefault="00EB1D20">
            <w:pPr>
              <w:spacing w:after="300" w:line="240" w:lineRule="auto"/>
              <w:ind w:right="-1370"/>
              <w:jc w:val="center"/>
              <w:rPr>
                <w:color w:val="323E4F"/>
                <w:sz w:val="52"/>
                <w:szCs w:val="52"/>
              </w:rPr>
            </w:pPr>
            <w:r>
              <w:rPr>
                <w:rFonts w:ascii="Times New Roman" w:eastAsia="Times New Roman" w:hAnsi="Times New Roman" w:cs="Times New Roman"/>
                <w:b/>
                <w:sz w:val="36"/>
                <w:szCs w:val="36"/>
              </w:rPr>
              <w:t>Virginia Board of Education Agenda Item</w:t>
            </w:r>
          </w:p>
        </w:tc>
        <w:tc>
          <w:tcPr>
            <w:tcW w:w="1447" w:type="dxa"/>
            <w:tcMar>
              <w:left w:w="115" w:type="dxa"/>
              <w:right w:w="115" w:type="dxa"/>
            </w:tcMar>
            <w:vAlign w:val="center"/>
          </w:tcPr>
          <w:p w:rsidR="00150515" w:rsidRDefault="00150515">
            <w:pPr>
              <w:spacing w:after="0" w:line="360" w:lineRule="auto"/>
              <w:rPr>
                <w:rFonts w:ascii="Times New Roman" w:eastAsia="Times New Roman" w:hAnsi="Times New Roman" w:cs="Times New Roman"/>
                <w:b/>
                <w:sz w:val="16"/>
                <w:szCs w:val="16"/>
              </w:rPr>
            </w:pPr>
          </w:p>
          <w:p w:rsidR="00150515" w:rsidRDefault="00EB1D20">
            <w:pPr>
              <w:spacing w:after="300" w:line="360" w:lineRule="auto"/>
              <w:rPr>
                <w:b/>
                <w:sz w:val="36"/>
                <w:szCs w:val="36"/>
              </w:rPr>
            </w:pPr>
            <w:r>
              <w:rPr>
                <w:rFonts w:ascii="Times New Roman" w:eastAsia="Times New Roman" w:hAnsi="Times New Roman" w:cs="Times New Roman"/>
                <w:b/>
                <w:noProof/>
                <w:sz w:val="44"/>
                <w:szCs w:val="44"/>
              </w:rPr>
              <w:drawing>
                <wp:inline distT="0" distB="0" distL="0" distR="0">
                  <wp:extent cx="633541" cy="64222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33541" cy="642220"/>
                          </a:xfrm>
                          <a:prstGeom prst="rect">
                            <a:avLst/>
                          </a:prstGeom>
                          <a:ln/>
                        </pic:spPr>
                      </pic:pic>
                    </a:graphicData>
                  </a:graphic>
                </wp:inline>
              </w:drawing>
            </w:r>
          </w:p>
        </w:tc>
      </w:tr>
    </w:tbl>
    <w:p w:rsidR="00150515" w:rsidRDefault="00150515">
      <w:pPr>
        <w:spacing w:after="0" w:line="240" w:lineRule="auto"/>
        <w:ind w:left="1440" w:hanging="1440"/>
        <w:rPr>
          <w:rFonts w:ascii="Times New Roman" w:eastAsia="Times New Roman" w:hAnsi="Times New Roman" w:cs="Times New Roman"/>
          <w:b/>
          <w:sz w:val="24"/>
          <w:szCs w:val="24"/>
        </w:rPr>
      </w:pPr>
    </w:p>
    <w:p w:rsidR="00150515" w:rsidRDefault="00EB1D20">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Agenda Item:  </w:t>
      </w:r>
      <w:r>
        <w:rPr>
          <w:rFonts w:ascii="Times New Roman" w:eastAsia="Times New Roman" w:hAnsi="Times New Roman" w:cs="Times New Roman"/>
          <w:b/>
          <w:sz w:val="24"/>
          <w:szCs w:val="24"/>
        </w:rPr>
        <w:tab/>
        <w:t>M</w:t>
      </w:r>
      <w:r>
        <w:rPr>
          <w:rFonts w:ascii="Times New Roman" w:eastAsia="Times New Roman" w:hAnsi="Times New Roman" w:cs="Times New Roman"/>
          <w:b/>
          <w:sz w:val="24"/>
          <w:szCs w:val="24"/>
        </w:rPr>
        <w:br/>
      </w:r>
    </w:p>
    <w:p w:rsidR="00150515" w:rsidRDefault="00EB1D20">
      <w:pPr>
        <w:tabs>
          <w:tab w:val="left" w:pos="2160"/>
        </w:tabs>
        <w:spacing w:after="0" w:line="240" w:lineRule="auto"/>
        <w:ind w:left="3600" w:hanging="36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w:t>
      </w:r>
      <w:r>
        <w:rPr>
          <w:rFonts w:ascii="Times New Roman" w:eastAsia="Times New Roman" w:hAnsi="Times New Roman" w:cs="Times New Roman"/>
          <w:b/>
          <w:sz w:val="24"/>
          <w:szCs w:val="24"/>
        </w:rPr>
        <w:tab/>
        <w:t>November 18, 2021</w:t>
      </w:r>
    </w:p>
    <w:p w:rsidR="00150515" w:rsidRDefault="00150515">
      <w:pPr>
        <w:spacing w:after="0" w:line="240" w:lineRule="auto"/>
        <w:ind w:left="1440" w:hanging="1440"/>
        <w:rPr>
          <w:rFonts w:ascii="Times New Roman" w:eastAsia="Times New Roman" w:hAnsi="Times New Roman" w:cs="Times New Roman"/>
          <w:b/>
          <w:sz w:val="24"/>
          <w:szCs w:val="24"/>
        </w:rPr>
      </w:pPr>
    </w:p>
    <w:p w:rsidR="00150515" w:rsidRDefault="00EB1D20">
      <w:pPr>
        <w:spacing w:after="0" w:line="240" w:lineRule="auto"/>
        <w:ind w:left="2160" w:hanging="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Topic: </w:t>
      </w:r>
      <w:r>
        <w:rPr>
          <w:rFonts w:ascii="Times New Roman" w:eastAsia="Times New Roman" w:hAnsi="Times New Roman" w:cs="Times New Roman"/>
          <w:b/>
          <w:sz w:val="24"/>
          <w:szCs w:val="24"/>
        </w:rPr>
        <w:tab/>
        <w:t>First Review of the Advisory Board on Teacher Education and Licensure’s</w:t>
      </w:r>
      <w:r>
        <w:t xml:space="preserve"> </w:t>
      </w:r>
      <w:r>
        <w:rPr>
          <w:rFonts w:ascii="Times New Roman" w:eastAsia="Times New Roman" w:hAnsi="Times New Roman" w:cs="Times New Roman"/>
          <w:b/>
          <w:sz w:val="24"/>
          <w:szCs w:val="24"/>
        </w:rPr>
        <w:t>Recommendation for a Passing Score for the Praxis® Mathematics (5165) Test for the Mathematics Endorsement</w:t>
      </w:r>
    </w:p>
    <w:p w:rsidR="00150515" w:rsidRDefault="00150515">
      <w:pPr>
        <w:spacing w:after="0" w:line="240" w:lineRule="auto"/>
        <w:ind w:left="2160" w:hanging="2160"/>
        <w:rPr>
          <w:rFonts w:ascii="Times New Roman" w:eastAsia="Times New Roman" w:hAnsi="Times New Roman" w:cs="Times New Roman"/>
          <w:b/>
          <w:sz w:val="24"/>
          <w:szCs w:val="24"/>
        </w:rPr>
      </w:pPr>
    </w:p>
    <w:p w:rsidR="00150515" w:rsidRDefault="00EB1D20">
      <w:pPr>
        <w:pStyle w:val="Heading3"/>
        <w:ind w:left="2160" w:hanging="2160"/>
        <w:jc w:val="left"/>
        <w:rPr>
          <w:u w:val="none"/>
        </w:rPr>
      </w:pPr>
      <w:r>
        <w:rPr>
          <w:u w:val="none"/>
        </w:rPr>
        <w:t>Presenter:</w:t>
      </w:r>
      <w:r>
        <w:rPr>
          <w:u w:val="none"/>
        </w:rPr>
        <w:tab/>
      </w:r>
      <w:r w:rsidR="00BA0284">
        <w:rPr>
          <w:u w:val="none"/>
        </w:rPr>
        <w:t xml:space="preserve">Dr. </w:t>
      </w:r>
      <w:r>
        <w:rPr>
          <w:u w:val="none"/>
        </w:rPr>
        <w:t>Joan Johnson, Assistant Superintendent for Teacher Education and Licensure</w:t>
      </w:r>
    </w:p>
    <w:p w:rsidR="00150515" w:rsidRDefault="00150515">
      <w:pPr>
        <w:pStyle w:val="Heading3"/>
        <w:ind w:left="2160"/>
        <w:jc w:val="left"/>
        <w:rPr>
          <w:u w:val="none"/>
        </w:rPr>
      </w:pPr>
    </w:p>
    <w:p w:rsidR="00150515" w:rsidRDefault="00EB1D20">
      <w:pPr>
        <w:pStyle w:val="Heading3"/>
        <w:jc w:val="left"/>
        <w:rPr>
          <w:u w:val="none"/>
        </w:rPr>
      </w:pPr>
      <w:r>
        <w:rPr>
          <w:u w:val="none"/>
        </w:rPr>
        <w:t>Email:</w:t>
      </w:r>
      <w:r>
        <w:rPr>
          <w:u w:val="none"/>
        </w:rPr>
        <w:tab/>
      </w:r>
      <w:r>
        <w:rPr>
          <w:u w:val="none"/>
        </w:rPr>
        <w:tab/>
      </w:r>
      <w:r>
        <w:rPr>
          <w:u w:val="none"/>
        </w:rPr>
        <w:tab/>
      </w:r>
      <w:hyperlink r:id="rId9">
        <w:r>
          <w:rPr>
            <w:color w:val="0563C1"/>
          </w:rPr>
          <w:t>Joan.Johnson@doe.virginia.gov</w:t>
        </w:r>
      </w:hyperlink>
      <w:r>
        <w:rPr>
          <w:u w:val="none"/>
        </w:rPr>
        <w:t xml:space="preserve">  </w:t>
      </w:r>
      <w:r>
        <w:rPr>
          <w:u w:val="none"/>
        </w:rPr>
        <w:tab/>
      </w:r>
      <w:r>
        <w:rPr>
          <w:u w:val="none"/>
        </w:rPr>
        <w:tab/>
        <w:t>Phone:  (804) 371-2522</w:t>
      </w:r>
    </w:p>
    <w:p w:rsidR="00150515" w:rsidRDefault="00150515">
      <w:pPr>
        <w:spacing w:after="0" w:line="240" w:lineRule="auto"/>
        <w:ind w:left="2160" w:hanging="2160"/>
        <w:rPr>
          <w:rFonts w:ascii="Times New Roman" w:eastAsia="Times New Roman" w:hAnsi="Times New Roman" w:cs="Times New Roman"/>
          <w:b/>
          <w:sz w:val="24"/>
          <w:szCs w:val="24"/>
        </w:rPr>
      </w:pPr>
    </w:p>
    <w:p w:rsidR="00150515" w:rsidRDefault="00150515">
      <w:pPr>
        <w:spacing w:after="0" w:line="240" w:lineRule="auto"/>
        <w:ind w:left="2160" w:hanging="2160"/>
      </w:pPr>
    </w:p>
    <w:p w:rsidR="00150515" w:rsidRDefault="00EB1D20">
      <w:pPr>
        <w:keepNext/>
        <w:keepLine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Purpose of Presentation: </w:t>
      </w:r>
    </w:p>
    <w:p w:rsidR="00150515" w:rsidRDefault="00EB1D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Action required by state or federal law or regulation.</w:t>
      </w:r>
    </w:p>
    <w:p w:rsidR="00150515" w:rsidRDefault="00150515">
      <w:pPr>
        <w:spacing w:after="0"/>
        <w:rPr>
          <w:rFonts w:ascii="Times New Roman" w:eastAsia="Times New Roman" w:hAnsi="Times New Roman" w:cs="Times New Roman"/>
          <w:sz w:val="24"/>
          <w:szCs w:val="24"/>
        </w:rPr>
      </w:pPr>
    </w:p>
    <w:p w:rsidR="00150515" w:rsidRDefault="00EB1D20">
      <w:pPr>
        <w:pStyle w:val="Heading1"/>
      </w:pPr>
      <w:r>
        <w:rPr>
          <w:b/>
        </w:rPr>
        <w:t>Executive Summary:</w:t>
      </w:r>
      <w:r>
        <w:t xml:space="preserve">  </w:t>
      </w:r>
    </w:p>
    <w:p w:rsidR="00150515" w:rsidRDefault="00EB1D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proposed recommendation from the Advisory Board on Teacher Education and Licensure is to set a passing score for the </w:t>
      </w:r>
      <w:r>
        <w:rPr>
          <w:rFonts w:ascii="Times New Roman" w:eastAsia="Times New Roman" w:hAnsi="Times New Roman" w:cs="Times New Roman"/>
          <w:b/>
          <w:sz w:val="24"/>
          <w:szCs w:val="24"/>
        </w:rPr>
        <w:t xml:space="preserve">Praxis® Mathematics (5165) Test </w:t>
      </w:r>
      <w:r>
        <w:rPr>
          <w:rFonts w:ascii="Times New Roman" w:eastAsia="Times New Roman" w:hAnsi="Times New Roman" w:cs="Times New Roman"/>
          <w:sz w:val="24"/>
          <w:szCs w:val="24"/>
        </w:rPr>
        <w:t>for the Mathematics endorsement. This test will be required for individuals seeking initial licensure u</w:t>
      </w:r>
      <w:r>
        <w:rPr>
          <w:rFonts w:ascii="Times New Roman" w:eastAsia="Times New Roman" w:hAnsi="Times New Roman" w:cs="Times New Roman"/>
          <w:sz w:val="24"/>
          <w:szCs w:val="24"/>
        </w:rPr>
        <w:t xml:space="preserve">nless exempted by holding a full, clear out-of-state license with no deficiencies and can be taken and passed to add an endorsement in Mathematics by individuals holding a valid renewable teaching license.  </w:t>
      </w:r>
    </w:p>
    <w:p w:rsidR="00150515" w:rsidRDefault="00150515">
      <w:pPr>
        <w:spacing w:after="0"/>
        <w:rPr>
          <w:rFonts w:ascii="Times New Roman" w:eastAsia="Times New Roman" w:hAnsi="Times New Roman" w:cs="Times New Roman"/>
          <w:sz w:val="24"/>
          <w:szCs w:val="24"/>
        </w:rPr>
      </w:pPr>
    </w:p>
    <w:p w:rsidR="00150515" w:rsidRDefault="00EB1D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Attached are the Multistate Standard-Setting Te</w:t>
      </w:r>
      <w:r>
        <w:rPr>
          <w:rFonts w:ascii="Times New Roman" w:eastAsia="Times New Roman" w:hAnsi="Times New Roman" w:cs="Times New Roman"/>
          <w:sz w:val="24"/>
          <w:szCs w:val="24"/>
        </w:rPr>
        <w:t>chnical Report - Praxis® Mathematics (5165)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Test, the Virginia Study Summary Report, and the Praxis® Study Companion.</w:t>
      </w:r>
    </w:p>
    <w:p w:rsidR="00150515" w:rsidRDefault="00150515">
      <w:pPr>
        <w:spacing w:after="0"/>
        <w:rPr>
          <w:rFonts w:ascii="Times New Roman" w:eastAsia="Times New Roman" w:hAnsi="Times New Roman" w:cs="Times New Roman"/>
          <w:sz w:val="24"/>
          <w:szCs w:val="24"/>
        </w:rPr>
      </w:pPr>
    </w:p>
    <w:p w:rsidR="00150515" w:rsidRDefault="00EB1D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BA0284">
        <w:rPr>
          <w:rFonts w:ascii="Times New Roman" w:eastAsia="Times New Roman" w:hAnsi="Times New Roman" w:cs="Times New Roman"/>
          <w:sz w:val="24"/>
          <w:szCs w:val="24"/>
        </w:rPr>
        <w:t xml:space="preserve">item </w:t>
      </w:r>
      <w:r>
        <w:rPr>
          <w:rFonts w:ascii="Times New Roman" w:eastAsia="Times New Roman" w:hAnsi="Times New Roman" w:cs="Times New Roman"/>
          <w:sz w:val="24"/>
          <w:szCs w:val="24"/>
        </w:rPr>
        <w:t xml:space="preserve">supports </w:t>
      </w:r>
      <w:r w:rsidR="00BA0284">
        <w:rPr>
          <w:rFonts w:ascii="Times New Roman" w:eastAsia="Times New Roman" w:hAnsi="Times New Roman" w:cs="Times New Roman"/>
          <w:sz w:val="24"/>
          <w:szCs w:val="24"/>
        </w:rPr>
        <w:t xml:space="preserve">Priority 2 of the </w:t>
      </w:r>
      <w:r>
        <w:rPr>
          <w:rFonts w:ascii="Times New Roman" w:eastAsia="Times New Roman" w:hAnsi="Times New Roman" w:cs="Times New Roman"/>
          <w:sz w:val="24"/>
          <w:szCs w:val="24"/>
        </w:rPr>
        <w:t xml:space="preserve">Board of Education’s </w:t>
      </w:r>
      <w:hyperlink r:id="rId10" w:history="1">
        <w:r w:rsidRPr="00686675">
          <w:rPr>
            <w:rStyle w:val="Hyperlink"/>
            <w:rFonts w:ascii="Times New Roman" w:eastAsia="Times New Roman" w:hAnsi="Times New Roman" w:cs="Times New Roman"/>
            <w:sz w:val="24"/>
            <w:szCs w:val="24"/>
          </w:rPr>
          <w:t>Comprehensive Plan</w:t>
        </w:r>
        <w:r w:rsidR="00BA0284" w:rsidRPr="00686675">
          <w:rPr>
            <w:rStyle w:val="Hyperlink"/>
            <w:rFonts w:ascii="Times New Roman" w:eastAsia="Times New Roman" w:hAnsi="Times New Roman" w:cs="Times New Roman"/>
            <w:sz w:val="24"/>
            <w:szCs w:val="24"/>
          </w:rPr>
          <w:t>: 2018-2023</w:t>
        </w:r>
      </w:hyperlink>
      <w:r w:rsidR="00BA0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150515" w:rsidRDefault="00EB1D20">
      <w:pPr>
        <w:keepNext/>
        <w:keepLine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Action Requested:  </w:t>
      </w:r>
    </w:p>
    <w:p w:rsidR="00150515" w:rsidRDefault="00EB1D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Action will be requested at a future meeting. Specify anticipated date below:</w:t>
      </w:r>
    </w:p>
    <w:p w:rsidR="00150515" w:rsidRDefault="00EB1D20" w:rsidP="00EB1D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w:t>
      </w:r>
      <w:r w:rsidR="00BA0284">
        <w:rPr>
          <w:rFonts w:ascii="Times New Roman" w:eastAsia="Times New Roman" w:hAnsi="Times New Roman" w:cs="Times New Roman"/>
          <w:sz w:val="24"/>
          <w:szCs w:val="24"/>
        </w:rPr>
        <w:t>27</w:t>
      </w:r>
      <w:r>
        <w:rPr>
          <w:rFonts w:ascii="Times New Roman" w:eastAsia="Times New Roman" w:hAnsi="Times New Roman" w:cs="Times New Roman"/>
          <w:sz w:val="24"/>
          <w:szCs w:val="24"/>
        </w:rPr>
        <w:t>, 2022</w:t>
      </w:r>
      <w:r>
        <w:rPr>
          <w:rFonts w:ascii="Times New Roman" w:eastAsia="Times New Roman" w:hAnsi="Times New Roman" w:cs="Times New Roman"/>
          <w:sz w:val="24"/>
          <w:szCs w:val="24"/>
        </w:rPr>
        <w:br/>
      </w:r>
    </w:p>
    <w:p w:rsidR="00150515" w:rsidRDefault="00EB1D20">
      <w:pPr>
        <w:keepNext/>
        <w:keepLine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Superintendent’s Recommendation: </w:t>
      </w:r>
    </w:p>
    <w:p w:rsidR="00150515" w:rsidRDefault="00EB1D20" w:rsidP="00EB1D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Superintendent of Public Instruction recommends that the Board of Education receive for first review the recommendation of the Advisory Board on Teacher Education and Licensure to establish a cut score for the Praxis® Mathematics (5165) test.</w:t>
      </w:r>
      <w:r>
        <w:rPr>
          <w:rFonts w:ascii="Times New Roman" w:eastAsia="Times New Roman" w:hAnsi="Times New Roman" w:cs="Times New Roman"/>
          <w:sz w:val="24"/>
          <w:szCs w:val="24"/>
        </w:rPr>
        <w:br/>
      </w:r>
    </w:p>
    <w:p w:rsidR="00150515" w:rsidRDefault="00EB1D20">
      <w:pPr>
        <w:keepNext/>
        <w:keepLine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Previous </w:t>
      </w:r>
      <w:r>
        <w:rPr>
          <w:rFonts w:ascii="Times New Roman" w:eastAsia="Times New Roman" w:hAnsi="Times New Roman" w:cs="Times New Roman"/>
          <w:b/>
          <w:sz w:val="24"/>
          <w:szCs w:val="24"/>
        </w:rPr>
        <w:t xml:space="preserve">Review or Action:  </w:t>
      </w:r>
    </w:p>
    <w:p w:rsidR="00150515" w:rsidRDefault="00EB1D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 previous review or action.</w:t>
      </w:r>
    </w:p>
    <w:p w:rsidR="00150515" w:rsidRDefault="00150515">
      <w:pPr>
        <w:pStyle w:val="Heading1"/>
      </w:pPr>
      <w:bookmarkStart w:id="0" w:name="_GoBack"/>
      <w:bookmarkEnd w:id="0"/>
    </w:p>
    <w:p w:rsidR="00150515" w:rsidRDefault="00EB1D20">
      <w:pPr>
        <w:pStyle w:val="Heading1"/>
      </w:pPr>
      <w:r>
        <w:rPr>
          <w:b/>
        </w:rPr>
        <w:t>Background Information and Statutory Authority</w:t>
      </w:r>
      <w:r>
        <w:t xml:space="preserve">: </w:t>
      </w:r>
    </w:p>
    <w:p w:rsidR="00150515" w:rsidRDefault="00EB1D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the Board </w:t>
      </w:r>
      <w:r>
        <w:rPr>
          <w:rFonts w:ascii="Times New Roman" w:eastAsia="Times New Roman" w:hAnsi="Times New Roman" w:cs="Times New Roman"/>
          <w:sz w:val="24"/>
          <w:szCs w:val="24"/>
        </w:rPr>
        <w:t xml:space="preserve">requires the following assessments for initial licensure: </w:t>
      </w:r>
    </w:p>
    <w:p w:rsidR="00150515" w:rsidRDefault="00EB1D2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Virginia Communication and Literacy Assessment (VCLA); </w:t>
      </w:r>
    </w:p>
    <w:p w:rsidR="00150515" w:rsidRDefault="00EB1D2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Pra</w:t>
      </w:r>
      <w:r>
        <w:rPr>
          <w:rFonts w:ascii="Times New Roman" w:eastAsia="Times New Roman" w:hAnsi="Times New Roman" w:cs="Times New Roman"/>
          <w:sz w:val="24"/>
          <w:szCs w:val="24"/>
        </w:rPr>
        <w:t xml:space="preserve">xis Subject Assessments; and </w:t>
      </w:r>
    </w:p>
    <w:p w:rsidR="00150515" w:rsidRDefault="00EB1D2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Reading for Virginia Educators (RVE) for specified endorsements.</w:t>
      </w:r>
    </w:p>
    <w:p w:rsidR="00150515" w:rsidRDefault="00150515">
      <w:pPr>
        <w:spacing w:after="0" w:line="240" w:lineRule="auto"/>
        <w:rPr>
          <w:rFonts w:ascii="Times New Roman" w:eastAsia="Times New Roman" w:hAnsi="Times New Roman" w:cs="Times New Roman"/>
          <w:sz w:val="24"/>
          <w:szCs w:val="24"/>
        </w:rPr>
      </w:pPr>
    </w:p>
    <w:p w:rsidR="00150515" w:rsidRDefault="00EB1D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prescribes the Praxis Subject Assessments as a professional teacher’s assessment requirement for initial licensure in Virginia. The current Board of</w:t>
      </w:r>
      <w:r>
        <w:rPr>
          <w:rFonts w:ascii="Times New Roman" w:eastAsia="Times New Roman" w:hAnsi="Times New Roman" w:cs="Times New Roman"/>
          <w:sz w:val="24"/>
          <w:szCs w:val="24"/>
        </w:rPr>
        <w:t xml:space="preserve"> Education’s prescribed assessment for mathematics is the Praxis® Mathematics: Content Knowledge (5161).</w:t>
      </w:r>
    </w:p>
    <w:p w:rsidR="00150515" w:rsidRDefault="00150515">
      <w:pPr>
        <w:spacing w:after="0" w:line="240" w:lineRule="auto"/>
        <w:rPr>
          <w:rFonts w:ascii="Times New Roman" w:eastAsia="Times New Roman" w:hAnsi="Times New Roman" w:cs="Times New Roman"/>
          <w:sz w:val="24"/>
          <w:szCs w:val="24"/>
        </w:rPr>
      </w:pPr>
    </w:p>
    <w:p w:rsidR="00150515" w:rsidRDefault="00EB1D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Praxis® Mathematics (5165) test will replace the Praxis® Mathematics: Content Knowledge (5161) test. This new </w:t>
      </w:r>
      <w:r>
        <w:rPr>
          <w:rFonts w:ascii="Times New Roman" w:eastAsia="Times New Roman" w:hAnsi="Times New Roman" w:cs="Times New Roman"/>
          <w:color w:val="151515"/>
          <w:sz w:val="24"/>
          <w:szCs w:val="24"/>
          <w:highlight w:val="white"/>
        </w:rPr>
        <w:t>assessment is designed and developed</w:t>
      </w:r>
      <w:r>
        <w:rPr>
          <w:rFonts w:ascii="Times New Roman" w:eastAsia="Times New Roman" w:hAnsi="Times New Roman" w:cs="Times New Roman"/>
          <w:color w:val="151515"/>
          <w:sz w:val="24"/>
          <w:szCs w:val="24"/>
          <w:highlight w:val="white"/>
        </w:rPr>
        <w:t xml:space="preserve"> through work with practicing teachers and teacher educators to reflect the mathematics curriculum as well as state and national standards for mathematics, including the National Governors Association Center for Best Practices and the Council of Chief Stat</w:t>
      </w:r>
      <w:r>
        <w:rPr>
          <w:rFonts w:ascii="Times New Roman" w:eastAsia="Times New Roman" w:hAnsi="Times New Roman" w:cs="Times New Roman"/>
          <w:color w:val="151515"/>
          <w:sz w:val="24"/>
          <w:szCs w:val="24"/>
          <w:highlight w:val="white"/>
        </w:rPr>
        <w:t>e School Officers </w:t>
      </w:r>
      <w:r>
        <w:rPr>
          <w:rFonts w:ascii="Times New Roman" w:eastAsia="Times New Roman" w:hAnsi="Times New Roman" w:cs="Times New Roman"/>
          <w:i/>
          <w:color w:val="151515"/>
          <w:sz w:val="24"/>
          <w:szCs w:val="24"/>
          <w:highlight w:val="white"/>
        </w:rPr>
        <w:t>Common Core State Standards for Mathematics</w:t>
      </w:r>
      <w:r>
        <w:rPr>
          <w:rFonts w:ascii="Times New Roman" w:eastAsia="Times New Roman" w:hAnsi="Times New Roman" w:cs="Times New Roman"/>
          <w:color w:val="151515"/>
          <w:sz w:val="24"/>
          <w:szCs w:val="24"/>
          <w:highlight w:val="white"/>
        </w:rPr>
        <w:t> (2010), the National Council of Teachers of Mathematics (NCTM) and the Council of the Accreditation of Educator Preparation (CAE ) </w:t>
      </w:r>
      <w:r>
        <w:rPr>
          <w:rFonts w:ascii="Times New Roman" w:eastAsia="Times New Roman" w:hAnsi="Times New Roman" w:cs="Times New Roman"/>
          <w:i/>
          <w:color w:val="151515"/>
          <w:sz w:val="24"/>
          <w:szCs w:val="24"/>
          <w:highlight w:val="white"/>
        </w:rPr>
        <w:t>NCTM CAEP Standards</w:t>
      </w:r>
      <w:r>
        <w:rPr>
          <w:rFonts w:ascii="Times New Roman" w:eastAsia="Times New Roman" w:hAnsi="Times New Roman" w:cs="Times New Roman"/>
          <w:color w:val="151515"/>
          <w:sz w:val="24"/>
          <w:szCs w:val="24"/>
          <w:highlight w:val="white"/>
        </w:rPr>
        <w:t> (2012), and the NCTM </w:t>
      </w:r>
      <w:r>
        <w:rPr>
          <w:rFonts w:ascii="Times New Roman" w:eastAsia="Times New Roman" w:hAnsi="Times New Roman" w:cs="Times New Roman"/>
          <w:i/>
          <w:color w:val="151515"/>
          <w:sz w:val="24"/>
          <w:szCs w:val="24"/>
          <w:highlight w:val="white"/>
        </w:rPr>
        <w:t>Principles and Standar</w:t>
      </w:r>
      <w:r>
        <w:rPr>
          <w:rFonts w:ascii="Times New Roman" w:eastAsia="Times New Roman" w:hAnsi="Times New Roman" w:cs="Times New Roman"/>
          <w:i/>
          <w:color w:val="151515"/>
          <w:sz w:val="24"/>
          <w:szCs w:val="24"/>
          <w:highlight w:val="white"/>
        </w:rPr>
        <w:t>ds for School Mathematics</w:t>
      </w:r>
      <w:r>
        <w:rPr>
          <w:rFonts w:ascii="Times New Roman" w:eastAsia="Times New Roman" w:hAnsi="Times New Roman" w:cs="Times New Roman"/>
          <w:color w:val="151515"/>
          <w:sz w:val="24"/>
          <w:szCs w:val="24"/>
          <w:highlight w:val="white"/>
        </w:rPr>
        <w:t> (2000).</w:t>
      </w:r>
    </w:p>
    <w:p w:rsidR="00150515" w:rsidRDefault="00150515">
      <w:pPr>
        <w:spacing w:after="0" w:line="240" w:lineRule="auto"/>
        <w:rPr>
          <w:rFonts w:ascii="Times New Roman" w:eastAsia="Times New Roman" w:hAnsi="Times New Roman" w:cs="Times New Roman"/>
          <w:sz w:val="24"/>
          <w:szCs w:val="24"/>
        </w:rPr>
      </w:pPr>
    </w:p>
    <w:p w:rsidR="00150515" w:rsidRDefault="00EB1D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January 2021, a multistate standard-setting study was designed and conducted by the Educational Testing Service (ETS) to support the decision-making process of education agencies establishing a passing score (cut score</w:t>
      </w:r>
      <w:r>
        <w:rPr>
          <w:rFonts w:ascii="Times New Roman" w:eastAsia="Times New Roman" w:hAnsi="Times New Roman" w:cs="Times New Roman"/>
          <w:sz w:val="24"/>
          <w:szCs w:val="24"/>
        </w:rPr>
        <w:t>) for the Praxis® Mathematics (5165) test. Panelists from 13 states and Washington, D.C., participated on the panel. The education agencies recommended panelists with (a) experience as either secondary mathematics teachers or college faculty who prepare se</w:t>
      </w:r>
      <w:r>
        <w:rPr>
          <w:rFonts w:ascii="Times New Roman" w:eastAsia="Times New Roman" w:hAnsi="Times New Roman" w:cs="Times New Roman"/>
          <w:sz w:val="24"/>
          <w:szCs w:val="24"/>
        </w:rPr>
        <w:t>condary mathematics teachers and (b) familiarity with the knowledge and skills required of beginning secondary mathematics teachers.</w:t>
      </w:r>
    </w:p>
    <w:p w:rsidR="00150515" w:rsidRDefault="00150515">
      <w:pPr>
        <w:spacing w:after="0" w:line="240" w:lineRule="auto"/>
        <w:rPr>
          <w:rFonts w:ascii="Times New Roman" w:eastAsia="Times New Roman" w:hAnsi="Times New Roman" w:cs="Times New Roman"/>
          <w:sz w:val="24"/>
          <w:szCs w:val="24"/>
        </w:rPr>
      </w:pPr>
    </w:p>
    <w:p w:rsidR="00150515" w:rsidRDefault="00EB1D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did not participate in the multi-state standard study. Instead, ETS facilitated a panel discussion with five Virg</w:t>
      </w:r>
      <w:r>
        <w:rPr>
          <w:rFonts w:ascii="Times New Roman" w:eastAsia="Times New Roman" w:hAnsi="Times New Roman" w:cs="Times New Roman"/>
          <w:sz w:val="24"/>
          <w:szCs w:val="24"/>
        </w:rPr>
        <w:t xml:space="preserve">inia educators that mirrored the multi-state standard study in April 2021. The Virginia report reflects that the panel agreed with the recommended cut score of the multi-state study. </w:t>
      </w:r>
    </w:p>
    <w:p w:rsidR="00150515" w:rsidRDefault="00150515">
      <w:pPr>
        <w:spacing w:after="0" w:line="240" w:lineRule="auto"/>
        <w:rPr>
          <w:rFonts w:ascii="Times New Roman" w:eastAsia="Times New Roman" w:hAnsi="Times New Roman" w:cs="Times New Roman"/>
          <w:sz w:val="24"/>
          <w:szCs w:val="24"/>
        </w:rPr>
      </w:pPr>
    </w:p>
    <w:p w:rsidR="00150515" w:rsidRDefault="00EB1D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detailed summary of the study, Multistate Standard-Setting Technical Report -- PRAXIS® MATHEMATICS (5165) is attached, as well as the Virginia report. The technical report contains three sections. The first section describes the content and format of the</w:t>
      </w:r>
      <w:r>
        <w:rPr>
          <w:rFonts w:ascii="Times New Roman" w:eastAsia="Times New Roman" w:hAnsi="Times New Roman" w:cs="Times New Roman"/>
          <w:sz w:val="24"/>
          <w:szCs w:val="24"/>
        </w:rPr>
        <w:t xml:space="preserve"> test. The second section describes the standard-setting processes and methods. The third section presents the results of the standard-setting study.</w:t>
      </w:r>
    </w:p>
    <w:p w:rsidR="00150515" w:rsidRDefault="00150515">
      <w:pPr>
        <w:spacing w:after="0" w:line="240" w:lineRule="auto"/>
        <w:rPr>
          <w:rFonts w:ascii="Times New Roman" w:eastAsia="Times New Roman" w:hAnsi="Times New Roman" w:cs="Times New Roman"/>
          <w:sz w:val="24"/>
          <w:szCs w:val="24"/>
        </w:rPr>
      </w:pPr>
    </w:p>
    <w:p w:rsidR="00150515" w:rsidRDefault="00EB1D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t>
      </w:r>
      <w:hyperlink r:id="rId11">
        <w:r>
          <w:rPr>
            <w:rFonts w:ascii="Times New Roman" w:eastAsia="Times New Roman" w:hAnsi="Times New Roman" w:cs="Times New Roman"/>
            <w:color w:val="0563C1"/>
            <w:sz w:val="24"/>
            <w:szCs w:val="24"/>
            <w:u w:val="single"/>
          </w:rPr>
          <w:t>Praxis® Mathematics Study Companion</w:t>
        </w:r>
      </w:hyperlink>
      <w:r>
        <w:rPr>
          <w:rFonts w:ascii="Times New Roman" w:eastAsia="Times New Roman" w:hAnsi="Times New Roman" w:cs="Times New Roman"/>
          <w:sz w:val="24"/>
          <w:szCs w:val="24"/>
        </w:rPr>
        <w:t xml:space="preserve"> docu</w:t>
      </w:r>
      <w:r>
        <w:rPr>
          <w:rFonts w:ascii="Times New Roman" w:eastAsia="Times New Roman" w:hAnsi="Times New Roman" w:cs="Times New Roman"/>
          <w:sz w:val="24"/>
          <w:szCs w:val="24"/>
        </w:rPr>
        <w:t>ment describes the purpose and structure of the test. In brief, the test measures knowledge and competencies that are important for safe and effective beginning practice as a secondary mathematics teacher. The three-hour assessment contains 66 selected-res</w:t>
      </w:r>
      <w:r>
        <w:rPr>
          <w:rFonts w:ascii="Times New Roman" w:eastAsia="Times New Roman" w:hAnsi="Times New Roman" w:cs="Times New Roman"/>
          <w:sz w:val="24"/>
          <w:szCs w:val="24"/>
        </w:rPr>
        <w:t xml:space="preserve">ponse items covering four content areas: </w:t>
      </w:r>
      <w:r>
        <w:rPr>
          <w:rFonts w:ascii="Times New Roman" w:eastAsia="Times New Roman" w:hAnsi="Times New Roman" w:cs="Times New Roman"/>
          <w:i/>
          <w:sz w:val="24"/>
          <w:szCs w:val="24"/>
        </w:rPr>
        <w:t>Number &amp; Quantity and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Algebra</w:t>
      </w:r>
      <w:r>
        <w:rPr>
          <w:rFonts w:ascii="Times New Roman" w:eastAsia="Times New Roman" w:hAnsi="Times New Roman" w:cs="Times New Roman"/>
          <w:sz w:val="24"/>
          <w:szCs w:val="24"/>
        </w:rPr>
        <w:t xml:space="preserve"> (approximately 20 items), </w:t>
      </w:r>
      <w:r>
        <w:rPr>
          <w:rFonts w:ascii="Times New Roman" w:eastAsia="Times New Roman" w:hAnsi="Times New Roman" w:cs="Times New Roman"/>
          <w:i/>
          <w:sz w:val="24"/>
          <w:szCs w:val="24"/>
        </w:rPr>
        <w:t>Functions and Calculus</w:t>
      </w:r>
      <w:r>
        <w:rPr>
          <w:rFonts w:ascii="Times New Roman" w:eastAsia="Times New Roman" w:hAnsi="Times New Roman" w:cs="Times New Roman"/>
          <w:sz w:val="24"/>
          <w:szCs w:val="24"/>
        </w:rPr>
        <w:t xml:space="preserve"> (approximately 20 items), </w:t>
      </w:r>
      <w:r>
        <w:rPr>
          <w:rFonts w:ascii="Times New Roman" w:eastAsia="Times New Roman" w:hAnsi="Times New Roman" w:cs="Times New Roman"/>
          <w:i/>
          <w:sz w:val="24"/>
          <w:szCs w:val="24"/>
        </w:rPr>
        <w:t>Geometry</w:t>
      </w:r>
      <w:r>
        <w:rPr>
          <w:rFonts w:ascii="Times New Roman" w:eastAsia="Times New Roman" w:hAnsi="Times New Roman" w:cs="Times New Roman"/>
          <w:sz w:val="24"/>
          <w:szCs w:val="24"/>
        </w:rPr>
        <w:t xml:space="preserve"> (approximately 13 items), and </w:t>
      </w:r>
      <w:r>
        <w:rPr>
          <w:rFonts w:ascii="Times New Roman" w:eastAsia="Times New Roman" w:hAnsi="Times New Roman" w:cs="Times New Roman"/>
          <w:i/>
          <w:sz w:val="24"/>
          <w:szCs w:val="24"/>
        </w:rPr>
        <w:t>Statistics &amp; Probability</w:t>
      </w:r>
      <w:r>
        <w:rPr>
          <w:rFonts w:ascii="Times New Roman" w:eastAsia="Times New Roman" w:hAnsi="Times New Roman" w:cs="Times New Roman"/>
          <w:sz w:val="24"/>
          <w:szCs w:val="24"/>
        </w:rPr>
        <w:t xml:space="preserve"> (approximately 13 items). The reporting scale </w:t>
      </w:r>
      <w:r>
        <w:rPr>
          <w:rFonts w:ascii="Times New Roman" w:eastAsia="Times New Roman" w:hAnsi="Times New Roman" w:cs="Times New Roman"/>
          <w:sz w:val="24"/>
          <w:szCs w:val="24"/>
        </w:rPr>
        <w:t>for the Praxis Mathematics test ranges from 100 to 200 scale-score points.</w:t>
      </w:r>
    </w:p>
    <w:p w:rsidR="00150515" w:rsidRDefault="00150515">
      <w:pPr>
        <w:spacing w:after="0" w:line="240" w:lineRule="auto"/>
        <w:rPr>
          <w:rFonts w:ascii="Times New Roman" w:eastAsia="Times New Roman" w:hAnsi="Times New Roman" w:cs="Times New Roman"/>
          <w:sz w:val="24"/>
          <w:szCs w:val="24"/>
        </w:rPr>
      </w:pPr>
    </w:p>
    <w:p w:rsidR="00150515" w:rsidRDefault="00EB1D20">
      <w:pPr>
        <w:pStyle w:val="Heading3"/>
      </w:pPr>
      <w:r>
        <w:t>Multistate Standard-Setting Study</w:t>
      </w:r>
    </w:p>
    <w:p w:rsidR="00150515" w:rsidRDefault="00150515">
      <w:pPr>
        <w:spacing w:after="0" w:line="240" w:lineRule="auto"/>
        <w:rPr>
          <w:rFonts w:ascii="Times New Roman" w:eastAsia="Times New Roman" w:hAnsi="Times New Roman" w:cs="Times New Roman"/>
          <w:sz w:val="24"/>
          <w:szCs w:val="24"/>
        </w:rPr>
      </w:pPr>
    </w:p>
    <w:p w:rsidR="00150515" w:rsidRDefault="00EB1D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Multistate standard-setting study for the Praxis® Mathematics (5165) test is detailed in the attached report.</w:t>
      </w:r>
    </w:p>
    <w:p w:rsidR="00150515" w:rsidRDefault="00150515">
      <w:pPr>
        <w:spacing w:after="0" w:line="240" w:lineRule="auto"/>
        <w:rPr>
          <w:rFonts w:ascii="Times New Roman" w:eastAsia="Times New Roman" w:hAnsi="Times New Roman" w:cs="Times New Roman"/>
          <w:sz w:val="24"/>
          <w:szCs w:val="24"/>
        </w:rPr>
      </w:pPr>
    </w:p>
    <w:p w:rsidR="00150515" w:rsidRDefault="00EB1D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table presents the estimated conditional standard error of measurement (CSEM) around the recommended passing score. A standard error represents the uncertainty associated with a test score. The scale scores associated with one and two CSEM ab</w:t>
      </w:r>
      <w:r>
        <w:rPr>
          <w:rFonts w:ascii="Times New Roman" w:eastAsia="Times New Roman" w:hAnsi="Times New Roman" w:cs="Times New Roman"/>
          <w:sz w:val="24"/>
          <w:szCs w:val="24"/>
        </w:rPr>
        <w:t>ove and below the recommended passing score are provided. The conditional standard error of measurement provided is an estimate.</w:t>
      </w:r>
    </w:p>
    <w:p w:rsidR="00150515" w:rsidRDefault="00150515">
      <w:pPr>
        <w:spacing w:after="0" w:line="240" w:lineRule="auto"/>
        <w:rPr>
          <w:rFonts w:ascii="Times New Roman" w:eastAsia="Times New Roman" w:hAnsi="Times New Roman" w:cs="Times New Roman"/>
          <w:sz w:val="24"/>
          <w:szCs w:val="24"/>
        </w:rPr>
      </w:pPr>
    </w:p>
    <w:p w:rsidR="00150515" w:rsidRDefault="00EB1D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Conditional Standard Error of Measurement Summaries</w:t>
      </w:r>
    </w:p>
    <w:p w:rsidR="00150515" w:rsidRDefault="00EB1D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PRAXIS® MATHEMATICS (5165)</w:t>
      </w:r>
    </w:p>
    <w:p w:rsidR="00150515" w:rsidRDefault="00150515">
      <w:pPr>
        <w:spacing w:after="0" w:line="240" w:lineRule="auto"/>
        <w:rPr>
          <w:rFonts w:ascii="Times New Roman" w:eastAsia="Times New Roman" w:hAnsi="Times New Roman" w:cs="Times New Roman"/>
          <w:sz w:val="24"/>
          <w:szCs w:val="24"/>
        </w:rPr>
      </w:pPr>
    </w:p>
    <w:tbl>
      <w:tblPr>
        <w:tblStyle w:val="a0"/>
        <w:tblW w:w="711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1710"/>
        <w:gridCol w:w="2610"/>
      </w:tblGrid>
      <w:tr w:rsidR="00150515">
        <w:tc>
          <w:tcPr>
            <w:tcW w:w="2790" w:type="dxa"/>
          </w:tcPr>
          <w:p w:rsidR="00150515" w:rsidRDefault="001505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1710" w:type="dxa"/>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Raw Score</w:t>
            </w:r>
          </w:p>
        </w:tc>
        <w:tc>
          <w:tcPr>
            <w:tcW w:w="2610" w:type="dxa"/>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Scale Score Equivalent</w:t>
            </w:r>
          </w:p>
        </w:tc>
      </w:tr>
      <w:tr w:rsidR="00150515">
        <w:tc>
          <w:tcPr>
            <w:tcW w:w="2790" w:type="dxa"/>
            <w:shd w:val="clear" w:color="auto" w:fill="9CC3E5"/>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Recommended passing score (CSEM)</w:t>
            </w:r>
          </w:p>
        </w:tc>
        <w:tc>
          <w:tcPr>
            <w:tcW w:w="1710" w:type="dxa"/>
            <w:shd w:val="clear" w:color="auto" w:fill="9CC3E5"/>
            <w:vAlign w:val="center"/>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39 (3.73)</w:t>
            </w:r>
          </w:p>
        </w:tc>
        <w:tc>
          <w:tcPr>
            <w:tcW w:w="2610" w:type="dxa"/>
            <w:shd w:val="clear" w:color="auto" w:fill="9CC3E5"/>
            <w:vAlign w:val="center"/>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159</w:t>
            </w:r>
          </w:p>
        </w:tc>
      </w:tr>
      <w:tr w:rsidR="00150515">
        <w:tc>
          <w:tcPr>
            <w:tcW w:w="2790" w:type="dxa"/>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CSEM</w:t>
            </w:r>
          </w:p>
        </w:tc>
        <w:tc>
          <w:tcPr>
            <w:tcW w:w="1710" w:type="dxa"/>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610" w:type="dxa"/>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w:t>
            </w:r>
          </w:p>
        </w:tc>
      </w:tr>
      <w:tr w:rsidR="00150515">
        <w:tc>
          <w:tcPr>
            <w:tcW w:w="2790" w:type="dxa"/>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CSEM</w:t>
            </w:r>
          </w:p>
        </w:tc>
        <w:tc>
          <w:tcPr>
            <w:tcW w:w="1710" w:type="dxa"/>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610" w:type="dxa"/>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w:t>
            </w:r>
          </w:p>
        </w:tc>
      </w:tr>
      <w:tr w:rsidR="00150515">
        <w:tc>
          <w:tcPr>
            <w:tcW w:w="2790" w:type="dxa"/>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CSEM</w:t>
            </w:r>
          </w:p>
        </w:tc>
        <w:tc>
          <w:tcPr>
            <w:tcW w:w="1710" w:type="dxa"/>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610" w:type="dxa"/>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r>
      <w:tr w:rsidR="00150515">
        <w:tc>
          <w:tcPr>
            <w:tcW w:w="2790" w:type="dxa"/>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CSEM</w:t>
            </w:r>
          </w:p>
        </w:tc>
        <w:tc>
          <w:tcPr>
            <w:tcW w:w="1710" w:type="dxa"/>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610" w:type="dxa"/>
          </w:tcPr>
          <w:p w:rsidR="00150515" w:rsidRDefault="00EB1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w:t>
            </w:r>
          </w:p>
        </w:tc>
      </w:tr>
    </w:tbl>
    <w:p w:rsidR="00150515" w:rsidRDefault="00150515">
      <w:pPr>
        <w:spacing w:after="0" w:line="240" w:lineRule="auto"/>
        <w:rPr>
          <w:rFonts w:ascii="Times New Roman" w:eastAsia="Times New Roman" w:hAnsi="Times New Roman" w:cs="Times New Roman"/>
          <w:sz w:val="24"/>
          <w:szCs w:val="24"/>
        </w:rPr>
      </w:pPr>
    </w:p>
    <w:p w:rsidR="00150515" w:rsidRDefault="00150515">
      <w:pPr>
        <w:spacing w:after="0" w:line="240" w:lineRule="auto"/>
        <w:rPr>
          <w:rFonts w:ascii="Times New Roman" w:eastAsia="Times New Roman" w:hAnsi="Times New Roman" w:cs="Times New Roman"/>
          <w:sz w:val="24"/>
          <w:szCs w:val="24"/>
        </w:rPr>
      </w:pPr>
    </w:p>
    <w:p w:rsidR="00150515" w:rsidRDefault="00EB1D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ETS provides a recommended passing score from the multistate standard-setting study to help</w:t>
      </w:r>
    </w:p>
    <w:p w:rsidR="00150515" w:rsidRDefault="00EB1D2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education</w:t>
      </w:r>
      <w:proofErr w:type="gramEnd"/>
      <w:r>
        <w:rPr>
          <w:rFonts w:ascii="Times New Roman" w:eastAsia="Times New Roman" w:hAnsi="Times New Roman" w:cs="Times New Roman"/>
          <w:sz w:val="24"/>
          <w:szCs w:val="24"/>
        </w:rPr>
        <w:t xml:space="preserve"> agencies determine an appropriate operational passing score. For the Praxis Mathematics test, the recommended passing score is 39 out of a possible 60 raw-score points. The scale score associated with a raw score of 39 is 159 on a 100–200 scale.</w:t>
      </w:r>
    </w:p>
    <w:p w:rsidR="00150515" w:rsidRDefault="00150515">
      <w:pPr>
        <w:spacing w:after="0" w:line="240" w:lineRule="auto"/>
        <w:rPr>
          <w:rFonts w:ascii="Times New Roman" w:eastAsia="Times New Roman" w:hAnsi="Times New Roman" w:cs="Times New Roman"/>
          <w:sz w:val="24"/>
          <w:szCs w:val="24"/>
        </w:rPr>
      </w:pPr>
    </w:p>
    <w:p w:rsidR="00150515" w:rsidRDefault="00EB1D20">
      <w:pPr>
        <w:spacing w:after="0" w:line="240" w:lineRule="auto"/>
        <w:rPr>
          <w:b/>
          <w:u w:val="single"/>
        </w:rPr>
      </w:pPr>
      <w:bookmarkStart w:id="1" w:name="_heading=h.gjdgxs" w:colFirst="0" w:colLast="0"/>
      <w:bookmarkEnd w:id="1"/>
      <w:r>
        <w:rPr>
          <w:rFonts w:ascii="Times New Roman" w:eastAsia="Times New Roman" w:hAnsi="Times New Roman" w:cs="Times New Roman"/>
          <w:sz w:val="24"/>
          <w:szCs w:val="24"/>
        </w:rPr>
        <w:t xml:space="preserve">On October 27, 2021, information regarding the multistate standard-setting process was presented to the Advisory Board members by </w:t>
      </w:r>
      <w:r>
        <w:rPr>
          <w:rFonts w:ascii="Times New Roman" w:eastAsia="Times New Roman" w:hAnsi="Times New Roman" w:cs="Times New Roman"/>
          <w:color w:val="222222"/>
          <w:sz w:val="24"/>
          <w:szCs w:val="24"/>
        </w:rPr>
        <w:t>Malik K. McKinley, Sr.,</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Director of Client Relations, Professional Educator Programs, Office for Teacher Licensure and Certif</w:t>
      </w:r>
      <w:r>
        <w:rPr>
          <w:rFonts w:ascii="Times New Roman" w:eastAsia="Times New Roman" w:hAnsi="Times New Roman" w:cs="Times New Roman"/>
          <w:color w:val="222222"/>
          <w:sz w:val="24"/>
          <w:szCs w:val="24"/>
        </w:rPr>
        <w:t>ication, Student and Teacher Assessment Division, Educational Testing Service.</w:t>
      </w:r>
      <w:r>
        <w:rPr>
          <w:b/>
        </w:rPr>
        <w:t xml:space="preserve"> </w:t>
      </w:r>
      <w:r>
        <w:rPr>
          <w:rFonts w:ascii="Times New Roman" w:eastAsia="Times New Roman" w:hAnsi="Times New Roman" w:cs="Times New Roman"/>
          <w:sz w:val="24"/>
          <w:szCs w:val="24"/>
        </w:rPr>
        <w:t xml:space="preserve">The Advisory Board members reviewed the standard-setting report and recommended that the Board of Education approve the passing score of 152 (-1 CSEM below the standard setting </w:t>
      </w:r>
      <w:r>
        <w:rPr>
          <w:rFonts w:ascii="Times New Roman" w:eastAsia="Times New Roman" w:hAnsi="Times New Roman" w:cs="Times New Roman"/>
          <w:sz w:val="24"/>
          <w:szCs w:val="24"/>
        </w:rPr>
        <w:t>panel’s recommendation).</w:t>
      </w:r>
    </w:p>
    <w:p w:rsidR="00150515" w:rsidRDefault="00150515">
      <w:pPr>
        <w:spacing w:after="0" w:line="240" w:lineRule="auto"/>
        <w:rPr>
          <w:b/>
          <w:u w:val="single"/>
        </w:rPr>
      </w:pPr>
    </w:p>
    <w:p w:rsidR="00150515" w:rsidRDefault="00EB1D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Code of Virginia</w:t>
      </w:r>
      <w:r>
        <w:rPr>
          <w:rFonts w:ascii="Times New Roman" w:eastAsia="Times New Roman" w:hAnsi="Times New Roman" w:cs="Times New Roman"/>
          <w:sz w:val="24"/>
          <w:szCs w:val="24"/>
        </w:rPr>
        <w:t xml:space="preserve"> provides the authority for the Board of Education to promulgate </w:t>
      </w:r>
      <w:r>
        <w:rPr>
          <w:rFonts w:ascii="Times New Roman" w:eastAsia="Times New Roman" w:hAnsi="Times New Roman" w:cs="Times New Roman"/>
          <w:i/>
          <w:sz w:val="24"/>
          <w:szCs w:val="24"/>
        </w:rPr>
        <w:t>Licensure Regulations for School Personnel</w:t>
      </w:r>
      <w:r>
        <w:rPr>
          <w:rFonts w:ascii="Times New Roman" w:eastAsia="Times New Roman" w:hAnsi="Times New Roman" w:cs="Times New Roman"/>
          <w:sz w:val="24"/>
          <w:szCs w:val="24"/>
        </w:rPr>
        <w:t>.</w:t>
      </w:r>
    </w:p>
    <w:p w:rsidR="00150515" w:rsidRDefault="00150515">
      <w:pPr>
        <w:spacing w:after="0" w:line="240" w:lineRule="auto"/>
        <w:rPr>
          <w:rFonts w:ascii="Times New Roman" w:eastAsia="Times New Roman" w:hAnsi="Times New Roman" w:cs="Times New Roman"/>
          <w:sz w:val="24"/>
          <w:szCs w:val="24"/>
        </w:rPr>
      </w:pPr>
    </w:p>
    <w:p w:rsidR="00150515" w:rsidRDefault="00EB1D20" w:rsidP="006866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b/>
          <w:sz w:val="24"/>
          <w:szCs w:val="24"/>
        </w:rPr>
        <w:t xml:space="preserve"> </w:t>
      </w:r>
      <w:hyperlink r:id="rId12">
        <w:r>
          <w:rPr>
            <w:rFonts w:ascii="Times New Roman" w:eastAsia="Times New Roman" w:hAnsi="Times New Roman" w:cs="Times New Roman"/>
            <w:b/>
            <w:color w:val="0563C1"/>
            <w:sz w:val="24"/>
            <w:szCs w:val="24"/>
            <w:u w:val="single"/>
          </w:rPr>
          <w:t>22.1-298.1</w:t>
        </w:r>
      </w:hyperlink>
      <w:r>
        <w:rPr>
          <w:rFonts w:ascii="Times New Roman" w:eastAsia="Times New Roman" w:hAnsi="Times New Roman" w:cs="Times New Roman"/>
          <w:sz w:val="24"/>
          <w:szCs w:val="24"/>
        </w:rPr>
        <w:t xml:space="preserve"> of the </w:t>
      </w:r>
      <w:r>
        <w:rPr>
          <w:rFonts w:ascii="Times New Roman" w:eastAsia="Times New Roman" w:hAnsi="Times New Roman" w:cs="Times New Roman"/>
          <w:i/>
          <w:sz w:val="24"/>
          <w:szCs w:val="24"/>
        </w:rPr>
        <w:t>Code of Virginia</w:t>
      </w:r>
      <w:r>
        <w:rPr>
          <w:rFonts w:ascii="Times New Roman" w:eastAsia="Times New Roman" w:hAnsi="Times New Roman" w:cs="Times New Roman"/>
          <w:sz w:val="24"/>
          <w:szCs w:val="24"/>
        </w:rPr>
        <w:t>, states in part, the following:</w:t>
      </w:r>
    </w:p>
    <w:p w:rsidR="00150515" w:rsidRDefault="00150515" w:rsidP="00686675">
      <w:pPr>
        <w:spacing w:after="0" w:line="240" w:lineRule="auto"/>
        <w:rPr>
          <w:rFonts w:ascii="Times New Roman" w:eastAsia="Times New Roman" w:hAnsi="Times New Roman" w:cs="Times New Roman"/>
          <w:sz w:val="24"/>
          <w:szCs w:val="24"/>
        </w:rPr>
      </w:pPr>
    </w:p>
    <w:p w:rsidR="00150515" w:rsidRDefault="00EB1D20" w:rsidP="00686675">
      <w:pPr>
        <w:pBdr>
          <w:top w:val="single" w:sz="4" w:space="1" w:color="auto"/>
          <w:left w:val="single" w:sz="4" w:space="1" w:color="auto"/>
          <w:bottom w:val="single" w:sz="4" w:space="1" w:color="auto"/>
          <w:right w:val="single" w:sz="4" w:space="1" w:color="auto"/>
        </w:pBd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hyperlink r:id="rId13">
        <w:r>
          <w:rPr>
            <w:rFonts w:ascii="Times New Roman" w:eastAsia="Times New Roman" w:hAnsi="Times New Roman" w:cs="Times New Roman"/>
            <w:b/>
            <w:color w:val="0563C1"/>
            <w:sz w:val="24"/>
            <w:szCs w:val="24"/>
            <w:u w:val="single"/>
          </w:rPr>
          <w:t>22.1-298.1</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Regulations governing licensure.</w:t>
      </w:r>
    </w:p>
    <w:p w:rsidR="00150515" w:rsidRDefault="00EB1D20" w:rsidP="00686675">
      <w:pPr>
        <w:pBdr>
          <w:top w:val="single" w:sz="4" w:space="1" w:color="auto"/>
          <w:left w:val="single" w:sz="4" w:space="1" w:color="auto"/>
          <w:bottom w:val="single" w:sz="4" w:space="1" w:color="auto"/>
          <w:right w:val="single" w:sz="4" w:space="1" w:color="auto"/>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 </w:t>
      </w:r>
      <w:proofErr w:type="gramStart"/>
      <w:r>
        <w:rPr>
          <w:rFonts w:ascii="Times New Roman" w:eastAsia="Times New Roman" w:hAnsi="Times New Roman" w:cs="Times New Roman"/>
          <w:i/>
          <w:color w:val="000000"/>
          <w:sz w:val="24"/>
          <w:szCs w:val="24"/>
        </w:rPr>
        <w:t>The</w:t>
      </w:r>
      <w:proofErr w:type="gramEnd"/>
      <w:r>
        <w:rPr>
          <w:rFonts w:ascii="Times New Roman" w:eastAsia="Times New Roman" w:hAnsi="Times New Roman" w:cs="Times New Roman"/>
          <w:i/>
          <w:color w:val="000000"/>
          <w:sz w:val="24"/>
          <w:szCs w:val="24"/>
        </w:rPr>
        <w:t xml:space="preserve"> Board of Education's regulations shall include requirements that a person seeking initial licensure:</w:t>
      </w:r>
    </w:p>
    <w:p w:rsidR="00150515" w:rsidRDefault="00EB1D20" w:rsidP="00686675">
      <w:pPr>
        <w:pBdr>
          <w:top w:val="single" w:sz="4" w:space="1" w:color="auto"/>
          <w:left w:val="single" w:sz="4" w:space="1" w:color="auto"/>
          <w:bottom w:val="single" w:sz="4" w:space="1" w:color="auto"/>
          <w:right w:val="single" w:sz="4" w:space="1" w:color="auto"/>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 Demonstrate proficiency in the relevant content area, communication, literacy, and other core skills for educators by achieving a qualifying score on professional assessments or meeting alternative evaluation standards as prescribed by the Board;</w:t>
      </w:r>
    </w:p>
    <w:p w:rsidR="00150515" w:rsidRDefault="00EB1D20" w:rsidP="00686675">
      <w:pPr>
        <w:pBdr>
          <w:top w:val="single" w:sz="4" w:space="1" w:color="auto"/>
          <w:left w:val="single" w:sz="4" w:space="1" w:color="auto"/>
          <w:bottom w:val="single" w:sz="4" w:space="1" w:color="auto"/>
          <w:right w:val="single" w:sz="4" w:space="1" w:color="auto"/>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 Com</w:t>
      </w:r>
      <w:r>
        <w:rPr>
          <w:rFonts w:ascii="Times New Roman" w:eastAsia="Times New Roman" w:hAnsi="Times New Roman" w:cs="Times New Roman"/>
          <w:i/>
          <w:color w:val="000000"/>
          <w:sz w:val="24"/>
          <w:szCs w:val="24"/>
        </w:rPr>
        <w:t>plete study in attention deficit disorder;</w:t>
      </w:r>
    </w:p>
    <w:p w:rsidR="00150515" w:rsidRDefault="00EB1D20" w:rsidP="00686675">
      <w:pPr>
        <w:pBdr>
          <w:top w:val="single" w:sz="4" w:space="1" w:color="auto"/>
          <w:left w:val="single" w:sz="4" w:space="1" w:color="auto"/>
          <w:bottom w:val="single" w:sz="4" w:space="1" w:color="auto"/>
          <w:right w:val="single" w:sz="4" w:space="1" w:color="auto"/>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3. Complete study in gifted education, including the use of multiple criteria to identify gifted students; and</w:t>
      </w:r>
    </w:p>
    <w:p w:rsidR="00150515" w:rsidRDefault="00EB1D20" w:rsidP="00686675">
      <w:pPr>
        <w:pBdr>
          <w:top w:val="single" w:sz="4" w:space="1" w:color="auto"/>
          <w:left w:val="single" w:sz="4" w:space="1" w:color="auto"/>
          <w:bottom w:val="single" w:sz="4" w:space="1" w:color="auto"/>
          <w:right w:val="single" w:sz="4" w:space="1" w:color="auto"/>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4. Complete study in methods of improving communication between schools and families and ways of incre</w:t>
      </w:r>
      <w:r>
        <w:rPr>
          <w:rFonts w:ascii="Times New Roman" w:eastAsia="Times New Roman" w:hAnsi="Times New Roman" w:cs="Times New Roman"/>
          <w:i/>
          <w:color w:val="000000"/>
          <w:sz w:val="24"/>
          <w:szCs w:val="24"/>
        </w:rPr>
        <w:t>asing family involvement in student learning at home and at school.</w:t>
      </w:r>
    </w:p>
    <w:p w:rsidR="00150515" w:rsidRDefault="00150515">
      <w:pPr>
        <w:spacing w:after="0" w:line="240" w:lineRule="auto"/>
        <w:ind w:left="720"/>
        <w:rPr>
          <w:rFonts w:ascii="Times New Roman" w:eastAsia="Times New Roman" w:hAnsi="Times New Roman" w:cs="Times New Roman"/>
          <w:i/>
          <w:sz w:val="24"/>
          <w:szCs w:val="24"/>
        </w:rPr>
      </w:pPr>
    </w:p>
    <w:p w:rsidR="00150515" w:rsidRDefault="00EB1D20" w:rsidP="00686675">
      <w:pPr>
        <w:spacing w:after="0" w:line="240" w:lineRule="auto"/>
        <w:rPr>
          <w:rFonts w:ascii="Times New Roman" w:eastAsia="Times New Roman" w:hAnsi="Times New Roman" w:cs="Times New Roman"/>
          <w:color w:val="0563C1"/>
          <w:sz w:val="24"/>
          <w:szCs w:val="24"/>
          <w:u w:val="single"/>
        </w:rPr>
      </w:pPr>
      <w:r>
        <w:rPr>
          <w:rFonts w:ascii="Times New Roman" w:eastAsia="Times New Roman" w:hAnsi="Times New Roman" w:cs="Times New Roman"/>
          <w:i/>
          <w:sz w:val="24"/>
          <w:szCs w:val="24"/>
        </w:rPr>
        <w:t xml:space="preserve">Code of Virginia, </w:t>
      </w:r>
      <w:r>
        <w:rPr>
          <w:rFonts w:ascii="Times New Roman" w:eastAsia="Times New Roman" w:hAnsi="Times New Roman" w:cs="Times New Roman"/>
          <w:sz w:val="24"/>
          <w:szCs w:val="24"/>
        </w:rPr>
        <w:t xml:space="preserve">Section </w:t>
      </w:r>
      <w:r>
        <w:fldChar w:fldCharType="begin"/>
      </w:r>
      <w:r>
        <w:instrText xml:space="preserve"> HYPERLINK "https://law.lis.virginia.gov/vacode/title22.1/chapter2/section22.1-16/" </w:instrText>
      </w:r>
      <w:r>
        <w:fldChar w:fldCharType="separate"/>
      </w:r>
      <w:r>
        <w:rPr>
          <w:rFonts w:ascii="Times New Roman" w:eastAsia="Times New Roman" w:hAnsi="Times New Roman" w:cs="Times New Roman"/>
          <w:color w:val="0563C1"/>
          <w:sz w:val="24"/>
          <w:szCs w:val="24"/>
          <w:u w:val="single"/>
        </w:rPr>
        <w:t>22.1-16. Bylaws and regulations generally.</w:t>
      </w:r>
    </w:p>
    <w:p w:rsidR="00150515" w:rsidRDefault="00EB1D20" w:rsidP="00686675">
      <w:pPr>
        <w:spacing w:after="0" w:line="240" w:lineRule="auto"/>
        <w:rPr>
          <w:rFonts w:ascii="Times New Roman" w:eastAsia="Times New Roman" w:hAnsi="Times New Roman" w:cs="Times New Roman"/>
          <w:i/>
          <w:color w:val="0563C1"/>
          <w:sz w:val="24"/>
          <w:szCs w:val="24"/>
          <w:u w:val="single"/>
        </w:rPr>
      </w:pPr>
      <w:r>
        <w:fldChar w:fldCharType="end"/>
      </w:r>
      <w:r>
        <w:rPr>
          <w:rFonts w:ascii="Times New Roman" w:eastAsia="Times New Roman" w:hAnsi="Times New Roman" w:cs="Times New Roman"/>
          <w:i/>
          <w:sz w:val="24"/>
          <w:szCs w:val="24"/>
        </w:rPr>
        <w:t xml:space="preserve">Code of Virginia, </w:t>
      </w:r>
      <w:r>
        <w:rPr>
          <w:rFonts w:ascii="Times New Roman" w:eastAsia="Times New Roman" w:hAnsi="Times New Roman" w:cs="Times New Roman"/>
          <w:sz w:val="24"/>
          <w:szCs w:val="24"/>
        </w:rPr>
        <w:t xml:space="preserve">Section </w:t>
      </w:r>
      <w:hyperlink r:id="rId14">
        <w:r>
          <w:rPr>
            <w:rFonts w:ascii="Times New Roman" w:eastAsia="Times New Roman" w:hAnsi="Times New Roman" w:cs="Times New Roman"/>
            <w:color w:val="0563C1"/>
            <w:sz w:val="24"/>
            <w:szCs w:val="24"/>
            <w:u w:val="single"/>
          </w:rPr>
          <w:t>22.1-299. License required of teachers.</w:t>
        </w:r>
      </w:hyperlink>
      <w:r>
        <w:fldChar w:fldCharType="begin"/>
      </w:r>
      <w:r>
        <w:instrText xml:space="preserve"> HYPERLINK "https://law.lis.virginia.gov/vacode/title22.1/chapter15/section22.1-299/" </w:instrText>
      </w:r>
      <w:r>
        <w:fldChar w:fldCharType="separate"/>
      </w:r>
    </w:p>
    <w:p w:rsidR="00150515" w:rsidRDefault="00EB1D20" w:rsidP="00686675">
      <w:pPr>
        <w:spacing w:after="0" w:line="240" w:lineRule="auto"/>
        <w:ind w:right="-90"/>
        <w:rPr>
          <w:rFonts w:ascii="Times New Roman" w:eastAsia="Times New Roman" w:hAnsi="Times New Roman" w:cs="Times New Roman"/>
          <w:sz w:val="24"/>
          <w:szCs w:val="24"/>
        </w:rPr>
      </w:pPr>
      <w:r>
        <w:fldChar w:fldCharType="end"/>
      </w:r>
      <w:r>
        <w:rPr>
          <w:rFonts w:ascii="Times New Roman" w:eastAsia="Times New Roman" w:hAnsi="Times New Roman" w:cs="Times New Roman"/>
          <w:i/>
          <w:sz w:val="24"/>
          <w:szCs w:val="24"/>
        </w:rPr>
        <w:t xml:space="preserve">Code of Virginia, </w:t>
      </w:r>
      <w:r>
        <w:rPr>
          <w:rFonts w:ascii="Times New Roman" w:eastAsia="Times New Roman" w:hAnsi="Times New Roman" w:cs="Times New Roman"/>
          <w:sz w:val="24"/>
          <w:szCs w:val="24"/>
        </w:rPr>
        <w:t xml:space="preserve">Section </w:t>
      </w:r>
      <w:hyperlink r:id="rId15">
        <w:r>
          <w:rPr>
            <w:rFonts w:ascii="Times New Roman" w:eastAsia="Times New Roman" w:hAnsi="Times New Roman" w:cs="Times New Roman"/>
            <w:color w:val="0563C1"/>
            <w:sz w:val="24"/>
            <w:szCs w:val="24"/>
            <w:u w:val="single"/>
          </w:rPr>
          <w:t>22.1-305.2. Advisory Board on Teacher Education and Licensure.</w:t>
        </w:r>
      </w:hyperlink>
    </w:p>
    <w:p w:rsidR="00150515" w:rsidRDefault="00150515">
      <w:pPr>
        <w:spacing w:after="0" w:line="240" w:lineRule="auto"/>
        <w:rPr>
          <w:rFonts w:ascii="Times New Roman" w:eastAsia="Times New Roman" w:hAnsi="Times New Roman" w:cs="Times New Roman"/>
          <w:color w:val="444444"/>
          <w:sz w:val="24"/>
          <w:szCs w:val="24"/>
        </w:rPr>
      </w:pPr>
    </w:p>
    <w:p w:rsidR="00150515" w:rsidRDefault="00EB1D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16">
        <w:r>
          <w:rPr>
            <w:rFonts w:ascii="Times New Roman" w:eastAsia="Times New Roman" w:hAnsi="Times New Roman" w:cs="Times New Roman"/>
            <w:i/>
            <w:color w:val="0563C1"/>
            <w:sz w:val="24"/>
            <w:szCs w:val="24"/>
            <w:u w:val="single"/>
          </w:rPr>
          <w:t>Licensure Regulation</w:t>
        </w:r>
        <w:r>
          <w:rPr>
            <w:rFonts w:ascii="Times New Roman" w:eastAsia="Times New Roman" w:hAnsi="Times New Roman" w:cs="Times New Roman"/>
            <w:i/>
            <w:color w:val="0563C1"/>
            <w:sz w:val="24"/>
            <w:szCs w:val="24"/>
            <w:u w:val="single"/>
          </w:rPr>
          <w:t>s for School Personnel</w:t>
        </w:r>
      </w:hyperlink>
      <w:r>
        <w:rPr>
          <w:rFonts w:ascii="Times New Roman" w:eastAsia="Times New Roman" w:hAnsi="Times New Roman" w:cs="Times New Roman"/>
          <w:sz w:val="24"/>
          <w:szCs w:val="24"/>
        </w:rPr>
        <w:t xml:space="preserve"> state, in part, the following:</w:t>
      </w:r>
    </w:p>
    <w:p w:rsidR="00150515" w:rsidRDefault="00150515">
      <w:pPr>
        <w:spacing w:after="0" w:line="240" w:lineRule="auto"/>
        <w:rPr>
          <w:rFonts w:ascii="Times New Roman" w:eastAsia="Times New Roman" w:hAnsi="Times New Roman" w:cs="Times New Roman"/>
          <w:sz w:val="24"/>
          <w:szCs w:val="24"/>
        </w:rPr>
      </w:pPr>
    </w:p>
    <w:p w:rsidR="00150515" w:rsidRDefault="00EB1D20" w:rsidP="00686675">
      <w:pPr>
        <w:pStyle w:val="Heading2"/>
        <w:pBdr>
          <w:top w:val="single" w:sz="4" w:space="1" w:color="auto"/>
          <w:left w:val="single" w:sz="4" w:space="1" w:color="auto"/>
          <w:bottom w:val="single" w:sz="4" w:space="1" w:color="auto"/>
          <w:right w:val="single" w:sz="4" w:space="1" w:color="auto"/>
        </w:pBdr>
        <w:ind w:left="540"/>
        <w:rPr>
          <w:color w:val="000000"/>
        </w:rPr>
      </w:pPr>
      <w:hyperlink r:id="rId17">
        <w:r>
          <w:rPr>
            <w:color w:val="000000"/>
          </w:rPr>
          <w:t>8VAC20-22-40</w:t>
        </w:r>
      </w:hyperlink>
      <w:r>
        <w:rPr>
          <w:color w:val="000000"/>
        </w:rPr>
        <w:t>. Conditions for Licensure.</w:t>
      </w:r>
    </w:p>
    <w:p w:rsidR="00150515" w:rsidRDefault="00EB1D20" w:rsidP="00686675">
      <w:pPr>
        <w:pBdr>
          <w:top w:val="single" w:sz="4" w:space="1" w:color="auto"/>
          <w:left w:val="single" w:sz="4" w:space="1" w:color="auto"/>
          <w:bottom w:val="single" w:sz="4" w:space="1" w:color="auto"/>
          <w:right w:val="single" w:sz="4" w:space="1" w:color="auto"/>
        </w:pBdr>
        <w:tabs>
          <w:tab w:val="left" w:pos="990"/>
        </w:tabs>
        <w:spacing w:after="0" w:line="240" w:lineRule="auto"/>
        <w:ind w:left="1080" w:hanging="54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B. All candidates who hold at least a baccalaureate degree from a regionally accredited college or university and who seek an initial Virginia teaching license shall obtain passing scores on professional teacher's assessments prescribed by the Virginia B</w:t>
      </w:r>
      <w:r>
        <w:rPr>
          <w:rFonts w:ascii="Times New Roman" w:eastAsia="Times New Roman" w:hAnsi="Times New Roman" w:cs="Times New Roman"/>
          <w:i/>
          <w:color w:val="000000"/>
          <w:sz w:val="24"/>
          <w:szCs w:val="24"/>
        </w:rPr>
        <w:t>oard of Education. With the exception of the career switcher program that requires assessments as prerequisites, individuals shall complete the professional teacher's assessment requirements within the three-year validity of the initial provisional license</w:t>
      </w:r>
      <w:r>
        <w:rPr>
          <w:rFonts w:ascii="Times New Roman" w:eastAsia="Times New Roman" w:hAnsi="Times New Roman" w:cs="Times New Roman"/>
          <w:i/>
          <w:color w:val="000000"/>
          <w:sz w:val="24"/>
          <w:szCs w:val="24"/>
        </w:rPr>
        <w:t>….</w:t>
      </w:r>
    </w:p>
    <w:p w:rsidR="00150515" w:rsidRDefault="00150515" w:rsidP="00686675">
      <w:pPr>
        <w:pStyle w:val="Heading3"/>
        <w:pBdr>
          <w:top w:val="single" w:sz="4" w:space="1" w:color="auto"/>
          <w:left w:val="single" w:sz="4" w:space="1" w:color="auto"/>
          <w:bottom w:val="single" w:sz="4" w:space="1" w:color="auto"/>
          <w:right w:val="single" w:sz="4" w:space="1" w:color="auto"/>
        </w:pBdr>
        <w:ind w:left="540"/>
        <w:rPr>
          <w:color w:val="000000"/>
        </w:rPr>
      </w:pPr>
    </w:p>
    <w:p w:rsidR="00150515" w:rsidRDefault="00EB1D20" w:rsidP="00686675">
      <w:pPr>
        <w:pStyle w:val="Heading2"/>
        <w:pBdr>
          <w:top w:val="single" w:sz="4" w:space="1" w:color="auto"/>
          <w:left w:val="single" w:sz="4" w:space="1" w:color="auto"/>
          <w:bottom w:val="single" w:sz="4" w:space="1" w:color="auto"/>
          <w:right w:val="single" w:sz="4" w:space="1" w:color="auto"/>
        </w:pBdr>
        <w:ind w:left="540"/>
        <w:rPr>
          <w:color w:val="000000"/>
        </w:rPr>
      </w:pPr>
      <w:hyperlink r:id="rId18">
        <w:r>
          <w:rPr>
            <w:color w:val="000000"/>
          </w:rPr>
          <w:t>8VAC20-22-70</w:t>
        </w:r>
      </w:hyperlink>
      <w:r>
        <w:rPr>
          <w:color w:val="000000"/>
        </w:rPr>
        <w:t>. Additional Endorsements.</w:t>
      </w:r>
    </w:p>
    <w:p w:rsidR="00150515" w:rsidRDefault="00EB1D20" w:rsidP="00686675">
      <w:pPr>
        <w:numPr>
          <w:ilvl w:val="0"/>
          <w:numId w:val="1"/>
        </w:numPr>
        <w:pBdr>
          <w:top w:val="single" w:sz="4" w:space="1" w:color="auto"/>
          <w:left w:val="single" w:sz="4" w:space="1" w:color="auto"/>
          <w:bottom w:val="single" w:sz="4" w:space="1" w:color="auto"/>
          <w:right w:val="single" w:sz="4" w:space="1" w:color="auto"/>
          <w:between w:val="nil"/>
        </w:pBdr>
        <w:spacing w:after="0" w:line="240" w:lineRule="auto"/>
        <w:ind w:left="90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An individual who holds a teaching license may add an additional teaching endorsement to the license by passing a rigo</w:t>
      </w:r>
      <w:r>
        <w:rPr>
          <w:rFonts w:ascii="Times New Roman" w:eastAsia="Times New Roman" w:hAnsi="Times New Roman" w:cs="Times New Roman"/>
          <w:i/>
          <w:color w:val="000000"/>
          <w:sz w:val="24"/>
          <w:szCs w:val="24"/>
        </w:rPr>
        <w:t>rous academic subject test for endorsements in which a test is prescribed by the Virginia Board of Education. This testing option does not apply to individuals (</w:t>
      </w:r>
      <w:proofErr w:type="spellStart"/>
      <w:r>
        <w:rPr>
          <w:rFonts w:ascii="Times New Roman" w:eastAsia="Times New Roman" w:hAnsi="Times New Roman" w:cs="Times New Roman"/>
          <w:i/>
          <w:color w:val="000000"/>
          <w:sz w:val="24"/>
          <w:szCs w:val="24"/>
        </w:rPr>
        <w:t>i</w:t>
      </w:r>
      <w:proofErr w:type="spellEnd"/>
      <w:r>
        <w:rPr>
          <w:rFonts w:ascii="Times New Roman" w:eastAsia="Times New Roman" w:hAnsi="Times New Roman" w:cs="Times New Roman"/>
          <w:i/>
          <w:color w:val="000000"/>
          <w:sz w:val="24"/>
          <w:szCs w:val="24"/>
        </w:rPr>
        <w:t>) who are seeking an early/primary education preK-3 or elementary education preK-6 endorsement</w:t>
      </w:r>
      <w:r>
        <w:rPr>
          <w:rFonts w:ascii="Times New Roman" w:eastAsia="Times New Roman" w:hAnsi="Times New Roman" w:cs="Times New Roman"/>
          <w:i/>
          <w:color w:val="000000"/>
          <w:sz w:val="24"/>
          <w:szCs w:val="24"/>
        </w:rPr>
        <w:t>, special education endorsements, or a reading specialist endorsement or (ii) who hold a Technical Professional License, Vocational Evaluator License, Pupil Personnel Services License, School Manager License, or Division Superintendent License.</w:t>
      </w:r>
    </w:p>
    <w:p w:rsidR="00150515" w:rsidRDefault="00EB1D2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br/>
      </w:r>
      <w:r>
        <w:rPr>
          <w:rFonts w:ascii="Times New Roman" w:eastAsia="Times New Roman" w:hAnsi="Times New Roman" w:cs="Times New Roman"/>
          <w:b/>
          <w:sz w:val="24"/>
          <w:szCs w:val="24"/>
        </w:rPr>
        <w:t xml:space="preserve">Timetable </w:t>
      </w:r>
      <w:r>
        <w:rPr>
          <w:rFonts w:ascii="Times New Roman" w:eastAsia="Times New Roman" w:hAnsi="Times New Roman" w:cs="Times New Roman"/>
          <w:b/>
          <w:sz w:val="24"/>
          <w:szCs w:val="24"/>
        </w:rPr>
        <w:t>for Further Review/Action:</w:t>
      </w:r>
    </w:p>
    <w:p w:rsidR="00150515" w:rsidRDefault="00686675" w:rsidP="00686675">
      <w:pPr>
        <w:spacing w:after="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anticipated that this item will come back to the Board for final review on January 27, 2022. </w:t>
      </w:r>
      <w:r>
        <w:rPr>
          <w:rFonts w:ascii="Times New Roman" w:eastAsia="Times New Roman" w:hAnsi="Times New Roman" w:cs="Times New Roman"/>
          <w:sz w:val="24"/>
          <w:szCs w:val="24"/>
        </w:rPr>
        <w:br/>
      </w:r>
    </w:p>
    <w:p w:rsidR="00150515" w:rsidRDefault="00EB1D2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Impact on Fiscal and Human Resources:</w:t>
      </w:r>
      <w:r>
        <w:rPr>
          <w:rFonts w:ascii="Times New Roman" w:eastAsia="Times New Roman" w:hAnsi="Times New Roman" w:cs="Times New Roman"/>
          <w:sz w:val="24"/>
          <w:szCs w:val="24"/>
        </w:rPr>
        <w:t xml:space="preserve"> </w:t>
      </w:r>
    </w:p>
    <w:p w:rsidR="00150515" w:rsidRDefault="00EB1D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individuals taking the Praxis® Ma</w:t>
      </w:r>
      <w:r>
        <w:rPr>
          <w:rFonts w:ascii="Times New Roman" w:eastAsia="Times New Roman" w:hAnsi="Times New Roman" w:cs="Times New Roman"/>
          <w:sz w:val="24"/>
          <w:szCs w:val="24"/>
        </w:rPr>
        <w:t>thematics (5165) Test will incur the costs for the test.</w:t>
      </w:r>
    </w:p>
    <w:sectPr w:rsidR="00150515" w:rsidSect="00EB1D2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26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B1D20">
      <w:pPr>
        <w:spacing w:after="0" w:line="240" w:lineRule="auto"/>
      </w:pPr>
      <w:r>
        <w:separator/>
      </w:r>
    </w:p>
  </w:endnote>
  <w:endnote w:type="continuationSeparator" w:id="0">
    <w:p w:rsidR="00000000" w:rsidRDefault="00EB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15" w:rsidRDefault="0015051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15" w:rsidRDefault="00EB1D2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BA0284">
      <w:rPr>
        <w:color w:val="000000"/>
      </w:rPr>
      <w:fldChar w:fldCharType="separate"/>
    </w:r>
    <w:r>
      <w:rPr>
        <w:noProof/>
        <w:color w:val="000000"/>
      </w:rPr>
      <w:t>D</w:t>
    </w:r>
    <w:r>
      <w:rPr>
        <w:color w:val="000000"/>
      </w:rPr>
      <w:fldChar w:fldCharType="end"/>
    </w:r>
  </w:p>
  <w:p w:rsidR="00150515" w:rsidRDefault="0015051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15" w:rsidRDefault="0015051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B1D20">
      <w:pPr>
        <w:spacing w:after="0" w:line="240" w:lineRule="auto"/>
      </w:pPr>
      <w:r>
        <w:separator/>
      </w:r>
    </w:p>
  </w:footnote>
  <w:footnote w:type="continuationSeparator" w:id="0">
    <w:p w:rsidR="00000000" w:rsidRDefault="00EB1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15" w:rsidRDefault="0015051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15" w:rsidRDefault="0015051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15" w:rsidRDefault="0015051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A1202"/>
    <w:multiLevelType w:val="multilevel"/>
    <w:tmpl w:val="37D8D33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15"/>
    <w:rsid w:val="00150515"/>
    <w:rsid w:val="00686675"/>
    <w:rsid w:val="00BA0284"/>
    <w:rsid w:val="00EB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1586"/>
  <w15:docId w15:val="{0B953394-3EEB-46C7-9E82-35415EC7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76E"/>
  </w:style>
  <w:style w:type="paragraph" w:styleId="Heading1">
    <w:name w:val="heading 1"/>
    <w:basedOn w:val="Heading2"/>
    <w:next w:val="Normal"/>
    <w:link w:val="Heading1Char"/>
    <w:uiPriority w:val="9"/>
    <w:qFormat/>
    <w:rsid w:val="006D1161"/>
    <w:pPr>
      <w:outlineLvl w:val="0"/>
    </w:pPr>
  </w:style>
  <w:style w:type="paragraph" w:styleId="Heading2">
    <w:name w:val="heading 2"/>
    <w:basedOn w:val="Normal"/>
    <w:next w:val="Normal"/>
    <w:link w:val="Heading2Char"/>
    <w:uiPriority w:val="9"/>
    <w:unhideWhenUsed/>
    <w:qFormat/>
    <w:rsid w:val="006D1161"/>
    <w:pPr>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E120E8"/>
    <w:pPr>
      <w:spacing w:after="0" w:line="240" w:lineRule="auto"/>
      <w:jc w:val="center"/>
      <w:outlineLvl w:val="2"/>
    </w:pPr>
    <w:rPr>
      <w:rFonts w:ascii="Times New Roman" w:hAnsi="Times New Roman" w:cs="Times New Roman"/>
      <w:b/>
      <w:sz w:val="24"/>
      <w:szCs w:val="24"/>
      <w:u w:val="single"/>
    </w:rPr>
  </w:style>
  <w:style w:type="paragraph" w:styleId="Heading4">
    <w:name w:val="heading 4"/>
    <w:basedOn w:val="Normal"/>
    <w:next w:val="Normal"/>
    <w:link w:val="Heading4Char"/>
    <w:uiPriority w:val="9"/>
    <w:unhideWhenUsed/>
    <w:qFormat/>
    <w:rsid w:val="0087276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87276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276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6D1161"/>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6D1161"/>
    <w:rPr>
      <w:rFonts w:ascii="Times New Roman" w:hAnsi="Times New Roman" w:cs="Times New Roman"/>
      <w:sz w:val="24"/>
      <w:szCs w:val="24"/>
    </w:rPr>
  </w:style>
  <w:style w:type="character" w:customStyle="1" w:styleId="Heading3Char">
    <w:name w:val="Heading 3 Char"/>
    <w:basedOn w:val="DefaultParagraphFont"/>
    <w:link w:val="Heading3"/>
    <w:uiPriority w:val="9"/>
    <w:rsid w:val="00E120E8"/>
    <w:rPr>
      <w:rFonts w:ascii="Times New Roman" w:hAnsi="Times New Roman" w:cs="Times New Roman"/>
      <w:b/>
      <w:sz w:val="24"/>
      <w:szCs w:val="24"/>
      <w:u w:val="single"/>
    </w:rPr>
  </w:style>
  <w:style w:type="character" w:customStyle="1" w:styleId="Heading4Char">
    <w:name w:val="Heading 4 Char"/>
    <w:basedOn w:val="DefaultParagraphFont"/>
    <w:link w:val="Heading4"/>
    <w:uiPriority w:val="9"/>
    <w:rsid w:val="0087276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87276E"/>
    <w:rPr>
      <w:rFonts w:asciiTheme="majorHAnsi" w:eastAsiaTheme="majorEastAsia" w:hAnsiTheme="majorHAnsi" w:cstheme="majorBidi"/>
      <w:color w:val="1F4D78" w:themeColor="accent1" w:themeShade="7F"/>
    </w:rPr>
  </w:style>
  <w:style w:type="character" w:customStyle="1" w:styleId="TitleChar">
    <w:name w:val="Title Char"/>
    <w:basedOn w:val="DefaultParagraphFont"/>
    <w:link w:val="Title"/>
    <w:uiPriority w:val="10"/>
    <w:rsid w:val="0087276E"/>
    <w:rPr>
      <w:rFonts w:asciiTheme="majorHAnsi" w:eastAsiaTheme="majorEastAsia" w:hAnsiTheme="majorHAnsi" w:cstheme="majorBidi"/>
      <w:color w:val="323E4F" w:themeColor="text2" w:themeShade="BF"/>
      <w:spacing w:val="5"/>
      <w:kern w:val="28"/>
      <w:sz w:val="52"/>
      <w:szCs w:val="52"/>
    </w:rPr>
  </w:style>
  <w:style w:type="character" w:customStyle="1" w:styleId="Style5">
    <w:name w:val="Style5"/>
    <w:basedOn w:val="DefaultParagraphFont"/>
    <w:uiPriority w:val="1"/>
    <w:rsid w:val="0087276E"/>
  </w:style>
  <w:style w:type="table" w:styleId="TableGrid">
    <w:name w:val="Table Grid"/>
    <w:basedOn w:val="TableNormal"/>
    <w:uiPriority w:val="59"/>
    <w:rsid w:val="00872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276E"/>
    <w:rPr>
      <w:color w:val="0563C1" w:themeColor="hyperlink"/>
      <w:u w:val="single"/>
    </w:rPr>
  </w:style>
  <w:style w:type="paragraph" w:styleId="BodyText">
    <w:name w:val="Body Text"/>
    <w:basedOn w:val="Normal"/>
    <w:link w:val="BodyTextChar"/>
    <w:rsid w:val="0087276E"/>
    <w:pPr>
      <w:spacing w:after="0" w:line="240" w:lineRule="auto"/>
      <w:jc w:val="center"/>
    </w:pPr>
    <w:rPr>
      <w:rFonts w:ascii="Times New Roman" w:eastAsia="Times New Roman" w:hAnsi="Times New Roman" w:cs="Times New Roman"/>
      <w:b/>
      <w:i/>
      <w:sz w:val="32"/>
      <w:szCs w:val="20"/>
    </w:rPr>
  </w:style>
  <w:style w:type="character" w:customStyle="1" w:styleId="BodyTextChar">
    <w:name w:val="Body Text Char"/>
    <w:basedOn w:val="DefaultParagraphFont"/>
    <w:link w:val="BodyText"/>
    <w:rsid w:val="0087276E"/>
    <w:rPr>
      <w:rFonts w:ascii="Times New Roman" w:eastAsia="Times New Roman" w:hAnsi="Times New Roman" w:cs="Times New Roman"/>
      <w:b/>
      <w:i/>
      <w:sz w:val="32"/>
      <w:szCs w:val="20"/>
    </w:rPr>
  </w:style>
  <w:style w:type="paragraph" w:styleId="Caption">
    <w:name w:val="caption"/>
    <w:basedOn w:val="Normal"/>
    <w:next w:val="Normal"/>
    <w:uiPriority w:val="35"/>
    <w:unhideWhenUsed/>
    <w:qFormat/>
    <w:rsid w:val="0087276E"/>
    <w:pPr>
      <w:spacing w:line="240" w:lineRule="auto"/>
    </w:pPr>
    <w:rPr>
      <w:i/>
      <w:iCs/>
      <w:color w:val="44546A" w:themeColor="text2"/>
      <w:sz w:val="18"/>
      <w:szCs w:val="18"/>
    </w:rPr>
  </w:style>
  <w:style w:type="paragraph" w:styleId="NormalWeb">
    <w:name w:val="Normal (Web)"/>
    <w:basedOn w:val="Normal"/>
    <w:uiPriority w:val="99"/>
    <w:unhideWhenUsed/>
    <w:rsid w:val="0087276E"/>
    <w:pPr>
      <w:spacing w:after="192"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6E"/>
    <w:rPr>
      <w:color w:val="954F72" w:themeColor="followedHyperlink"/>
      <w:u w:val="single"/>
    </w:rPr>
  </w:style>
  <w:style w:type="paragraph" w:styleId="BalloonText">
    <w:name w:val="Balloon Text"/>
    <w:basedOn w:val="Normal"/>
    <w:link w:val="BalloonTextChar"/>
    <w:uiPriority w:val="99"/>
    <w:semiHidden/>
    <w:unhideWhenUsed/>
    <w:rsid w:val="00196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D0F"/>
    <w:rPr>
      <w:rFonts w:ascii="Segoe UI" w:hAnsi="Segoe UI" w:cs="Segoe UI"/>
      <w:sz w:val="18"/>
      <w:szCs w:val="18"/>
    </w:rPr>
  </w:style>
  <w:style w:type="paragraph" w:styleId="ListParagraph">
    <w:name w:val="List Paragraph"/>
    <w:basedOn w:val="Normal"/>
    <w:uiPriority w:val="34"/>
    <w:qFormat/>
    <w:rsid w:val="001C6A89"/>
    <w:pPr>
      <w:ind w:left="720"/>
      <w:contextualSpacing/>
    </w:pPr>
  </w:style>
  <w:style w:type="paragraph" w:styleId="Header">
    <w:name w:val="header"/>
    <w:basedOn w:val="Normal"/>
    <w:link w:val="HeaderChar"/>
    <w:uiPriority w:val="99"/>
    <w:unhideWhenUsed/>
    <w:rsid w:val="004D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CD0"/>
  </w:style>
  <w:style w:type="paragraph" w:styleId="Footer">
    <w:name w:val="footer"/>
    <w:basedOn w:val="Normal"/>
    <w:link w:val="FooterChar"/>
    <w:uiPriority w:val="99"/>
    <w:unhideWhenUsed/>
    <w:rsid w:val="004D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CD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aw.lis.virginia.gov/vacode/title22.1/chapter15/section22.1-298.1/" TargetMode="External"/><Relationship Id="rId18" Type="http://schemas.openxmlformats.org/officeDocument/2006/relationships/hyperlink" Target="https://law.lis.virginia.gov/admincode/title8/agency20/chapter23/section7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aw.lis.virginia.gov/vacode/title22.1/chapter15/section22.1-298.1/" TargetMode="External"/><Relationship Id="rId17" Type="http://schemas.openxmlformats.org/officeDocument/2006/relationships/hyperlink" Target="https://law.lis.virginia.gov/admincode/title8/agency20/chapter23/section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aw.lis.virginia.gov/admincode/title8/agency20/chapter2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s.org/s/praxis/pdf/5165.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aw.lis.virginia.gov/vacode/title22.1/chapter15/section22.1-305.2/" TargetMode="External"/><Relationship Id="rId23" Type="http://schemas.openxmlformats.org/officeDocument/2006/relationships/header" Target="header3.xml"/><Relationship Id="rId10" Type="http://schemas.openxmlformats.org/officeDocument/2006/relationships/hyperlink" Target="https://www.doe.virginia.gov/boe/plan/comprehensive-plan.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an.Johnson@doe.virginia.gov" TargetMode="External"/><Relationship Id="rId14" Type="http://schemas.openxmlformats.org/officeDocument/2006/relationships/hyperlink" Target="https://law.lis.virginia.gov/vacode/title22.1/chapter15/section22.1-29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ifjkEDQbIqWhdaBXr7Pqu5dsIA==">AMUW2mXoZTKvqdKUvp3nKEPrXfuwVZikwCKLJ5CMLJeaPyDjzPYg1fTJJbBVvVnakkfJKqaApYB5O9Wf6M6QXOjXgYJSe3eA9MwzfGVXXk9NmX9MU5JKx2dEkf12+p+TbwEVzh0zpvQT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Program</dc:creator>
  <cp:lastModifiedBy>VITA Program</cp:lastModifiedBy>
  <cp:revision>3</cp:revision>
  <dcterms:created xsi:type="dcterms:W3CDTF">2021-11-09T18:48:00Z</dcterms:created>
  <dcterms:modified xsi:type="dcterms:W3CDTF">2021-11-09T19:52:00Z</dcterms:modified>
</cp:coreProperties>
</file>