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13" w:rsidRDefault="00767813" w:rsidP="0031611E">
      <w:pPr>
        <w:pStyle w:val="Heading1"/>
      </w:pPr>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044E06">
        <w:t>Dinwiddie County</w:t>
      </w:r>
      <w:r w:rsidR="0027671C">
        <w:t xml:space="preserve"> Public Schools </w:t>
      </w:r>
    </w:p>
    <w:p w:rsidR="00E63DC5" w:rsidRDefault="00E63DC5" w:rsidP="00E63DC5">
      <w:pPr>
        <w:pStyle w:val="NormalTNR"/>
      </w:pPr>
      <w:r w:rsidRPr="008B62AA">
        <w:rPr>
          <w:b/>
        </w:rPr>
        <w:t>Report Publication Date:</w:t>
      </w:r>
      <w:r>
        <w:t xml:space="preserve"> </w:t>
      </w:r>
      <w:r w:rsidR="006B3C5F">
        <w:t>April 3</w:t>
      </w:r>
      <w:bookmarkStart w:id="0" w:name="_GoBack"/>
      <w:bookmarkEnd w:id="0"/>
      <w:r w:rsidR="0027671C">
        <w:t>, 2019</w:t>
      </w:r>
    </w:p>
    <w:p w:rsidR="00E63DC5" w:rsidRDefault="00E63DC5" w:rsidP="00E63DC5">
      <w:pPr>
        <w:pStyle w:val="NormalTNR"/>
      </w:pPr>
      <w:r w:rsidRPr="008B62AA">
        <w:rPr>
          <w:b/>
        </w:rPr>
        <w:t>Administrative Review Dates:</w:t>
      </w:r>
      <w:r>
        <w:t xml:space="preserve"> </w:t>
      </w:r>
      <w:r w:rsidR="001A54D1">
        <w:t>January 8-11, 2019</w:t>
      </w:r>
    </w:p>
    <w:p w:rsidR="00E63DC5" w:rsidRDefault="00E63DC5" w:rsidP="00E63DC5">
      <w:pPr>
        <w:pStyle w:val="NormalTNR"/>
      </w:pPr>
      <w:r w:rsidRPr="008B62AA">
        <w:rPr>
          <w:b/>
        </w:rPr>
        <w:t>Review Month and Year:</w:t>
      </w:r>
      <w:r>
        <w:t xml:space="preserve"> </w:t>
      </w:r>
      <w:r w:rsidR="001A54D1">
        <w:t>November 2018</w:t>
      </w:r>
    </w:p>
    <w:p w:rsidR="00E63DC5" w:rsidRDefault="00E63DC5" w:rsidP="00E63DC5">
      <w:pPr>
        <w:pStyle w:val="NormalTNR"/>
      </w:pPr>
      <w:r w:rsidRPr="008B62AA">
        <w:rPr>
          <w:b/>
        </w:rPr>
        <w:t>Participating Programs:</w:t>
      </w:r>
      <w:r>
        <w:t xml:space="preserve"> </w:t>
      </w:r>
      <w:r w:rsidR="001A54D1">
        <w:t>SBP, NSLP</w:t>
      </w:r>
      <w:r w:rsidR="005463AF">
        <w:t>, SFSP</w:t>
      </w:r>
    </w:p>
    <w:p w:rsidR="00E63DC5" w:rsidRPr="00E63DC5" w:rsidRDefault="00E63DC5" w:rsidP="00F70D82">
      <w:pPr>
        <w:pStyle w:val="NormalTNR"/>
        <w:spacing w:after="600"/>
      </w:pPr>
      <w:r w:rsidRPr="008B62AA">
        <w:rPr>
          <w:b/>
        </w:rPr>
        <w:t>Participates in Special Provisions?</w:t>
      </w:r>
      <w:r>
        <w:t xml:space="preserve"> </w:t>
      </w:r>
      <w:r w:rsidR="001A54D1">
        <w:t>No</w:t>
      </w:r>
    </w:p>
    <w:p w:rsidR="0031611E" w:rsidRPr="00A72169" w:rsidRDefault="0031611E" w:rsidP="00F70D82">
      <w:pPr>
        <w:pStyle w:val="Heading2"/>
        <w:spacing w:after="120"/>
      </w:pPr>
      <w:r w:rsidRPr="00A61E27">
        <w:rPr>
          <w:sz w:val="28"/>
        </w:rPr>
        <w:t>Enrollm</w:t>
      </w:r>
      <w:r w:rsidR="00806AE0" w:rsidRPr="00A61E27">
        <w:rPr>
          <w:sz w:val="28"/>
        </w:rPr>
        <w:t xml:space="preserve">ent and Participation Data for </w:t>
      </w:r>
      <w:r w:rsidR="001A54D1">
        <w:rPr>
          <w:sz w:val="28"/>
        </w:rPr>
        <w:t>November 2018</w:t>
      </w:r>
      <w:r w:rsidRPr="00A61E27">
        <w:rPr>
          <w:sz w:val="28"/>
        </w:rPr>
        <w:t>:</w:t>
      </w:r>
      <w:r w:rsidR="00A72169">
        <w:br/>
      </w:r>
    </w:p>
    <w:tbl>
      <w:tblPr>
        <w:tblStyle w:val="TableGrid"/>
        <w:tblW w:w="9535" w:type="dxa"/>
        <w:tblLook w:val="04A0" w:firstRow="1" w:lastRow="0" w:firstColumn="1" w:lastColumn="0" w:noHBand="0" w:noVBand="1"/>
        <w:tblDescription w:val="Enrollment and participation data"/>
      </w:tblPr>
      <w:tblGrid>
        <w:gridCol w:w="1230"/>
        <w:gridCol w:w="1390"/>
        <w:gridCol w:w="1563"/>
        <w:gridCol w:w="1027"/>
        <w:gridCol w:w="1249"/>
        <w:gridCol w:w="1216"/>
        <w:gridCol w:w="1860"/>
      </w:tblGrid>
      <w:tr w:rsidR="00767813" w:rsidRPr="00937A7F" w:rsidTr="00937A7F">
        <w:trPr>
          <w:tblHeader/>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6C3986" w:rsidRPr="00937A7F" w:rsidRDefault="00767813" w:rsidP="00E71C1B">
            <w:pPr>
              <w:pStyle w:val="NormalTNR"/>
              <w:spacing w:after="0"/>
              <w:rPr>
                <w:b/>
                <w:lang w:eastAsia="ja-JP"/>
              </w:rPr>
            </w:pPr>
            <w:r w:rsidRPr="00937A7F">
              <w:rPr>
                <w:b/>
                <w:lang w:eastAsia="ja-JP"/>
              </w:rPr>
              <w:t>Eligibility</w:t>
            </w:r>
          </w:p>
        </w:tc>
        <w:tc>
          <w:tcPr>
            <w:tcW w:w="1390" w:type="dxa"/>
            <w:shd w:val="clear" w:color="auto" w:fill="auto"/>
            <w:vAlign w:val="center"/>
          </w:tcPr>
          <w:p w:rsidR="006C3986" w:rsidRPr="00937A7F" w:rsidRDefault="0032739D" w:rsidP="00E71C1B">
            <w:pPr>
              <w:pStyle w:val="NormalTNR"/>
              <w:spacing w:after="0"/>
              <w:rPr>
                <w:b/>
                <w:lang w:eastAsia="ja-JP"/>
              </w:rPr>
            </w:pPr>
            <w:r w:rsidRPr="00937A7F">
              <w:rPr>
                <w:b/>
                <w:lang w:eastAsia="ja-JP"/>
              </w:rPr>
              <w:t>Enrollment</w:t>
            </w:r>
          </w:p>
        </w:tc>
        <w:tc>
          <w:tcPr>
            <w:tcW w:w="1563"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Avg. Daily Participation</w:t>
            </w:r>
            <w:r w:rsidR="00767813" w:rsidRPr="00937A7F">
              <w:rPr>
                <w:b/>
                <w:lang w:eastAsia="ja-JP"/>
              </w:rPr>
              <w:t xml:space="preserve"> (ADP)</w:t>
            </w:r>
          </w:p>
        </w:tc>
        <w:tc>
          <w:tcPr>
            <w:tcW w:w="1027"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ADP %</w:t>
            </w:r>
          </w:p>
        </w:tc>
        <w:tc>
          <w:tcPr>
            <w:tcW w:w="1249"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 xml:space="preserve">Breakfast </w:t>
            </w:r>
            <w:r w:rsidR="00767813" w:rsidRPr="00937A7F">
              <w:rPr>
                <w:b/>
                <w:lang w:eastAsia="ja-JP"/>
              </w:rPr>
              <w:t>ADP</w:t>
            </w:r>
          </w:p>
        </w:tc>
        <w:tc>
          <w:tcPr>
            <w:tcW w:w="1216"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Breakfast ADP %</w:t>
            </w:r>
          </w:p>
        </w:tc>
        <w:tc>
          <w:tcPr>
            <w:tcW w:w="1860"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Total Reimbursement ($$)</w:t>
            </w:r>
          </w:p>
        </w:tc>
      </w:tr>
      <w:tr w:rsidR="00767813" w:rsidRPr="00937A7F" w:rsidTr="00690A00">
        <w:trPr>
          <w:tblHeader/>
        </w:trPr>
        <w:tc>
          <w:tcPr>
            <w:tcW w:w="1230" w:type="dxa"/>
            <w:tcBorders>
              <w:top w:val="single" w:sz="4" w:space="0" w:color="auto"/>
            </w:tcBorders>
            <w:shd w:val="clear" w:color="auto" w:fill="auto"/>
          </w:tcPr>
          <w:p w:rsidR="006C3986" w:rsidRPr="00E71C1B" w:rsidRDefault="006C3986" w:rsidP="00E71C1B">
            <w:pPr>
              <w:pStyle w:val="NormalTNR"/>
              <w:spacing w:after="0"/>
              <w:rPr>
                <w:b/>
                <w:lang w:eastAsia="ja-JP"/>
              </w:rPr>
            </w:pPr>
            <w:r w:rsidRPr="00E71C1B">
              <w:rPr>
                <w:b/>
                <w:lang w:eastAsia="ja-JP"/>
              </w:rPr>
              <w:t>Free</w:t>
            </w:r>
          </w:p>
        </w:tc>
        <w:tc>
          <w:tcPr>
            <w:tcW w:w="1390" w:type="dxa"/>
            <w:shd w:val="clear" w:color="auto" w:fill="auto"/>
            <w:vAlign w:val="center"/>
          </w:tcPr>
          <w:p w:rsidR="006C3986" w:rsidRPr="00690A00" w:rsidRDefault="00044E06" w:rsidP="007B68D3">
            <w:pPr>
              <w:pStyle w:val="NormalTNR"/>
              <w:spacing w:after="0"/>
              <w:rPr>
                <w:lang w:eastAsia="ja-JP"/>
              </w:rPr>
            </w:pPr>
            <w:r>
              <w:rPr>
                <w:lang w:eastAsia="ja-JP"/>
              </w:rPr>
              <w:t>1,908</w:t>
            </w:r>
          </w:p>
        </w:tc>
        <w:tc>
          <w:tcPr>
            <w:tcW w:w="1563" w:type="dxa"/>
            <w:shd w:val="clear" w:color="auto" w:fill="auto"/>
            <w:vAlign w:val="center"/>
          </w:tcPr>
          <w:p w:rsidR="006C3986" w:rsidRPr="00690A00" w:rsidRDefault="00D24132" w:rsidP="007B68D3">
            <w:pPr>
              <w:pStyle w:val="NormalTNR"/>
              <w:spacing w:after="0"/>
              <w:rPr>
                <w:lang w:eastAsia="ja-JP"/>
              </w:rPr>
            </w:pPr>
            <w:r>
              <w:rPr>
                <w:lang w:eastAsia="ja-JP"/>
              </w:rPr>
              <w:t>1</w:t>
            </w:r>
            <w:r w:rsidR="001A54D1">
              <w:rPr>
                <w:lang w:eastAsia="ja-JP"/>
              </w:rPr>
              <w:t>,</w:t>
            </w:r>
            <w:r w:rsidR="005463AF">
              <w:rPr>
                <w:lang w:eastAsia="ja-JP"/>
              </w:rPr>
              <w:t>210</w:t>
            </w:r>
          </w:p>
        </w:tc>
        <w:tc>
          <w:tcPr>
            <w:tcW w:w="1027" w:type="dxa"/>
            <w:shd w:val="clear" w:color="auto" w:fill="auto"/>
            <w:vAlign w:val="center"/>
          </w:tcPr>
          <w:p w:rsidR="006C3986" w:rsidRPr="00690A00" w:rsidRDefault="005463AF" w:rsidP="007B68D3">
            <w:pPr>
              <w:pStyle w:val="NormalTNR"/>
              <w:spacing w:after="0"/>
              <w:rPr>
                <w:lang w:eastAsia="ja-JP"/>
              </w:rPr>
            </w:pPr>
            <w:r>
              <w:rPr>
                <w:lang w:eastAsia="ja-JP"/>
              </w:rPr>
              <w:t>60.62</w:t>
            </w:r>
          </w:p>
        </w:tc>
        <w:tc>
          <w:tcPr>
            <w:tcW w:w="1249" w:type="dxa"/>
            <w:shd w:val="clear" w:color="auto" w:fill="auto"/>
            <w:vAlign w:val="center"/>
          </w:tcPr>
          <w:p w:rsidR="006C3986" w:rsidRPr="00690A00" w:rsidRDefault="00D24132" w:rsidP="007B68D3">
            <w:pPr>
              <w:pStyle w:val="NormalTNR"/>
              <w:spacing w:after="0"/>
              <w:rPr>
                <w:lang w:eastAsia="ja-JP"/>
              </w:rPr>
            </w:pPr>
            <w:r>
              <w:rPr>
                <w:lang w:eastAsia="ja-JP"/>
              </w:rPr>
              <w:t>800</w:t>
            </w:r>
          </w:p>
        </w:tc>
        <w:tc>
          <w:tcPr>
            <w:tcW w:w="1216" w:type="dxa"/>
            <w:shd w:val="clear" w:color="auto" w:fill="auto"/>
            <w:vAlign w:val="center"/>
          </w:tcPr>
          <w:p w:rsidR="006C3986" w:rsidRPr="00690A00" w:rsidRDefault="005463AF" w:rsidP="007B68D3">
            <w:pPr>
              <w:pStyle w:val="NormalTNR"/>
              <w:spacing w:after="0"/>
              <w:rPr>
                <w:lang w:eastAsia="ja-JP"/>
              </w:rPr>
            </w:pPr>
            <w:r>
              <w:rPr>
                <w:lang w:eastAsia="ja-JP"/>
              </w:rPr>
              <w:t>64.99</w:t>
            </w:r>
          </w:p>
        </w:tc>
        <w:tc>
          <w:tcPr>
            <w:tcW w:w="1860" w:type="dxa"/>
            <w:shd w:val="clear" w:color="auto" w:fill="auto"/>
            <w:vAlign w:val="center"/>
          </w:tcPr>
          <w:p w:rsidR="006C3986" w:rsidRPr="00690A00" w:rsidRDefault="001A54D1" w:rsidP="007B68D3">
            <w:pPr>
              <w:pStyle w:val="NormalTNR"/>
              <w:spacing w:after="0"/>
              <w:rPr>
                <w:lang w:eastAsia="ja-JP"/>
              </w:rPr>
            </w:pPr>
            <w:r>
              <w:rPr>
                <w:lang w:eastAsia="ja-JP"/>
              </w:rPr>
              <w:t>104,691.41</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Reduced</w:t>
            </w:r>
          </w:p>
        </w:tc>
        <w:tc>
          <w:tcPr>
            <w:tcW w:w="1390" w:type="dxa"/>
            <w:shd w:val="clear" w:color="auto" w:fill="auto"/>
            <w:vAlign w:val="center"/>
          </w:tcPr>
          <w:p w:rsidR="006C3986" w:rsidRPr="00690A00" w:rsidRDefault="00044E06" w:rsidP="007B68D3">
            <w:pPr>
              <w:pStyle w:val="NormalTNR"/>
              <w:spacing w:after="0"/>
              <w:rPr>
                <w:lang w:eastAsia="ja-JP"/>
              </w:rPr>
            </w:pPr>
            <w:r>
              <w:rPr>
                <w:lang w:eastAsia="ja-JP"/>
              </w:rPr>
              <w:t>266</w:t>
            </w:r>
          </w:p>
        </w:tc>
        <w:tc>
          <w:tcPr>
            <w:tcW w:w="1563" w:type="dxa"/>
            <w:shd w:val="clear" w:color="auto" w:fill="auto"/>
            <w:vAlign w:val="center"/>
          </w:tcPr>
          <w:p w:rsidR="006C3986" w:rsidRPr="00690A00" w:rsidRDefault="00D24132" w:rsidP="007B68D3">
            <w:pPr>
              <w:pStyle w:val="NormalTNR"/>
              <w:spacing w:after="0"/>
              <w:rPr>
                <w:lang w:eastAsia="ja-JP"/>
              </w:rPr>
            </w:pPr>
            <w:r>
              <w:rPr>
                <w:lang w:eastAsia="ja-JP"/>
              </w:rPr>
              <w:t>154</w:t>
            </w:r>
          </w:p>
        </w:tc>
        <w:tc>
          <w:tcPr>
            <w:tcW w:w="1027" w:type="dxa"/>
            <w:shd w:val="clear" w:color="auto" w:fill="auto"/>
            <w:vAlign w:val="center"/>
          </w:tcPr>
          <w:p w:rsidR="006C3986" w:rsidRPr="00690A00" w:rsidRDefault="005463AF" w:rsidP="007B68D3">
            <w:pPr>
              <w:pStyle w:val="NormalTNR"/>
              <w:spacing w:after="0"/>
              <w:rPr>
                <w:lang w:eastAsia="ja-JP"/>
              </w:rPr>
            </w:pPr>
            <w:r>
              <w:rPr>
                <w:lang w:eastAsia="ja-JP"/>
              </w:rPr>
              <w:t>7.72</w:t>
            </w:r>
          </w:p>
        </w:tc>
        <w:tc>
          <w:tcPr>
            <w:tcW w:w="1249" w:type="dxa"/>
            <w:shd w:val="clear" w:color="auto" w:fill="auto"/>
            <w:vAlign w:val="center"/>
          </w:tcPr>
          <w:p w:rsidR="006C3986" w:rsidRPr="00690A00" w:rsidRDefault="005463AF" w:rsidP="007B68D3">
            <w:pPr>
              <w:pStyle w:val="NormalTNR"/>
              <w:spacing w:after="0"/>
              <w:rPr>
                <w:lang w:eastAsia="ja-JP"/>
              </w:rPr>
            </w:pPr>
            <w:r>
              <w:rPr>
                <w:lang w:eastAsia="ja-JP"/>
              </w:rPr>
              <w:t>107</w:t>
            </w:r>
          </w:p>
        </w:tc>
        <w:tc>
          <w:tcPr>
            <w:tcW w:w="1216" w:type="dxa"/>
            <w:shd w:val="clear" w:color="auto" w:fill="auto"/>
            <w:vAlign w:val="center"/>
          </w:tcPr>
          <w:p w:rsidR="006C3986" w:rsidRPr="00690A00" w:rsidRDefault="005463AF" w:rsidP="007B68D3">
            <w:pPr>
              <w:pStyle w:val="NormalTNR"/>
              <w:spacing w:after="0"/>
              <w:rPr>
                <w:lang w:eastAsia="ja-JP"/>
              </w:rPr>
            </w:pPr>
            <w:r>
              <w:rPr>
                <w:lang w:eastAsia="ja-JP"/>
              </w:rPr>
              <w:t>8.69</w:t>
            </w:r>
          </w:p>
        </w:tc>
        <w:tc>
          <w:tcPr>
            <w:tcW w:w="1860" w:type="dxa"/>
            <w:shd w:val="clear" w:color="auto" w:fill="auto"/>
            <w:vAlign w:val="center"/>
          </w:tcPr>
          <w:p w:rsidR="006C3986" w:rsidRPr="00690A00" w:rsidRDefault="001A54D1" w:rsidP="007B68D3">
            <w:pPr>
              <w:pStyle w:val="NormalTNR"/>
              <w:spacing w:after="0"/>
              <w:rPr>
                <w:lang w:eastAsia="ja-JP"/>
              </w:rPr>
            </w:pPr>
            <w:r>
              <w:rPr>
                <w:lang w:eastAsia="ja-JP"/>
              </w:rPr>
              <w:t>11,877.43</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Paid</w:t>
            </w:r>
          </w:p>
        </w:tc>
        <w:tc>
          <w:tcPr>
            <w:tcW w:w="1390" w:type="dxa"/>
            <w:shd w:val="clear" w:color="auto" w:fill="auto"/>
            <w:vAlign w:val="center"/>
          </w:tcPr>
          <w:p w:rsidR="006C3986" w:rsidRPr="00690A00" w:rsidRDefault="00044E06" w:rsidP="007B68D3">
            <w:pPr>
              <w:pStyle w:val="NormalTNR"/>
              <w:spacing w:after="0"/>
              <w:rPr>
                <w:lang w:eastAsia="ja-JP"/>
              </w:rPr>
            </w:pPr>
            <w:r>
              <w:rPr>
                <w:lang w:eastAsia="ja-JP"/>
              </w:rPr>
              <w:t>2,239</w:t>
            </w:r>
          </w:p>
        </w:tc>
        <w:tc>
          <w:tcPr>
            <w:tcW w:w="1563" w:type="dxa"/>
            <w:shd w:val="clear" w:color="auto" w:fill="auto"/>
            <w:vAlign w:val="center"/>
          </w:tcPr>
          <w:p w:rsidR="006C3986" w:rsidRPr="00690A00" w:rsidRDefault="005463AF" w:rsidP="007B68D3">
            <w:pPr>
              <w:pStyle w:val="NormalTNR"/>
              <w:spacing w:after="0"/>
              <w:rPr>
                <w:lang w:eastAsia="ja-JP"/>
              </w:rPr>
            </w:pPr>
            <w:r>
              <w:rPr>
                <w:lang w:eastAsia="ja-JP"/>
              </w:rPr>
              <w:t>632</w:t>
            </w:r>
          </w:p>
        </w:tc>
        <w:tc>
          <w:tcPr>
            <w:tcW w:w="1027" w:type="dxa"/>
            <w:shd w:val="clear" w:color="auto" w:fill="auto"/>
            <w:vAlign w:val="center"/>
          </w:tcPr>
          <w:p w:rsidR="006C3986" w:rsidRPr="00690A00" w:rsidRDefault="005463AF" w:rsidP="007B68D3">
            <w:pPr>
              <w:pStyle w:val="NormalTNR"/>
              <w:spacing w:after="0"/>
              <w:rPr>
                <w:lang w:eastAsia="ja-JP"/>
              </w:rPr>
            </w:pPr>
            <w:r>
              <w:rPr>
                <w:lang w:eastAsia="ja-JP"/>
              </w:rPr>
              <w:t>31.66</w:t>
            </w:r>
          </w:p>
        </w:tc>
        <w:tc>
          <w:tcPr>
            <w:tcW w:w="1249" w:type="dxa"/>
            <w:shd w:val="clear" w:color="auto" w:fill="auto"/>
            <w:vAlign w:val="center"/>
          </w:tcPr>
          <w:p w:rsidR="006C3986" w:rsidRPr="00690A00" w:rsidRDefault="00D24132" w:rsidP="007B68D3">
            <w:pPr>
              <w:pStyle w:val="NormalTNR"/>
              <w:spacing w:after="0"/>
              <w:rPr>
                <w:lang w:eastAsia="ja-JP"/>
              </w:rPr>
            </w:pPr>
            <w:r>
              <w:rPr>
                <w:lang w:eastAsia="ja-JP"/>
              </w:rPr>
              <w:t>324</w:t>
            </w:r>
          </w:p>
        </w:tc>
        <w:tc>
          <w:tcPr>
            <w:tcW w:w="1216" w:type="dxa"/>
            <w:shd w:val="clear" w:color="auto" w:fill="auto"/>
            <w:vAlign w:val="center"/>
          </w:tcPr>
          <w:p w:rsidR="006C3986" w:rsidRPr="00690A00" w:rsidRDefault="005463AF" w:rsidP="007B68D3">
            <w:pPr>
              <w:pStyle w:val="NormalTNR"/>
              <w:spacing w:after="0"/>
              <w:rPr>
                <w:lang w:eastAsia="ja-JP"/>
              </w:rPr>
            </w:pPr>
            <w:r>
              <w:rPr>
                <w:lang w:eastAsia="ja-JP"/>
              </w:rPr>
              <w:t>26.32</w:t>
            </w:r>
          </w:p>
        </w:tc>
        <w:tc>
          <w:tcPr>
            <w:tcW w:w="1860" w:type="dxa"/>
            <w:shd w:val="clear" w:color="auto" w:fill="auto"/>
            <w:vAlign w:val="center"/>
          </w:tcPr>
          <w:p w:rsidR="006C3986" w:rsidRPr="00690A00" w:rsidRDefault="001A54D1" w:rsidP="007B68D3">
            <w:pPr>
              <w:pStyle w:val="NormalTNR"/>
              <w:spacing w:after="0"/>
              <w:rPr>
                <w:lang w:eastAsia="ja-JP"/>
              </w:rPr>
            </w:pPr>
            <w:r>
              <w:rPr>
                <w:lang w:eastAsia="ja-JP"/>
              </w:rPr>
              <w:t>6,250.32</w:t>
            </w:r>
          </w:p>
        </w:tc>
      </w:tr>
      <w:tr w:rsidR="00767813" w:rsidRPr="00937A7F" w:rsidTr="00937A7F">
        <w:trPr>
          <w:tblHeader/>
        </w:trPr>
        <w:tc>
          <w:tcPr>
            <w:tcW w:w="1230" w:type="dxa"/>
            <w:shd w:val="clear" w:color="auto" w:fill="auto"/>
          </w:tcPr>
          <w:p w:rsidR="006C3986" w:rsidRPr="00937A7F" w:rsidRDefault="006C3986" w:rsidP="00E71C1B">
            <w:pPr>
              <w:pStyle w:val="NormalTNR"/>
              <w:spacing w:after="0"/>
              <w:rPr>
                <w:b/>
                <w:lang w:eastAsia="ja-JP"/>
              </w:rPr>
            </w:pPr>
            <w:r w:rsidRPr="00937A7F">
              <w:rPr>
                <w:b/>
                <w:lang w:eastAsia="ja-JP"/>
              </w:rPr>
              <w:t>Total</w:t>
            </w:r>
          </w:p>
        </w:tc>
        <w:tc>
          <w:tcPr>
            <w:tcW w:w="1390" w:type="dxa"/>
            <w:shd w:val="clear" w:color="auto" w:fill="auto"/>
          </w:tcPr>
          <w:p w:rsidR="006C3986" w:rsidRPr="00937A7F" w:rsidRDefault="00044E06" w:rsidP="007B68D3">
            <w:pPr>
              <w:pStyle w:val="NormalTNR"/>
              <w:spacing w:after="0"/>
              <w:rPr>
                <w:b/>
                <w:lang w:eastAsia="ja-JP"/>
              </w:rPr>
            </w:pPr>
            <w:r>
              <w:rPr>
                <w:b/>
                <w:lang w:eastAsia="ja-JP"/>
              </w:rPr>
              <w:t>4,413</w:t>
            </w:r>
          </w:p>
        </w:tc>
        <w:tc>
          <w:tcPr>
            <w:tcW w:w="1563" w:type="dxa"/>
            <w:shd w:val="clear" w:color="auto" w:fill="auto"/>
            <w:vAlign w:val="center"/>
          </w:tcPr>
          <w:p w:rsidR="006C3986" w:rsidRPr="00E71C1B" w:rsidRDefault="00E71C1B" w:rsidP="007B68D3">
            <w:pPr>
              <w:pStyle w:val="NormalTNR"/>
              <w:spacing w:after="0"/>
              <w:rPr>
                <w:color w:val="FFFFFF" w:themeColor="background1"/>
                <w:sz w:val="10"/>
                <w:lang w:eastAsia="ja-JP"/>
              </w:rPr>
            </w:pPr>
            <w:r w:rsidRPr="00E71C1B">
              <w:rPr>
                <w:color w:val="FFFFFF" w:themeColor="background1"/>
                <w:sz w:val="10"/>
                <w:lang w:eastAsia="ja-JP"/>
              </w:rPr>
              <w:t>Cell intentionally left blank</w:t>
            </w:r>
          </w:p>
        </w:tc>
        <w:tc>
          <w:tcPr>
            <w:tcW w:w="1027" w:type="dxa"/>
            <w:shd w:val="clear" w:color="auto" w:fill="auto"/>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249"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216"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860" w:type="dxa"/>
            <w:shd w:val="clear" w:color="auto" w:fill="auto"/>
            <w:vAlign w:val="center"/>
          </w:tcPr>
          <w:p w:rsidR="006C3986" w:rsidRPr="00937A7F" w:rsidRDefault="00D24132" w:rsidP="007B68D3">
            <w:pPr>
              <w:pStyle w:val="NormalTNR"/>
              <w:spacing w:after="0"/>
              <w:rPr>
                <w:b/>
                <w:lang w:eastAsia="ja-JP"/>
              </w:rPr>
            </w:pPr>
            <w:r>
              <w:rPr>
                <w:b/>
                <w:lang w:eastAsia="ja-JP"/>
              </w:rPr>
              <w:t>$122,819.16</w:t>
            </w:r>
          </w:p>
        </w:tc>
      </w:tr>
    </w:tbl>
    <w:p w:rsidR="00A03102" w:rsidRPr="007D3AFD" w:rsidRDefault="007D3AFD" w:rsidP="007D3AFD">
      <w:pPr>
        <w:rPr>
          <w:lang w:eastAsia="ja-JP"/>
        </w:rPr>
      </w:pPr>
      <w:r>
        <w:rPr>
          <w:lang w:eastAsia="ja-JP"/>
        </w:rPr>
        <w:br w:type="page"/>
      </w:r>
    </w:p>
    <w:p w:rsidR="00A61E27" w:rsidRPr="00A61E27" w:rsidRDefault="00A03102" w:rsidP="00A61E27">
      <w:pPr>
        <w:pStyle w:val="Heading2"/>
        <w:spacing w:after="480"/>
        <w:rPr>
          <w:sz w:val="28"/>
        </w:rPr>
      </w:pPr>
      <w:r w:rsidRPr="00A61E27">
        <w:rPr>
          <w:sz w:val="28"/>
        </w:rPr>
        <w:lastRenderedPageBreak/>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5"/>
        <w:gridCol w:w="4677"/>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1A54D1"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1A54D1"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1A54D1"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4A5012" w:rsidRDefault="004A5012" w:rsidP="00260CA2">
            <w:pPr>
              <w:rPr>
                <w:rFonts w:ascii="Times New Roman" w:eastAsia="Times New Roman" w:hAnsi="Times New Roman"/>
                <w:b/>
                <w:color w:val="9E0B0F"/>
                <w:szCs w:val="16"/>
                <w:lang w:eastAsia="ja-JP"/>
              </w:rPr>
            </w:pPr>
            <w:r>
              <w:rPr>
                <w:rFonts w:ascii="Times New Roman" w:eastAsia="Times New Roman" w:hAnsi="Times New Roman"/>
                <w:b/>
                <w:noProof/>
                <w:color w:val="9E0B0F"/>
                <w:szCs w:val="16"/>
              </w:rPr>
              <w:drawing>
                <wp:inline distT="0" distB="0" distL="0" distR="0" wp14:anchorId="53E99D5A">
                  <wp:extent cx="207010" cy="207010"/>
                  <wp:effectExtent l="0" t="0" r="2540" b="2540"/>
                  <wp:docPr id="32" name="Picture 32"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b/>
                <w:color w:val="9E0B0F"/>
                <w:szCs w:val="16"/>
                <w:lang w:eastAsia="ja-JP"/>
              </w:rPr>
              <w:t xml:space="preserve"> </w:t>
            </w:r>
            <w:r w:rsidRPr="00914162">
              <w:rPr>
                <w:rFonts w:ascii="Times New Roman" w:eastAsia="Times New Roman" w:hAnsi="Times New Roman"/>
                <w:b/>
                <w:color w:val="9E0B0F"/>
                <w:szCs w:val="16"/>
                <w:lang w:eastAsia="ja-JP"/>
              </w:rPr>
              <w:t>FINDINGS IDENTIFIED</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867A06"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Meal components </w:t>
            </w:r>
            <w:r w:rsidR="005B2CE6">
              <w:rPr>
                <w:rFonts w:ascii="Times New Roman" w:eastAsia="Times New Roman" w:hAnsi="Times New Roman"/>
                <w:noProof/>
                <w:color w:val="000000"/>
                <w:szCs w:val="20"/>
              </w:rPr>
              <w:t xml:space="preserve">and quantities did not meet </w:t>
            </w:r>
            <w:r>
              <w:rPr>
                <w:rFonts w:ascii="Times New Roman" w:eastAsia="Times New Roman" w:hAnsi="Times New Roman"/>
                <w:noProof/>
                <w:color w:val="000000"/>
                <w:szCs w:val="20"/>
              </w:rPr>
              <w:t>requirements.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867A06"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867A06"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D3AFD" w:rsidRDefault="004A5012" w:rsidP="00BC0516">
            <w:pPr>
              <w:rPr>
                <w:rFonts w:ascii="Times New Roman" w:hAnsi="Times New Roman"/>
              </w:rPr>
            </w:pPr>
            <w:r>
              <w:rPr>
                <w:rFonts w:ascii="Times New Roman" w:hAnsi="Times New Roman"/>
                <w:noProof/>
              </w:rPr>
              <w:drawing>
                <wp:inline distT="0" distB="0" distL="0" distR="0" wp14:anchorId="5AC368A8">
                  <wp:extent cx="207010" cy="207010"/>
                  <wp:effectExtent l="0" t="0" r="2540" b="2540"/>
                  <wp:docPr id="35" name="Picture 35"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5C73FB"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Standard operating procedures in the written food safety plan are </w:t>
            </w:r>
            <w:r w:rsidR="005B2CE6">
              <w:rPr>
                <w:rFonts w:ascii="Times New Roman" w:eastAsia="Times New Roman" w:hAnsi="Times New Roman"/>
                <w:noProof/>
                <w:color w:val="000000"/>
                <w:szCs w:val="20"/>
              </w:rPr>
              <w:t xml:space="preserve">not specific. </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5C73FB"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lastRenderedPageBreak/>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5C73FB"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5C73FB"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5C73FB">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27" w:rsidRDefault="000C5F27" w:rsidP="00EA0AD0">
      <w:pPr>
        <w:spacing w:before="0" w:after="0"/>
      </w:pPr>
      <w:r>
        <w:separator/>
      </w:r>
    </w:p>
  </w:endnote>
  <w:endnote w:type="continuationSeparator" w:id="0">
    <w:p w:rsidR="000C5F27" w:rsidRDefault="000C5F27"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27" w:rsidRDefault="000C5F27" w:rsidP="00EA0AD0">
      <w:pPr>
        <w:spacing w:before="0" w:after="0"/>
      </w:pPr>
      <w:r>
        <w:separator/>
      </w:r>
    </w:p>
  </w:footnote>
  <w:footnote w:type="continuationSeparator" w:id="0">
    <w:p w:rsidR="000C5F27" w:rsidRDefault="000C5F27" w:rsidP="00EA0AD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1.75pt;height:21.75pt;visibility:visible;mso-wrap-style:square" o:bullet="t">
        <v:imagedata r:id="rId3" o:title="Denotes findings identified"/>
      </v:shape>
    </w:pict>
  </w:numPicBullet>
  <w:numPicBullet w:numPicBulletId="3">
    <w:pict>
      <v:shape id="_x0000_i1029" type="#_x0000_t75" style="width:15.75pt;height:15.7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70"/>
    <w:rsid w:val="00044E06"/>
    <w:rsid w:val="00097AFF"/>
    <w:rsid w:val="000B155A"/>
    <w:rsid w:val="000C309B"/>
    <w:rsid w:val="000C4495"/>
    <w:rsid w:val="000C5F27"/>
    <w:rsid w:val="001A54D1"/>
    <w:rsid w:val="001B0603"/>
    <w:rsid w:val="001F75BE"/>
    <w:rsid w:val="002032A0"/>
    <w:rsid w:val="00217886"/>
    <w:rsid w:val="00260CA2"/>
    <w:rsid w:val="00265D36"/>
    <w:rsid w:val="00274A66"/>
    <w:rsid w:val="0027671C"/>
    <w:rsid w:val="002D2C5B"/>
    <w:rsid w:val="002D2FED"/>
    <w:rsid w:val="002D4167"/>
    <w:rsid w:val="0031611E"/>
    <w:rsid w:val="0032739D"/>
    <w:rsid w:val="003507AB"/>
    <w:rsid w:val="003C5AEE"/>
    <w:rsid w:val="00464DF8"/>
    <w:rsid w:val="004A5012"/>
    <w:rsid w:val="004C04E4"/>
    <w:rsid w:val="004C18F7"/>
    <w:rsid w:val="004D45AD"/>
    <w:rsid w:val="00527106"/>
    <w:rsid w:val="005463AF"/>
    <w:rsid w:val="00576EFE"/>
    <w:rsid w:val="00593DA0"/>
    <w:rsid w:val="005B2CE6"/>
    <w:rsid w:val="005C2719"/>
    <w:rsid w:val="005C73FB"/>
    <w:rsid w:val="005E617A"/>
    <w:rsid w:val="005E72E8"/>
    <w:rsid w:val="006070B4"/>
    <w:rsid w:val="00620948"/>
    <w:rsid w:val="006475A6"/>
    <w:rsid w:val="00690A00"/>
    <w:rsid w:val="00694D91"/>
    <w:rsid w:val="006B3C5F"/>
    <w:rsid w:val="006C3986"/>
    <w:rsid w:val="006D0B91"/>
    <w:rsid w:val="006E68D8"/>
    <w:rsid w:val="00705097"/>
    <w:rsid w:val="0073582B"/>
    <w:rsid w:val="00767813"/>
    <w:rsid w:val="007B68D3"/>
    <w:rsid w:val="007D26AA"/>
    <w:rsid w:val="007D3AFD"/>
    <w:rsid w:val="007F1384"/>
    <w:rsid w:val="00806AE0"/>
    <w:rsid w:val="00846C3D"/>
    <w:rsid w:val="00867A06"/>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9466C"/>
    <w:rsid w:val="00AA5A0C"/>
    <w:rsid w:val="00AC433F"/>
    <w:rsid w:val="00B130AE"/>
    <w:rsid w:val="00B2489A"/>
    <w:rsid w:val="00B34186"/>
    <w:rsid w:val="00B62C03"/>
    <w:rsid w:val="00BC0516"/>
    <w:rsid w:val="00C450BF"/>
    <w:rsid w:val="00C55670"/>
    <w:rsid w:val="00C75889"/>
    <w:rsid w:val="00CC5420"/>
    <w:rsid w:val="00D24132"/>
    <w:rsid w:val="00D8766D"/>
    <w:rsid w:val="00DB68F3"/>
    <w:rsid w:val="00DD07D9"/>
    <w:rsid w:val="00DE1159"/>
    <w:rsid w:val="00DF70F6"/>
    <w:rsid w:val="00E63DC5"/>
    <w:rsid w:val="00E71C1B"/>
    <w:rsid w:val="00E74FFA"/>
    <w:rsid w:val="00EA0AD0"/>
    <w:rsid w:val="00EB6A3E"/>
    <w:rsid w:val="00EC4887"/>
    <w:rsid w:val="00EC4C76"/>
    <w:rsid w:val="00EF1C86"/>
    <w:rsid w:val="00EF640A"/>
    <w:rsid w:val="00F04C94"/>
    <w:rsid w:val="00F205EF"/>
    <w:rsid w:val="00F32B5F"/>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D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8.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3AF1-2DD6-42D8-A513-D087BDE1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dinwiddie-county-fpar-summary-2018</vt:lpstr>
    </vt:vector>
  </TitlesOfParts>
  <Company>Virginia IT Infrastructure Partnership</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dinwiddie-county-fpar-summary-2018</dc:title>
  <dc:creator>DOE - NUTRITION (DOE)</dc:creator>
  <cp:lastModifiedBy>Judkins, LaDonna (DOE)</cp:lastModifiedBy>
  <cp:revision>2</cp:revision>
  <cp:lastPrinted>2018-03-27T12:01:00Z</cp:lastPrinted>
  <dcterms:created xsi:type="dcterms:W3CDTF">2019-04-03T19:36:00Z</dcterms:created>
  <dcterms:modified xsi:type="dcterms:W3CDTF">2019-04-03T19:36:00Z</dcterms:modified>
</cp:coreProperties>
</file>