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57A66" w14:textId="77777777" w:rsidR="00B279FC" w:rsidRPr="009B5314" w:rsidRDefault="00B279FC" w:rsidP="00D62C21">
      <w:pPr>
        <w:jc w:val="center"/>
      </w:pPr>
      <w:bookmarkStart w:id="0" w:name="_GoBack"/>
      <w:bookmarkEnd w:id="0"/>
      <w:r w:rsidRPr="009B5314">
        <w:t>D</w:t>
      </w:r>
      <w:r w:rsidR="008034B0">
        <w:t>epartment of Education</w:t>
      </w:r>
    </w:p>
    <w:p w14:paraId="62759244" w14:textId="77777777" w:rsidR="00B279FC" w:rsidRPr="00EF7A93" w:rsidRDefault="00B279FC" w:rsidP="00D62C21">
      <w:pPr>
        <w:jc w:val="center"/>
      </w:pPr>
      <w:r w:rsidRPr="00EF7A93">
        <w:t>P. O. BOX 2120</w:t>
      </w:r>
    </w:p>
    <w:p w14:paraId="5379143E" w14:textId="77777777" w:rsidR="00B279FC" w:rsidRDefault="00B279FC" w:rsidP="00D62C21">
      <w:pPr>
        <w:jc w:val="center"/>
      </w:pPr>
      <w:r w:rsidRPr="00EF7A93">
        <w:t>Richmond, Virginia 23218-2120</w:t>
      </w:r>
    </w:p>
    <w:p w14:paraId="670A6AAF" w14:textId="77777777" w:rsidR="00605DE8" w:rsidRPr="00EF7A93" w:rsidRDefault="00605DE8" w:rsidP="00B279FC">
      <w:pPr>
        <w:jc w:val="center"/>
      </w:pPr>
    </w:p>
    <w:p w14:paraId="15ABA573" w14:textId="168CEB19" w:rsidR="005472B4" w:rsidRPr="009B5314" w:rsidRDefault="00B279FC" w:rsidP="00605DE8">
      <w:pPr>
        <w:pStyle w:val="Heading1"/>
        <w:rPr>
          <w:b w:val="0"/>
          <w:sz w:val="24"/>
          <w:szCs w:val="24"/>
        </w:rPr>
      </w:pPr>
      <w:r w:rsidRPr="009B5314">
        <w:rPr>
          <w:b w:val="0"/>
          <w:sz w:val="24"/>
          <w:szCs w:val="24"/>
        </w:rPr>
        <w:t xml:space="preserve">ADULT EDUCATION MEMO NO. </w:t>
      </w:r>
      <w:r w:rsidR="00AC1309" w:rsidRPr="00AC1309">
        <w:rPr>
          <w:b w:val="0"/>
          <w:sz w:val="24"/>
          <w:szCs w:val="24"/>
        </w:rPr>
        <w:t>03</w:t>
      </w:r>
      <w:r w:rsidR="001951A2">
        <w:rPr>
          <w:b w:val="0"/>
          <w:sz w:val="24"/>
          <w:szCs w:val="24"/>
        </w:rPr>
        <w:t>9</w:t>
      </w:r>
      <w:r w:rsidR="00860158">
        <w:rPr>
          <w:b w:val="0"/>
          <w:sz w:val="24"/>
          <w:szCs w:val="24"/>
        </w:rPr>
        <w:t>-21</w:t>
      </w:r>
    </w:p>
    <w:p w14:paraId="74F6F980" w14:textId="77777777" w:rsidR="00A22D76" w:rsidRDefault="00A22D76" w:rsidP="00A22D76">
      <w:pPr>
        <w:jc w:val="center"/>
        <w:rPr>
          <w:u w:val="single"/>
        </w:rPr>
      </w:pPr>
    </w:p>
    <w:p w14:paraId="41CEA3B4" w14:textId="77777777" w:rsidR="00B279FC" w:rsidRPr="00E8431B" w:rsidRDefault="00B279FC" w:rsidP="00A22D76">
      <w:pPr>
        <w:jc w:val="center"/>
        <w:rPr>
          <w:u w:val="single"/>
        </w:rPr>
      </w:pPr>
    </w:p>
    <w:p w14:paraId="2F6B0224" w14:textId="4CC3EA48" w:rsidR="003376C7" w:rsidRDefault="00A22D76" w:rsidP="008579FB">
      <w:r w:rsidRPr="00B279FC">
        <w:rPr>
          <w:b/>
        </w:rPr>
        <w:t>DATE:</w:t>
      </w:r>
      <w:r w:rsidRPr="00B279FC">
        <w:tab/>
      </w:r>
      <w:r w:rsidR="001951A2">
        <w:t>July 28</w:t>
      </w:r>
      <w:r w:rsidR="001414CF">
        <w:t>, 2021</w:t>
      </w:r>
    </w:p>
    <w:p w14:paraId="373DD913" w14:textId="77777777" w:rsidR="00A22D76" w:rsidRPr="00B279FC" w:rsidRDefault="00A22D76" w:rsidP="008579FB">
      <w:r w:rsidRPr="00B279FC">
        <w:tab/>
      </w:r>
    </w:p>
    <w:p w14:paraId="5ABD7801" w14:textId="77777777" w:rsidR="00A22D76" w:rsidRDefault="00A22D76" w:rsidP="008579FB">
      <w:pPr>
        <w:pStyle w:val="NormalWeb"/>
        <w:spacing w:before="0" w:beforeAutospacing="0" w:after="0" w:afterAutospacing="0"/>
        <w:rPr>
          <w:szCs w:val="22"/>
        </w:rPr>
      </w:pPr>
      <w:r w:rsidRPr="00B279FC">
        <w:rPr>
          <w:b/>
          <w:szCs w:val="22"/>
        </w:rPr>
        <w:t>TO:</w:t>
      </w:r>
      <w:r w:rsidRPr="00B279FC">
        <w:rPr>
          <w:szCs w:val="22"/>
        </w:rPr>
        <w:t xml:space="preserve"> </w:t>
      </w:r>
      <w:r w:rsidRPr="00B279FC">
        <w:rPr>
          <w:szCs w:val="22"/>
        </w:rPr>
        <w:tab/>
      </w:r>
      <w:r w:rsidRPr="00B279FC">
        <w:rPr>
          <w:szCs w:val="22"/>
        </w:rPr>
        <w:tab/>
        <w:t>Adult Education Program Administrators</w:t>
      </w:r>
    </w:p>
    <w:p w14:paraId="31B1B0DB" w14:textId="77777777" w:rsidR="003376C7" w:rsidRPr="00B279FC" w:rsidRDefault="003376C7" w:rsidP="008579FB">
      <w:pPr>
        <w:pStyle w:val="NormalWeb"/>
        <w:spacing w:before="0" w:beforeAutospacing="0" w:after="0" w:afterAutospacing="0"/>
        <w:rPr>
          <w:szCs w:val="22"/>
        </w:rPr>
      </w:pPr>
    </w:p>
    <w:p w14:paraId="08DA8A05" w14:textId="77777777" w:rsidR="00A22D76" w:rsidRPr="00B279FC" w:rsidRDefault="00A22D76" w:rsidP="003376C7">
      <w:pPr>
        <w:pStyle w:val="NormalWeb"/>
        <w:spacing w:before="0" w:beforeAutospacing="0" w:after="0" w:afterAutospacing="0"/>
        <w:rPr>
          <w:szCs w:val="22"/>
        </w:rPr>
      </w:pPr>
      <w:r w:rsidRPr="00B279FC">
        <w:rPr>
          <w:b/>
          <w:szCs w:val="22"/>
        </w:rPr>
        <w:t>FROM:</w:t>
      </w:r>
      <w:r w:rsidRPr="00B279FC">
        <w:rPr>
          <w:szCs w:val="22"/>
        </w:rPr>
        <w:t xml:space="preserve"> </w:t>
      </w:r>
      <w:r w:rsidRPr="00B279FC">
        <w:rPr>
          <w:szCs w:val="22"/>
        </w:rPr>
        <w:tab/>
        <w:t>George R. Willcox, Director</w:t>
      </w:r>
      <w:r w:rsidR="008A36B9">
        <w:rPr>
          <w:szCs w:val="22"/>
        </w:rPr>
        <w:t>, Operations and Accountability</w:t>
      </w:r>
    </w:p>
    <w:p w14:paraId="42ED87BB" w14:textId="77777777" w:rsidR="00A22D76" w:rsidRDefault="00A22D76" w:rsidP="008579FB">
      <w:pPr>
        <w:pStyle w:val="NormalWeb"/>
        <w:spacing w:before="0" w:beforeAutospacing="0" w:after="0" w:afterAutospacing="0"/>
        <w:rPr>
          <w:szCs w:val="22"/>
        </w:rPr>
      </w:pPr>
      <w:r w:rsidRPr="00B279FC">
        <w:rPr>
          <w:szCs w:val="22"/>
        </w:rPr>
        <w:tab/>
      </w:r>
      <w:r w:rsidRPr="00B279FC">
        <w:rPr>
          <w:szCs w:val="22"/>
        </w:rPr>
        <w:tab/>
        <w:t>Office of Career, Technical, and Adult Education</w:t>
      </w:r>
    </w:p>
    <w:p w14:paraId="2D7CE754" w14:textId="77777777" w:rsidR="003376C7" w:rsidRPr="00B279FC" w:rsidRDefault="003376C7" w:rsidP="008579FB">
      <w:pPr>
        <w:pStyle w:val="NormalWeb"/>
        <w:spacing w:before="0" w:beforeAutospacing="0" w:after="0" w:afterAutospacing="0"/>
        <w:rPr>
          <w:szCs w:val="22"/>
        </w:rPr>
      </w:pPr>
    </w:p>
    <w:p w14:paraId="2BC3458D" w14:textId="1AC024F2" w:rsidR="00405CEA" w:rsidRPr="004924C9" w:rsidRDefault="00405CEA" w:rsidP="004924C9">
      <w:pPr>
        <w:pStyle w:val="Heading2"/>
      </w:pPr>
      <w:r w:rsidRPr="004924C9">
        <w:t>SUBJECT:</w:t>
      </w:r>
      <w:r w:rsidRPr="004924C9">
        <w:tab/>
      </w:r>
      <w:r w:rsidR="009E7F22">
        <w:t>Additional Measurable Skill Gains for Adult Education Participants</w:t>
      </w:r>
    </w:p>
    <w:p w14:paraId="7D50095C" w14:textId="77777777" w:rsidR="00405CEA" w:rsidRDefault="00405CEA" w:rsidP="00405CEA"/>
    <w:p w14:paraId="45EE2B4B" w14:textId="22CCEFFE" w:rsidR="003D240E" w:rsidRPr="00915BF5" w:rsidRDefault="003D240E" w:rsidP="009E7F22">
      <w:pPr>
        <w:spacing w:after="120"/>
        <w:rPr>
          <w:sz w:val="23"/>
          <w:szCs w:val="23"/>
        </w:rPr>
      </w:pPr>
      <w:r w:rsidRPr="00D055E2">
        <w:rPr>
          <w:sz w:val="23"/>
          <w:szCs w:val="23"/>
        </w:rPr>
        <w:t xml:space="preserve">Revised </w:t>
      </w:r>
      <w:hyperlink r:id="rId6" w:history="1">
        <w:r w:rsidRPr="00D055E2">
          <w:rPr>
            <w:rStyle w:val="Hyperlink"/>
            <w:sz w:val="23"/>
            <w:szCs w:val="23"/>
          </w:rPr>
          <w:t>guidance</w:t>
        </w:r>
      </w:hyperlink>
      <w:r w:rsidRPr="00D055E2">
        <w:rPr>
          <w:sz w:val="23"/>
          <w:szCs w:val="23"/>
        </w:rPr>
        <w:t xml:space="preserve"> from the U.S. Department of Education, received </w:t>
      </w:r>
      <w:r w:rsidR="00D718A0" w:rsidRPr="00D055E2">
        <w:rPr>
          <w:sz w:val="23"/>
          <w:szCs w:val="23"/>
        </w:rPr>
        <w:t>July 20, 2021</w:t>
      </w:r>
      <w:r w:rsidRPr="00D055E2">
        <w:rPr>
          <w:sz w:val="23"/>
          <w:szCs w:val="23"/>
        </w:rPr>
        <w:t xml:space="preserve">, </w:t>
      </w:r>
      <w:r w:rsidR="009E7F22" w:rsidRPr="00D055E2">
        <w:rPr>
          <w:sz w:val="23"/>
          <w:szCs w:val="23"/>
        </w:rPr>
        <w:t>clarifies</w:t>
      </w:r>
      <w:r w:rsidRPr="00D055E2">
        <w:rPr>
          <w:sz w:val="23"/>
          <w:szCs w:val="23"/>
        </w:rPr>
        <w:t xml:space="preserve"> that </w:t>
      </w:r>
      <w:r w:rsidR="00D055E2" w:rsidRPr="00D055E2">
        <w:rPr>
          <w:sz w:val="23"/>
          <w:szCs w:val="23"/>
        </w:rPr>
        <w:t xml:space="preserve">providers funded through the </w:t>
      </w:r>
      <w:r w:rsidR="00D055E2" w:rsidRPr="00D055E2">
        <w:rPr>
          <w:i/>
          <w:sz w:val="23"/>
          <w:szCs w:val="23"/>
        </w:rPr>
        <w:t>Workforce Innovation and Opportunity Act</w:t>
      </w:r>
      <w:r w:rsidR="00D055E2" w:rsidRPr="00D055E2">
        <w:rPr>
          <w:sz w:val="23"/>
          <w:szCs w:val="23"/>
        </w:rPr>
        <w:t xml:space="preserve"> (WIOA), Title II, Adult Education and Family Literacy Act (AEFLA) </w:t>
      </w:r>
      <w:r w:rsidR="00D718A0" w:rsidRPr="00D055E2">
        <w:rPr>
          <w:sz w:val="23"/>
          <w:szCs w:val="23"/>
        </w:rPr>
        <w:t>may report additional</w:t>
      </w:r>
      <w:r w:rsidR="00D718A0" w:rsidRPr="00915BF5">
        <w:rPr>
          <w:sz w:val="23"/>
          <w:szCs w:val="23"/>
        </w:rPr>
        <w:t xml:space="preserve"> </w:t>
      </w:r>
      <w:r w:rsidR="00D055E2">
        <w:rPr>
          <w:sz w:val="23"/>
          <w:szCs w:val="23"/>
        </w:rPr>
        <w:t>measurable skill</w:t>
      </w:r>
      <w:r w:rsidR="00C10837" w:rsidRPr="00915BF5">
        <w:rPr>
          <w:sz w:val="23"/>
          <w:szCs w:val="23"/>
        </w:rPr>
        <w:t xml:space="preserve"> gain</w:t>
      </w:r>
      <w:r w:rsidR="00D055E2">
        <w:rPr>
          <w:sz w:val="23"/>
          <w:szCs w:val="23"/>
        </w:rPr>
        <w:t>s</w:t>
      </w:r>
      <w:r w:rsidR="00C10837" w:rsidRPr="00915BF5">
        <w:rPr>
          <w:sz w:val="23"/>
          <w:szCs w:val="23"/>
        </w:rPr>
        <w:t xml:space="preserve"> (</w:t>
      </w:r>
      <w:r w:rsidR="00D718A0" w:rsidRPr="00915BF5">
        <w:rPr>
          <w:sz w:val="23"/>
          <w:szCs w:val="23"/>
        </w:rPr>
        <w:t>MSG</w:t>
      </w:r>
      <w:r w:rsidR="00C10837" w:rsidRPr="00915BF5">
        <w:rPr>
          <w:sz w:val="23"/>
          <w:szCs w:val="23"/>
        </w:rPr>
        <w:t>)</w:t>
      </w:r>
      <w:r w:rsidR="00D718A0" w:rsidRPr="00915BF5">
        <w:rPr>
          <w:sz w:val="23"/>
          <w:szCs w:val="23"/>
        </w:rPr>
        <w:t xml:space="preserve"> for participants enrolled in workplace literacy education and integrated education and training (IET) programs. </w:t>
      </w:r>
      <w:r w:rsidRPr="00915BF5">
        <w:rPr>
          <w:sz w:val="23"/>
          <w:szCs w:val="23"/>
        </w:rPr>
        <w:t>This guidance is in effect for providers</w:t>
      </w:r>
      <w:r w:rsidR="00D055E2">
        <w:rPr>
          <w:sz w:val="23"/>
          <w:szCs w:val="23"/>
        </w:rPr>
        <w:t xml:space="preserve"> in Virginia</w:t>
      </w:r>
      <w:r w:rsidRPr="00915BF5">
        <w:rPr>
          <w:sz w:val="23"/>
          <w:szCs w:val="23"/>
        </w:rPr>
        <w:t xml:space="preserve"> as of July 1, 2021.</w:t>
      </w:r>
    </w:p>
    <w:p w14:paraId="2B2A5644" w14:textId="729F3F30" w:rsidR="00C10837" w:rsidRPr="00915BF5" w:rsidRDefault="00C10837" w:rsidP="009E7F22">
      <w:pPr>
        <w:contextualSpacing/>
        <w:rPr>
          <w:sz w:val="23"/>
          <w:szCs w:val="23"/>
        </w:rPr>
      </w:pPr>
      <w:r w:rsidRPr="00915BF5">
        <w:rPr>
          <w:sz w:val="23"/>
          <w:szCs w:val="23"/>
        </w:rPr>
        <w:t xml:space="preserve">Providers may </w:t>
      </w:r>
      <w:r w:rsidR="00D055E2">
        <w:rPr>
          <w:sz w:val="23"/>
          <w:szCs w:val="23"/>
        </w:rPr>
        <w:t xml:space="preserve">continue to </w:t>
      </w:r>
      <w:r w:rsidRPr="00915BF5">
        <w:rPr>
          <w:sz w:val="23"/>
          <w:szCs w:val="23"/>
        </w:rPr>
        <w:t xml:space="preserve">report the following MSG types for </w:t>
      </w:r>
      <w:r w:rsidRPr="00915BF5">
        <w:rPr>
          <w:b/>
          <w:sz w:val="23"/>
          <w:szCs w:val="23"/>
        </w:rPr>
        <w:t>a</w:t>
      </w:r>
      <w:r w:rsidR="00D718A0" w:rsidRPr="00915BF5">
        <w:rPr>
          <w:b/>
          <w:sz w:val="23"/>
          <w:szCs w:val="23"/>
        </w:rPr>
        <w:t>ll adult education participants</w:t>
      </w:r>
      <w:r w:rsidRPr="00915BF5">
        <w:rPr>
          <w:sz w:val="23"/>
          <w:szCs w:val="23"/>
        </w:rPr>
        <w:t>:</w:t>
      </w:r>
    </w:p>
    <w:p w14:paraId="610C7999" w14:textId="6AEF1B08" w:rsidR="00C10837" w:rsidRPr="00915BF5" w:rsidRDefault="00C10837" w:rsidP="00651331">
      <w:pPr>
        <w:pStyle w:val="ListParagraph"/>
        <w:tabs>
          <w:tab w:val="left" w:pos="1530"/>
        </w:tabs>
        <w:spacing w:after="120"/>
        <w:ind w:left="1440" w:hanging="720"/>
        <w:rPr>
          <w:sz w:val="23"/>
          <w:szCs w:val="23"/>
        </w:rPr>
      </w:pPr>
      <w:r w:rsidRPr="00915BF5">
        <w:rPr>
          <w:sz w:val="23"/>
          <w:szCs w:val="23"/>
        </w:rPr>
        <w:t>Type 1. Documentation of a</w:t>
      </w:r>
      <w:r w:rsidR="00D718A0" w:rsidRPr="00915BF5">
        <w:rPr>
          <w:sz w:val="23"/>
          <w:szCs w:val="23"/>
        </w:rPr>
        <w:t xml:space="preserve">n educational functioning level (EFL) gain </w:t>
      </w:r>
      <w:r w:rsidR="009A001B" w:rsidRPr="00915BF5">
        <w:rPr>
          <w:sz w:val="23"/>
          <w:szCs w:val="23"/>
        </w:rPr>
        <w:t>in one of three ways:</w:t>
      </w:r>
    </w:p>
    <w:p w14:paraId="674BF3AA" w14:textId="1884880C" w:rsidR="009A001B" w:rsidRPr="00915BF5" w:rsidRDefault="00D84E41" w:rsidP="00651331">
      <w:pPr>
        <w:pStyle w:val="ListParagraph"/>
        <w:numPr>
          <w:ilvl w:val="0"/>
          <w:numId w:val="2"/>
        </w:numPr>
        <w:spacing w:after="120"/>
        <w:ind w:left="1890"/>
        <w:rPr>
          <w:sz w:val="23"/>
          <w:szCs w:val="23"/>
        </w:rPr>
      </w:pPr>
      <w:r w:rsidRPr="00915BF5">
        <w:rPr>
          <w:sz w:val="23"/>
          <w:szCs w:val="23"/>
        </w:rPr>
        <w:t>Educational functioning level gain as measured by a</w:t>
      </w:r>
      <w:r w:rsidR="009A001B" w:rsidRPr="00915BF5">
        <w:rPr>
          <w:sz w:val="23"/>
          <w:szCs w:val="23"/>
        </w:rPr>
        <w:t xml:space="preserve"> NRS-approved </w:t>
      </w:r>
      <w:r w:rsidRPr="00915BF5">
        <w:rPr>
          <w:sz w:val="23"/>
          <w:szCs w:val="23"/>
        </w:rPr>
        <w:t>pre- and post-</w:t>
      </w:r>
      <w:r w:rsidR="009A001B" w:rsidRPr="00915BF5">
        <w:rPr>
          <w:sz w:val="23"/>
          <w:szCs w:val="23"/>
        </w:rPr>
        <w:t>assessment</w:t>
      </w:r>
    </w:p>
    <w:p w14:paraId="64C32317" w14:textId="7A9BB275" w:rsidR="009A001B" w:rsidRPr="00915BF5" w:rsidRDefault="00CB54E5" w:rsidP="00651331">
      <w:pPr>
        <w:pStyle w:val="ListParagraph"/>
        <w:numPr>
          <w:ilvl w:val="0"/>
          <w:numId w:val="2"/>
        </w:numPr>
        <w:spacing w:after="120"/>
        <w:ind w:left="1890"/>
        <w:rPr>
          <w:sz w:val="23"/>
          <w:szCs w:val="23"/>
        </w:rPr>
      </w:pPr>
      <w:r w:rsidRPr="00915BF5">
        <w:rPr>
          <w:sz w:val="23"/>
          <w:szCs w:val="23"/>
        </w:rPr>
        <w:t>Transition from</w:t>
      </w:r>
      <w:r w:rsidR="009A001B" w:rsidRPr="00915BF5">
        <w:rPr>
          <w:sz w:val="23"/>
          <w:szCs w:val="23"/>
        </w:rPr>
        <w:t xml:space="preserve"> the Diagnostic Phas</w:t>
      </w:r>
      <w:r w:rsidRPr="00915BF5">
        <w:rPr>
          <w:sz w:val="23"/>
          <w:szCs w:val="23"/>
        </w:rPr>
        <w:t>e</w:t>
      </w:r>
      <w:r w:rsidR="009A001B" w:rsidRPr="00915BF5">
        <w:rPr>
          <w:sz w:val="23"/>
          <w:szCs w:val="23"/>
        </w:rPr>
        <w:t xml:space="preserve"> </w:t>
      </w:r>
      <w:r w:rsidRPr="00915BF5">
        <w:rPr>
          <w:sz w:val="23"/>
          <w:szCs w:val="23"/>
        </w:rPr>
        <w:t xml:space="preserve">to the Generalized </w:t>
      </w:r>
      <w:r w:rsidR="009A001B" w:rsidRPr="00915BF5">
        <w:rPr>
          <w:sz w:val="23"/>
          <w:szCs w:val="23"/>
        </w:rPr>
        <w:t>Assessment Phase</w:t>
      </w:r>
      <w:r w:rsidRPr="00915BF5">
        <w:rPr>
          <w:sz w:val="23"/>
          <w:szCs w:val="23"/>
        </w:rPr>
        <w:t xml:space="preserve"> </w:t>
      </w:r>
      <w:r w:rsidR="001414CF" w:rsidRPr="00915BF5">
        <w:rPr>
          <w:sz w:val="23"/>
          <w:szCs w:val="23"/>
        </w:rPr>
        <w:t>within</w:t>
      </w:r>
      <w:r w:rsidRPr="00915BF5">
        <w:rPr>
          <w:sz w:val="23"/>
          <w:szCs w:val="23"/>
        </w:rPr>
        <w:t xml:space="preserve"> </w:t>
      </w:r>
      <w:r w:rsidR="001414CF" w:rsidRPr="00915BF5">
        <w:rPr>
          <w:sz w:val="23"/>
          <w:szCs w:val="23"/>
        </w:rPr>
        <w:t xml:space="preserve">the </w:t>
      </w:r>
      <w:r w:rsidRPr="00915BF5">
        <w:rPr>
          <w:sz w:val="23"/>
          <w:szCs w:val="23"/>
        </w:rPr>
        <w:t xml:space="preserve">National External Diploma Program (NEDP) </w:t>
      </w:r>
    </w:p>
    <w:p w14:paraId="023A07D9" w14:textId="0BA78B66" w:rsidR="009A001B" w:rsidRPr="00915BF5" w:rsidRDefault="009A001B" w:rsidP="00651331">
      <w:pPr>
        <w:pStyle w:val="ListParagraph"/>
        <w:numPr>
          <w:ilvl w:val="0"/>
          <w:numId w:val="2"/>
        </w:numPr>
        <w:spacing w:after="120"/>
        <w:ind w:left="1890"/>
        <w:rPr>
          <w:sz w:val="23"/>
          <w:szCs w:val="23"/>
        </w:rPr>
      </w:pPr>
      <w:r w:rsidRPr="00915BF5">
        <w:rPr>
          <w:sz w:val="23"/>
          <w:szCs w:val="23"/>
        </w:rPr>
        <w:t>Exiting adult education and entering a postsecondary education or training program during the program year</w:t>
      </w:r>
    </w:p>
    <w:p w14:paraId="5E8F673D" w14:textId="6A3D48F3" w:rsidR="00C10837" w:rsidRPr="00915BF5" w:rsidRDefault="00C10837" w:rsidP="009E7F22">
      <w:pPr>
        <w:pStyle w:val="ListParagraph"/>
        <w:spacing w:after="120"/>
        <w:rPr>
          <w:sz w:val="23"/>
          <w:szCs w:val="23"/>
        </w:rPr>
      </w:pPr>
      <w:r w:rsidRPr="00915BF5">
        <w:rPr>
          <w:sz w:val="23"/>
          <w:szCs w:val="23"/>
        </w:rPr>
        <w:t>Type 2. A</w:t>
      </w:r>
      <w:r w:rsidR="00D718A0" w:rsidRPr="00915BF5">
        <w:rPr>
          <w:sz w:val="23"/>
          <w:szCs w:val="23"/>
        </w:rPr>
        <w:t>ttainment of a secondary school diplo</w:t>
      </w:r>
      <w:r w:rsidR="009E7F22" w:rsidRPr="00915BF5">
        <w:rPr>
          <w:sz w:val="23"/>
          <w:szCs w:val="23"/>
        </w:rPr>
        <w:t>ma or its recognized equivalent</w:t>
      </w:r>
      <w:r w:rsidR="00651331" w:rsidRPr="00915BF5">
        <w:rPr>
          <w:sz w:val="23"/>
          <w:szCs w:val="23"/>
        </w:rPr>
        <w:t xml:space="preserve"> (GED</w:t>
      </w:r>
      <w:r w:rsidR="00651331" w:rsidRPr="00915BF5">
        <w:rPr>
          <w:sz w:val="23"/>
          <w:szCs w:val="23"/>
          <w:vertAlign w:val="superscript"/>
        </w:rPr>
        <w:t>®</w:t>
      </w:r>
      <w:r w:rsidR="00651331" w:rsidRPr="00915BF5">
        <w:rPr>
          <w:sz w:val="23"/>
          <w:szCs w:val="23"/>
        </w:rPr>
        <w:t>)</w:t>
      </w:r>
    </w:p>
    <w:p w14:paraId="42AE525F" w14:textId="1E96B070" w:rsidR="00D718A0" w:rsidRPr="00915BF5" w:rsidRDefault="00C10837" w:rsidP="009E7F22">
      <w:pPr>
        <w:spacing w:after="120"/>
        <w:contextualSpacing/>
        <w:rPr>
          <w:sz w:val="23"/>
          <w:szCs w:val="23"/>
        </w:rPr>
      </w:pPr>
      <w:r w:rsidRPr="00915BF5">
        <w:rPr>
          <w:sz w:val="23"/>
          <w:szCs w:val="23"/>
        </w:rPr>
        <w:t xml:space="preserve">Providers may </w:t>
      </w:r>
      <w:r w:rsidR="00D055E2">
        <w:rPr>
          <w:sz w:val="23"/>
          <w:szCs w:val="23"/>
        </w:rPr>
        <w:t xml:space="preserve">also </w:t>
      </w:r>
      <w:r w:rsidRPr="00915BF5">
        <w:rPr>
          <w:sz w:val="23"/>
          <w:szCs w:val="23"/>
        </w:rPr>
        <w:t xml:space="preserve">report the additional MSG types for </w:t>
      </w:r>
      <w:r w:rsidRPr="00915BF5">
        <w:rPr>
          <w:b/>
          <w:sz w:val="23"/>
          <w:szCs w:val="23"/>
        </w:rPr>
        <w:t>p</w:t>
      </w:r>
      <w:r w:rsidR="00D718A0" w:rsidRPr="00915BF5">
        <w:rPr>
          <w:b/>
          <w:sz w:val="23"/>
          <w:szCs w:val="23"/>
        </w:rPr>
        <w:t>articipants in workplace literacy education and IET programs</w:t>
      </w:r>
      <w:r w:rsidR="001414CF" w:rsidRPr="00915BF5">
        <w:rPr>
          <w:b/>
          <w:sz w:val="23"/>
          <w:szCs w:val="23"/>
        </w:rPr>
        <w:t xml:space="preserve"> only</w:t>
      </w:r>
      <w:r w:rsidR="00D718A0" w:rsidRPr="00915BF5">
        <w:rPr>
          <w:sz w:val="23"/>
          <w:szCs w:val="23"/>
        </w:rPr>
        <w:t>:</w:t>
      </w:r>
    </w:p>
    <w:p w14:paraId="20744F92" w14:textId="58E1C8D4" w:rsidR="00D718A0" w:rsidRPr="00915BF5" w:rsidRDefault="00C10837" w:rsidP="009E7F22">
      <w:pPr>
        <w:spacing w:after="120"/>
        <w:ind w:left="1530" w:hanging="810"/>
        <w:contextualSpacing/>
        <w:rPr>
          <w:sz w:val="23"/>
          <w:szCs w:val="23"/>
        </w:rPr>
      </w:pPr>
      <w:r w:rsidRPr="00915BF5">
        <w:rPr>
          <w:sz w:val="23"/>
          <w:szCs w:val="23"/>
        </w:rPr>
        <w:t xml:space="preserve">Type 3. </w:t>
      </w:r>
      <w:r w:rsidR="00D718A0" w:rsidRPr="00915BF5">
        <w:rPr>
          <w:sz w:val="23"/>
          <w:szCs w:val="23"/>
        </w:rPr>
        <w:t xml:space="preserve">Postsecondary transcript or report card for sufficient credit </w:t>
      </w:r>
      <w:r w:rsidR="009E7F22" w:rsidRPr="00915BF5">
        <w:rPr>
          <w:sz w:val="23"/>
          <w:szCs w:val="23"/>
        </w:rPr>
        <w:t>h</w:t>
      </w:r>
      <w:r w:rsidR="00D718A0" w:rsidRPr="00915BF5">
        <w:rPr>
          <w:sz w:val="23"/>
          <w:szCs w:val="23"/>
        </w:rPr>
        <w:t>ours that shows a part</w:t>
      </w:r>
      <w:r w:rsidRPr="00915BF5">
        <w:rPr>
          <w:sz w:val="23"/>
          <w:szCs w:val="23"/>
        </w:rPr>
        <w:t>icipant is meeting satisfactory progress (12 credit hours per semester</w:t>
      </w:r>
      <w:r w:rsidR="009E7F22" w:rsidRPr="00915BF5">
        <w:rPr>
          <w:sz w:val="23"/>
          <w:szCs w:val="23"/>
        </w:rPr>
        <w:t xml:space="preserve"> for full-time participants; 12 credit hours over the course of two consecutive semesters during the program year for part-time participants</w:t>
      </w:r>
      <w:r w:rsidRPr="00915BF5">
        <w:rPr>
          <w:sz w:val="23"/>
          <w:szCs w:val="23"/>
        </w:rPr>
        <w:t>)</w:t>
      </w:r>
    </w:p>
    <w:p w14:paraId="75989251" w14:textId="592080CC" w:rsidR="00C10837" w:rsidRPr="00915BF5" w:rsidRDefault="00C10837" w:rsidP="009E7F22">
      <w:pPr>
        <w:spacing w:after="120"/>
        <w:ind w:left="1530" w:hanging="810"/>
        <w:contextualSpacing/>
        <w:rPr>
          <w:sz w:val="23"/>
          <w:szCs w:val="23"/>
        </w:rPr>
      </w:pPr>
      <w:r w:rsidRPr="00915BF5">
        <w:rPr>
          <w:sz w:val="23"/>
          <w:szCs w:val="23"/>
        </w:rPr>
        <w:t>Type 4. Satisfactory or better progress report toward established milestones as verified by an employer or training provider providing the training</w:t>
      </w:r>
    </w:p>
    <w:p w14:paraId="0AD5CC23" w14:textId="4EF9E5CE" w:rsidR="00C10837" w:rsidRPr="00915BF5" w:rsidRDefault="00C10837" w:rsidP="00A41CD5">
      <w:pPr>
        <w:spacing w:after="120"/>
        <w:ind w:left="1526" w:hanging="806"/>
        <w:rPr>
          <w:sz w:val="23"/>
          <w:szCs w:val="23"/>
        </w:rPr>
      </w:pPr>
      <w:r w:rsidRPr="00915BF5">
        <w:rPr>
          <w:sz w:val="23"/>
          <w:szCs w:val="23"/>
        </w:rPr>
        <w:t xml:space="preserve">Type 5. Successfully passing an occupational exam or progress in attaining technical or occupational skills, as evidenced by benchmarks such as knowledge-based exams. </w:t>
      </w:r>
    </w:p>
    <w:p w14:paraId="7B75AFFA" w14:textId="77777777" w:rsidR="009E7F22" w:rsidRPr="00915BF5" w:rsidRDefault="009E7F22" w:rsidP="00A41CD5">
      <w:pPr>
        <w:spacing w:after="120"/>
        <w:rPr>
          <w:sz w:val="23"/>
          <w:szCs w:val="23"/>
        </w:rPr>
      </w:pPr>
      <w:r w:rsidRPr="00915BF5">
        <w:rPr>
          <w:sz w:val="23"/>
          <w:szCs w:val="23"/>
        </w:rPr>
        <w:t>Throughout the program year</w:t>
      </w:r>
      <w:r w:rsidR="00C10837" w:rsidRPr="00915BF5">
        <w:rPr>
          <w:sz w:val="23"/>
          <w:szCs w:val="23"/>
        </w:rPr>
        <w:t xml:space="preserve">, the VDOE and the Virginia Adult Learning Resource Center (VALRC) will offer technical assistance and training on program design and data reporting related to these new MSG types.  </w:t>
      </w:r>
    </w:p>
    <w:p w14:paraId="0CA4705C" w14:textId="5506A85C" w:rsidR="00405CEA" w:rsidRPr="00915BF5" w:rsidRDefault="00405CEA" w:rsidP="009E7F22">
      <w:pPr>
        <w:spacing w:after="120"/>
        <w:rPr>
          <w:sz w:val="23"/>
          <w:szCs w:val="23"/>
        </w:rPr>
      </w:pPr>
      <w:r w:rsidRPr="00915BF5">
        <w:rPr>
          <w:sz w:val="23"/>
          <w:szCs w:val="23"/>
        </w:rPr>
        <w:t xml:space="preserve">If you have further questions, please contact Heidi Silver-Pacuilla, Ph.D., Adult Education Coordinator, by email at </w:t>
      </w:r>
      <w:hyperlink r:id="rId7" w:history="1">
        <w:r w:rsidRPr="00915BF5">
          <w:rPr>
            <w:rStyle w:val="Hyperlink"/>
            <w:sz w:val="23"/>
            <w:szCs w:val="23"/>
          </w:rPr>
          <w:t>OAEL@doe.virginia.gov</w:t>
        </w:r>
      </w:hyperlink>
      <w:r w:rsidRPr="00915BF5">
        <w:rPr>
          <w:sz w:val="23"/>
          <w:szCs w:val="23"/>
        </w:rPr>
        <w:t xml:space="preserve"> or by telephone at (804) 786-3347.</w:t>
      </w:r>
    </w:p>
    <w:p w14:paraId="1B773943" w14:textId="77777777" w:rsidR="00405CEA" w:rsidRPr="00915BF5" w:rsidRDefault="00405CEA" w:rsidP="00405CEA">
      <w:pPr>
        <w:rPr>
          <w:sz w:val="23"/>
          <w:szCs w:val="23"/>
        </w:rPr>
      </w:pPr>
    </w:p>
    <w:p w14:paraId="64567D8C" w14:textId="69DB4E5A" w:rsidR="003376C7" w:rsidRPr="00915BF5" w:rsidRDefault="00405CEA" w:rsidP="008579FB">
      <w:pPr>
        <w:rPr>
          <w:sz w:val="23"/>
          <w:szCs w:val="23"/>
        </w:rPr>
      </w:pPr>
      <w:r w:rsidRPr="00915BF5">
        <w:rPr>
          <w:sz w:val="23"/>
          <w:szCs w:val="23"/>
        </w:rPr>
        <w:t>GRW/HSP/</w:t>
      </w:r>
      <w:proofErr w:type="spellStart"/>
      <w:r w:rsidRPr="00915BF5">
        <w:rPr>
          <w:sz w:val="23"/>
          <w:szCs w:val="23"/>
        </w:rPr>
        <w:t>s</w:t>
      </w:r>
      <w:r w:rsidR="00D55B04" w:rsidRPr="00915BF5">
        <w:rPr>
          <w:sz w:val="23"/>
          <w:szCs w:val="23"/>
        </w:rPr>
        <w:t>e</w:t>
      </w:r>
      <w:r w:rsidRPr="00915BF5">
        <w:rPr>
          <w:sz w:val="23"/>
          <w:szCs w:val="23"/>
        </w:rPr>
        <w:t>d</w:t>
      </w:r>
      <w:proofErr w:type="spellEnd"/>
    </w:p>
    <w:sectPr w:rsidR="003376C7" w:rsidRPr="00915BF5" w:rsidSect="001414CF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57129"/>
    <w:multiLevelType w:val="hybridMultilevel"/>
    <w:tmpl w:val="2EE6B750"/>
    <w:lvl w:ilvl="0" w:tplc="CC20702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C6A3EF4"/>
    <w:multiLevelType w:val="hybridMultilevel"/>
    <w:tmpl w:val="49AE0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A4C"/>
    <w:rsid w:val="00021E25"/>
    <w:rsid w:val="00027EBF"/>
    <w:rsid w:val="00040BB0"/>
    <w:rsid w:val="00065A1E"/>
    <w:rsid w:val="000A5354"/>
    <w:rsid w:val="000B7691"/>
    <w:rsid w:val="001414CF"/>
    <w:rsid w:val="00147724"/>
    <w:rsid w:val="001951A2"/>
    <w:rsid w:val="001C1EBE"/>
    <w:rsid w:val="001E1C48"/>
    <w:rsid w:val="001F2478"/>
    <w:rsid w:val="0028641D"/>
    <w:rsid w:val="002A6151"/>
    <w:rsid w:val="00312080"/>
    <w:rsid w:val="003376C7"/>
    <w:rsid w:val="00356233"/>
    <w:rsid w:val="00360C50"/>
    <w:rsid w:val="00392228"/>
    <w:rsid w:val="003D240E"/>
    <w:rsid w:val="003D7D29"/>
    <w:rsid w:val="003F3718"/>
    <w:rsid w:val="00405CEA"/>
    <w:rsid w:val="00467A25"/>
    <w:rsid w:val="00476667"/>
    <w:rsid w:val="004924C9"/>
    <w:rsid w:val="004A0B21"/>
    <w:rsid w:val="004B5CDF"/>
    <w:rsid w:val="004B60BC"/>
    <w:rsid w:val="0050088A"/>
    <w:rsid w:val="00501F3C"/>
    <w:rsid w:val="00533E47"/>
    <w:rsid w:val="005472B4"/>
    <w:rsid w:val="005627E3"/>
    <w:rsid w:val="005F592D"/>
    <w:rsid w:val="00605DE8"/>
    <w:rsid w:val="006469FD"/>
    <w:rsid w:val="00651331"/>
    <w:rsid w:val="00683FA3"/>
    <w:rsid w:val="006909D6"/>
    <w:rsid w:val="006A69C8"/>
    <w:rsid w:val="006B486C"/>
    <w:rsid w:val="006F02A3"/>
    <w:rsid w:val="0072343E"/>
    <w:rsid w:val="00743DF7"/>
    <w:rsid w:val="00763954"/>
    <w:rsid w:val="007D251A"/>
    <w:rsid w:val="008034B0"/>
    <w:rsid w:val="008274C6"/>
    <w:rsid w:val="00843E99"/>
    <w:rsid w:val="008532FB"/>
    <w:rsid w:val="008579FB"/>
    <w:rsid w:val="00860158"/>
    <w:rsid w:val="008A36B9"/>
    <w:rsid w:val="008A6A4C"/>
    <w:rsid w:val="00915BF5"/>
    <w:rsid w:val="00917DEE"/>
    <w:rsid w:val="00963023"/>
    <w:rsid w:val="009A001B"/>
    <w:rsid w:val="009B5314"/>
    <w:rsid w:val="009C410D"/>
    <w:rsid w:val="009E6499"/>
    <w:rsid w:val="009E7F22"/>
    <w:rsid w:val="00A00AD6"/>
    <w:rsid w:val="00A22D76"/>
    <w:rsid w:val="00A41CD5"/>
    <w:rsid w:val="00A66DA7"/>
    <w:rsid w:val="00A87DAF"/>
    <w:rsid w:val="00AC1309"/>
    <w:rsid w:val="00B039E5"/>
    <w:rsid w:val="00B279FC"/>
    <w:rsid w:val="00BB2D85"/>
    <w:rsid w:val="00BD7BE5"/>
    <w:rsid w:val="00C10837"/>
    <w:rsid w:val="00CB54E5"/>
    <w:rsid w:val="00CB676C"/>
    <w:rsid w:val="00D055E2"/>
    <w:rsid w:val="00D14618"/>
    <w:rsid w:val="00D55B04"/>
    <w:rsid w:val="00D62C21"/>
    <w:rsid w:val="00D718A0"/>
    <w:rsid w:val="00D84E41"/>
    <w:rsid w:val="00DA21C7"/>
    <w:rsid w:val="00DB098A"/>
    <w:rsid w:val="00DE13AD"/>
    <w:rsid w:val="00DF681B"/>
    <w:rsid w:val="00E716F0"/>
    <w:rsid w:val="00E74480"/>
    <w:rsid w:val="00ED6F83"/>
    <w:rsid w:val="00EE692C"/>
    <w:rsid w:val="00F631EF"/>
    <w:rsid w:val="00F65B15"/>
    <w:rsid w:val="00F76798"/>
    <w:rsid w:val="00F8253E"/>
    <w:rsid w:val="00F96FE2"/>
    <w:rsid w:val="00FB55CA"/>
    <w:rsid w:val="00FE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ADE55"/>
  <w15:docId w15:val="{6A7F880C-A431-4813-8D27-A47AD175A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D76"/>
  </w:style>
  <w:style w:type="paragraph" w:styleId="Heading1">
    <w:name w:val="heading 1"/>
    <w:basedOn w:val="Normal"/>
    <w:next w:val="Normal"/>
    <w:link w:val="Heading1Char"/>
    <w:qFormat/>
    <w:rsid w:val="00A22D76"/>
    <w:pPr>
      <w:keepNext/>
      <w:jc w:val="center"/>
      <w:outlineLvl w:val="0"/>
    </w:pPr>
    <w:rPr>
      <w:rFonts w:eastAsia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24C9"/>
    <w:pPr>
      <w:ind w:left="1440" w:hanging="144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2D76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924C9"/>
    <w:rPr>
      <w:b/>
    </w:rPr>
  </w:style>
  <w:style w:type="paragraph" w:styleId="ListParagraph">
    <w:name w:val="List Paragraph"/>
    <w:basedOn w:val="Normal"/>
    <w:uiPriority w:val="34"/>
    <w:qFormat/>
    <w:rsid w:val="00A00AD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22D76"/>
    <w:rPr>
      <w:rFonts w:eastAsia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22D76"/>
    <w:rPr>
      <w:rFonts w:asciiTheme="majorHAnsi" w:eastAsiaTheme="majorEastAsia" w:hAnsiTheme="majorHAnsi" w:cstheme="majorBidi"/>
      <w:b/>
      <w:bCs/>
      <w:color w:val="4F81BD" w:themeColor="accent1"/>
      <w:szCs w:val="22"/>
    </w:rPr>
  </w:style>
  <w:style w:type="paragraph" w:styleId="NormalWeb">
    <w:name w:val="Normal (Web)"/>
    <w:basedOn w:val="Normal"/>
    <w:rsid w:val="00A22D76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843E9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7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76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A69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9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9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9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9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AEL@doe.virginia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rsweb.org/policy-data/Resources-for-Report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89AA0-9D55-4C9B-BEAC-F7BF38936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Directors Memo New MSG Types</vt:lpstr>
    </vt:vector>
  </TitlesOfParts>
  <Company>Virginia IT Infrastructure Partnership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Directors Memo New MSG Types</dc:title>
  <dc:creator>Silver-Pacuilla, Heidi (DOE)</dc:creator>
  <cp:lastModifiedBy>Acuff, Sharon (DOE)</cp:lastModifiedBy>
  <cp:revision>2</cp:revision>
  <cp:lastPrinted>2018-05-30T20:11:00Z</cp:lastPrinted>
  <dcterms:created xsi:type="dcterms:W3CDTF">2021-07-29T14:25:00Z</dcterms:created>
  <dcterms:modified xsi:type="dcterms:W3CDTF">2021-07-29T14:25:00Z</dcterms:modified>
</cp:coreProperties>
</file>