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3A538" w14:textId="72D11154" w:rsidR="00A63793" w:rsidRDefault="00AC54CF" w:rsidP="00ED22C7">
      <w:pPr>
        <w:spacing w:after="360"/>
        <w:ind w:right="-86"/>
        <w:jc w:val="center"/>
        <w:rPr>
          <w:rFonts w:ascii="Times New Roman" w:eastAsia="Times New Roman" w:hAnsi="Times New Roman" w:cs="Times New Roman"/>
          <w:b/>
          <w:bCs/>
          <w:color w:val="000000"/>
          <w:sz w:val="72"/>
          <w:szCs w:val="72"/>
        </w:rPr>
      </w:pPr>
      <w:r>
        <w:rPr>
          <w:rFonts w:ascii="Times New Roman" w:eastAsia="Times New Roman" w:hAnsi="Times New Roman" w:cs="Times New Roman"/>
          <w:b/>
          <w:bCs/>
          <w:noProof/>
          <w:color w:val="000000"/>
          <w:sz w:val="72"/>
          <w:szCs w:val="72"/>
        </w:rPr>
        <w:drawing>
          <wp:inline distT="0" distB="0" distL="0" distR="0" wp14:anchorId="49F1B073" wp14:editId="2A44BFB8">
            <wp:extent cx="2246440" cy="1540588"/>
            <wp:effectExtent l="0" t="0" r="1905" b="2540"/>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6705" cy="1561343"/>
                    </a:xfrm>
                    <a:prstGeom prst="rect">
                      <a:avLst/>
                    </a:prstGeom>
                  </pic:spPr>
                </pic:pic>
              </a:graphicData>
            </a:graphic>
          </wp:inline>
        </w:drawing>
      </w:r>
    </w:p>
    <w:p w14:paraId="09D91347" w14:textId="7B188704" w:rsidR="00F7382E" w:rsidRDefault="006F6EB2" w:rsidP="00ED22C7">
      <w:pPr>
        <w:spacing w:after="840"/>
        <w:ind w:left="-86"/>
        <w:jc w:val="center"/>
        <w:rPr>
          <w:noProof/>
        </w:rPr>
      </w:pPr>
      <w:r w:rsidRPr="001020AA">
        <w:rPr>
          <w:rFonts w:ascii="Times New Roman" w:eastAsia="Times New Roman" w:hAnsi="Times New Roman" w:cs="Times New Roman"/>
          <w:b/>
          <w:bCs/>
          <w:color w:val="000000"/>
          <w:sz w:val="72"/>
          <w:szCs w:val="72"/>
        </w:rPr>
        <w:t>ADULT EDUCATION PROGRAM MANAGER RESPONSIBILITIES MANUAL</w:t>
      </w:r>
      <w:r w:rsidR="002715DF" w:rsidRPr="002715DF">
        <w:rPr>
          <w:noProof/>
        </w:rPr>
        <w:t xml:space="preserve"> </w:t>
      </w:r>
    </w:p>
    <w:p w14:paraId="7907BC7D" w14:textId="77777777" w:rsidR="00900D66" w:rsidRDefault="00900D66" w:rsidP="00ED22C7">
      <w:pPr>
        <w:spacing w:after="840"/>
        <w:ind w:left="-86"/>
        <w:jc w:val="center"/>
        <w:rPr>
          <w:noProof/>
        </w:rPr>
      </w:pPr>
    </w:p>
    <w:p w14:paraId="22C4B28A" w14:textId="73990C49" w:rsidR="00F7382E" w:rsidRDefault="00900D66" w:rsidP="00A4418A">
      <w:pPr>
        <w:spacing w:after="200"/>
        <w:ind w:left="-1350"/>
        <w:jc w:val="center"/>
        <w:rPr>
          <w:noProof/>
        </w:rPr>
      </w:pPr>
      <w:r>
        <w:rPr>
          <w:noProof/>
        </w:rPr>
        <w:drawing>
          <wp:inline distT="0" distB="0" distL="0" distR="0" wp14:anchorId="5924A661" wp14:editId="715DA6B7">
            <wp:extent cx="7636835" cy="1403350"/>
            <wp:effectExtent l="0" t="0" r="2540" b="6350"/>
            <wp:docPr id="963994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0771" cy="1404073"/>
                    </a:xfrm>
                    <a:prstGeom prst="rect">
                      <a:avLst/>
                    </a:prstGeom>
                    <a:noFill/>
                    <a:ln>
                      <a:noFill/>
                    </a:ln>
                  </pic:spPr>
                </pic:pic>
              </a:graphicData>
            </a:graphic>
          </wp:inline>
        </w:drawing>
      </w:r>
    </w:p>
    <w:p w14:paraId="147CD40B" w14:textId="63A3ECEA" w:rsidR="00F7382E" w:rsidRDefault="00F7382E" w:rsidP="00F7382E">
      <w:pPr>
        <w:spacing w:after="200"/>
        <w:ind w:left="-86"/>
        <w:jc w:val="center"/>
        <w:rPr>
          <w:noProof/>
        </w:rPr>
        <w:sectPr w:rsidR="00F7382E" w:rsidSect="00920462">
          <w:headerReference w:type="default" r:id="rId11"/>
          <w:footerReference w:type="default" r:id="rId12"/>
          <w:type w:val="continuous"/>
          <w:pgSz w:w="12240" w:h="15840"/>
          <w:pgMar w:top="1440" w:right="1440" w:bottom="1440" w:left="1440" w:header="720" w:footer="720" w:gutter="0"/>
          <w:pgNumType w:start="0"/>
          <w:cols w:space="720"/>
          <w:titlePg/>
        </w:sectPr>
      </w:pPr>
    </w:p>
    <w:p w14:paraId="6E8A4D2A" w14:textId="38D6F841" w:rsidR="00D570E2" w:rsidRPr="000852EA" w:rsidRDefault="00F7382E" w:rsidP="00E24753">
      <w:pPr>
        <w:spacing w:before="40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w:t>
      </w:r>
      <w:r w:rsidR="00D570E2" w:rsidRPr="000852EA">
        <w:rPr>
          <w:rFonts w:ascii="Times New Roman" w:hAnsi="Times New Roman" w:cs="Times New Roman"/>
          <w:b/>
          <w:bCs/>
          <w:sz w:val="28"/>
          <w:szCs w:val="28"/>
        </w:rPr>
        <w:t>ommonwealth of Virginia</w:t>
      </w:r>
    </w:p>
    <w:p w14:paraId="72314ED2" w14:textId="2B4B3302" w:rsidR="00D570E2" w:rsidRPr="000852EA" w:rsidRDefault="00D570E2" w:rsidP="00D570E2">
      <w:pPr>
        <w:spacing w:after="0" w:line="240" w:lineRule="auto"/>
        <w:jc w:val="center"/>
        <w:rPr>
          <w:rFonts w:ascii="Times New Roman" w:hAnsi="Times New Roman" w:cs="Times New Roman"/>
          <w:b/>
          <w:bCs/>
          <w:sz w:val="28"/>
          <w:szCs w:val="28"/>
        </w:rPr>
      </w:pPr>
      <w:r w:rsidRPr="000852EA">
        <w:rPr>
          <w:rFonts w:ascii="Times New Roman" w:hAnsi="Times New Roman" w:cs="Times New Roman"/>
          <w:b/>
          <w:bCs/>
          <w:sz w:val="28"/>
          <w:szCs w:val="28"/>
        </w:rPr>
        <w:t>Department of</w:t>
      </w:r>
      <w:r w:rsidRPr="000852EA">
        <w:rPr>
          <w:rFonts w:ascii="Times New Roman" w:hAnsi="Times New Roman"/>
          <w:b/>
          <w:sz w:val="28"/>
          <w:szCs w:val="20"/>
        </w:rPr>
        <w:t xml:space="preserve"> Education</w:t>
      </w:r>
    </w:p>
    <w:p w14:paraId="7BC2EB2E" w14:textId="2F76CA7D" w:rsidR="00D570E2" w:rsidRPr="007A2979" w:rsidRDefault="00D570E2" w:rsidP="00D570E2">
      <w:pPr>
        <w:spacing w:after="0" w:line="240" w:lineRule="auto"/>
        <w:jc w:val="center"/>
        <w:rPr>
          <w:rFonts w:ascii="Times New Roman" w:hAnsi="Times New Roman" w:cs="Times New Roman"/>
          <w:b/>
          <w:bCs/>
          <w:sz w:val="28"/>
          <w:szCs w:val="28"/>
        </w:rPr>
      </w:pPr>
      <w:r w:rsidRPr="007A2979">
        <w:rPr>
          <w:rFonts w:ascii="Times New Roman" w:hAnsi="Times New Roman" w:cs="Times New Roman"/>
          <w:b/>
          <w:bCs/>
          <w:sz w:val="28"/>
          <w:szCs w:val="28"/>
        </w:rPr>
        <w:t>P.O. Box 2120</w:t>
      </w:r>
    </w:p>
    <w:p w14:paraId="6F12E88C" w14:textId="3071A594" w:rsidR="00D570E2" w:rsidRPr="007A2979" w:rsidRDefault="00D570E2" w:rsidP="00D570E2">
      <w:pPr>
        <w:spacing w:after="0" w:line="240" w:lineRule="auto"/>
        <w:jc w:val="center"/>
        <w:rPr>
          <w:rFonts w:ascii="Times New Roman" w:hAnsi="Times New Roman" w:cs="Times New Roman"/>
          <w:b/>
          <w:bCs/>
          <w:sz w:val="28"/>
          <w:szCs w:val="28"/>
        </w:rPr>
      </w:pPr>
      <w:r w:rsidRPr="007A2979">
        <w:rPr>
          <w:rFonts w:ascii="Times New Roman" w:hAnsi="Times New Roman" w:cs="Times New Roman"/>
          <w:b/>
          <w:bCs/>
          <w:sz w:val="28"/>
          <w:szCs w:val="28"/>
        </w:rPr>
        <w:t>Richmond, Virginia 23218-2120</w:t>
      </w:r>
    </w:p>
    <w:p w14:paraId="00000001" w14:textId="0B0D2D15" w:rsidR="005C3F47" w:rsidRPr="00F7382E" w:rsidRDefault="00EC0438" w:rsidP="00F7382E">
      <w:pPr>
        <w:spacing w:after="0" w:line="240" w:lineRule="auto"/>
        <w:jc w:val="center"/>
        <w:rPr>
          <w:rFonts w:ascii="Times New Roman" w:hAnsi="Times New Roman" w:cs="Times New Roman"/>
        </w:rPr>
        <w:sectPr w:rsidR="005C3F47" w:rsidRPr="00F7382E" w:rsidSect="00920462">
          <w:type w:val="continuous"/>
          <w:pgSz w:w="12240" w:h="15840"/>
          <w:pgMar w:top="1440" w:right="1440" w:bottom="1440" w:left="1440" w:header="720" w:footer="720" w:gutter="0"/>
          <w:pgNumType w:start="0"/>
          <w:cols w:space="720"/>
          <w:titlePg/>
        </w:sectPr>
      </w:pPr>
      <w:r>
        <w:rPr>
          <w:rFonts w:ascii="Times New Roman" w:hAnsi="Times New Roman" w:cs="Times New Roman"/>
          <w:b/>
          <w:bCs/>
          <w:sz w:val="28"/>
          <w:szCs w:val="28"/>
        </w:rPr>
        <w:t>August</w:t>
      </w:r>
      <w:r w:rsidR="00C07935">
        <w:rPr>
          <w:rFonts w:ascii="Times New Roman" w:hAnsi="Times New Roman" w:cs="Times New Roman"/>
          <w:b/>
          <w:bCs/>
          <w:sz w:val="28"/>
          <w:szCs w:val="28"/>
        </w:rPr>
        <w:t xml:space="preserve"> 202</w:t>
      </w:r>
      <w:r w:rsidR="00914B75">
        <w:rPr>
          <w:rFonts w:ascii="Times New Roman" w:hAnsi="Times New Roman" w:cs="Times New Roman"/>
          <w:b/>
          <w:bCs/>
          <w:sz w:val="28"/>
          <w:szCs w:val="28"/>
        </w:rPr>
        <w:t>4</w:t>
      </w:r>
    </w:p>
    <w:sdt>
      <w:sdtPr>
        <w:rPr>
          <w:rFonts w:ascii="Calibri" w:hAnsi="Calibri" w:cs="Calibri"/>
          <w:b w:val="0"/>
          <w:bCs w:val="0"/>
          <w:noProof w:val="0"/>
          <w:sz w:val="22"/>
          <w:szCs w:val="22"/>
        </w:rPr>
        <w:id w:val="204617778"/>
        <w:docPartObj>
          <w:docPartGallery w:val="Table of Contents"/>
          <w:docPartUnique/>
        </w:docPartObj>
      </w:sdtPr>
      <w:sdtEndPr>
        <w:rPr>
          <w:rFonts w:ascii="Times New Roman" w:hAnsi="Times New Roman" w:cs="Times New Roman"/>
        </w:rPr>
      </w:sdtEndPr>
      <w:sdtContent>
        <w:p w14:paraId="25843E26" w14:textId="1050644E" w:rsidR="00A305C6" w:rsidRPr="00A305C6" w:rsidRDefault="00BF5CDA">
          <w:pPr>
            <w:pStyle w:val="TOC2"/>
            <w:rPr>
              <w:rFonts w:eastAsiaTheme="minorEastAsia"/>
              <w:b w:val="0"/>
              <w:bCs w:val="0"/>
              <w:kern w:val="2"/>
              <w:sz w:val="24"/>
              <w:szCs w:val="24"/>
              <w14:ligatures w14:val="standardContextual"/>
            </w:rPr>
          </w:pPr>
          <w:r w:rsidRPr="00A305C6">
            <w:rPr>
              <w:sz w:val="32"/>
              <w:szCs w:val="32"/>
            </w:rPr>
            <w:fldChar w:fldCharType="begin"/>
          </w:r>
          <w:r w:rsidRPr="00A305C6">
            <w:rPr>
              <w:sz w:val="32"/>
              <w:szCs w:val="32"/>
            </w:rPr>
            <w:instrText xml:space="preserve"> TOC \h \u \z </w:instrText>
          </w:r>
          <w:r w:rsidRPr="00A305C6">
            <w:rPr>
              <w:sz w:val="32"/>
              <w:szCs w:val="32"/>
            </w:rPr>
            <w:fldChar w:fldCharType="separate"/>
          </w:r>
          <w:hyperlink w:anchor="_Toc174088815" w:history="1">
            <w:r w:rsidR="00A305C6" w:rsidRPr="00A305C6">
              <w:rPr>
                <w:rStyle w:val="Hyperlink"/>
              </w:rPr>
              <w:t>I.</w:t>
            </w:r>
            <w:r w:rsidR="00A305C6" w:rsidRPr="00A305C6">
              <w:rPr>
                <w:rFonts w:eastAsiaTheme="minorEastAsia"/>
                <w:b w:val="0"/>
                <w:bCs w:val="0"/>
                <w:kern w:val="2"/>
                <w:sz w:val="24"/>
                <w:szCs w:val="24"/>
                <w14:ligatures w14:val="standardContextual"/>
              </w:rPr>
              <w:tab/>
            </w:r>
            <w:r w:rsidR="00A305C6" w:rsidRPr="00A305C6">
              <w:rPr>
                <w:rStyle w:val="Hyperlink"/>
              </w:rPr>
              <w:t>PURPOSE AND PARTICIPANT ELIGIBILITY</w:t>
            </w:r>
            <w:r w:rsidR="00A305C6" w:rsidRPr="00A305C6">
              <w:rPr>
                <w:webHidden/>
              </w:rPr>
              <w:tab/>
            </w:r>
            <w:r w:rsidR="00A305C6" w:rsidRPr="00A305C6">
              <w:rPr>
                <w:webHidden/>
              </w:rPr>
              <w:fldChar w:fldCharType="begin"/>
            </w:r>
            <w:r w:rsidR="00A305C6" w:rsidRPr="00A305C6">
              <w:rPr>
                <w:webHidden/>
              </w:rPr>
              <w:instrText xml:space="preserve"> PAGEREF _Toc174088815 \h </w:instrText>
            </w:r>
            <w:r w:rsidR="00A305C6" w:rsidRPr="00A305C6">
              <w:rPr>
                <w:webHidden/>
              </w:rPr>
            </w:r>
            <w:r w:rsidR="00A305C6" w:rsidRPr="00A305C6">
              <w:rPr>
                <w:webHidden/>
              </w:rPr>
              <w:fldChar w:fldCharType="separate"/>
            </w:r>
            <w:r w:rsidR="00A305C6" w:rsidRPr="00A305C6">
              <w:rPr>
                <w:webHidden/>
              </w:rPr>
              <w:t>I-1</w:t>
            </w:r>
            <w:r w:rsidR="00A305C6" w:rsidRPr="00A305C6">
              <w:rPr>
                <w:webHidden/>
              </w:rPr>
              <w:fldChar w:fldCharType="end"/>
            </w:r>
          </w:hyperlink>
        </w:p>
        <w:p w14:paraId="5D510774" w14:textId="0272B086" w:rsidR="00A305C6" w:rsidRPr="00A305C6" w:rsidRDefault="00B73E9E">
          <w:pPr>
            <w:pStyle w:val="TOC2"/>
            <w:rPr>
              <w:rFonts w:eastAsiaTheme="minorEastAsia"/>
              <w:b w:val="0"/>
              <w:bCs w:val="0"/>
              <w:kern w:val="2"/>
              <w:sz w:val="24"/>
              <w:szCs w:val="24"/>
              <w14:ligatures w14:val="standardContextual"/>
            </w:rPr>
          </w:pPr>
          <w:hyperlink w:anchor="_Toc174088816" w:history="1">
            <w:r w:rsidR="00A305C6" w:rsidRPr="00A305C6">
              <w:rPr>
                <w:rStyle w:val="Hyperlink"/>
              </w:rPr>
              <w:t>II.</w:t>
            </w:r>
            <w:r w:rsidR="00A305C6" w:rsidRPr="00A305C6">
              <w:rPr>
                <w:rFonts w:eastAsiaTheme="minorEastAsia"/>
                <w:b w:val="0"/>
                <w:bCs w:val="0"/>
                <w:kern w:val="2"/>
                <w:sz w:val="24"/>
                <w:szCs w:val="24"/>
                <w14:ligatures w14:val="standardContextual"/>
              </w:rPr>
              <w:tab/>
            </w:r>
            <w:r w:rsidR="00A305C6" w:rsidRPr="00A305C6">
              <w:rPr>
                <w:rStyle w:val="Hyperlink"/>
              </w:rPr>
              <w:t>OVERVIEW OF FEDERAL AND STATE REGULATIONS</w:t>
            </w:r>
            <w:r w:rsidR="00A305C6" w:rsidRPr="00A305C6">
              <w:rPr>
                <w:webHidden/>
              </w:rPr>
              <w:tab/>
            </w:r>
            <w:r w:rsidR="00A305C6" w:rsidRPr="00A305C6">
              <w:rPr>
                <w:webHidden/>
              </w:rPr>
              <w:fldChar w:fldCharType="begin"/>
            </w:r>
            <w:r w:rsidR="00A305C6" w:rsidRPr="00A305C6">
              <w:rPr>
                <w:webHidden/>
              </w:rPr>
              <w:instrText xml:space="preserve"> PAGEREF _Toc174088816 \h </w:instrText>
            </w:r>
            <w:r w:rsidR="00A305C6" w:rsidRPr="00A305C6">
              <w:rPr>
                <w:webHidden/>
              </w:rPr>
            </w:r>
            <w:r w:rsidR="00A305C6" w:rsidRPr="00A305C6">
              <w:rPr>
                <w:webHidden/>
              </w:rPr>
              <w:fldChar w:fldCharType="separate"/>
            </w:r>
            <w:r w:rsidR="00A305C6" w:rsidRPr="00A305C6">
              <w:rPr>
                <w:webHidden/>
              </w:rPr>
              <w:t>II-1</w:t>
            </w:r>
            <w:r w:rsidR="00A305C6" w:rsidRPr="00A305C6">
              <w:rPr>
                <w:webHidden/>
              </w:rPr>
              <w:fldChar w:fldCharType="end"/>
            </w:r>
          </w:hyperlink>
        </w:p>
        <w:p w14:paraId="0897CA35" w14:textId="25C1A3D4" w:rsidR="00A305C6" w:rsidRPr="00A305C6" w:rsidRDefault="00B73E9E">
          <w:pPr>
            <w:pStyle w:val="TOC3"/>
            <w:rPr>
              <w:rFonts w:eastAsiaTheme="minorEastAsia"/>
              <w:kern w:val="2"/>
              <w14:ligatures w14:val="standardContextual"/>
            </w:rPr>
          </w:pPr>
          <w:hyperlink w:anchor="_Toc174088817" w:history="1">
            <w:r w:rsidR="00A305C6" w:rsidRPr="00A305C6">
              <w:rPr>
                <w:rStyle w:val="Hyperlink"/>
              </w:rPr>
              <w:t>Federal Legislation and Regulations</w:t>
            </w:r>
            <w:r w:rsidR="00A305C6" w:rsidRPr="00A305C6">
              <w:rPr>
                <w:webHidden/>
              </w:rPr>
              <w:tab/>
            </w:r>
            <w:r w:rsidR="00A305C6" w:rsidRPr="00A305C6">
              <w:rPr>
                <w:webHidden/>
              </w:rPr>
              <w:fldChar w:fldCharType="begin"/>
            </w:r>
            <w:r w:rsidR="00A305C6" w:rsidRPr="00A305C6">
              <w:rPr>
                <w:webHidden/>
              </w:rPr>
              <w:instrText xml:space="preserve"> PAGEREF _Toc174088817 \h </w:instrText>
            </w:r>
            <w:r w:rsidR="00A305C6" w:rsidRPr="00A305C6">
              <w:rPr>
                <w:webHidden/>
              </w:rPr>
            </w:r>
            <w:r w:rsidR="00A305C6" w:rsidRPr="00A305C6">
              <w:rPr>
                <w:webHidden/>
              </w:rPr>
              <w:fldChar w:fldCharType="separate"/>
            </w:r>
            <w:r w:rsidR="00A305C6" w:rsidRPr="00A305C6">
              <w:rPr>
                <w:webHidden/>
              </w:rPr>
              <w:t>II-1</w:t>
            </w:r>
            <w:r w:rsidR="00A305C6" w:rsidRPr="00A305C6">
              <w:rPr>
                <w:webHidden/>
              </w:rPr>
              <w:fldChar w:fldCharType="end"/>
            </w:r>
          </w:hyperlink>
        </w:p>
        <w:p w14:paraId="4234F74B" w14:textId="60F8340B"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18" w:history="1">
            <w:r w:rsidR="00A305C6" w:rsidRPr="00A305C6">
              <w:rPr>
                <w:rStyle w:val="Hyperlink"/>
                <w:rFonts w:ascii="Times New Roman" w:hAnsi="Times New Roman" w:cs="Times New Roman"/>
                <w:noProof/>
              </w:rPr>
              <w:t>The Workforce Innovation and Opportunity Act (WIOA)</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_Toc174088818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II-1</w:t>
            </w:r>
            <w:r w:rsidR="00A305C6" w:rsidRPr="00A305C6">
              <w:rPr>
                <w:rFonts w:ascii="Times New Roman" w:hAnsi="Times New Roman" w:cs="Times New Roman"/>
                <w:noProof/>
                <w:webHidden/>
              </w:rPr>
              <w:fldChar w:fldCharType="end"/>
            </w:r>
          </w:hyperlink>
        </w:p>
        <w:p w14:paraId="04FFE040" w14:textId="72EE3D05"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19" w:history="1">
            <w:r w:rsidR="00A305C6" w:rsidRPr="00A305C6">
              <w:rPr>
                <w:rStyle w:val="Hyperlink"/>
                <w:rFonts w:ascii="Times New Roman" w:hAnsi="Times New Roman" w:cs="Times New Roman"/>
                <w:noProof/>
              </w:rPr>
              <w:t>Uniform Guidance</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_Toc174088819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II-2</w:t>
            </w:r>
            <w:r w:rsidR="00A305C6" w:rsidRPr="00A305C6">
              <w:rPr>
                <w:rFonts w:ascii="Times New Roman" w:hAnsi="Times New Roman" w:cs="Times New Roman"/>
                <w:noProof/>
                <w:webHidden/>
              </w:rPr>
              <w:fldChar w:fldCharType="end"/>
            </w:r>
          </w:hyperlink>
        </w:p>
        <w:p w14:paraId="674AAF38" w14:textId="32CCA160"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20" w:history="1">
            <w:r w:rsidR="00A305C6" w:rsidRPr="00A305C6">
              <w:rPr>
                <w:rStyle w:val="Hyperlink"/>
                <w:rFonts w:ascii="Times New Roman" w:hAnsi="Times New Roman" w:cs="Times New Roman"/>
                <w:noProof/>
              </w:rPr>
              <w:t>Family Educational Rights and Privacy Act (FERPA)</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_Toc174088820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II-3</w:t>
            </w:r>
            <w:r w:rsidR="00A305C6" w:rsidRPr="00A305C6">
              <w:rPr>
                <w:rFonts w:ascii="Times New Roman" w:hAnsi="Times New Roman" w:cs="Times New Roman"/>
                <w:noProof/>
                <w:webHidden/>
              </w:rPr>
              <w:fldChar w:fldCharType="end"/>
            </w:r>
          </w:hyperlink>
        </w:p>
        <w:p w14:paraId="3730EB7C" w14:textId="40644C65"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21" w:history="1">
            <w:r w:rsidR="00A305C6" w:rsidRPr="00A305C6">
              <w:rPr>
                <w:rStyle w:val="Hyperlink"/>
                <w:rFonts w:ascii="Times New Roman" w:hAnsi="Times New Roman" w:cs="Times New Roman"/>
                <w:noProof/>
              </w:rPr>
              <w:t>General Education Provisions Act (GEPA)</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_Toc174088821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II-3</w:t>
            </w:r>
            <w:r w:rsidR="00A305C6" w:rsidRPr="00A305C6">
              <w:rPr>
                <w:rFonts w:ascii="Times New Roman" w:hAnsi="Times New Roman" w:cs="Times New Roman"/>
                <w:noProof/>
                <w:webHidden/>
              </w:rPr>
              <w:fldChar w:fldCharType="end"/>
            </w:r>
          </w:hyperlink>
        </w:p>
        <w:p w14:paraId="6AC6BC5A" w14:textId="68424DD1"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22" w:history="1">
            <w:r w:rsidR="00A305C6" w:rsidRPr="00A305C6">
              <w:rPr>
                <w:rStyle w:val="Hyperlink"/>
                <w:rFonts w:ascii="Times New Roman" w:hAnsi="Times New Roman" w:cs="Times New Roman"/>
                <w:noProof/>
              </w:rPr>
              <w:t>American Disabilities Act (ADA) as Amended</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_Toc174088822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II-4</w:t>
            </w:r>
            <w:r w:rsidR="00A305C6" w:rsidRPr="00A305C6">
              <w:rPr>
                <w:rFonts w:ascii="Times New Roman" w:hAnsi="Times New Roman" w:cs="Times New Roman"/>
                <w:noProof/>
                <w:webHidden/>
              </w:rPr>
              <w:fldChar w:fldCharType="end"/>
            </w:r>
          </w:hyperlink>
        </w:p>
        <w:p w14:paraId="6534AD66" w14:textId="736C4896"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23" w:history="1">
            <w:r w:rsidR="00A305C6" w:rsidRPr="00A305C6">
              <w:rPr>
                <w:rStyle w:val="Hyperlink"/>
                <w:rFonts w:ascii="Times New Roman" w:hAnsi="Times New Roman" w:cs="Times New Roman"/>
                <w:noProof/>
              </w:rPr>
              <w:t>Certifications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_Toc174088823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II-4</w:t>
            </w:r>
            <w:r w:rsidR="00A305C6" w:rsidRPr="00A305C6">
              <w:rPr>
                <w:rFonts w:ascii="Times New Roman" w:hAnsi="Times New Roman" w:cs="Times New Roman"/>
                <w:noProof/>
                <w:webHidden/>
              </w:rPr>
              <w:fldChar w:fldCharType="end"/>
            </w:r>
          </w:hyperlink>
        </w:p>
        <w:p w14:paraId="30ED00B1" w14:textId="14E610A3" w:rsidR="00A305C6" w:rsidRPr="00A305C6" w:rsidRDefault="00B73E9E">
          <w:pPr>
            <w:pStyle w:val="TOC3"/>
            <w:rPr>
              <w:rFonts w:eastAsiaTheme="minorEastAsia"/>
              <w:kern w:val="2"/>
              <w14:ligatures w14:val="standardContextual"/>
            </w:rPr>
          </w:pPr>
          <w:hyperlink w:anchor="_Toc174088824" w:history="1">
            <w:r w:rsidR="00A305C6" w:rsidRPr="00A305C6">
              <w:rPr>
                <w:rStyle w:val="Hyperlink"/>
              </w:rPr>
              <w:t>State Code and Regulations</w:t>
            </w:r>
            <w:r w:rsidR="00A305C6" w:rsidRPr="00A305C6">
              <w:rPr>
                <w:webHidden/>
              </w:rPr>
              <w:tab/>
            </w:r>
            <w:r w:rsidR="00A305C6" w:rsidRPr="00A305C6">
              <w:rPr>
                <w:webHidden/>
              </w:rPr>
              <w:fldChar w:fldCharType="begin"/>
            </w:r>
            <w:r w:rsidR="00A305C6" w:rsidRPr="00A305C6">
              <w:rPr>
                <w:webHidden/>
              </w:rPr>
              <w:instrText xml:space="preserve"> PAGEREF _Toc174088824 \h </w:instrText>
            </w:r>
            <w:r w:rsidR="00A305C6" w:rsidRPr="00A305C6">
              <w:rPr>
                <w:webHidden/>
              </w:rPr>
            </w:r>
            <w:r w:rsidR="00A305C6" w:rsidRPr="00A305C6">
              <w:rPr>
                <w:webHidden/>
              </w:rPr>
              <w:fldChar w:fldCharType="separate"/>
            </w:r>
            <w:r w:rsidR="00A305C6" w:rsidRPr="00A305C6">
              <w:rPr>
                <w:webHidden/>
              </w:rPr>
              <w:t>II-4</w:t>
            </w:r>
            <w:r w:rsidR="00A305C6" w:rsidRPr="00A305C6">
              <w:rPr>
                <w:webHidden/>
              </w:rPr>
              <w:fldChar w:fldCharType="end"/>
            </w:r>
          </w:hyperlink>
        </w:p>
        <w:p w14:paraId="0F404997" w14:textId="57DC4000"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25" w:history="1">
            <w:r w:rsidR="00A305C6" w:rsidRPr="00A305C6">
              <w:rPr>
                <w:rStyle w:val="Hyperlink"/>
                <w:rFonts w:ascii="Times New Roman" w:hAnsi="Times New Roman" w:cs="Times New Roman"/>
                <w:noProof/>
              </w:rPr>
              <w:t>The Code of Virginia</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_Toc174088825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II-5</w:t>
            </w:r>
            <w:r w:rsidR="00A305C6" w:rsidRPr="00A305C6">
              <w:rPr>
                <w:rFonts w:ascii="Times New Roman" w:hAnsi="Times New Roman" w:cs="Times New Roman"/>
                <w:noProof/>
                <w:webHidden/>
              </w:rPr>
              <w:fldChar w:fldCharType="end"/>
            </w:r>
          </w:hyperlink>
        </w:p>
        <w:p w14:paraId="3053DDAE" w14:textId="0252164A"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26" w:history="1">
            <w:r w:rsidR="00A305C6" w:rsidRPr="00A305C6">
              <w:rPr>
                <w:rStyle w:val="Hyperlink"/>
                <w:rFonts w:ascii="Times New Roman" w:hAnsi="Times New Roman" w:cs="Times New Roman"/>
                <w:noProof/>
              </w:rPr>
              <w:t>Virginia Acts of Assembly Biennial Budget</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_Toc174088826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II-5</w:t>
            </w:r>
            <w:r w:rsidR="00A305C6" w:rsidRPr="00A305C6">
              <w:rPr>
                <w:rFonts w:ascii="Times New Roman" w:hAnsi="Times New Roman" w:cs="Times New Roman"/>
                <w:noProof/>
                <w:webHidden/>
              </w:rPr>
              <w:fldChar w:fldCharType="end"/>
            </w:r>
          </w:hyperlink>
        </w:p>
        <w:p w14:paraId="1C6C1C0D" w14:textId="4D5BCA07"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27" w:history="1">
            <w:r w:rsidR="00A305C6" w:rsidRPr="00A305C6">
              <w:rPr>
                <w:rStyle w:val="Hyperlink"/>
                <w:rFonts w:ascii="Times New Roman" w:hAnsi="Times New Roman" w:cs="Times New Roman"/>
                <w:noProof/>
              </w:rPr>
              <w:t>Statement of Assurances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_Toc174088827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II-5</w:t>
            </w:r>
            <w:r w:rsidR="00A305C6" w:rsidRPr="00A305C6">
              <w:rPr>
                <w:rFonts w:ascii="Times New Roman" w:hAnsi="Times New Roman" w:cs="Times New Roman"/>
                <w:noProof/>
                <w:webHidden/>
              </w:rPr>
              <w:fldChar w:fldCharType="end"/>
            </w:r>
          </w:hyperlink>
        </w:p>
        <w:p w14:paraId="7A7CEF44" w14:textId="4C63B3A0"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28" w:history="1">
            <w:r w:rsidR="00A305C6" w:rsidRPr="00A305C6">
              <w:rPr>
                <w:rStyle w:val="Hyperlink"/>
                <w:rFonts w:ascii="Times New Roman" w:hAnsi="Times New Roman" w:cs="Times New Roman"/>
                <w:noProof/>
              </w:rPr>
              <w:t>Records Retention Policy of the Library of Virginia</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_Toc174088828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II-6</w:t>
            </w:r>
            <w:r w:rsidR="00A305C6" w:rsidRPr="00A305C6">
              <w:rPr>
                <w:rFonts w:ascii="Times New Roman" w:hAnsi="Times New Roman" w:cs="Times New Roman"/>
                <w:noProof/>
                <w:webHidden/>
              </w:rPr>
              <w:fldChar w:fldCharType="end"/>
            </w:r>
          </w:hyperlink>
        </w:p>
        <w:p w14:paraId="25F40E06" w14:textId="1433FDBE"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29" w:history="1">
            <w:r w:rsidR="00A305C6" w:rsidRPr="00A305C6">
              <w:rPr>
                <w:rStyle w:val="Hyperlink"/>
                <w:rFonts w:ascii="Times New Roman" w:hAnsi="Times New Roman" w:cs="Times New Roman"/>
                <w:noProof/>
              </w:rPr>
              <w:t>Travel Policy</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_Toc174088829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II-6</w:t>
            </w:r>
            <w:r w:rsidR="00A305C6" w:rsidRPr="00A305C6">
              <w:rPr>
                <w:rFonts w:ascii="Times New Roman" w:hAnsi="Times New Roman" w:cs="Times New Roman"/>
                <w:noProof/>
                <w:webHidden/>
              </w:rPr>
              <w:fldChar w:fldCharType="end"/>
            </w:r>
          </w:hyperlink>
        </w:p>
        <w:p w14:paraId="1ECABBA5" w14:textId="67A93304"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30" w:history="1">
            <w:r w:rsidR="00A305C6" w:rsidRPr="00A305C6">
              <w:rPr>
                <w:rStyle w:val="Hyperlink"/>
                <w:rFonts w:ascii="Times New Roman" w:hAnsi="Times New Roman" w:cs="Times New Roman"/>
                <w:noProof/>
              </w:rPr>
              <w:t>VDOE Grant Special Terms and Conditions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_Toc174088830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II-6</w:t>
            </w:r>
            <w:r w:rsidR="00A305C6" w:rsidRPr="00A305C6">
              <w:rPr>
                <w:rFonts w:ascii="Times New Roman" w:hAnsi="Times New Roman" w:cs="Times New Roman"/>
                <w:noProof/>
                <w:webHidden/>
              </w:rPr>
              <w:fldChar w:fldCharType="end"/>
            </w:r>
          </w:hyperlink>
        </w:p>
        <w:p w14:paraId="628D7D02" w14:textId="015EAAED"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31" w:history="1">
            <w:r w:rsidR="00A305C6" w:rsidRPr="00A305C6">
              <w:rPr>
                <w:rStyle w:val="Hyperlink"/>
                <w:rFonts w:ascii="Times New Roman" w:hAnsi="Times New Roman" w:cs="Times New Roman"/>
                <w:noProof/>
              </w:rPr>
              <w:t>Copyright and Fair Use Policies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_Toc174088831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II-7</w:t>
            </w:r>
            <w:r w:rsidR="00A305C6" w:rsidRPr="00A305C6">
              <w:rPr>
                <w:rFonts w:ascii="Times New Roman" w:hAnsi="Times New Roman" w:cs="Times New Roman"/>
                <w:noProof/>
                <w:webHidden/>
              </w:rPr>
              <w:fldChar w:fldCharType="end"/>
            </w:r>
          </w:hyperlink>
        </w:p>
        <w:p w14:paraId="6901AE49" w14:textId="3D5E5185" w:rsidR="00A305C6" w:rsidRPr="00A305C6" w:rsidRDefault="00B73E9E">
          <w:pPr>
            <w:pStyle w:val="TOC2"/>
            <w:rPr>
              <w:rFonts w:eastAsiaTheme="minorEastAsia"/>
              <w:b w:val="0"/>
              <w:bCs w:val="0"/>
              <w:kern w:val="2"/>
              <w:sz w:val="24"/>
              <w:szCs w:val="24"/>
              <w14:ligatures w14:val="standardContextual"/>
            </w:rPr>
          </w:pPr>
          <w:hyperlink w:anchor="_Toc174088832" w:history="1">
            <w:r w:rsidR="00A305C6" w:rsidRPr="00A305C6">
              <w:rPr>
                <w:rStyle w:val="Hyperlink"/>
              </w:rPr>
              <w:t>III.</w:t>
            </w:r>
            <w:r w:rsidR="00A305C6" w:rsidRPr="00A305C6">
              <w:rPr>
                <w:rFonts w:eastAsiaTheme="minorEastAsia"/>
                <w:b w:val="0"/>
                <w:bCs w:val="0"/>
                <w:kern w:val="2"/>
                <w:sz w:val="24"/>
                <w:szCs w:val="24"/>
                <w14:ligatures w14:val="standardContextual"/>
              </w:rPr>
              <w:tab/>
            </w:r>
            <w:r w:rsidR="00A305C6" w:rsidRPr="00A305C6">
              <w:rPr>
                <w:rStyle w:val="Hyperlink"/>
              </w:rPr>
              <w:t>MANAGING FEDERAL AND STATE BUDGETS</w:t>
            </w:r>
            <w:r w:rsidR="00A305C6" w:rsidRPr="00A305C6">
              <w:rPr>
                <w:webHidden/>
              </w:rPr>
              <w:tab/>
            </w:r>
            <w:r w:rsidR="00A305C6" w:rsidRPr="00A305C6">
              <w:rPr>
                <w:webHidden/>
              </w:rPr>
              <w:fldChar w:fldCharType="begin"/>
            </w:r>
            <w:r w:rsidR="00A305C6" w:rsidRPr="00A305C6">
              <w:rPr>
                <w:webHidden/>
              </w:rPr>
              <w:instrText xml:space="preserve"> PAGEREF _Toc174088832 \h </w:instrText>
            </w:r>
            <w:r w:rsidR="00A305C6" w:rsidRPr="00A305C6">
              <w:rPr>
                <w:webHidden/>
              </w:rPr>
            </w:r>
            <w:r w:rsidR="00A305C6" w:rsidRPr="00A305C6">
              <w:rPr>
                <w:webHidden/>
              </w:rPr>
              <w:fldChar w:fldCharType="separate"/>
            </w:r>
            <w:r w:rsidR="00A305C6" w:rsidRPr="00A305C6">
              <w:rPr>
                <w:webHidden/>
              </w:rPr>
              <w:t>III-8</w:t>
            </w:r>
            <w:r w:rsidR="00A305C6" w:rsidRPr="00A305C6">
              <w:rPr>
                <w:webHidden/>
              </w:rPr>
              <w:fldChar w:fldCharType="end"/>
            </w:r>
          </w:hyperlink>
        </w:p>
        <w:p w14:paraId="00880A54" w14:textId="7BCE8B77" w:rsidR="00A305C6" w:rsidRPr="00A305C6" w:rsidRDefault="00B73E9E">
          <w:pPr>
            <w:pStyle w:val="TOC3"/>
            <w:rPr>
              <w:rFonts w:eastAsiaTheme="minorEastAsia"/>
              <w:kern w:val="2"/>
              <w14:ligatures w14:val="standardContextual"/>
            </w:rPr>
          </w:pPr>
          <w:hyperlink w:anchor="_Toc174088833" w:history="1">
            <w:r w:rsidR="00A305C6" w:rsidRPr="00A305C6">
              <w:rPr>
                <w:rStyle w:val="Hyperlink"/>
              </w:rPr>
              <w:t>Federal and State Funding Streams</w:t>
            </w:r>
            <w:r w:rsidR="00A305C6" w:rsidRPr="00A305C6">
              <w:rPr>
                <w:webHidden/>
              </w:rPr>
              <w:tab/>
            </w:r>
            <w:r w:rsidR="00A305C6" w:rsidRPr="00A305C6">
              <w:rPr>
                <w:webHidden/>
              </w:rPr>
              <w:fldChar w:fldCharType="begin"/>
            </w:r>
            <w:r w:rsidR="00A305C6" w:rsidRPr="00A305C6">
              <w:rPr>
                <w:webHidden/>
              </w:rPr>
              <w:instrText xml:space="preserve"> PAGEREF _Toc174088833 \h </w:instrText>
            </w:r>
            <w:r w:rsidR="00A305C6" w:rsidRPr="00A305C6">
              <w:rPr>
                <w:webHidden/>
              </w:rPr>
            </w:r>
            <w:r w:rsidR="00A305C6" w:rsidRPr="00A305C6">
              <w:rPr>
                <w:webHidden/>
              </w:rPr>
              <w:fldChar w:fldCharType="separate"/>
            </w:r>
            <w:r w:rsidR="00A305C6" w:rsidRPr="00A305C6">
              <w:rPr>
                <w:webHidden/>
              </w:rPr>
              <w:t>III-8</w:t>
            </w:r>
            <w:r w:rsidR="00A305C6" w:rsidRPr="00A305C6">
              <w:rPr>
                <w:webHidden/>
              </w:rPr>
              <w:fldChar w:fldCharType="end"/>
            </w:r>
          </w:hyperlink>
        </w:p>
        <w:p w14:paraId="7E00E9E4" w14:textId="4DEB50E8" w:rsidR="00A305C6" w:rsidRPr="00A305C6" w:rsidRDefault="00B73E9E">
          <w:pPr>
            <w:pStyle w:val="TOC3"/>
            <w:rPr>
              <w:rFonts w:eastAsiaTheme="minorEastAsia"/>
              <w:kern w:val="2"/>
              <w14:ligatures w14:val="standardContextual"/>
            </w:rPr>
          </w:pPr>
          <w:hyperlink w:anchor="_Toc174088834" w:history="1">
            <w:r w:rsidR="00A305C6" w:rsidRPr="00A305C6">
              <w:rPr>
                <w:rStyle w:val="Hyperlink"/>
              </w:rPr>
              <w:t>Establishing Budgets</w:t>
            </w:r>
            <w:r w:rsidR="00A305C6" w:rsidRPr="00A305C6">
              <w:rPr>
                <w:webHidden/>
              </w:rPr>
              <w:tab/>
            </w:r>
            <w:r w:rsidR="00A305C6" w:rsidRPr="00A305C6">
              <w:rPr>
                <w:webHidden/>
              </w:rPr>
              <w:fldChar w:fldCharType="begin"/>
            </w:r>
            <w:r w:rsidR="00A305C6" w:rsidRPr="00A305C6">
              <w:rPr>
                <w:webHidden/>
              </w:rPr>
              <w:instrText xml:space="preserve"> PAGEREF _Toc174088834 \h </w:instrText>
            </w:r>
            <w:r w:rsidR="00A305C6" w:rsidRPr="00A305C6">
              <w:rPr>
                <w:webHidden/>
              </w:rPr>
            </w:r>
            <w:r w:rsidR="00A305C6" w:rsidRPr="00A305C6">
              <w:rPr>
                <w:webHidden/>
              </w:rPr>
              <w:fldChar w:fldCharType="separate"/>
            </w:r>
            <w:r w:rsidR="00A305C6" w:rsidRPr="00A305C6">
              <w:rPr>
                <w:webHidden/>
              </w:rPr>
              <w:t>III-9</w:t>
            </w:r>
            <w:r w:rsidR="00A305C6" w:rsidRPr="00A305C6">
              <w:rPr>
                <w:webHidden/>
              </w:rPr>
              <w:fldChar w:fldCharType="end"/>
            </w:r>
          </w:hyperlink>
        </w:p>
        <w:p w14:paraId="0419C492" w14:textId="3BE2D268" w:rsidR="00A305C6" w:rsidRPr="00A305C6" w:rsidRDefault="00B73E9E">
          <w:pPr>
            <w:pStyle w:val="TOC3"/>
            <w:rPr>
              <w:rFonts w:eastAsiaTheme="minorEastAsia"/>
              <w:kern w:val="2"/>
              <w14:ligatures w14:val="standardContextual"/>
            </w:rPr>
          </w:pPr>
          <w:hyperlink w:anchor="_Toc174088835" w:history="1">
            <w:r w:rsidR="00A305C6" w:rsidRPr="00A305C6">
              <w:rPr>
                <w:rStyle w:val="Hyperlink"/>
              </w:rPr>
              <w:t>Allowable and Unallowable Costs</w:t>
            </w:r>
            <w:r w:rsidR="00A305C6" w:rsidRPr="00A305C6">
              <w:rPr>
                <w:webHidden/>
              </w:rPr>
              <w:tab/>
            </w:r>
            <w:r w:rsidR="00A305C6" w:rsidRPr="00A305C6">
              <w:rPr>
                <w:webHidden/>
              </w:rPr>
              <w:fldChar w:fldCharType="begin"/>
            </w:r>
            <w:r w:rsidR="00A305C6" w:rsidRPr="00A305C6">
              <w:rPr>
                <w:webHidden/>
              </w:rPr>
              <w:instrText xml:space="preserve"> PAGEREF _Toc174088835 \h </w:instrText>
            </w:r>
            <w:r w:rsidR="00A305C6" w:rsidRPr="00A305C6">
              <w:rPr>
                <w:webHidden/>
              </w:rPr>
            </w:r>
            <w:r w:rsidR="00A305C6" w:rsidRPr="00A305C6">
              <w:rPr>
                <w:webHidden/>
              </w:rPr>
              <w:fldChar w:fldCharType="separate"/>
            </w:r>
            <w:r w:rsidR="00A305C6" w:rsidRPr="00A305C6">
              <w:rPr>
                <w:webHidden/>
              </w:rPr>
              <w:t>III-11</w:t>
            </w:r>
            <w:r w:rsidR="00A305C6" w:rsidRPr="00A305C6">
              <w:rPr>
                <w:webHidden/>
              </w:rPr>
              <w:fldChar w:fldCharType="end"/>
            </w:r>
          </w:hyperlink>
        </w:p>
        <w:p w14:paraId="6B96D3E7" w14:textId="40C1259A" w:rsidR="00A305C6" w:rsidRPr="00A305C6" w:rsidRDefault="00B73E9E">
          <w:pPr>
            <w:pStyle w:val="TOC3"/>
            <w:rPr>
              <w:rFonts w:eastAsiaTheme="minorEastAsia"/>
              <w:kern w:val="2"/>
              <w14:ligatures w14:val="standardContextual"/>
            </w:rPr>
          </w:pPr>
          <w:hyperlink w:anchor="_Toc174088836" w:history="1">
            <w:r w:rsidR="00A305C6" w:rsidRPr="00A305C6">
              <w:rPr>
                <w:rStyle w:val="Hyperlink"/>
              </w:rPr>
              <w:t>Match Requirements</w:t>
            </w:r>
            <w:r w:rsidR="00A305C6" w:rsidRPr="00A305C6">
              <w:rPr>
                <w:webHidden/>
              </w:rPr>
              <w:tab/>
            </w:r>
            <w:r w:rsidR="00A305C6" w:rsidRPr="00A305C6">
              <w:rPr>
                <w:webHidden/>
              </w:rPr>
              <w:fldChar w:fldCharType="begin"/>
            </w:r>
            <w:r w:rsidR="00A305C6" w:rsidRPr="00A305C6">
              <w:rPr>
                <w:webHidden/>
              </w:rPr>
              <w:instrText xml:space="preserve"> PAGEREF _Toc174088836 \h </w:instrText>
            </w:r>
            <w:r w:rsidR="00A305C6" w:rsidRPr="00A305C6">
              <w:rPr>
                <w:webHidden/>
              </w:rPr>
            </w:r>
            <w:r w:rsidR="00A305C6" w:rsidRPr="00A305C6">
              <w:rPr>
                <w:webHidden/>
              </w:rPr>
              <w:fldChar w:fldCharType="separate"/>
            </w:r>
            <w:r w:rsidR="00A305C6" w:rsidRPr="00A305C6">
              <w:rPr>
                <w:webHidden/>
              </w:rPr>
              <w:t>III-13</w:t>
            </w:r>
            <w:r w:rsidR="00A305C6" w:rsidRPr="00A305C6">
              <w:rPr>
                <w:webHidden/>
              </w:rPr>
              <w:fldChar w:fldCharType="end"/>
            </w:r>
          </w:hyperlink>
        </w:p>
        <w:p w14:paraId="144C2DF8" w14:textId="68C56015" w:rsidR="00A305C6" w:rsidRPr="00A305C6" w:rsidRDefault="00B73E9E">
          <w:pPr>
            <w:pStyle w:val="TOC3"/>
            <w:rPr>
              <w:rFonts w:eastAsiaTheme="minorEastAsia"/>
              <w:kern w:val="2"/>
              <w14:ligatures w14:val="standardContextual"/>
            </w:rPr>
          </w:pPr>
          <w:hyperlink w:anchor="_Toc174088837" w:history="1">
            <w:r w:rsidR="00A305C6" w:rsidRPr="00A305C6">
              <w:rPr>
                <w:rStyle w:val="Hyperlink"/>
              </w:rPr>
              <w:t>Program Income</w:t>
            </w:r>
            <w:r w:rsidR="00A305C6" w:rsidRPr="00A305C6">
              <w:rPr>
                <w:webHidden/>
              </w:rPr>
              <w:tab/>
            </w:r>
            <w:r w:rsidR="00A305C6" w:rsidRPr="00A305C6">
              <w:rPr>
                <w:webHidden/>
              </w:rPr>
              <w:fldChar w:fldCharType="begin"/>
            </w:r>
            <w:r w:rsidR="00A305C6" w:rsidRPr="00A305C6">
              <w:rPr>
                <w:webHidden/>
              </w:rPr>
              <w:instrText xml:space="preserve"> PAGEREF _Toc174088837 \h </w:instrText>
            </w:r>
            <w:r w:rsidR="00A305C6" w:rsidRPr="00A305C6">
              <w:rPr>
                <w:webHidden/>
              </w:rPr>
            </w:r>
            <w:r w:rsidR="00A305C6" w:rsidRPr="00A305C6">
              <w:rPr>
                <w:webHidden/>
              </w:rPr>
              <w:fldChar w:fldCharType="separate"/>
            </w:r>
            <w:r w:rsidR="00A305C6" w:rsidRPr="00A305C6">
              <w:rPr>
                <w:webHidden/>
              </w:rPr>
              <w:t>III-14</w:t>
            </w:r>
            <w:r w:rsidR="00A305C6" w:rsidRPr="00A305C6">
              <w:rPr>
                <w:webHidden/>
              </w:rPr>
              <w:fldChar w:fldCharType="end"/>
            </w:r>
          </w:hyperlink>
        </w:p>
        <w:p w14:paraId="498C500B" w14:textId="62BCA92B" w:rsidR="00A305C6" w:rsidRPr="00A305C6" w:rsidRDefault="00B73E9E">
          <w:pPr>
            <w:pStyle w:val="TOC3"/>
            <w:rPr>
              <w:rFonts w:eastAsiaTheme="minorEastAsia"/>
              <w:kern w:val="2"/>
              <w14:ligatures w14:val="standardContextual"/>
            </w:rPr>
          </w:pPr>
          <w:hyperlink w:anchor="_Toc174088838" w:history="1">
            <w:r w:rsidR="00A305C6" w:rsidRPr="00A305C6">
              <w:rPr>
                <w:rStyle w:val="Hyperlink"/>
              </w:rPr>
              <w:t>Reimbursements</w:t>
            </w:r>
            <w:r w:rsidR="00A305C6" w:rsidRPr="00A305C6">
              <w:rPr>
                <w:webHidden/>
              </w:rPr>
              <w:tab/>
            </w:r>
            <w:r w:rsidR="00A305C6" w:rsidRPr="00A305C6">
              <w:rPr>
                <w:webHidden/>
              </w:rPr>
              <w:fldChar w:fldCharType="begin"/>
            </w:r>
            <w:r w:rsidR="00A305C6" w:rsidRPr="00A305C6">
              <w:rPr>
                <w:webHidden/>
              </w:rPr>
              <w:instrText xml:space="preserve"> PAGEREF _Toc174088838 \h </w:instrText>
            </w:r>
            <w:r w:rsidR="00A305C6" w:rsidRPr="00A305C6">
              <w:rPr>
                <w:webHidden/>
              </w:rPr>
            </w:r>
            <w:r w:rsidR="00A305C6" w:rsidRPr="00A305C6">
              <w:rPr>
                <w:webHidden/>
              </w:rPr>
              <w:fldChar w:fldCharType="separate"/>
            </w:r>
            <w:r w:rsidR="00A305C6" w:rsidRPr="00A305C6">
              <w:rPr>
                <w:webHidden/>
              </w:rPr>
              <w:t>III-15</w:t>
            </w:r>
            <w:r w:rsidR="00A305C6" w:rsidRPr="00A305C6">
              <w:rPr>
                <w:webHidden/>
              </w:rPr>
              <w:fldChar w:fldCharType="end"/>
            </w:r>
          </w:hyperlink>
        </w:p>
        <w:p w14:paraId="26E7A4BE" w14:textId="721E2721" w:rsidR="00A305C6" w:rsidRPr="00A305C6" w:rsidRDefault="00B73E9E">
          <w:pPr>
            <w:pStyle w:val="TOC3"/>
            <w:rPr>
              <w:rFonts w:eastAsiaTheme="minorEastAsia"/>
              <w:kern w:val="2"/>
              <w14:ligatures w14:val="standardContextual"/>
            </w:rPr>
          </w:pPr>
          <w:hyperlink w:anchor="_Toc174088839" w:history="1">
            <w:r w:rsidR="00A305C6" w:rsidRPr="00A305C6">
              <w:rPr>
                <w:rStyle w:val="Hyperlink"/>
              </w:rPr>
              <w:t>Reporting Finances</w:t>
            </w:r>
            <w:r w:rsidR="00A305C6" w:rsidRPr="00A305C6">
              <w:rPr>
                <w:webHidden/>
              </w:rPr>
              <w:tab/>
            </w:r>
            <w:r w:rsidR="00A305C6" w:rsidRPr="00A305C6">
              <w:rPr>
                <w:webHidden/>
              </w:rPr>
              <w:fldChar w:fldCharType="begin"/>
            </w:r>
            <w:r w:rsidR="00A305C6" w:rsidRPr="00A305C6">
              <w:rPr>
                <w:webHidden/>
              </w:rPr>
              <w:instrText xml:space="preserve"> PAGEREF _Toc174088839 \h </w:instrText>
            </w:r>
            <w:r w:rsidR="00A305C6" w:rsidRPr="00A305C6">
              <w:rPr>
                <w:webHidden/>
              </w:rPr>
            </w:r>
            <w:r w:rsidR="00A305C6" w:rsidRPr="00A305C6">
              <w:rPr>
                <w:webHidden/>
              </w:rPr>
              <w:fldChar w:fldCharType="separate"/>
            </w:r>
            <w:r w:rsidR="00A305C6" w:rsidRPr="00A305C6">
              <w:rPr>
                <w:webHidden/>
              </w:rPr>
              <w:t>III-16</w:t>
            </w:r>
            <w:r w:rsidR="00A305C6" w:rsidRPr="00A305C6">
              <w:rPr>
                <w:webHidden/>
              </w:rPr>
              <w:fldChar w:fldCharType="end"/>
            </w:r>
          </w:hyperlink>
        </w:p>
        <w:p w14:paraId="1FA7D256" w14:textId="66C7D600" w:rsidR="00A305C6" w:rsidRPr="00A305C6" w:rsidRDefault="00B73E9E">
          <w:pPr>
            <w:pStyle w:val="TOC2"/>
            <w:rPr>
              <w:rFonts w:eastAsiaTheme="minorEastAsia"/>
              <w:b w:val="0"/>
              <w:bCs w:val="0"/>
              <w:kern w:val="2"/>
              <w:sz w:val="24"/>
              <w:szCs w:val="24"/>
              <w14:ligatures w14:val="standardContextual"/>
            </w:rPr>
          </w:pPr>
          <w:hyperlink w:anchor="_Toc174088840" w:history="1">
            <w:r w:rsidR="00A305C6" w:rsidRPr="00A305C6">
              <w:rPr>
                <w:rStyle w:val="Hyperlink"/>
              </w:rPr>
              <w:t>IV.</w:t>
            </w:r>
            <w:r w:rsidR="00A305C6" w:rsidRPr="00A305C6">
              <w:rPr>
                <w:rFonts w:eastAsiaTheme="minorEastAsia"/>
                <w:b w:val="0"/>
                <w:bCs w:val="0"/>
                <w:kern w:val="2"/>
                <w:sz w:val="24"/>
                <w:szCs w:val="24"/>
                <w14:ligatures w14:val="standardContextual"/>
              </w:rPr>
              <w:tab/>
            </w:r>
            <w:r w:rsidR="00A305C6" w:rsidRPr="00A305C6">
              <w:rPr>
                <w:rStyle w:val="Hyperlink"/>
              </w:rPr>
              <w:t>PROGRAM MANAGEMENT AND DELIVERY</w:t>
            </w:r>
            <w:r w:rsidR="00A305C6" w:rsidRPr="00A305C6">
              <w:rPr>
                <w:webHidden/>
              </w:rPr>
              <w:tab/>
            </w:r>
            <w:r w:rsidR="00A305C6" w:rsidRPr="00A305C6">
              <w:rPr>
                <w:webHidden/>
              </w:rPr>
              <w:fldChar w:fldCharType="begin"/>
            </w:r>
            <w:r w:rsidR="00A305C6" w:rsidRPr="00A305C6">
              <w:rPr>
                <w:webHidden/>
              </w:rPr>
              <w:instrText xml:space="preserve"> PAGEREF _Toc174088840 \h </w:instrText>
            </w:r>
            <w:r w:rsidR="00A305C6" w:rsidRPr="00A305C6">
              <w:rPr>
                <w:webHidden/>
              </w:rPr>
            </w:r>
            <w:r w:rsidR="00A305C6" w:rsidRPr="00A305C6">
              <w:rPr>
                <w:webHidden/>
              </w:rPr>
              <w:fldChar w:fldCharType="separate"/>
            </w:r>
            <w:r w:rsidR="00A305C6" w:rsidRPr="00A305C6">
              <w:rPr>
                <w:webHidden/>
              </w:rPr>
              <w:t>IV-1</w:t>
            </w:r>
            <w:r w:rsidR="00A305C6" w:rsidRPr="00A305C6">
              <w:rPr>
                <w:webHidden/>
              </w:rPr>
              <w:fldChar w:fldCharType="end"/>
            </w:r>
          </w:hyperlink>
        </w:p>
        <w:p w14:paraId="043CE165" w14:textId="30EB6F4B" w:rsidR="00A305C6" w:rsidRPr="00A305C6" w:rsidRDefault="00B73E9E">
          <w:pPr>
            <w:pStyle w:val="TOC3"/>
            <w:rPr>
              <w:rFonts w:eastAsiaTheme="minorEastAsia"/>
              <w:kern w:val="2"/>
              <w14:ligatures w14:val="standardContextual"/>
            </w:rPr>
          </w:pPr>
          <w:hyperlink w:anchor="_Toc174088841" w:history="1">
            <w:r w:rsidR="00A305C6" w:rsidRPr="00A305C6">
              <w:rPr>
                <w:rStyle w:val="Hyperlink"/>
              </w:rPr>
              <w:t>Planning Allowable Activities by Funding Stream</w:t>
            </w:r>
            <w:r w:rsidR="00A305C6" w:rsidRPr="00A305C6">
              <w:rPr>
                <w:webHidden/>
              </w:rPr>
              <w:tab/>
            </w:r>
            <w:r w:rsidR="00A305C6" w:rsidRPr="00A305C6">
              <w:rPr>
                <w:webHidden/>
              </w:rPr>
              <w:fldChar w:fldCharType="begin"/>
            </w:r>
            <w:r w:rsidR="00A305C6" w:rsidRPr="00A305C6">
              <w:rPr>
                <w:webHidden/>
              </w:rPr>
              <w:instrText xml:space="preserve"> PAGEREF _Toc174088841 \h </w:instrText>
            </w:r>
            <w:r w:rsidR="00A305C6" w:rsidRPr="00A305C6">
              <w:rPr>
                <w:webHidden/>
              </w:rPr>
            </w:r>
            <w:r w:rsidR="00A305C6" w:rsidRPr="00A305C6">
              <w:rPr>
                <w:webHidden/>
              </w:rPr>
              <w:fldChar w:fldCharType="separate"/>
            </w:r>
            <w:r w:rsidR="00A305C6" w:rsidRPr="00A305C6">
              <w:rPr>
                <w:webHidden/>
              </w:rPr>
              <w:t>IV-1</w:t>
            </w:r>
            <w:r w:rsidR="00A305C6" w:rsidRPr="00A305C6">
              <w:rPr>
                <w:webHidden/>
              </w:rPr>
              <w:fldChar w:fldCharType="end"/>
            </w:r>
          </w:hyperlink>
        </w:p>
        <w:p w14:paraId="2E9FA35A" w14:textId="66EF870F"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42" w:history="1">
            <w:r w:rsidR="00A305C6" w:rsidRPr="00A305C6">
              <w:rPr>
                <w:rStyle w:val="Hyperlink"/>
                <w:rFonts w:ascii="Times New Roman" w:hAnsi="Times New Roman" w:cs="Times New Roman"/>
                <w:noProof/>
              </w:rPr>
              <w:t>AEFLA Sec. 231 Adult Education Activities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_Toc174088842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IV-1</w:t>
            </w:r>
            <w:r w:rsidR="00A305C6" w:rsidRPr="00A305C6">
              <w:rPr>
                <w:rFonts w:ascii="Times New Roman" w:hAnsi="Times New Roman" w:cs="Times New Roman"/>
                <w:noProof/>
                <w:webHidden/>
              </w:rPr>
              <w:fldChar w:fldCharType="end"/>
            </w:r>
          </w:hyperlink>
        </w:p>
        <w:p w14:paraId="3D4A8E5C" w14:textId="581E1003"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43" w:history="1">
            <w:r w:rsidR="00A305C6" w:rsidRPr="00A305C6">
              <w:rPr>
                <w:rStyle w:val="Hyperlink"/>
                <w:rFonts w:ascii="Times New Roman" w:hAnsi="Times New Roman" w:cs="Times New Roman"/>
                <w:noProof/>
              </w:rPr>
              <w:t>AEFLA Sec. 225 Corrections Education and Other Institutionalized Individuals (C&amp;I) Activities</w:t>
            </w:r>
            <w:r w:rsidR="00A305C6" w:rsidRPr="00A305C6">
              <w:rPr>
                <w:rFonts w:ascii="Times New Roman" w:hAnsi="Times New Roman" w:cs="Times New Roman"/>
                <w:noProof/>
                <w:webHidden/>
              </w:rPr>
              <w:tab/>
            </w:r>
            <w:r w:rsidR="00A305C6">
              <w:rPr>
                <w:rFonts w:ascii="Times New Roman" w:hAnsi="Times New Roman" w:cs="Times New Roman"/>
                <w:noProof/>
                <w:webHidden/>
              </w:rPr>
              <w:t xml:space="preserve"> </w:t>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_Toc174088843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IV-2</w:t>
            </w:r>
            <w:r w:rsidR="00A305C6" w:rsidRPr="00A305C6">
              <w:rPr>
                <w:rFonts w:ascii="Times New Roman" w:hAnsi="Times New Roman" w:cs="Times New Roman"/>
                <w:noProof/>
                <w:webHidden/>
              </w:rPr>
              <w:fldChar w:fldCharType="end"/>
            </w:r>
          </w:hyperlink>
        </w:p>
        <w:p w14:paraId="70443104" w14:textId="3767C13D"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44" w:history="1">
            <w:r w:rsidR="00A305C6" w:rsidRPr="00A305C6">
              <w:rPr>
                <w:rStyle w:val="Hyperlink"/>
                <w:rFonts w:ascii="Times New Roman" w:hAnsi="Times New Roman" w:cs="Times New Roman"/>
                <w:noProof/>
              </w:rPr>
              <w:t>AEFLA Sec. 243 Integrated English Literacy and Civics Education (IELCE) Activities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_Toc174088844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IV-3</w:t>
            </w:r>
            <w:r w:rsidR="00A305C6" w:rsidRPr="00A305C6">
              <w:rPr>
                <w:rFonts w:ascii="Times New Roman" w:hAnsi="Times New Roman" w:cs="Times New Roman"/>
                <w:noProof/>
                <w:webHidden/>
              </w:rPr>
              <w:fldChar w:fldCharType="end"/>
            </w:r>
          </w:hyperlink>
        </w:p>
        <w:p w14:paraId="03195F3E" w14:textId="13F636A5"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45" w:history="1">
            <w:r w:rsidR="00A305C6" w:rsidRPr="00A305C6">
              <w:rPr>
                <w:rStyle w:val="Hyperlink"/>
                <w:rFonts w:ascii="Times New Roman" w:hAnsi="Times New Roman" w:cs="Times New Roman"/>
                <w:noProof/>
              </w:rPr>
              <w:t>State Matching Funds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_Toc174088845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IV-3</w:t>
            </w:r>
            <w:r w:rsidR="00A305C6" w:rsidRPr="00A305C6">
              <w:rPr>
                <w:rFonts w:ascii="Times New Roman" w:hAnsi="Times New Roman" w:cs="Times New Roman"/>
                <w:noProof/>
                <w:webHidden/>
              </w:rPr>
              <w:fldChar w:fldCharType="end"/>
            </w:r>
          </w:hyperlink>
        </w:p>
        <w:p w14:paraId="7F677981" w14:textId="472AD7C2"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46" w:history="1">
            <w:r w:rsidR="00A305C6" w:rsidRPr="00A305C6">
              <w:rPr>
                <w:rStyle w:val="Hyperlink"/>
                <w:rFonts w:ascii="Times New Roman" w:hAnsi="Times New Roman" w:cs="Times New Roman"/>
                <w:noProof/>
              </w:rPr>
              <w:t>Race to GED</w:t>
            </w:r>
            <w:r w:rsidR="00A305C6" w:rsidRPr="00A305C6">
              <w:rPr>
                <w:rStyle w:val="Hyperlink"/>
                <w:rFonts w:ascii="Times New Roman" w:hAnsi="Times New Roman" w:cs="Times New Roman"/>
                <w:noProof/>
                <w:vertAlign w:val="superscript"/>
              </w:rPr>
              <w:t>®</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_Toc174088846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IV-4</w:t>
            </w:r>
            <w:r w:rsidR="00A305C6" w:rsidRPr="00A305C6">
              <w:rPr>
                <w:rFonts w:ascii="Times New Roman" w:hAnsi="Times New Roman" w:cs="Times New Roman"/>
                <w:noProof/>
                <w:webHidden/>
              </w:rPr>
              <w:fldChar w:fldCharType="end"/>
            </w:r>
          </w:hyperlink>
        </w:p>
        <w:p w14:paraId="3FAD3B9B" w14:textId="430B4BB7"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47" w:history="1">
            <w:r w:rsidR="00A305C6" w:rsidRPr="00A305C6">
              <w:rPr>
                <w:rStyle w:val="Hyperlink"/>
                <w:rFonts w:ascii="Times New Roman" w:hAnsi="Times New Roman" w:cs="Times New Roman"/>
                <w:noProof/>
              </w:rPr>
              <w:t>National External Diploma Program</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_Toc174088847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IV-4</w:t>
            </w:r>
            <w:r w:rsidR="00A305C6" w:rsidRPr="00A305C6">
              <w:rPr>
                <w:rFonts w:ascii="Times New Roman" w:hAnsi="Times New Roman" w:cs="Times New Roman"/>
                <w:noProof/>
                <w:webHidden/>
              </w:rPr>
              <w:fldChar w:fldCharType="end"/>
            </w:r>
          </w:hyperlink>
        </w:p>
        <w:p w14:paraId="73D48FE2" w14:textId="2B563776"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48" w:history="1">
            <w:r w:rsidR="00A305C6" w:rsidRPr="00A305C6">
              <w:rPr>
                <w:rStyle w:val="Hyperlink"/>
                <w:rFonts w:ascii="Times New Roman" w:hAnsi="Times New Roman" w:cs="Times New Roman"/>
                <w:noProof/>
              </w:rPr>
              <w:t>Individual Student Alternative Education Plan</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_Toc174088848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IV-5</w:t>
            </w:r>
            <w:r w:rsidR="00A305C6" w:rsidRPr="00A305C6">
              <w:rPr>
                <w:rFonts w:ascii="Times New Roman" w:hAnsi="Times New Roman" w:cs="Times New Roman"/>
                <w:noProof/>
                <w:webHidden/>
              </w:rPr>
              <w:fldChar w:fldCharType="end"/>
            </w:r>
          </w:hyperlink>
        </w:p>
        <w:p w14:paraId="3CA0C47E" w14:textId="46AAB9F3" w:rsidR="00A305C6" w:rsidRPr="00A305C6" w:rsidRDefault="00B73E9E">
          <w:pPr>
            <w:pStyle w:val="TOC3"/>
            <w:rPr>
              <w:rFonts w:eastAsiaTheme="minorEastAsia"/>
              <w:kern w:val="2"/>
              <w14:ligatures w14:val="standardContextual"/>
            </w:rPr>
          </w:pPr>
          <w:hyperlink w:anchor="_Toc174088849" w:history="1">
            <w:r w:rsidR="00A305C6" w:rsidRPr="00A305C6">
              <w:rPr>
                <w:rStyle w:val="Hyperlink"/>
              </w:rPr>
              <w:t>Managing HSE Programs</w:t>
            </w:r>
            <w:r w:rsidR="00A305C6" w:rsidRPr="00A305C6">
              <w:rPr>
                <w:webHidden/>
              </w:rPr>
              <w:tab/>
            </w:r>
            <w:r w:rsidR="00A305C6" w:rsidRPr="00A305C6">
              <w:rPr>
                <w:webHidden/>
              </w:rPr>
              <w:fldChar w:fldCharType="begin"/>
            </w:r>
            <w:r w:rsidR="00A305C6" w:rsidRPr="00A305C6">
              <w:rPr>
                <w:webHidden/>
              </w:rPr>
              <w:instrText xml:space="preserve"> PAGEREF _Toc174088849 \h </w:instrText>
            </w:r>
            <w:r w:rsidR="00A305C6" w:rsidRPr="00A305C6">
              <w:rPr>
                <w:webHidden/>
              </w:rPr>
            </w:r>
            <w:r w:rsidR="00A305C6" w:rsidRPr="00A305C6">
              <w:rPr>
                <w:webHidden/>
              </w:rPr>
              <w:fldChar w:fldCharType="separate"/>
            </w:r>
            <w:r w:rsidR="00A305C6" w:rsidRPr="00A305C6">
              <w:rPr>
                <w:webHidden/>
              </w:rPr>
              <w:t>IV-6</w:t>
            </w:r>
            <w:r w:rsidR="00A305C6" w:rsidRPr="00A305C6">
              <w:rPr>
                <w:webHidden/>
              </w:rPr>
              <w:fldChar w:fldCharType="end"/>
            </w:r>
          </w:hyperlink>
        </w:p>
        <w:p w14:paraId="7E9EE51E" w14:textId="3C43ED38"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50" w:history="1">
            <w:r w:rsidR="00A305C6" w:rsidRPr="00A305C6">
              <w:rPr>
                <w:rStyle w:val="Hyperlink"/>
                <w:rFonts w:ascii="Times New Roman" w:hAnsi="Times New Roman" w:cs="Times New Roman"/>
                <w:noProof/>
              </w:rPr>
              <w:t>Five Ways to Earn a High School Credential</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_Toc174088850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IV-6</w:t>
            </w:r>
            <w:r w:rsidR="00A305C6" w:rsidRPr="00A305C6">
              <w:rPr>
                <w:rFonts w:ascii="Times New Roman" w:hAnsi="Times New Roman" w:cs="Times New Roman"/>
                <w:noProof/>
                <w:webHidden/>
              </w:rPr>
              <w:fldChar w:fldCharType="end"/>
            </w:r>
          </w:hyperlink>
        </w:p>
        <w:p w14:paraId="30C8BDD0" w14:textId="2C10CFB7"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51" w:history="1">
            <w:r w:rsidR="00A305C6" w:rsidRPr="00A305C6">
              <w:rPr>
                <w:rStyle w:val="Hyperlink"/>
                <w:rFonts w:ascii="Times New Roman" w:hAnsi="Times New Roman" w:cs="Times New Roman"/>
                <w:noProof/>
              </w:rPr>
              <w:t>Funding HSE Testing Activities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_Toc174088851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IV-6</w:t>
            </w:r>
            <w:r w:rsidR="00A305C6" w:rsidRPr="00A305C6">
              <w:rPr>
                <w:rFonts w:ascii="Times New Roman" w:hAnsi="Times New Roman" w:cs="Times New Roman"/>
                <w:noProof/>
                <w:webHidden/>
              </w:rPr>
              <w:fldChar w:fldCharType="end"/>
            </w:r>
          </w:hyperlink>
        </w:p>
        <w:p w14:paraId="2026AF9A" w14:textId="4273C6E2" w:rsidR="00A305C6" w:rsidRPr="00A305C6" w:rsidRDefault="00B73E9E">
          <w:pPr>
            <w:pStyle w:val="TOC3"/>
            <w:rPr>
              <w:rFonts w:eastAsiaTheme="minorEastAsia"/>
              <w:kern w:val="2"/>
              <w14:ligatures w14:val="standardContextual"/>
            </w:rPr>
          </w:pPr>
          <w:hyperlink w:anchor="_Toc174088852" w:history="1">
            <w:r w:rsidR="00A305C6" w:rsidRPr="00A305C6">
              <w:rPr>
                <w:rStyle w:val="Hyperlink"/>
              </w:rPr>
              <w:t>Being an Instructional Leader</w:t>
            </w:r>
            <w:r w:rsidR="00A305C6" w:rsidRPr="00A305C6">
              <w:rPr>
                <w:webHidden/>
              </w:rPr>
              <w:tab/>
            </w:r>
            <w:r w:rsidR="00A305C6" w:rsidRPr="00A305C6">
              <w:rPr>
                <w:webHidden/>
              </w:rPr>
              <w:fldChar w:fldCharType="begin"/>
            </w:r>
            <w:r w:rsidR="00A305C6" w:rsidRPr="00A305C6">
              <w:rPr>
                <w:webHidden/>
              </w:rPr>
              <w:instrText xml:space="preserve"> PAGEREF _Toc174088852 \h </w:instrText>
            </w:r>
            <w:r w:rsidR="00A305C6" w:rsidRPr="00A305C6">
              <w:rPr>
                <w:webHidden/>
              </w:rPr>
            </w:r>
            <w:r w:rsidR="00A305C6" w:rsidRPr="00A305C6">
              <w:rPr>
                <w:webHidden/>
              </w:rPr>
              <w:fldChar w:fldCharType="separate"/>
            </w:r>
            <w:r w:rsidR="00A305C6" w:rsidRPr="00A305C6">
              <w:rPr>
                <w:webHidden/>
              </w:rPr>
              <w:t>IV-10</w:t>
            </w:r>
            <w:r w:rsidR="00A305C6" w:rsidRPr="00A305C6">
              <w:rPr>
                <w:webHidden/>
              </w:rPr>
              <w:fldChar w:fldCharType="end"/>
            </w:r>
          </w:hyperlink>
        </w:p>
        <w:p w14:paraId="072B7506" w14:textId="7607F042"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53" w:history="1">
            <w:r w:rsidR="00A305C6" w:rsidRPr="00A305C6">
              <w:rPr>
                <w:rStyle w:val="Hyperlink"/>
                <w:rFonts w:ascii="Times New Roman" w:hAnsi="Times New Roman" w:cs="Times New Roman"/>
                <w:noProof/>
              </w:rPr>
              <w:t>Designing High-Quality Programming</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_Toc174088853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IV-10</w:t>
            </w:r>
            <w:r w:rsidR="00A305C6" w:rsidRPr="00A305C6">
              <w:rPr>
                <w:rFonts w:ascii="Times New Roman" w:hAnsi="Times New Roman" w:cs="Times New Roman"/>
                <w:noProof/>
                <w:webHidden/>
              </w:rPr>
              <w:fldChar w:fldCharType="end"/>
            </w:r>
          </w:hyperlink>
        </w:p>
        <w:p w14:paraId="293524FF" w14:textId="20C84A77"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54" w:history="1">
            <w:r w:rsidR="00A305C6" w:rsidRPr="00A305C6">
              <w:rPr>
                <w:rStyle w:val="Hyperlink"/>
                <w:rFonts w:ascii="Times New Roman" w:hAnsi="Times New Roman" w:cs="Times New Roman"/>
                <w:noProof/>
              </w:rPr>
              <w:t>Serving Multilingual Learners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_Toc174088854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IV-13</w:t>
            </w:r>
            <w:r w:rsidR="00A305C6" w:rsidRPr="00A305C6">
              <w:rPr>
                <w:rFonts w:ascii="Times New Roman" w:hAnsi="Times New Roman" w:cs="Times New Roman"/>
                <w:noProof/>
                <w:webHidden/>
              </w:rPr>
              <w:fldChar w:fldCharType="end"/>
            </w:r>
          </w:hyperlink>
        </w:p>
        <w:p w14:paraId="76D91EDA" w14:textId="6E6AAB6F"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55" w:history="1">
            <w:r w:rsidR="00A305C6" w:rsidRPr="00A305C6">
              <w:rPr>
                <w:rStyle w:val="Hyperlink"/>
                <w:rFonts w:ascii="Times New Roman" w:hAnsi="Times New Roman" w:cs="Times New Roman"/>
                <w:noProof/>
              </w:rPr>
              <w:t>Serving Adults with Disabilities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_Toc174088855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IV-14</w:t>
            </w:r>
            <w:r w:rsidR="00A305C6" w:rsidRPr="00A305C6">
              <w:rPr>
                <w:rFonts w:ascii="Times New Roman" w:hAnsi="Times New Roman" w:cs="Times New Roman"/>
                <w:noProof/>
                <w:webHidden/>
              </w:rPr>
              <w:fldChar w:fldCharType="end"/>
            </w:r>
          </w:hyperlink>
        </w:p>
        <w:p w14:paraId="028197B2" w14:textId="04F54103"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56" w:history="1">
            <w:r w:rsidR="00A305C6" w:rsidRPr="00A305C6">
              <w:rPr>
                <w:rStyle w:val="Hyperlink"/>
                <w:rFonts w:ascii="Times New Roman" w:hAnsi="Times New Roman" w:cs="Times New Roman"/>
                <w:noProof/>
              </w:rPr>
              <w:t>Supporting Instructors and Student Services Staff</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_Toc174088856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IV-15</w:t>
            </w:r>
            <w:r w:rsidR="00A305C6" w:rsidRPr="00A305C6">
              <w:rPr>
                <w:rFonts w:ascii="Times New Roman" w:hAnsi="Times New Roman" w:cs="Times New Roman"/>
                <w:noProof/>
                <w:webHidden/>
              </w:rPr>
              <w:fldChar w:fldCharType="end"/>
            </w:r>
          </w:hyperlink>
        </w:p>
        <w:p w14:paraId="40A53CF0" w14:textId="5FEC405E" w:rsidR="00A305C6" w:rsidRPr="00A305C6" w:rsidRDefault="00B73E9E">
          <w:pPr>
            <w:pStyle w:val="TOC3"/>
            <w:rPr>
              <w:rFonts w:eastAsiaTheme="minorEastAsia"/>
              <w:kern w:val="2"/>
              <w14:ligatures w14:val="standardContextual"/>
            </w:rPr>
          </w:pPr>
          <w:hyperlink w:anchor="_Toc174088857" w:history="1">
            <w:r w:rsidR="00A305C6" w:rsidRPr="00A305C6">
              <w:rPr>
                <w:rStyle w:val="Hyperlink"/>
              </w:rPr>
              <w:t>Growing and Sustaining Your Program</w:t>
            </w:r>
            <w:r w:rsidR="00A305C6" w:rsidRPr="00A305C6">
              <w:rPr>
                <w:webHidden/>
              </w:rPr>
              <w:tab/>
            </w:r>
            <w:r w:rsidR="00A305C6" w:rsidRPr="00A305C6">
              <w:rPr>
                <w:webHidden/>
              </w:rPr>
              <w:fldChar w:fldCharType="begin"/>
            </w:r>
            <w:r w:rsidR="00A305C6" w:rsidRPr="00A305C6">
              <w:rPr>
                <w:webHidden/>
              </w:rPr>
              <w:instrText xml:space="preserve"> PAGEREF _Toc174088857 \h </w:instrText>
            </w:r>
            <w:r w:rsidR="00A305C6" w:rsidRPr="00A305C6">
              <w:rPr>
                <w:webHidden/>
              </w:rPr>
            </w:r>
            <w:r w:rsidR="00A305C6" w:rsidRPr="00A305C6">
              <w:rPr>
                <w:webHidden/>
              </w:rPr>
              <w:fldChar w:fldCharType="separate"/>
            </w:r>
            <w:r w:rsidR="00A305C6" w:rsidRPr="00A305C6">
              <w:rPr>
                <w:webHidden/>
              </w:rPr>
              <w:t>IV-17</w:t>
            </w:r>
            <w:r w:rsidR="00A305C6" w:rsidRPr="00A305C6">
              <w:rPr>
                <w:webHidden/>
              </w:rPr>
              <w:fldChar w:fldCharType="end"/>
            </w:r>
          </w:hyperlink>
        </w:p>
        <w:p w14:paraId="1E1FA2A7" w14:textId="1F14BEC5"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58" w:history="1">
            <w:r w:rsidR="00A305C6" w:rsidRPr="00A305C6">
              <w:rPr>
                <w:rStyle w:val="Hyperlink"/>
                <w:rFonts w:ascii="Times New Roman" w:hAnsi="Times New Roman" w:cs="Times New Roman"/>
                <w:noProof/>
              </w:rPr>
              <w:t>Communications and Outreach</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_Toc174088858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IV-17</w:t>
            </w:r>
            <w:r w:rsidR="00A305C6" w:rsidRPr="00A305C6">
              <w:rPr>
                <w:rFonts w:ascii="Times New Roman" w:hAnsi="Times New Roman" w:cs="Times New Roman"/>
                <w:noProof/>
                <w:webHidden/>
              </w:rPr>
              <w:fldChar w:fldCharType="end"/>
            </w:r>
          </w:hyperlink>
        </w:p>
        <w:p w14:paraId="3EAF9485" w14:textId="3EC25ECC"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59" w:history="1">
            <w:r w:rsidR="00A305C6" w:rsidRPr="00A305C6">
              <w:rPr>
                <w:rStyle w:val="Hyperlink"/>
                <w:rFonts w:ascii="Times New Roman" w:hAnsi="Times New Roman" w:cs="Times New Roman"/>
                <w:noProof/>
              </w:rPr>
              <w:t>Retention and Persistence</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_Toc174088859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IV-17</w:t>
            </w:r>
            <w:r w:rsidR="00A305C6" w:rsidRPr="00A305C6">
              <w:rPr>
                <w:rFonts w:ascii="Times New Roman" w:hAnsi="Times New Roman" w:cs="Times New Roman"/>
                <w:noProof/>
                <w:webHidden/>
              </w:rPr>
              <w:fldChar w:fldCharType="end"/>
            </w:r>
          </w:hyperlink>
        </w:p>
        <w:p w14:paraId="70E18077" w14:textId="5F4505E4"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60" w:history="1">
            <w:r w:rsidR="00A305C6" w:rsidRPr="00A305C6">
              <w:rPr>
                <w:rStyle w:val="Hyperlink"/>
                <w:rFonts w:ascii="Times New Roman" w:hAnsi="Times New Roman" w:cs="Times New Roman"/>
                <w:noProof/>
              </w:rPr>
              <w:t>Collaborating and Leveraging Funding Opportunities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_Toc174088860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IV-19</w:t>
            </w:r>
            <w:r w:rsidR="00A305C6" w:rsidRPr="00A305C6">
              <w:rPr>
                <w:rFonts w:ascii="Times New Roman" w:hAnsi="Times New Roman" w:cs="Times New Roman"/>
                <w:noProof/>
                <w:webHidden/>
              </w:rPr>
              <w:fldChar w:fldCharType="end"/>
            </w:r>
          </w:hyperlink>
        </w:p>
        <w:p w14:paraId="160A4061" w14:textId="0B742D6E" w:rsidR="00A305C6" w:rsidRPr="00A305C6" w:rsidRDefault="00B73E9E">
          <w:pPr>
            <w:pStyle w:val="TOC3"/>
            <w:rPr>
              <w:rFonts w:eastAsiaTheme="minorEastAsia"/>
              <w:kern w:val="2"/>
              <w14:ligatures w14:val="standardContextual"/>
            </w:rPr>
          </w:pPr>
          <w:hyperlink w:anchor="_Toc174088861" w:history="1">
            <w:r w:rsidR="00A305C6" w:rsidRPr="00A305C6">
              <w:rPr>
                <w:rStyle w:val="Hyperlink"/>
              </w:rPr>
              <w:t>Competing for the AEFLA Funding</w:t>
            </w:r>
            <w:r w:rsidR="00A305C6" w:rsidRPr="00A305C6">
              <w:rPr>
                <w:webHidden/>
              </w:rPr>
              <w:tab/>
            </w:r>
            <w:r w:rsidR="00A305C6" w:rsidRPr="00A305C6">
              <w:rPr>
                <w:webHidden/>
              </w:rPr>
              <w:fldChar w:fldCharType="begin"/>
            </w:r>
            <w:r w:rsidR="00A305C6" w:rsidRPr="00A305C6">
              <w:rPr>
                <w:webHidden/>
              </w:rPr>
              <w:instrText xml:space="preserve"> PAGEREF _Toc174088861 \h </w:instrText>
            </w:r>
            <w:r w:rsidR="00A305C6" w:rsidRPr="00A305C6">
              <w:rPr>
                <w:webHidden/>
              </w:rPr>
            </w:r>
            <w:r w:rsidR="00A305C6" w:rsidRPr="00A305C6">
              <w:rPr>
                <w:webHidden/>
              </w:rPr>
              <w:fldChar w:fldCharType="separate"/>
            </w:r>
            <w:r w:rsidR="00A305C6" w:rsidRPr="00A305C6">
              <w:rPr>
                <w:webHidden/>
              </w:rPr>
              <w:t>IV-20</w:t>
            </w:r>
            <w:r w:rsidR="00A305C6" w:rsidRPr="00A305C6">
              <w:rPr>
                <w:webHidden/>
              </w:rPr>
              <w:fldChar w:fldCharType="end"/>
            </w:r>
          </w:hyperlink>
        </w:p>
        <w:p w14:paraId="2254997D" w14:textId="0C5E8FF4"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62" w:history="1">
            <w:r w:rsidR="00A305C6" w:rsidRPr="00A305C6">
              <w:rPr>
                <w:rStyle w:val="Hyperlink"/>
                <w:rFonts w:ascii="Times New Roman" w:hAnsi="Times New Roman" w:cs="Times New Roman"/>
                <w:noProof/>
              </w:rPr>
              <w:t>Eligible Providers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_Toc174088862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IV-20</w:t>
            </w:r>
            <w:r w:rsidR="00A305C6" w:rsidRPr="00A305C6">
              <w:rPr>
                <w:rFonts w:ascii="Times New Roman" w:hAnsi="Times New Roman" w:cs="Times New Roman"/>
                <w:noProof/>
                <w:webHidden/>
              </w:rPr>
              <w:fldChar w:fldCharType="end"/>
            </w:r>
          </w:hyperlink>
        </w:p>
        <w:p w14:paraId="2291187E" w14:textId="6025806D"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63" w:history="1">
            <w:r w:rsidR="00A305C6" w:rsidRPr="00A305C6">
              <w:rPr>
                <w:rStyle w:val="Hyperlink"/>
                <w:rFonts w:ascii="Times New Roman" w:hAnsi="Times New Roman" w:cs="Times New Roman"/>
                <w:noProof/>
              </w:rPr>
              <w:t>Eligibility Determination</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_Toc174088863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IV-20</w:t>
            </w:r>
            <w:r w:rsidR="00A305C6" w:rsidRPr="00A305C6">
              <w:rPr>
                <w:rFonts w:ascii="Times New Roman" w:hAnsi="Times New Roman" w:cs="Times New Roman"/>
                <w:noProof/>
                <w:webHidden/>
              </w:rPr>
              <w:fldChar w:fldCharType="end"/>
            </w:r>
          </w:hyperlink>
        </w:p>
        <w:p w14:paraId="33656993" w14:textId="60AFC210"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64" w:history="1">
            <w:r w:rsidR="00A305C6" w:rsidRPr="00A305C6">
              <w:rPr>
                <w:rStyle w:val="Hyperlink"/>
                <w:rFonts w:ascii="Times New Roman" w:hAnsi="Times New Roman" w:cs="Times New Roman"/>
                <w:noProof/>
              </w:rPr>
              <w:t>Demonstrated Effectiveness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_Toc174088864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IV-21</w:t>
            </w:r>
            <w:r w:rsidR="00A305C6" w:rsidRPr="00A305C6">
              <w:rPr>
                <w:rFonts w:ascii="Times New Roman" w:hAnsi="Times New Roman" w:cs="Times New Roman"/>
                <w:noProof/>
                <w:webHidden/>
              </w:rPr>
              <w:fldChar w:fldCharType="end"/>
            </w:r>
          </w:hyperlink>
        </w:p>
        <w:p w14:paraId="548FF109" w14:textId="47F0FB67"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65" w:history="1">
            <w:r w:rsidR="00A305C6" w:rsidRPr="00A305C6">
              <w:rPr>
                <w:rStyle w:val="Hyperlink"/>
                <w:rFonts w:ascii="Times New Roman" w:hAnsi="Times New Roman" w:cs="Times New Roman"/>
                <w:noProof/>
              </w:rPr>
              <w:t>Grant Review Processes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_Toc174088865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IV-21</w:t>
            </w:r>
            <w:r w:rsidR="00A305C6" w:rsidRPr="00A305C6">
              <w:rPr>
                <w:rFonts w:ascii="Times New Roman" w:hAnsi="Times New Roman" w:cs="Times New Roman"/>
                <w:noProof/>
                <w:webHidden/>
              </w:rPr>
              <w:fldChar w:fldCharType="end"/>
            </w:r>
          </w:hyperlink>
        </w:p>
        <w:p w14:paraId="311ECECC" w14:textId="314B72AF"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66" w:history="1">
            <w:r w:rsidR="00A305C6" w:rsidRPr="00A305C6">
              <w:rPr>
                <w:rStyle w:val="Hyperlink"/>
                <w:rFonts w:ascii="Times New Roman" w:hAnsi="Times New Roman" w:cs="Times New Roman"/>
                <w:noProof/>
              </w:rPr>
              <w:t>Federal Requirements and Considerations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_Toc174088866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IV-22</w:t>
            </w:r>
            <w:r w:rsidR="00A305C6" w:rsidRPr="00A305C6">
              <w:rPr>
                <w:rFonts w:ascii="Times New Roman" w:hAnsi="Times New Roman" w:cs="Times New Roman"/>
                <w:noProof/>
                <w:webHidden/>
              </w:rPr>
              <w:fldChar w:fldCharType="end"/>
            </w:r>
          </w:hyperlink>
        </w:p>
        <w:p w14:paraId="05F02A80" w14:textId="4F161E65"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67" w:history="1">
            <w:r w:rsidR="00A305C6" w:rsidRPr="00A305C6">
              <w:rPr>
                <w:rStyle w:val="Hyperlink"/>
                <w:rFonts w:ascii="Times New Roman" w:hAnsi="Times New Roman" w:cs="Times New Roman"/>
                <w:noProof/>
              </w:rPr>
              <w:t>Continuation Applications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_Toc174088867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IV-23</w:t>
            </w:r>
            <w:r w:rsidR="00A305C6" w:rsidRPr="00A305C6">
              <w:rPr>
                <w:rFonts w:ascii="Times New Roman" w:hAnsi="Times New Roman" w:cs="Times New Roman"/>
                <w:noProof/>
                <w:webHidden/>
              </w:rPr>
              <w:fldChar w:fldCharType="end"/>
            </w:r>
          </w:hyperlink>
        </w:p>
        <w:p w14:paraId="699B216D" w14:textId="1BE0B118"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68" w:history="1">
            <w:r w:rsidR="00A305C6" w:rsidRPr="00A305C6">
              <w:rPr>
                <w:rStyle w:val="Hyperlink"/>
                <w:rFonts w:ascii="Times New Roman" w:hAnsi="Times New Roman" w:cs="Times New Roman"/>
                <w:noProof/>
              </w:rPr>
              <w:t>State Priorities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_Toc174088868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IV-25</w:t>
            </w:r>
            <w:r w:rsidR="00A305C6" w:rsidRPr="00A305C6">
              <w:rPr>
                <w:rFonts w:ascii="Times New Roman" w:hAnsi="Times New Roman" w:cs="Times New Roman"/>
                <w:noProof/>
                <w:webHidden/>
              </w:rPr>
              <w:fldChar w:fldCharType="end"/>
            </w:r>
          </w:hyperlink>
        </w:p>
        <w:p w14:paraId="7F5E43E3" w14:textId="3C87C746" w:rsidR="00A305C6" w:rsidRPr="00A305C6" w:rsidRDefault="00B73E9E">
          <w:pPr>
            <w:pStyle w:val="TOC3"/>
            <w:rPr>
              <w:rFonts w:eastAsiaTheme="minorEastAsia"/>
              <w:kern w:val="2"/>
              <w14:ligatures w14:val="standardContextual"/>
            </w:rPr>
          </w:pPr>
          <w:hyperlink w:anchor="_Toc174088869" w:history="1">
            <w:r w:rsidR="00A305C6" w:rsidRPr="00A305C6">
              <w:rPr>
                <w:rStyle w:val="Hyperlink"/>
              </w:rPr>
              <w:t>Cultivating Regional Cooperation and Coordination</w:t>
            </w:r>
            <w:r w:rsidR="00A305C6" w:rsidRPr="00A305C6">
              <w:rPr>
                <w:webHidden/>
              </w:rPr>
              <w:tab/>
            </w:r>
            <w:r w:rsidR="00A305C6" w:rsidRPr="00A305C6">
              <w:rPr>
                <w:webHidden/>
              </w:rPr>
              <w:fldChar w:fldCharType="begin"/>
            </w:r>
            <w:r w:rsidR="00A305C6" w:rsidRPr="00A305C6">
              <w:rPr>
                <w:webHidden/>
              </w:rPr>
              <w:instrText xml:space="preserve"> PAGEREF _Toc174088869 \h </w:instrText>
            </w:r>
            <w:r w:rsidR="00A305C6" w:rsidRPr="00A305C6">
              <w:rPr>
                <w:webHidden/>
              </w:rPr>
            </w:r>
            <w:r w:rsidR="00A305C6" w:rsidRPr="00A305C6">
              <w:rPr>
                <w:webHidden/>
              </w:rPr>
              <w:fldChar w:fldCharType="separate"/>
            </w:r>
            <w:r w:rsidR="00A305C6" w:rsidRPr="00A305C6">
              <w:rPr>
                <w:webHidden/>
              </w:rPr>
              <w:t>IV-25</w:t>
            </w:r>
            <w:r w:rsidR="00A305C6" w:rsidRPr="00A305C6">
              <w:rPr>
                <w:webHidden/>
              </w:rPr>
              <w:fldChar w:fldCharType="end"/>
            </w:r>
          </w:hyperlink>
        </w:p>
        <w:p w14:paraId="5E5F4DE1" w14:textId="6BEEF1B3"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70" w:history="1">
            <w:r w:rsidR="00A305C6" w:rsidRPr="00A305C6">
              <w:rPr>
                <w:rStyle w:val="Hyperlink"/>
                <w:rFonts w:ascii="Times New Roman" w:hAnsi="Times New Roman" w:cs="Times New Roman"/>
                <w:noProof/>
              </w:rPr>
              <w:t xml:space="preserve">Regional </w:t>
            </w:r>
            <w:r w:rsidR="00A305C6" w:rsidRPr="00A305C6">
              <w:rPr>
                <w:rStyle w:val="Hyperlink"/>
                <w:rFonts w:ascii="Times New Roman" w:eastAsia="Times New Roman" w:hAnsi="Times New Roman" w:cs="Times New Roman"/>
                <w:noProof/>
              </w:rPr>
              <w:t>Memorandum</w:t>
            </w:r>
            <w:r w:rsidR="00A305C6" w:rsidRPr="00A305C6">
              <w:rPr>
                <w:rStyle w:val="Hyperlink"/>
                <w:rFonts w:ascii="Times New Roman" w:hAnsi="Times New Roman" w:cs="Times New Roman"/>
                <w:noProof/>
              </w:rPr>
              <w:t xml:space="preserve"> of Understanding</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_Toc174088870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IV-26</w:t>
            </w:r>
            <w:r w:rsidR="00A305C6" w:rsidRPr="00A305C6">
              <w:rPr>
                <w:rFonts w:ascii="Times New Roman" w:hAnsi="Times New Roman" w:cs="Times New Roman"/>
                <w:noProof/>
                <w:webHidden/>
              </w:rPr>
              <w:fldChar w:fldCharType="end"/>
            </w:r>
          </w:hyperlink>
        </w:p>
        <w:p w14:paraId="093B98AB" w14:textId="3DF64F2D"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71" w:history="1">
            <w:r w:rsidR="00A305C6" w:rsidRPr="00A305C6">
              <w:rPr>
                <w:rStyle w:val="Hyperlink"/>
                <w:rFonts w:ascii="Times New Roman" w:hAnsi="Times New Roman" w:cs="Times New Roman"/>
                <w:noProof/>
              </w:rPr>
              <w:t>Community Partners and Collaborators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_Toc174088871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IV-27</w:t>
            </w:r>
            <w:r w:rsidR="00A305C6" w:rsidRPr="00A305C6">
              <w:rPr>
                <w:rFonts w:ascii="Times New Roman" w:hAnsi="Times New Roman" w:cs="Times New Roman"/>
                <w:noProof/>
                <w:webHidden/>
              </w:rPr>
              <w:fldChar w:fldCharType="end"/>
            </w:r>
          </w:hyperlink>
        </w:p>
        <w:p w14:paraId="4E5C8920" w14:textId="38A6E2B6" w:rsidR="00A305C6" w:rsidRPr="00A305C6" w:rsidRDefault="00B73E9E">
          <w:pPr>
            <w:pStyle w:val="TOC2"/>
            <w:rPr>
              <w:rFonts w:eastAsiaTheme="minorEastAsia"/>
              <w:b w:val="0"/>
              <w:bCs w:val="0"/>
              <w:kern w:val="2"/>
              <w:sz w:val="24"/>
              <w:szCs w:val="24"/>
              <w14:ligatures w14:val="standardContextual"/>
            </w:rPr>
          </w:pPr>
          <w:hyperlink w:anchor="_Toc174088872" w:history="1">
            <w:r w:rsidR="00A305C6" w:rsidRPr="00A305C6">
              <w:rPr>
                <w:rStyle w:val="Hyperlink"/>
              </w:rPr>
              <w:t>V.</w:t>
            </w:r>
            <w:r w:rsidR="00A305C6" w:rsidRPr="00A305C6">
              <w:rPr>
                <w:rFonts w:eastAsiaTheme="minorEastAsia"/>
                <w:b w:val="0"/>
                <w:bCs w:val="0"/>
                <w:kern w:val="2"/>
                <w:sz w:val="24"/>
                <w:szCs w:val="24"/>
                <w14:ligatures w14:val="standardContextual"/>
              </w:rPr>
              <w:tab/>
            </w:r>
            <w:r w:rsidR="00A305C6" w:rsidRPr="00A305C6">
              <w:rPr>
                <w:rStyle w:val="Hyperlink"/>
              </w:rPr>
              <w:t>PERFORMANCE ACCOUNTABILITY</w:t>
            </w:r>
            <w:r w:rsidR="00A305C6" w:rsidRPr="00A305C6">
              <w:rPr>
                <w:webHidden/>
              </w:rPr>
              <w:tab/>
            </w:r>
            <w:r w:rsidR="00A305C6" w:rsidRPr="00A305C6">
              <w:rPr>
                <w:webHidden/>
              </w:rPr>
              <w:fldChar w:fldCharType="begin"/>
            </w:r>
            <w:r w:rsidR="00A305C6" w:rsidRPr="00A305C6">
              <w:rPr>
                <w:webHidden/>
              </w:rPr>
              <w:instrText xml:space="preserve"> PAGEREF _Toc174088872 \h </w:instrText>
            </w:r>
            <w:r w:rsidR="00A305C6" w:rsidRPr="00A305C6">
              <w:rPr>
                <w:webHidden/>
              </w:rPr>
            </w:r>
            <w:r w:rsidR="00A305C6" w:rsidRPr="00A305C6">
              <w:rPr>
                <w:webHidden/>
              </w:rPr>
              <w:fldChar w:fldCharType="separate"/>
            </w:r>
            <w:r w:rsidR="00A305C6" w:rsidRPr="00A305C6">
              <w:rPr>
                <w:webHidden/>
              </w:rPr>
              <w:t>V-1</w:t>
            </w:r>
            <w:r w:rsidR="00A305C6" w:rsidRPr="00A305C6">
              <w:rPr>
                <w:webHidden/>
              </w:rPr>
              <w:fldChar w:fldCharType="end"/>
            </w:r>
          </w:hyperlink>
        </w:p>
        <w:p w14:paraId="4F056285" w14:textId="1F40B40A" w:rsidR="00A305C6" w:rsidRPr="00A305C6" w:rsidRDefault="00B73E9E">
          <w:pPr>
            <w:pStyle w:val="TOC3"/>
            <w:rPr>
              <w:rFonts w:eastAsiaTheme="minorEastAsia"/>
              <w:kern w:val="2"/>
              <w14:ligatures w14:val="standardContextual"/>
            </w:rPr>
          </w:pPr>
          <w:hyperlink w:anchor="_Toc174088873" w:history="1">
            <w:r w:rsidR="00A305C6" w:rsidRPr="00A305C6">
              <w:rPr>
                <w:rStyle w:val="Hyperlink"/>
              </w:rPr>
              <w:t>Being a Data and Assessment Leader</w:t>
            </w:r>
            <w:r w:rsidR="00A305C6" w:rsidRPr="00A305C6">
              <w:rPr>
                <w:webHidden/>
              </w:rPr>
              <w:tab/>
            </w:r>
            <w:r w:rsidR="00A305C6" w:rsidRPr="00A305C6">
              <w:rPr>
                <w:webHidden/>
              </w:rPr>
              <w:fldChar w:fldCharType="begin"/>
            </w:r>
            <w:r w:rsidR="00A305C6" w:rsidRPr="00A305C6">
              <w:rPr>
                <w:webHidden/>
              </w:rPr>
              <w:instrText xml:space="preserve"> PAGEREF _Toc174088873 \h </w:instrText>
            </w:r>
            <w:r w:rsidR="00A305C6" w:rsidRPr="00A305C6">
              <w:rPr>
                <w:webHidden/>
              </w:rPr>
            </w:r>
            <w:r w:rsidR="00A305C6" w:rsidRPr="00A305C6">
              <w:rPr>
                <w:webHidden/>
              </w:rPr>
              <w:fldChar w:fldCharType="separate"/>
            </w:r>
            <w:r w:rsidR="00A305C6" w:rsidRPr="00A305C6">
              <w:rPr>
                <w:webHidden/>
              </w:rPr>
              <w:t>V-1</w:t>
            </w:r>
            <w:r w:rsidR="00A305C6" w:rsidRPr="00A305C6">
              <w:rPr>
                <w:webHidden/>
              </w:rPr>
              <w:fldChar w:fldCharType="end"/>
            </w:r>
          </w:hyperlink>
        </w:p>
        <w:p w14:paraId="1CA1769D" w14:textId="7B786850"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74" w:history="1">
            <w:r w:rsidR="00A305C6" w:rsidRPr="00A305C6">
              <w:rPr>
                <w:rStyle w:val="Hyperlink"/>
                <w:rFonts w:ascii="Times New Roman" w:hAnsi="Times New Roman" w:cs="Times New Roman"/>
                <w:noProof/>
              </w:rPr>
              <w:t>Managing Data Collection and Entry</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_Toc174088874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V-1</w:t>
            </w:r>
            <w:r w:rsidR="00A305C6" w:rsidRPr="00A305C6">
              <w:rPr>
                <w:rFonts w:ascii="Times New Roman" w:hAnsi="Times New Roman" w:cs="Times New Roman"/>
                <w:noProof/>
                <w:webHidden/>
              </w:rPr>
              <w:fldChar w:fldCharType="end"/>
            </w:r>
          </w:hyperlink>
        </w:p>
        <w:p w14:paraId="795026E5" w14:textId="57365257"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75" w:history="1">
            <w:r w:rsidR="00A305C6" w:rsidRPr="00A305C6">
              <w:rPr>
                <w:rStyle w:val="Hyperlink"/>
                <w:rFonts w:ascii="Times New Roman" w:hAnsi="Times New Roman" w:cs="Times New Roman"/>
                <w:noProof/>
              </w:rPr>
              <w:t>Managing the Data Flow and Reporting</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_Toc174088875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V-2</w:t>
            </w:r>
            <w:r w:rsidR="00A305C6" w:rsidRPr="00A305C6">
              <w:rPr>
                <w:rFonts w:ascii="Times New Roman" w:hAnsi="Times New Roman" w:cs="Times New Roman"/>
                <w:noProof/>
                <w:webHidden/>
              </w:rPr>
              <w:fldChar w:fldCharType="end"/>
            </w:r>
          </w:hyperlink>
        </w:p>
        <w:p w14:paraId="12F1126F" w14:textId="16F73475"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76" w:history="1">
            <w:r w:rsidR="00A305C6" w:rsidRPr="00A305C6">
              <w:rPr>
                <w:rStyle w:val="Hyperlink"/>
                <w:rFonts w:ascii="Times New Roman" w:hAnsi="Times New Roman" w:cs="Times New Roman"/>
                <w:noProof/>
              </w:rPr>
              <w:t>Using Data for Decision Making</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_Toc174088876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V-2</w:t>
            </w:r>
            <w:r w:rsidR="00A305C6" w:rsidRPr="00A305C6">
              <w:rPr>
                <w:rFonts w:ascii="Times New Roman" w:hAnsi="Times New Roman" w:cs="Times New Roman"/>
                <w:noProof/>
                <w:webHidden/>
              </w:rPr>
              <w:fldChar w:fldCharType="end"/>
            </w:r>
          </w:hyperlink>
        </w:p>
        <w:p w14:paraId="455CEDE3" w14:textId="3CD8D636"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77" w:history="1">
            <w:r w:rsidR="00A305C6" w:rsidRPr="00A305C6">
              <w:rPr>
                <w:rStyle w:val="Hyperlink"/>
                <w:rFonts w:ascii="Times New Roman" w:hAnsi="Times New Roman" w:cs="Times New Roman"/>
                <w:noProof/>
              </w:rPr>
              <w:t>Meeting Performance Targets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_Toc174088877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V-3</w:t>
            </w:r>
            <w:r w:rsidR="00A305C6" w:rsidRPr="00A305C6">
              <w:rPr>
                <w:rFonts w:ascii="Times New Roman" w:hAnsi="Times New Roman" w:cs="Times New Roman"/>
                <w:noProof/>
                <w:webHidden/>
              </w:rPr>
              <w:fldChar w:fldCharType="end"/>
            </w:r>
          </w:hyperlink>
        </w:p>
        <w:p w14:paraId="191EF4D5" w14:textId="40CFB306"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78" w:history="1">
            <w:r w:rsidR="00A305C6" w:rsidRPr="00A305C6">
              <w:rPr>
                <w:rStyle w:val="Hyperlink"/>
                <w:rFonts w:ascii="Times New Roman" w:hAnsi="Times New Roman" w:cs="Times New Roman"/>
                <w:noProof/>
              </w:rPr>
              <w:t>Communicating Your Data</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_Toc174088878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V-5</w:t>
            </w:r>
            <w:r w:rsidR="00A305C6" w:rsidRPr="00A305C6">
              <w:rPr>
                <w:rFonts w:ascii="Times New Roman" w:hAnsi="Times New Roman" w:cs="Times New Roman"/>
                <w:noProof/>
                <w:webHidden/>
              </w:rPr>
              <w:fldChar w:fldCharType="end"/>
            </w:r>
          </w:hyperlink>
        </w:p>
        <w:p w14:paraId="53A36146" w14:textId="415AA73D"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79" w:history="1">
            <w:r w:rsidR="00A305C6" w:rsidRPr="00A305C6">
              <w:rPr>
                <w:rStyle w:val="Hyperlink"/>
                <w:rFonts w:ascii="Times New Roman" w:hAnsi="Times New Roman" w:cs="Times New Roman"/>
                <w:noProof/>
              </w:rPr>
              <w:t>Where to Find Key Data Concepts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_Toc174088879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V-6</w:t>
            </w:r>
            <w:r w:rsidR="00A305C6" w:rsidRPr="00A305C6">
              <w:rPr>
                <w:rFonts w:ascii="Times New Roman" w:hAnsi="Times New Roman" w:cs="Times New Roman"/>
                <w:noProof/>
                <w:webHidden/>
              </w:rPr>
              <w:fldChar w:fldCharType="end"/>
            </w:r>
          </w:hyperlink>
        </w:p>
        <w:p w14:paraId="3DD7A8B9" w14:textId="53A49075" w:rsidR="00A305C6" w:rsidRPr="00A305C6" w:rsidRDefault="00B73E9E">
          <w:pPr>
            <w:pStyle w:val="TOC2"/>
            <w:rPr>
              <w:rFonts w:eastAsiaTheme="minorEastAsia"/>
              <w:b w:val="0"/>
              <w:bCs w:val="0"/>
              <w:kern w:val="2"/>
              <w:sz w:val="24"/>
              <w:szCs w:val="24"/>
              <w14:ligatures w14:val="standardContextual"/>
            </w:rPr>
          </w:pPr>
          <w:hyperlink w:anchor="_Toc174088880" w:history="1">
            <w:r w:rsidR="00A305C6" w:rsidRPr="00A305C6">
              <w:rPr>
                <w:rStyle w:val="Hyperlink"/>
              </w:rPr>
              <w:t>VI.</w:t>
            </w:r>
            <w:r w:rsidR="00A305C6" w:rsidRPr="00A305C6">
              <w:rPr>
                <w:rFonts w:eastAsiaTheme="minorEastAsia"/>
                <w:b w:val="0"/>
                <w:bCs w:val="0"/>
                <w:kern w:val="2"/>
                <w:sz w:val="24"/>
                <w:szCs w:val="24"/>
                <w14:ligatures w14:val="standardContextual"/>
              </w:rPr>
              <w:tab/>
            </w:r>
            <w:r w:rsidR="00A305C6" w:rsidRPr="00A305C6">
              <w:rPr>
                <w:rStyle w:val="Hyperlink"/>
              </w:rPr>
              <w:t>PROGRAM IMPROVEMENT</w:t>
            </w:r>
            <w:r w:rsidR="00A305C6" w:rsidRPr="00A305C6">
              <w:rPr>
                <w:webHidden/>
              </w:rPr>
              <w:tab/>
            </w:r>
            <w:r w:rsidR="00A305C6" w:rsidRPr="00A305C6">
              <w:rPr>
                <w:webHidden/>
              </w:rPr>
              <w:fldChar w:fldCharType="begin"/>
            </w:r>
            <w:r w:rsidR="00A305C6" w:rsidRPr="00A305C6">
              <w:rPr>
                <w:webHidden/>
              </w:rPr>
              <w:instrText xml:space="preserve"> PAGEREF _Toc174088880 \h </w:instrText>
            </w:r>
            <w:r w:rsidR="00A305C6" w:rsidRPr="00A305C6">
              <w:rPr>
                <w:webHidden/>
              </w:rPr>
            </w:r>
            <w:r w:rsidR="00A305C6" w:rsidRPr="00A305C6">
              <w:rPr>
                <w:webHidden/>
              </w:rPr>
              <w:fldChar w:fldCharType="separate"/>
            </w:r>
            <w:r w:rsidR="00A305C6" w:rsidRPr="00A305C6">
              <w:rPr>
                <w:webHidden/>
              </w:rPr>
              <w:t>VI-1</w:t>
            </w:r>
            <w:r w:rsidR="00A305C6" w:rsidRPr="00A305C6">
              <w:rPr>
                <w:webHidden/>
              </w:rPr>
              <w:fldChar w:fldCharType="end"/>
            </w:r>
          </w:hyperlink>
        </w:p>
        <w:p w14:paraId="1570A96F" w14:textId="681D43D0" w:rsidR="00A305C6" w:rsidRPr="00A305C6" w:rsidRDefault="00B73E9E">
          <w:pPr>
            <w:pStyle w:val="TOC3"/>
            <w:rPr>
              <w:rFonts w:eastAsiaTheme="minorEastAsia"/>
              <w:kern w:val="2"/>
              <w14:ligatures w14:val="standardContextual"/>
            </w:rPr>
          </w:pPr>
          <w:hyperlink w:anchor="_Toc174088881" w:history="1">
            <w:r w:rsidR="00A305C6" w:rsidRPr="00A305C6">
              <w:rPr>
                <w:rStyle w:val="Hyperlink"/>
              </w:rPr>
              <w:t>Participating in the State Monitoring and Evaluation Process</w:t>
            </w:r>
            <w:r w:rsidR="00A305C6" w:rsidRPr="00A305C6">
              <w:rPr>
                <w:webHidden/>
              </w:rPr>
              <w:tab/>
            </w:r>
            <w:r w:rsidR="00A305C6" w:rsidRPr="00A305C6">
              <w:rPr>
                <w:webHidden/>
              </w:rPr>
              <w:fldChar w:fldCharType="begin"/>
            </w:r>
            <w:r w:rsidR="00A305C6" w:rsidRPr="00A305C6">
              <w:rPr>
                <w:webHidden/>
              </w:rPr>
              <w:instrText xml:space="preserve"> PAGEREF _Toc174088881 \h </w:instrText>
            </w:r>
            <w:r w:rsidR="00A305C6" w:rsidRPr="00A305C6">
              <w:rPr>
                <w:webHidden/>
              </w:rPr>
            </w:r>
            <w:r w:rsidR="00A305C6" w:rsidRPr="00A305C6">
              <w:rPr>
                <w:webHidden/>
              </w:rPr>
              <w:fldChar w:fldCharType="separate"/>
            </w:r>
            <w:r w:rsidR="00A305C6" w:rsidRPr="00A305C6">
              <w:rPr>
                <w:webHidden/>
              </w:rPr>
              <w:t>VI-1</w:t>
            </w:r>
            <w:r w:rsidR="00A305C6" w:rsidRPr="00A305C6">
              <w:rPr>
                <w:webHidden/>
              </w:rPr>
              <w:fldChar w:fldCharType="end"/>
            </w:r>
          </w:hyperlink>
        </w:p>
        <w:p w14:paraId="1E20D434" w14:textId="67C59EEB"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82" w:history="1">
            <w:r w:rsidR="00A305C6" w:rsidRPr="00A305C6">
              <w:rPr>
                <w:rStyle w:val="Hyperlink"/>
                <w:rFonts w:ascii="Times New Roman" w:hAnsi="Times New Roman" w:cs="Times New Roman"/>
                <w:noProof/>
              </w:rPr>
              <w:t>Program Self-Assessment</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_Toc174088882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VI-1</w:t>
            </w:r>
            <w:r w:rsidR="00A305C6" w:rsidRPr="00A305C6">
              <w:rPr>
                <w:rFonts w:ascii="Times New Roman" w:hAnsi="Times New Roman" w:cs="Times New Roman"/>
                <w:noProof/>
                <w:webHidden/>
              </w:rPr>
              <w:fldChar w:fldCharType="end"/>
            </w:r>
          </w:hyperlink>
        </w:p>
        <w:p w14:paraId="6C79904D" w14:textId="525D4A16"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83" w:history="1">
            <w:r w:rsidR="00A305C6" w:rsidRPr="00A305C6">
              <w:rPr>
                <w:rStyle w:val="Hyperlink"/>
                <w:rFonts w:ascii="Times New Roman" w:hAnsi="Times New Roman" w:cs="Times New Roman"/>
                <w:noProof/>
              </w:rPr>
              <w:t>Program Identification</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_Toc174088883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VI-1</w:t>
            </w:r>
            <w:r w:rsidR="00A305C6" w:rsidRPr="00A305C6">
              <w:rPr>
                <w:rFonts w:ascii="Times New Roman" w:hAnsi="Times New Roman" w:cs="Times New Roman"/>
                <w:noProof/>
                <w:webHidden/>
              </w:rPr>
              <w:fldChar w:fldCharType="end"/>
            </w:r>
          </w:hyperlink>
        </w:p>
        <w:p w14:paraId="0EA1C9C5" w14:textId="2EDD3421"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84" w:history="1">
            <w:r w:rsidR="00A305C6" w:rsidRPr="00A305C6">
              <w:rPr>
                <w:rStyle w:val="Hyperlink"/>
                <w:rFonts w:ascii="Times New Roman" w:hAnsi="Times New Roman" w:cs="Times New Roman"/>
                <w:noProof/>
              </w:rPr>
              <w:t>Site Visits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_Toc174088884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VI-2</w:t>
            </w:r>
            <w:r w:rsidR="00A305C6" w:rsidRPr="00A305C6">
              <w:rPr>
                <w:rFonts w:ascii="Times New Roman" w:hAnsi="Times New Roman" w:cs="Times New Roman"/>
                <w:noProof/>
                <w:webHidden/>
              </w:rPr>
              <w:fldChar w:fldCharType="end"/>
            </w:r>
          </w:hyperlink>
        </w:p>
        <w:p w14:paraId="6FC63E57" w14:textId="4E214157"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85" w:history="1">
            <w:r w:rsidR="00A305C6" w:rsidRPr="00A305C6">
              <w:rPr>
                <w:rStyle w:val="Hyperlink"/>
                <w:rFonts w:ascii="Times New Roman" w:hAnsi="Times New Roman" w:cs="Times New Roman"/>
                <w:noProof/>
              </w:rPr>
              <w:t>Program Manager Responsibilities for Site Visits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_Toc174088885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VI-2</w:t>
            </w:r>
            <w:r w:rsidR="00A305C6" w:rsidRPr="00A305C6">
              <w:rPr>
                <w:rFonts w:ascii="Times New Roman" w:hAnsi="Times New Roman" w:cs="Times New Roman"/>
                <w:noProof/>
                <w:webHidden/>
              </w:rPr>
              <w:fldChar w:fldCharType="end"/>
            </w:r>
          </w:hyperlink>
        </w:p>
        <w:p w14:paraId="23527D27" w14:textId="00F9748C"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86" w:history="1">
            <w:r w:rsidR="00A305C6" w:rsidRPr="00A305C6">
              <w:rPr>
                <w:rStyle w:val="Hyperlink"/>
                <w:rFonts w:ascii="Times New Roman" w:eastAsia="Times New Roman" w:hAnsi="Times New Roman" w:cs="Times New Roman"/>
                <w:noProof/>
              </w:rPr>
              <w:t>Program Improvement Cohort</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_Toc174088886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VI-3</w:t>
            </w:r>
            <w:r w:rsidR="00A305C6" w:rsidRPr="00A305C6">
              <w:rPr>
                <w:rFonts w:ascii="Times New Roman" w:hAnsi="Times New Roman" w:cs="Times New Roman"/>
                <w:noProof/>
                <w:webHidden/>
              </w:rPr>
              <w:fldChar w:fldCharType="end"/>
            </w:r>
          </w:hyperlink>
        </w:p>
        <w:p w14:paraId="2E980A39" w14:textId="58C22A9C"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87" w:history="1">
            <w:r w:rsidR="00A305C6" w:rsidRPr="00A305C6">
              <w:rPr>
                <w:rStyle w:val="Hyperlink"/>
                <w:rFonts w:ascii="Times New Roman" w:hAnsi="Times New Roman" w:cs="Times New Roman"/>
                <w:noProof/>
              </w:rPr>
              <w:t>Annual Monitoring Cycle</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_Toc174088887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VI-3</w:t>
            </w:r>
            <w:r w:rsidR="00A305C6" w:rsidRPr="00A305C6">
              <w:rPr>
                <w:rFonts w:ascii="Times New Roman" w:hAnsi="Times New Roman" w:cs="Times New Roman"/>
                <w:noProof/>
                <w:webHidden/>
              </w:rPr>
              <w:fldChar w:fldCharType="end"/>
            </w:r>
          </w:hyperlink>
        </w:p>
        <w:p w14:paraId="19CD0A5F" w14:textId="623C01FE"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88" w:history="1">
            <w:r w:rsidR="00A305C6" w:rsidRPr="00A305C6">
              <w:rPr>
                <w:rStyle w:val="Hyperlink"/>
                <w:rFonts w:ascii="Times New Roman" w:hAnsi="Times New Roman" w:cs="Times New Roman"/>
                <w:noProof/>
              </w:rPr>
              <w:t>Report of Findings and Corrective Action</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_Toc174088888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VI-3</w:t>
            </w:r>
            <w:r w:rsidR="00A305C6" w:rsidRPr="00A305C6">
              <w:rPr>
                <w:rFonts w:ascii="Times New Roman" w:hAnsi="Times New Roman" w:cs="Times New Roman"/>
                <w:noProof/>
                <w:webHidden/>
              </w:rPr>
              <w:fldChar w:fldCharType="end"/>
            </w:r>
          </w:hyperlink>
        </w:p>
        <w:p w14:paraId="6A1393EF" w14:textId="66363ED8"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89" w:history="1">
            <w:r w:rsidR="00A305C6" w:rsidRPr="00A305C6">
              <w:rPr>
                <w:rStyle w:val="Hyperlink"/>
                <w:rFonts w:ascii="Times New Roman" w:hAnsi="Times New Roman" w:cs="Times New Roman"/>
                <w:noProof/>
              </w:rPr>
              <w:t>Evaluation Efforts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_Toc174088889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VI-4</w:t>
            </w:r>
            <w:r w:rsidR="00A305C6" w:rsidRPr="00A305C6">
              <w:rPr>
                <w:rFonts w:ascii="Times New Roman" w:hAnsi="Times New Roman" w:cs="Times New Roman"/>
                <w:noProof/>
                <w:webHidden/>
              </w:rPr>
              <w:fldChar w:fldCharType="end"/>
            </w:r>
          </w:hyperlink>
        </w:p>
        <w:p w14:paraId="0C1F2539" w14:textId="2D6936E2" w:rsidR="00A305C6" w:rsidRPr="00A305C6" w:rsidRDefault="00B73E9E">
          <w:pPr>
            <w:pStyle w:val="TOC2"/>
            <w:tabs>
              <w:tab w:val="left" w:pos="960"/>
            </w:tabs>
            <w:rPr>
              <w:rFonts w:eastAsiaTheme="minorEastAsia"/>
              <w:b w:val="0"/>
              <w:bCs w:val="0"/>
              <w:kern w:val="2"/>
              <w:sz w:val="24"/>
              <w:szCs w:val="24"/>
              <w14:ligatures w14:val="standardContextual"/>
            </w:rPr>
          </w:pPr>
          <w:hyperlink w:anchor="_Toc174088890" w:history="1">
            <w:r w:rsidR="00A305C6" w:rsidRPr="00A305C6">
              <w:rPr>
                <w:rStyle w:val="Hyperlink"/>
              </w:rPr>
              <w:t>VII.</w:t>
            </w:r>
            <w:r w:rsidR="00A305C6" w:rsidRPr="00A305C6">
              <w:rPr>
                <w:rFonts w:eastAsiaTheme="minorEastAsia"/>
                <w:b w:val="0"/>
                <w:bCs w:val="0"/>
                <w:kern w:val="2"/>
                <w:sz w:val="24"/>
                <w:szCs w:val="24"/>
                <w14:ligatures w14:val="standardContextual"/>
              </w:rPr>
              <w:tab/>
            </w:r>
            <w:r w:rsidR="00A305C6" w:rsidRPr="00A305C6">
              <w:rPr>
                <w:rStyle w:val="Hyperlink"/>
              </w:rPr>
              <w:t>ALIGNMENT WITH WIOA PARTNERS</w:t>
            </w:r>
            <w:r w:rsidR="00A305C6" w:rsidRPr="00A305C6">
              <w:rPr>
                <w:webHidden/>
              </w:rPr>
              <w:tab/>
            </w:r>
            <w:r w:rsidR="00A305C6" w:rsidRPr="00A305C6">
              <w:rPr>
                <w:webHidden/>
              </w:rPr>
              <w:fldChar w:fldCharType="begin"/>
            </w:r>
            <w:r w:rsidR="00A305C6" w:rsidRPr="00A305C6">
              <w:rPr>
                <w:webHidden/>
              </w:rPr>
              <w:instrText xml:space="preserve"> PAGEREF _Toc174088890 \h </w:instrText>
            </w:r>
            <w:r w:rsidR="00A305C6" w:rsidRPr="00A305C6">
              <w:rPr>
                <w:webHidden/>
              </w:rPr>
            </w:r>
            <w:r w:rsidR="00A305C6" w:rsidRPr="00A305C6">
              <w:rPr>
                <w:webHidden/>
              </w:rPr>
              <w:fldChar w:fldCharType="separate"/>
            </w:r>
            <w:r w:rsidR="00A305C6" w:rsidRPr="00A305C6">
              <w:rPr>
                <w:webHidden/>
              </w:rPr>
              <w:t>VII-1</w:t>
            </w:r>
            <w:r w:rsidR="00A305C6" w:rsidRPr="00A305C6">
              <w:rPr>
                <w:webHidden/>
              </w:rPr>
              <w:fldChar w:fldCharType="end"/>
            </w:r>
          </w:hyperlink>
        </w:p>
        <w:p w14:paraId="21E3B6AE" w14:textId="3C9415E3" w:rsidR="00A305C6" w:rsidRPr="00A305C6" w:rsidRDefault="00B73E9E">
          <w:pPr>
            <w:pStyle w:val="TOC3"/>
            <w:rPr>
              <w:rFonts w:eastAsiaTheme="minorEastAsia"/>
              <w:kern w:val="2"/>
              <w14:ligatures w14:val="standardContextual"/>
            </w:rPr>
          </w:pPr>
          <w:hyperlink w:anchor="_Toc174088891" w:history="1">
            <w:r w:rsidR="00A305C6" w:rsidRPr="00A305C6">
              <w:rPr>
                <w:rStyle w:val="Hyperlink"/>
              </w:rPr>
              <w:t>WIOA Combined State Plan for the Commonwealth of Virginia 2024-2027</w:t>
            </w:r>
            <w:r w:rsidR="00A305C6" w:rsidRPr="00A305C6">
              <w:rPr>
                <w:webHidden/>
              </w:rPr>
              <w:tab/>
            </w:r>
            <w:r w:rsidR="00A305C6" w:rsidRPr="00A305C6">
              <w:rPr>
                <w:webHidden/>
              </w:rPr>
              <w:fldChar w:fldCharType="begin"/>
            </w:r>
            <w:r w:rsidR="00A305C6" w:rsidRPr="00A305C6">
              <w:rPr>
                <w:webHidden/>
              </w:rPr>
              <w:instrText xml:space="preserve"> PAGEREF _Toc174088891 \h </w:instrText>
            </w:r>
            <w:r w:rsidR="00A305C6" w:rsidRPr="00A305C6">
              <w:rPr>
                <w:webHidden/>
              </w:rPr>
            </w:r>
            <w:r w:rsidR="00A305C6" w:rsidRPr="00A305C6">
              <w:rPr>
                <w:webHidden/>
              </w:rPr>
              <w:fldChar w:fldCharType="separate"/>
            </w:r>
            <w:r w:rsidR="00A305C6" w:rsidRPr="00A305C6">
              <w:rPr>
                <w:webHidden/>
              </w:rPr>
              <w:t>VII-1</w:t>
            </w:r>
            <w:r w:rsidR="00A305C6" w:rsidRPr="00A305C6">
              <w:rPr>
                <w:webHidden/>
              </w:rPr>
              <w:fldChar w:fldCharType="end"/>
            </w:r>
          </w:hyperlink>
        </w:p>
        <w:p w14:paraId="37E3E2D0" w14:textId="5658330D" w:rsidR="00A305C6" w:rsidRPr="00A305C6" w:rsidRDefault="00B73E9E">
          <w:pPr>
            <w:pStyle w:val="TOC3"/>
            <w:rPr>
              <w:rFonts w:eastAsiaTheme="minorEastAsia"/>
              <w:kern w:val="2"/>
              <w14:ligatures w14:val="standardContextual"/>
            </w:rPr>
          </w:pPr>
          <w:hyperlink w:anchor="_Toc174088892" w:history="1">
            <w:r w:rsidR="00A305C6" w:rsidRPr="00A305C6">
              <w:rPr>
                <w:rStyle w:val="Hyperlink"/>
              </w:rPr>
              <w:t>One-Stop, or Career Works, Center Responsibilities</w:t>
            </w:r>
            <w:r w:rsidR="00A305C6" w:rsidRPr="00A305C6">
              <w:rPr>
                <w:webHidden/>
              </w:rPr>
              <w:tab/>
            </w:r>
            <w:r w:rsidR="00A305C6" w:rsidRPr="00A305C6">
              <w:rPr>
                <w:webHidden/>
              </w:rPr>
              <w:fldChar w:fldCharType="begin"/>
            </w:r>
            <w:r w:rsidR="00A305C6" w:rsidRPr="00A305C6">
              <w:rPr>
                <w:webHidden/>
              </w:rPr>
              <w:instrText xml:space="preserve"> PAGEREF _Toc174088892 \h </w:instrText>
            </w:r>
            <w:r w:rsidR="00A305C6" w:rsidRPr="00A305C6">
              <w:rPr>
                <w:webHidden/>
              </w:rPr>
            </w:r>
            <w:r w:rsidR="00A305C6" w:rsidRPr="00A305C6">
              <w:rPr>
                <w:webHidden/>
              </w:rPr>
              <w:fldChar w:fldCharType="separate"/>
            </w:r>
            <w:r w:rsidR="00A305C6" w:rsidRPr="00A305C6">
              <w:rPr>
                <w:webHidden/>
              </w:rPr>
              <w:t>VII-3</w:t>
            </w:r>
            <w:r w:rsidR="00A305C6" w:rsidRPr="00A305C6">
              <w:rPr>
                <w:webHidden/>
              </w:rPr>
              <w:fldChar w:fldCharType="end"/>
            </w:r>
          </w:hyperlink>
        </w:p>
        <w:p w14:paraId="3C8128D8" w14:textId="3E70197A" w:rsidR="00A305C6" w:rsidRPr="00A305C6" w:rsidRDefault="00B73E9E">
          <w:pPr>
            <w:pStyle w:val="TOC3"/>
            <w:rPr>
              <w:rFonts w:eastAsiaTheme="minorEastAsia"/>
              <w:kern w:val="2"/>
              <w14:ligatures w14:val="standardContextual"/>
            </w:rPr>
          </w:pPr>
          <w:hyperlink w:anchor="_Toc174088893" w:history="1">
            <w:r w:rsidR="00A305C6" w:rsidRPr="00A305C6">
              <w:rPr>
                <w:rStyle w:val="Hyperlink"/>
              </w:rPr>
              <w:t>Cross-Agency Projects</w:t>
            </w:r>
            <w:r w:rsidR="00A305C6" w:rsidRPr="00A305C6">
              <w:rPr>
                <w:webHidden/>
              </w:rPr>
              <w:tab/>
            </w:r>
            <w:r w:rsidR="00A305C6" w:rsidRPr="00A305C6">
              <w:rPr>
                <w:webHidden/>
              </w:rPr>
              <w:fldChar w:fldCharType="begin"/>
            </w:r>
            <w:r w:rsidR="00A305C6" w:rsidRPr="00A305C6">
              <w:rPr>
                <w:webHidden/>
              </w:rPr>
              <w:instrText xml:space="preserve"> PAGEREF _Toc174088893 \h </w:instrText>
            </w:r>
            <w:r w:rsidR="00A305C6" w:rsidRPr="00A305C6">
              <w:rPr>
                <w:webHidden/>
              </w:rPr>
            </w:r>
            <w:r w:rsidR="00A305C6" w:rsidRPr="00A305C6">
              <w:rPr>
                <w:webHidden/>
              </w:rPr>
              <w:fldChar w:fldCharType="separate"/>
            </w:r>
            <w:r w:rsidR="00A305C6" w:rsidRPr="00A305C6">
              <w:rPr>
                <w:webHidden/>
              </w:rPr>
              <w:t>VII-4</w:t>
            </w:r>
            <w:r w:rsidR="00A305C6" w:rsidRPr="00A305C6">
              <w:rPr>
                <w:webHidden/>
              </w:rPr>
              <w:fldChar w:fldCharType="end"/>
            </w:r>
          </w:hyperlink>
        </w:p>
        <w:p w14:paraId="4208B3CC" w14:textId="505096BD" w:rsidR="00A305C6" w:rsidRPr="00A305C6" w:rsidRDefault="00B73E9E">
          <w:pPr>
            <w:pStyle w:val="TOC2"/>
            <w:tabs>
              <w:tab w:val="left" w:pos="1200"/>
            </w:tabs>
            <w:rPr>
              <w:rFonts w:eastAsiaTheme="minorEastAsia"/>
              <w:b w:val="0"/>
              <w:bCs w:val="0"/>
              <w:kern w:val="2"/>
              <w:sz w:val="24"/>
              <w:szCs w:val="24"/>
              <w14:ligatures w14:val="standardContextual"/>
            </w:rPr>
          </w:pPr>
          <w:hyperlink w:anchor="_Toc174088894" w:history="1">
            <w:r w:rsidR="00A305C6" w:rsidRPr="00A305C6">
              <w:rPr>
                <w:rStyle w:val="Hyperlink"/>
              </w:rPr>
              <w:t>VIII.</w:t>
            </w:r>
            <w:r w:rsidR="00A305C6" w:rsidRPr="00A305C6">
              <w:rPr>
                <w:rFonts w:eastAsiaTheme="minorEastAsia"/>
                <w:b w:val="0"/>
                <w:bCs w:val="0"/>
                <w:kern w:val="2"/>
                <w:sz w:val="24"/>
                <w:szCs w:val="24"/>
                <w14:ligatures w14:val="standardContextual"/>
              </w:rPr>
              <w:tab/>
            </w:r>
            <w:r w:rsidR="00A305C6" w:rsidRPr="00A305C6">
              <w:rPr>
                <w:rStyle w:val="Hyperlink"/>
              </w:rPr>
              <w:t>GLOSSARY OF TERMS</w:t>
            </w:r>
            <w:r w:rsidR="00A305C6" w:rsidRPr="00A305C6">
              <w:rPr>
                <w:webHidden/>
              </w:rPr>
              <w:tab/>
            </w:r>
            <w:r w:rsidR="00A305C6" w:rsidRPr="00A305C6">
              <w:rPr>
                <w:webHidden/>
              </w:rPr>
              <w:fldChar w:fldCharType="begin"/>
            </w:r>
            <w:r w:rsidR="00A305C6" w:rsidRPr="00A305C6">
              <w:rPr>
                <w:webHidden/>
              </w:rPr>
              <w:instrText xml:space="preserve"> PAGEREF _Toc174088894 \h </w:instrText>
            </w:r>
            <w:r w:rsidR="00A305C6" w:rsidRPr="00A305C6">
              <w:rPr>
                <w:webHidden/>
              </w:rPr>
            </w:r>
            <w:r w:rsidR="00A305C6" w:rsidRPr="00A305C6">
              <w:rPr>
                <w:webHidden/>
              </w:rPr>
              <w:fldChar w:fldCharType="separate"/>
            </w:r>
            <w:r w:rsidR="00A305C6" w:rsidRPr="00A305C6">
              <w:rPr>
                <w:webHidden/>
              </w:rPr>
              <w:t>VIII-1</w:t>
            </w:r>
            <w:r w:rsidR="00A305C6" w:rsidRPr="00A305C6">
              <w:rPr>
                <w:webHidden/>
              </w:rPr>
              <w:fldChar w:fldCharType="end"/>
            </w:r>
          </w:hyperlink>
        </w:p>
        <w:p w14:paraId="62E65DF7" w14:textId="6AF7B66A" w:rsidR="00A305C6" w:rsidRPr="00A305C6" w:rsidRDefault="00B73E9E">
          <w:pPr>
            <w:pStyle w:val="TOC2"/>
            <w:rPr>
              <w:rFonts w:eastAsiaTheme="minorEastAsia"/>
              <w:b w:val="0"/>
              <w:bCs w:val="0"/>
              <w:kern w:val="2"/>
              <w:sz w:val="24"/>
              <w:szCs w:val="24"/>
              <w14:ligatures w14:val="standardContextual"/>
            </w:rPr>
          </w:pPr>
          <w:hyperlink w:anchor="_Toc174088895" w:history="1">
            <w:r w:rsidR="00A305C6" w:rsidRPr="00A305C6">
              <w:rPr>
                <w:rStyle w:val="Hyperlink"/>
              </w:rPr>
              <w:t>IX.</w:t>
            </w:r>
            <w:r w:rsidR="00A305C6" w:rsidRPr="00A305C6">
              <w:rPr>
                <w:rFonts w:eastAsiaTheme="minorEastAsia"/>
                <w:b w:val="0"/>
                <w:bCs w:val="0"/>
                <w:kern w:val="2"/>
                <w:sz w:val="24"/>
                <w:szCs w:val="24"/>
                <w14:ligatures w14:val="standardContextual"/>
              </w:rPr>
              <w:tab/>
            </w:r>
            <w:r w:rsidR="00A305C6" w:rsidRPr="00A305C6">
              <w:rPr>
                <w:rStyle w:val="Hyperlink"/>
              </w:rPr>
              <w:t>APPENDICES</w:t>
            </w:r>
            <w:r w:rsidR="00A305C6" w:rsidRPr="00A305C6">
              <w:rPr>
                <w:webHidden/>
              </w:rPr>
              <w:tab/>
            </w:r>
            <w:r w:rsidR="00A305C6" w:rsidRPr="00A305C6">
              <w:rPr>
                <w:webHidden/>
              </w:rPr>
              <w:fldChar w:fldCharType="begin"/>
            </w:r>
            <w:r w:rsidR="00A305C6" w:rsidRPr="00A305C6">
              <w:rPr>
                <w:webHidden/>
              </w:rPr>
              <w:instrText xml:space="preserve"> PAGEREF _Toc174088895 \h </w:instrText>
            </w:r>
            <w:r w:rsidR="00A305C6" w:rsidRPr="00A305C6">
              <w:rPr>
                <w:webHidden/>
              </w:rPr>
            </w:r>
            <w:r w:rsidR="00A305C6" w:rsidRPr="00A305C6">
              <w:rPr>
                <w:webHidden/>
              </w:rPr>
              <w:fldChar w:fldCharType="separate"/>
            </w:r>
            <w:r w:rsidR="00A305C6" w:rsidRPr="00A305C6">
              <w:rPr>
                <w:webHidden/>
              </w:rPr>
              <w:t>IX-13</w:t>
            </w:r>
            <w:r w:rsidR="00A305C6" w:rsidRPr="00A305C6">
              <w:rPr>
                <w:webHidden/>
              </w:rPr>
              <w:fldChar w:fldCharType="end"/>
            </w:r>
          </w:hyperlink>
        </w:p>
        <w:p w14:paraId="3AAFCA29" w14:textId="67A2D8FD" w:rsidR="00A305C6" w:rsidRPr="00A305C6" w:rsidRDefault="00B73E9E">
          <w:pPr>
            <w:pStyle w:val="TOC3"/>
            <w:rPr>
              <w:rFonts w:eastAsiaTheme="minorEastAsia"/>
              <w:kern w:val="2"/>
              <w14:ligatures w14:val="standardContextual"/>
            </w:rPr>
          </w:pPr>
          <w:hyperlink w:anchor="_Toc174088896" w:history="1">
            <w:r w:rsidR="00A305C6" w:rsidRPr="00A305C6">
              <w:rPr>
                <w:rStyle w:val="Hyperlink"/>
              </w:rPr>
              <w:t>Appendix A: OMEGA AEFLA and Related Awards Reimbursement Submission Tips</w:t>
            </w:r>
            <w:r w:rsidR="00A305C6" w:rsidRPr="00A305C6">
              <w:rPr>
                <w:webHidden/>
              </w:rPr>
              <w:tab/>
            </w:r>
            <w:r w:rsidR="00A305C6" w:rsidRPr="00A305C6">
              <w:rPr>
                <w:webHidden/>
              </w:rPr>
              <w:fldChar w:fldCharType="begin"/>
            </w:r>
            <w:r w:rsidR="00A305C6" w:rsidRPr="00A305C6">
              <w:rPr>
                <w:webHidden/>
              </w:rPr>
              <w:instrText xml:space="preserve"> PAGEREF _Toc174088896 \h </w:instrText>
            </w:r>
            <w:r w:rsidR="00A305C6" w:rsidRPr="00A305C6">
              <w:rPr>
                <w:webHidden/>
              </w:rPr>
            </w:r>
            <w:r w:rsidR="00A305C6" w:rsidRPr="00A305C6">
              <w:rPr>
                <w:webHidden/>
              </w:rPr>
              <w:fldChar w:fldCharType="separate"/>
            </w:r>
            <w:r w:rsidR="00A305C6" w:rsidRPr="00A305C6">
              <w:rPr>
                <w:webHidden/>
              </w:rPr>
              <w:t>IX-14</w:t>
            </w:r>
            <w:r w:rsidR="00A305C6" w:rsidRPr="00A305C6">
              <w:rPr>
                <w:webHidden/>
              </w:rPr>
              <w:fldChar w:fldCharType="end"/>
            </w:r>
          </w:hyperlink>
        </w:p>
        <w:p w14:paraId="04EB6349" w14:textId="678B0F08"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97" w:history="1">
            <w:r w:rsidR="00A305C6" w:rsidRPr="00A305C6">
              <w:rPr>
                <w:rStyle w:val="Hyperlink"/>
                <w:rFonts w:ascii="Times New Roman" w:hAnsi="Times New Roman" w:cs="Times New Roman"/>
                <w:noProof/>
              </w:rPr>
              <w:t>Expenditure Dates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_Toc174088897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IX-14</w:t>
            </w:r>
            <w:r w:rsidR="00A305C6" w:rsidRPr="00A305C6">
              <w:rPr>
                <w:rFonts w:ascii="Times New Roman" w:hAnsi="Times New Roman" w:cs="Times New Roman"/>
                <w:noProof/>
                <w:webHidden/>
              </w:rPr>
              <w:fldChar w:fldCharType="end"/>
            </w:r>
          </w:hyperlink>
        </w:p>
        <w:p w14:paraId="554C9992" w14:textId="405AF9D6"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98" w:history="1">
            <w:r w:rsidR="00A305C6" w:rsidRPr="00A305C6">
              <w:rPr>
                <w:rStyle w:val="Hyperlink"/>
                <w:rFonts w:ascii="Times New Roman" w:hAnsi="Times New Roman" w:cs="Times New Roman"/>
                <w:noProof/>
              </w:rPr>
              <w:t>Object Codes</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_Toc174088898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IX-14</w:t>
            </w:r>
            <w:r w:rsidR="00A305C6" w:rsidRPr="00A305C6">
              <w:rPr>
                <w:rFonts w:ascii="Times New Roman" w:hAnsi="Times New Roman" w:cs="Times New Roman"/>
                <w:noProof/>
                <w:webHidden/>
              </w:rPr>
              <w:fldChar w:fldCharType="end"/>
            </w:r>
          </w:hyperlink>
        </w:p>
        <w:p w14:paraId="76AC5CC3" w14:textId="551C7EE5" w:rsidR="00A305C6" w:rsidRPr="00A305C6" w:rsidRDefault="00B73E9E">
          <w:pPr>
            <w:pStyle w:val="TOC4"/>
            <w:rPr>
              <w:rFonts w:ascii="Times New Roman" w:eastAsiaTheme="minorEastAsia" w:hAnsi="Times New Roman" w:cs="Times New Roman"/>
              <w:noProof/>
              <w:kern w:val="2"/>
              <w:sz w:val="24"/>
              <w:szCs w:val="24"/>
              <w14:ligatures w14:val="standardContextual"/>
            </w:rPr>
          </w:pPr>
          <w:hyperlink w:anchor="_Toc174088899" w:history="1">
            <w:r w:rsidR="00A305C6" w:rsidRPr="00A305C6">
              <w:rPr>
                <w:rStyle w:val="Hyperlink"/>
                <w:rFonts w:ascii="Times New Roman" w:hAnsi="Times New Roman" w:cs="Times New Roman"/>
                <w:noProof/>
              </w:rPr>
              <w:t>General Notes about AEFLA Budgeting</w:t>
            </w:r>
            <w:r w:rsidR="00A305C6" w:rsidRPr="00A305C6">
              <w:rPr>
                <w:rFonts w:ascii="Times New Roman" w:hAnsi="Times New Roman" w:cs="Times New Roman"/>
                <w:noProof/>
                <w:webHidden/>
              </w:rPr>
              <w:tab/>
            </w:r>
            <w:r w:rsidR="00A305C6" w:rsidRPr="00A305C6">
              <w:rPr>
                <w:rFonts w:ascii="Times New Roman" w:hAnsi="Times New Roman" w:cs="Times New Roman"/>
                <w:noProof/>
                <w:webHidden/>
              </w:rPr>
              <w:fldChar w:fldCharType="begin"/>
            </w:r>
            <w:r w:rsidR="00A305C6" w:rsidRPr="00A305C6">
              <w:rPr>
                <w:rFonts w:ascii="Times New Roman" w:hAnsi="Times New Roman" w:cs="Times New Roman"/>
                <w:noProof/>
                <w:webHidden/>
              </w:rPr>
              <w:instrText xml:space="preserve"> PAGEREF _Toc174088899 \h </w:instrText>
            </w:r>
            <w:r w:rsidR="00A305C6" w:rsidRPr="00A305C6">
              <w:rPr>
                <w:rFonts w:ascii="Times New Roman" w:hAnsi="Times New Roman" w:cs="Times New Roman"/>
                <w:noProof/>
                <w:webHidden/>
              </w:rPr>
            </w:r>
            <w:r w:rsidR="00A305C6" w:rsidRPr="00A305C6">
              <w:rPr>
                <w:rFonts w:ascii="Times New Roman" w:hAnsi="Times New Roman" w:cs="Times New Roman"/>
                <w:noProof/>
                <w:webHidden/>
              </w:rPr>
              <w:fldChar w:fldCharType="separate"/>
            </w:r>
            <w:r w:rsidR="00A305C6" w:rsidRPr="00A305C6">
              <w:rPr>
                <w:rFonts w:ascii="Times New Roman" w:hAnsi="Times New Roman" w:cs="Times New Roman"/>
                <w:noProof/>
                <w:webHidden/>
              </w:rPr>
              <w:t>IX-15</w:t>
            </w:r>
            <w:r w:rsidR="00A305C6" w:rsidRPr="00A305C6">
              <w:rPr>
                <w:rFonts w:ascii="Times New Roman" w:hAnsi="Times New Roman" w:cs="Times New Roman"/>
                <w:noProof/>
                <w:webHidden/>
              </w:rPr>
              <w:fldChar w:fldCharType="end"/>
            </w:r>
          </w:hyperlink>
        </w:p>
        <w:p w14:paraId="629D2DFB" w14:textId="4D6FA62A" w:rsidR="0069138B" w:rsidRPr="005E60C3" w:rsidRDefault="00BF5CDA" w:rsidP="005E60C3">
          <w:pPr>
            <w:tabs>
              <w:tab w:val="right" w:pos="9360"/>
            </w:tabs>
            <w:spacing w:before="200" w:after="80" w:line="240" w:lineRule="auto"/>
            <w:rPr>
              <w:rFonts w:ascii="Times New Roman" w:hAnsi="Times New Roman" w:cs="Times New Roman"/>
              <w:color w:val="000000"/>
              <w:sz w:val="24"/>
            </w:rPr>
            <w:sectPr w:rsidR="0069138B" w:rsidRPr="005E60C3" w:rsidSect="00B16174">
              <w:footerReference w:type="default" r:id="rId13"/>
              <w:pgSz w:w="12240" w:h="15840"/>
              <w:pgMar w:top="1440" w:right="990" w:bottom="1440" w:left="1440" w:header="720" w:footer="720" w:gutter="0"/>
              <w:pgNumType w:fmt="lowerRoman"/>
              <w:cols w:space="720"/>
            </w:sectPr>
          </w:pPr>
          <w:r w:rsidRPr="00A305C6">
            <w:rPr>
              <w:rFonts w:ascii="Times New Roman" w:hAnsi="Times New Roman" w:cs="Times New Roman"/>
              <w:sz w:val="28"/>
              <w:szCs w:val="28"/>
            </w:rPr>
            <w:fldChar w:fldCharType="end"/>
          </w:r>
        </w:p>
      </w:sdtContent>
    </w:sdt>
    <w:p w14:paraId="00000054" w14:textId="726A6FC3" w:rsidR="002F3C8D" w:rsidRPr="00AB56C4" w:rsidRDefault="00BF5CDA" w:rsidP="004C3706">
      <w:pPr>
        <w:pStyle w:val="Heading2"/>
      </w:pPr>
      <w:bookmarkStart w:id="0" w:name="_Toc174088815"/>
      <w:r w:rsidRPr="00AB56C4">
        <w:lastRenderedPageBreak/>
        <w:t>PURPOSE AND PARTICIPANT ELIGIBILITY</w:t>
      </w:r>
      <w:bookmarkEnd w:id="0"/>
    </w:p>
    <w:p w14:paraId="00000055" w14:textId="77777777" w:rsidR="002F3C8D" w:rsidRPr="00B131CA" w:rsidRDefault="00BF5CDA">
      <w:pPr>
        <w:spacing w:after="12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T</w:t>
      </w:r>
      <w:r w:rsidRPr="00B131CA">
        <w:rPr>
          <w:rFonts w:ascii="Times New Roman" w:eastAsia="Times New Roman" w:hAnsi="Times New Roman" w:cs="Times New Roman"/>
          <w:color w:val="000000"/>
          <w:sz w:val="24"/>
          <w:szCs w:val="24"/>
        </w:rPr>
        <w:t>he p</w:t>
      </w:r>
      <w:r w:rsidRPr="00B131CA">
        <w:rPr>
          <w:rFonts w:ascii="Times New Roman" w:eastAsia="Times New Roman" w:hAnsi="Times New Roman" w:cs="Times New Roman"/>
          <w:sz w:val="24"/>
          <w:szCs w:val="24"/>
        </w:rPr>
        <w:t>urpose of the</w:t>
      </w:r>
      <w:r w:rsidRPr="00B131CA">
        <w:rPr>
          <w:rFonts w:ascii="Times New Roman" w:eastAsia="Times New Roman" w:hAnsi="Times New Roman" w:cs="Times New Roman"/>
          <w:i/>
          <w:color w:val="000000"/>
          <w:sz w:val="24"/>
          <w:szCs w:val="24"/>
        </w:rPr>
        <w:t xml:space="preserve"> </w:t>
      </w:r>
      <w:r w:rsidRPr="00B131CA">
        <w:rPr>
          <w:rFonts w:ascii="Times New Roman" w:eastAsia="Times New Roman" w:hAnsi="Times New Roman" w:cs="Times New Roman"/>
          <w:color w:val="000000"/>
          <w:sz w:val="24"/>
          <w:szCs w:val="24"/>
        </w:rPr>
        <w:t>Adult Education and Family Literacy Act (AEFLA), title II, Sec. 202 of the</w:t>
      </w:r>
      <w:r w:rsidRPr="00B131CA">
        <w:rPr>
          <w:rFonts w:ascii="Times New Roman" w:eastAsia="Times New Roman" w:hAnsi="Times New Roman" w:cs="Times New Roman"/>
          <w:i/>
          <w:color w:val="000000"/>
          <w:sz w:val="24"/>
          <w:szCs w:val="24"/>
        </w:rPr>
        <w:t xml:space="preserve"> Workforce Innovation and Opportunity Act (WIOA) of 2014, </w:t>
      </w:r>
      <w:r w:rsidRPr="00B131CA">
        <w:rPr>
          <w:rFonts w:ascii="Times New Roman" w:eastAsia="Times New Roman" w:hAnsi="Times New Roman" w:cs="Times New Roman"/>
          <w:color w:val="000000"/>
          <w:sz w:val="24"/>
          <w:szCs w:val="24"/>
        </w:rPr>
        <w:t xml:space="preserve">is to create a partnership among the federal government, states, and localities to provide, on a voluntary basis, adult </w:t>
      </w:r>
      <w:proofErr w:type="gramStart"/>
      <w:r w:rsidRPr="00B131CA">
        <w:rPr>
          <w:rFonts w:ascii="Times New Roman" w:eastAsia="Times New Roman" w:hAnsi="Times New Roman" w:cs="Times New Roman"/>
          <w:color w:val="000000"/>
          <w:sz w:val="24"/>
          <w:szCs w:val="24"/>
        </w:rPr>
        <w:t>education</w:t>
      </w:r>
      <w:proofErr w:type="gramEnd"/>
      <w:r w:rsidRPr="00B131CA">
        <w:rPr>
          <w:rFonts w:ascii="Times New Roman" w:eastAsia="Times New Roman" w:hAnsi="Times New Roman" w:cs="Times New Roman"/>
          <w:color w:val="000000"/>
          <w:sz w:val="24"/>
          <w:szCs w:val="24"/>
        </w:rPr>
        <w:t xml:space="preserve"> and literacy activities, in order to:</w:t>
      </w:r>
    </w:p>
    <w:p w14:paraId="00000056" w14:textId="511BB63A" w:rsidR="002F3C8D" w:rsidRPr="00B131CA" w:rsidRDefault="00FB0467" w:rsidP="00F057C2">
      <w:pPr>
        <w:numPr>
          <w:ilvl w:val="0"/>
          <w:numId w:val="10"/>
        </w:num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BF5CDA" w:rsidRPr="00B131CA">
        <w:rPr>
          <w:rFonts w:ascii="Times New Roman" w:eastAsia="Times New Roman" w:hAnsi="Times New Roman" w:cs="Times New Roman"/>
          <w:color w:val="000000"/>
          <w:sz w:val="24"/>
          <w:szCs w:val="24"/>
        </w:rPr>
        <w:t xml:space="preserve">ssist adults to become literate and obtain the knowledge and skills necessary for employment and economic </w:t>
      </w:r>
      <w:proofErr w:type="gramStart"/>
      <w:r w:rsidR="00BF5CDA" w:rsidRPr="00B131CA">
        <w:rPr>
          <w:rFonts w:ascii="Times New Roman" w:eastAsia="Times New Roman" w:hAnsi="Times New Roman" w:cs="Times New Roman"/>
          <w:color w:val="000000"/>
          <w:sz w:val="24"/>
          <w:szCs w:val="24"/>
        </w:rPr>
        <w:t>self-sufficiency;</w:t>
      </w:r>
      <w:proofErr w:type="gramEnd"/>
    </w:p>
    <w:p w14:paraId="00000057" w14:textId="2F4B2FE1" w:rsidR="002F3C8D" w:rsidRPr="00B131CA" w:rsidRDefault="00FB0467" w:rsidP="00F057C2">
      <w:pPr>
        <w:numPr>
          <w:ilvl w:val="0"/>
          <w:numId w:val="10"/>
        </w:num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BF5CDA" w:rsidRPr="00B131CA">
        <w:rPr>
          <w:rFonts w:ascii="Times New Roman" w:eastAsia="Times New Roman" w:hAnsi="Times New Roman" w:cs="Times New Roman"/>
          <w:color w:val="000000"/>
          <w:sz w:val="24"/>
          <w:szCs w:val="24"/>
        </w:rPr>
        <w:t xml:space="preserve">ssist adults who are parents or family members to obtain the education and skills that are necessary to becoming full partners in the educational development of their children and lead to sustainable improvements in the economic opportunities for their </w:t>
      </w:r>
      <w:proofErr w:type="gramStart"/>
      <w:r w:rsidR="00BF5CDA" w:rsidRPr="00B131CA">
        <w:rPr>
          <w:rFonts w:ascii="Times New Roman" w:eastAsia="Times New Roman" w:hAnsi="Times New Roman" w:cs="Times New Roman"/>
          <w:color w:val="000000"/>
          <w:sz w:val="24"/>
          <w:szCs w:val="24"/>
        </w:rPr>
        <w:t>family;</w:t>
      </w:r>
      <w:proofErr w:type="gramEnd"/>
    </w:p>
    <w:p w14:paraId="00000058" w14:textId="4125050A" w:rsidR="002F3C8D" w:rsidRPr="00B131CA" w:rsidRDefault="00FB0467" w:rsidP="00F057C2">
      <w:pPr>
        <w:numPr>
          <w:ilvl w:val="0"/>
          <w:numId w:val="10"/>
        </w:num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BF5CDA" w:rsidRPr="00B131CA">
        <w:rPr>
          <w:rFonts w:ascii="Times New Roman" w:eastAsia="Times New Roman" w:hAnsi="Times New Roman" w:cs="Times New Roman"/>
          <w:color w:val="000000"/>
          <w:sz w:val="24"/>
          <w:szCs w:val="24"/>
        </w:rPr>
        <w:t>ssist adults in attaining a secondary school diploma and in the transition to postsecondary education and training, including through career pathways; and</w:t>
      </w:r>
    </w:p>
    <w:p w14:paraId="00000059" w14:textId="57DBDDC6" w:rsidR="002F3C8D" w:rsidRPr="00B131CA" w:rsidRDefault="00FB0467" w:rsidP="00F057C2">
      <w:pPr>
        <w:numPr>
          <w:ilvl w:val="0"/>
          <w:numId w:val="10"/>
        </w:num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BF5CDA" w:rsidRPr="00B131CA">
        <w:rPr>
          <w:rFonts w:ascii="Times New Roman" w:eastAsia="Times New Roman" w:hAnsi="Times New Roman" w:cs="Times New Roman"/>
          <w:color w:val="000000"/>
          <w:sz w:val="24"/>
          <w:szCs w:val="24"/>
        </w:rPr>
        <w:t>ssist immigrants and other individuals who are English language learners in improving their reading, writing, speaking, and comprehension skills in English; mathematics skills; and acquiring an understanding of the American system of government, individual freedom, and the responsibilities of citizenship.</w:t>
      </w:r>
    </w:p>
    <w:p w14:paraId="0000005A" w14:textId="77777777" w:rsidR="002F3C8D" w:rsidRPr="00B131CA" w:rsidRDefault="002F3C8D">
      <w:pPr>
        <w:spacing w:after="0" w:line="240" w:lineRule="auto"/>
        <w:rPr>
          <w:rFonts w:ascii="Times New Roman" w:eastAsia="Times New Roman" w:hAnsi="Times New Roman" w:cs="Times New Roman"/>
          <w:sz w:val="24"/>
          <w:szCs w:val="24"/>
        </w:rPr>
      </w:pPr>
    </w:p>
    <w:p w14:paraId="0000005B" w14:textId="77777777" w:rsidR="002F3C8D" w:rsidRPr="00B131CA" w:rsidRDefault="00BF5CDA">
      <w:p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color w:val="000000"/>
          <w:sz w:val="24"/>
          <w:szCs w:val="24"/>
        </w:rPr>
        <w:t>An eligible individual for adult education services (Sec. 203(4)) is one:</w:t>
      </w:r>
    </w:p>
    <w:p w14:paraId="0000005C" w14:textId="66FD61CD" w:rsidR="002F3C8D" w:rsidRPr="00B131CA" w:rsidRDefault="00BF5CDA" w:rsidP="00123558">
      <w:pPr>
        <w:tabs>
          <w:tab w:val="left" w:pos="1440"/>
        </w:tabs>
        <w:spacing w:after="0"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who</w:t>
      </w:r>
      <w:r w:rsidRPr="00B131CA">
        <w:rPr>
          <w:rFonts w:ascii="Times New Roman" w:eastAsia="Times New Roman" w:hAnsi="Times New Roman" w:cs="Times New Roman"/>
          <w:color w:val="000000"/>
          <w:sz w:val="24"/>
          <w:szCs w:val="24"/>
        </w:rPr>
        <w:t xml:space="preserve"> has attained 16 years of </w:t>
      </w:r>
      <w:proofErr w:type="gramStart"/>
      <w:r w:rsidRPr="00B131CA">
        <w:rPr>
          <w:rFonts w:ascii="Times New Roman" w:eastAsia="Times New Roman" w:hAnsi="Times New Roman" w:cs="Times New Roman"/>
          <w:color w:val="000000"/>
          <w:sz w:val="24"/>
          <w:szCs w:val="24"/>
        </w:rPr>
        <w:t>age;</w:t>
      </w:r>
      <w:proofErr w:type="gramEnd"/>
      <w:r w:rsidRPr="00B131CA">
        <w:rPr>
          <w:rFonts w:ascii="Times New Roman" w:eastAsia="Times New Roman" w:hAnsi="Times New Roman" w:cs="Times New Roman"/>
          <w:color w:val="000000"/>
          <w:sz w:val="24"/>
          <w:szCs w:val="24"/>
        </w:rPr>
        <w:t> </w:t>
      </w:r>
    </w:p>
    <w:p w14:paraId="0000005D" w14:textId="7CC17ED9" w:rsidR="002F3C8D" w:rsidRPr="00B131CA" w:rsidRDefault="00BF5CDA" w:rsidP="00123558">
      <w:pPr>
        <w:tabs>
          <w:tab w:val="left" w:pos="1440"/>
        </w:tabs>
        <w:spacing w:after="0"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 </w:t>
      </w:r>
      <w:r w:rsidR="00DC4E23">
        <w:rPr>
          <w:rFonts w:ascii="Times New Roman" w:eastAsia="Times New Roman" w:hAnsi="Times New Roman" w:cs="Times New Roman"/>
          <w:color w:val="000000"/>
          <w:sz w:val="24"/>
          <w:szCs w:val="24"/>
        </w:rPr>
        <w:t xml:space="preserve">who </w:t>
      </w:r>
      <w:r>
        <w:rPr>
          <w:rFonts w:ascii="Times New Roman" w:eastAsia="Times New Roman" w:hAnsi="Times New Roman" w:cs="Times New Roman"/>
          <w:color w:val="000000"/>
          <w:sz w:val="24"/>
          <w:szCs w:val="24"/>
        </w:rPr>
        <w:t>is</w:t>
      </w:r>
      <w:r w:rsidRPr="00B131CA">
        <w:rPr>
          <w:rFonts w:ascii="Times New Roman" w:eastAsia="Times New Roman" w:hAnsi="Times New Roman" w:cs="Times New Roman"/>
          <w:color w:val="000000"/>
          <w:sz w:val="24"/>
          <w:szCs w:val="24"/>
        </w:rPr>
        <w:t xml:space="preserve"> not enrolled or required to be enrolled in secondary school under state law (in Virginia, compulsory school attendance age is 18 years of age); and</w:t>
      </w:r>
    </w:p>
    <w:p w14:paraId="4426ADFD" w14:textId="77777777" w:rsidR="002F3C8D" w:rsidRDefault="00BF5CDA" w:rsidP="00123558">
      <w:pPr>
        <w:tabs>
          <w:tab w:val="left" w:pos="1440"/>
        </w:tabs>
        <w:spacing w:after="0" w:line="24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 who </w:t>
      </w:r>
    </w:p>
    <w:p w14:paraId="27AC0E8C" w14:textId="415B198F" w:rsidR="002F3C8D" w:rsidRDefault="00BF5CDA" w:rsidP="00123558">
      <w:pPr>
        <w:spacing w:after="0" w:line="240" w:lineRule="auto"/>
        <w:ind w:left="180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i</w:t>
      </w:r>
      <w:proofErr w:type="spellEnd"/>
      <w:r w:rsidR="009446DF" w:rsidRPr="00B131CA">
        <w:rPr>
          <w:rFonts w:ascii="Times New Roman" w:eastAsia="Times New Roman" w:hAnsi="Times New Roman" w:cs="Times New Roman"/>
          <w:color w:val="000000"/>
          <w:sz w:val="24"/>
          <w:szCs w:val="24"/>
        </w:rPr>
        <w:t xml:space="preserve">) </w:t>
      </w:r>
      <w:proofErr w:type="gramStart"/>
      <w:r w:rsidRPr="00B131CA">
        <w:rPr>
          <w:rFonts w:ascii="Times New Roman" w:eastAsia="Times New Roman" w:hAnsi="Times New Roman" w:cs="Times New Roman"/>
          <w:color w:val="000000"/>
          <w:sz w:val="24"/>
          <w:szCs w:val="24"/>
        </w:rPr>
        <w:t>is</w:t>
      </w:r>
      <w:proofErr w:type="gramEnd"/>
      <w:r w:rsidRPr="00B131CA">
        <w:rPr>
          <w:rFonts w:ascii="Times New Roman" w:eastAsia="Times New Roman" w:hAnsi="Times New Roman" w:cs="Times New Roman"/>
          <w:color w:val="000000"/>
          <w:sz w:val="24"/>
          <w:szCs w:val="24"/>
        </w:rPr>
        <w:t xml:space="preserve"> basic skills deficient</w:t>
      </w:r>
      <w:r>
        <w:rPr>
          <w:rFonts w:ascii="Times New Roman" w:eastAsia="Times New Roman" w:hAnsi="Times New Roman" w:cs="Times New Roman"/>
          <w:color w:val="000000"/>
          <w:sz w:val="24"/>
          <w:szCs w:val="24"/>
        </w:rPr>
        <w:t>; </w:t>
      </w:r>
    </w:p>
    <w:p w14:paraId="00000061" w14:textId="5A455AEA" w:rsidR="002F3C8D" w:rsidRPr="00B131CA" w:rsidRDefault="00BF5CDA" w:rsidP="00123558">
      <w:pPr>
        <w:tabs>
          <w:tab w:val="left" w:pos="198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w:t>
      </w:r>
      <w:r w:rsidR="009446DF"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does not have a secondary school diploma or its recognized equivalent, and has not achieved an equivalent level of education; or </w:t>
      </w:r>
    </w:p>
    <w:p w14:paraId="15E459EA" w14:textId="77777777" w:rsidR="002F3C8D" w:rsidRDefault="00BF5CDA" w:rsidP="00123558">
      <w:pPr>
        <w:spacing w:after="15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iii) is an English language learner. </w:t>
      </w:r>
    </w:p>
    <w:p w14:paraId="00000062" w14:textId="119E094A" w:rsidR="002F3C8D" w:rsidRPr="00B131CA" w:rsidRDefault="00BF5CDA">
      <w:pPr>
        <w:spacing w:after="12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color w:val="000000"/>
          <w:sz w:val="24"/>
          <w:szCs w:val="24"/>
        </w:rPr>
        <w:t>Because the compulsory attendance age is</w:t>
      </w:r>
      <w:r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color w:val="000000"/>
          <w:sz w:val="24"/>
          <w:szCs w:val="24"/>
        </w:rPr>
        <w:t xml:space="preserve">18 in Virginia, providers must document that eligible individuals meet the age component of the definition above by checking the student’s age and documenting that they have been excused from the compulsory school attendance requirement </w:t>
      </w:r>
      <w:r w:rsidR="00FF0019">
        <w:rPr>
          <w:rFonts w:ascii="Times New Roman" w:eastAsia="Times New Roman" w:hAnsi="Times New Roman" w:cs="Times New Roman"/>
          <w:color w:val="000000"/>
          <w:sz w:val="24"/>
          <w:szCs w:val="24"/>
        </w:rPr>
        <w:t>(</w:t>
      </w:r>
      <w:r w:rsidR="00B410B5" w:rsidRPr="00A149BB">
        <w:rPr>
          <w:rFonts w:ascii="Times New Roman" w:hAnsi="Times New Roman"/>
          <w:color w:val="000000"/>
          <w:sz w:val="24"/>
        </w:rPr>
        <w:t xml:space="preserve">section </w:t>
      </w:r>
      <w:r w:rsidR="00B410B5">
        <w:rPr>
          <w:rFonts w:ascii="Times New Roman" w:eastAsia="Times New Roman" w:hAnsi="Times New Roman" w:cs="Times New Roman"/>
          <w:color w:val="000000"/>
          <w:sz w:val="24"/>
          <w:szCs w:val="24"/>
        </w:rPr>
        <w:t>Overview of Federal and State Regulations, subsection: State Code and Regulations</w:t>
      </w:r>
      <w:r w:rsidR="00FF0019">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for the types of documentation required</w:t>
      </w:r>
      <w:r w:rsidRPr="00B131CA">
        <w:rPr>
          <w:rFonts w:ascii="Times New Roman" w:eastAsia="Times New Roman" w:hAnsi="Times New Roman" w:cs="Times New Roman"/>
          <w:sz w:val="24"/>
          <w:szCs w:val="24"/>
        </w:rPr>
        <w:t>.</w:t>
      </w:r>
      <w:r w:rsidR="00FF0019">
        <w:rPr>
          <w:rFonts w:ascii="Times New Roman" w:eastAsia="Times New Roman" w:hAnsi="Times New Roman" w:cs="Times New Roman"/>
          <w:sz w:val="24"/>
          <w:szCs w:val="24"/>
        </w:rPr>
        <w:t>)</w:t>
      </w:r>
    </w:p>
    <w:p w14:paraId="60DBEF39" w14:textId="67E45AD5" w:rsidR="008221C1" w:rsidRDefault="00914B75" w:rsidP="00A476A5">
      <w:pPr>
        <w:shd w:val="clear" w:color="auto" w:fill="FFFFFF"/>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most cases, p</w:t>
      </w:r>
      <w:r w:rsidR="00BF5CDA" w:rsidRPr="00B131CA">
        <w:rPr>
          <w:rFonts w:ascii="Times New Roman" w:eastAsia="Times New Roman" w:hAnsi="Times New Roman" w:cs="Times New Roman"/>
          <w:color w:val="000000"/>
          <w:sz w:val="24"/>
          <w:szCs w:val="24"/>
        </w:rPr>
        <w:t xml:space="preserve">roviders determine the basic skills deficiency component of the definition by administering an approved </w:t>
      </w:r>
      <w:r w:rsidR="00BC4F9C">
        <w:rPr>
          <w:rFonts w:ascii="Times New Roman" w:eastAsia="Times New Roman" w:hAnsi="Times New Roman" w:cs="Times New Roman"/>
          <w:color w:val="000000"/>
          <w:sz w:val="24"/>
          <w:szCs w:val="24"/>
        </w:rPr>
        <w:t xml:space="preserve">assessment </w:t>
      </w:r>
      <w:r w:rsidR="00BF5CDA" w:rsidRPr="00B131CA">
        <w:rPr>
          <w:rFonts w:ascii="Times New Roman" w:eastAsia="Times New Roman" w:hAnsi="Times New Roman" w:cs="Times New Roman"/>
          <w:color w:val="000000"/>
          <w:sz w:val="24"/>
          <w:szCs w:val="24"/>
        </w:rPr>
        <w:t xml:space="preserve">(see the </w:t>
      </w:r>
      <w:hyperlink r:id="rId14">
        <w:r w:rsidR="00BF5CDA" w:rsidRPr="00B131CA">
          <w:rPr>
            <w:rFonts w:ascii="Times New Roman" w:eastAsia="Times New Roman" w:hAnsi="Times New Roman" w:cs="Times New Roman"/>
            <w:i/>
            <w:color w:val="0000FF"/>
            <w:sz w:val="24"/>
            <w:szCs w:val="24"/>
            <w:u w:val="single"/>
          </w:rPr>
          <w:t>Assessment and Distance Education Policy for Virginia Adult Education and Literacy Programs</w:t>
        </w:r>
      </w:hyperlink>
      <w:r w:rsidR="00BF5CDA" w:rsidRPr="00B131CA">
        <w:rPr>
          <w:rFonts w:ascii="Times New Roman" w:eastAsia="Times New Roman" w:hAnsi="Times New Roman" w:cs="Times New Roman"/>
          <w:color w:val="000000"/>
          <w:sz w:val="24"/>
          <w:szCs w:val="24"/>
        </w:rPr>
        <w:t xml:space="preserve">). Adults who </w:t>
      </w:r>
      <w:r w:rsidR="00BF5CDA" w:rsidRPr="00B131CA">
        <w:rPr>
          <w:rFonts w:ascii="Times New Roman" w:eastAsia="Times New Roman" w:hAnsi="Times New Roman" w:cs="Times New Roman"/>
          <w:sz w:val="24"/>
          <w:szCs w:val="24"/>
        </w:rPr>
        <w:t>are assessed to have</w:t>
      </w:r>
      <w:r w:rsidR="00BF5CDA" w:rsidRPr="00B131CA">
        <w:rPr>
          <w:rFonts w:ascii="Times New Roman" w:eastAsia="Times New Roman" w:hAnsi="Times New Roman" w:cs="Times New Roman"/>
          <w:color w:val="000000"/>
          <w:sz w:val="24"/>
          <w:szCs w:val="24"/>
        </w:rPr>
        <w:t xml:space="preserve"> academic skills below those that would support success in postsecondary education may be “basic skills deficient” and eligible to attend, </w:t>
      </w:r>
      <w:r w:rsidR="00BF5CDA" w:rsidRPr="00B131CA">
        <w:rPr>
          <w:rFonts w:ascii="Times New Roman" w:eastAsia="Times New Roman" w:hAnsi="Times New Roman" w:cs="Times New Roman"/>
          <w:i/>
          <w:color w:val="000000"/>
          <w:sz w:val="24"/>
          <w:szCs w:val="24"/>
        </w:rPr>
        <w:t>even if</w:t>
      </w:r>
      <w:r w:rsidR="00BF5CDA" w:rsidRPr="00B131CA">
        <w:rPr>
          <w:rFonts w:ascii="Times New Roman" w:eastAsia="Times New Roman" w:hAnsi="Times New Roman" w:cs="Times New Roman"/>
          <w:color w:val="000000"/>
          <w:sz w:val="24"/>
          <w:szCs w:val="24"/>
        </w:rPr>
        <w:t xml:space="preserve"> they have earned a high school diploma or recognized equivalent. Many adults with a high school diploma or equivalent may benefit from a skills refresher of academic and workforce preparation skills as they pursue further education, training, or employment. For English language learners, AEFLA does not require a basic skills deficiency determination, simply a need to improve English proficiency. </w:t>
      </w:r>
      <w:r w:rsidR="001A045C">
        <w:rPr>
          <w:rFonts w:ascii="Times New Roman" w:eastAsia="Times New Roman" w:hAnsi="Times New Roman" w:cs="Times New Roman"/>
          <w:color w:val="000000"/>
          <w:sz w:val="24"/>
          <w:szCs w:val="24"/>
        </w:rPr>
        <w:t>Program Year</w:t>
      </w:r>
      <w:r w:rsidR="001900C1">
        <w:rPr>
          <w:rFonts w:ascii="Times New Roman" w:eastAsia="Times New Roman" w:hAnsi="Times New Roman" w:cs="Times New Roman"/>
          <w:color w:val="000000"/>
          <w:sz w:val="24"/>
          <w:szCs w:val="24"/>
        </w:rPr>
        <w:t xml:space="preserve"> </w:t>
      </w:r>
      <w:r w:rsidR="001A045C">
        <w:rPr>
          <w:rFonts w:ascii="Times New Roman" w:eastAsia="Times New Roman" w:hAnsi="Times New Roman" w:cs="Times New Roman"/>
          <w:color w:val="000000"/>
          <w:sz w:val="24"/>
          <w:szCs w:val="24"/>
        </w:rPr>
        <w:t xml:space="preserve">2024-2025 will be a transition year for Virginia to implement the new National Reporting System (NRS) allowance </w:t>
      </w:r>
      <w:r w:rsidR="001A045C">
        <w:rPr>
          <w:rFonts w:ascii="Times New Roman" w:eastAsia="Times New Roman" w:hAnsi="Times New Roman" w:cs="Times New Roman"/>
          <w:color w:val="000000"/>
          <w:sz w:val="24"/>
          <w:szCs w:val="24"/>
        </w:rPr>
        <w:lastRenderedPageBreak/>
        <w:t xml:space="preserve">for alternative placement for select enrollment paths. This information is available separately as it is still evolving. </w:t>
      </w:r>
    </w:p>
    <w:p w14:paraId="61995E33" w14:textId="526DFEFC" w:rsidR="00CD3B25" w:rsidRDefault="00A36DDD" w:rsidP="00A476A5">
      <w:pPr>
        <w:shd w:val="clear" w:color="auto" w:fill="FFFFFF"/>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Funding made available through Sec. 231 provides adult education in community settings in the program areas of adult basic education, adult secondary education, English language acquisition, family literacy, workplace literacy, and integrated education and training. </w:t>
      </w:r>
    </w:p>
    <w:p w14:paraId="00000064" w14:textId="357E48E8" w:rsidR="002F3C8D" w:rsidRPr="00B131CA" w:rsidRDefault="00BF5CDA">
      <w:pPr>
        <w:spacing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color w:val="000000"/>
          <w:sz w:val="24"/>
          <w:szCs w:val="24"/>
        </w:rPr>
        <w:t xml:space="preserve">The purpose of the funding under Sec. 225, Corrections Education and Other Institutionalized Individuals (called C&amp;I), is to support educational programs for </w:t>
      </w:r>
      <w:r w:rsidR="00A36DDD">
        <w:rPr>
          <w:rFonts w:ascii="Times New Roman" w:eastAsia="Times New Roman" w:hAnsi="Times New Roman" w:cs="Times New Roman"/>
          <w:color w:val="000000"/>
          <w:sz w:val="24"/>
          <w:szCs w:val="24"/>
        </w:rPr>
        <w:t>incarcerated individuals</w:t>
      </w:r>
      <w:r w:rsidRPr="00B131CA">
        <w:rPr>
          <w:rFonts w:ascii="Times New Roman" w:eastAsia="Times New Roman" w:hAnsi="Times New Roman" w:cs="Times New Roman"/>
          <w:color w:val="000000"/>
          <w:sz w:val="24"/>
          <w:szCs w:val="24"/>
        </w:rPr>
        <w:t xml:space="preserve"> in correctional institutions and other institutiona</w:t>
      </w:r>
      <w:r w:rsidRPr="008F3D00">
        <w:rPr>
          <w:rFonts w:ascii="Times New Roman" w:eastAsia="Times New Roman" w:hAnsi="Times New Roman" w:cs="Times New Roman"/>
          <w:color w:val="000000"/>
          <w:sz w:val="24"/>
          <w:szCs w:val="24"/>
        </w:rPr>
        <w:t>lized individuals</w:t>
      </w:r>
      <w:r w:rsidR="008F3D00" w:rsidRPr="006C03E7">
        <w:rPr>
          <w:rFonts w:ascii="Times New Roman" w:hAnsi="Times New Roman" w:cs="Times New Roman"/>
          <w:sz w:val="24"/>
          <w:szCs w:val="24"/>
        </w:rPr>
        <w:t xml:space="preserve"> to strengthen their knowledge and skills to promote successful re-entry into society.</w:t>
      </w:r>
      <w:r w:rsidRPr="00B131CA">
        <w:rPr>
          <w:rFonts w:ascii="Times New Roman" w:eastAsia="Times New Roman" w:hAnsi="Times New Roman" w:cs="Times New Roman"/>
          <w:color w:val="000000"/>
          <w:sz w:val="24"/>
          <w:szCs w:val="24"/>
        </w:rPr>
        <w:t xml:space="preserve"> </w:t>
      </w:r>
      <w:r w:rsidR="00DC4E23">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C&amp;I-funded instruction must give priority to serving individuals who are likely to leave the correctional institution within five years of participation in the program. Such funds may not be used for participation in postrelease programs or services.</w:t>
      </w:r>
    </w:p>
    <w:p w14:paraId="00000065" w14:textId="723535EE" w:rsidR="002F3C8D" w:rsidRPr="00B131CA" w:rsidRDefault="00BF5CDA">
      <w:pPr>
        <w:spacing w:after="20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color w:val="000000"/>
          <w:sz w:val="24"/>
          <w:szCs w:val="24"/>
        </w:rPr>
        <w:t>Integrated English literacy and civics education (IELCE) is both an allowable activity for Sec. 231 funds and a program funded in Sec. 243. A portion of the federal award made to states is designated for IELCE programs under Sec. 243. The purpose of the IELCE program is</w:t>
      </w:r>
      <w:r w:rsidR="00623B9D">
        <w:rPr>
          <w:rFonts w:ascii="Times New Roman" w:eastAsia="Times New Roman" w:hAnsi="Times New Roman" w:cs="Times New Roman"/>
          <w:color w:val="000000"/>
          <w:sz w:val="24"/>
          <w:szCs w:val="24"/>
        </w:rPr>
        <w:t xml:space="preserve"> multi-pronged. This program is designed</w:t>
      </w:r>
      <w:r w:rsidRPr="00B131CA">
        <w:rPr>
          <w:rFonts w:ascii="Times New Roman" w:eastAsia="Times New Roman" w:hAnsi="Times New Roman" w:cs="Times New Roman"/>
          <w:color w:val="000000"/>
          <w:sz w:val="24"/>
          <w:szCs w:val="24"/>
        </w:rPr>
        <w:t xml:space="preserve"> to enable adult English Language Learners (ELL), including professionals with degrees and credentials in their native countries, to increase their proficiency in reading, writing, and comprehension skills in English and mathematics in order to understand and navigate American systems of government, individual freedom, and </w:t>
      </w:r>
      <w:r w:rsidR="00914B75">
        <w:rPr>
          <w:rFonts w:ascii="Times New Roman" w:eastAsia="Times New Roman" w:hAnsi="Times New Roman" w:cs="Times New Roman"/>
          <w:color w:val="000000"/>
          <w:sz w:val="24"/>
          <w:szCs w:val="24"/>
        </w:rPr>
        <w:t xml:space="preserve">the rights and </w:t>
      </w:r>
      <w:r w:rsidRPr="00B131CA">
        <w:rPr>
          <w:rFonts w:ascii="Times New Roman" w:eastAsia="Times New Roman" w:hAnsi="Times New Roman" w:cs="Times New Roman"/>
          <w:color w:val="000000"/>
          <w:sz w:val="24"/>
          <w:szCs w:val="24"/>
        </w:rPr>
        <w:t>responsibilities of citizenship while preparing for and placing them in unsubsidized employment for high demand industries that lead to a family-sustaining wage. All IELCE programs must offer the opportunity for part</w:t>
      </w:r>
      <w:r w:rsidRPr="00132A16">
        <w:rPr>
          <w:rFonts w:ascii="Times New Roman" w:eastAsia="Times New Roman" w:hAnsi="Times New Roman" w:cs="Times New Roman"/>
          <w:color w:val="000000"/>
          <w:sz w:val="24"/>
          <w:szCs w:val="24"/>
        </w:rPr>
        <w:t>ici</w:t>
      </w:r>
      <w:r w:rsidR="005D0DFF">
        <w:rPr>
          <w:rFonts w:ascii="Times New Roman" w:eastAsia="Times New Roman" w:hAnsi="Times New Roman" w:cs="Times New Roman"/>
          <w:color w:val="000000"/>
          <w:sz w:val="24"/>
          <w:szCs w:val="24"/>
        </w:rPr>
        <w:t>pants to enroll in at least one i</w:t>
      </w:r>
      <w:r w:rsidR="005D0DFF">
        <w:rPr>
          <w:rFonts w:ascii="Times New Roman" w:eastAsia="Times New Roman" w:hAnsi="Times New Roman" w:cs="Times New Roman"/>
          <w:sz w:val="24"/>
          <w:szCs w:val="24"/>
        </w:rPr>
        <w:t>ntegrated e</w:t>
      </w:r>
      <w:r w:rsidRPr="00132A16">
        <w:rPr>
          <w:rFonts w:ascii="Times New Roman" w:eastAsia="Times New Roman" w:hAnsi="Times New Roman" w:cs="Times New Roman"/>
          <w:sz w:val="24"/>
          <w:szCs w:val="24"/>
        </w:rPr>
        <w:t xml:space="preserve">ducation and </w:t>
      </w:r>
      <w:r w:rsidR="005D0DFF">
        <w:rPr>
          <w:rFonts w:ascii="Times New Roman" w:eastAsia="Times New Roman" w:hAnsi="Times New Roman" w:cs="Times New Roman"/>
          <w:sz w:val="24"/>
          <w:szCs w:val="24"/>
        </w:rPr>
        <w:t>t</w:t>
      </w:r>
      <w:r w:rsidRPr="00132A16">
        <w:rPr>
          <w:rFonts w:ascii="Times New Roman" w:eastAsia="Times New Roman" w:hAnsi="Times New Roman" w:cs="Times New Roman"/>
          <w:sz w:val="24"/>
          <w:szCs w:val="24"/>
        </w:rPr>
        <w:t>raining (IET)</w:t>
      </w:r>
      <w:r w:rsidRPr="00132A16">
        <w:rPr>
          <w:rFonts w:ascii="Times New Roman" w:eastAsia="Times New Roman" w:hAnsi="Times New Roman" w:cs="Times New Roman"/>
          <w:color w:val="000000"/>
          <w:sz w:val="24"/>
          <w:szCs w:val="24"/>
        </w:rPr>
        <w:t xml:space="preserve">; however, there is no requirement that all IELCE participants be enrolled in this component. </w:t>
      </w:r>
    </w:p>
    <w:p w14:paraId="00000066" w14:textId="47C5CA82" w:rsidR="002F3C8D" w:rsidRDefault="00BF5CDA">
      <w:pPr>
        <w:spacing w:before="280" w:after="28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For all AEFLA-funded services, </w:t>
      </w:r>
      <w:r w:rsidR="003A774E">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 xml:space="preserve">VDOE encourages programs to request students to provide their Social Security </w:t>
      </w:r>
      <w:r w:rsidR="00DC4E23">
        <w:rPr>
          <w:rFonts w:ascii="Times New Roman" w:eastAsia="Times New Roman" w:hAnsi="Times New Roman" w:cs="Times New Roman"/>
          <w:color w:val="000000"/>
          <w:sz w:val="24"/>
          <w:szCs w:val="24"/>
        </w:rPr>
        <w:t>N</w:t>
      </w:r>
      <w:r w:rsidRPr="00B131CA">
        <w:rPr>
          <w:rFonts w:ascii="Times New Roman" w:eastAsia="Times New Roman" w:hAnsi="Times New Roman" w:cs="Times New Roman"/>
          <w:color w:val="000000"/>
          <w:sz w:val="24"/>
          <w:szCs w:val="24"/>
        </w:rPr>
        <w:t>umbers (SSN) upon intake</w:t>
      </w:r>
      <w:r w:rsidR="00914B75">
        <w:rPr>
          <w:rFonts w:ascii="Times New Roman" w:eastAsia="Times New Roman" w:hAnsi="Times New Roman" w:cs="Times New Roman"/>
          <w:color w:val="000000"/>
          <w:sz w:val="24"/>
          <w:szCs w:val="24"/>
        </w:rPr>
        <w:t xml:space="preserve"> or at any time during their enrollment</w:t>
      </w:r>
      <w:r w:rsidRPr="00B131CA">
        <w:rPr>
          <w:rFonts w:ascii="Times New Roman" w:eastAsia="Times New Roman" w:hAnsi="Times New Roman" w:cs="Times New Roman"/>
          <w:color w:val="000000"/>
          <w:sz w:val="24"/>
          <w:szCs w:val="24"/>
        </w:rPr>
        <w:t xml:space="preserve">. </w:t>
      </w:r>
      <w:r w:rsidR="00B764A5" w:rsidRPr="00B131CA">
        <w:rPr>
          <w:rFonts w:ascii="Times New Roman" w:eastAsia="Times New Roman" w:hAnsi="Times New Roman" w:cs="Times New Roman"/>
          <w:color w:val="000000"/>
          <w:sz w:val="24"/>
          <w:szCs w:val="24"/>
        </w:rPr>
        <w:t>Social Security Numbers</w:t>
      </w:r>
      <w:r w:rsidRPr="00B131CA">
        <w:rPr>
          <w:rFonts w:ascii="Times New Roman" w:eastAsia="Times New Roman" w:hAnsi="Times New Roman" w:cs="Times New Roman"/>
          <w:color w:val="000000"/>
          <w:sz w:val="24"/>
          <w:szCs w:val="24"/>
        </w:rPr>
        <w:t xml:space="preserve"> are critical for conducting data matches and evaluating performance for federal reporting purposes. Students should be assured that disclosure is not mandatory, that personal information will not be shared, and that disclosure is requested only for the purpose of data matching. Providers may not deny services to individuals who are unwilling to disclose their SSNs.</w:t>
      </w:r>
    </w:p>
    <w:p w14:paraId="02024DF9" w14:textId="250F0464" w:rsidR="00386C80" w:rsidRDefault="00386C80">
      <w:pPr>
        <w:spacing w:before="280" w:after="280" w:line="240" w:lineRule="auto"/>
        <w:rPr>
          <w:rFonts w:ascii="Times New Roman" w:eastAsia="Times New Roman" w:hAnsi="Times New Roman" w:cs="Times New Roman"/>
          <w:color w:val="000000"/>
          <w:sz w:val="24"/>
          <w:szCs w:val="24"/>
        </w:rPr>
      </w:pPr>
    </w:p>
    <w:p w14:paraId="4C42B7D4" w14:textId="5C8F9DC5" w:rsidR="007F559D" w:rsidRPr="005C5E03" w:rsidRDefault="007F559D">
      <w:pPr>
        <w:pStyle w:val="Heading2"/>
        <w:sectPr w:rsidR="007F559D" w:rsidRPr="005C5E03" w:rsidSect="000912F6">
          <w:footerReference w:type="default" r:id="rId15"/>
          <w:pgSz w:w="12240" w:h="15840"/>
          <w:pgMar w:top="1440" w:right="1440" w:bottom="1440" w:left="1440" w:header="720" w:footer="720" w:gutter="0"/>
          <w:pgNumType w:start="1" w:chapStyle="2"/>
          <w:cols w:space="720"/>
        </w:sectPr>
      </w:pPr>
    </w:p>
    <w:p w14:paraId="00000068" w14:textId="0EF2766F" w:rsidR="002F3C8D" w:rsidRPr="00AB56C4" w:rsidRDefault="00BF5CDA" w:rsidP="004C3706">
      <w:pPr>
        <w:pStyle w:val="Heading2"/>
      </w:pPr>
      <w:bookmarkStart w:id="1" w:name="_Toc174088816"/>
      <w:r w:rsidRPr="00AB56C4">
        <w:lastRenderedPageBreak/>
        <w:t>OVERVIEW OF FEDERAL AND STATE REGULATIONS</w:t>
      </w:r>
      <w:bookmarkEnd w:id="1"/>
    </w:p>
    <w:p w14:paraId="0491437B" w14:textId="01BF3DAF" w:rsidR="00422809" w:rsidRPr="00C13422" w:rsidRDefault="00BF5CDA" w:rsidP="004A0493">
      <w:pPr>
        <w:pStyle w:val="Heading3"/>
      </w:pPr>
      <w:bookmarkStart w:id="2" w:name="_Toc174088817"/>
      <w:r w:rsidRPr="00C13422">
        <w:t>Federal Legislation and Regulations</w:t>
      </w:r>
      <w:bookmarkEnd w:id="2"/>
    </w:p>
    <w:p w14:paraId="0000006A" w14:textId="77777777"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This section provides links and full citations to the federal laws and regulations that govern adult education</w:t>
      </w:r>
      <w:r w:rsidRPr="00B131CA">
        <w:rPr>
          <w:rFonts w:ascii="Times New Roman" w:eastAsia="Times New Roman" w:hAnsi="Times New Roman" w:cs="Times New Roman"/>
          <w:sz w:val="24"/>
          <w:szCs w:val="24"/>
        </w:rPr>
        <w:t>. A</w:t>
      </w:r>
      <w:r w:rsidRPr="00B131CA">
        <w:rPr>
          <w:rFonts w:ascii="Times New Roman" w:eastAsia="Times New Roman" w:hAnsi="Times New Roman" w:cs="Times New Roman"/>
          <w:color w:val="000000"/>
          <w:sz w:val="24"/>
          <w:szCs w:val="24"/>
        </w:rPr>
        <w:t>dditional information about how these laws and regulations impact various program manager responsibilities is included in other sections of this manual. </w:t>
      </w:r>
    </w:p>
    <w:p w14:paraId="0000006B" w14:textId="1FF4575D" w:rsidR="002F3C8D" w:rsidRPr="0069138B" w:rsidRDefault="00BF5CDA" w:rsidP="008D03B8">
      <w:pPr>
        <w:pStyle w:val="Heading4"/>
        <w:rPr>
          <w:rFonts w:eastAsia="Times New Roman" w:cs="Times New Roman"/>
          <w:i/>
          <w:szCs w:val="24"/>
        </w:rPr>
      </w:pPr>
      <w:bookmarkStart w:id="3" w:name="_Toc174088818"/>
      <w:r w:rsidRPr="000F461E">
        <w:t>The Workforce Innovation and Opportunity Act (WIOA)</w:t>
      </w:r>
      <w:bookmarkEnd w:id="3"/>
    </w:p>
    <w:p w14:paraId="0000006C" w14:textId="36293BBF" w:rsidR="002F3C8D" w:rsidRPr="00B131CA" w:rsidRDefault="00DA302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BF5CDA" w:rsidRPr="00B131CA">
        <w:rPr>
          <w:rFonts w:ascii="Times New Roman" w:eastAsia="Times New Roman" w:hAnsi="Times New Roman" w:cs="Times New Roman"/>
          <w:color w:val="000000"/>
          <w:sz w:val="24"/>
          <w:szCs w:val="24"/>
        </w:rPr>
        <w:t xml:space="preserve">he </w:t>
      </w:r>
      <w:r w:rsidR="00BF5CDA" w:rsidRPr="00DA3027">
        <w:rPr>
          <w:rFonts w:ascii="Times New Roman" w:eastAsia="Times New Roman" w:hAnsi="Times New Roman" w:cs="Times New Roman"/>
          <w:i/>
          <w:color w:val="000000"/>
          <w:sz w:val="24"/>
          <w:szCs w:val="24"/>
        </w:rPr>
        <w:t>Workforce Innovation and Opportunity Act</w:t>
      </w:r>
      <w:r w:rsidR="00BF5CDA" w:rsidRPr="00B131CA">
        <w:rPr>
          <w:rFonts w:ascii="Times New Roman" w:eastAsia="Times New Roman" w:hAnsi="Times New Roman" w:cs="Times New Roman"/>
          <w:color w:val="000000"/>
          <w:sz w:val="24"/>
          <w:szCs w:val="24"/>
        </w:rPr>
        <w:t xml:space="preserve"> (WIOA), the law, or “statute,” was further defined with extensive regulations. Federal Program Memos have provided further guidance and technical assistance for implementation. These are linked and referenced here. The VDOE includes citations of the federal source(s) whenever possible in developing policy and technical assistance for providers.</w:t>
      </w:r>
    </w:p>
    <w:p w14:paraId="0000006D" w14:textId="77777777" w:rsidR="002F3C8D" w:rsidRPr="00E713E6" w:rsidRDefault="00BF5CDA" w:rsidP="000F461E">
      <w:pPr>
        <w:pBdr>
          <w:top w:val="nil"/>
          <w:left w:val="nil"/>
          <w:bottom w:val="nil"/>
          <w:right w:val="nil"/>
          <w:between w:val="nil"/>
        </w:pBdr>
        <w:shd w:val="clear" w:color="auto" w:fill="FFFFFF"/>
        <w:spacing w:line="240" w:lineRule="auto"/>
        <w:rPr>
          <w:rFonts w:ascii="Times New Roman" w:eastAsia="Times New Roman" w:hAnsi="Times New Roman" w:cs="Times New Roman"/>
          <w:sz w:val="24"/>
          <w:szCs w:val="24"/>
        </w:rPr>
      </w:pPr>
      <w:r w:rsidRPr="000F461E">
        <w:rPr>
          <w:rFonts w:ascii="Times New Roman" w:hAnsi="Times New Roman"/>
          <w:color w:val="030A13"/>
          <w:sz w:val="24"/>
        </w:rPr>
        <w:t xml:space="preserve">The law, or “statute”: </w:t>
      </w:r>
      <w:hyperlink r:id="rId16">
        <w:r w:rsidRPr="00DA3027">
          <w:rPr>
            <w:rFonts w:ascii="Times New Roman" w:hAnsi="Times New Roman"/>
            <w:i/>
            <w:iCs/>
            <w:color w:val="0000FF"/>
            <w:sz w:val="24"/>
            <w:u w:val="single"/>
          </w:rPr>
          <w:t>Workforce Innovation and Opportunity Act</w:t>
        </w:r>
      </w:hyperlink>
      <w:r w:rsidRPr="000F461E">
        <w:rPr>
          <w:rFonts w:ascii="Times New Roman" w:hAnsi="Times New Roman"/>
          <w:color w:val="0000FF"/>
          <w:sz w:val="24"/>
        </w:rPr>
        <w:t> </w:t>
      </w:r>
      <w:r w:rsidRPr="00E713E6">
        <w:rPr>
          <w:rFonts w:ascii="Times New Roman" w:eastAsia="Times New Roman" w:hAnsi="Times New Roman" w:cs="Times New Roman"/>
          <w:sz w:val="24"/>
          <w:szCs w:val="24"/>
        </w:rPr>
        <w:t>(WIOA) was signed into law (Public Law 113-128) on July 22, 2014. This Act reauthorizes the Adult Education and Family Literacy Act (AEFLA), which is title II in the law.</w:t>
      </w:r>
    </w:p>
    <w:p w14:paraId="0000006E" w14:textId="614CF804" w:rsidR="002F3C8D" w:rsidRPr="00E713E6" w:rsidRDefault="00BF5CDA" w:rsidP="000F461E">
      <w:pPr>
        <w:pBdr>
          <w:top w:val="nil"/>
          <w:left w:val="nil"/>
          <w:bottom w:val="nil"/>
          <w:right w:val="nil"/>
          <w:between w:val="nil"/>
        </w:pBdr>
        <w:shd w:val="clear" w:color="auto" w:fill="FFFFFF"/>
        <w:spacing w:after="150" w:line="240" w:lineRule="auto"/>
        <w:rPr>
          <w:rFonts w:ascii="Times New Roman" w:eastAsia="Times New Roman" w:hAnsi="Times New Roman" w:cs="Times New Roman"/>
          <w:sz w:val="24"/>
          <w:szCs w:val="24"/>
        </w:rPr>
      </w:pPr>
      <w:r w:rsidRPr="00E713E6">
        <w:rPr>
          <w:rFonts w:ascii="Times New Roman" w:hAnsi="Times New Roman"/>
          <w:sz w:val="24"/>
        </w:rPr>
        <w:t>The regulations:</w:t>
      </w:r>
      <w:r w:rsidRPr="00E713E6">
        <w:rPr>
          <w:rFonts w:ascii="Times New Roman" w:eastAsia="Times New Roman" w:hAnsi="Times New Roman" w:cs="Times New Roman"/>
          <w:sz w:val="24"/>
          <w:szCs w:val="24"/>
        </w:rPr>
        <w:t xml:space="preserve"> The U.S. departments of Labor and Education collectively issued regulations to implement WIOA through the Code of Federal Regulations (CFR) published in January 2019</w:t>
      </w:r>
      <w:r w:rsidR="00C5741F">
        <w:rPr>
          <w:rFonts w:ascii="Times New Roman" w:eastAsia="Times New Roman" w:hAnsi="Times New Roman" w:cs="Times New Roman"/>
          <w:sz w:val="24"/>
          <w:szCs w:val="24"/>
        </w:rPr>
        <w:t>:</w:t>
      </w:r>
    </w:p>
    <w:p w14:paraId="0000006F" w14:textId="77777777" w:rsidR="002F3C8D" w:rsidRPr="00273AC7" w:rsidRDefault="00B73E9E" w:rsidP="00F057C2">
      <w:pPr>
        <w:numPr>
          <w:ilvl w:val="0"/>
          <w:numId w:val="11"/>
        </w:numPr>
        <w:pBdr>
          <w:top w:val="nil"/>
          <w:left w:val="nil"/>
          <w:bottom w:val="nil"/>
          <w:right w:val="nil"/>
          <w:between w:val="nil"/>
        </w:pBdr>
        <w:shd w:val="clear" w:color="auto" w:fill="FFFFFF"/>
        <w:spacing w:before="280" w:after="0" w:line="240" w:lineRule="auto"/>
        <w:ind w:left="1440"/>
        <w:rPr>
          <w:rFonts w:ascii="Times New Roman" w:eastAsia="Times New Roman" w:hAnsi="Times New Roman" w:cs="Times New Roman"/>
          <w:color w:val="030A13"/>
          <w:sz w:val="24"/>
          <w:szCs w:val="24"/>
        </w:rPr>
      </w:pPr>
      <w:hyperlink r:id="rId17">
        <w:r w:rsidR="00BF5CDA" w:rsidRPr="00273AC7">
          <w:rPr>
            <w:rFonts w:ascii="Times New Roman" w:eastAsia="Times New Roman" w:hAnsi="Times New Roman" w:cs="Times New Roman"/>
            <w:color w:val="0000FF"/>
            <w:sz w:val="24"/>
            <w:szCs w:val="24"/>
            <w:u w:val="single"/>
          </w:rPr>
          <w:t>AEFLA Program-Specific Regulations (Measuring Educational Gain in the NRS)</w:t>
        </w:r>
      </w:hyperlink>
      <w:r w:rsidR="00BF5CDA" w:rsidRPr="00273AC7">
        <w:rPr>
          <w:rFonts w:ascii="Times New Roman" w:eastAsia="Times New Roman" w:hAnsi="Times New Roman" w:cs="Times New Roman"/>
          <w:color w:val="0000FF"/>
          <w:sz w:val="24"/>
          <w:szCs w:val="24"/>
        </w:rPr>
        <w:t>:</w:t>
      </w:r>
      <w:r w:rsidR="00BF5CDA" w:rsidRPr="00273AC7">
        <w:rPr>
          <w:rFonts w:ascii="Times New Roman" w:eastAsia="Times New Roman" w:hAnsi="Times New Roman" w:cs="Times New Roman"/>
          <w:color w:val="030A13"/>
          <w:sz w:val="24"/>
          <w:szCs w:val="24"/>
        </w:rPr>
        <w:t xml:space="preserve"> 34 CFR part </w:t>
      </w:r>
      <w:proofErr w:type="gramStart"/>
      <w:r w:rsidR="00BF5CDA" w:rsidRPr="00273AC7">
        <w:rPr>
          <w:rFonts w:ascii="Times New Roman" w:eastAsia="Times New Roman" w:hAnsi="Times New Roman" w:cs="Times New Roman"/>
          <w:color w:val="030A13"/>
          <w:sz w:val="24"/>
          <w:szCs w:val="24"/>
        </w:rPr>
        <w:t>462</w:t>
      </w:r>
      <w:proofErr w:type="gramEnd"/>
    </w:p>
    <w:p w14:paraId="00000070" w14:textId="77777777" w:rsidR="002F3C8D" w:rsidRPr="00273AC7" w:rsidRDefault="00B73E9E" w:rsidP="00F057C2">
      <w:pPr>
        <w:numPr>
          <w:ilvl w:val="0"/>
          <w:numId w:val="11"/>
        </w:numPr>
        <w:pBdr>
          <w:top w:val="nil"/>
          <w:left w:val="nil"/>
          <w:bottom w:val="nil"/>
          <w:right w:val="nil"/>
          <w:between w:val="nil"/>
        </w:pBdr>
        <w:shd w:val="clear" w:color="auto" w:fill="FFFFFF"/>
        <w:spacing w:after="0" w:line="240" w:lineRule="auto"/>
        <w:ind w:left="1440"/>
        <w:rPr>
          <w:rFonts w:ascii="Times New Roman" w:eastAsia="Times New Roman" w:hAnsi="Times New Roman" w:cs="Times New Roman"/>
          <w:color w:val="030A13"/>
          <w:sz w:val="24"/>
          <w:szCs w:val="24"/>
        </w:rPr>
      </w:pPr>
      <w:hyperlink r:id="rId18">
        <w:r w:rsidR="00BF5CDA" w:rsidRPr="00273AC7">
          <w:rPr>
            <w:rFonts w:ascii="Times New Roman" w:eastAsia="Times New Roman" w:hAnsi="Times New Roman" w:cs="Times New Roman"/>
            <w:color w:val="0000FF"/>
            <w:sz w:val="24"/>
            <w:szCs w:val="24"/>
            <w:u w:val="single"/>
          </w:rPr>
          <w:t>AEFLA Program-Specific Regulations</w:t>
        </w:r>
      </w:hyperlink>
      <w:r w:rsidR="00BF5CDA" w:rsidRPr="00273AC7">
        <w:rPr>
          <w:rFonts w:ascii="Times New Roman" w:eastAsia="Times New Roman" w:hAnsi="Times New Roman" w:cs="Times New Roman"/>
          <w:color w:val="030A13"/>
          <w:sz w:val="24"/>
          <w:szCs w:val="24"/>
        </w:rPr>
        <w:t>: 34 CFR part 463, subparts A-G</w:t>
      </w:r>
    </w:p>
    <w:p w14:paraId="00000071" w14:textId="77777777" w:rsidR="002F3C8D" w:rsidRPr="00273AC7" w:rsidRDefault="00B73E9E" w:rsidP="00F057C2">
      <w:pPr>
        <w:numPr>
          <w:ilvl w:val="0"/>
          <w:numId w:val="11"/>
        </w:numPr>
        <w:pBdr>
          <w:top w:val="nil"/>
          <w:left w:val="nil"/>
          <w:bottom w:val="nil"/>
          <w:right w:val="nil"/>
          <w:between w:val="nil"/>
        </w:pBdr>
        <w:shd w:val="clear" w:color="auto" w:fill="FFFFFF"/>
        <w:spacing w:after="0" w:line="240" w:lineRule="auto"/>
        <w:ind w:left="1440"/>
        <w:rPr>
          <w:rFonts w:ascii="Times New Roman" w:eastAsia="Times New Roman" w:hAnsi="Times New Roman" w:cs="Times New Roman"/>
          <w:color w:val="030A13"/>
          <w:sz w:val="24"/>
          <w:szCs w:val="24"/>
        </w:rPr>
      </w:pPr>
      <w:hyperlink r:id="rId19">
        <w:r w:rsidR="00BF5CDA" w:rsidRPr="00273AC7">
          <w:rPr>
            <w:rFonts w:ascii="Times New Roman" w:eastAsia="Times New Roman" w:hAnsi="Times New Roman" w:cs="Times New Roman"/>
            <w:color w:val="0000FF"/>
            <w:sz w:val="24"/>
            <w:szCs w:val="24"/>
            <w:u w:val="single"/>
          </w:rPr>
          <w:t>Sec. 188 Implementation of the Nondiscrimination and Equal Opportunity Provision of WIOA</w:t>
        </w:r>
      </w:hyperlink>
      <w:r w:rsidR="00BF5CDA" w:rsidRPr="00273AC7">
        <w:rPr>
          <w:rFonts w:ascii="Times New Roman" w:eastAsia="Times New Roman" w:hAnsi="Times New Roman" w:cs="Times New Roman"/>
          <w:color w:val="030A13"/>
          <w:sz w:val="24"/>
          <w:szCs w:val="24"/>
        </w:rPr>
        <w:t>: 29 CFR Part 38</w:t>
      </w:r>
    </w:p>
    <w:p w14:paraId="00000072" w14:textId="05F25372" w:rsidR="002F3C8D" w:rsidRPr="00273AC7" w:rsidRDefault="00BF5CDA" w:rsidP="00F057C2">
      <w:pPr>
        <w:numPr>
          <w:ilvl w:val="0"/>
          <w:numId w:val="11"/>
        </w:numPr>
        <w:pBdr>
          <w:top w:val="nil"/>
          <w:left w:val="nil"/>
          <w:bottom w:val="nil"/>
          <w:right w:val="nil"/>
          <w:between w:val="nil"/>
        </w:pBdr>
        <w:shd w:val="clear" w:color="auto" w:fill="FFFFFF"/>
        <w:spacing w:after="150" w:line="240" w:lineRule="auto"/>
        <w:ind w:left="1440"/>
        <w:rPr>
          <w:rFonts w:ascii="Times New Roman" w:eastAsia="Times New Roman" w:hAnsi="Times New Roman" w:cs="Times New Roman"/>
          <w:color w:val="030A13"/>
          <w:sz w:val="24"/>
          <w:szCs w:val="24"/>
        </w:rPr>
      </w:pPr>
      <w:r w:rsidRPr="00273AC7">
        <w:rPr>
          <w:rFonts w:ascii="Times New Roman" w:eastAsia="Times New Roman" w:hAnsi="Times New Roman" w:cs="Times New Roman"/>
          <w:color w:val="030A13"/>
          <w:sz w:val="24"/>
          <w:szCs w:val="24"/>
        </w:rPr>
        <w:t>WIOA Joint Regulations (</w:t>
      </w:r>
      <w:hyperlink r:id="rId20" w:anchor="sp34.3.463.h">
        <w:r w:rsidRPr="00273AC7">
          <w:rPr>
            <w:rFonts w:ascii="Times New Roman" w:eastAsia="Times New Roman" w:hAnsi="Times New Roman" w:cs="Times New Roman"/>
            <w:color w:val="0000FF"/>
            <w:sz w:val="24"/>
            <w:szCs w:val="24"/>
            <w:u w:val="single"/>
          </w:rPr>
          <w:t>Unified and Combined State Plans</w:t>
        </w:r>
      </w:hyperlink>
      <w:r w:rsidRPr="00273AC7">
        <w:rPr>
          <w:rFonts w:ascii="Times New Roman" w:eastAsia="Times New Roman" w:hAnsi="Times New Roman" w:cs="Times New Roman"/>
          <w:color w:val="0000FF"/>
          <w:sz w:val="24"/>
          <w:szCs w:val="24"/>
        </w:rPr>
        <w:t>, </w:t>
      </w:r>
      <w:hyperlink r:id="rId21" w:anchor="sp34.3.463.i">
        <w:r w:rsidRPr="00273AC7">
          <w:rPr>
            <w:rFonts w:ascii="Times New Roman" w:eastAsia="Times New Roman" w:hAnsi="Times New Roman" w:cs="Times New Roman"/>
            <w:color w:val="0000FF"/>
            <w:sz w:val="24"/>
            <w:szCs w:val="24"/>
            <w:u w:val="single"/>
          </w:rPr>
          <w:t>Performance Accountability</w:t>
        </w:r>
      </w:hyperlink>
      <w:r w:rsidRPr="00273AC7">
        <w:rPr>
          <w:rFonts w:ascii="Times New Roman" w:eastAsia="Times New Roman" w:hAnsi="Times New Roman" w:cs="Times New Roman"/>
          <w:color w:val="030A13"/>
          <w:sz w:val="24"/>
          <w:szCs w:val="24"/>
        </w:rPr>
        <w:t>, and the </w:t>
      </w:r>
      <w:hyperlink r:id="rId22" w:anchor="sp34.3.463.j">
        <w:r w:rsidRPr="00273AC7">
          <w:rPr>
            <w:rFonts w:ascii="Times New Roman" w:eastAsia="Times New Roman" w:hAnsi="Times New Roman" w:cs="Times New Roman"/>
            <w:color w:val="0000FF"/>
            <w:sz w:val="24"/>
            <w:szCs w:val="24"/>
            <w:u w:val="single"/>
          </w:rPr>
          <w:t>One-Stop System Joint Provisions</w:t>
        </w:r>
      </w:hyperlink>
      <w:r w:rsidRPr="00273AC7">
        <w:rPr>
          <w:rFonts w:ascii="Times New Roman" w:eastAsia="Times New Roman" w:hAnsi="Times New Roman" w:cs="Times New Roman"/>
          <w:color w:val="030A13"/>
          <w:sz w:val="24"/>
          <w:szCs w:val="24"/>
        </w:rPr>
        <w:t>): 34 CFR part 463, subparts H-J</w:t>
      </w:r>
    </w:p>
    <w:p w14:paraId="00000073" w14:textId="2A416BD4"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F461E">
        <w:rPr>
          <w:rFonts w:ascii="Times New Roman" w:hAnsi="Times New Roman"/>
          <w:color w:val="000000"/>
          <w:sz w:val="24"/>
        </w:rPr>
        <w:t>Program Memos</w:t>
      </w:r>
      <w:r w:rsidRPr="00B131CA">
        <w:rPr>
          <w:rFonts w:ascii="Times New Roman" w:eastAsia="Times New Roman" w:hAnsi="Times New Roman" w:cs="Times New Roman"/>
          <w:color w:val="000000"/>
          <w:sz w:val="24"/>
          <w:szCs w:val="24"/>
        </w:rPr>
        <w:t xml:space="preserve">: </w:t>
      </w:r>
      <w:hyperlink r:id="rId23">
        <w:r w:rsidRPr="00B131CA">
          <w:rPr>
            <w:rFonts w:ascii="Times New Roman" w:eastAsia="Times New Roman" w:hAnsi="Times New Roman" w:cs="Times New Roman"/>
            <w:color w:val="0000FF"/>
            <w:sz w:val="24"/>
            <w:szCs w:val="24"/>
            <w:u w:val="single"/>
          </w:rPr>
          <w:t>AEFLA-specific memos</w:t>
        </w:r>
      </w:hyperlink>
      <w:r w:rsidRPr="00B131CA">
        <w:rPr>
          <w:rFonts w:ascii="Times New Roman" w:eastAsia="Times New Roman" w:hAnsi="Times New Roman" w:cs="Times New Roman"/>
          <w:color w:val="000000"/>
          <w:sz w:val="24"/>
          <w:szCs w:val="24"/>
        </w:rPr>
        <w:t xml:space="preserve"> are issued by the U.S. Department of Education</w:t>
      </w:r>
      <w:r w:rsidR="00E713E6">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Office of Career, Technical, and Adult Education</w:t>
      </w:r>
      <w:r w:rsidR="00DA3027">
        <w:rPr>
          <w:rFonts w:ascii="Times New Roman" w:eastAsia="Times New Roman" w:hAnsi="Times New Roman" w:cs="Times New Roman"/>
          <w:color w:val="000000"/>
          <w:sz w:val="24"/>
          <w:szCs w:val="24"/>
        </w:rPr>
        <w:t xml:space="preserve"> and memos issued jointly with the U. S. Department of Labor continue to refine the federal guidance on implementing WIOA programs</w:t>
      </w:r>
      <w:r w:rsidRPr="00B131CA">
        <w:rPr>
          <w:rFonts w:ascii="Times New Roman" w:eastAsia="Times New Roman" w:hAnsi="Times New Roman" w:cs="Times New Roman"/>
          <w:color w:val="000000"/>
          <w:sz w:val="24"/>
          <w:szCs w:val="24"/>
        </w:rPr>
        <w:t>. </w:t>
      </w:r>
    </w:p>
    <w:p w14:paraId="00000074" w14:textId="254E6E99"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AEFLA legislation identifies funding caps and minimum amounts </w:t>
      </w:r>
      <w:r w:rsidR="00D45AF4">
        <w:rPr>
          <w:rFonts w:ascii="Times New Roman" w:eastAsia="Times New Roman" w:hAnsi="Times New Roman" w:cs="Times New Roman"/>
          <w:color w:val="000000"/>
          <w:sz w:val="24"/>
          <w:szCs w:val="24"/>
        </w:rPr>
        <w:t>(</w:t>
      </w:r>
      <w:r w:rsidRPr="00B131CA">
        <w:rPr>
          <w:rFonts w:ascii="Times New Roman" w:eastAsia="Times New Roman" w:hAnsi="Times New Roman" w:cs="Times New Roman"/>
          <w:sz w:val="24"/>
          <w:szCs w:val="24"/>
        </w:rPr>
        <w:t>ceilings and floors</w:t>
      </w:r>
      <w:r w:rsidR="00D45AF4">
        <w:rPr>
          <w:rFonts w:ascii="Times New Roman" w:eastAsia="Times New Roman" w:hAnsi="Times New Roman" w:cs="Times New Roman"/>
          <w:sz w:val="24"/>
          <w:szCs w:val="24"/>
        </w:rPr>
        <w:t>)</w:t>
      </w:r>
      <w:r w:rsidRPr="00B131CA">
        <w:rPr>
          <w:rFonts w:ascii="Times New Roman" w:eastAsia="Times New Roman" w:hAnsi="Times New Roman" w:cs="Times New Roman"/>
          <w:color w:val="000000"/>
          <w:sz w:val="24"/>
          <w:szCs w:val="24"/>
        </w:rPr>
        <w:t xml:space="preserve"> for the various required funding streams. There are two components of the total federal award made to the VDOE: the basic federal award and a set aside award identified for the </w:t>
      </w:r>
      <w:r w:rsidR="00DC4E23">
        <w:rPr>
          <w:rFonts w:ascii="Times New Roman" w:eastAsia="Times New Roman" w:hAnsi="Times New Roman" w:cs="Times New Roman"/>
          <w:color w:val="000000"/>
          <w:sz w:val="24"/>
          <w:szCs w:val="24"/>
        </w:rPr>
        <w:t>IELCE</w:t>
      </w:r>
      <w:r w:rsidRPr="00B131CA">
        <w:rPr>
          <w:rFonts w:ascii="Times New Roman" w:eastAsia="Times New Roman" w:hAnsi="Times New Roman" w:cs="Times New Roman"/>
          <w:color w:val="000000"/>
          <w:sz w:val="24"/>
          <w:szCs w:val="24"/>
        </w:rPr>
        <w:t xml:space="preserve"> program. </w:t>
      </w:r>
      <w:r w:rsidR="00613705">
        <w:rPr>
          <w:rFonts w:ascii="Times New Roman" w:eastAsia="Times New Roman" w:hAnsi="Times New Roman" w:cs="Times New Roman"/>
          <w:color w:val="000000"/>
          <w:sz w:val="24"/>
          <w:szCs w:val="24"/>
        </w:rPr>
        <w:t>Both components are</w:t>
      </w:r>
      <w:r w:rsidRPr="00B131CA">
        <w:rPr>
          <w:rFonts w:ascii="Times New Roman" w:eastAsia="Times New Roman" w:hAnsi="Times New Roman" w:cs="Times New Roman"/>
          <w:color w:val="000000"/>
          <w:sz w:val="24"/>
          <w:szCs w:val="24"/>
        </w:rPr>
        <w:t xml:space="preserve"> based upon </w:t>
      </w:r>
      <w:r w:rsidR="00613705">
        <w:rPr>
          <w:rFonts w:ascii="Times New Roman" w:eastAsia="Times New Roman" w:hAnsi="Times New Roman" w:cs="Times New Roman"/>
          <w:color w:val="000000"/>
          <w:sz w:val="24"/>
          <w:szCs w:val="24"/>
        </w:rPr>
        <w:t xml:space="preserve">population-driven </w:t>
      </w:r>
      <w:r w:rsidRPr="00B131CA">
        <w:rPr>
          <w:rFonts w:ascii="Times New Roman" w:eastAsia="Times New Roman" w:hAnsi="Times New Roman" w:cs="Times New Roman"/>
          <w:color w:val="000000"/>
          <w:sz w:val="24"/>
          <w:szCs w:val="24"/>
        </w:rPr>
        <w:t xml:space="preserve">formula </w:t>
      </w:r>
      <w:r w:rsidR="00613705">
        <w:rPr>
          <w:rFonts w:ascii="Times New Roman" w:eastAsia="Times New Roman" w:hAnsi="Times New Roman" w:cs="Times New Roman"/>
          <w:color w:val="000000"/>
          <w:sz w:val="24"/>
          <w:szCs w:val="24"/>
        </w:rPr>
        <w:t xml:space="preserve">calculated </w:t>
      </w:r>
      <w:r w:rsidRPr="00B131CA">
        <w:rPr>
          <w:rFonts w:ascii="Times New Roman" w:eastAsia="Times New Roman" w:hAnsi="Times New Roman" w:cs="Times New Roman"/>
          <w:color w:val="000000"/>
          <w:sz w:val="24"/>
          <w:szCs w:val="24"/>
        </w:rPr>
        <w:t xml:space="preserve">by the federal Department of Education </w:t>
      </w:r>
      <w:r w:rsidR="00613705">
        <w:rPr>
          <w:rFonts w:ascii="Times New Roman" w:eastAsia="Times New Roman" w:hAnsi="Times New Roman" w:cs="Times New Roman"/>
          <w:color w:val="000000"/>
          <w:sz w:val="24"/>
          <w:szCs w:val="24"/>
        </w:rPr>
        <w:t>each year</w:t>
      </w:r>
      <w:r w:rsidRPr="00B131CA">
        <w:rPr>
          <w:rFonts w:ascii="Times New Roman" w:eastAsia="Times New Roman" w:hAnsi="Times New Roman" w:cs="Times New Roman"/>
          <w:color w:val="000000"/>
          <w:sz w:val="24"/>
          <w:szCs w:val="24"/>
        </w:rPr>
        <w:t>.</w:t>
      </w:r>
    </w:p>
    <w:p w14:paraId="00000075" w14:textId="217D1EA5"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States must follo</w:t>
      </w:r>
      <w:r w:rsidR="00C5741F">
        <w:rPr>
          <w:rFonts w:ascii="Times New Roman" w:eastAsia="Times New Roman" w:hAnsi="Times New Roman" w:cs="Times New Roman"/>
          <w:color w:val="000000"/>
          <w:sz w:val="24"/>
          <w:szCs w:val="24"/>
        </w:rPr>
        <w:t>w the requirements listed below:</w:t>
      </w:r>
      <w:r w:rsidRPr="00B131CA">
        <w:rPr>
          <w:rFonts w:ascii="Times New Roman" w:eastAsia="Times New Roman" w:hAnsi="Times New Roman" w:cs="Times New Roman"/>
          <w:color w:val="000000"/>
          <w:sz w:val="24"/>
          <w:szCs w:val="24"/>
        </w:rPr>
        <w:t> </w:t>
      </w:r>
    </w:p>
    <w:p w14:paraId="00000076" w14:textId="77777777" w:rsidR="002F3C8D" w:rsidRPr="00B131CA" w:rsidRDefault="00BF5CDA" w:rsidP="00F057C2">
      <w:pPr>
        <w:numPr>
          <w:ilvl w:val="0"/>
          <w:numId w:val="12"/>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States may use up to five percent of the basic federal award for state administration (Sec. 221).</w:t>
      </w:r>
    </w:p>
    <w:p w14:paraId="00000077" w14:textId="77777777" w:rsidR="002F3C8D" w:rsidRPr="00B131CA" w:rsidRDefault="00BF5CDA" w:rsidP="00F057C2">
      <w:pPr>
        <w:numPr>
          <w:ilvl w:val="0"/>
          <w:numId w:val="12"/>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States may use up to 12.5 percent of the basic federal award for state leadership activities (Sec. 223).</w:t>
      </w:r>
    </w:p>
    <w:p w14:paraId="00000078" w14:textId="77777777" w:rsidR="002F3C8D" w:rsidRPr="00B131CA" w:rsidRDefault="00BF5CDA" w:rsidP="00F057C2">
      <w:pPr>
        <w:numPr>
          <w:ilvl w:val="0"/>
          <w:numId w:val="12"/>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lastRenderedPageBreak/>
        <w:t>States must award 82.5 percent of the basic federal award to eligible providers for Sec. 231 and Sec. 225 programming. Up to 20 percent of this amount may be used for Sec. 225 programming.</w:t>
      </w:r>
    </w:p>
    <w:p w14:paraId="00000079" w14:textId="77777777" w:rsidR="002F3C8D" w:rsidRPr="00B131CA" w:rsidRDefault="00BF5CDA" w:rsidP="00F057C2">
      <w:pPr>
        <w:numPr>
          <w:ilvl w:val="0"/>
          <w:numId w:val="12"/>
        </w:num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States must use 95 percent of the funds identified as set aside for the I</w:t>
      </w:r>
      <w:r w:rsidRPr="00B131CA">
        <w:rPr>
          <w:rFonts w:ascii="Times New Roman" w:eastAsia="Times New Roman" w:hAnsi="Times New Roman" w:cs="Times New Roman"/>
          <w:sz w:val="24"/>
          <w:szCs w:val="24"/>
        </w:rPr>
        <w:t>ELCE</w:t>
      </w:r>
      <w:r w:rsidRPr="00B131CA">
        <w:rPr>
          <w:rFonts w:ascii="Times New Roman" w:eastAsia="Times New Roman" w:hAnsi="Times New Roman" w:cs="Times New Roman"/>
          <w:color w:val="000000"/>
          <w:sz w:val="24"/>
          <w:szCs w:val="24"/>
        </w:rPr>
        <w:t xml:space="preserve"> program for Sec. 243 programming and may use up to five percent for state administration of the program. </w:t>
      </w:r>
    </w:p>
    <w:p w14:paraId="0000007A" w14:textId="61DC505D"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B3598">
        <w:rPr>
          <w:rFonts w:ascii="Times New Roman" w:eastAsia="Times New Roman" w:hAnsi="Times New Roman" w:cs="Times New Roman"/>
          <w:b/>
          <w:bCs/>
          <w:color w:val="000000"/>
          <w:sz w:val="24"/>
          <w:szCs w:val="24"/>
        </w:rPr>
        <w:t xml:space="preserve">Supplement not </w:t>
      </w:r>
      <w:r w:rsidR="00273AC7">
        <w:rPr>
          <w:rFonts w:ascii="Times New Roman" w:eastAsia="Times New Roman" w:hAnsi="Times New Roman" w:cs="Times New Roman"/>
          <w:b/>
          <w:bCs/>
          <w:color w:val="000000"/>
          <w:sz w:val="24"/>
          <w:szCs w:val="24"/>
        </w:rPr>
        <w:t>S</w:t>
      </w:r>
      <w:r w:rsidRPr="001B3598">
        <w:rPr>
          <w:rFonts w:ascii="Times New Roman" w:eastAsia="Times New Roman" w:hAnsi="Times New Roman" w:cs="Times New Roman"/>
          <w:b/>
          <w:bCs/>
          <w:color w:val="000000"/>
          <w:sz w:val="24"/>
          <w:szCs w:val="24"/>
        </w:rPr>
        <w:t>upplant</w:t>
      </w:r>
      <w:r w:rsidRPr="000F461E">
        <w:rPr>
          <w:rFonts w:ascii="Times New Roman" w:hAnsi="Times New Roman"/>
          <w:b/>
          <w:color w:val="000000"/>
          <w:sz w:val="24"/>
        </w:rPr>
        <w:t>.</w:t>
      </w:r>
      <w:r w:rsidRPr="00B131CA">
        <w:rPr>
          <w:rFonts w:ascii="Times New Roman" w:eastAsia="Times New Roman" w:hAnsi="Times New Roman" w:cs="Times New Roman"/>
          <w:color w:val="000000"/>
          <w:sz w:val="24"/>
          <w:szCs w:val="24"/>
        </w:rPr>
        <w:t xml:space="preserve"> AEFLA Sec. 241(a) states</w:t>
      </w:r>
      <w:r w:rsidR="001C4D8F" w:rsidRPr="00B131C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“Funds made available for adult education and literacy activities under this title shall supplement and not supplant other State or local public funds expended for adult education and literacy activities.” This fiscal principle means that federal funds may not be used to pay for services, staff, programs, or materials that would otherwise be paid with state or local funds or used to provide services the state or local agency is required to make available under other federal, state, or local laws.</w:t>
      </w:r>
    </w:p>
    <w:p w14:paraId="0000007B" w14:textId="331D8112"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Federal funds may be extended</w:t>
      </w:r>
      <w:r w:rsidR="00D45AF4">
        <w:rPr>
          <w:rFonts w:ascii="Times New Roman" w:eastAsia="Times New Roman" w:hAnsi="Times New Roman" w:cs="Times New Roman"/>
          <w:color w:val="000000"/>
          <w:sz w:val="24"/>
          <w:szCs w:val="24"/>
        </w:rPr>
        <w:t xml:space="preserve"> (supplement</w:t>
      </w:r>
      <w:r w:rsidR="00F92A9F">
        <w:rPr>
          <w:rFonts w:ascii="Times New Roman" w:eastAsia="Times New Roman" w:hAnsi="Times New Roman" w:cs="Times New Roman"/>
          <w:color w:val="000000"/>
          <w:sz w:val="24"/>
          <w:szCs w:val="24"/>
        </w:rPr>
        <w:t>ed</w:t>
      </w:r>
      <w:r w:rsidR="00D45AF4">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with the use of state, local, or private funds, but federal funds may not be used in place of</w:t>
      </w:r>
      <w:r w:rsidR="00D45AF4">
        <w:rPr>
          <w:rFonts w:ascii="Times New Roman" w:eastAsia="Times New Roman" w:hAnsi="Times New Roman" w:cs="Times New Roman"/>
          <w:sz w:val="24"/>
          <w:szCs w:val="24"/>
        </w:rPr>
        <w:t xml:space="preserve"> (</w:t>
      </w:r>
      <w:r w:rsidR="00D45AF4" w:rsidRPr="00B131CA">
        <w:rPr>
          <w:rFonts w:ascii="Times New Roman" w:eastAsia="Times New Roman" w:hAnsi="Times New Roman" w:cs="Times New Roman"/>
          <w:color w:val="000000"/>
          <w:sz w:val="24"/>
          <w:szCs w:val="24"/>
        </w:rPr>
        <w:t>supplant</w:t>
      </w:r>
      <w:r w:rsidR="00D45AF4">
        <w:rPr>
          <w:rFonts w:ascii="Times New Roman" w:eastAsia="Times New Roman" w:hAnsi="Times New Roman" w:cs="Times New Roman"/>
          <w:color w:val="000000"/>
          <w:sz w:val="24"/>
          <w:szCs w:val="24"/>
        </w:rPr>
        <w:t>)</w:t>
      </w:r>
      <w:r w:rsidR="00D45AF4" w:rsidRPr="00B131CA" w:rsidDel="00D45AF4">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such funds. For example, if a provider receives a local grant for computer equipment, the provider may not later decide to use federal funds to purchase the equipment so that the local grant funds could be used for a different purchase. However, </w:t>
      </w:r>
      <w:r w:rsidRPr="00B131CA">
        <w:rPr>
          <w:rFonts w:ascii="Times New Roman" w:eastAsia="Times New Roman" w:hAnsi="Times New Roman" w:cs="Times New Roman"/>
          <w:sz w:val="24"/>
          <w:szCs w:val="24"/>
        </w:rPr>
        <w:t>t</w:t>
      </w:r>
      <w:r w:rsidRPr="00B131CA">
        <w:rPr>
          <w:rFonts w:ascii="Times New Roman" w:eastAsia="Times New Roman" w:hAnsi="Times New Roman" w:cs="Times New Roman"/>
          <w:color w:val="000000"/>
          <w:sz w:val="24"/>
          <w:szCs w:val="24"/>
        </w:rPr>
        <w:t xml:space="preserve">he opposite scenario is </w:t>
      </w:r>
      <w:r w:rsidRPr="00B131CA">
        <w:rPr>
          <w:rFonts w:ascii="Times New Roman" w:eastAsia="Times New Roman" w:hAnsi="Times New Roman" w:cs="Times New Roman"/>
          <w:sz w:val="24"/>
          <w:szCs w:val="24"/>
        </w:rPr>
        <w:t>allowable. I</w:t>
      </w:r>
      <w:r w:rsidRPr="00B131CA">
        <w:rPr>
          <w:rFonts w:ascii="Times New Roman" w:eastAsia="Times New Roman" w:hAnsi="Times New Roman" w:cs="Times New Roman"/>
          <w:color w:val="000000"/>
          <w:sz w:val="24"/>
          <w:szCs w:val="24"/>
        </w:rPr>
        <w:t xml:space="preserve">n this same example, a provider may use local grant funds to purchase computer equipment that had been included in their </w:t>
      </w:r>
      <w:r w:rsidRPr="00AE4957">
        <w:rPr>
          <w:rFonts w:ascii="Times New Roman" w:eastAsia="Times New Roman" w:hAnsi="Times New Roman" w:cs="Times New Roman"/>
          <w:color w:val="000000"/>
          <w:sz w:val="24"/>
          <w:szCs w:val="24"/>
        </w:rPr>
        <w:t xml:space="preserve">federal budget </w:t>
      </w:r>
      <w:r w:rsidRPr="00B131CA">
        <w:rPr>
          <w:rFonts w:ascii="Times New Roman" w:eastAsia="Times New Roman" w:hAnsi="Times New Roman" w:cs="Times New Roman"/>
          <w:color w:val="000000"/>
          <w:sz w:val="24"/>
          <w:szCs w:val="24"/>
        </w:rPr>
        <w:t>plan and amend their budget to use the federal funds for a different allowable purchase.</w:t>
      </w:r>
    </w:p>
    <w:p w14:paraId="0000007C" w14:textId="043C46F3" w:rsidR="002F3C8D" w:rsidRPr="00C13422" w:rsidRDefault="00BF5CDA" w:rsidP="008D03B8">
      <w:pPr>
        <w:pStyle w:val="Heading4"/>
      </w:pPr>
      <w:bookmarkStart w:id="4" w:name="_Toc174088819"/>
      <w:r w:rsidRPr="00C13422">
        <w:t>Uniform Guidance</w:t>
      </w:r>
      <w:bookmarkEnd w:id="4"/>
      <w:r w:rsidRPr="00C13422">
        <w:t> </w:t>
      </w:r>
    </w:p>
    <w:p w14:paraId="0000007D" w14:textId="61948D06" w:rsidR="002F3C8D" w:rsidRPr="00E713E6" w:rsidRDefault="00BF5CDA">
      <w:pPr>
        <w:pBdr>
          <w:top w:val="nil"/>
          <w:left w:val="nil"/>
          <w:bottom w:val="nil"/>
          <w:right w:val="nil"/>
          <w:between w:val="nil"/>
        </w:pBdr>
        <w:spacing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color w:val="000000"/>
          <w:sz w:val="24"/>
          <w:szCs w:val="24"/>
        </w:rPr>
        <w:t>The federal Office of Management and Budget (OMB) publishes the Uniform Guidance (Guidance) that applies to the work of all federal agencies. T</w:t>
      </w:r>
      <w:r w:rsidRPr="00B131CA">
        <w:rPr>
          <w:rFonts w:ascii="Times New Roman" w:eastAsia="Times New Roman" w:hAnsi="Times New Roman" w:cs="Times New Roman"/>
          <w:color w:val="030A13"/>
          <w:sz w:val="24"/>
          <w:szCs w:val="24"/>
          <w:highlight w:val="white"/>
        </w:rPr>
        <w:t>he Guidance (</w:t>
      </w:r>
      <w:hyperlink r:id="rId24">
        <w:r w:rsidRPr="00B131CA">
          <w:rPr>
            <w:rFonts w:ascii="Times New Roman" w:eastAsia="Times New Roman" w:hAnsi="Times New Roman" w:cs="Times New Roman"/>
            <w:color w:val="0000FF"/>
            <w:sz w:val="24"/>
            <w:szCs w:val="24"/>
            <w:highlight w:val="white"/>
            <w:u w:val="single"/>
          </w:rPr>
          <w:t>2 CFR § 200</w:t>
        </w:r>
      </w:hyperlink>
      <w:r w:rsidRPr="00B131CA">
        <w:rPr>
          <w:rFonts w:ascii="Times New Roman" w:eastAsia="Times New Roman" w:hAnsi="Times New Roman" w:cs="Times New Roman"/>
          <w:color w:val="030A13"/>
          <w:sz w:val="24"/>
          <w:szCs w:val="24"/>
          <w:highlight w:val="white"/>
        </w:rPr>
        <w:t xml:space="preserve">) </w:t>
      </w:r>
      <w:r w:rsidRPr="00E713E6">
        <w:rPr>
          <w:rFonts w:ascii="Times New Roman" w:eastAsia="Times New Roman" w:hAnsi="Times New Roman" w:cs="Times New Roman"/>
          <w:sz w:val="24"/>
          <w:szCs w:val="24"/>
          <w:highlight w:val="white"/>
        </w:rPr>
        <w:t xml:space="preserve">streamlines and consolidates government requirements for receiving and </w:t>
      </w:r>
      <w:r w:rsidR="008F3D00">
        <w:rPr>
          <w:rFonts w:ascii="Times New Roman" w:eastAsia="Times New Roman" w:hAnsi="Times New Roman" w:cs="Times New Roman"/>
          <w:sz w:val="24"/>
          <w:szCs w:val="24"/>
          <w:highlight w:val="white"/>
        </w:rPr>
        <w:t>administering</w:t>
      </w:r>
      <w:r w:rsidRPr="00E713E6">
        <w:rPr>
          <w:rFonts w:ascii="Times New Roman" w:eastAsia="Times New Roman" w:hAnsi="Times New Roman" w:cs="Times New Roman"/>
          <w:sz w:val="24"/>
          <w:szCs w:val="24"/>
          <w:highlight w:val="white"/>
        </w:rPr>
        <w:t xml:space="preserve"> federal awards so as to reduce administrative burden and improve outcomes. It </w:t>
      </w:r>
      <w:r w:rsidR="00670DC6">
        <w:rPr>
          <w:rFonts w:ascii="Times New Roman" w:eastAsia="Times New Roman" w:hAnsi="Times New Roman" w:cs="Times New Roman"/>
          <w:sz w:val="24"/>
          <w:szCs w:val="24"/>
          <w:highlight w:val="white"/>
        </w:rPr>
        <w:t xml:space="preserve">is </w:t>
      </w:r>
      <w:r w:rsidR="00B30301">
        <w:rPr>
          <w:rFonts w:ascii="Times New Roman" w:eastAsia="Times New Roman" w:hAnsi="Times New Roman" w:cs="Times New Roman"/>
          <w:sz w:val="24"/>
          <w:szCs w:val="24"/>
          <w:highlight w:val="white"/>
        </w:rPr>
        <w:t xml:space="preserve">regularly </w:t>
      </w:r>
      <w:r w:rsidR="00670DC6">
        <w:rPr>
          <w:rFonts w:ascii="Times New Roman" w:eastAsia="Times New Roman" w:hAnsi="Times New Roman" w:cs="Times New Roman"/>
          <w:sz w:val="24"/>
          <w:szCs w:val="24"/>
          <w:highlight w:val="white"/>
        </w:rPr>
        <w:t>updated online</w:t>
      </w:r>
      <w:r w:rsidRPr="00E713E6">
        <w:rPr>
          <w:rFonts w:ascii="Times New Roman" w:eastAsia="Times New Roman" w:hAnsi="Times New Roman" w:cs="Times New Roman"/>
          <w:sz w:val="24"/>
          <w:szCs w:val="24"/>
          <w:highlight w:val="white"/>
        </w:rPr>
        <w:t xml:space="preserve">. See the U.S. Department of Education’s technical assistance </w:t>
      </w:r>
      <w:hyperlink r:id="rId25">
        <w:r w:rsidRPr="00B131CA">
          <w:rPr>
            <w:rFonts w:ascii="Times New Roman" w:eastAsia="Times New Roman" w:hAnsi="Times New Roman" w:cs="Times New Roman"/>
            <w:color w:val="0000FF"/>
            <w:sz w:val="24"/>
            <w:szCs w:val="24"/>
            <w:highlight w:val="white"/>
            <w:u w:val="single"/>
          </w:rPr>
          <w:t>webpage</w:t>
        </w:r>
      </w:hyperlink>
      <w:r w:rsidRPr="00B131CA">
        <w:rPr>
          <w:rFonts w:ascii="Times New Roman" w:eastAsia="Times New Roman" w:hAnsi="Times New Roman" w:cs="Times New Roman"/>
          <w:color w:val="030A13"/>
          <w:sz w:val="24"/>
          <w:szCs w:val="24"/>
          <w:highlight w:val="white"/>
        </w:rPr>
        <w:t xml:space="preserve"> </w:t>
      </w:r>
      <w:r w:rsidRPr="00E713E6">
        <w:rPr>
          <w:rFonts w:ascii="Times New Roman" w:eastAsia="Times New Roman" w:hAnsi="Times New Roman" w:cs="Times New Roman"/>
          <w:sz w:val="24"/>
          <w:szCs w:val="24"/>
          <w:highlight w:val="white"/>
        </w:rPr>
        <w:t>for resources on the Guidance. Three key sections of the Guidance are included here. </w:t>
      </w:r>
    </w:p>
    <w:p w14:paraId="0000007E" w14:textId="23AA5D87"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B3598">
        <w:rPr>
          <w:rFonts w:ascii="Times New Roman" w:eastAsia="Times New Roman" w:hAnsi="Times New Roman" w:cs="Times New Roman"/>
          <w:b/>
          <w:bCs/>
          <w:color w:val="000000"/>
          <w:sz w:val="24"/>
          <w:szCs w:val="24"/>
        </w:rPr>
        <w:t>Cost Principles.</w:t>
      </w:r>
      <w:r w:rsidRPr="000F461E">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 xml:space="preserve">For the fiscal responsibility purposes of an AEFLA grant, a key section is </w:t>
      </w:r>
      <w:hyperlink r:id="rId26">
        <w:r w:rsidRPr="00B131CA">
          <w:rPr>
            <w:rFonts w:ascii="Times New Roman" w:eastAsia="Times New Roman" w:hAnsi="Times New Roman" w:cs="Times New Roman"/>
            <w:color w:val="0000FF"/>
            <w:sz w:val="24"/>
            <w:szCs w:val="24"/>
            <w:u w:val="single"/>
          </w:rPr>
          <w:t>2CFR, Subpart E: C</w:t>
        </w:r>
        <w:r w:rsidRPr="00B131CA">
          <w:rPr>
            <w:rFonts w:ascii="Times New Roman" w:eastAsia="Times New Roman" w:hAnsi="Times New Roman" w:cs="Times New Roman"/>
            <w:color w:val="0000FF"/>
            <w:sz w:val="24"/>
            <w:szCs w:val="24"/>
            <w:u w:val="single"/>
          </w:rPr>
          <w:t>o</w:t>
        </w:r>
        <w:r w:rsidRPr="00B131CA">
          <w:rPr>
            <w:rFonts w:ascii="Times New Roman" w:eastAsia="Times New Roman" w:hAnsi="Times New Roman" w:cs="Times New Roman"/>
            <w:color w:val="0000FF"/>
            <w:sz w:val="24"/>
            <w:szCs w:val="24"/>
            <w:u w:val="single"/>
          </w:rPr>
          <w:t>st P</w:t>
        </w:r>
        <w:r w:rsidRPr="00B131CA">
          <w:rPr>
            <w:rFonts w:ascii="Times New Roman" w:eastAsia="Times New Roman" w:hAnsi="Times New Roman" w:cs="Times New Roman"/>
            <w:color w:val="0000FF"/>
            <w:sz w:val="24"/>
            <w:szCs w:val="24"/>
            <w:u w:val="single"/>
          </w:rPr>
          <w:t>r</w:t>
        </w:r>
        <w:r w:rsidRPr="00B131CA">
          <w:rPr>
            <w:rFonts w:ascii="Times New Roman" w:eastAsia="Times New Roman" w:hAnsi="Times New Roman" w:cs="Times New Roman"/>
            <w:color w:val="0000FF"/>
            <w:sz w:val="24"/>
            <w:szCs w:val="24"/>
            <w:u w:val="single"/>
          </w:rPr>
          <w:t>inciples</w:t>
        </w:r>
      </w:hyperlink>
      <w:r w:rsidRPr="00B131CA">
        <w:rPr>
          <w:rFonts w:ascii="Times New Roman" w:eastAsia="Times New Roman" w:hAnsi="Times New Roman" w:cs="Times New Roman"/>
          <w:color w:val="000000"/>
          <w:sz w:val="24"/>
          <w:szCs w:val="24"/>
        </w:rPr>
        <w:t>. This section sets the stage for grantees to establish processes, procedures, and principles so that federal funds are used wisely and judiciously. The opening policy section, Sec. 200.400, establishes that the grantee “is responsible for the efficient and effective administration of the Federal award through the application of sound management practices.” Throughout the Guidance, grantees are asked to be prudent in their decisions and purchases. </w:t>
      </w:r>
    </w:p>
    <w:p w14:paraId="0000007F" w14:textId="37BF52E7"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Program managers should bookmark Subpart E of the Guidance for regular reference</w:t>
      </w:r>
      <w:r w:rsidR="00D45AF4">
        <w:rPr>
          <w:rFonts w:ascii="Times New Roman" w:eastAsia="Times New Roman" w:hAnsi="Times New Roman" w:cs="Times New Roman"/>
          <w:color w:val="000000"/>
          <w:sz w:val="24"/>
          <w:szCs w:val="24"/>
        </w:rPr>
        <w:t>.</w:t>
      </w:r>
      <w:r w:rsidR="00D45AF4" w:rsidRPr="00B131CA">
        <w:rPr>
          <w:rFonts w:ascii="Times New Roman" w:eastAsia="Times New Roman" w:hAnsi="Times New Roman" w:cs="Times New Roman"/>
          <w:color w:val="000000"/>
          <w:sz w:val="24"/>
          <w:szCs w:val="24"/>
        </w:rPr>
        <w:t xml:space="preserve"> </w:t>
      </w:r>
      <w:r w:rsidR="00D45AF4">
        <w:rPr>
          <w:rFonts w:ascii="Times New Roman" w:eastAsia="Times New Roman" w:hAnsi="Times New Roman" w:cs="Times New Roman"/>
          <w:color w:val="000000"/>
          <w:sz w:val="24"/>
          <w:szCs w:val="24"/>
        </w:rPr>
        <w:t>I</w:t>
      </w:r>
      <w:r w:rsidR="00D45AF4" w:rsidRPr="00B131CA">
        <w:rPr>
          <w:rFonts w:ascii="Times New Roman" w:eastAsia="Times New Roman" w:hAnsi="Times New Roman" w:cs="Times New Roman"/>
          <w:color w:val="000000"/>
          <w:sz w:val="24"/>
          <w:szCs w:val="24"/>
        </w:rPr>
        <w:t xml:space="preserve">t </w:t>
      </w:r>
      <w:r w:rsidRPr="00B131CA">
        <w:rPr>
          <w:rFonts w:ascii="Times New Roman" w:eastAsia="Times New Roman" w:hAnsi="Times New Roman" w:cs="Times New Roman"/>
          <w:color w:val="000000"/>
          <w:sz w:val="24"/>
          <w:szCs w:val="24"/>
        </w:rPr>
        <w:t xml:space="preserve">is expected that program managers and fiscal agents are familiar with and abide by these cost principles. Check the Guidance for common issues </w:t>
      </w:r>
      <w:r w:rsidRPr="00B131CA">
        <w:rPr>
          <w:rFonts w:ascii="Times New Roman" w:eastAsia="Times New Roman" w:hAnsi="Times New Roman" w:cs="Times New Roman"/>
          <w:sz w:val="24"/>
          <w:szCs w:val="24"/>
        </w:rPr>
        <w:t xml:space="preserve">concerning </w:t>
      </w:r>
      <w:r w:rsidRPr="00B131CA">
        <w:rPr>
          <w:rFonts w:ascii="Times New Roman" w:eastAsia="Times New Roman" w:hAnsi="Times New Roman" w:cs="Times New Roman"/>
          <w:color w:val="000000"/>
          <w:sz w:val="24"/>
          <w:szCs w:val="24"/>
        </w:rPr>
        <w:t>allowability of costs (Sec. 220.403), reasonable costs (Sec. 200.404), prior written approval (Sec. 200.407), employee health and welfare costs (Sec. 200.437), equipment and other capital expenditures (Sec. 200.439), participant support costs (Sec. 200.456), rental costs of real property and equipment (Sec. 200.465), and travel costs (Sec. 200.474</w:t>
      </w:r>
      <w:r w:rsidR="00B73E9E">
        <w:rPr>
          <w:rFonts w:ascii="Times New Roman" w:eastAsia="Times New Roman" w:hAnsi="Times New Roman" w:cs="Times New Roman"/>
          <w:color w:val="000000"/>
          <w:sz w:val="24"/>
          <w:szCs w:val="24"/>
        </w:rPr>
        <w:t xml:space="preserve"> and 200.475</w:t>
      </w:r>
      <w:r w:rsidRPr="00B131CA">
        <w:rPr>
          <w:rFonts w:ascii="Times New Roman" w:eastAsia="Times New Roman" w:hAnsi="Times New Roman" w:cs="Times New Roman"/>
          <w:color w:val="000000"/>
          <w:sz w:val="24"/>
          <w:szCs w:val="24"/>
        </w:rPr>
        <w:t xml:space="preserve">) as well as </w:t>
      </w:r>
      <w:proofErr w:type="gramStart"/>
      <w:r w:rsidRPr="00B131CA">
        <w:rPr>
          <w:rFonts w:ascii="Times New Roman" w:eastAsia="Times New Roman" w:hAnsi="Times New Roman" w:cs="Times New Roman"/>
          <w:color w:val="000000"/>
          <w:sz w:val="24"/>
          <w:szCs w:val="24"/>
        </w:rPr>
        <w:t>a number of</w:t>
      </w:r>
      <w:proofErr w:type="gramEnd"/>
      <w:r w:rsidRPr="00B131CA">
        <w:rPr>
          <w:rFonts w:ascii="Times New Roman" w:eastAsia="Times New Roman" w:hAnsi="Times New Roman" w:cs="Times New Roman"/>
          <w:color w:val="000000"/>
          <w:sz w:val="24"/>
          <w:szCs w:val="24"/>
        </w:rPr>
        <w:t xml:space="preserve"> other issues. </w:t>
      </w:r>
    </w:p>
    <w:p w14:paraId="00000080" w14:textId="04736CAC"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A47EE">
        <w:rPr>
          <w:rFonts w:ascii="Times New Roman" w:eastAsia="Times New Roman" w:hAnsi="Times New Roman" w:cs="Times New Roman"/>
          <w:b/>
          <w:bCs/>
          <w:color w:val="000000"/>
          <w:sz w:val="24"/>
          <w:szCs w:val="24"/>
        </w:rPr>
        <w:t>Internal Controls.</w:t>
      </w:r>
      <w:r w:rsidRPr="000F461E">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 xml:space="preserve">Another key section in the federal Uniform Guidance speaks to the importance of internal controls, found in </w:t>
      </w:r>
      <w:hyperlink r:id="rId27" w:anchor="seqnum200.303">
        <w:r w:rsidRPr="00B131CA">
          <w:rPr>
            <w:rFonts w:ascii="Times New Roman" w:eastAsia="Times New Roman" w:hAnsi="Times New Roman" w:cs="Times New Roman"/>
            <w:color w:val="0000FF"/>
            <w:sz w:val="24"/>
            <w:szCs w:val="24"/>
            <w:u w:val="single"/>
          </w:rPr>
          <w:t>2CFR, Sec. 200.303</w:t>
        </w:r>
      </w:hyperlink>
      <w:r w:rsidRPr="00B131CA">
        <w:rPr>
          <w:rFonts w:ascii="Times New Roman" w:eastAsia="Times New Roman" w:hAnsi="Times New Roman" w:cs="Times New Roman"/>
          <w:color w:val="000000"/>
          <w:sz w:val="24"/>
          <w:szCs w:val="24"/>
        </w:rPr>
        <w:t xml:space="preserve">. These concepts are foundational to </w:t>
      </w:r>
      <w:r w:rsidRPr="00B131CA">
        <w:rPr>
          <w:rFonts w:ascii="Times New Roman" w:eastAsia="Times New Roman" w:hAnsi="Times New Roman" w:cs="Times New Roman"/>
          <w:color w:val="000000"/>
          <w:sz w:val="24"/>
          <w:szCs w:val="24"/>
        </w:rPr>
        <w:lastRenderedPageBreak/>
        <w:t xml:space="preserve">proper grant management. Internal controls give reasonable assurance that the organization will achieve its objectives through effective and efficient operations, reliable reporting, and compliance with applicable laws and regulations. Those assurances are based upon sound processes and procedures and with transparent and accountable reporting. For example, in fiscal management, a key process is “segregation of duties,” referring to an established, routine system of review and oversight for expenditures and reporting to ensure that no one individual can control a process from start to finish. Annual review processes within a program improvement cycle </w:t>
      </w:r>
      <w:r w:rsidR="00BC4F9C">
        <w:rPr>
          <w:rFonts w:ascii="Times New Roman" w:eastAsia="Times New Roman" w:hAnsi="Times New Roman" w:cs="Times New Roman"/>
          <w:color w:val="000000"/>
          <w:sz w:val="24"/>
          <w:szCs w:val="24"/>
        </w:rPr>
        <w:t>as well as</w:t>
      </w:r>
      <w:r w:rsidR="00BC4F9C"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annual local monitoring activities are processes that support strong internal controls so that inefficiencies or inconsistencies can be identified and addressed. </w:t>
      </w:r>
    </w:p>
    <w:p w14:paraId="00000081" w14:textId="2C7B3E45"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U.S. Department of Education has developed a presentation and toolkit to assist grantees with appropriate internal controls and the compliance with the Uniform Guidance. See the </w:t>
      </w:r>
      <w:hyperlink r:id="rId28" w:history="1">
        <w:r w:rsidR="00CB690D" w:rsidRPr="00CB690D">
          <w:rPr>
            <w:rStyle w:val="Hyperlink"/>
            <w:rFonts w:ascii="Times New Roman" w:eastAsia="Times New Roman" w:hAnsi="Times New Roman" w:cs="Times New Roman"/>
            <w:sz w:val="24"/>
            <w:szCs w:val="24"/>
          </w:rPr>
          <w:t>online resources</w:t>
        </w:r>
      </w:hyperlink>
      <w:r w:rsidRPr="00B131C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sz w:val="24"/>
          <w:szCs w:val="24"/>
        </w:rPr>
        <w:t xml:space="preserve"> Found here are the </w:t>
      </w:r>
      <w:r w:rsidRPr="00B131CA">
        <w:rPr>
          <w:rFonts w:ascii="Times New Roman" w:eastAsia="Times New Roman" w:hAnsi="Times New Roman" w:cs="Times New Roman"/>
          <w:color w:val="000000"/>
          <w:sz w:val="24"/>
          <w:szCs w:val="24"/>
        </w:rPr>
        <w:t xml:space="preserve">slides that share the definitions of internal controls as well as give factors to consider when determining allowable, reasonable, and allocable costs. The Manager’s Checklist, which can be found in the file named Manager’s Quick Assessment in the Toolkit at the same link, provides practitioner-friendly language that a leadership team may use </w:t>
      </w:r>
      <w:proofErr w:type="gramStart"/>
      <w:r w:rsidRPr="00B131CA">
        <w:rPr>
          <w:rFonts w:ascii="Times New Roman" w:eastAsia="Times New Roman" w:hAnsi="Times New Roman" w:cs="Times New Roman"/>
          <w:color w:val="000000"/>
          <w:sz w:val="24"/>
          <w:szCs w:val="24"/>
        </w:rPr>
        <w:t>as a means to</w:t>
      </w:r>
      <w:proofErr w:type="gramEnd"/>
      <w:r w:rsidRPr="00B131CA">
        <w:rPr>
          <w:rFonts w:ascii="Times New Roman" w:eastAsia="Times New Roman" w:hAnsi="Times New Roman" w:cs="Times New Roman"/>
          <w:color w:val="000000"/>
          <w:sz w:val="24"/>
          <w:szCs w:val="24"/>
        </w:rPr>
        <w:t xml:space="preserve"> improve the transparency and accountability of a program’s internal controls.</w:t>
      </w:r>
    </w:p>
    <w:p w14:paraId="00000082" w14:textId="119A2064" w:rsidR="002F3C8D" w:rsidRPr="00B131CA" w:rsidRDefault="00BF5CDA" w:rsidP="006C03E7">
      <w:pPr>
        <w:spacing w:line="240" w:lineRule="auto"/>
        <w:rPr>
          <w:rFonts w:ascii="Times New Roman" w:eastAsia="Times New Roman" w:hAnsi="Times New Roman" w:cs="Times New Roman"/>
          <w:sz w:val="24"/>
          <w:szCs w:val="24"/>
        </w:rPr>
      </w:pPr>
      <w:r w:rsidRPr="001E0C01">
        <w:rPr>
          <w:rFonts w:ascii="Times New Roman" w:eastAsia="Times New Roman" w:hAnsi="Times New Roman" w:cs="Times New Roman"/>
          <w:b/>
          <w:bCs/>
          <w:sz w:val="24"/>
          <w:szCs w:val="24"/>
          <w:highlight w:val="white"/>
        </w:rPr>
        <w:t>Records Retention.</w:t>
      </w:r>
      <w:r w:rsidRPr="00B131CA">
        <w:rPr>
          <w:rFonts w:ascii="Times New Roman" w:eastAsia="Times New Roman" w:hAnsi="Times New Roman" w:cs="Times New Roman"/>
          <w:sz w:val="24"/>
          <w:szCs w:val="24"/>
          <w:highlight w:val="white"/>
        </w:rPr>
        <w:t xml:space="preserve"> Financial records, supporting documents, statistical or data records, and all other records pertinent to managing a federal award are required by </w:t>
      </w:r>
      <w:hyperlink r:id="rId29" w:anchor="se2.1.200_1333">
        <w:r w:rsidRPr="00B131CA">
          <w:rPr>
            <w:rFonts w:ascii="Times New Roman" w:eastAsia="Times New Roman" w:hAnsi="Times New Roman" w:cs="Times New Roman"/>
            <w:color w:val="0000FF"/>
            <w:sz w:val="24"/>
            <w:szCs w:val="24"/>
            <w:highlight w:val="white"/>
            <w:u w:val="single"/>
          </w:rPr>
          <w:t>2CFR, Sec</w:t>
        </w:r>
        <w:r w:rsidRPr="00B131CA">
          <w:rPr>
            <w:rFonts w:ascii="Times New Roman" w:eastAsia="Times New Roman" w:hAnsi="Times New Roman" w:cs="Times New Roman"/>
            <w:color w:val="0000FF"/>
            <w:sz w:val="24"/>
            <w:szCs w:val="24"/>
            <w:highlight w:val="white"/>
            <w:u w:val="single"/>
          </w:rPr>
          <w:t>.</w:t>
        </w:r>
        <w:r w:rsidRPr="00B131CA">
          <w:rPr>
            <w:rFonts w:ascii="Times New Roman" w:eastAsia="Times New Roman" w:hAnsi="Times New Roman" w:cs="Times New Roman"/>
            <w:color w:val="0000FF"/>
            <w:sz w:val="24"/>
            <w:szCs w:val="24"/>
            <w:highlight w:val="white"/>
            <w:u w:val="single"/>
          </w:rPr>
          <w:t xml:space="preserve"> </w:t>
        </w:r>
      </w:hyperlink>
      <w:hyperlink r:id="rId30" w:anchor="se2.1.200_1333">
        <w:r w:rsidRPr="00B131CA">
          <w:rPr>
            <w:rFonts w:ascii="Times New Roman" w:eastAsia="Times New Roman" w:hAnsi="Times New Roman" w:cs="Times New Roman"/>
            <w:color w:val="0000FF"/>
            <w:sz w:val="24"/>
            <w:szCs w:val="24"/>
            <w:u w:val="single"/>
          </w:rPr>
          <w:t>200.33</w:t>
        </w:r>
      </w:hyperlink>
      <w:r w:rsidR="00B73E9E">
        <w:rPr>
          <w:rFonts w:ascii="Times New Roman" w:eastAsia="Times New Roman" w:hAnsi="Times New Roman" w:cs="Times New Roman"/>
          <w:color w:val="0000FF"/>
          <w:sz w:val="24"/>
          <w:szCs w:val="24"/>
          <w:u w:val="single"/>
        </w:rPr>
        <w:t>4</w:t>
      </w:r>
      <w:r w:rsidRPr="00B131CA">
        <w:rPr>
          <w:rFonts w:ascii="Times New Roman" w:eastAsia="Times New Roman" w:hAnsi="Times New Roman" w:cs="Times New Roman"/>
          <w:color w:val="000000"/>
          <w:sz w:val="24"/>
          <w:szCs w:val="24"/>
        </w:rPr>
        <w:t xml:space="preserve"> to be retained for a period of </w:t>
      </w:r>
      <w:r w:rsidR="00A46FD8">
        <w:rPr>
          <w:rFonts w:ascii="Times New Roman" w:eastAsia="Times New Roman" w:hAnsi="Times New Roman" w:cs="Times New Roman"/>
          <w:color w:val="000000"/>
          <w:sz w:val="24"/>
          <w:szCs w:val="24"/>
        </w:rPr>
        <w:t xml:space="preserve">at least </w:t>
      </w:r>
      <w:r w:rsidRPr="00B131CA">
        <w:rPr>
          <w:rFonts w:ascii="Times New Roman" w:eastAsia="Times New Roman" w:hAnsi="Times New Roman" w:cs="Times New Roman"/>
          <w:color w:val="000000"/>
          <w:sz w:val="24"/>
          <w:szCs w:val="24"/>
        </w:rPr>
        <w:t xml:space="preserve">three years from the </w:t>
      </w:r>
      <w:r w:rsidR="00130500" w:rsidRPr="00B131CA">
        <w:rPr>
          <w:rFonts w:ascii="Times New Roman" w:eastAsia="Times New Roman" w:hAnsi="Times New Roman" w:cs="Times New Roman"/>
          <w:color w:val="000000"/>
          <w:sz w:val="24"/>
          <w:szCs w:val="24"/>
        </w:rPr>
        <w:t>dat</w:t>
      </w:r>
      <w:r w:rsidR="00130500">
        <w:rPr>
          <w:rFonts w:ascii="Times New Roman" w:eastAsia="Times New Roman" w:hAnsi="Times New Roman" w:cs="Times New Roman"/>
          <w:color w:val="000000"/>
          <w:sz w:val="24"/>
          <w:szCs w:val="24"/>
        </w:rPr>
        <w:t>e</w:t>
      </w:r>
      <w:r w:rsidR="00130500"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of submission of the final expenditure report</w:t>
      </w:r>
      <w:r w:rsidR="00A46FD8">
        <w:rPr>
          <w:rFonts w:ascii="Times New Roman" w:eastAsia="Times New Roman" w:hAnsi="Times New Roman" w:cs="Times New Roman"/>
          <w:color w:val="000000"/>
          <w:sz w:val="24"/>
          <w:szCs w:val="24"/>
        </w:rPr>
        <w:t xml:space="preserve"> except where state regulations require a longer retention; see the Records Retention Policy of the Library of Virginia referenced below</w:t>
      </w:r>
      <w:r w:rsidR="00E813EF">
        <w:rPr>
          <w:rFonts w:ascii="Times New Roman" w:eastAsia="Times New Roman" w:hAnsi="Times New Roman" w:cs="Times New Roman"/>
          <w:color w:val="000000"/>
          <w:sz w:val="24"/>
          <w:szCs w:val="24"/>
        </w:rPr>
        <w:t>.</w:t>
      </w:r>
    </w:p>
    <w:p w14:paraId="00000083" w14:textId="318F4F14" w:rsidR="002F3C8D" w:rsidRPr="0069138B" w:rsidRDefault="00BF5CDA" w:rsidP="008D03B8">
      <w:pPr>
        <w:pStyle w:val="Heading4"/>
        <w:rPr>
          <w:rFonts w:eastAsia="Times New Roman" w:cs="Times New Roman"/>
          <w:i/>
          <w:szCs w:val="24"/>
        </w:rPr>
      </w:pPr>
      <w:bookmarkStart w:id="5" w:name="_Toc174088820"/>
      <w:r w:rsidRPr="000F461E">
        <w:t>Family Educational Rights and Privacy Act (FERPA)</w:t>
      </w:r>
      <w:bookmarkEnd w:id="5"/>
    </w:p>
    <w:p w14:paraId="00000084" w14:textId="6013A82D"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highlight w:val="white"/>
        </w:rPr>
        <w:t xml:space="preserve">The Family Educational Rights and Privacy Act (FERPA, found at </w:t>
      </w:r>
      <w:hyperlink r:id="rId31">
        <w:r w:rsidRPr="00B131CA">
          <w:rPr>
            <w:rFonts w:ascii="Times New Roman" w:eastAsia="Times New Roman" w:hAnsi="Times New Roman" w:cs="Times New Roman"/>
            <w:color w:val="0000FF"/>
            <w:sz w:val="24"/>
            <w:szCs w:val="24"/>
            <w:highlight w:val="white"/>
            <w:u w:val="single"/>
          </w:rPr>
          <w:t>20 USC 1232g; 34CFR Part 99</w:t>
        </w:r>
      </w:hyperlink>
      <w:r w:rsidRPr="00B131CA">
        <w:rPr>
          <w:rFonts w:ascii="Times New Roman" w:eastAsia="Times New Roman" w:hAnsi="Times New Roman" w:cs="Times New Roman"/>
          <w:color w:val="000000"/>
          <w:sz w:val="24"/>
          <w:szCs w:val="24"/>
          <w:highlight w:val="white"/>
        </w:rPr>
        <w:t xml:space="preserve">), is the existing federal law that provides for the protection of a student’s personally identifiable information (PII) and education records. “Education records” are those records that are: (1) directly related to a student and (2) maintained by an educational agency or institution or by a party acting for the agency or institution. Under FERPA, an educational agency or institution may not disclose PII from students’ education records without consent unless the disclosure meets an exception under FERPA. The U.S. Department of Education’s Student Privacy Policy Office’s </w:t>
      </w:r>
      <w:hyperlink r:id="rId32">
        <w:r w:rsidRPr="00B131CA">
          <w:rPr>
            <w:rFonts w:ascii="Times New Roman" w:eastAsia="Times New Roman" w:hAnsi="Times New Roman" w:cs="Times New Roman"/>
            <w:color w:val="0000FF"/>
            <w:sz w:val="24"/>
            <w:szCs w:val="24"/>
            <w:highlight w:val="white"/>
            <w:u w:val="single"/>
          </w:rPr>
          <w:t>website</w:t>
        </w:r>
      </w:hyperlink>
      <w:r w:rsidRPr="00B131CA">
        <w:rPr>
          <w:rFonts w:ascii="Times New Roman" w:eastAsia="Times New Roman" w:hAnsi="Times New Roman" w:cs="Times New Roman"/>
          <w:color w:val="000000"/>
          <w:sz w:val="24"/>
          <w:szCs w:val="24"/>
          <w:highlight w:val="white"/>
        </w:rPr>
        <w:t xml:space="preserve"> has a broad overview of FERPA and related issues, including explanations of applicability to online and virtual learning. A companion </w:t>
      </w:r>
      <w:hyperlink r:id="rId33">
        <w:r w:rsidRPr="00B131CA">
          <w:rPr>
            <w:rFonts w:ascii="Times New Roman" w:eastAsia="Times New Roman" w:hAnsi="Times New Roman" w:cs="Times New Roman"/>
            <w:color w:val="0000FF"/>
            <w:sz w:val="24"/>
            <w:szCs w:val="24"/>
            <w:highlight w:val="white"/>
            <w:u w:val="single"/>
          </w:rPr>
          <w:t>website</w:t>
        </w:r>
      </w:hyperlink>
      <w:r w:rsidRPr="00B131CA">
        <w:rPr>
          <w:rFonts w:ascii="Times New Roman" w:eastAsia="Times New Roman" w:hAnsi="Times New Roman" w:cs="Times New Roman"/>
          <w:color w:val="000000"/>
          <w:sz w:val="24"/>
          <w:szCs w:val="24"/>
          <w:highlight w:val="white"/>
        </w:rPr>
        <w:t xml:space="preserve"> has information for students, parents, and educators about their rights and roles under FERPA.</w:t>
      </w:r>
    </w:p>
    <w:p w14:paraId="00000085" w14:textId="6A54A131" w:rsidR="002F3C8D" w:rsidRPr="0069138B" w:rsidRDefault="00BF5CDA" w:rsidP="008D03B8">
      <w:pPr>
        <w:pStyle w:val="Heading4"/>
        <w:rPr>
          <w:rFonts w:eastAsia="Times New Roman" w:cs="Times New Roman"/>
          <w:i/>
          <w:szCs w:val="24"/>
        </w:rPr>
      </w:pPr>
      <w:bookmarkStart w:id="6" w:name="_Toc174088821"/>
      <w:r w:rsidRPr="000F461E">
        <w:t>General Education Provisions Act (GEPA)</w:t>
      </w:r>
      <w:bookmarkEnd w:id="6"/>
    </w:p>
    <w:p w14:paraId="00000086" w14:textId="77777777" w:rsidR="002F3C8D" w:rsidRPr="00B131CA" w:rsidRDefault="00BF5CDA" w:rsidP="000F461E">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Section 427 of the U.S. Department of Education’s General Education Provisions Act (GEPA) requires recipients (the VDOE) and subrecipients, such as the AEFLA grantees, to describe the steps they will take to ensure equitable access to and participation in the federally assisted program for students, teachers, and other program beneficiaries with special needs. A GEPA statement is required from all AEFLA applicants in each year’s application. </w:t>
      </w:r>
    </w:p>
    <w:p w14:paraId="00000087" w14:textId="483140CB" w:rsidR="002F3C8D" w:rsidRPr="0069138B" w:rsidRDefault="00BF5CDA" w:rsidP="008D03B8">
      <w:pPr>
        <w:pStyle w:val="Heading4"/>
        <w:rPr>
          <w:rFonts w:eastAsia="Times New Roman" w:cs="Times New Roman"/>
          <w:i/>
          <w:szCs w:val="24"/>
        </w:rPr>
      </w:pPr>
      <w:bookmarkStart w:id="7" w:name="_Toc174088822"/>
      <w:r w:rsidRPr="000F461E">
        <w:t>American Disabilities Act (ADA) as Amended</w:t>
      </w:r>
      <w:bookmarkEnd w:id="7"/>
    </w:p>
    <w:p w14:paraId="00000088" w14:textId="77777777" w:rsidR="002F3C8D" w:rsidRPr="00B131CA" w:rsidRDefault="00BF5CDA">
      <w:pPr>
        <w:pBdr>
          <w:top w:val="nil"/>
          <w:left w:val="nil"/>
          <w:bottom w:val="nil"/>
          <w:right w:val="nil"/>
          <w:between w:val="nil"/>
        </w:pBdr>
        <w:shd w:val="clear" w:color="auto" w:fill="FFFFFF"/>
        <w:spacing w:after="200" w:line="240" w:lineRule="auto"/>
        <w:rPr>
          <w:rFonts w:ascii="Times New Roman" w:eastAsia="Times New Roman" w:hAnsi="Times New Roman" w:cs="Times New Roman"/>
          <w:color w:val="1B1B1B"/>
          <w:sz w:val="24"/>
          <w:szCs w:val="24"/>
        </w:rPr>
      </w:pPr>
      <w:r w:rsidRPr="00B131CA">
        <w:rPr>
          <w:rFonts w:ascii="Times New Roman" w:eastAsia="Times New Roman" w:hAnsi="Times New Roman" w:cs="Times New Roman"/>
          <w:color w:val="000000"/>
          <w:sz w:val="24"/>
          <w:szCs w:val="24"/>
        </w:rPr>
        <w:t xml:space="preserve">The </w:t>
      </w:r>
      <w:hyperlink r:id="rId34">
        <w:r w:rsidRPr="00B131CA">
          <w:rPr>
            <w:rFonts w:ascii="Times New Roman" w:eastAsia="Times New Roman" w:hAnsi="Times New Roman" w:cs="Times New Roman"/>
            <w:color w:val="0000FF"/>
            <w:sz w:val="24"/>
            <w:szCs w:val="24"/>
            <w:u w:val="single"/>
          </w:rPr>
          <w:t>Americans with Disabilities Act of 1990 (ADAA), as amended by the ADA Amendments Act of 2008</w:t>
        </w:r>
      </w:hyperlink>
      <w:r w:rsidRPr="00B131CA">
        <w:rPr>
          <w:rFonts w:ascii="Times New Roman" w:eastAsia="Times New Roman" w:hAnsi="Times New Roman" w:cs="Times New Roman"/>
          <w:color w:val="000000"/>
          <w:sz w:val="24"/>
          <w:szCs w:val="24"/>
        </w:rPr>
        <w:t xml:space="preserve"> (P.L. 110-325), </w:t>
      </w:r>
      <w:r w:rsidRPr="00B131CA">
        <w:rPr>
          <w:rFonts w:ascii="Times New Roman" w:eastAsia="Times New Roman" w:hAnsi="Times New Roman" w:cs="Times New Roman"/>
          <w:color w:val="1B1B1B"/>
          <w:sz w:val="24"/>
          <w:szCs w:val="24"/>
        </w:rPr>
        <w:t xml:space="preserve">ensures non-discrimination in three broad titles within the </w:t>
      </w:r>
      <w:r w:rsidRPr="00B131CA">
        <w:rPr>
          <w:rFonts w:ascii="Times New Roman" w:eastAsia="Times New Roman" w:hAnsi="Times New Roman" w:cs="Times New Roman"/>
          <w:color w:val="1B1B1B"/>
          <w:sz w:val="24"/>
          <w:szCs w:val="24"/>
        </w:rPr>
        <w:lastRenderedPageBreak/>
        <w:t>legislation: employment (title I), state and local government (title II), and public accommodations and commercial facilities (title III). It emphasizes that the definition of disability should be construed in favor of broad coverage of individuals to the maximum extent permitted by the terms of the ADA and generally not require extensive analysis. The effect of the amendments is to make it easier for individuals seeking protection under the ADA to establish that they have a disability within the meaning of the ADA. </w:t>
      </w:r>
    </w:p>
    <w:p w14:paraId="00000089" w14:textId="53F7A0AF" w:rsidR="002F3C8D" w:rsidRPr="00B131CA" w:rsidRDefault="00BF5CDA">
      <w:pPr>
        <w:shd w:val="clear" w:color="auto" w:fill="FFFFFF"/>
        <w:spacing w:after="200" w:line="240" w:lineRule="auto"/>
        <w:rPr>
          <w:rFonts w:ascii="Times New Roman" w:eastAsia="Times New Roman" w:hAnsi="Times New Roman" w:cs="Times New Roman"/>
          <w:color w:val="1B1B1B"/>
          <w:sz w:val="24"/>
          <w:szCs w:val="24"/>
        </w:rPr>
      </w:pPr>
      <w:r w:rsidRPr="00B131CA">
        <w:rPr>
          <w:rFonts w:ascii="Times New Roman" w:eastAsia="Times New Roman" w:hAnsi="Times New Roman" w:cs="Times New Roman"/>
          <w:color w:val="1B1B1B"/>
          <w:sz w:val="24"/>
          <w:szCs w:val="24"/>
        </w:rPr>
        <w:t xml:space="preserve">WIOA </w:t>
      </w:r>
      <w:r w:rsidRPr="00B131CA">
        <w:rPr>
          <w:rFonts w:ascii="Times New Roman" w:eastAsia="Times New Roman" w:hAnsi="Times New Roman" w:cs="Times New Roman"/>
          <w:sz w:val="24"/>
          <w:szCs w:val="24"/>
        </w:rPr>
        <w:t xml:space="preserve">Sec. 188, </w:t>
      </w:r>
      <w:r w:rsidRPr="00670DC6">
        <w:rPr>
          <w:rFonts w:ascii="Times New Roman" w:eastAsia="Times New Roman" w:hAnsi="Times New Roman" w:cs="Times New Roman"/>
          <w:sz w:val="24"/>
          <w:szCs w:val="24"/>
        </w:rPr>
        <w:t>Implementation of the Nondiscrimination and Equal Opportunity Provisions of WIOA,</w:t>
      </w:r>
      <w:r w:rsidRPr="00B131CA">
        <w:rPr>
          <w:rFonts w:ascii="Times New Roman" w:eastAsia="Times New Roman" w:hAnsi="Times New Roman" w:cs="Times New Roman"/>
          <w:sz w:val="24"/>
          <w:szCs w:val="24"/>
        </w:rPr>
        <w:t xml:space="preserve"> articulates the responsibilities of all WIOA grantees to ensure nondiscrimination and provide service to all individuals, basing guidance in the </w:t>
      </w:r>
      <w:r w:rsidRPr="00670DC6">
        <w:rPr>
          <w:rFonts w:ascii="Times New Roman" w:eastAsia="Times New Roman" w:hAnsi="Times New Roman" w:cs="Times New Roman"/>
          <w:i/>
          <w:iCs/>
          <w:sz w:val="24"/>
          <w:szCs w:val="24"/>
        </w:rPr>
        <w:t>ADA as Amended</w:t>
      </w:r>
      <w:r w:rsidRPr="00B131CA">
        <w:rPr>
          <w:rFonts w:ascii="Times New Roman" w:eastAsia="Times New Roman" w:hAnsi="Times New Roman" w:cs="Times New Roman"/>
          <w:sz w:val="24"/>
          <w:szCs w:val="24"/>
        </w:rPr>
        <w:t>. </w:t>
      </w:r>
      <w:r w:rsidR="008F3D00">
        <w:rPr>
          <w:rFonts w:ascii="Times New Roman" w:eastAsia="Times New Roman" w:hAnsi="Times New Roman" w:cs="Times New Roman"/>
          <w:sz w:val="24"/>
          <w:szCs w:val="24"/>
        </w:rPr>
        <w:t>See more on serving individuals with disabilities in Program Management and Delivery, subsection: Serving Adults with Disabilities.</w:t>
      </w:r>
    </w:p>
    <w:p w14:paraId="0000008A" w14:textId="350ECCD8" w:rsidR="002F3C8D" w:rsidRPr="000F461E" w:rsidRDefault="00BF5CDA" w:rsidP="008D03B8">
      <w:pPr>
        <w:pStyle w:val="Heading4"/>
        <w:rPr>
          <w:i/>
        </w:rPr>
      </w:pPr>
      <w:bookmarkStart w:id="8" w:name="_Toc174088823"/>
      <w:r w:rsidRPr="000F461E">
        <w:t>Certifications</w:t>
      </w:r>
      <w:bookmarkEnd w:id="8"/>
    </w:p>
    <w:p w14:paraId="0000008B" w14:textId="77777777"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There are several federal certifications that are applicable to an AEFLA grant that are either included in the application package or in a grant award notification package. </w:t>
      </w:r>
    </w:p>
    <w:p w14:paraId="0000008C" w14:textId="76D0A2B4"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F461E">
        <w:rPr>
          <w:rFonts w:ascii="Times New Roman" w:hAnsi="Times New Roman"/>
          <w:color w:val="000000"/>
          <w:sz w:val="24"/>
        </w:rPr>
        <w:t>The Disclosure of Lobbying Activities (SF-LLL)</w:t>
      </w:r>
      <w:r w:rsidRPr="00B131CA">
        <w:rPr>
          <w:rFonts w:ascii="Times New Roman" w:eastAsia="Times New Roman" w:hAnsi="Times New Roman" w:cs="Times New Roman"/>
          <w:color w:val="000000"/>
          <w:sz w:val="24"/>
          <w:szCs w:val="24"/>
        </w:rPr>
        <w:t xml:space="preserve"> form provides certification that the grantee will not use federal funds for lobbying. This form may be marked as “Not Applicable” in boxes 10a and 10b to indicate that no lobbying of officials is conducted </w:t>
      </w:r>
      <w:r w:rsidRPr="00B131CA">
        <w:rPr>
          <w:rFonts w:ascii="Times New Roman" w:eastAsia="Times New Roman" w:hAnsi="Times New Roman" w:cs="Times New Roman"/>
          <w:sz w:val="24"/>
          <w:szCs w:val="24"/>
        </w:rPr>
        <w:t>using grant funds by either staff or students</w:t>
      </w:r>
      <w:r w:rsidRPr="00B131CA">
        <w:rPr>
          <w:rFonts w:ascii="Times New Roman" w:eastAsia="Times New Roman" w:hAnsi="Times New Roman" w:cs="Times New Roman"/>
          <w:color w:val="000000"/>
          <w:sz w:val="24"/>
          <w:szCs w:val="24"/>
        </w:rPr>
        <w:t>. This form is submitted with the application.</w:t>
      </w:r>
    </w:p>
    <w:p w14:paraId="0000008F" w14:textId="7C754C8B" w:rsidR="002F3C8D" w:rsidRPr="00A23EF3" w:rsidRDefault="00BF5CDA" w:rsidP="00C5741F">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F461E">
        <w:rPr>
          <w:rFonts w:ascii="Times New Roman" w:hAnsi="Times New Roman"/>
          <w:color w:val="000000"/>
          <w:sz w:val="24"/>
        </w:rPr>
        <w:t xml:space="preserve">The </w:t>
      </w:r>
      <w:r w:rsidRPr="00F80510">
        <w:rPr>
          <w:rFonts w:ascii="Times New Roman" w:hAnsi="Times New Roman"/>
          <w:i/>
          <w:iCs/>
          <w:color w:val="000000"/>
          <w:sz w:val="24"/>
        </w:rPr>
        <w:t>Federal Funding Accountability and Transparency Act</w:t>
      </w:r>
      <w:r w:rsidRPr="000F461E">
        <w:rPr>
          <w:rFonts w:ascii="Times New Roman" w:hAnsi="Times New Roman"/>
          <w:color w:val="000000"/>
          <w:sz w:val="24"/>
        </w:rPr>
        <w:t xml:space="preserve"> (FFATA</w:t>
      </w:r>
      <w:r w:rsidRPr="00B131CA">
        <w:rPr>
          <w:rFonts w:ascii="Times New Roman" w:eastAsia="Times New Roman" w:hAnsi="Times New Roman" w:cs="Times New Roman"/>
          <w:color w:val="000000"/>
          <w:sz w:val="24"/>
          <w:szCs w:val="24"/>
        </w:rPr>
        <w:t xml:space="preserve"> or Transparency Act - P.L.109-282, as amended by section 6202(a) of P.L. 110-252), requires the Office of Management and Budget (OMB) to maintai</w:t>
      </w:r>
      <w:r w:rsidR="0069138B">
        <w:rPr>
          <w:rFonts w:ascii="Times New Roman" w:eastAsia="Times New Roman" w:hAnsi="Times New Roman" w:cs="Times New Roman"/>
          <w:color w:val="000000"/>
          <w:sz w:val="24"/>
          <w:szCs w:val="24"/>
        </w:rPr>
        <w:t xml:space="preserve">n a single, searchable </w:t>
      </w:r>
      <w:hyperlink r:id="rId35" w:history="1">
        <w:r w:rsidR="0069138B" w:rsidRPr="0069138B">
          <w:rPr>
            <w:rStyle w:val="Hyperlink"/>
            <w:rFonts w:ascii="Times New Roman" w:eastAsia="Times New Roman" w:hAnsi="Times New Roman" w:cs="Times New Roman"/>
            <w:sz w:val="24"/>
            <w:szCs w:val="24"/>
          </w:rPr>
          <w:t>website</w:t>
        </w:r>
      </w:hyperlink>
      <w:r w:rsidR="0069138B">
        <w:rPr>
          <w:rFonts w:ascii="Times New Roman" w:eastAsia="Times New Roman" w:hAnsi="Times New Roman" w:cs="Times New Roman"/>
          <w:color w:val="000000"/>
          <w:sz w:val="24"/>
          <w:szCs w:val="24"/>
        </w:rPr>
        <w:t xml:space="preserve"> </w:t>
      </w:r>
      <w:r w:rsidR="005D186F">
        <w:rPr>
          <w:rFonts w:ascii="Times New Roman" w:eastAsia="Times New Roman" w:hAnsi="Times New Roman" w:cs="Times New Roman"/>
          <w:color w:val="000000"/>
          <w:sz w:val="24"/>
          <w:szCs w:val="24"/>
        </w:rPr>
        <w:t>that</w:t>
      </w:r>
      <w:r w:rsidR="005D186F"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contains information on all federal spending awards. Two reports are required of subrecipients, such as AEFLA providers</w:t>
      </w:r>
      <w:r w:rsidRPr="00B131CA">
        <w:rPr>
          <w:rFonts w:ascii="Times New Roman" w:eastAsia="Times New Roman" w:hAnsi="Times New Roman" w:cs="Times New Roman"/>
          <w:sz w:val="24"/>
          <w:szCs w:val="24"/>
        </w:rPr>
        <w:t>, by this Act.</w:t>
      </w:r>
      <w:r w:rsidR="00C5741F">
        <w:rPr>
          <w:rFonts w:ascii="Times New Roman" w:eastAsia="Times New Roman" w:hAnsi="Times New Roman" w:cs="Times New Roman"/>
          <w:sz w:val="24"/>
          <w:szCs w:val="24"/>
        </w:rPr>
        <w:t xml:space="preserve"> </w:t>
      </w:r>
      <w:r w:rsidRPr="00A23EF3">
        <w:rPr>
          <w:rFonts w:ascii="Times New Roman" w:eastAsia="Times New Roman" w:hAnsi="Times New Roman" w:cs="Times New Roman"/>
          <w:color w:val="000000"/>
          <w:sz w:val="24"/>
          <w:szCs w:val="24"/>
        </w:rPr>
        <w:t xml:space="preserve">The first FFATA report documents the </w:t>
      </w:r>
      <w:r w:rsidR="00EE598E">
        <w:rPr>
          <w:rFonts w:ascii="Times New Roman" w:eastAsia="Times New Roman" w:hAnsi="Times New Roman" w:cs="Times New Roman"/>
          <w:color w:val="000000"/>
          <w:sz w:val="24"/>
          <w:szCs w:val="24"/>
        </w:rPr>
        <w:t>c</w:t>
      </w:r>
      <w:r w:rsidR="00F92A9F">
        <w:rPr>
          <w:rFonts w:ascii="Times New Roman" w:eastAsia="Times New Roman" w:hAnsi="Times New Roman" w:cs="Times New Roman"/>
          <w:color w:val="000000"/>
          <w:sz w:val="24"/>
          <w:szCs w:val="24"/>
        </w:rPr>
        <w:t>o</w:t>
      </w:r>
      <w:r w:rsidR="00EE598E" w:rsidRPr="00A23EF3">
        <w:rPr>
          <w:rFonts w:ascii="Times New Roman" w:eastAsia="Times New Roman" w:hAnsi="Times New Roman" w:cs="Times New Roman"/>
          <w:color w:val="000000"/>
          <w:sz w:val="24"/>
          <w:szCs w:val="24"/>
        </w:rPr>
        <w:t xml:space="preserve">ngressional </w:t>
      </w:r>
      <w:r w:rsidRPr="00A23EF3">
        <w:rPr>
          <w:rFonts w:ascii="Times New Roman" w:eastAsia="Times New Roman" w:hAnsi="Times New Roman" w:cs="Times New Roman"/>
          <w:color w:val="000000"/>
          <w:sz w:val="24"/>
          <w:szCs w:val="24"/>
        </w:rPr>
        <w:t>districts covered by the grant. This form is completed by the fiscal agent and returned to the state office</w:t>
      </w:r>
      <w:r w:rsidRPr="000F461E">
        <w:rPr>
          <w:rFonts w:ascii="Times New Roman" w:hAnsi="Times New Roman"/>
          <w:color w:val="000000"/>
          <w:sz w:val="24"/>
        </w:rPr>
        <w:t xml:space="preserve"> </w:t>
      </w:r>
      <w:r w:rsidRPr="00A23EF3">
        <w:rPr>
          <w:rFonts w:ascii="Times New Roman" w:eastAsia="Times New Roman" w:hAnsi="Times New Roman" w:cs="Times New Roman"/>
          <w:color w:val="000000"/>
          <w:sz w:val="24"/>
          <w:szCs w:val="24"/>
        </w:rPr>
        <w:t xml:space="preserve">after the grant award notification is received. The second FFATA report documents executive compensation. </w:t>
      </w:r>
      <w:r w:rsidR="003A774E">
        <w:rPr>
          <w:rFonts w:ascii="Times New Roman" w:eastAsia="Times New Roman" w:hAnsi="Times New Roman" w:cs="Times New Roman"/>
          <w:color w:val="000000"/>
          <w:sz w:val="24"/>
          <w:szCs w:val="24"/>
        </w:rPr>
        <w:t xml:space="preserve">The </w:t>
      </w:r>
      <w:r w:rsidRPr="00A23EF3">
        <w:rPr>
          <w:rFonts w:ascii="Times New Roman" w:eastAsia="Times New Roman" w:hAnsi="Times New Roman" w:cs="Times New Roman"/>
          <w:color w:val="000000"/>
          <w:sz w:val="24"/>
          <w:szCs w:val="24"/>
        </w:rPr>
        <w:t>VDOE requires this as a condition of award, and the form is provided with the grant award notification. School divisions complete only one of these forms each year for the VDOE and do not need to submit one for each federal grant they receive</w:t>
      </w:r>
      <w:r w:rsidR="005D186F">
        <w:rPr>
          <w:rFonts w:ascii="Times New Roman" w:eastAsia="Times New Roman" w:hAnsi="Times New Roman" w:cs="Times New Roman"/>
          <w:color w:val="000000"/>
          <w:sz w:val="24"/>
          <w:szCs w:val="24"/>
        </w:rPr>
        <w:t>.</w:t>
      </w:r>
      <w:r w:rsidRPr="00A23EF3">
        <w:rPr>
          <w:rFonts w:ascii="Times New Roman" w:eastAsia="Times New Roman" w:hAnsi="Times New Roman" w:cs="Times New Roman"/>
          <w:color w:val="000000"/>
          <w:sz w:val="24"/>
          <w:szCs w:val="24"/>
        </w:rPr>
        <w:t xml:space="preserve"> (</w:t>
      </w:r>
      <w:r w:rsidR="005D186F">
        <w:rPr>
          <w:rFonts w:ascii="Times New Roman" w:eastAsia="Times New Roman" w:hAnsi="Times New Roman" w:cs="Times New Roman"/>
          <w:color w:val="000000"/>
          <w:sz w:val="24"/>
          <w:szCs w:val="24"/>
        </w:rPr>
        <w:t>T</w:t>
      </w:r>
      <w:r w:rsidR="005D186F" w:rsidRPr="00A23EF3">
        <w:rPr>
          <w:rFonts w:ascii="Times New Roman" w:eastAsia="Times New Roman" w:hAnsi="Times New Roman" w:cs="Times New Roman"/>
          <w:color w:val="000000"/>
          <w:sz w:val="24"/>
          <w:szCs w:val="24"/>
        </w:rPr>
        <w:t xml:space="preserve">hey </w:t>
      </w:r>
      <w:r w:rsidRPr="00A23EF3">
        <w:rPr>
          <w:rFonts w:ascii="Times New Roman" w:eastAsia="Times New Roman" w:hAnsi="Times New Roman" w:cs="Times New Roman"/>
          <w:color w:val="000000"/>
          <w:sz w:val="24"/>
          <w:szCs w:val="24"/>
        </w:rPr>
        <w:t>are not required to be submitted f</w:t>
      </w:r>
      <w:r w:rsidRPr="00A23EF3">
        <w:rPr>
          <w:rFonts w:ascii="Times New Roman" w:eastAsia="Times New Roman" w:hAnsi="Times New Roman" w:cs="Times New Roman"/>
          <w:sz w:val="24"/>
          <w:szCs w:val="24"/>
        </w:rPr>
        <w:t>or the AEFLA awards</w:t>
      </w:r>
      <w:r w:rsidR="005D186F">
        <w:rPr>
          <w:rFonts w:ascii="Times New Roman" w:eastAsia="Times New Roman" w:hAnsi="Times New Roman" w:cs="Times New Roman"/>
          <w:sz w:val="24"/>
          <w:szCs w:val="24"/>
        </w:rPr>
        <w:t>.</w:t>
      </w:r>
      <w:r w:rsidRPr="00A23EF3">
        <w:rPr>
          <w:rFonts w:ascii="Times New Roman" w:eastAsia="Times New Roman" w:hAnsi="Times New Roman" w:cs="Times New Roman"/>
          <w:color w:val="000000"/>
          <w:sz w:val="24"/>
          <w:szCs w:val="24"/>
        </w:rPr>
        <w:t>) Other providers, such as community colleges and community-based literacy organizations, complete the form after the grant award notification is received by the fiscal agent and then return it to the state office.</w:t>
      </w:r>
    </w:p>
    <w:p w14:paraId="00000090" w14:textId="3E307359" w:rsidR="002F3C8D" w:rsidRPr="004034C1" w:rsidRDefault="00BF5CDA" w:rsidP="004A0493">
      <w:pPr>
        <w:pStyle w:val="Heading3"/>
      </w:pPr>
      <w:bookmarkStart w:id="9" w:name="_Toc174088824"/>
      <w:r w:rsidRPr="004034C1">
        <w:t>State Code and Regulations</w:t>
      </w:r>
      <w:bookmarkEnd w:id="9"/>
    </w:p>
    <w:p w14:paraId="00000091" w14:textId="16553FFD"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This section provides links and full citations to the state laws in the </w:t>
      </w:r>
      <w:r w:rsidR="00976385">
        <w:rPr>
          <w:rFonts w:ascii="Times New Roman" w:eastAsia="Times New Roman" w:hAnsi="Times New Roman" w:cs="Times New Roman"/>
          <w:i/>
          <w:iCs/>
          <w:color w:val="000000"/>
          <w:sz w:val="24"/>
          <w:szCs w:val="24"/>
        </w:rPr>
        <w:t xml:space="preserve">Code of </w:t>
      </w:r>
      <w:r w:rsidRPr="00B131CA">
        <w:rPr>
          <w:rFonts w:ascii="Times New Roman" w:eastAsia="Times New Roman" w:hAnsi="Times New Roman" w:cs="Times New Roman"/>
          <w:i/>
          <w:color w:val="000000"/>
          <w:sz w:val="24"/>
          <w:szCs w:val="24"/>
        </w:rPr>
        <w:t xml:space="preserve">Virginia </w:t>
      </w:r>
      <w:r w:rsidRPr="00B131CA">
        <w:rPr>
          <w:rFonts w:ascii="Times New Roman" w:eastAsia="Times New Roman" w:hAnsi="Times New Roman" w:cs="Times New Roman"/>
          <w:color w:val="000000"/>
          <w:sz w:val="24"/>
          <w:szCs w:val="24"/>
        </w:rPr>
        <w:t>(“the</w:t>
      </w:r>
      <w:r w:rsidRPr="00B131CA">
        <w:rPr>
          <w:rFonts w:ascii="Times New Roman" w:eastAsia="Times New Roman" w:hAnsi="Times New Roman" w:cs="Times New Roman"/>
          <w:i/>
          <w:color w:val="000000"/>
          <w:sz w:val="24"/>
          <w:szCs w:val="24"/>
        </w:rPr>
        <w:t xml:space="preserve"> Code</w:t>
      </w:r>
      <w:r w:rsidRPr="00B131CA">
        <w:rPr>
          <w:rFonts w:ascii="Times New Roman" w:eastAsia="Times New Roman" w:hAnsi="Times New Roman" w:cs="Times New Roman"/>
          <w:color w:val="000000"/>
          <w:sz w:val="24"/>
          <w:szCs w:val="24"/>
        </w:rPr>
        <w:t>”) and regulations that apply as a grantee of a state agency. Additionally, regional program managers should understand the processes that lead to the passage of the state budget. More information about how these laws and regulations impact various program manager responsibilities are included in other sections of this manual. </w:t>
      </w:r>
    </w:p>
    <w:p w14:paraId="00000092" w14:textId="3842682B" w:rsidR="002F3C8D" w:rsidRPr="0069138B" w:rsidRDefault="00BF5CDA" w:rsidP="008D03B8">
      <w:pPr>
        <w:pStyle w:val="Heading4"/>
        <w:rPr>
          <w:rFonts w:eastAsia="Times New Roman" w:cs="Times New Roman"/>
          <w:szCs w:val="24"/>
        </w:rPr>
      </w:pPr>
      <w:bookmarkStart w:id="10" w:name="_Toc174088825"/>
      <w:r w:rsidRPr="000F461E">
        <w:t>The Code of Virginia</w:t>
      </w:r>
      <w:bookmarkEnd w:id="10"/>
    </w:p>
    <w:p w14:paraId="00000093" w14:textId="018404F4"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highlight w:val="white"/>
        </w:rPr>
        <w:t>The </w:t>
      </w:r>
      <w:r w:rsidRPr="00B131CA">
        <w:rPr>
          <w:rFonts w:ascii="Times New Roman" w:eastAsia="Times New Roman" w:hAnsi="Times New Roman" w:cs="Times New Roman"/>
          <w:i/>
          <w:color w:val="000000"/>
          <w:sz w:val="24"/>
          <w:szCs w:val="24"/>
          <w:highlight w:val="white"/>
        </w:rPr>
        <w:t>Code of Virginia</w:t>
      </w:r>
      <w:r w:rsidRPr="00B131CA">
        <w:rPr>
          <w:rFonts w:ascii="Times New Roman" w:eastAsia="Times New Roman" w:hAnsi="Times New Roman" w:cs="Times New Roman"/>
          <w:color w:val="000000"/>
          <w:sz w:val="24"/>
          <w:szCs w:val="24"/>
          <w:highlight w:val="white"/>
        </w:rPr>
        <w:t> contains the laws passed by the General Assembly and signed by the Governor. </w:t>
      </w:r>
      <w:r w:rsidRPr="00B131CA">
        <w:rPr>
          <w:rFonts w:ascii="Times New Roman" w:eastAsia="Times New Roman" w:hAnsi="Times New Roman" w:cs="Times New Roman"/>
          <w:color w:val="000000"/>
          <w:sz w:val="24"/>
          <w:szCs w:val="24"/>
        </w:rPr>
        <w:t xml:space="preserve">Directly pertaining to the provision of adult education is Title 22.1, Chapter 13, </w:t>
      </w:r>
      <w:r w:rsidRPr="00B131CA">
        <w:rPr>
          <w:rFonts w:ascii="Times New Roman" w:eastAsia="Times New Roman" w:hAnsi="Times New Roman" w:cs="Times New Roman"/>
          <w:color w:val="000000"/>
          <w:sz w:val="24"/>
          <w:szCs w:val="24"/>
        </w:rPr>
        <w:lastRenderedPageBreak/>
        <w:t xml:space="preserve">Article 3. Adult Education. Within this are the subsections that establish duties of the State Board which includes the duty to develop adult education programs within each school division and encourage coordination among school boards, state, federal, and local </w:t>
      </w:r>
      <w:proofErr w:type="gramStart"/>
      <w:r w:rsidRPr="00B131CA">
        <w:rPr>
          <w:rFonts w:ascii="Times New Roman" w:eastAsia="Times New Roman" w:hAnsi="Times New Roman" w:cs="Times New Roman"/>
          <w:color w:val="000000"/>
          <w:sz w:val="24"/>
          <w:szCs w:val="24"/>
        </w:rPr>
        <w:t>public</w:t>
      </w:r>
      <w:proofErr w:type="gramEnd"/>
      <w:r w:rsidRPr="00B131CA">
        <w:rPr>
          <w:rFonts w:ascii="Times New Roman" w:eastAsia="Times New Roman" w:hAnsi="Times New Roman" w:cs="Times New Roman"/>
          <w:color w:val="000000"/>
          <w:sz w:val="24"/>
          <w:szCs w:val="24"/>
        </w:rPr>
        <w:t xml:space="preserve"> and private entities among others. The authority given to local school boards is to provide adult education programs for their residents, charge appropriate fees, and seek to ensure </w:t>
      </w:r>
      <w:r w:rsidR="008375AC">
        <w:rPr>
          <w:rFonts w:ascii="Times New Roman" w:eastAsia="Times New Roman" w:hAnsi="Times New Roman" w:cs="Times New Roman"/>
          <w:color w:val="000000"/>
          <w:sz w:val="24"/>
          <w:szCs w:val="24"/>
        </w:rPr>
        <w:t xml:space="preserve">that </w:t>
      </w:r>
      <w:r w:rsidRPr="00B131CA">
        <w:rPr>
          <w:rFonts w:ascii="Times New Roman" w:eastAsia="Times New Roman" w:hAnsi="Times New Roman" w:cs="Times New Roman"/>
          <w:color w:val="000000"/>
          <w:sz w:val="24"/>
          <w:szCs w:val="24"/>
        </w:rPr>
        <w:t xml:space="preserve">participants </w:t>
      </w:r>
      <w:proofErr w:type="gramStart"/>
      <w:r w:rsidRPr="00B131CA">
        <w:rPr>
          <w:rFonts w:ascii="Times New Roman" w:eastAsia="Times New Roman" w:hAnsi="Times New Roman" w:cs="Times New Roman"/>
          <w:color w:val="000000"/>
          <w:sz w:val="24"/>
          <w:szCs w:val="24"/>
        </w:rPr>
        <w:t>have the opportunity to</w:t>
      </w:r>
      <w:proofErr w:type="gramEnd"/>
      <w:r w:rsidRPr="00B131CA">
        <w:rPr>
          <w:rFonts w:ascii="Times New Roman" w:eastAsia="Times New Roman" w:hAnsi="Times New Roman" w:cs="Times New Roman"/>
          <w:color w:val="000000"/>
          <w:sz w:val="24"/>
          <w:szCs w:val="24"/>
        </w:rPr>
        <w:t xml:space="preserve"> earn a</w:t>
      </w:r>
      <w:r w:rsidR="00DD2965">
        <w:rPr>
          <w:rFonts w:ascii="Times New Roman" w:eastAsia="Times New Roman" w:hAnsi="Times New Roman" w:cs="Times New Roman"/>
          <w:color w:val="000000"/>
          <w:sz w:val="24"/>
          <w:szCs w:val="24"/>
        </w:rPr>
        <w:t xml:space="preserve"> high school equivalency</w:t>
      </w:r>
      <w:r w:rsidRPr="00B131CA">
        <w:rPr>
          <w:rFonts w:ascii="Times New Roman" w:eastAsia="Times New Roman" w:hAnsi="Times New Roman" w:cs="Times New Roman"/>
          <w:color w:val="000000"/>
          <w:sz w:val="24"/>
          <w:szCs w:val="24"/>
        </w:rPr>
        <w:t xml:space="preserve"> </w:t>
      </w:r>
      <w:r w:rsidR="00DD2965">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HSE</w:t>
      </w:r>
      <w:r w:rsidR="00DD2965">
        <w:rPr>
          <w:rFonts w:ascii="Times New Roman" w:eastAsia="Times New Roman" w:hAnsi="Times New Roman" w:cs="Times New Roman"/>
          <w:color w:val="000000"/>
          <w:sz w:val="24"/>
          <w:szCs w:val="24"/>
        </w:rPr>
        <w:t>)</w:t>
      </w:r>
      <w:r w:rsidR="00130500">
        <w:rPr>
          <w:rFonts w:ascii="Times New Roman" w:eastAsia="Times New Roman" w:hAnsi="Times New Roman" w:cs="Times New Roman"/>
          <w:color w:val="000000"/>
          <w:sz w:val="24"/>
          <w:szCs w:val="24"/>
        </w:rPr>
        <w:t xml:space="preserve"> credential</w:t>
      </w:r>
      <w:r w:rsidRPr="00B131CA">
        <w:rPr>
          <w:rFonts w:ascii="Times New Roman" w:eastAsia="Times New Roman" w:hAnsi="Times New Roman" w:cs="Times New Roman"/>
          <w:color w:val="000000"/>
          <w:sz w:val="24"/>
          <w:szCs w:val="24"/>
        </w:rPr>
        <w:t xml:space="preserve">. The implication of these topics </w:t>
      </w:r>
      <w:r w:rsidR="00F24D0C">
        <w:rPr>
          <w:rFonts w:ascii="Times New Roman" w:eastAsia="Times New Roman" w:hAnsi="Times New Roman" w:cs="Times New Roman"/>
          <w:color w:val="000000"/>
          <w:sz w:val="24"/>
          <w:szCs w:val="24"/>
        </w:rPr>
        <w:t>is</w:t>
      </w:r>
      <w:r w:rsidRPr="00B131CA">
        <w:rPr>
          <w:rFonts w:ascii="Times New Roman" w:eastAsia="Times New Roman" w:hAnsi="Times New Roman" w:cs="Times New Roman"/>
          <w:color w:val="000000"/>
          <w:sz w:val="24"/>
          <w:szCs w:val="24"/>
        </w:rPr>
        <w:t xml:space="preserve"> explored more fully in the section on writing a regional</w:t>
      </w:r>
      <w:r w:rsidR="009C4A00" w:rsidRPr="00B131CA">
        <w:rPr>
          <w:rFonts w:ascii="Times New Roman" w:eastAsia="Times New Roman" w:hAnsi="Times New Roman" w:cs="Times New Roman"/>
          <w:color w:val="000000"/>
          <w:sz w:val="24"/>
          <w:szCs w:val="24"/>
        </w:rPr>
        <w:t xml:space="preserve"> Memorandum of Understanding</w:t>
      </w:r>
      <w:r w:rsidRPr="00B131CA">
        <w:rPr>
          <w:rFonts w:ascii="Times New Roman" w:eastAsia="Times New Roman" w:hAnsi="Times New Roman" w:cs="Times New Roman"/>
          <w:color w:val="000000"/>
          <w:sz w:val="24"/>
          <w:szCs w:val="24"/>
        </w:rPr>
        <w:t xml:space="preserve"> </w:t>
      </w:r>
      <w:r w:rsidR="009C4A00" w:rsidRPr="00B131C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MOU</w:t>
      </w:r>
      <w:r w:rsidR="009C4A00" w:rsidRPr="00B131CA">
        <w:rPr>
          <w:rFonts w:ascii="Times New Roman" w:eastAsia="Times New Roman" w:hAnsi="Times New Roman" w:cs="Times New Roman"/>
          <w:color w:val="000000"/>
          <w:sz w:val="24"/>
          <w:szCs w:val="24"/>
        </w:rPr>
        <w:t>)</w:t>
      </w:r>
      <w:r w:rsidR="00E456DD">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section</w:t>
      </w:r>
      <w:r w:rsidR="00084B88">
        <w:rPr>
          <w:rFonts w:ascii="Times New Roman" w:eastAsia="Times New Roman" w:hAnsi="Times New Roman" w:cs="Times New Roman"/>
          <w:color w:val="000000"/>
          <w:sz w:val="24"/>
          <w:szCs w:val="24"/>
        </w:rPr>
        <w:t xml:space="preserve"> Program Management and Delivery, subsection: Cultivating Regional Cooperation and Coordination</w:t>
      </w:r>
      <w:r w:rsidR="00E713E6">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The sections of the </w:t>
      </w:r>
      <w:r w:rsidRPr="00B131CA">
        <w:rPr>
          <w:rFonts w:ascii="Times New Roman" w:eastAsia="Times New Roman" w:hAnsi="Times New Roman" w:cs="Times New Roman"/>
          <w:i/>
          <w:color w:val="000000"/>
          <w:sz w:val="24"/>
          <w:szCs w:val="24"/>
        </w:rPr>
        <w:t xml:space="preserve">Code </w:t>
      </w:r>
      <w:r w:rsidRPr="00B131CA">
        <w:rPr>
          <w:rFonts w:ascii="Times New Roman" w:eastAsia="Times New Roman" w:hAnsi="Times New Roman" w:cs="Times New Roman"/>
          <w:color w:val="000000"/>
          <w:sz w:val="24"/>
          <w:szCs w:val="24"/>
        </w:rPr>
        <w:t>are linked here: </w:t>
      </w:r>
    </w:p>
    <w:p w14:paraId="00000094" w14:textId="77777777" w:rsidR="002F3C8D" w:rsidRPr="00B131CA" w:rsidRDefault="00B73E9E" w:rsidP="00273AC7">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hyperlink r:id="rId36">
        <w:r w:rsidR="00BF5CDA" w:rsidRPr="000804B1">
          <w:rPr>
            <w:rFonts w:ascii="Times New Roman" w:eastAsia="Times New Roman" w:hAnsi="Times New Roman" w:cs="Times New Roman"/>
            <w:color w:val="0000FF"/>
            <w:sz w:val="24"/>
            <w:szCs w:val="24"/>
            <w:u w:val="single"/>
          </w:rPr>
          <w:t>Sec. 22.1-223</w:t>
        </w:r>
      </w:hyperlink>
      <w:r w:rsidR="00BF5CDA" w:rsidRPr="00B131CA">
        <w:rPr>
          <w:rFonts w:ascii="Times New Roman" w:eastAsia="Times New Roman" w:hAnsi="Times New Roman" w:cs="Times New Roman"/>
          <w:color w:val="444444"/>
          <w:sz w:val="24"/>
          <w:szCs w:val="24"/>
        </w:rPr>
        <w:t xml:space="preserve">: </w:t>
      </w:r>
      <w:r w:rsidR="00BF5CDA" w:rsidRPr="00B131CA">
        <w:rPr>
          <w:rFonts w:ascii="Times New Roman" w:eastAsia="Times New Roman" w:hAnsi="Times New Roman" w:cs="Times New Roman"/>
          <w:color w:val="000000"/>
          <w:sz w:val="24"/>
          <w:szCs w:val="24"/>
        </w:rPr>
        <w:t>Definitions </w:t>
      </w:r>
    </w:p>
    <w:p w14:paraId="00000095" w14:textId="77777777" w:rsidR="002F3C8D" w:rsidRPr="00B131CA" w:rsidRDefault="00B73E9E" w:rsidP="00273AC7">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hyperlink r:id="rId37">
        <w:r w:rsidR="00BF5CDA" w:rsidRPr="000804B1">
          <w:rPr>
            <w:rFonts w:ascii="Times New Roman" w:eastAsia="Times New Roman" w:hAnsi="Times New Roman" w:cs="Times New Roman"/>
            <w:color w:val="0000FF"/>
            <w:sz w:val="24"/>
            <w:szCs w:val="24"/>
            <w:u w:val="single"/>
          </w:rPr>
          <w:t>Sec. 22.1-224</w:t>
        </w:r>
      </w:hyperlink>
      <w:r w:rsidR="00BF5CDA" w:rsidRPr="00B131CA">
        <w:rPr>
          <w:rFonts w:ascii="Times New Roman" w:eastAsia="Times New Roman" w:hAnsi="Times New Roman" w:cs="Times New Roman"/>
          <w:color w:val="444444"/>
          <w:sz w:val="24"/>
          <w:szCs w:val="24"/>
        </w:rPr>
        <w:t xml:space="preserve">: </w:t>
      </w:r>
      <w:r w:rsidR="00BF5CDA" w:rsidRPr="00B131CA">
        <w:rPr>
          <w:rFonts w:ascii="Times New Roman" w:eastAsia="Times New Roman" w:hAnsi="Times New Roman" w:cs="Times New Roman"/>
          <w:color w:val="000000"/>
          <w:sz w:val="24"/>
          <w:szCs w:val="24"/>
        </w:rPr>
        <w:t>Duties of State Board</w:t>
      </w:r>
    </w:p>
    <w:p w14:paraId="00000096" w14:textId="096C7259" w:rsidR="002F3C8D" w:rsidRPr="00B131CA" w:rsidRDefault="00B73E9E" w:rsidP="00273AC7">
      <w:p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hyperlink r:id="rId38">
        <w:r w:rsidR="00BF5CDA" w:rsidRPr="000804B1">
          <w:rPr>
            <w:rFonts w:ascii="Times New Roman" w:eastAsia="Times New Roman" w:hAnsi="Times New Roman" w:cs="Times New Roman"/>
            <w:color w:val="0000FF"/>
            <w:sz w:val="24"/>
            <w:szCs w:val="24"/>
            <w:u w:val="single"/>
          </w:rPr>
          <w:t>Sec. 22.1-225</w:t>
        </w:r>
      </w:hyperlink>
      <w:r w:rsidR="00BF5CDA" w:rsidRPr="00B131CA">
        <w:rPr>
          <w:rFonts w:ascii="Times New Roman" w:eastAsia="Times New Roman" w:hAnsi="Times New Roman" w:cs="Times New Roman"/>
          <w:color w:val="444444"/>
          <w:sz w:val="24"/>
          <w:szCs w:val="24"/>
        </w:rPr>
        <w:t xml:space="preserve">: </w:t>
      </w:r>
      <w:r w:rsidR="00BF5CDA" w:rsidRPr="00B131CA">
        <w:rPr>
          <w:rFonts w:ascii="Times New Roman" w:eastAsia="Times New Roman" w:hAnsi="Times New Roman" w:cs="Times New Roman"/>
          <w:color w:val="000000"/>
          <w:sz w:val="24"/>
          <w:szCs w:val="24"/>
        </w:rPr>
        <w:t xml:space="preserve">Authority of </w:t>
      </w:r>
      <w:r w:rsidR="0030682D" w:rsidRPr="00B131CA">
        <w:rPr>
          <w:rFonts w:ascii="Times New Roman" w:eastAsia="Times New Roman" w:hAnsi="Times New Roman" w:cs="Times New Roman"/>
          <w:color w:val="000000"/>
          <w:sz w:val="24"/>
          <w:szCs w:val="24"/>
        </w:rPr>
        <w:t>s</w:t>
      </w:r>
      <w:r w:rsidR="00BF5CDA" w:rsidRPr="00B131CA">
        <w:rPr>
          <w:rFonts w:ascii="Times New Roman" w:eastAsia="Times New Roman" w:hAnsi="Times New Roman" w:cs="Times New Roman"/>
          <w:color w:val="000000"/>
          <w:sz w:val="24"/>
          <w:szCs w:val="24"/>
        </w:rPr>
        <w:t xml:space="preserve">chool </w:t>
      </w:r>
      <w:r w:rsidR="0030682D" w:rsidRPr="00B131CA">
        <w:rPr>
          <w:rFonts w:ascii="Times New Roman" w:eastAsia="Times New Roman" w:hAnsi="Times New Roman" w:cs="Times New Roman"/>
          <w:color w:val="000000"/>
          <w:sz w:val="24"/>
          <w:szCs w:val="24"/>
        </w:rPr>
        <w:t>b</w:t>
      </w:r>
      <w:r w:rsidR="00BF5CDA" w:rsidRPr="00B131CA">
        <w:rPr>
          <w:rFonts w:ascii="Times New Roman" w:eastAsia="Times New Roman" w:hAnsi="Times New Roman" w:cs="Times New Roman"/>
          <w:color w:val="000000"/>
          <w:sz w:val="24"/>
          <w:szCs w:val="24"/>
        </w:rPr>
        <w:t>oards</w:t>
      </w:r>
    </w:p>
    <w:p w14:paraId="00000097" w14:textId="77777777"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Virginia has set the compulsory school attendance age at 18 years of age; the section of the </w:t>
      </w:r>
      <w:r w:rsidRPr="00B131CA">
        <w:rPr>
          <w:rFonts w:ascii="Times New Roman" w:eastAsia="Times New Roman" w:hAnsi="Times New Roman" w:cs="Times New Roman"/>
          <w:i/>
          <w:color w:val="000000"/>
          <w:sz w:val="24"/>
          <w:szCs w:val="24"/>
        </w:rPr>
        <w:t xml:space="preserve">Code </w:t>
      </w:r>
      <w:r w:rsidRPr="00B131CA">
        <w:rPr>
          <w:rFonts w:ascii="Times New Roman" w:eastAsia="Times New Roman" w:hAnsi="Times New Roman" w:cs="Times New Roman"/>
          <w:color w:val="000000"/>
          <w:sz w:val="24"/>
          <w:szCs w:val="24"/>
        </w:rPr>
        <w:t>that details exemptions for 16 and 17-year-olds which may allow them to attend adult education and earn a high school equivalency are embedded in Title 22.1, Chapter 14, Article 1:  </w:t>
      </w:r>
    </w:p>
    <w:p w14:paraId="00000098" w14:textId="0667409C" w:rsidR="002F3C8D" w:rsidRPr="00B131CA" w:rsidRDefault="00B73E9E" w:rsidP="00273AC7">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hyperlink r:id="rId39">
        <w:r w:rsidR="00BF5CDA" w:rsidRPr="000804B1">
          <w:rPr>
            <w:rFonts w:ascii="Times New Roman" w:eastAsia="Times New Roman" w:hAnsi="Times New Roman" w:cs="Times New Roman"/>
            <w:color w:val="0000FF"/>
            <w:sz w:val="24"/>
            <w:szCs w:val="24"/>
            <w:u w:val="single"/>
          </w:rPr>
          <w:t>Sec. 22.1-254</w:t>
        </w:r>
      </w:hyperlink>
      <w:r w:rsidR="00BF5CDA" w:rsidRPr="00B131CA">
        <w:rPr>
          <w:rFonts w:ascii="Times New Roman" w:eastAsia="Times New Roman" w:hAnsi="Times New Roman" w:cs="Times New Roman"/>
          <w:color w:val="000000"/>
          <w:sz w:val="24"/>
          <w:szCs w:val="24"/>
        </w:rPr>
        <w:t>: Compulsory school attendance </w:t>
      </w:r>
    </w:p>
    <w:p w14:paraId="00000099" w14:textId="77777777" w:rsidR="002F3C8D" w:rsidRPr="00B131CA" w:rsidRDefault="00B73E9E" w:rsidP="00273AC7">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hyperlink r:id="rId40">
        <w:r w:rsidR="00BF5CDA" w:rsidRPr="000804B1">
          <w:rPr>
            <w:rFonts w:ascii="Times New Roman" w:eastAsia="Times New Roman" w:hAnsi="Times New Roman" w:cs="Times New Roman"/>
            <w:color w:val="0000FF"/>
            <w:sz w:val="24"/>
            <w:szCs w:val="24"/>
            <w:u w:val="single"/>
          </w:rPr>
          <w:t>Sec. 22.1-254.2</w:t>
        </w:r>
      </w:hyperlink>
      <w:r w:rsidR="00BF5CDA" w:rsidRPr="00B131CA">
        <w:rPr>
          <w:rFonts w:ascii="Times New Roman" w:eastAsia="Times New Roman" w:hAnsi="Times New Roman" w:cs="Times New Roman"/>
          <w:color w:val="000000"/>
          <w:sz w:val="24"/>
          <w:szCs w:val="24"/>
        </w:rPr>
        <w:t>: Eligibility for testing</w:t>
      </w:r>
    </w:p>
    <w:p w14:paraId="0000009A" w14:textId="77091A94" w:rsidR="002F3C8D" w:rsidRPr="00B131CA" w:rsidRDefault="00BF5CDA">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i/>
          <w:color w:val="000000"/>
          <w:sz w:val="24"/>
          <w:szCs w:val="24"/>
        </w:rPr>
        <w:t xml:space="preserve">Code </w:t>
      </w:r>
      <w:r w:rsidRPr="00B131CA">
        <w:rPr>
          <w:rFonts w:ascii="Times New Roman" w:eastAsia="Times New Roman" w:hAnsi="Times New Roman" w:cs="Times New Roman"/>
          <w:color w:val="000000"/>
          <w:sz w:val="24"/>
          <w:szCs w:val="24"/>
        </w:rPr>
        <w:t xml:space="preserve">also provides for school boards’ discretion on the provision of instruction in languages other than English in Title 22.1, Chapter 13, Article 1, </w:t>
      </w:r>
      <w:hyperlink r:id="rId41">
        <w:r w:rsidRPr="000804B1">
          <w:rPr>
            <w:rFonts w:ascii="Times New Roman" w:eastAsia="Times New Roman" w:hAnsi="Times New Roman" w:cs="Times New Roman"/>
            <w:color w:val="0000FF"/>
            <w:sz w:val="24"/>
            <w:szCs w:val="24"/>
            <w:u w:val="single"/>
          </w:rPr>
          <w:t>Sec. 22.1-212.1</w:t>
        </w:r>
      </w:hyperlink>
      <w:r w:rsidRPr="00B131CA">
        <w:rPr>
          <w:rFonts w:ascii="Times New Roman" w:eastAsia="Times New Roman" w:hAnsi="Times New Roman" w:cs="Times New Roman"/>
          <w:color w:val="000000"/>
          <w:sz w:val="24"/>
          <w:szCs w:val="24"/>
        </w:rPr>
        <w:t xml:space="preserve">, which itself references Title I General Provisions, </w:t>
      </w:r>
      <w:hyperlink r:id="rId42">
        <w:r w:rsidRPr="000804B1">
          <w:rPr>
            <w:rFonts w:ascii="Times New Roman" w:eastAsia="Times New Roman" w:hAnsi="Times New Roman" w:cs="Times New Roman"/>
            <w:color w:val="0000FF"/>
            <w:sz w:val="24"/>
            <w:szCs w:val="24"/>
            <w:u w:val="single"/>
          </w:rPr>
          <w:t>Sec. 1-511</w:t>
        </w:r>
      </w:hyperlink>
      <w:r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i/>
          <w:color w:val="000000"/>
          <w:sz w:val="24"/>
          <w:szCs w:val="24"/>
        </w:rPr>
        <w:t>English designated the official language of the Commonwealth</w:t>
      </w:r>
      <w:r w:rsidRPr="00B131CA">
        <w:rPr>
          <w:rFonts w:ascii="Times New Roman" w:eastAsia="Times New Roman" w:hAnsi="Times New Roman" w:cs="Times New Roman"/>
          <w:color w:val="000000"/>
          <w:sz w:val="24"/>
          <w:szCs w:val="24"/>
        </w:rPr>
        <w:t xml:space="preserve">. The statement in Sec. 1-511 does not prohibit dissemination of </w:t>
      </w:r>
      <w:r w:rsidRPr="00B131CA">
        <w:rPr>
          <w:rFonts w:ascii="Times New Roman" w:eastAsia="Times New Roman" w:hAnsi="Times New Roman" w:cs="Times New Roman"/>
          <w:sz w:val="24"/>
          <w:szCs w:val="24"/>
        </w:rPr>
        <w:t xml:space="preserve">outreach and recruitment </w:t>
      </w:r>
      <w:r w:rsidRPr="00B131CA">
        <w:rPr>
          <w:rFonts w:ascii="Times New Roman" w:eastAsia="Times New Roman" w:hAnsi="Times New Roman" w:cs="Times New Roman"/>
          <w:color w:val="000000"/>
          <w:sz w:val="24"/>
          <w:szCs w:val="24"/>
        </w:rPr>
        <w:t>information</w:t>
      </w:r>
      <w:r w:rsidR="00A931F6">
        <w:rPr>
          <w:rFonts w:ascii="Times New Roman" w:eastAsia="Times New Roman" w:hAnsi="Times New Roman" w:cs="Times New Roman"/>
          <w:color w:val="000000"/>
          <w:sz w:val="24"/>
          <w:szCs w:val="24"/>
        </w:rPr>
        <w:t xml:space="preserve"> or instruction</w:t>
      </w:r>
      <w:r w:rsidRPr="00B131CA">
        <w:rPr>
          <w:rFonts w:ascii="Times New Roman" w:eastAsia="Times New Roman" w:hAnsi="Times New Roman" w:cs="Times New Roman"/>
          <w:color w:val="000000"/>
          <w:sz w:val="24"/>
          <w:szCs w:val="24"/>
        </w:rPr>
        <w:t xml:space="preserve"> in languages other than English. </w:t>
      </w:r>
    </w:p>
    <w:p w14:paraId="0000009B" w14:textId="7F9F4D52" w:rsidR="002F3C8D" w:rsidRPr="000F461E" w:rsidRDefault="00BF5CDA" w:rsidP="008D03B8">
      <w:pPr>
        <w:pStyle w:val="Heading4"/>
      </w:pPr>
      <w:bookmarkStart w:id="11" w:name="_Toc174088826"/>
      <w:r w:rsidRPr="000F461E">
        <w:t>Virginia Acts of Assembly Biennial Budget</w:t>
      </w:r>
      <w:bookmarkEnd w:id="11"/>
      <w:r w:rsidRPr="000F461E">
        <w:t> </w:t>
      </w:r>
    </w:p>
    <w:p w14:paraId="0000009C" w14:textId="77777777"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Virginia operates under a two-year (biennial) budget cycle. Each year the Governor prepares the proposed budget bill for introduction to the General Assembly. The bill is initially adopted in even-numbered years and amended in odd-numbered years. Amendments to the budget bill can add, modify, endorse, or delete items in the Governor's proposed budget. Before the General Assembly adjourns each year, a conference committee resolves any differences between the versions passed by the two houses.</w:t>
      </w:r>
    </w:p>
    <w:p w14:paraId="0000009D" w14:textId="3B067A71"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VDOE awards funds based on the approved state budget</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color w:val="000000"/>
          <w:sz w:val="24"/>
          <w:szCs w:val="24"/>
        </w:rPr>
        <w:t xml:space="preserve"> however, distribution of funds to grantees is not available until the funds have been deposited </w:t>
      </w:r>
      <w:r w:rsidR="008F3D00">
        <w:rPr>
          <w:rFonts w:ascii="Times New Roman" w:eastAsia="Times New Roman" w:hAnsi="Times New Roman" w:cs="Times New Roman"/>
          <w:color w:val="000000"/>
          <w:sz w:val="24"/>
          <w:szCs w:val="24"/>
        </w:rPr>
        <w:t>with</w:t>
      </w:r>
      <w:r w:rsidRPr="00B131CA">
        <w:rPr>
          <w:rFonts w:ascii="Times New Roman" w:eastAsia="Times New Roman" w:hAnsi="Times New Roman" w:cs="Times New Roman"/>
          <w:color w:val="000000"/>
          <w:sz w:val="24"/>
          <w:szCs w:val="24"/>
        </w:rPr>
        <w:t xml:space="preserve"> the Department. Virginia Lottery funds are not deposited until January.</w:t>
      </w:r>
    </w:p>
    <w:p w14:paraId="0000009E" w14:textId="5C566399"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Current and prior years’ budget information may be located </w:t>
      </w:r>
      <w:hyperlink r:id="rId43" w:history="1">
        <w:r w:rsidR="00CB690D" w:rsidRPr="000804B1">
          <w:rPr>
            <w:rStyle w:val="Hyperlink"/>
            <w:rFonts w:ascii="Times New Roman" w:eastAsia="Times New Roman" w:hAnsi="Times New Roman" w:cs="Times New Roman"/>
            <w:sz w:val="24"/>
            <w:szCs w:val="24"/>
          </w:rPr>
          <w:t>online</w:t>
        </w:r>
      </w:hyperlink>
      <w:r w:rsidR="00CB690D">
        <w:rPr>
          <w:rFonts w:ascii="Times New Roman" w:eastAsia="Times New Roman" w:hAnsi="Times New Roman" w:cs="Times New Roman"/>
          <w:color w:val="000000"/>
          <w:sz w:val="24"/>
          <w:szCs w:val="24"/>
        </w:rPr>
        <w:t>.</w:t>
      </w:r>
    </w:p>
    <w:p w14:paraId="0000009F" w14:textId="2E4C44E2" w:rsidR="002F3C8D" w:rsidRPr="0069138B" w:rsidRDefault="00BF5CDA" w:rsidP="008D03B8">
      <w:pPr>
        <w:pStyle w:val="Heading4"/>
        <w:rPr>
          <w:rFonts w:eastAsia="Times New Roman" w:cs="Times New Roman"/>
          <w:i/>
          <w:szCs w:val="24"/>
        </w:rPr>
      </w:pPr>
      <w:bookmarkStart w:id="12" w:name="_Toc174088827"/>
      <w:r w:rsidRPr="000F461E">
        <w:t>State</w:t>
      </w:r>
      <w:r w:rsidR="00130500">
        <w:t>ment of</w:t>
      </w:r>
      <w:r w:rsidRPr="000F461E">
        <w:t xml:space="preserve"> Assurances</w:t>
      </w:r>
      <w:bookmarkEnd w:id="12"/>
    </w:p>
    <w:p w14:paraId="000000A0" w14:textId="38F43A7E"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State</w:t>
      </w:r>
      <w:r w:rsidR="00130500">
        <w:rPr>
          <w:rFonts w:ascii="Times New Roman" w:eastAsia="Times New Roman" w:hAnsi="Times New Roman" w:cs="Times New Roman"/>
          <w:color w:val="000000"/>
          <w:sz w:val="24"/>
          <w:szCs w:val="24"/>
        </w:rPr>
        <w:t>ment of</w:t>
      </w:r>
      <w:r w:rsidRPr="00B131CA">
        <w:rPr>
          <w:rFonts w:ascii="Times New Roman" w:eastAsia="Times New Roman" w:hAnsi="Times New Roman" w:cs="Times New Roman"/>
          <w:color w:val="000000"/>
          <w:sz w:val="24"/>
          <w:szCs w:val="24"/>
        </w:rPr>
        <w:t xml:space="preserve"> Assurances form that accompanies each grant application details many of the key responsibilities of an AEFLA- and state-funded provider covered in this manual. This document, signed by the fiscal agent’s school division superintendent, community college president, or executive director, attests that the provider and its consortium members, if applicable, </w:t>
      </w:r>
      <w:r w:rsidR="00A40172">
        <w:rPr>
          <w:rFonts w:ascii="Times New Roman" w:eastAsia="Times New Roman" w:hAnsi="Times New Roman" w:cs="Times New Roman"/>
          <w:color w:val="000000"/>
          <w:sz w:val="24"/>
          <w:szCs w:val="24"/>
        </w:rPr>
        <w:t>are</w:t>
      </w:r>
      <w:r w:rsidR="00A40172"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aware of and will abide by these responsibilities. These assurances form the </w:t>
      </w:r>
      <w:r w:rsidRPr="00B131CA">
        <w:rPr>
          <w:rFonts w:ascii="Times New Roman" w:eastAsia="Times New Roman" w:hAnsi="Times New Roman" w:cs="Times New Roman"/>
          <w:color w:val="000000"/>
          <w:sz w:val="24"/>
          <w:szCs w:val="24"/>
        </w:rPr>
        <w:lastRenderedPageBreak/>
        <w:t>foundation of the annual program monitoring self-assessment</w:t>
      </w:r>
      <w:r w:rsidR="00A40172">
        <w:rPr>
          <w:rFonts w:ascii="Times New Roman" w:eastAsia="Times New Roman" w:hAnsi="Times New Roman" w:cs="Times New Roman"/>
          <w:color w:val="000000"/>
          <w:sz w:val="24"/>
          <w:szCs w:val="24"/>
        </w:rPr>
        <w:t xml:space="preserve"> survey</w:t>
      </w:r>
      <w:r w:rsidRPr="00B131CA">
        <w:rPr>
          <w:rFonts w:ascii="Times New Roman" w:eastAsia="Times New Roman" w:hAnsi="Times New Roman" w:cs="Times New Roman"/>
          <w:color w:val="000000"/>
          <w:sz w:val="24"/>
          <w:szCs w:val="24"/>
        </w:rPr>
        <w:t xml:space="preserve"> </w:t>
      </w:r>
      <w:r w:rsidR="00A149BB">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see section</w:t>
      </w:r>
      <w:r w:rsidR="008313EC">
        <w:rPr>
          <w:rFonts w:ascii="Times New Roman" w:eastAsia="Times New Roman" w:hAnsi="Times New Roman" w:cs="Times New Roman"/>
          <w:color w:val="000000"/>
          <w:sz w:val="24"/>
          <w:szCs w:val="24"/>
        </w:rPr>
        <w:t xml:space="preserve"> Program </w:t>
      </w:r>
      <w:r w:rsidR="00E713E6">
        <w:rPr>
          <w:rFonts w:ascii="Times New Roman" w:eastAsia="Times New Roman" w:hAnsi="Times New Roman" w:cs="Times New Roman"/>
          <w:color w:val="000000"/>
          <w:sz w:val="24"/>
          <w:szCs w:val="24"/>
        </w:rPr>
        <w:t>Improvement</w:t>
      </w:r>
      <w:r w:rsidR="00A149BB">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as well as the site visit monitoring protocol. </w:t>
      </w:r>
    </w:p>
    <w:p w14:paraId="000000A1" w14:textId="4E76AB1A" w:rsidR="002F3C8D" w:rsidRPr="0069138B" w:rsidRDefault="00BF5CDA" w:rsidP="008D03B8">
      <w:pPr>
        <w:pStyle w:val="Heading4"/>
        <w:rPr>
          <w:rFonts w:eastAsia="Times New Roman" w:cs="Times New Roman"/>
          <w:i/>
          <w:szCs w:val="24"/>
        </w:rPr>
      </w:pPr>
      <w:bookmarkStart w:id="13" w:name="_Toc174088828"/>
      <w:r w:rsidRPr="000F461E">
        <w:t>Records Retention Policy of the Library of Virginia</w:t>
      </w:r>
      <w:bookmarkEnd w:id="13"/>
    </w:p>
    <w:p w14:paraId="000000A2" w14:textId="5B1CC5B2" w:rsidR="002F3C8D" w:rsidRPr="004E5A8B"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VDOE follows records retention guidelines published by the Library of Virginia. </w:t>
      </w:r>
      <w:r w:rsidR="005D09B5">
        <w:rPr>
          <w:rFonts w:ascii="Times New Roman" w:eastAsia="Times New Roman" w:hAnsi="Times New Roman" w:cs="Times New Roman"/>
          <w:color w:val="000000"/>
          <w:sz w:val="24"/>
          <w:szCs w:val="24"/>
        </w:rPr>
        <w:t>See t</w:t>
      </w:r>
      <w:r w:rsidRPr="00B131CA">
        <w:rPr>
          <w:rFonts w:ascii="Times New Roman" w:eastAsia="Times New Roman" w:hAnsi="Times New Roman" w:cs="Times New Roman"/>
          <w:color w:val="000000"/>
          <w:sz w:val="24"/>
          <w:szCs w:val="24"/>
        </w:rPr>
        <w:t xml:space="preserve">he most updated Library of Virginia records retention </w:t>
      </w:r>
      <w:hyperlink r:id="rId44" w:history="1">
        <w:r w:rsidRPr="005D09B5">
          <w:rPr>
            <w:rStyle w:val="Hyperlink"/>
            <w:rFonts w:ascii="Times New Roman" w:eastAsia="Times New Roman" w:hAnsi="Times New Roman" w:cs="Times New Roman"/>
            <w:sz w:val="24"/>
            <w:szCs w:val="24"/>
          </w:rPr>
          <w:t>schedules</w:t>
        </w:r>
      </w:hyperlink>
      <w:r w:rsidRPr="00B131CA">
        <w:rPr>
          <w:rFonts w:ascii="Times New Roman" w:eastAsia="Times New Roman" w:hAnsi="Times New Roman" w:cs="Times New Roman"/>
          <w:color w:val="000000"/>
          <w:sz w:val="24"/>
          <w:szCs w:val="24"/>
        </w:rPr>
        <w:t xml:space="preserve"> and additional information. Providers are expected to follow these guidelines</w:t>
      </w:r>
      <w:r w:rsidR="00A40172">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w:t>
      </w:r>
      <w:r w:rsidR="00A40172">
        <w:rPr>
          <w:rFonts w:ascii="Times New Roman" w:eastAsia="Times New Roman" w:hAnsi="Times New Roman" w:cs="Times New Roman"/>
          <w:color w:val="000000"/>
          <w:sz w:val="24"/>
          <w:szCs w:val="24"/>
        </w:rPr>
        <w:t>C</w:t>
      </w:r>
      <w:r w:rsidR="00A40172" w:rsidRPr="00B131CA">
        <w:rPr>
          <w:rFonts w:ascii="Times New Roman" w:eastAsia="Times New Roman" w:hAnsi="Times New Roman" w:cs="Times New Roman"/>
          <w:color w:val="000000"/>
          <w:sz w:val="24"/>
          <w:szCs w:val="24"/>
        </w:rPr>
        <w:t xml:space="preserve">onfer </w:t>
      </w:r>
      <w:r w:rsidRPr="00B131CA">
        <w:rPr>
          <w:rFonts w:ascii="Times New Roman" w:eastAsia="Times New Roman" w:hAnsi="Times New Roman" w:cs="Times New Roman"/>
          <w:color w:val="000000"/>
          <w:sz w:val="24"/>
          <w:szCs w:val="24"/>
        </w:rPr>
        <w:t>with your fiscal agent and the state office regarding any discrepancies between record retention policies between agencies</w:t>
      </w:r>
      <w:r w:rsidR="00A40172">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Refer to </w:t>
      </w:r>
      <w:r w:rsidRPr="00F92A9F">
        <w:rPr>
          <w:rFonts w:ascii="Times New Roman" w:eastAsia="Times New Roman" w:hAnsi="Times New Roman" w:cs="Times New Roman"/>
          <w:i/>
          <w:color w:val="000000"/>
          <w:sz w:val="24"/>
          <w:szCs w:val="24"/>
        </w:rPr>
        <w:t>General Schedules for State Agencies</w:t>
      </w:r>
      <w:r w:rsidRPr="00B131CA">
        <w:rPr>
          <w:rFonts w:ascii="Times New Roman" w:eastAsia="Times New Roman" w:hAnsi="Times New Roman" w:cs="Times New Roman"/>
          <w:color w:val="000000"/>
          <w:sz w:val="24"/>
          <w:szCs w:val="24"/>
        </w:rPr>
        <w:t xml:space="preserve"> for information regarding schedules for fiscal and administrative records and </w:t>
      </w:r>
      <w:r w:rsidRPr="00F92A9F">
        <w:rPr>
          <w:rFonts w:ascii="Times New Roman" w:eastAsia="Times New Roman" w:hAnsi="Times New Roman" w:cs="Times New Roman"/>
          <w:i/>
          <w:color w:val="000000"/>
          <w:sz w:val="24"/>
          <w:szCs w:val="24"/>
        </w:rPr>
        <w:t>Specific Schedules for the Department of Education</w:t>
      </w:r>
      <w:r w:rsidRPr="00B131CA">
        <w:rPr>
          <w:rFonts w:ascii="Times New Roman" w:eastAsia="Times New Roman" w:hAnsi="Times New Roman" w:cs="Times New Roman"/>
          <w:color w:val="000000"/>
          <w:sz w:val="24"/>
          <w:szCs w:val="24"/>
        </w:rPr>
        <w:t xml:space="preserve"> for student records. While </w:t>
      </w:r>
      <w:r w:rsidR="00F80510">
        <w:rPr>
          <w:rFonts w:ascii="Times New Roman" w:eastAsia="Times New Roman" w:hAnsi="Times New Roman" w:cs="Times New Roman"/>
          <w:color w:val="000000"/>
          <w:sz w:val="24"/>
          <w:szCs w:val="24"/>
        </w:rPr>
        <w:t>providers</w:t>
      </w:r>
      <w:r w:rsidRPr="00B131CA">
        <w:rPr>
          <w:rFonts w:ascii="Times New Roman" w:eastAsia="Times New Roman" w:hAnsi="Times New Roman" w:cs="Times New Roman"/>
          <w:color w:val="000000"/>
          <w:sz w:val="24"/>
          <w:szCs w:val="24"/>
        </w:rPr>
        <w:t xml:space="preserve"> are not required to submit records destruction forms to the state office for approval, care should be taken to document retention and destruction of all records. Maintain the official form that indicates the content of destroyed files, creation date, destruction date, destruction method</w:t>
      </w:r>
      <w:r w:rsidR="00A40172">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and name </w:t>
      </w:r>
      <w:r w:rsidR="00A40172" w:rsidRPr="00B131CA">
        <w:rPr>
          <w:rFonts w:ascii="Times New Roman" w:eastAsia="Times New Roman" w:hAnsi="Times New Roman" w:cs="Times New Roman"/>
          <w:color w:val="000000"/>
          <w:sz w:val="24"/>
          <w:szCs w:val="24"/>
        </w:rPr>
        <w:t xml:space="preserve">of </w:t>
      </w:r>
      <w:r w:rsidR="00A40172">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 xml:space="preserve">individual approving destruction for a minimum of three years for </w:t>
      </w:r>
      <w:r w:rsidRPr="004E5A8B">
        <w:rPr>
          <w:rFonts w:ascii="Times New Roman" w:eastAsia="Times New Roman" w:hAnsi="Times New Roman" w:cs="Times New Roman"/>
          <w:color w:val="000000"/>
          <w:sz w:val="24"/>
          <w:szCs w:val="24"/>
        </w:rPr>
        <w:t>any federal grant related materials.</w:t>
      </w:r>
      <w:r w:rsidR="00F80510">
        <w:rPr>
          <w:rFonts w:ascii="Times New Roman" w:eastAsia="Times New Roman" w:hAnsi="Times New Roman" w:cs="Times New Roman"/>
          <w:color w:val="000000"/>
          <w:sz w:val="24"/>
          <w:szCs w:val="24"/>
        </w:rPr>
        <w:t xml:space="preserve"> Note that retaining sensitive information longer than the required time increases the risk to the provider and fiscal agent of unintended release</w:t>
      </w:r>
      <w:r w:rsidR="00A96B35">
        <w:rPr>
          <w:rFonts w:ascii="Times New Roman" w:eastAsia="Times New Roman" w:hAnsi="Times New Roman" w:cs="Times New Roman"/>
          <w:color w:val="000000"/>
          <w:sz w:val="24"/>
          <w:szCs w:val="24"/>
        </w:rPr>
        <w:t>s</w:t>
      </w:r>
      <w:r w:rsidR="00F80510">
        <w:rPr>
          <w:rFonts w:ascii="Times New Roman" w:eastAsia="Times New Roman" w:hAnsi="Times New Roman" w:cs="Times New Roman"/>
          <w:color w:val="000000"/>
          <w:sz w:val="24"/>
          <w:szCs w:val="24"/>
        </w:rPr>
        <w:t xml:space="preserve"> of information.</w:t>
      </w:r>
    </w:p>
    <w:p w14:paraId="505C2310" w14:textId="628D1915" w:rsidR="004E5A8B" w:rsidRPr="004E5A8B" w:rsidRDefault="004E5A8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13D3A">
        <w:rPr>
          <w:rFonts w:ascii="Times New Roman" w:eastAsia="Times New Roman" w:hAnsi="Times New Roman" w:cs="Times New Roman"/>
          <w:color w:val="000000"/>
          <w:sz w:val="24"/>
          <w:szCs w:val="24"/>
        </w:rPr>
        <w:t xml:space="preserve">The State Assurances that accompany the 2023-2025 application state: </w:t>
      </w:r>
      <w:r w:rsidRPr="0050283E">
        <w:rPr>
          <w:rFonts w:ascii="Times New Roman" w:hAnsi="Times New Roman" w:cs="Times New Roman"/>
          <w:sz w:val="24"/>
          <w:szCs w:val="24"/>
        </w:rPr>
        <w:t>The Applicant agrees to retain all local program records and local agreements for a minimum of three years from the end date of the competitive award (June 30, 2026) and student release forms for three years after the end of the calendar year in which the record was created.</w:t>
      </w:r>
    </w:p>
    <w:p w14:paraId="000000A3" w14:textId="15D10FDB" w:rsidR="002F3C8D" w:rsidRPr="0069138B" w:rsidRDefault="00BF5CDA" w:rsidP="008D03B8">
      <w:pPr>
        <w:pStyle w:val="Heading4"/>
        <w:rPr>
          <w:rFonts w:eastAsia="Times New Roman" w:cs="Times New Roman"/>
          <w:i/>
          <w:szCs w:val="24"/>
        </w:rPr>
      </w:pPr>
      <w:bookmarkStart w:id="14" w:name="_Toc174088829"/>
      <w:r w:rsidRPr="000F461E">
        <w:t>Travel Policy</w:t>
      </w:r>
      <w:bookmarkEnd w:id="14"/>
    </w:p>
    <w:p w14:paraId="000000A4" w14:textId="5A5E7524"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VDOE follows travel guidelines published by the Virginia Department of Accounts. Providers are expected to follow the same guidelines. Reimbursements that exceed the approved rates may not be permitted unless justification is provided by the traveler and prior approval secured by the grants manager, but shall not exceed 50</w:t>
      </w:r>
      <w:r w:rsidR="006E3C04">
        <w:rPr>
          <w:rFonts w:ascii="Times New Roman" w:eastAsia="Times New Roman" w:hAnsi="Times New Roman" w:cs="Times New Roman"/>
          <w:color w:val="000000"/>
          <w:sz w:val="24"/>
          <w:szCs w:val="24"/>
        </w:rPr>
        <w:t xml:space="preserve"> percent</w:t>
      </w:r>
      <w:r w:rsidRPr="00B131CA">
        <w:rPr>
          <w:rFonts w:ascii="Times New Roman" w:eastAsia="Times New Roman" w:hAnsi="Times New Roman" w:cs="Times New Roman"/>
          <w:color w:val="000000"/>
          <w:sz w:val="24"/>
          <w:szCs w:val="24"/>
        </w:rPr>
        <w:t xml:space="preserve"> over the allowable rate, as per state guidelines. Travel approval including travel estimates should be obtained by the appropriate authority prior to any trip. </w:t>
      </w:r>
      <w:r w:rsidR="005D09B5">
        <w:rPr>
          <w:rFonts w:ascii="Times New Roman" w:eastAsia="Times New Roman" w:hAnsi="Times New Roman" w:cs="Times New Roman"/>
          <w:color w:val="000000"/>
          <w:sz w:val="24"/>
          <w:szCs w:val="24"/>
        </w:rPr>
        <w:t xml:space="preserve">Check the updated </w:t>
      </w:r>
      <w:hyperlink r:id="rId45" w:history="1">
        <w:r w:rsidR="005D09B5" w:rsidRPr="005D09B5">
          <w:rPr>
            <w:rStyle w:val="Hyperlink"/>
            <w:rFonts w:ascii="Times New Roman" w:eastAsia="Times New Roman" w:hAnsi="Times New Roman" w:cs="Times New Roman"/>
            <w:sz w:val="24"/>
            <w:szCs w:val="24"/>
          </w:rPr>
          <w:t>travel guidelines</w:t>
        </w:r>
      </w:hyperlink>
      <w:r w:rsidR="005D09B5" w:rsidRPr="000F461E">
        <w:rPr>
          <w:rFonts w:ascii="Times New Roman" w:hAnsi="Times New Roman"/>
          <w:color w:val="000000"/>
          <w:sz w:val="24"/>
        </w:rPr>
        <w:t>.</w:t>
      </w:r>
    </w:p>
    <w:p w14:paraId="000000A5" w14:textId="26B5D8F8" w:rsidR="002F3C8D"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Out of state travel requests must be submitted for prior approval to the </w:t>
      </w:r>
      <w:r w:rsidR="006D6125">
        <w:rPr>
          <w:rFonts w:ascii="Times New Roman" w:eastAsia="Times New Roman" w:hAnsi="Times New Roman" w:cs="Times New Roman"/>
          <w:color w:val="000000"/>
          <w:sz w:val="24"/>
          <w:szCs w:val="24"/>
        </w:rPr>
        <w:t>G</w:t>
      </w:r>
      <w:r w:rsidRPr="00B131CA">
        <w:rPr>
          <w:rFonts w:ascii="Times New Roman" w:eastAsia="Times New Roman" w:hAnsi="Times New Roman" w:cs="Times New Roman"/>
          <w:color w:val="000000"/>
          <w:sz w:val="24"/>
          <w:szCs w:val="24"/>
        </w:rPr>
        <w:t xml:space="preserve">rants </w:t>
      </w:r>
      <w:r w:rsidR="006D6125">
        <w:rPr>
          <w:rFonts w:ascii="Times New Roman" w:eastAsia="Times New Roman" w:hAnsi="Times New Roman" w:cs="Times New Roman"/>
          <w:color w:val="000000"/>
          <w:sz w:val="24"/>
          <w:szCs w:val="24"/>
        </w:rPr>
        <w:t>M</w:t>
      </w:r>
      <w:r w:rsidRPr="00B131CA">
        <w:rPr>
          <w:rFonts w:ascii="Times New Roman" w:eastAsia="Times New Roman" w:hAnsi="Times New Roman" w:cs="Times New Roman"/>
          <w:color w:val="000000"/>
          <w:sz w:val="24"/>
          <w:szCs w:val="24"/>
        </w:rPr>
        <w:t>anager in the state office.</w:t>
      </w:r>
    </w:p>
    <w:p w14:paraId="29516994" w14:textId="21B02827" w:rsidR="006C03E7" w:rsidRPr="00B131CA" w:rsidRDefault="006C03E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Reminder: All adult education funds are cost reimbursable. Advance purchases, such as airline tickets, cannot be reimbursed until the travel has occurred. </w:t>
      </w:r>
    </w:p>
    <w:p w14:paraId="000000A6" w14:textId="3FCEE86B" w:rsidR="002F3C8D" w:rsidRPr="0069138B" w:rsidRDefault="00BF5CDA" w:rsidP="008D03B8">
      <w:pPr>
        <w:pStyle w:val="Heading4"/>
        <w:rPr>
          <w:rFonts w:eastAsia="Times New Roman" w:cs="Times New Roman"/>
          <w:i/>
          <w:szCs w:val="24"/>
        </w:rPr>
      </w:pPr>
      <w:bookmarkStart w:id="15" w:name="_Toc174088830"/>
      <w:r w:rsidRPr="000F461E">
        <w:t>VDOE Grant Special Terms and Conditions</w:t>
      </w:r>
      <w:bookmarkEnd w:id="15"/>
    </w:p>
    <w:p w14:paraId="000000A7" w14:textId="77777777"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Grants awarded through the VDOE must abide by “Attachment A: Special Terms and Conditions” that is distributed with grant award notifications. These terms govern actions by grantees, including: </w:t>
      </w:r>
    </w:p>
    <w:p w14:paraId="000000A8" w14:textId="540C7033" w:rsidR="002F3C8D" w:rsidRPr="00B131CA" w:rsidRDefault="00BF5CDA" w:rsidP="00273AC7">
      <w:pPr>
        <w:numPr>
          <w:ilvl w:val="0"/>
          <w:numId w:val="1"/>
        </w:numPr>
        <w:pBdr>
          <w:top w:val="nil"/>
          <w:left w:val="nil"/>
          <w:bottom w:val="nil"/>
          <w:right w:val="nil"/>
          <w:between w:val="nil"/>
        </w:pBdr>
        <w:tabs>
          <w:tab w:val="left" w:pos="144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ensuring</w:t>
      </w:r>
      <w:r w:rsidRPr="00B131CA">
        <w:rPr>
          <w:rFonts w:ascii="Times New Roman" w:eastAsia="Times New Roman" w:hAnsi="Times New Roman" w:cs="Times New Roman"/>
          <w:color w:val="000000"/>
          <w:sz w:val="24"/>
          <w:szCs w:val="24"/>
        </w:rPr>
        <w:t xml:space="preserve"> all websites developed meet standard</w:t>
      </w:r>
      <w:r w:rsidR="00C5741F">
        <w:rPr>
          <w:rFonts w:ascii="Times New Roman" w:eastAsia="Times New Roman" w:hAnsi="Times New Roman" w:cs="Times New Roman"/>
          <w:color w:val="000000"/>
          <w:sz w:val="24"/>
          <w:szCs w:val="24"/>
        </w:rPr>
        <w:t>s for accessibility</w:t>
      </w:r>
      <w:r w:rsidRPr="00B131CA">
        <w:rPr>
          <w:rFonts w:ascii="Times New Roman" w:eastAsia="Times New Roman" w:hAnsi="Times New Roman" w:cs="Times New Roman"/>
          <w:color w:val="000000"/>
          <w:sz w:val="24"/>
          <w:szCs w:val="24"/>
        </w:rPr>
        <w:t>, </w:t>
      </w:r>
    </w:p>
    <w:p w14:paraId="000000A9" w14:textId="77972956" w:rsidR="002F3C8D" w:rsidRPr="00B131CA" w:rsidRDefault="00BF5CDA" w:rsidP="00273AC7">
      <w:pPr>
        <w:numPr>
          <w:ilvl w:val="0"/>
          <w:numId w:val="1"/>
        </w:numPr>
        <w:pBdr>
          <w:top w:val="nil"/>
          <w:left w:val="nil"/>
          <w:bottom w:val="nil"/>
          <w:right w:val="nil"/>
          <w:between w:val="nil"/>
        </w:pBdr>
        <w:tabs>
          <w:tab w:val="left" w:pos="144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creating</w:t>
      </w:r>
      <w:r w:rsidRPr="00B131CA">
        <w:rPr>
          <w:rFonts w:ascii="Times New Roman" w:eastAsia="Times New Roman" w:hAnsi="Times New Roman" w:cs="Times New Roman"/>
          <w:color w:val="000000"/>
          <w:sz w:val="24"/>
          <w:szCs w:val="24"/>
        </w:rPr>
        <w:t xml:space="preserve"> any materials without claim to intellectual property, </w:t>
      </w:r>
    </w:p>
    <w:p w14:paraId="000000AA" w14:textId="61A449BA" w:rsidR="002F3C8D" w:rsidRPr="00B131CA" w:rsidRDefault="00BF5CDA" w:rsidP="00273AC7">
      <w:pPr>
        <w:numPr>
          <w:ilvl w:val="0"/>
          <w:numId w:val="1"/>
        </w:numPr>
        <w:pBdr>
          <w:top w:val="nil"/>
          <w:left w:val="nil"/>
          <w:bottom w:val="nil"/>
          <w:right w:val="nil"/>
          <w:between w:val="nil"/>
        </w:pBdr>
        <w:tabs>
          <w:tab w:val="left" w:pos="144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certifying</w:t>
      </w:r>
      <w:r w:rsidRPr="00B131CA">
        <w:rPr>
          <w:rFonts w:ascii="Times New Roman" w:eastAsia="Times New Roman" w:hAnsi="Times New Roman" w:cs="Times New Roman"/>
          <w:color w:val="000000"/>
          <w:sz w:val="24"/>
          <w:szCs w:val="24"/>
        </w:rPr>
        <w:t xml:space="preserve"> that fiscal agents and sub-awards have not been suspended or debarred from federal funding, </w:t>
      </w:r>
    </w:p>
    <w:p w14:paraId="000000AB" w14:textId="47AB438B" w:rsidR="002F3C8D" w:rsidRPr="00B131CA" w:rsidRDefault="00BF5CDA" w:rsidP="00273AC7">
      <w:pPr>
        <w:numPr>
          <w:ilvl w:val="0"/>
          <w:numId w:val="1"/>
        </w:numPr>
        <w:pBdr>
          <w:top w:val="nil"/>
          <w:left w:val="nil"/>
          <w:bottom w:val="nil"/>
          <w:right w:val="nil"/>
          <w:between w:val="nil"/>
        </w:pBdr>
        <w:tabs>
          <w:tab w:val="left" w:pos="144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including</w:t>
      </w:r>
      <w:r w:rsidRPr="00B131CA">
        <w:rPr>
          <w:rFonts w:ascii="Times New Roman" w:eastAsia="Times New Roman" w:hAnsi="Times New Roman" w:cs="Times New Roman"/>
          <w:color w:val="000000"/>
          <w:sz w:val="24"/>
          <w:szCs w:val="24"/>
        </w:rPr>
        <w:t xml:space="preserve"> in public statements that the program is funded in whole or in part with federal funding, </w:t>
      </w:r>
    </w:p>
    <w:p w14:paraId="000000AC" w14:textId="379E6043" w:rsidR="002F3C8D" w:rsidRPr="00B131CA" w:rsidRDefault="00BF5CDA" w:rsidP="00273AC7">
      <w:pPr>
        <w:numPr>
          <w:ilvl w:val="0"/>
          <w:numId w:val="1"/>
        </w:numPr>
        <w:pBdr>
          <w:top w:val="nil"/>
          <w:left w:val="nil"/>
          <w:bottom w:val="nil"/>
          <w:right w:val="nil"/>
          <w:between w:val="nil"/>
        </w:pBdr>
        <w:tabs>
          <w:tab w:val="left" w:pos="144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prohibiting</w:t>
      </w:r>
      <w:r w:rsidRPr="00B131CA">
        <w:rPr>
          <w:rFonts w:ascii="Times New Roman" w:eastAsia="Times New Roman" w:hAnsi="Times New Roman" w:cs="Times New Roman"/>
          <w:color w:val="000000"/>
          <w:sz w:val="24"/>
          <w:szCs w:val="24"/>
        </w:rPr>
        <w:t xml:space="preserve"> text messaging while driving during official grant business, and</w:t>
      </w:r>
    </w:p>
    <w:p w14:paraId="000000AD" w14:textId="0EC05F52" w:rsidR="002F3C8D" w:rsidRPr="00B131CA" w:rsidRDefault="00C5741F" w:rsidP="00273AC7">
      <w:pPr>
        <w:numPr>
          <w:ilvl w:val="0"/>
          <w:numId w:val="1"/>
        </w:numPr>
        <w:pBdr>
          <w:top w:val="nil"/>
          <w:left w:val="nil"/>
          <w:bottom w:val="nil"/>
          <w:right w:val="nil"/>
          <w:between w:val="nil"/>
        </w:pBdr>
        <w:tabs>
          <w:tab w:val="left" w:pos="1440"/>
        </w:tabs>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BF5CDA" w:rsidRPr="00B131CA">
        <w:rPr>
          <w:rFonts w:ascii="Times New Roman" w:eastAsia="Times New Roman" w:hAnsi="Times New Roman" w:cs="Times New Roman"/>
          <w:color w:val="000000"/>
          <w:sz w:val="24"/>
          <w:szCs w:val="24"/>
        </w:rPr>
        <w:t>articipating in monitoring and reporting. </w:t>
      </w:r>
    </w:p>
    <w:p w14:paraId="6B57341A" w14:textId="77777777" w:rsidR="00301E4D" w:rsidRDefault="00B30301" w:rsidP="008D03B8">
      <w:pPr>
        <w:pStyle w:val="Heading4"/>
      </w:pPr>
      <w:bookmarkStart w:id="16" w:name="_Toc174088831"/>
      <w:r>
        <w:t>Copyright and Fair Use Policies</w:t>
      </w:r>
      <w:bookmarkEnd w:id="16"/>
    </w:p>
    <w:p w14:paraId="0C6E3F1F" w14:textId="4C3274AB" w:rsidR="00B30301" w:rsidRPr="00301E4D" w:rsidRDefault="00301E4D" w:rsidP="00301E4D">
      <w:pPr>
        <w:rPr>
          <w:rFonts w:ascii="Times New Roman" w:hAnsi="Times New Roman" w:cs="Times New Roman"/>
          <w:sz w:val="24"/>
          <w:szCs w:val="24"/>
        </w:rPr>
      </w:pPr>
      <w:r w:rsidRPr="00301E4D">
        <w:rPr>
          <w:rFonts w:ascii="Times New Roman" w:hAnsi="Times New Roman" w:cs="Times New Roman"/>
          <w:sz w:val="24"/>
          <w:szCs w:val="24"/>
        </w:rPr>
        <w:t>Providers are required to abide</w:t>
      </w:r>
      <w:r w:rsidR="00B30301" w:rsidRPr="00301E4D">
        <w:rPr>
          <w:rFonts w:ascii="Times New Roman" w:hAnsi="Times New Roman" w:cs="Times New Roman"/>
          <w:sz w:val="24"/>
          <w:szCs w:val="24"/>
        </w:rPr>
        <w:t xml:space="preserve"> </w:t>
      </w:r>
      <w:r w:rsidRPr="00301E4D">
        <w:rPr>
          <w:rFonts w:ascii="Times New Roman" w:hAnsi="Times New Roman" w:cs="Times New Roman"/>
          <w:sz w:val="24"/>
          <w:szCs w:val="24"/>
        </w:rPr>
        <w:t xml:space="preserve">by federal copyright and fair use policies as they apply to educational institutions. This includes how teachers use published materials and make materials available to students. Teachers and providers are responsible for following these guidelines and checking materials’ copyright designations. The </w:t>
      </w:r>
      <w:hyperlink r:id="rId46" w:history="1">
        <w:r w:rsidRPr="00301E4D">
          <w:rPr>
            <w:rStyle w:val="Hyperlink"/>
            <w:rFonts w:ascii="Times New Roman" w:hAnsi="Times New Roman" w:cs="Times New Roman"/>
            <w:sz w:val="24"/>
            <w:szCs w:val="24"/>
          </w:rPr>
          <w:t>U.S. Copyright Office</w:t>
        </w:r>
      </w:hyperlink>
      <w:r w:rsidRPr="00301E4D">
        <w:rPr>
          <w:rFonts w:ascii="Times New Roman" w:hAnsi="Times New Roman" w:cs="Times New Roman"/>
          <w:sz w:val="24"/>
          <w:szCs w:val="24"/>
        </w:rPr>
        <w:t xml:space="preserve"> has resources on this topic. Learn more about Open Education Resources (OER) and the various types of shareable copyright at </w:t>
      </w:r>
      <w:hyperlink r:id="rId47" w:history="1">
        <w:r w:rsidRPr="00301E4D">
          <w:rPr>
            <w:rStyle w:val="Hyperlink"/>
            <w:rFonts w:ascii="Times New Roman" w:hAnsi="Times New Roman" w:cs="Times New Roman"/>
            <w:sz w:val="24"/>
            <w:szCs w:val="24"/>
          </w:rPr>
          <w:t>Creative Commons</w:t>
        </w:r>
      </w:hyperlink>
      <w:r w:rsidRPr="00301E4D">
        <w:rPr>
          <w:rFonts w:ascii="Times New Roman" w:hAnsi="Times New Roman" w:cs="Times New Roman"/>
          <w:sz w:val="24"/>
          <w:szCs w:val="24"/>
        </w:rPr>
        <w:t xml:space="preserve">. See a </w:t>
      </w:r>
      <w:hyperlink r:id="rId48" w:history="1">
        <w:r w:rsidRPr="00301E4D">
          <w:rPr>
            <w:rStyle w:val="Hyperlink"/>
            <w:rFonts w:ascii="Times New Roman" w:hAnsi="Times New Roman" w:cs="Times New Roman"/>
            <w:sz w:val="24"/>
            <w:szCs w:val="24"/>
          </w:rPr>
          <w:t>teacher-friendly guide</w:t>
        </w:r>
      </w:hyperlink>
      <w:r w:rsidRPr="00301E4D">
        <w:rPr>
          <w:rFonts w:ascii="Times New Roman" w:hAnsi="Times New Roman" w:cs="Times New Roman"/>
          <w:sz w:val="24"/>
          <w:szCs w:val="24"/>
        </w:rPr>
        <w:t xml:space="preserve"> at </w:t>
      </w:r>
      <w:proofErr w:type="spellStart"/>
      <w:r w:rsidRPr="00301E4D">
        <w:rPr>
          <w:rFonts w:ascii="Times New Roman" w:hAnsi="Times New Roman" w:cs="Times New Roman"/>
          <w:sz w:val="24"/>
          <w:szCs w:val="24"/>
        </w:rPr>
        <w:t>Eduptopia</w:t>
      </w:r>
      <w:proofErr w:type="spellEnd"/>
      <w:r w:rsidRPr="00301E4D">
        <w:rPr>
          <w:rFonts w:ascii="Times New Roman" w:hAnsi="Times New Roman" w:cs="Times New Roman"/>
          <w:sz w:val="24"/>
          <w:szCs w:val="24"/>
        </w:rPr>
        <w:t>.</w:t>
      </w:r>
    </w:p>
    <w:p w14:paraId="4F81FF99" w14:textId="2ABC3277" w:rsidR="00301E4D" w:rsidRDefault="00301E4D" w:rsidP="00301E4D">
      <w:r>
        <w:br w:type="page"/>
      </w:r>
    </w:p>
    <w:p w14:paraId="13D326FB" w14:textId="2D698DEC" w:rsidR="00780EC2" w:rsidRDefault="00BF5CDA" w:rsidP="00C13422">
      <w:pPr>
        <w:pStyle w:val="Heading2"/>
      </w:pPr>
      <w:bookmarkStart w:id="17" w:name="_Toc174088832"/>
      <w:r w:rsidRPr="00AB56C4">
        <w:lastRenderedPageBreak/>
        <w:t>MANAGING FEDERAL AND STATE BUDGETS</w:t>
      </w:r>
      <w:bookmarkEnd w:id="17"/>
    </w:p>
    <w:p w14:paraId="000000B0" w14:textId="28230D7C" w:rsidR="002F3C8D" w:rsidRPr="005C6376" w:rsidRDefault="00BF5CDA" w:rsidP="004A0493">
      <w:pPr>
        <w:pStyle w:val="Heading3"/>
      </w:pPr>
      <w:bookmarkStart w:id="18" w:name="_Toc174088833"/>
      <w:r w:rsidRPr="005C6376">
        <w:t>Federal and State Funding Streams</w:t>
      </w:r>
      <w:bookmarkEnd w:id="18"/>
    </w:p>
    <w:p w14:paraId="000000B1" w14:textId="6B1C0C97" w:rsidR="002F3C8D" w:rsidRPr="000F461E" w:rsidRDefault="00BF5CDA">
      <w:pPr>
        <w:pBdr>
          <w:top w:val="nil"/>
          <w:left w:val="nil"/>
          <w:bottom w:val="nil"/>
          <w:right w:val="nil"/>
          <w:between w:val="nil"/>
        </w:pBdr>
        <w:spacing w:after="200" w:line="240" w:lineRule="auto"/>
        <w:rPr>
          <w:rFonts w:ascii="Times New Roman" w:hAnsi="Times New Roman"/>
          <w:sz w:val="24"/>
        </w:rPr>
      </w:pPr>
      <w:r w:rsidRPr="00B131CA">
        <w:rPr>
          <w:rFonts w:ascii="Times New Roman" w:eastAsia="Times New Roman" w:hAnsi="Times New Roman" w:cs="Times New Roman"/>
          <w:color w:val="000000"/>
          <w:sz w:val="24"/>
          <w:szCs w:val="24"/>
        </w:rPr>
        <w:t xml:space="preserve">When the VDOE receives the annual federal award of AEFLA funds, there are requirements </w:t>
      </w:r>
      <w:r w:rsidR="00623B9D">
        <w:rPr>
          <w:rFonts w:ascii="Times New Roman" w:eastAsia="Times New Roman" w:hAnsi="Times New Roman" w:cs="Times New Roman"/>
          <w:color w:val="000000"/>
          <w:sz w:val="24"/>
          <w:szCs w:val="24"/>
        </w:rPr>
        <w:t>on</w:t>
      </w:r>
      <w:r w:rsidRPr="00B131CA">
        <w:rPr>
          <w:rFonts w:ascii="Times New Roman" w:eastAsia="Times New Roman" w:hAnsi="Times New Roman" w:cs="Times New Roman"/>
          <w:color w:val="000000"/>
          <w:sz w:val="24"/>
          <w:szCs w:val="24"/>
        </w:rPr>
        <w:t xml:space="preserve"> how it must be allocated and managed. The VDOE is the recipient of the federal award and is given</w:t>
      </w:r>
      <w:r w:rsidR="007F559D">
        <w:rPr>
          <w:rFonts w:ascii="Times New Roman" w:eastAsia="Times New Roman" w:hAnsi="Times New Roman" w:cs="Times New Roman"/>
          <w:color w:val="000000"/>
          <w:sz w:val="24"/>
          <w:szCs w:val="24"/>
        </w:rPr>
        <w:t xml:space="preserve"> up to</w:t>
      </w:r>
      <w:r w:rsidRPr="00B131CA">
        <w:rPr>
          <w:rFonts w:ascii="Times New Roman" w:eastAsia="Times New Roman" w:hAnsi="Times New Roman" w:cs="Times New Roman"/>
          <w:color w:val="000000"/>
          <w:sz w:val="24"/>
          <w:szCs w:val="24"/>
        </w:rPr>
        <w:t xml:space="preserve"> 27 months in which to spend those funds. The VDOE makes awards to eligible providers, called “subrecipients</w:t>
      </w:r>
      <w:r w:rsidR="00361560">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for a 12-month grant period based on a multi-year competition process. Any unexpended funds are recouped by the VDOE for reallocation or Innovation Challenge Grant awards in the next fiscal year. </w:t>
      </w:r>
    </w:p>
    <w:p w14:paraId="000000B2" w14:textId="77777777"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There are three AEFLA funding streams from which awards to eligible providers are made: </w:t>
      </w:r>
    </w:p>
    <w:p w14:paraId="000000B3" w14:textId="04A45EEF" w:rsidR="002F3C8D" w:rsidRPr="00B131CA" w:rsidRDefault="00BF5CDA" w:rsidP="00273AC7">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Sec. 231 for Adult Education </w:t>
      </w:r>
      <w:r w:rsidR="00565524">
        <w:rPr>
          <w:rFonts w:ascii="Times New Roman" w:eastAsia="Times New Roman" w:hAnsi="Times New Roman" w:cs="Times New Roman"/>
          <w:color w:val="000000"/>
          <w:sz w:val="24"/>
          <w:szCs w:val="24"/>
        </w:rPr>
        <w:t>(AEFLA)</w:t>
      </w:r>
    </w:p>
    <w:p w14:paraId="000000B4" w14:textId="4269C26A" w:rsidR="002F3C8D" w:rsidRPr="00B131CA" w:rsidRDefault="00BF5CDA" w:rsidP="00273AC7">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Sec. 225 for Corrections Education and Other Institutionalized Individuals (C&amp;I) </w:t>
      </w:r>
    </w:p>
    <w:p w14:paraId="000000B5" w14:textId="0CA41CCD" w:rsidR="002F3C8D" w:rsidRPr="00715E5F" w:rsidRDefault="00BF5CDA" w:rsidP="00273AC7">
      <w:p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sidRPr="00715E5F">
        <w:rPr>
          <w:rFonts w:ascii="Times New Roman" w:eastAsia="Times New Roman" w:hAnsi="Times New Roman" w:cs="Times New Roman"/>
          <w:color w:val="000000"/>
          <w:sz w:val="24"/>
          <w:szCs w:val="24"/>
        </w:rPr>
        <w:t>Sec. 243 for Integrated Englis</w:t>
      </w:r>
      <w:r w:rsidR="00216C9C" w:rsidRPr="00715E5F">
        <w:rPr>
          <w:rFonts w:ascii="Times New Roman" w:eastAsia="Times New Roman" w:hAnsi="Times New Roman" w:cs="Times New Roman"/>
          <w:color w:val="000000"/>
          <w:sz w:val="24"/>
          <w:szCs w:val="24"/>
        </w:rPr>
        <w:t>h Literacy and Civics Education</w:t>
      </w:r>
      <w:r w:rsidRPr="00715E5F">
        <w:rPr>
          <w:rFonts w:ascii="Times New Roman" w:eastAsia="Times New Roman" w:hAnsi="Times New Roman" w:cs="Times New Roman"/>
          <w:color w:val="000000"/>
          <w:sz w:val="24"/>
          <w:szCs w:val="24"/>
        </w:rPr>
        <w:t> </w:t>
      </w:r>
      <w:r w:rsidR="00565524" w:rsidRPr="00715E5F">
        <w:rPr>
          <w:rFonts w:ascii="Times New Roman" w:eastAsia="Times New Roman" w:hAnsi="Times New Roman" w:cs="Times New Roman"/>
          <w:color w:val="000000"/>
          <w:sz w:val="24"/>
          <w:szCs w:val="24"/>
        </w:rPr>
        <w:t>(IELCE)</w:t>
      </w:r>
    </w:p>
    <w:p w14:paraId="000000B6" w14:textId="3ED2D488" w:rsidR="002F3C8D" w:rsidRPr="00B131CA" w:rsidRDefault="00BF5CDA" w:rsidP="00216C9C">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715E5F">
        <w:rPr>
          <w:rFonts w:ascii="Times New Roman" w:eastAsia="Times New Roman" w:hAnsi="Times New Roman" w:cs="Times New Roman"/>
          <w:color w:val="000000"/>
          <w:sz w:val="24"/>
          <w:szCs w:val="24"/>
        </w:rPr>
        <w:t>Once awarded, funds cannot be reprogrammed to another funding stream</w:t>
      </w:r>
      <w:r w:rsidR="00715E5F" w:rsidRPr="00715E5F">
        <w:rPr>
          <w:rFonts w:ascii="Times New Roman" w:eastAsia="Times New Roman" w:hAnsi="Times New Roman" w:cs="Times New Roman"/>
          <w:color w:val="000000"/>
          <w:sz w:val="24"/>
          <w:szCs w:val="24"/>
        </w:rPr>
        <w:t xml:space="preserve"> in OMEGA, the VDOE’s reimbursement management system</w:t>
      </w:r>
      <w:r w:rsidR="00337361" w:rsidRPr="00715E5F">
        <w:rPr>
          <w:rFonts w:ascii="Times New Roman" w:eastAsia="Times New Roman" w:hAnsi="Times New Roman" w:cs="Times New Roman"/>
          <w:color w:val="000000"/>
          <w:sz w:val="24"/>
          <w:szCs w:val="24"/>
        </w:rPr>
        <w:t xml:space="preserve">. </w:t>
      </w:r>
      <w:r w:rsidR="00337361" w:rsidRPr="00A476A5">
        <w:rPr>
          <w:rFonts w:ascii="Times New Roman" w:eastAsia="Times New Roman" w:hAnsi="Times New Roman" w:cs="Times New Roman"/>
          <w:color w:val="000000"/>
          <w:sz w:val="24"/>
          <w:szCs w:val="24"/>
        </w:rPr>
        <w:t>T</w:t>
      </w:r>
      <w:r w:rsidRPr="00A476A5">
        <w:rPr>
          <w:rFonts w:ascii="Times New Roman" w:eastAsia="Times New Roman" w:hAnsi="Times New Roman" w:cs="Times New Roman"/>
          <w:color w:val="000000"/>
          <w:sz w:val="24"/>
          <w:szCs w:val="24"/>
        </w:rPr>
        <w:t>hat is, if a provider is unable to expend all the funds in the Sec. 225 award, those funds may not be transferred into the Sec. 231 award within the program year.</w:t>
      </w:r>
      <w:r w:rsidRPr="00715E5F">
        <w:rPr>
          <w:rFonts w:ascii="Times New Roman" w:eastAsia="Times New Roman" w:hAnsi="Times New Roman" w:cs="Times New Roman"/>
          <w:color w:val="000000"/>
          <w:sz w:val="24"/>
          <w:szCs w:val="24"/>
        </w:rPr>
        <w:t xml:space="preserve"> See the section on </w:t>
      </w:r>
      <w:r w:rsidR="007F559D" w:rsidRPr="00715E5F">
        <w:rPr>
          <w:rFonts w:ascii="Times New Roman" w:eastAsia="Times New Roman" w:hAnsi="Times New Roman" w:cs="Times New Roman"/>
          <w:color w:val="000000"/>
          <w:sz w:val="24"/>
          <w:szCs w:val="24"/>
        </w:rPr>
        <w:t xml:space="preserve">Planning </w:t>
      </w:r>
      <w:r w:rsidRPr="00715E5F">
        <w:rPr>
          <w:rFonts w:ascii="Times New Roman" w:eastAsia="Times New Roman" w:hAnsi="Times New Roman" w:cs="Times New Roman"/>
          <w:color w:val="000000"/>
          <w:sz w:val="24"/>
          <w:szCs w:val="24"/>
        </w:rPr>
        <w:t xml:space="preserve">Allowable Activities </w:t>
      </w:r>
      <w:r w:rsidR="007F559D" w:rsidRPr="00715E5F">
        <w:rPr>
          <w:rFonts w:ascii="Times New Roman" w:eastAsia="Times New Roman" w:hAnsi="Times New Roman" w:cs="Times New Roman"/>
          <w:color w:val="000000"/>
          <w:sz w:val="24"/>
          <w:szCs w:val="24"/>
        </w:rPr>
        <w:t xml:space="preserve">by Funding Stream </w:t>
      </w:r>
      <w:r w:rsidRPr="00715E5F">
        <w:rPr>
          <w:rFonts w:ascii="Times New Roman" w:eastAsia="Times New Roman" w:hAnsi="Times New Roman" w:cs="Times New Roman"/>
          <w:color w:val="000000"/>
          <w:sz w:val="24"/>
          <w:szCs w:val="24"/>
        </w:rPr>
        <w:t>(</w:t>
      </w:r>
      <w:r w:rsidR="00F9792A" w:rsidRPr="00715E5F">
        <w:rPr>
          <w:rFonts w:ascii="Times New Roman" w:eastAsia="Times New Roman" w:hAnsi="Times New Roman" w:cs="Times New Roman"/>
          <w:color w:val="000000"/>
          <w:sz w:val="24"/>
          <w:szCs w:val="24"/>
        </w:rPr>
        <w:t xml:space="preserve">section: </w:t>
      </w:r>
      <w:r w:rsidR="00E456DD" w:rsidRPr="00715E5F">
        <w:rPr>
          <w:rFonts w:ascii="Times New Roman" w:eastAsia="Times New Roman" w:hAnsi="Times New Roman" w:cs="Times New Roman"/>
          <w:color w:val="000000"/>
          <w:sz w:val="24"/>
          <w:szCs w:val="24"/>
        </w:rPr>
        <w:t>Program Management and Delivery)</w:t>
      </w:r>
      <w:r w:rsidRPr="00715E5F">
        <w:rPr>
          <w:rFonts w:ascii="Times New Roman" w:eastAsia="Times New Roman" w:hAnsi="Times New Roman" w:cs="Times New Roman"/>
          <w:color w:val="000000"/>
          <w:sz w:val="24"/>
          <w:szCs w:val="24"/>
        </w:rPr>
        <w:t xml:space="preserve"> for more information about programming for these funding streams.</w:t>
      </w:r>
      <w:r w:rsidRPr="00B131CA">
        <w:rPr>
          <w:rFonts w:ascii="Times New Roman" w:eastAsia="Times New Roman" w:hAnsi="Times New Roman" w:cs="Times New Roman"/>
          <w:color w:val="000000"/>
          <w:sz w:val="24"/>
          <w:szCs w:val="24"/>
        </w:rPr>
        <w:t> </w:t>
      </w:r>
    </w:p>
    <w:p w14:paraId="000000BA" w14:textId="1BA69DEA" w:rsidR="002F3C8D" w:rsidRPr="000F461E" w:rsidRDefault="00BF5CDA" w:rsidP="00216C9C">
      <w:pPr>
        <w:pBdr>
          <w:top w:val="nil"/>
          <w:left w:val="nil"/>
          <w:bottom w:val="nil"/>
          <w:right w:val="nil"/>
          <w:between w:val="nil"/>
        </w:pBdr>
        <w:spacing w:line="240" w:lineRule="auto"/>
        <w:rPr>
          <w:rFonts w:ascii="Times New Roman" w:hAnsi="Times New Roman"/>
          <w:sz w:val="24"/>
        </w:rPr>
      </w:pPr>
      <w:r w:rsidRPr="00B131CA">
        <w:rPr>
          <w:rFonts w:ascii="Times New Roman" w:eastAsia="Times New Roman" w:hAnsi="Times New Roman" w:cs="Times New Roman"/>
          <w:color w:val="000000"/>
          <w:sz w:val="24"/>
          <w:szCs w:val="24"/>
        </w:rPr>
        <w:t xml:space="preserve">Two funding streams are awarded </w:t>
      </w:r>
      <w:r w:rsidR="00A40172">
        <w:rPr>
          <w:rFonts w:ascii="Times New Roman" w:eastAsia="Times New Roman" w:hAnsi="Times New Roman" w:cs="Times New Roman"/>
          <w:color w:val="000000"/>
          <w:sz w:val="24"/>
          <w:szCs w:val="24"/>
        </w:rPr>
        <w:t>from</w:t>
      </w:r>
      <w:r w:rsidRPr="00B131CA">
        <w:rPr>
          <w:rFonts w:ascii="Times New Roman" w:eastAsia="Times New Roman" w:hAnsi="Times New Roman" w:cs="Times New Roman"/>
          <w:color w:val="000000"/>
          <w:sz w:val="24"/>
          <w:szCs w:val="24"/>
        </w:rPr>
        <w:t xml:space="preserve"> the Virginia General Assembly budget as the required state ma</w:t>
      </w:r>
      <w:r w:rsidR="00216C9C">
        <w:rPr>
          <w:rFonts w:ascii="Times New Roman" w:eastAsia="Times New Roman" w:hAnsi="Times New Roman" w:cs="Times New Roman"/>
          <w:color w:val="000000"/>
          <w:sz w:val="24"/>
          <w:szCs w:val="24"/>
        </w:rPr>
        <w:t xml:space="preserve">tch to the federal AEFLA award: the </w:t>
      </w:r>
      <w:r w:rsidRPr="00B131CA">
        <w:rPr>
          <w:rFonts w:ascii="Times New Roman" w:eastAsia="Times New Roman" w:hAnsi="Times New Roman" w:cs="Times New Roman"/>
          <w:color w:val="000000"/>
          <w:sz w:val="24"/>
          <w:szCs w:val="24"/>
        </w:rPr>
        <w:t>Ge</w:t>
      </w:r>
      <w:r w:rsidR="00216C9C">
        <w:rPr>
          <w:rFonts w:ascii="Times New Roman" w:eastAsia="Times New Roman" w:hAnsi="Times New Roman" w:cs="Times New Roman"/>
          <w:color w:val="000000"/>
          <w:sz w:val="24"/>
          <w:szCs w:val="24"/>
        </w:rPr>
        <w:t>neral Adult Education (GAE)</w:t>
      </w:r>
      <w:r w:rsidRPr="00B131CA">
        <w:rPr>
          <w:rFonts w:ascii="Times New Roman" w:eastAsia="Times New Roman" w:hAnsi="Times New Roman" w:cs="Times New Roman"/>
          <w:color w:val="000000"/>
          <w:sz w:val="24"/>
          <w:szCs w:val="24"/>
        </w:rPr>
        <w:t> </w:t>
      </w:r>
      <w:r w:rsidR="00216C9C">
        <w:rPr>
          <w:rFonts w:ascii="Times New Roman" w:eastAsia="Times New Roman" w:hAnsi="Times New Roman" w:cs="Times New Roman"/>
          <w:color w:val="000000"/>
          <w:sz w:val="24"/>
          <w:szCs w:val="24"/>
        </w:rPr>
        <w:t xml:space="preserve">fund and the </w:t>
      </w:r>
      <w:r w:rsidRPr="00B131CA">
        <w:rPr>
          <w:rFonts w:ascii="Times New Roman" w:eastAsia="Times New Roman" w:hAnsi="Times New Roman" w:cs="Times New Roman"/>
          <w:color w:val="000000"/>
          <w:sz w:val="24"/>
          <w:szCs w:val="24"/>
        </w:rPr>
        <w:t xml:space="preserve">State Lead </w:t>
      </w:r>
      <w:r w:rsidR="00216C9C">
        <w:rPr>
          <w:rFonts w:ascii="Times New Roman" w:eastAsia="Times New Roman" w:hAnsi="Times New Roman" w:cs="Times New Roman"/>
          <w:color w:val="000000"/>
          <w:sz w:val="24"/>
          <w:szCs w:val="24"/>
        </w:rPr>
        <w:t>Coordinating Agency (SLCA) fund.</w:t>
      </w:r>
      <w:r w:rsidRPr="00B131CA">
        <w:rPr>
          <w:rFonts w:ascii="Times New Roman" w:eastAsia="Times New Roman" w:hAnsi="Times New Roman" w:cs="Times New Roman"/>
          <w:color w:val="000000"/>
          <w:sz w:val="24"/>
          <w:szCs w:val="24"/>
        </w:rPr>
        <w:t> These funds are awarded to each of the 22 adult education regions in conjunction with the adult education funds. They are not competed separately. Because these funds are declared as match to the federal funds, their expenditures must follow the same regulations and allowable activities (Sec. 221(b)(2)). Unlike federal funds, state funds are awarded for a one-year grant period and cannot be recouped for reallocation. </w:t>
      </w:r>
    </w:p>
    <w:p w14:paraId="46235D07" w14:textId="70989DE8" w:rsidR="00780EC2" w:rsidRPr="00BF6E46" w:rsidRDefault="00BF5CDA" w:rsidP="00BF6E46">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Other state funds, Race to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and </w:t>
      </w:r>
      <w:proofErr w:type="spellStart"/>
      <w:r w:rsidRPr="00B131CA">
        <w:rPr>
          <w:rFonts w:ascii="Times New Roman" w:eastAsia="Times New Roman" w:hAnsi="Times New Roman" w:cs="Times New Roman"/>
          <w:color w:val="000000"/>
          <w:sz w:val="24"/>
          <w:szCs w:val="24"/>
        </w:rPr>
        <w:t>PluggedIn</w:t>
      </w:r>
      <w:proofErr w:type="spellEnd"/>
      <w:r w:rsidR="00565524">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VA, are made available from Virginia Lottery funds</w:t>
      </w:r>
      <w:r w:rsidR="00BD5843">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By Code, lottery funds may be distributed only to local school divisions</w:t>
      </w:r>
      <w:r w:rsidR="002279BC">
        <w:rPr>
          <w:rFonts w:ascii="Times New Roman" w:eastAsia="Times New Roman" w:hAnsi="Times New Roman" w:cs="Times New Roman"/>
          <w:color w:val="000000"/>
          <w:sz w:val="24"/>
          <w:szCs w:val="24"/>
        </w:rPr>
        <w:t xml:space="preserve"> to AEFLA funded regions</w:t>
      </w:r>
      <w:r w:rsidRPr="00B131CA">
        <w:rPr>
          <w:rFonts w:ascii="Times New Roman" w:eastAsia="Times New Roman" w:hAnsi="Times New Roman" w:cs="Times New Roman"/>
          <w:color w:val="000000"/>
          <w:sz w:val="24"/>
          <w:szCs w:val="24"/>
        </w:rPr>
        <w:t>. Fiscal agents that are not local school divisions must partner with a school division that will serve as the fiscal agent for the lottery funding. Race to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funds are allocated based on the same </w:t>
      </w:r>
      <w:r w:rsidR="008F3D00">
        <w:rPr>
          <w:rFonts w:ascii="Times New Roman" w:eastAsia="Times New Roman" w:hAnsi="Times New Roman" w:cs="Times New Roman"/>
          <w:color w:val="000000"/>
          <w:sz w:val="24"/>
          <w:szCs w:val="24"/>
        </w:rPr>
        <w:t xml:space="preserve">population-based </w:t>
      </w:r>
      <w:r w:rsidRPr="00B131CA">
        <w:rPr>
          <w:rFonts w:ascii="Times New Roman" w:eastAsia="Times New Roman" w:hAnsi="Times New Roman" w:cs="Times New Roman"/>
          <w:color w:val="000000"/>
          <w:sz w:val="24"/>
          <w:szCs w:val="24"/>
        </w:rPr>
        <w:t>formula used for regional allocation and awarded to one fiscal agent per region annually</w:t>
      </w:r>
      <w:r w:rsidR="003A774E">
        <w:rPr>
          <w:rFonts w:ascii="Times New Roman" w:eastAsia="Times New Roman" w:hAnsi="Times New Roman" w:cs="Times New Roman"/>
          <w:color w:val="000000"/>
          <w:sz w:val="24"/>
          <w:szCs w:val="24"/>
        </w:rPr>
        <w:t xml:space="preserve">. </w:t>
      </w:r>
      <w:r w:rsidR="00F92A9F">
        <w:rPr>
          <w:rFonts w:ascii="Times New Roman" w:eastAsia="Times New Roman" w:hAnsi="Times New Roman" w:cs="Times New Roman"/>
          <w:color w:val="000000"/>
          <w:sz w:val="24"/>
          <w:szCs w:val="24"/>
        </w:rPr>
        <w:t>Race to GED</w:t>
      </w:r>
      <w:r w:rsidR="00F92A9F" w:rsidRPr="00F92A9F">
        <w:rPr>
          <w:rFonts w:ascii="Times New Roman" w:eastAsia="Times New Roman" w:hAnsi="Times New Roman" w:cs="Times New Roman"/>
          <w:color w:val="000000"/>
          <w:sz w:val="24"/>
          <w:szCs w:val="24"/>
          <w:vertAlign w:val="superscript"/>
        </w:rPr>
        <w:t>®</w:t>
      </w:r>
      <w:r w:rsidR="00F92A9F">
        <w:rPr>
          <w:rFonts w:ascii="Times New Roman" w:eastAsia="Times New Roman" w:hAnsi="Times New Roman" w:cs="Times New Roman"/>
          <w:color w:val="000000"/>
          <w:sz w:val="24"/>
          <w:szCs w:val="24"/>
        </w:rPr>
        <w:t xml:space="preserve"> funds</w:t>
      </w:r>
      <w:r w:rsidR="00BD5843" w:rsidRPr="00BD5843">
        <w:rPr>
          <w:rFonts w:ascii="Times New Roman" w:eastAsia="Times New Roman" w:hAnsi="Times New Roman" w:cs="Times New Roman"/>
          <w:color w:val="000000"/>
          <w:sz w:val="24"/>
          <w:szCs w:val="24"/>
        </w:rPr>
        <w:t xml:space="preserve"> are not reported as state match</w:t>
      </w:r>
      <w:r w:rsidRPr="00BD5843">
        <w:rPr>
          <w:rFonts w:ascii="Times New Roman" w:eastAsia="Times New Roman" w:hAnsi="Times New Roman" w:cs="Times New Roman"/>
          <w:color w:val="000000"/>
          <w:sz w:val="24"/>
          <w:szCs w:val="24"/>
        </w:rPr>
        <w:t xml:space="preserve">. </w:t>
      </w:r>
      <w:proofErr w:type="spellStart"/>
      <w:r w:rsidR="00BD5843" w:rsidRPr="00BD5843">
        <w:rPr>
          <w:rFonts w:ascii="Times New Roman" w:eastAsia="Times New Roman" w:hAnsi="Times New Roman" w:cs="Times New Roman"/>
          <w:color w:val="000000"/>
          <w:sz w:val="24"/>
          <w:szCs w:val="24"/>
        </w:rPr>
        <w:t>PluggedIn</w:t>
      </w:r>
      <w:proofErr w:type="spellEnd"/>
      <w:r w:rsidR="00BD5843" w:rsidRPr="00BD5843">
        <w:rPr>
          <w:rFonts w:ascii="Times New Roman" w:eastAsia="Times New Roman" w:hAnsi="Times New Roman" w:cs="Times New Roman"/>
          <w:color w:val="000000"/>
          <w:sz w:val="24"/>
          <w:szCs w:val="24"/>
        </w:rPr>
        <w:t xml:space="preserve"> VA funds have shifted from a competitive fund to a formula-driven allocation based on the American Community Survey formula and </w:t>
      </w:r>
      <w:r w:rsidR="00361560">
        <w:rPr>
          <w:rFonts w:ascii="Times New Roman" w:eastAsia="Times New Roman" w:hAnsi="Times New Roman" w:cs="Times New Roman"/>
          <w:color w:val="000000"/>
          <w:sz w:val="24"/>
          <w:szCs w:val="24"/>
        </w:rPr>
        <w:t>are</w:t>
      </w:r>
      <w:r w:rsidR="00BD5843" w:rsidRPr="00BD5843">
        <w:rPr>
          <w:rFonts w:ascii="Times New Roman" w:eastAsia="Times New Roman" w:hAnsi="Times New Roman" w:cs="Times New Roman"/>
          <w:color w:val="000000"/>
          <w:sz w:val="24"/>
          <w:szCs w:val="24"/>
        </w:rPr>
        <w:t xml:space="preserve"> reported as state match. </w:t>
      </w:r>
      <w:r w:rsidRPr="00507314">
        <w:rPr>
          <w:rFonts w:ascii="Times New Roman" w:eastAsia="Times New Roman" w:hAnsi="Times New Roman" w:cs="Times New Roman"/>
          <w:color w:val="000000"/>
          <w:sz w:val="24"/>
          <w:szCs w:val="24"/>
        </w:rPr>
        <w:t>See section</w:t>
      </w:r>
      <w:r w:rsidR="002D4B51" w:rsidRPr="00507314">
        <w:rPr>
          <w:rFonts w:ascii="Times New Roman" w:eastAsia="Times New Roman" w:hAnsi="Times New Roman" w:cs="Times New Roman"/>
          <w:color w:val="000000"/>
          <w:sz w:val="24"/>
          <w:szCs w:val="24"/>
        </w:rPr>
        <w:t xml:space="preserve"> </w:t>
      </w:r>
      <w:r w:rsidR="00E456DD">
        <w:rPr>
          <w:rFonts w:ascii="Times New Roman" w:eastAsia="Times New Roman" w:hAnsi="Times New Roman" w:cs="Times New Roman"/>
          <w:color w:val="000000"/>
          <w:sz w:val="24"/>
          <w:szCs w:val="24"/>
        </w:rPr>
        <w:t>Program Management and Delivery</w:t>
      </w:r>
      <w:r w:rsidRPr="00507314">
        <w:rPr>
          <w:rFonts w:ascii="Times New Roman" w:eastAsia="Times New Roman" w:hAnsi="Times New Roman" w:cs="Times New Roman"/>
          <w:color w:val="000000"/>
          <w:sz w:val="24"/>
          <w:szCs w:val="24"/>
        </w:rPr>
        <w:t xml:space="preserve"> for</w:t>
      </w:r>
      <w:r w:rsidRPr="00B131CA">
        <w:rPr>
          <w:rFonts w:ascii="Times New Roman" w:eastAsia="Times New Roman" w:hAnsi="Times New Roman" w:cs="Times New Roman"/>
          <w:color w:val="000000"/>
          <w:sz w:val="24"/>
          <w:szCs w:val="24"/>
        </w:rPr>
        <w:t xml:space="preserve"> the purpose</w:t>
      </w:r>
      <w:r w:rsidR="00A149BB">
        <w:rPr>
          <w:rFonts w:ascii="Times New Roman" w:eastAsia="Times New Roman" w:hAnsi="Times New Roman" w:cs="Times New Roman"/>
          <w:color w:val="000000"/>
          <w:sz w:val="24"/>
          <w:szCs w:val="24"/>
        </w:rPr>
        <w:t>s</w:t>
      </w:r>
      <w:r w:rsidRPr="00B131CA">
        <w:rPr>
          <w:rFonts w:ascii="Times New Roman" w:eastAsia="Times New Roman" w:hAnsi="Times New Roman" w:cs="Times New Roman"/>
          <w:color w:val="000000"/>
          <w:sz w:val="24"/>
          <w:szCs w:val="24"/>
        </w:rPr>
        <w:t xml:space="preserve"> of these funding streams. These funds are not released to the VDOE until January of the program year and must be fully expended by mid-May. This means that while awards are made in the summer and activities may begin in the first quarter, fiscal agents may not claim reimbursements on expenditures until late January. </w:t>
      </w:r>
      <w:r w:rsidR="008F3D00">
        <w:rPr>
          <w:rFonts w:ascii="Times New Roman" w:eastAsia="Times New Roman" w:hAnsi="Times New Roman" w:cs="Times New Roman"/>
          <w:color w:val="000000"/>
          <w:sz w:val="24"/>
          <w:szCs w:val="24"/>
        </w:rPr>
        <w:t>Race to GED</w:t>
      </w:r>
      <w:r w:rsidR="008F3D00">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funds are not declared as state match</w:t>
      </w:r>
      <w:r w:rsidR="009C52DF">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w:t>
      </w:r>
      <w:r w:rsidR="008F3D00">
        <w:rPr>
          <w:rFonts w:ascii="Times New Roman" w:eastAsia="Times New Roman" w:hAnsi="Times New Roman" w:cs="Times New Roman"/>
          <w:color w:val="000000"/>
          <w:sz w:val="24"/>
          <w:szCs w:val="24"/>
        </w:rPr>
        <w:t xml:space="preserve">therefore, </w:t>
      </w:r>
      <w:r w:rsidRPr="00B131CA">
        <w:rPr>
          <w:rFonts w:ascii="Times New Roman" w:eastAsia="Times New Roman" w:hAnsi="Times New Roman" w:cs="Times New Roman"/>
          <w:color w:val="000000"/>
          <w:sz w:val="24"/>
          <w:szCs w:val="24"/>
        </w:rPr>
        <w:t>they are not bound by the federal spending guidelines and may, for example, be used to purchase high school equivalency test vouchers. </w:t>
      </w:r>
    </w:p>
    <w:p w14:paraId="000000BC" w14:textId="524B4CF8" w:rsidR="002F3C8D" w:rsidRPr="000F461E" w:rsidRDefault="00BF5CDA" w:rsidP="004A0493">
      <w:pPr>
        <w:pStyle w:val="Heading3"/>
        <w:rPr>
          <w:u w:val="single"/>
        </w:rPr>
      </w:pPr>
      <w:bookmarkStart w:id="19" w:name="_Toc174088834"/>
      <w:r w:rsidRPr="005C6376">
        <w:lastRenderedPageBreak/>
        <w:t>Establishing</w:t>
      </w:r>
      <w:r w:rsidR="00E456DD">
        <w:t xml:space="preserve"> </w:t>
      </w:r>
      <w:r w:rsidRPr="005C6376">
        <w:t>Budgets</w:t>
      </w:r>
      <w:bookmarkEnd w:id="19"/>
    </w:p>
    <w:p w14:paraId="000000BD" w14:textId="29EEB5CF"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Providers submit a budget workbook annually in an Excel template provided by the VDOE. The federal and state funding stream workbooks are formula</w:t>
      </w:r>
      <w:r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color w:val="000000"/>
          <w:sz w:val="24"/>
          <w:szCs w:val="24"/>
        </w:rPr>
        <w:t xml:space="preserve">driven with logic checks to ensure accuracy. Workbooks have extensive instructions in the first worksheet tab. </w:t>
      </w:r>
      <w:r w:rsidR="00A40172">
        <w:rPr>
          <w:rFonts w:ascii="Times New Roman" w:eastAsia="Times New Roman" w:hAnsi="Times New Roman" w:cs="Times New Roman"/>
          <w:color w:val="000000"/>
          <w:sz w:val="24"/>
          <w:szCs w:val="24"/>
        </w:rPr>
        <w:t>P</w:t>
      </w:r>
      <w:r w:rsidR="00A40172" w:rsidRPr="00B131CA">
        <w:rPr>
          <w:rFonts w:ascii="Times New Roman" w:eastAsia="Times New Roman" w:hAnsi="Times New Roman" w:cs="Times New Roman"/>
          <w:color w:val="000000"/>
          <w:sz w:val="24"/>
          <w:szCs w:val="24"/>
        </w:rPr>
        <w:t xml:space="preserve">roviders </w:t>
      </w:r>
      <w:r w:rsidRPr="00B131CA">
        <w:rPr>
          <w:rFonts w:ascii="Times New Roman" w:eastAsia="Times New Roman" w:hAnsi="Times New Roman" w:cs="Times New Roman"/>
          <w:color w:val="000000"/>
          <w:sz w:val="24"/>
          <w:szCs w:val="24"/>
        </w:rPr>
        <w:t xml:space="preserve">are expected to </w:t>
      </w:r>
      <w:r w:rsidR="00A40172">
        <w:rPr>
          <w:rFonts w:ascii="Times New Roman" w:eastAsia="Times New Roman" w:hAnsi="Times New Roman" w:cs="Times New Roman"/>
          <w:color w:val="000000"/>
          <w:sz w:val="24"/>
          <w:szCs w:val="24"/>
        </w:rPr>
        <w:t>maintain current, updated workbooks</w:t>
      </w:r>
      <w:r w:rsidR="00361560">
        <w:rPr>
          <w:rFonts w:ascii="Times New Roman" w:eastAsia="Times New Roman" w:hAnsi="Times New Roman" w:cs="Times New Roman"/>
          <w:color w:val="000000"/>
          <w:sz w:val="24"/>
          <w:szCs w:val="24"/>
        </w:rPr>
        <w:t xml:space="preserve"> through the program year</w:t>
      </w:r>
      <w:r w:rsidRPr="00B131CA">
        <w:rPr>
          <w:rFonts w:ascii="Times New Roman" w:eastAsia="Times New Roman" w:hAnsi="Times New Roman" w:cs="Times New Roman"/>
          <w:color w:val="000000"/>
          <w:sz w:val="24"/>
          <w:szCs w:val="24"/>
        </w:rPr>
        <w:t>. </w:t>
      </w:r>
    </w:p>
    <w:p w14:paraId="000000BE"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When budgeting federal funds, there are two types of costs: administrative and instructional. </w:t>
      </w:r>
    </w:p>
    <w:p w14:paraId="2577E8C1" w14:textId="33746892" w:rsidR="00E529DF" w:rsidRPr="0069138B" w:rsidRDefault="00BF5CDA" w:rsidP="00E529D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F461E">
        <w:rPr>
          <w:rFonts w:ascii="Times New Roman" w:hAnsi="Times New Roman"/>
          <w:color w:val="000000"/>
          <w:sz w:val="24"/>
        </w:rPr>
        <w:t>Administrative</w:t>
      </w:r>
      <w:r w:rsidR="00F80744">
        <w:rPr>
          <w:rFonts w:ascii="Times New Roman" w:hAnsi="Times New Roman"/>
          <w:color w:val="000000"/>
          <w:sz w:val="24"/>
        </w:rPr>
        <w:t xml:space="preserve"> Costs</w:t>
      </w:r>
    </w:p>
    <w:p w14:paraId="000000BF" w14:textId="777708F4" w:rsidR="002F3C8D" w:rsidRPr="00B131CA" w:rsidRDefault="00BF5CDA" w:rsidP="000F461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Each federal award has an allowance of five percent that providers may use toward administrative requirements. The </w:t>
      </w:r>
      <w:r w:rsidR="007B3883">
        <w:rPr>
          <w:rFonts w:ascii="Times New Roman" w:eastAsia="Times New Roman" w:hAnsi="Times New Roman" w:cs="Times New Roman"/>
          <w:color w:val="000000"/>
          <w:sz w:val="24"/>
          <w:szCs w:val="24"/>
        </w:rPr>
        <w:t xml:space="preserve">five </w:t>
      </w:r>
      <w:r w:rsidRPr="00B131CA">
        <w:rPr>
          <w:rFonts w:ascii="Times New Roman" w:eastAsia="Times New Roman" w:hAnsi="Times New Roman" w:cs="Times New Roman"/>
          <w:color w:val="000000"/>
          <w:sz w:val="24"/>
          <w:szCs w:val="24"/>
        </w:rPr>
        <w:t xml:space="preserve">administrative requirements identified in the WIOA statute are </w:t>
      </w:r>
      <w:r w:rsidR="00E456DD">
        <w:rPr>
          <w:rFonts w:ascii="Times New Roman" w:eastAsia="Times New Roman" w:hAnsi="Times New Roman" w:cs="Times New Roman"/>
          <w:color w:val="000000"/>
          <w:sz w:val="24"/>
          <w:szCs w:val="24"/>
        </w:rPr>
        <w:t xml:space="preserve">below </w:t>
      </w:r>
      <w:r w:rsidRPr="00B131CA">
        <w:rPr>
          <w:rFonts w:ascii="Times New Roman" w:eastAsia="Times New Roman" w:hAnsi="Times New Roman" w:cs="Times New Roman"/>
          <w:color w:val="000000"/>
          <w:sz w:val="24"/>
          <w:szCs w:val="24"/>
        </w:rPr>
        <w:t xml:space="preserve">in </w:t>
      </w:r>
      <w:r w:rsidRPr="00E456DD">
        <w:rPr>
          <w:rFonts w:ascii="Times New Roman" w:eastAsia="Times New Roman" w:hAnsi="Times New Roman" w:cs="Times New Roman"/>
          <w:b/>
          <w:color w:val="000000"/>
          <w:sz w:val="24"/>
          <w:szCs w:val="24"/>
        </w:rPr>
        <w:t>bold</w:t>
      </w:r>
      <w:r w:rsidR="00E456DD">
        <w:rPr>
          <w:rFonts w:ascii="Times New Roman" w:eastAsia="Times New Roman" w:hAnsi="Times New Roman" w:cs="Times New Roman"/>
          <w:b/>
          <w:color w:val="000000"/>
          <w:sz w:val="24"/>
          <w:szCs w:val="24"/>
        </w:rPr>
        <w:t xml:space="preserve"> </w:t>
      </w:r>
      <w:r w:rsidR="00E456DD" w:rsidRPr="00E456DD">
        <w:rPr>
          <w:rFonts w:ascii="Times New Roman" w:eastAsia="Times New Roman" w:hAnsi="Times New Roman" w:cs="Times New Roman"/>
          <w:color w:val="000000"/>
          <w:sz w:val="24"/>
          <w:szCs w:val="24"/>
        </w:rPr>
        <w:t>font</w:t>
      </w:r>
      <w:r w:rsidRPr="00B131CA">
        <w:rPr>
          <w:rFonts w:ascii="Times New Roman" w:eastAsia="Times New Roman" w:hAnsi="Times New Roman" w:cs="Times New Roman"/>
          <w:color w:val="000000"/>
          <w:sz w:val="24"/>
          <w:szCs w:val="24"/>
        </w:rPr>
        <w:t xml:space="preserve"> </w:t>
      </w:r>
      <w:r w:rsidR="00216C9C">
        <w:rPr>
          <w:rFonts w:ascii="Times New Roman" w:eastAsia="Times New Roman" w:hAnsi="Times New Roman" w:cs="Times New Roman"/>
          <w:color w:val="000000"/>
          <w:sz w:val="24"/>
          <w:szCs w:val="24"/>
        </w:rPr>
        <w:t xml:space="preserve">followed by explanatory </w:t>
      </w:r>
      <w:r w:rsidRPr="00B131CA">
        <w:rPr>
          <w:rFonts w:ascii="Times New Roman" w:eastAsia="Times New Roman" w:hAnsi="Times New Roman" w:cs="Times New Roman"/>
          <w:color w:val="000000"/>
          <w:sz w:val="24"/>
          <w:szCs w:val="24"/>
        </w:rPr>
        <w:t>text in regular font</w:t>
      </w:r>
      <w:r w:rsidR="007B3883">
        <w:rPr>
          <w:rFonts w:ascii="Times New Roman" w:eastAsia="Times New Roman" w:hAnsi="Times New Roman" w:cs="Times New Roman"/>
          <w:color w:val="000000"/>
          <w:sz w:val="24"/>
          <w:szCs w:val="24"/>
        </w:rPr>
        <w:t>:</w:t>
      </w:r>
    </w:p>
    <w:p w14:paraId="000000C0" w14:textId="77777777" w:rsidR="002F3C8D" w:rsidRPr="00B131CA" w:rsidRDefault="00BF5CDA" w:rsidP="00F057C2">
      <w:pPr>
        <w:numPr>
          <w:ilvl w:val="0"/>
          <w:numId w:val="3"/>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E456DD">
        <w:rPr>
          <w:rFonts w:ascii="Times New Roman" w:hAnsi="Times New Roman"/>
          <w:b/>
          <w:color w:val="000000"/>
          <w:sz w:val="24"/>
        </w:rPr>
        <w:t>Planning</w:t>
      </w:r>
      <w:r w:rsidRPr="000F461E">
        <w:rPr>
          <w:rFonts w:ascii="Times New Roman" w:hAnsi="Times New Roman"/>
          <w:color w:val="000000"/>
          <w:sz w:val="24"/>
        </w:rPr>
        <w:t>,</w:t>
      </w:r>
      <w:r w:rsidRPr="00B131CA">
        <w:rPr>
          <w:rFonts w:ascii="Times New Roman" w:eastAsia="Times New Roman" w:hAnsi="Times New Roman" w:cs="Times New Roman"/>
          <w:color w:val="000000"/>
          <w:sz w:val="24"/>
          <w:szCs w:val="24"/>
        </w:rPr>
        <w:t xml:space="preserve"> which may include portions of the program manager and regional staff time and effort and benefits as they oversee program planning and implementation. </w:t>
      </w:r>
    </w:p>
    <w:p w14:paraId="000000C1" w14:textId="77777777" w:rsidR="002F3C8D" w:rsidRPr="00B131CA" w:rsidRDefault="00BF5CDA" w:rsidP="00F057C2">
      <w:pPr>
        <w:numPr>
          <w:ilvl w:val="0"/>
          <w:numId w:val="3"/>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E456DD">
        <w:rPr>
          <w:rFonts w:ascii="Times New Roman" w:hAnsi="Times New Roman"/>
          <w:b/>
          <w:color w:val="000000"/>
          <w:sz w:val="24"/>
        </w:rPr>
        <w:t>Administration</w:t>
      </w:r>
      <w:r w:rsidRPr="000F461E">
        <w:rPr>
          <w:rFonts w:ascii="Times New Roman" w:hAnsi="Times New Roman"/>
          <w:color w:val="000000"/>
          <w:sz w:val="24"/>
        </w:rPr>
        <w:t xml:space="preserve">, </w:t>
      </w:r>
      <w:r w:rsidRPr="00E456DD">
        <w:rPr>
          <w:rFonts w:ascii="Times New Roman" w:hAnsi="Times New Roman"/>
          <w:b/>
          <w:color w:val="000000"/>
          <w:sz w:val="24"/>
        </w:rPr>
        <w:t>including carrying out performance accountability requirements</w:t>
      </w:r>
      <w:r w:rsidRPr="000F461E">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which may include portions of the time and effort and benefits of the data specialist responsible for data entry, reporting, and training.</w:t>
      </w:r>
    </w:p>
    <w:p w14:paraId="000000C2" w14:textId="56CA3F43" w:rsidR="002F3C8D" w:rsidRPr="00B131CA" w:rsidRDefault="00BF5CDA" w:rsidP="00F057C2">
      <w:pPr>
        <w:numPr>
          <w:ilvl w:val="0"/>
          <w:numId w:val="3"/>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E456DD">
        <w:rPr>
          <w:rFonts w:ascii="Times New Roman" w:hAnsi="Times New Roman"/>
          <w:b/>
          <w:color w:val="000000"/>
          <w:sz w:val="24"/>
        </w:rPr>
        <w:t>Professional development</w:t>
      </w:r>
      <w:r w:rsidRPr="000F461E">
        <w:rPr>
          <w:rFonts w:ascii="Times New Roman" w:hAnsi="Times New Roman"/>
          <w:color w:val="000000"/>
          <w:sz w:val="24"/>
        </w:rPr>
        <w:t>,</w:t>
      </w:r>
      <w:r w:rsidRPr="00B131CA">
        <w:rPr>
          <w:rFonts w:ascii="Times New Roman" w:eastAsia="Times New Roman" w:hAnsi="Times New Roman" w:cs="Times New Roman"/>
          <w:color w:val="000000"/>
          <w:sz w:val="24"/>
          <w:szCs w:val="24"/>
        </w:rPr>
        <w:t xml:space="preserve"> which includes costs for all staff members (not only those in leadership) to attend professional development events (see an explanation of the distinction between professional development and professional learning communities (PLCs) in section</w:t>
      </w:r>
      <w:r w:rsidR="00813346">
        <w:rPr>
          <w:rFonts w:ascii="Times New Roman" w:eastAsia="Times New Roman" w:hAnsi="Times New Roman" w:cs="Times New Roman"/>
          <w:color w:val="000000"/>
          <w:sz w:val="24"/>
          <w:szCs w:val="24"/>
        </w:rPr>
        <w:t xml:space="preserve"> Program Management and Delivery, </w:t>
      </w:r>
      <w:proofErr w:type="gramStart"/>
      <w:r w:rsidR="00813346">
        <w:rPr>
          <w:rFonts w:ascii="Times New Roman" w:eastAsia="Times New Roman" w:hAnsi="Times New Roman" w:cs="Times New Roman"/>
          <w:color w:val="000000"/>
          <w:sz w:val="24"/>
          <w:szCs w:val="24"/>
        </w:rPr>
        <w:t>subsection</w:t>
      </w:r>
      <w:proofErr w:type="gramEnd"/>
      <w:r w:rsidR="00813346">
        <w:rPr>
          <w:rFonts w:ascii="Times New Roman" w:eastAsia="Times New Roman" w:hAnsi="Times New Roman" w:cs="Times New Roman"/>
          <w:color w:val="000000"/>
          <w:sz w:val="24"/>
          <w:szCs w:val="24"/>
        </w:rPr>
        <w:t>: Being an</w:t>
      </w:r>
      <w:r w:rsidRPr="00B131CA">
        <w:rPr>
          <w:rFonts w:ascii="Times New Roman" w:eastAsia="Times New Roman" w:hAnsi="Times New Roman" w:cs="Times New Roman"/>
          <w:color w:val="000000"/>
          <w:sz w:val="24"/>
          <w:szCs w:val="24"/>
        </w:rPr>
        <w:t xml:space="preserve"> </w:t>
      </w:r>
      <w:r w:rsidR="00813346">
        <w:rPr>
          <w:rFonts w:ascii="Times New Roman" w:eastAsia="Times New Roman" w:hAnsi="Times New Roman" w:cs="Times New Roman"/>
          <w:color w:val="000000"/>
          <w:sz w:val="24"/>
          <w:szCs w:val="24"/>
        </w:rPr>
        <w:t>Instructional Leader</w:t>
      </w:r>
      <w:r w:rsidRPr="00B131CA">
        <w:rPr>
          <w:rFonts w:ascii="Times New Roman" w:eastAsia="Times New Roman" w:hAnsi="Times New Roman" w:cs="Times New Roman"/>
          <w:color w:val="000000"/>
          <w:sz w:val="24"/>
          <w:szCs w:val="24"/>
        </w:rPr>
        <w:t>).</w:t>
      </w:r>
    </w:p>
    <w:p w14:paraId="000000C3" w14:textId="77777777" w:rsidR="002F3C8D" w:rsidRPr="00B131CA" w:rsidRDefault="00BF5CDA" w:rsidP="00F057C2">
      <w:pPr>
        <w:numPr>
          <w:ilvl w:val="0"/>
          <w:numId w:val="3"/>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E456DD">
        <w:rPr>
          <w:rFonts w:ascii="Times New Roman" w:hAnsi="Times New Roman"/>
          <w:b/>
          <w:color w:val="000000"/>
          <w:sz w:val="24"/>
        </w:rPr>
        <w:t>Providing adult education and literacy services in alignment with local workforce plans</w:t>
      </w:r>
      <w:r w:rsidRPr="000F461E">
        <w:rPr>
          <w:rFonts w:ascii="Times New Roman" w:hAnsi="Times New Roman"/>
          <w:color w:val="000000"/>
          <w:sz w:val="24"/>
        </w:rPr>
        <w:t>, including promoting co-enrollment in programs and activities under title I, as appropriate</w:t>
      </w:r>
      <w:r w:rsidRPr="00B131CA">
        <w:rPr>
          <w:rFonts w:ascii="Times New Roman" w:eastAsia="Times New Roman" w:hAnsi="Times New Roman" w:cs="Times New Roman"/>
          <w:color w:val="000000"/>
          <w:sz w:val="24"/>
          <w:szCs w:val="24"/>
        </w:rPr>
        <w:t>, which may include a percentage of a funded position to serve as a Career Works Center liaison or the time the regional program manager engages with duties for the LWDB.</w:t>
      </w:r>
    </w:p>
    <w:p w14:paraId="000000C4" w14:textId="6FFAA9E8" w:rsidR="002F3C8D" w:rsidRPr="00B131CA" w:rsidRDefault="00BF5CDA" w:rsidP="00F057C2">
      <w:pPr>
        <w:numPr>
          <w:ilvl w:val="0"/>
          <w:numId w:val="3"/>
        </w:numPr>
        <w:pBdr>
          <w:top w:val="nil"/>
          <w:left w:val="nil"/>
          <w:bottom w:val="nil"/>
          <w:right w:val="nil"/>
          <w:between w:val="nil"/>
        </w:pBdr>
        <w:spacing w:after="200" w:line="240" w:lineRule="auto"/>
        <w:ind w:left="1440"/>
        <w:rPr>
          <w:rFonts w:ascii="Times New Roman" w:eastAsia="Times New Roman" w:hAnsi="Times New Roman" w:cs="Times New Roman"/>
          <w:color w:val="000000"/>
          <w:sz w:val="24"/>
          <w:szCs w:val="24"/>
        </w:rPr>
      </w:pPr>
      <w:r w:rsidRPr="00E456DD">
        <w:rPr>
          <w:rFonts w:ascii="Times New Roman" w:hAnsi="Times New Roman"/>
          <w:b/>
          <w:color w:val="000000"/>
          <w:sz w:val="24"/>
        </w:rPr>
        <w:t xml:space="preserve">Carrying out the </w:t>
      </w:r>
      <w:r w:rsidRPr="00E456DD">
        <w:rPr>
          <w:rFonts w:ascii="Times New Roman" w:hAnsi="Times New Roman"/>
          <w:b/>
          <w:sz w:val="24"/>
        </w:rPr>
        <w:t>o</w:t>
      </w:r>
      <w:r w:rsidRPr="00E456DD">
        <w:rPr>
          <w:rFonts w:ascii="Times New Roman" w:hAnsi="Times New Roman"/>
          <w:b/>
          <w:color w:val="000000"/>
          <w:sz w:val="24"/>
        </w:rPr>
        <w:t>ne-</w:t>
      </w:r>
      <w:r w:rsidRPr="00E456DD">
        <w:rPr>
          <w:rFonts w:ascii="Times New Roman" w:hAnsi="Times New Roman"/>
          <w:b/>
          <w:sz w:val="24"/>
        </w:rPr>
        <w:t>s</w:t>
      </w:r>
      <w:r w:rsidRPr="00E456DD">
        <w:rPr>
          <w:rFonts w:ascii="Times New Roman" w:hAnsi="Times New Roman"/>
          <w:b/>
          <w:color w:val="000000"/>
          <w:sz w:val="24"/>
        </w:rPr>
        <w:t xml:space="preserve">top partner responsibilities described in WIOA Sec. 678.420, including contributing to the infrastructure and shared costs of the </w:t>
      </w:r>
      <w:r w:rsidRPr="00E456DD">
        <w:rPr>
          <w:rFonts w:ascii="Times New Roman" w:hAnsi="Times New Roman"/>
          <w:b/>
          <w:sz w:val="24"/>
        </w:rPr>
        <w:t>o</w:t>
      </w:r>
      <w:r w:rsidRPr="00E456DD">
        <w:rPr>
          <w:rFonts w:ascii="Times New Roman" w:hAnsi="Times New Roman"/>
          <w:b/>
          <w:color w:val="000000"/>
          <w:sz w:val="24"/>
        </w:rPr>
        <w:t>ne-</w:t>
      </w:r>
      <w:r w:rsidRPr="00E456DD">
        <w:rPr>
          <w:rFonts w:ascii="Times New Roman" w:hAnsi="Times New Roman"/>
          <w:b/>
          <w:sz w:val="24"/>
        </w:rPr>
        <w:t>s</w:t>
      </w:r>
      <w:r w:rsidRPr="00E456DD">
        <w:rPr>
          <w:rFonts w:ascii="Times New Roman" w:hAnsi="Times New Roman"/>
          <w:b/>
          <w:color w:val="000000"/>
          <w:sz w:val="24"/>
        </w:rPr>
        <w:t>top delivery system</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sz w:val="24"/>
          <w:szCs w:val="24"/>
        </w:rPr>
        <w:t>T</w:t>
      </w:r>
      <w:r w:rsidRPr="00B131CA">
        <w:rPr>
          <w:rFonts w:ascii="Times New Roman" w:eastAsia="Times New Roman" w:hAnsi="Times New Roman" w:cs="Times New Roman"/>
          <w:color w:val="000000"/>
          <w:sz w:val="24"/>
          <w:szCs w:val="24"/>
        </w:rPr>
        <w:t xml:space="preserve">his cost is usually included as a single </w:t>
      </w:r>
      <w:proofErr w:type="gramStart"/>
      <w:r w:rsidRPr="00B131CA">
        <w:rPr>
          <w:rFonts w:ascii="Times New Roman" w:eastAsia="Times New Roman" w:hAnsi="Times New Roman" w:cs="Times New Roman"/>
          <w:color w:val="000000"/>
          <w:sz w:val="24"/>
          <w:szCs w:val="24"/>
        </w:rPr>
        <w:t>line item</w:t>
      </w:r>
      <w:proofErr w:type="gramEnd"/>
      <w:r w:rsidRPr="00B131CA">
        <w:rPr>
          <w:rFonts w:ascii="Times New Roman" w:eastAsia="Times New Roman" w:hAnsi="Times New Roman" w:cs="Times New Roman"/>
          <w:color w:val="000000"/>
          <w:sz w:val="24"/>
          <w:szCs w:val="24"/>
        </w:rPr>
        <w:t xml:space="preserve"> contribution as negotiated in the MOU with the LWDB (see these duties explained more fully in the Partnership section </w:t>
      </w:r>
      <w:r w:rsidR="00EB771B">
        <w:rPr>
          <w:rFonts w:ascii="Times New Roman" w:eastAsia="Times New Roman" w:hAnsi="Times New Roman" w:cs="Times New Roman"/>
          <w:color w:val="000000"/>
          <w:sz w:val="24"/>
          <w:szCs w:val="24"/>
        </w:rPr>
        <w:t>Alignment with WIOA Partners</w:t>
      </w:r>
      <w:r w:rsidRPr="00B131CA">
        <w:rPr>
          <w:rFonts w:ascii="Times New Roman" w:eastAsia="Times New Roman" w:hAnsi="Times New Roman" w:cs="Times New Roman"/>
          <w:color w:val="000000"/>
          <w:sz w:val="24"/>
          <w:szCs w:val="24"/>
        </w:rPr>
        <w:t>).</w:t>
      </w:r>
      <w:r w:rsidR="00556E47">
        <w:rPr>
          <w:rFonts w:ascii="Times New Roman" w:eastAsia="Times New Roman" w:hAnsi="Times New Roman" w:cs="Times New Roman"/>
          <w:color w:val="000000"/>
          <w:sz w:val="24"/>
          <w:szCs w:val="24"/>
        </w:rPr>
        <w:t xml:space="preserve"> (Costs that are associated with offering instructional services in the one-stop, such as classroom rent, would not be included in the </w:t>
      </w:r>
      <w:proofErr w:type="gramStart"/>
      <w:r w:rsidR="00556E47">
        <w:rPr>
          <w:rFonts w:ascii="Times New Roman" w:eastAsia="Times New Roman" w:hAnsi="Times New Roman" w:cs="Times New Roman"/>
          <w:color w:val="000000"/>
          <w:sz w:val="24"/>
          <w:szCs w:val="24"/>
        </w:rPr>
        <w:t>Administrative</w:t>
      </w:r>
      <w:proofErr w:type="gramEnd"/>
      <w:r w:rsidR="00556E47">
        <w:rPr>
          <w:rFonts w:ascii="Times New Roman" w:eastAsia="Times New Roman" w:hAnsi="Times New Roman" w:cs="Times New Roman"/>
          <w:color w:val="000000"/>
          <w:sz w:val="24"/>
          <w:szCs w:val="24"/>
        </w:rPr>
        <w:t xml:space="preserve"> portion of the AEFLA budget.)</w:t>
      </w:r>
    </w:p>
    <w:p w14:paraId="000000C5" w14:textId="2AEE06B5" w:rsidR="002F3C8D" w:rsidRPr="00B131CA" w:rsidRDefault="00BF5CDA" w:rsidP="00F01963">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It is not necessary to determine percentages of time and effort (i.e., salary) to each requirement. However, it is worth considering leadership team members’ actual percentage of time and effort that is properly charged to administrative funds versus instructional funds (see below). In many programs, staff members play m</w:t>
      </w:r>
      <w:r w:rsidR="002F4F3D">
        <w:rPr>
          <w:rFonts w:ascii="Times New Roman" w:eastAsia="Times New Roman" w:hAnsi="Times New Roman" w:cs="Times New Roman"/>
          <w:color w:val="000000"/>
          <w:sz w:val="24"/>
          <w:szCs w:val="24"/>
        </w:rPr>
        <w:t>ultiple</w:t>
      </w:r>
      <w:r w:rsidRPr="00B131CA">
        <w:rPr>
          <w:rFonts w:ascii="Times New Roman" w:eastAsia="Times New Roman" w:hAnsi="Times New Roman" w:cs="Times New Roman"/>
          <w:color w:val="000000"/>
          <w:sz w:val="24"/>
          <w:szCs w:val="24"/>
        </w:rPr>
        <w:t xml:space="preserve"> roles and serve a variety of functions. </w:t>
      </w:r>
      <w:r w:rsidRPr="00B131CA">
        <w:rPr>
          <w:rFonts w:ascii="Times New Roman" w:eastAsia="Times New Roman" w:hAnsi="Times New Roman" w:cs="Times New Roman"/>
          <w:sz w:val="24"/>
          <w:szCs w:val="24"/>
        </w:rPr>
        <w:t>A</w:t>
      </w:r>
      <w:r w:rsidRPr="00B131CA">
        <w:rPr>
          <w:rFonts w:ascii="Times New Roman" w:eastAsia="Times New Roman" w:hAnsi="Times New Roman" w:cs="Times New Roman"/>
          <w:color w:val="000000"/>
          <w:sz w:val="24"/>
          <w:szCs w:val="24"/>
        </w:rPr>
        <w:t>dministrative funds are very limited</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sz w:val="24"/>
          <w:szCs w:val="24"/>
        </w:rPr>
        <w:t>charge</w:t>
      </w:r>
      <w:r w:rsidR="00F67665">
        <w:rPr>
          <w:rFonts w:ascii="Times New Roman" w:eastAsia="Times New Roman" w:hAnsi="Times New Roman" w:cs="Times New Roman"/>
          <w:sz w:val="24"/>
          <w:szCs w:val="24"/>
        </w:rPr>
        <w:t xml:space="preserve"> </w:t>
      </w:r>
      <w:r w:rsidR="00F67665" w:rsidRPr="00B131CA">
        <w:rPr>
          <w:rFonts w:ascii="Times New Roman" w:eastAsia="Times New Roman" w:hAnsi="Times New Roman" w:cs="Times New Roman"/>
          <w:sz w:val="24"/>
          <w:szCs w:val="24"/>
        </w:rPr>
        <w:t>only</w:t>
      </w:r>
      <w:r w:rsidR="00F67665">
        <w:rPr>
          <w:rFonts w:ascii="Times New Roman" w:eastAsia="Times New Roman" w:hAnsi="Times New Roman" w:cs="Times New Roman"/>
          <w:sz w:val="24"/>
          <w:szCs w:val="24"/>
        </w:rPr>
        <w:t xml:space="preserve"> the</w:t>
      </w:r>
      <w:r w:rsidRPr="00B131CA">
        <w:rPr>
          <w:rFonts w:ascii="Times New Roman" w:eastAsia="Times New Roman" w:hAnsi="Times New Roman" w:cs="Times New Roman"/>
          <w:sz w:val="24"/>
          <w:szCs w:val="24"/>
        </w:rPr>
        <w:t xml:space="preserve"> costs that are required.</w:t>
      </w:r>
    </w:p>
    <w:p w14:paraId="000000C6" w14:textId="45C188A9" w:rsidR="002F3C8D" w:rsidRPr="00B131CA" w:rsidRDefault="00BF5CDA" w:rsidP="00F01963">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If the five</w:t>
      </w:r>
      <w:r w:rsidR="00361560">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percent cap on administrative funds is insufficient to cover the required elements, applicants may request</w:t>
      </w:r>
      <w:r w:rsidR="00361560">
        <w:rPr>
          <w:rFonts w:ascii="Times New Roman" w:eastAsia="Times New Roman" w:hAnsi="Times New Roman" w:cs="Times New Roman"/>
          <w:color w:val="000000"/>
          <w:sz w:val="24"/>
          <w:szCs w:val="24"/>
        </w:rPr>
        <w:t xml:space="preserve"> to negotiate</w:t>
      </w:r>
      <w:r w:rsidRPr="00B131CA">
        <w:rPr>
          <w:rFonts w:ascii="Times New Roman" w:eastAsia="Times New Roman" w:hAnsi="Times New Roman" w:cs="Times New Roman"/>
          <w:color w:val="000000"/>
          <w:sz w:val="24"/>
          <w:szCs w:val="24"/>
        </w:rPr>
        <w:t xml:space="preserve"> a waiver on the cap. This request should be submitted on </w:t>
      </w:r>
      <w:r w:rsidRPr="00B131CA">
        <w:rPr>
          <w:rFonts w:ascii="Times New Roman" w:eastAsia="Times New Roman" w:hAnsi="Times New Roman" w:cs="Times New Roman"/>
          <w:color w:val="000000"/>
          <w:sz w:val="24"/>
          <w:szCs w:val="24"/>
        </w:rPr>
        <w:lastRenderedPageBreak/>
        <w:t xml:space="preserve">fiscal agent letterhead, provide a justification for the percentage </w:t>
      </w:r>
      <w:r w:rsidR="008F3D00">
        <w:rPr>
          <w:rFonts w:ascii="Times New Roman" w:eastAsia="Times New Roman" w:hAnsi="Times New Roman" w:cs="Times New Roman"/>
          <w:color w:val="000000"/>
          <w:sz w:val="24"/>
          <w:szCs w:val="24"/>
        </w:rPr>
        <w:t xml:space="preserve">and total dollar figure </w:t>
      </w:r>
      <w:r w:rsidRPr="00B131CA">
        <w:rPr>
          <w:rFonts w:ascii="Times New Roman" w:eastAsia="Times New Roman" w:hAnsi="Times New Roman" w:cs="Times New Roman"/>
          <w:color w:val="000000"/>
          <w:sz w:val="24"/>
          <w:szCs w:val="24"/>
        </w:rPr>
        <w:t>requested, and submitted with the grant application.</w:t>
      </w:r>
    </w:p>
    <w:p w14:paraId="0C61E94A" w14:textId="116E18B5" w:rsidR="00C16D78" w:rsidRPr="0069138B" w:rsidRDefault="00BF5CDA" w:rsidP="00C16D7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01963">
        <w:rPr>
          <w:rFonts w:ascii="Times New Roman" w:hAnsi="Times New Roman"/>
          <w:color w:val="000000"/>
          <w:sz w:val="24"/>
        </w:rPr>
        <w:t>Instructional</w:t>
      </w:r>
      <w:r w:rsidR="00F80744">
        <w:rPr>
          <w:rFonts w:ascii="Times New Roman" w:hAnsi="Times New Roman"/>
          <w:color w:val="000000"/>
          <w:sz w:val="24"/>
        </w:rPr>
        <w:t xml:space="preserve"> Costs</w:t>
      </w:r>
    </w:p>
    <w:p w14:paraId="000000C7" w14:textId="2CA499A8" w:rsidR="002F3C8D" w:rsidRPr="00B131CA" w:rsidRDefault="00BF5CDA" w:rsidP="00F01963">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F01963">
        <w:rPr>
          <w:rFonts w:ascii="Times New Roman" w:hAnsi="Times New Roman"/>
          <w:i/>
          <w:color w:val="000000"/>
          <w:sz w:val="24"/>
        </w:rPr>
        <w:t>Instructional funds</w:t>
      </w:r>
      <w:r w:rsidRPr="00B131CA">
        <w:rPr>
          <w:rFonts w:ascii="Times New Roman" w:eastAsia="Times New Roman" w:hAnsi="Times New Roman" w:cs="Times New Roman"/>
          <w:color w:val="000000"/>
          <w:sz w:val="24"/>
          <w:szCs w:val="24"/>
        </w:rPr>
        <w:t xml:space="preserve"> </w:t>
      </w:r>
      <w:proofErr w:type="gramStart"/>
      <w:r w:rsidRPr="00B131CA">
        <w:rPr>
          <w:rFonts w:ascii="Times New Roman" w:eastAsia="Times New Roman" w:hAnsi="Times New Roman" w:cs="Times New Roman"/>
          <w:color w:val="000000"/>
          <w:sz w:val="24"/>
          <w:szCs w:val="24"/>
        </w:rPr>
        <w:t>is</w:t>
      </w:r>
      <w:proofErr w:type="gramEnd"/>
      <w:r w:rsidRPr="00B131CA">
        <w:rPr>
          <w:rFonts w:ascii="Times New Roman" w:eastAsia="Times New Roman" w:hAnsi="Times New Roman" w:cs="Times New Roman"/>
          <w:color w:val="000000"/>
          <w:sz w:val="24"/>
          <w:szCs w:val="24"/>
        </w:rPr>
        <w:t xml:space="preserve"> the term for the remaining funds of </w:t>
      </w:r>
      <w:r w:rsidR="00E456DD">
        <w:rPr>
          <w:rFonts w:ascii="Times New Roman" w:eastAsia="Times New Roman" w:hAnsi="Times New Roman" w:cs="Times New Roman"/>
          <w:color w:val="000000"/>
          <w:sz w:val="24"/>
          <w:szCs w:val="24"/>
        </w:rPr>
        <w:t>an AEFLA</w:t>
      </w:r>
      <w:r w:rsidRPr="00B131CA">
        <w:rPr>
          <w:rFonts w:ascii="Times New Roman" w:eastAsia="Times New Roman" w:hAnsi="Times New Roman" w:cs="Times New Roman"/>
          <w:color w:val="000000"/>
          <w:sz w:val="24"/>
          <w:szCs w:val="24"/>
        </w:rPr>
        <w:t xml:space="preserve"> award. In Virginia, a requirement is established that a minimum of 50 percent of the federal allocation in each funding stream be budgeted for instructional delivery costs</w:t>
      </w:r>
      <w:r w:rsidR="00F67665">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that is, time and effort plus benefits. Allowable charges to instructional fund</w:t>
      </w:r>
      <w:r w:rsidR="00715E5F">
        <w:rPr>
          <w:rFonts w:ascii="Times New Roman" w:eastAsia="Times New Roman" w:hAnsi="Times New Roman" w:cs="Times New Roman"/>
          <w:color w:val="000000"/>
          <w:sz w:val="24"/>
          <w:szCs w:val="24"/>
        </w:rPr>
        <w:t>s</w:t>
      </w:r>
      <w:r w:rsidRPr="00B131CA">
        <w:rPr>
          <w:rFonts w:ascii="Times New Roman" w:eastAsia="Times New Roman" w:hAnsi="Times New Roman" w:cs="Times New Roman"/>
          <w:color w:val="000000"/>
          <w:sz w:val="24"/>
          <w:szCs w:val="24"/>
        </w:rPr>
        <w:t xml:space="preserve"> include: </w:t>
      </w:r>
    </w:p>
    <w:p w14:paraId="000000C8" w14:textId="4969A133" w:rsidR="002F3C8D" w:rsidRPr="00B131CA" w:rsidRDefault="00AA14F3" w:rsidP="00F057C2">
      <w:pPr>
        <w:numPr>
          <w:ilvl w:val="0"/>
          <w:numId w:val="5"/>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sz w:val="24"/>
          <w:szCs w:val="24"/>
        </w:rPr>
        <w:t>i</w:t>
      </w:r>
      <w:r w:rsidR="00BF5CDA" w:rsidRPr="00B131CA">
        <w:rPr>
          <w:rFonts w:ascii="Times New Roman" w:eastAsia="Times New Roman" w:hAnsi="Times New Roman" w:cs="Times New Roman"/>
          <w:sz w:val="24"/>
          <w:szCs w:val="24"/>
        </w:rPr>
        <w:t xml:space="preserve">nstructional time, </w:t>
      </w:r>
      <w:r w:rsidR="00BF5CDA" w:rsidRPr="00B131CA">
        <w:rPr>
          <w:rFonts w:ascii="Times New Roman" w:eastAsia="Times New Roman" w:hAnsi="Times New Roman" w:cs="Times New Roman"/>
          <w:color w:val="000000"/>
          <w:sz w:val="24"/>
          <w:szCs w:val="24"/>
        </w:rPr>
        <w:t>planning time</w:t>
      </w:r>
      <w:r w:rsidR="00BF5CDA" w:rsidRPr="00B131CA">
        <w:rPr>
          <w:rFonts w:ascii="Times New Roman" w:eastAsia="Times New Roman" w:hAnsi="Times New Roman" w:cs="Times New Roman"/>
          <w:sz w:val="24"/>
          <w:szCs w:val="24"/>
        </w:rPr>
        <w:t xml:space="preserve">, </w:t>
      </w:r>
      <w:r w:rsidR="00BF5CDA" w:rsidRPr="00B131CA">
        <w:rPr>
          <w:rFonts w:ascii="Times New Roman" w:eastAsia="Times New Roman" w:hAnsi="Times New Roman" w:cs="Times New Roman"/>
          <w:color w:val="000000"/>
          <w:sz w:val="24"/>
          <w:szCs w:val="24"/>
        </w:rPr>
        <w:t xml:space="preserve">and employee benefits, including </w:t>
      </w:r>
      <w:r w:rsidR="00BF5CDA" w:rsidRPr="00B131CA">
        <w:rPr>
          <w:rFonts w:ascii="Times New Roman" w:eastAsia="Times New Roman" w:hAnsi="Times New Roman" w:cs="Times New Roman"/>
          <w:sz w:val="24"/>
          <w:szCs w:val="24"/>
        </w:rPr>
        <w:t xml:space="preserve">the </w:t>
      </w:r>
      <w:r w:rsidR="00BF5CDA" w:rsidRPr="00B131CA">
        <w:rPr>
          <w:rFonts w:ascii="Times New Roman" w:eastAsia="Times New Roman" w:hAnsi="Times New Roman" w:cs="Times New Roman"/>
          <w:color w:val="000000"/>
          <w:sz w:val="24"/>
          <w:szCs w:val="24"/>
        </w:rPr>
        <w:t>participation in PLCs</w:t>
      </w:r>
      <w:r w:rsidR="00B361AC">
        <w:rPr>
          <w:rFonts w:ascii="Times New Roman" w:eastAsia="Times New Roman" w:hAnsi="Times New Roman" w:cs="Times New Roman"/>
          <w:color w:val="000000"/>
          <w:sz w:val="24"/>
          <w:szCs w:val="24"/>
        </w:rPr>
        <w:t xml:space="preserve"> and assessment certification </w:t>
      </w:r>
      <w:proofErr w:type="gramStart"/>
      <w:r w:rsidR="00B361AC">
        <w:rPr>
          <w:rFonts w:ascii="Times New Roman" w:eastAsia="Times New Roman" w:hAnsi="Times New Roman" w:cs="Times New Roman"/>
          <w:color w:val="000000"/>
          <w:sz w:val="24"/>
          <w:szCs w:val="24"/>
        </w:rPr>
        <w:t>training</w:t>
      </w:r>
      <w:r w:rsidR="007B3883">
        <w:rPr>
          <w:rFonts w:ascii="Times New Roman" w:eastAsia="Times New Roman" w:hAnsi="Times New Roman" w:cs="Times New Roman"/>
          <w:color w:val="000000"/>
          <w:sz w:val="24"/>
          <w:szCs w:val="24"/>
        </w:rPr>
        <w:t>;</w:t>
      </w:r>
      <w:proofErr w:type="gramEnd"/>
      <w:r w:rsidR="00BF5CDA" w:rsidRPr="00B131CA">
        <w:rPr>
          <w:rFonts w:ascii="Times New Roman" w:eastAsia="Times New Roman" w:hAnsi="Times New Roman" w:cs="Times New Roman"/>
          <w:color w:val="000000"/>
          <w:sz w:val="24"/>
          <w:szCs w:val="24"/>
        </w:rPr>
        <w:t> </w:t>
      </w:r>
    </w:p>
    <w:p w14:paraId="000000C9" w14:textId="40E6D9CE" w:rsidR="002F3C8D" w:rsidRPr="00B131CA" w:rsidRDefault="00AA14F3" w:rsidP="00F057C2">
      <w:pPr>
        <w:numPr>
          <w:ilvl w:val="0"/>
          <w:numId w:val="5"/>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i</w:t>
      </w:r>
      <w:r w:rsidR="00BF5CDA" w:rsidRPr="00B131CA">
        <w:rPr>
          <w:rFonts w:ascii="Times New Roman" w:eastAsia="Times New Roman" w:hAnsi="Times New Roman" w:cs="Times New Roman"/>
          <w:color w:val="000000"/>
          <w:sz w:val="24"/>
          <w:szCs w:val="24"/>
        </w:rPr>
        <w:t>nstructional materials and supplies, including GED</w:t>
      </w:r>
      <w:r w:rsidR="00BF5CDA" w:rsidRPr="00B131CA">
        <w:rPr>
          <w:rFonts w:ascii="Times New Roman" w:eastAsia="Times New Roman" w:hAnsi="Times New Roman" w:cs="Times New Roman"/>
          <w:color w:val="000000"/>
          <w:sz w:val="24"/>
          <w:szCs w:val="24"/>
          <w:vertAlign w:val="superscript"/>
        </w:rPr>
        <w:t>®</w:t>
      </w:r>
      <w:r w:rsidR="00BF5CDA" w:rsidRPr="00B131CA">
        <w:rPr>
          <w:rFonts w:ascii="Times New Roman" w:eastAsia="Times New Roman" w:hAnsi="Times New Roman" w:cs="Times New Roman"/>
          <w:color w:val="000000"/>
          <w:sz w:val="24"/>
          <w:szCs w:val="24"/>
        </w:rPr>
        <w:t xml:space="preserve"> Ready practic</w:t>
      </w:r>
      <w:r w:rsidR="002279BC">
        <w:rPr>
          <w:rFonts w:ascii="Times New Roman" w:eastAsia="Times New Roman" w:hAnsi="Times New Roman" w:cs="Times New Roman"/>
          <w:color w:val="000000"/>
          <w:sz w:val="24"/>
          <w:szCs w:val="24"/>
        </w:rPr>
        <w:t>e</w:t>
      </w:r>
      <w:r w:rsidR="00BF5CDA" w:rsidRPr="00B131CA">
        <w:rPr>
          <w:rFonts w:ascii="Times New Roman" w:eastAsia="Times New Roman" w:hAnsi="Times New Roman" w:cs="Times New Roman"/>
          <w:color w:val="000000"/>
          <w:sz w:val="24"/>
          <w:szCs w:val="24"/>
        </w:rPr>
        <w:t xml:space="preserve"> test </w:t>
      </w:r>
      <w:proofErr w:type="gramStart"/>
      <w:r w:rsidR="00BF5CDA" w:rsidRPr="00B131CA">
        <w:rPr>
          <w:rFonts w:ascii="Times New Roman" w:eastAsia="Times New Roman" w:hAnsi="Times New Roman" w:cs="Times New Roman"/>
          <w:color w:val="000000"/>
          <w:sz w:val="24"/>
          <w:szCs w:val="24"/>
        </w:rPr>
        <w:t>vouchers</w:t>
      </w:r>
      <w:r w:rsidR="007B3883">
        <w:rPr>
          <w:rFonts w:ascii="Times New Roman" w:eastAsia="Times New Roman" w:hAnsi="Times New Roman" w:cs="Times New Roman"/>
          <w:color w:val="000000"/>
          <w:sz w:val="24"/>
          <w:szCs w:val="24"/>
        </w:rPr>
        <w:t>;</w:t>
      </w:r>
      <w:proofErr w:type="gramEnd"/>
      <w:r w:rsidR="00BF5CDA" w:rsidRPr="00B131CA">
        <w:rPr>
          <w:rFonts w:ascii="Times New Roman" w:eastAsia="Times New Roman" w:hAnsi="Times New Roman" w:cs="Times New Roman"/>
          <w:color w:val="000000"/>
          <w:sz w:val="24"/>
          <w:szCs w:val="24"/>
        </w:rPr>
        <w:t> </w:t>
      </w:r>
    </w:p>
    <w:p w14:paraId="73879D3D" w14:textId="77777777" w:rsidR="00045A81" w:rsidRDefault="00AA14F3" w:rsidP="00F057C2">
      <w:pPr>
        <w:numPr>
          <w:ilvl w:val="0"/>
          <w:numId w:val="5"/>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o</w:t>
      </w:r>
      <w:r w:rsidR="00BF5CDA" w:rsidRPr="00B131CA">
        <w:rPr>
          <w:rFonts w:ascii="Times New Roman" w:eastAsia="Times New Roman" w:hAnsi="Times New Roman" w:cs="Times New Roman"/>
          <w:color w:val="000000"/>
          <w:sz w:val="24"/>
          <w:szCs w:val="24"/>
        </w:rPr>
        <w:t xml:space="preserve">utreach and recruitment activities and </w:t>
      </w:r>
      <w:proofErr w:type="gramStart"/>
      <w:r w:rsidR="00BF5CDA" w:rsidRPr="00B131CA">
        <w:rPr>
          <w:rFonts w:ascii="Times New Roman" w:eastAsia="Times New Roman" w:hAnsi="Times New Roman" w:cs="Times New Roman"/>
          <w:color w:val="000000"/>
          <w:sz w:val="24"/>
          <w:szCs w:val="24"/>
        </w:rPr>
        <w:t>purchases</w:t>
      </w:r>
      <w:r w:rsidR="007B3883">
        <w:rPr>
          <w:rFonts w:ascii="Times New Roman" w:eastAsia="Times New Roman" w:hAnsi="Times New Roman" w:cs="Times New Roman"/>
          <w:color w:val="000000"/>
          <w:sz w:val="24"/>
          <w:szCs w:val="24"/>
        </w:rPr>
        <w:t>;</w:t>
      </w:r>
      <w:proofErr w:type="gramEnd"/>
      <w:r w:rsidR="00BF5CDA" w:rsidRPr="00B131CA">
        <w:rPr>
          <w:rFonts w:ascii="Times New Roman" w:eastAsia="Times New Roman" w:hAnsi="Times New Roman" w:cs="Times New Roman"/>
          <w:color w:val="000000"/>
          <w:sz w:val="24"/>
          <w:szCs w:val="24"/>
        </w:rPr>
        <w:t> </w:t>
      </w:r>
    </w:p>
    <w:p w14:paraId="000000CA" w14:textId="2A3EE92A" w:rsidR="002F3C8D" w:rsidRPr="00045A81" w:rsidRDefault="00045A81" w:rsidP="00F057C2">
      <w:pPr>
        <w:numPr>
          <w:ilvl w:val="0"/>
          <w:numId w:val="5"/>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employee time and benefits associated with direct </w:t>
      </w:r>
      <w:r w:rsidR="00BD5843">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z w:val="24"/>
          <w:szCs w:val="24"/>
        </w:rPr>
        <w:t xml:space="preserve"> services, such as for a career coach or </w:t>
      </w:r>
      <w:proofErr w:type="gramStart"/>
      <w:r>
        <w:rPr>
          <w:rFonts w:ascii="Times New Roman" w:eastAsia="Times New Roman" w:hAnsi="Times New Roman" w:cs="Times New Roman"/>
          <w:color w:val="000000"/>
          <w:sz w:val="24"/>
          <w:szCs w:val="24"/>
        </w:rPr>
        <w:t>navigator;</w:t>
      </w:r>
      <w:proofErr w:type="gramEnd"/>
    </w:p>
    <w:p w14:paraId="000000CB" w14:textId="2D33DF9A" w:rsidR="002F3C8D" w:rsidRPr="00B131CA" w:rsidRDefault="00AA14F3" w:rsidP="00F057C2">
      <w:pPr>
        <w:numPr>
          <w:ilvl w:val="0"/>
          <w:numId w:val="5"/>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w:t>
      </w:r>
      <w:r w:rsidR="00BF5CDA" w:rsidRPr="00B131CA">
        <w:rPr>
          <w:rFonts w:ascii="Times New Roman" w:eastAsia="Times New Roman" w:hAnsi="Times New Roman" w:cs="Times New Roman"/>
          <w:color w:val="000000"/>
          <w:sz w:val="24"/>
          <w:szCs w:val="24"/>
        </w:rPr>
        <w:t>ssessment supplies (except HSE testing vouchers, see section</w:t>
      </w:r>
      <w:r w:rsidR="009A7690">
        <w:rPr>
          <w:rFonts w:ascii="Times New Roman" w:eastAsia="Times New Roman" w:hAnsi="Times New Roman" w:cs="Times New Roman"/>
          <w:color w:val="000000"/>
          <w:sz w:val="24"/>
          <w:szCs w:val="24"/>
        </w:rPr>
        <w:t xml:space="preserve"> Program Management and Delivery, subsection: Planning Allowable Activities by Funding Streams</w:t>
      </w:r>
      <w:proofErr w:type="gramStart"/>
      <w:r w:rsidR="00BF5CDA" w:rsidRPr="00B131CA">
        <w:rPr>
          <w:rFonts w:ascii="Times New Roman" w:eastAsia="Times New Roman" w:hAnsi="Times New Roman" w:cs="Times New Roman"/>
          <w:color w:val="000000"/>
          <w:sz w:val="24"/>
          <w:szCs w:val="24"/>
        </w:rPr>
        <w:t>)</w:t>
      </w:r>
      <w:r w:rsidR="007B3883">
        <w:rPr>
          <w:rFonts w:ascii="Times New Roman" w:eastAsia="Times New Roman" w:hAnsi="Times New Roman" w:cs="Times New Roman"/>
          <w:color w:val="000000"/>
          <w:sz w:val="24"/>
          <w:szCs w:val="24"/>
        </w:rPr>
        <w:t>;</w:t>
      </w:r>
      <w:proofErr w:type="gramEnd"/>
      <w:r w:rsidR="00BF5CDA" w:rsidRPr="00B131CA">
        <w:rPr>
          <w:rFonts w:ascii="Times New Roman" w:eastAsia="Times New Roman" w:hAnsi="Times New Roman" w:cs="Times New Roman"/>
          <w:color w:val="000000"/>
          <w:sz w:val="24"/>
          <w:szCs w:val="24"/>
        </w:rPr>
        <w:t> </w:t>
      </w:r>
    </w:p>
    <w:p w14:paraId="000000CC" w14:textId="5E2CF02F" w:rsidR="002F3C8D" w:rsidRPr="00B131CA" w:rsidRDefault="00AA14F3" w:rsidP="00F057C2">
      <w:pPr>
        <w:numPr>
          <w:ilvl w:val="0"/>
          <w:numId w:val="5"/>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w:t>
      </w:r>
      <w:r w:rsidR="00BF5CDA" w:rsidRPr="00B131CA">
        <w:rPr>
          <w:rFonts w:ascii="Times New Roman" w:eastAsia="Times New Roman" w:hAnsi="Times New Roman" w:cs="Times New Roman"/>
          <w:color w:val="000000"/>
          <w:sz w:val="24"/>
          <w:szCs w:val="24"/>
        </w:rPr>
        <w:t xml:space="preserve">quipment, rent of classroom spaces, and utilities (including </w:t>
      </w:r>
      <w:r w:rsidR="008F3D00">
        <w:rPr>
          <w:rFonts w:ascii="Times New Roman" w:eastAsia="Times New Roman" w:hAnsi="Times New Roman" w:cs="Times New Roman"/>
          <w:color w:val="000000"/>
          <w:sz w:val="24"/>
          <w:szCs w:val="24"/>
        </w:rPr>
        <w:t xml:space="preserve">related </w:t>
      </w:r>
      <w:r w:rsidR="00BF5CDA" w:rsidRPr="00B131CA">
        <w:rPr>
          <w:rFonts w:ascii="Times New Roman" w:eastAsia="Times New Roman" w:hAnsi="Times New Roman" w:cs="Times New Roman"/>
          <w:color w:val="000000"/>
          <w:sz w:val="24"/>
          <w:szCs w:val="24"/>
        </w:rPr>
        <w:t>Internet and cell service)</w:t>
      </w:r>
      <w:r w:rsidR="007B3883">
        <w:rPr>
          <w:rFonts w:ascii="Times New Roman" w:eastAsia="Times New Roman" w:hAnsi="Times New Roman" w:cs="Times New Roman"/>
          <w:color w:val="000000"/>
          <w:sz w:val="24"/>
          <w:szCs w:val="24"/>
        </w:rPr>
        <w:t>;</w:t>
      </w:r>
      <w:r w:rsidR="00276614">
        <w:rPr>
          <w:rFonts w:ascii="Times New Roman" w:eastAsia="Times New Roman" w:hAnsi="Times New Roman" w:cs="Times New Roman"/>
          <w:color w:val="000000"/>
          <w:sz w:val="24"/>
          <w:szCs w:val="24"/>
        </w:rPr>
        <w:t xml:space="preserve"> and</w:t>
      </w:r>
    </w:p>
    <w:p w14:paraId="000000CD" w14:textId="54B77BB3" w:rsidR="002F3C8D" w:rsidRPr="00B131CA" w:rsidRDefault="00AA14F3" w:rsidP="00F057C2">
      <w:pPr>
        <w:numPr>
          <w:ilvl w:val="0"/>
          <w:numId w:val="5"/>
        </w:numPr>
        <w:pBdr>
          <w:top w:val="nil"/>
          <w:left w:val="nil"/>
          <w:bottom w:val="nil"/>
          <w:right w:val="nil"/>
          <w:between w:val="nil"/>
        </w:pBdr>
        <w:spacing w:after="20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w:t>
      </w:r>
      <w:r w:rsidR="00BF5CDA" w:rsidRPr="00B131CA">
        <w:rPr>
          <w:rFonts w:ascii="Times New Roman" w:eastAsia="Times New Roman" w:hAnsi="Times New Roman" w:cs="Times New Roman"/>
          <w:color w:val="000000"/>
          <w:sz w:val="24"/>
          <w:szCs w:val="24"/>
        </w:rPr>
        <w:t xml:space="preserve">ontracted services such as training for IET cohorts and </w:t>
      </w:r>
      <w:r w:rsidR="008F3D00">
        <w:rPr>
          <w:rFonts w:ascii="Times New Roman" w:eastAsia="Times New Roman" w:hAnsi="Times New Roman" w:cs="Times New Roman"/>
          <w:color w:val="000000"/>
          <w:sz w:val="24"/>
          <w:szCs w:val="24"/>
        </w:rPr>
        <w:t xml:space="preserve">tutoring </w:t>
      </w:r>
      <w:r w:rsidR="00BF5CDA" w:rsidRPr="00B131CA">
        <w:rPr>
          <w:rFonts w:ascii="Times New Roman" w:eastAsia="Times New Roman" w:hAnsi="Times New Roman" w:cs="Times New Roman"/>
          <w:color w:val="000000"/>
          <w:sz w:val="24"/>
          <w:szCs w:val="24"/>
        </w:rPr>
        <w:t>services from literacy organizations</w:t>
      </w:r>
      <w:r w:rsidR="00A52057" w:rsidRPr="00B131CA">
        <w:rPr>
          <w:rFonts w:ascii="Times New Roman" w:eastAsia="Times New Roman" w:hAnsi="Times New Roman" w:cs="Times New Roman"/>
          <w:color w:val="000000"/>
          <w:sz w:val="24"/>
          <w:szCs w:val="24"/>
        </w:rPr>
        <w:t>.</w:t>
      </w:r>
      <w:r w:rsidR="00BF5CDA" w:rsidRPr="00B131CA">
        <w:rPr>
          <w:rFonts w:ascii="Times New Roman" w:eastAsia="Times New Roman" w:hAnsi="Times New Roman" w:cs="Times New Roman"/>
          <w:color w:val="000000"/>
          <w:sz w:val="24"/>
          <w:szCs w:val="24"/>
        </w:rPr>
        <w:t> </w:t>
      </w:r>
    </w:p>
    <w:p w14:paraId="000000CE" w14:textId="3A96CBA5" w:rsidR="002F3C8D" w:rsidRPr="00B131CA" w:rsidRDefault="00BF5CDA" w:rsidP="000F461E">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See also </w:t>
      </w:r>
      <w:r w:rsidR="00361560" w:rsidRPr="00543C16">
        <w:rPr>
          <w:rFonts w:ascii="Times New Roman" w:eastAsia="Times New Roman" w:hAnsi="Times New Roman" w:cs="Times New Roman"/>
          <w:color w:val="0000FF"/>
          <w:sz w:val="24"/>
          <w:szCs w:val="24"/>
          <w:u w:val="single"/>
        </w:rPr>
        <w:t xml:space="preserve">Director’s Memo </w:t>
      </w:r>
      <w:hyperlink r:id="rId49" w:history="1">
        <w:r w:rsidR="00361560" w:rsidRPr="00A476A5">
          <w:rPr>
            <w:rStyle w:val="Hyperlink"/>
            <w:rFonts w:ascii="Times New Roman" w:eastAsia="Times New Roman" w:hAnsi="Times New Roman" w:cs="Times New Roman"/>
            <w:sz w:val="24"/>
            <w:szCs w:val="24"/>
          </w:rPr>
          <w:t>#075-24</w:t>
        </w:r>
      </w:hyperlink>
      <w:r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i/>
          <w:sz w:val="24"/>
          <w:szCs w:val="24"/>
          <w:highlight w:val="white"/>
        </w:rPr>
        <w:t>Career</w:t>
      </w:r>
      <w:r w:rsidR="00361560">
        <w:rPr>
          <w:rFonts w:ascii="Times New Roman" w:eastAsia="Times New Roman" w:hAnsi="Times New Roman" w:cs="Times New Roman"/>
          <w:i/>
          <w:sz w:val="24"/>
          <w:szCs w:val="24"/>
          <w:highlight w:val="white"/>
        </w:rPr>
        <w:t>,</w:t>
      </w:r>
      <w:r w:rsidRPr="00B131CA">
        <w:rPr>
          <w:rFonts w:ascii="Times New Roman" w:eastAsia="Times New Roman" w:hAnsi="Times New Roman" w:cs="Times New Roman"/>
          <w:i/>
          <w:sz w:val="24"/>
          <w:szCs w:val="24"/>
          <w:highlight w:val="white"/>
        </w:rPr>
        <w:t xml:space="preserve"> Training</w:t>
      </w:r>
      <w:r w:rsidR="00361560">
        <w:rPr>
          <w:rFonts w:ascii="Times New Roman" w:eastAsia="Times New Roman" w:hAnsi="Times New Roman" w:cs="Times New Roman"/>
          <w:i/>
          <w:sz w:val="24"/>
          <w:szCs w:val="24"/>
          <w:highlight w:val="white"/>
        </w:rPr>
        <w:t>, and Supportive</w:t>
      </w:r>
      <w:r w:rsidRPr="00B131CA">
        <w:rPr>
          <w:rFonts w:ascii="Times New Roman" w:eastAsia="Times New Roman" w:hAnsi="Times New Roman" w:cs="Times New Roman"/>
          <w:i/>
          <w:sz w:val="24"/>
          <w:szCs w:val="24"/>
          <w:highlight w:val="white"/>
        </w:rPr>
        <w:t xml:space="preserve"> Services Reporting Guidance</w:t>
      </w:r>
      <w:r w:rsidRPr="00B131CA">
        <w:rPr>
          <w:rFonts w:ascii="Times New Roman" w:eastAsia="Times New Roman" w:hAnsi="Times New Roman" w:cs="Times New Roman"/>
          <w:color w:val="000000"/>
          <w:sz w:val="24"/>
          <w:szCs w:val="24"/>
        </w:rPr>
        <w:t>, which provides guidance on which instructional costs associated with career and training services should be documented. Estimates of these costs should be indicated in the initial budget workbook and actual costs must be reported annually. For example, a line item for assessments supplies might indicate that 60 percent of the tests to be purchased are estimated to be used for pre-testing, a career service. In this example, the line item in the budget workbook might read, “Assessments (60% CT</w:t>
      </w:r>
      <w:r w:rsidR="001D26B3">
        <w:rPr>
          <w:rFonts w:ascii="Times New Roman" w:eastAsia="Times New Roman" w:hAnsi="Times New Roman" w:cs="Times New Roman"/>
          <w:color w:val="000000"/>
          <w:sz w:val="24"/>
          <w:szCs w:val="24"/>
        </w:rPr>
        <w:t>&amp;</w:t>
      </w:r>
      <w:r w:rsidR="00032687">
        <w:rPr>
          <w:rFonts w:ascii="Times New Roman" w:eastAsia="Times New Roman" w:hAnsi="Times New Roman" w:cs="Times New Roman"/>
          <w:color w:val="000000"/>
          <w:sz w:val="24"/>
          <w:szCs w:val="24"/>
        </w:rPr>
        <w:t>SS</w:t>
      </w:r>
      <w:r w:rsidRPr="00B131CA">
        <w:rPr>
          <w:rFonts w:ascii="Times New Roman" w:eastAsia="Times New Roman" w:hAnsi="Times New Roman" w:cs="Times New Roman"/>
          <w:color w:val="000000"/>
          <w:sz w:val="24"/>
          <w:szCs w:val="24"/>
        </w:rPr>
        <w:t>).” </w:t>
      </w:r>
    </w:p>
    <w:p w14:paraId="000000CF" w14:textId="5714ECF4" w:rsidR="002F3C8D" w:rsidRPr="00B131CA" w:rsidRDefault="00BF5CDA" w:rsidP="000F461E">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Any out-of-state travel, capital improvement to property, or single item over $5,000</w:t>
      </w:r>
      <w:r w:rsidR="00BA44C9">
        <w:rPr>
          <w:rFonts w:ascii="Times New Roman" w:eastAsia="Times New Roman" w:hAnsi="Times New Roman" w:cs="Times New Roman"/>
          <w:color w:val="000000"/>
          <w:sz w:val="24"/>
          <w:szCs w:val="24"/>
        </w:rPr>
        <w:t xml:space="preserve"> (expenditures in Object Code 8000)</w:t>
      </w:r>
      <w:r w:rsidRPr="00B131CA">
        <w:rPr>
          <w:rFonts w:ascii="Times New Roman" w:eastAsia="Times New Roman" w:hAnsi="Times New Roman" w:cs="Times New Roman"/>
          <w:color w:val="000000"/>
          <w:sz w:val="24"/>
          <w:szCs w:val="24"/>
        </w:rPr>
        <w:t xml:space="preserve"> must be submitted to the state office for prior approval before committing the funds. </w:t>
      </w:r>
    </w:p>
    <w:p w14:paraId="000000D0" w14:textId="541AC9CA"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When budgeting state funds, note that state funds are of a single type analogous to instructional funds, no administrative requirements are </w:t>
      </w:r>
      <w:r w:rsidR="00BA44C9" w:rsidRPr="00B131CA">
        <w:rPr>
          <w:rFonts w:ascii="Times New Roman" w:eastAsia="Times New Roman" w:hAnsi="Times New Roman" w:cs="Times New Roman"/>
          <w:color w:val="000000"/>
          <w:sz w:val="24"/>
          <w:szCs w:val="24"/>
        </w:rPr>
        <w:t>identified,</w:t>
      </w:r>
      <w:r w:rsidRPr="00B131CA">
        <w:rPr>
          <w:rFonts w:ascii="Times New Roman" w:eastAsia="Times New Roman" w:hAnsi="Times New Roman" w:cs="Times New Roman"/>
          <w:color w:val="000000"/>
          <w:sz w:val="24"/>
          <w:szCs w:val="24"/>
        </w:rPr>
        <w:t xml:space="preserve"> and no local match is required. </w:t>
      </w:r>
    </w:p>
    <w:p w14:paraId="000000D1" w14:textId="788EF26E"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VDOE strongly encourages </w:t>
      </w:r>
      <w:r w:rsidRPr="00B131CA">
        <w:rPr>
          <w:rFonts w:ascii="Times New Roman" w:eastAsia="Times New Roman" w:hAnsi="Times New Roman" w:cs="Times New Roman"/>
          <w:sz w:val="24"/>
          <w:szCs w:val="24"/>
        </w:rPr>
        <w:t>provider</w:t>
      </w:r>
      <w:r w:rsidRPr="00B131CA">
        <w:rPr>
          <w:rFonts w:ascii="Times New Roman" w:eastAsia="Times New Roman" w:hAnsi="Times New Roman" w:cs="Times New Roman"/>
          <w:color w:val="000000"/>
          <w:sz w:val="24"/>
          <w:szCs w:val="24"/>
        </w:rPr>
        <w:t xml:space="preserve">s to fully expend all federal and state funds awarded within the grant period. </w:t>
      </w:r>
      <w:r w:rsidR="00CD3B25">
        <w:rPr>
          <w:rFonts w:ascii="Times New Roman" w:eastAsia="Times New Roman" w:hAnsi="Times New Roman" w:cs="Times New Roman"/>
          <w:color w:val="000000"/>
          <w:sz w:val="24"/>
          <w:szCs w:val="24"/>
        </w:rPr>
        <w:t xml:space="preserve">State funds must be expended first as they expire each year and cannot be reallocated. </w:t>
      </w:r>
      <w:r w:rsidRPr="00B131CA">
        <w:rPr>
          <w:rFonts w:ascii="Times New Roman" w:eastAsia="Times New Roman" w:hAnsi="Times New Roman" w:cs="Times New Roman"/>
          <w:color w:val="000000"/>
          <w:sz w:val="24"/>
          <w:szCs w:val="24"/>
        </w:rPr>
        <w:t>Ideas from program managers on how to “spend to zero” were generated in a program managers’ meeting in 2019. Ideas included:</w:t>
      </w:r>
    </w:p>
    <w:p w14:paraId="467EC4F2" w14:textId="54381A90" w:rsidR="007B3883" w:rsidRDefault="007B3883" w:rsidP="00F057C2">
      <w:pPr>
        <w:numPr>
          <w:ilvl w:val="0"/>
          <w:numId w:val="7"/>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7B3883">
        <w:rPr>
          <w:rFonts w:ascii="Times New Roman" w:eastAsia="Times New Roman" w:hAnsi="Times New Roman" w:cs="Times New Roman"/>
          <w:color w:val="000000"/>
          <w:sz w:val="24"/>
          <w:szCs w:val="24"/>
        </w:rPr>
        <w:t>k</w:t>
      </w:r>
      <w:r w:rsidR="00BF5CDA" w:rsidRPr="007B3883">
        <w:rPr>
          <w:rFonts w:ascii="Times New Roman" w:eastAsia="Times New Roman" w:hAnsi="Times New Roman" w:cs="Times New Roman"/>
          <w:color w:val="000000"/>
          <w:sz w:val="24"/>
          <w:szCs w:val="24"/>
        </w:rPr>
        <w:t>eep</w:t>
      </w:r>
      <w:r w:rsidRPr="007B3883">
        <w:rPr>
          <w:rFonts w:ascii="Times New Roman" w:eastAsia="Times New Roman" w:hAnsi="Times New Roman" w:cs="Times New Roman"/>
          <w:color w:val="000000"/>
          <w:sz w:val="24"/>
          <w:szCs w:val="24"/>
        </w:rPr>
        <w:t>ing</w:t>
      </w:r>
      <w:r w:rsidR="00BF5CDA" w:rsidRPr="007B3883">
        <w:rPr>
          <w:rFonts w:ascii="Times New Roman" w:eastAsia="Times New Roman" w:hAnsi="Times New Roman" w:cs="Times New Roman"/>
          <w:color w:val="000000"/>
          <w:sz w:val="24"/>
          <w:szCs w:val="24"/>
        </w:rPr>
        <w:t xml:space="preserve"> a wish list of pre-approved requests so that avail</w:t>
      </w:r>
      <w:r>
        <w:rPr>
          <w:rFonts w:ascii="Times New Roman" w:eastAsia="Times New Roman" w:hAnsi="Times New Roman" w:cs="Times New Roman"/>
          <w:color w:val="000000"/>
          <w:sz w:val="24"/>
          <w:szCs w:val="24"/>
        </w:rPr>
        <w:t>able funds can be spent quickly,</w:t>
      </w:r>
    </w:p>
    <w:p w14:paraId="000000D3" w14:textId="252D845B" w:rsidR="002F3C8D" w:rsidRPr="007B3883" w:rsidRDefault="007B3883" w:rsidP="00F057C2">
      <w:pPr>
        <w:numPr>
          <w:ilvl w:val="0"/>
          <w:numId w:val="7"/>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7B3883">
        <w:rPr>
          <w:rFonts w:ascii="Times New Roman" w:eastAsia="Times New Roman" w:hAnsi="Times New Roman" w:cs="Times New Roman"/>
          <w:color w:val="000000"/>
          <w:sz w:val="24"/>
          <w:szCs w:val="24"/>
        </w:rPr>
        <w:lastRenderedPageBreak/>
        <w:t>s</w:t>
      </w:r>
      <w:r w:rsidR="00BF5CDA" w:rsidRPr="007B3883">
        <w:rPr>
          <w:rFonts w:ascii="Times New Roman" w:eastAsia="Times New Roman" w:hAnsi="Times New Roman" w:cs="Times New Roman"/>
          <w:color w:val="000000"/>
          <w:sz w:val="24"/>
          <w:szCs w:val="24"/>
        </w:rPr>
        <w:t>et</w:t>
      </w:r>
      <w:r w:rsidRPr="007B3883">
        <w:rPr>
          <w:rFonts w:ascii="Times New Roman" w:eastAsia="Times New Roman" w:hAnsi="Times New Roman" w:cs="Times New Roman"/>
          <w:color w:val="000000"/>
          <w:sz w:val="24"/>
          <w:szCs w:val="24"/>
        </w:rPr>
        <w:t>ting</w:t>
      </w:r>
      <w:r w:rsidR="00BF5CDA" w:rsidRPr="007B3883">
        <w:rPr>
          <w:rFonts w:ascii="Times New Roman" w:eastAsia="Times New Roman" w:hAnsi="Times New Roman" w:cs="Times New Roman"/>
          <w:color w:val="000000"/>
          <w:sz w:val="24"/>
          <w:szCs w:val="24"/>
        </w:rPr>
        <w:t xml:space="preserve"> an internal-to-the-region deadline for expenditures by localities and revert any unobligated funds to the region for reallocation to other localitie</w:t>
      </w:r>
      <w:r>
        <w:rPr>
          <w:rFonts w:ascii="Times New Roman" w:eastAsia="Times New Roman" w:hAnsi="Times New Roman" w:cs="Times New Roman"/>
          <w:color w:val="000000"/>
          <w:sz w:val="24"/>
          <w:szCs w:val="24"/>
        </w:rPr>
        <w:t>s or regional purchases,</w:t>
      </w:r>
    </w:p>
    <w:p w14:paraId="000000D4" w14:textId="032C4C0E" w:rsidR="002F3C8D" w:rsidRPr="00B131CA" w:rsidRDefault="007B3883" w:rsidP="00F057C2">
      <w:pPr>
        <w:numPr>
          <w:ilvl w:val="0"/>
          <w:numId w:val="7"/>
        </w:numPr>
        <w:pBdr>
          <w:top w:val="nil"/>
          <w:left w:val="nil"/>
          <w:bottom w:val="nil"/>
          <w:right w:val="nil"/>
          <w:between w:val="nil"/>
        </w:pBdr>
        <w:tabs>
          <w:tab w:val="left" w:pos="144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BF5CDA" w:rsidRPr="00B131CA">
        <w:rPr>
          <w:rFonts w:ascii="Times New Roman" w:eastAsia="Times New Roman" w:hAnsi="Times New Roman" w:cs="Times New Roman"/>
          <w:color w:val="000000"/>
          <w:sz w:val="24"/>
          <w:szCs w:val="24"/>
        </w:rPr>
        <w:t>ubmit</w:t>
      </w:r>
      <w:r>
        <w:rPr>
          <w:rFonts w:ascii="Times New Roman" w:eastAsia="Times New Roman" w:hAnsi="Times New Roman" w:cs="Times New Roman"/>
          <w:color w:val="000000"/>
          <w:sz w:val="24"/>
          <w:szCs w:val="24"/>
        </w:rPr>
        <w:t>ting</w:t>
      </w:r>
      <w:r w:rsidR="00BF5CDA" w:rsidRPr="00B131CA">
        <w:rPr>
          <w:rFonts w:ascii="Times New Roman" w:eastAsia="Times New Roman" w:hAnsi="Times New Roman" w:cs="Times New Roman"/>
          <w:color w:val="000000"/>
          <w:sz w:val="24"/>
          <w:szCs w:val="24"/>
        </w:rPr>
        <w:t xml:space="preserve"> budget transfers to move unused funds into object code 6000 for instructional materials and assessments that can be purchased in a</w:t>
      </w:r>
      <w:r>
        <w:rPr>
          <w:rFonts w:ascii="Times New Roman" w:eastAsia="Times New Roman" w:hAnsi="Times New Roman" w:cs="Times New Roman"/>
          <w:color w:val="000000"/>
          <w:sz w:val="24"/>
          <w:szCs w:val="24"/>
        </w:rPr>
        <w:t>dvance of the next program year, and</w:t>
      </w:r>
    </w:p>
    <w:p w14:paraId="000000D5" w14:textId="5BE06D39" w:rsidR="002F3C8D" w:rsidRPr="00B131CA" w:rsidRDefault="007B3883" w:rsidP="00F057C2">
      <w:pPr>
        <w:numPr>
          <w:ilvl w:val="0"/>
          <w:numId w:val="7"/>
        </w:numPr>
        <w:pBdr>
          <w:top w:val="nil"/>
          <w:left w:val="nil"/>
          <w:bottom w:val="nil"/>
          <w:right w:val="nil"/>
          <w:between w:val="nil"/>
        </w:pBdr>
        <w:spacing w:after="20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BF5CDA" w:rsidRPr="00B131CA">
        <w:rPr>
          <w:rFonts w:ascii="Times New Roman" w:eastAsia="Times New Roman" w:hAnsi="Times New Roman" w:cs="Times New Roman"/>
          <w:color w:val="000000"/>
          <w:sz w:val="24"/>
          <w:szCs w:val="24"/>
        </w:rPr>
        <w:t>plit</w:t>
      </w:r>
      <w:r>
        <w:rPr>
          <w:rFonts w:ascii="Times New Roman" w:eastAsia="Times New Roman" w:hAnsi="Times New Roman" w:cs="Times New Roman"/>
          <w:color w:val="000000"/>
          <w:sz w:val="24"/>
          <w:szCs w:val="24"/>
        </w:rPr>
        <w:t>ting</w:t>
      </w:r>
      <w:r w:rsidR="00BF5CDA" w:rsidRPr="00B131CA">
        <w:rPr>
          <w:rFonts w:ascii="Times New Roman" w:eastAsia="Times New Roman" w:hAnsi="Times New Roman" w:cs="Times New Roman"/>
          <w:color w:val="000000"/>
          <w:sz w:val="24"/>
          <w:szCs w:val="24"/>
        </w:rPr>
        <w:t xml:space="preserve"> purchases that will be shared over multiple funding streams (if your fiscal agent allows this) to fully expend funds. </w:t>
      </w:r>
    </w:p>
    <w:p w14:paraId="000000D6" w14:textId="1157C44D"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After the final reimbursement of a grant period, any unexpended federal funds </w:t>
      </w:r>
      <w:r w:rsidR="003E6C0A">
        <w:rPr>
          <w:rFonts w:ascii="Times New Roman" w:eastAsia="Times New Roman" w:hAnsi="Times New Roman" w:cs="Times New Roman"/>
          <w:color w:val="000000"/>
          <w:sz w:val="24"/>
          <w:szCs w:val="24"/>
        </w:rPr>
        <w:t xml:space="preserve">will be removed from fiscal agents’ accounts and will </w:t>
      </w:r>
      <w:r w:rsidRPr="00B131CA">
        <w:rPr>
          <w:rFonts w:ascii="Times New Roman" w:eastAsia="Times New Roman" w:hAnsi="Times New Roman" w:cs="Times New Roman"/>
          <w:color w:val="000000"/>
          <w:sz w:val="24"/>
          <w:szCs w:val="24"/>
        </w:rPr>
        <w:t>revert to the VDOE for reallocation or competition. These funds are usually available in the second quarter of the program year. Budgets and expenditures of those federal funds follow the same guidelines but must be managed as a separate grant award.</w:t>
      </w:r>
    </w:p>
    <w:p w14:paraId="000000D7" w14:textId="4C7DB991"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FC6C81">
        <w:rPr>
          <w:rFonts w:ascii="Times New Roman" w:eastAsia="Times New Roman" w:hAnsi="Times New Roman" w:cs="Times New Roman"/>
          <w:b/>
          <w:bCs/>
          <w:color w:val="000000"/>
          <w:sz w:val="24"/>
          <w:szCs w:val="24"/>
        </w:rPr>
        <w:t>Reallocation.</w:t>
      </w:r>
      <w:r w:rsidRPr="00B131CA">
        <w:rPr>
          <w:rFonts w:ascii="Times New Roman" w:eastAsia="Times New Roman" w:hAnsi="Times New Roman" w:cs="Times New Roman"/>
          <w:color w:val="000000"/>
          <w:sz w:val="24"/>
          <w:szCs w:val="24"/>
        </w:rPr>
        <w:t xml:space="preserve"> Reallocation is the term used to describe unexpended funds from the previous year that are allocated to providers without competition. Sec. 225 funds are generally reverted to Sec. 231 funds at reallocation</w:t>
      </w:r>
      <w:r w:rsidR="00366643">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although programs may request some of their reallocation to be awarded as Sec. 225 funds for C&amp;I programming. Funds determined for reallocation are allocated to regions based on the same formula as the competitive funds. Sec. 243 leftover funds are awarded based on a formula that corresponds to the enrollment ranges in the application package. Reallocation awards require the submission of a budget which must adhere to all federal funding regulations and allowances including the administrative five percent </w:t>
      </w:r>
      <w:r w:rsidR="001E5EF0" w:rsidRPr="00B131CA">
        <w:rPr>
          <w:rFonts w:ascii="Times New Roman" w:eastAsia="Times New Roman" w:hAnsi="Times New Roman" w:cs="Times New Roman"/>
          <w:color w:val="000000"/>
          <w:sz w:val="24"/>
          <w:szCs w:val="24"/>
        </w:rPr>
        <w:t>cap and</w:t>
      </w:r>
      <w:r w:rsidRPr="00B131CA">
        <w:rPr>
          <w:rFonts w:ascii="Times New Roman" w:eastAsia="Times New Roman" w:hAnsi="Times New Roman" w:cs="Times New Roman"/>
          <w:color w:val="000000"/>
          <w:sz w:val="24"/>
          <w:szCs w:val="24"/>
        </w:rPr>
        <w:t xml:space="preserve"> must be matched with local funds at 15 percent. Once the budget is approved by state staff, the funds are managed through the</w:t>
      </w:r>
      <w:r w:rsidR="0073769F">
        <w:rPr>
          <w:rFonts w:ascii="Times New Roman" w:eastAsia="Times New Roman" w:hAnsi="Times New Roman" w:cs="Times New Roman"/>
          <w:color w:val="000000"/>
          <w:sz w:val="24"/>
          <w:szCs w:val="24"/>
        </w:rPr>
        <w:t xml:space="preserve"> Online Management of Education Grant Awards</w:t>
      </w:r>
      <w:r w:rsidRPr="00B131CA">
        <w:rPr>
          <w:rFonts w:ascii="Times New Roman" w:eastAsia="Times New Roman" w:hAnsi="Times New Roman" w:cs="Times New Roman"/>
          <w:color w:val="000000"/>
          <w:sz w:val="24"/>
          <w:szCs w:val="24"/>
        </w:rPr>
        <w:t xml:space="preserve"> </w:t>
      </w:r>
      <w:r w:rsidR="0073769F">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OMEGA</w:t>
      </w:r>
      <w:r w:rsidR="0073769F">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system, or, if awarded to a CBLO, through the paper-based reimbursement system. All reallocation funds must be spent by the end of the grant period. </w:t>
      </w:r>
    </w:p>
    <w:p w14:paraId="000000D8" w14:textId="2FEB9BC5"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FC6C81">
        <w:rPr>
          <w:rFonts w:ascii="Times New Roman" w:eastAsia="Times New Roman" w:hAnsi="Times New Roman" w:cs="Times New Roman"/>
          <w:b/>
          <w:bCs/>
          <w:color w:val="000000"/>
          <w:sz w:val="24"/>
          <w:szCs w:val="24"/>
        </w:rPr>
        <w:t>Innovation Challenge Grants.</w:t>
      </w:r>
      <w:r w:rsidRPr="00B131CA">
        <w:rPr>
          <w:rFonts w:ascii="Times New Roman" w:eastAsia="Times New Roman" w:hAnsi="Times New Roman" w:cs="Times New Roman"/>
          <w:color w:val="000000"/>
          <w:sz w:val="24"/>
          <w:szCs w:val="24"/>
        </w:rPr>
        <w:t xml:space="preserve"> The VDOE may conduct an Innovation Challenge Grant competition with the previous year’s unexpended funds. The Challenge grants are designed to advance state priorities. These awards require the submission of an application and a budget which must adhere to all federal funding regulations and allowances including the administrative five percent cap and must be matched with local funds at 15 percent. Once the application is approved by state staff, the funds are managed through the OMEGA system. These awards offer providers a chance to boost an ongoing initiative, invest in a new partnership, or add additional programming to meet an emerging need. The quick turnaround nature of the application process and the time</w:t>
      </w:r>
      <w:r w:rsidR="003022AF"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frame in which to expend the funds contribute to the “challenge.” See a Progress Newsletter </w:t>
      </w:r>
      <w:hyperlink r:id="rId50">
        <w:r w:rsidRPr="00543C16">
          <w:rPr>
            <w:rFonts w:ascii="Times New Roman" w:eastAsia="Times New Roman" w:hAnsi="Times New Roman" w:cs="Times New Roman"/>
            <w:color w:val="0000FF"/>
            <w:sz w:val="24"/>
            <w:szCs w:val="24"/>
            <w:u w:val="single"/>
          </w:rPr>
          <w:t>article</w:t>
        </w:r>
      </w:hyperlink>
      <w:r w:rsidRPr="00B131CA">
        <w:rPr>
          <w:rFonts w:ascii="Times New Roman" w:eastAsia="Times New Roman" w:hAnsi="Times New Roman" w:cs="Times New Roman"/>
          <w:color w:val="000000"/>
          <w:sz w:val="24"/>
          <w:szCs w:val="24"/>
        </w:rPr>
        <w:t xml:space="preserve"> from 2018 sharing Innovation Challenge Grant lessons learned. </w:t>
      </w:r>
    </w:p>
    <w:p w14:paraId="000000D9" w14:textId="5DE52B82" w:rsidR="002F3C8D" w:rsidRPr="002726B0" w:rsidRDefault="00BF5CDA" w:rsidP="004A0493">
      <w:pPr>
        <w:pStyle w:val="Heading3"/>
      </w:pPr>
      <w:bookmarkStart w:id="20" w:name="_Toc174088835"/>
      <w:r w:rsidRPr="002726B0">
        <w:t>Allowable and Unallowable Costs</w:t>
      </w:r>
      <w:bookmarkEnd w:id="20"/>
    </w:p>
    <w:p w14:paraId="000000DA" w14:textId="086A0198" w:rsidR="002F3C8D" w:rsidRPr="00B131CA" w:rsidRDefault="00BF5CDA" w:rsidP="00F6611B">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Interpreting allowable costs is rooted in the Uniform Guidance </w:t>
      </w:r>
      <w:hyperlink r:id="rId51">
        <w:r w:rsidRPr="00543C16">
          <w:rPr>
            <w:rFonts w:ascii="Times New Roman" w:eastAsia="Times New Roman" w:hAnsi="Times New Roman" w:cs="Times New Roman"/>
            <w:color w:val="0000FF"/>
            <w:sz w:val="24"/>
            <w:szCs w:val="24"/>
            <w:u w:val="single"/>
          </w:rPr>
          <w:t>Cost Principles</w:t>
        </w:r>
      </w:hyperlink>
      <w:r w:rsidRPr="00B131CA">
        <w:rPr>
          <w:rFonts w:ascii="Times New Roman" w:eastAsia="Times New Roman" w:hAnsi="Times New Roman" w:cs="Times New Roman"/>
          <w:color w:val="000000"/>
          <w:sz w:val="24"/>
          <w:szCs w:val="24"/>
        </w:rPr>
        <w:t xml:space="preserve"> (section </w:t>
      </w:r>
      <w:r w:rsidR="00B72706">
        <w:rPr>
          <w:rFonts w:ascii="Times New Roman" w:eastAsia="Times New Roman" w:hAnsi="Times New Roman" w:cs="Times New Roman"/>
          <w:color w:val="000000"/>
          <w:sz w:val="24"/>
          <w:szCs w:val="24"/>
        </w:rPr>
        <w:t>Federal Legislation and Regulations</w:t>
      </w:r>
      <w:r w:rsidR="00276614">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Three key principles should inform thinking on this topic: is the cost “reasonable,” is it “allocable” for the funding source, and would it be considered “prudent</w:t>
      </w:r>
      <w:r w:rsidR="005E7B9D" w:rsidRPr="00B131C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Refer to the Guidance for </w:t>
      </w:r>
      <w:r w:rsidRPr="000F461E">
        <w:rPr>
          <w:rFonts w:ascii="Times New Roman" w:hAnsi="Times New Roman"/>
          <w:color w:val="000000"/>
          <w:sz w:val="24"/>
        </w:rPr>
        <w:t xml:space="preserve">reasonable costs </w:t>
      </w:r>
      <w:r w:rsidRPr="00B131CA">
        <w:rPr>
          <w:rFonts w:ascii="Times New Roman" w:eastAsia="Times New Roman" w:hAnsi="Times New Roman" w:cs="Times New Roman"/>
          <w:color w:val="000000"/>
          <w:sz w:val="24"/>
          <w:szCs w:val="24"/>
        </w:rPr>
        <w:t>(2 CFR 200.404) and</w:t>
      </w:r>
      <w:r w:rsidRPr="000F461E">
        <w:rPr>
          <w:rFonts w:ascii="Times New Roman" w:hAnsi="Times New Roman"/>
          <w:color w:val="000000"/>
          <w:sz w:val="24"/>
        </w:rPr>
        <w:t xml:space="preserve"> allocable costs </w:t>
      </w:r>
      <w:r w:rsidRPr="00B131CA">
        <w:rPr>
          <w:rFonts w:ascii="Times New Roman" w:eastAsia="Times New Roman" w:hAnsi="Times New Roman" w:cs="Times New Roman"/>
          <w:color w:val="000000"/>
          <w:sz w:val="24"/>
          <w:szCs w:val="24"/>
        </w:rPr>
        <w:t>(2 CFR 200.405). </w:t>
      </w:r>
    </w:p>
    <w:p w14:paraId="000000DB" w14:textId="77777777" w:rsidR="002F3C8D" w:rsidRPr="00B131CA" w:rsidRDefault="00BF5CDA" w:rsidP="00F6611B">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lastRenderedPageBreak/>
        <w:t>If a cost proportionally benefits two or more projects or activities, that cost should be allocated to the projects based on the benefit received. For example, if a provider leases a copier that will be used to support activities in multiple AEFLA funding streams (Sec. 231, 225, and 243), the proportional use by each grant should be determined, noted in the budget narrative, and charged accordingly. </w:t>
      </w:r>
    </w:p>
    <w:p w14:paraId="000000DC" w14:textId="1F632E61" w:rsidR="002F3C8D" w:rsidRPr="00B131CA" w:rsidRDefault="00BF5CDA" w:rsidP="00F6611B">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Some charges require </w:t>
      </w:r>
      <w:r w:rsidRPr="000F461E">
        <w:rPr>
          <w:rFonts w:ascii="Times New Roman" w:hAnsi="Times New Roman"/>
          <w:color w:val="000000"/>
          <w:sz w:val="24"/>
        </w:rPr>
        <w:t>prior written approval</w:t>
      </w:r>
      <w:r w:rsidRPr="00B131CA">
        <w:rPr>
          <w:rFonts w:ascii="Times New Roman" w:eastAsia="Times New Roman" w:hAnsi="Times New Roman" w:cs="Times New Roman"/>
          <w:color w:val="000000"/>
          <w:sz w:val="24"/>
          <w:szCs w:val="24"/>
        </w:rPr>
        <w:t xml:space="preserve"> (2 CFR 200.407) before being charged to the federal funds. Some of the items listed in the Guidance are handled through annual budget workbook submissions which result in prior written approvals; other items may become relevant during a grant year. </w:t>
      </w:r>
      <w:r w:rsidR="003A774E">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VDOE is available to discuss these types of purchases or any others in advance of committing funds. </w:t>
      </w:r>
    </w:p>
    <w:p w14:paraId="000000DD" w14:textId="030B1EE6" w:rsidR="002F3C8D" w:rsidRPr="00B131CA" w:rsidRDefault="00BF5CDA" w:rsidP="00F6611B">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following chart provides some guidelines on allowability, although individual circumstances may raise additional questions. Use these ideas as guides only and seek prior written approval if you have any concern that a purchase may be disallowed. Because all the adult education funds, state and federal, are cost reimbursable, </w:t>
      </w:r>
      <w:r w:rsidR="00032687">
        <w:rPr>
          <w:rFonts w:ascii="Times New Roman" w:eastAsia="Times New Roman" w:hAnsi="Times New Roman" w:cs="Times New Roman"/>
          <w:color w:val="000000"/>
          <w:sz w:val="24"/>
          <w:szCs w:val="24"/>
        </w:rPr>
        <w:t xml:space="preserve">if </w:t>
      </w:r>
      <w:r w:rsidRPr="00B131CA">
        <w:rPr>
          <w:rFonts w:ascii="Times New Roman" w:eastAsia="Times New Roman" w:hAnsi="Times New Roman" w:cs="Times New Roman"/>
          <w:color w:val="000000"/>
          <w:sz w:val="24"/>
          <w:szCs w:val="24"/>
        </w:rPr>
        <w:t>the VDOE den</w:t>
      </w:r>
      <w:r w:rsidR="00032687">
        <w:rPr>
          <w:rFonts w:ascii="Times New Roman" w:eastAsia="Times New Roman" w:hAnsi="Times New Roman" w:cs="Times New Roman"/>
          <w:color w:val="000000"/>
          <w:sz w:val="24"/>
          <w:szCs w:val="24"/>
        </w:rPr>
        <w:t>ies</w:t>
      </w:r>
      <w:r w:rsidRPr="00B131CA">
        <w:rPr>
          <w:rFonts w:ascii="Times New Roman" w:eastAsia="Times New Roman" w:hAnsi="Times New Roman" w:cs="Times New Roman"/>
          <w:color w:val="000000"/>
          <w:sz w:val="24"/>
          <w:szCs w:val="24"/>
        </w:rPr>
        <w:t xml:space="preserve"> a reimbursement, the fiscal agent </w:t>
      </w:r>
      <w:r w:rsidR="00032687">
        <w:rPr>
          <w:rFonts w:ascii="Times New Roman" w:eastAsia="Times New Roman" w:hAnsi="Times New Roman" w:cs="Times New Roman"/>
          <w:color w:val="000000"/>
          <w:sz w:val="24"/>
          <w:szCs w:val="24"/>
        </w:rPr>
        <w:t xml:space="preserve">would be responsible </w:t>
      </w:r>
      <w:r w:rsidRPr="00B131CA">
        <w:rPr>
          <w:rFonts w:ascii="Times New Roman" w:eastAsia="Times New Roman" w:hAnsi="Times New Roman" w:cs="Times New Roman"/>
          <w:color w:val="000000"/>
          <w:sz w:val="24"/>
          <w:szCs w:val="24"/>
        </w:rPr>
        <w:t>to cover the cost with local funds. </w:t>
      </w:r>
    </w:p>
    <w:p w14:paraId="000000DE" w14:textId="2BFC3777" w:rsidR="002F3C8D" w:rsidRPr="00F6611B" w:rsidRDefault="00BF5CDA" w:rsidP="00F6611B">
      <w:pPr>
        <w:pBdr>
          <w:top w:val="nil"/>
          <w:left w:val="nil"/>
          <w:bottom w:val="nil"/>
          <w:right w:val="nil"/>
          <w:between w:val="nil"/>
        </w:pBdr>
        <w:spacing w:after="200" w:line="240" w:lineRule="auto"/>
        <w:rPr>
          <w:rFonts w:ascii="Times New Roman" w:hAnsi="Times New Roman"/>
          <w:b/>
          <w:color w:val="000000"/>
          <w:sz w:val="24"/>
        </w:rPr>
      </w:pPr>
      <w:r w:rsidRPr="00F6611B">
        <w:rPr>
          <w:rFonts w:ascii="Times New Roman" w:hAnsi="Times New Roman"/>
          <w:b/>
          <w:color w:val="000000"/>
          <w:sz w:val="24"/>
        </w:rPr>
        <w:t xml:space="preserve">Table </w:t>
      </w:r>
      <w:r w:rsidR="009F067A" w:rsidRPr="00E240EE">
        <w:rPr>
          <w:rFonts w:ascii="Times New Roman" w:eastAsia="Times New Roman" w:hAnsi="Times New Roman" w:cs="Times New Roman"/>
          <w:b/>
          <w:bCs/>
          <w:color w:val="000000"/>
          <w:sz w:val="24"/>
          <w:szCs w:val="24"/>
        </w:rPr>
        <w:t>3.1</w:t>
      </w:r>
      <w:r w:rsidRPr="00F6611B">
        <w:rPr>
          <w:rFonts w:ascii="Times New Roman" w:hAnsi="Times New Roman"/>
          <w:b/>
          <w:color w:val="000000"/>
          <w:sz w:val="24"/>
        </w:rPr>
        <w:t>: Examples of Allowable and Unallowable Costs for Federal and State Matching Funds</w:t>
      </w:r>
    </w:p>
    <w:tbl>
      <w:tblPr>
        <w:tblStyle w:val="a"/>
        <w:tblW w:w="8211" w:type="dxa"/>
        <w:tblInd w:w="360" w:type="dxa"/>
        <w:tblLayout w:type="fixed"/>
        <w:tblLook w:val="0420" w:firstRow="1" w:lastRow="0" w:firstColumn="0" w:lastColumn="0" w:noHBand="0" w:noVBand="1"/>
        <w:tblCaption w:val="Examples of Allowable and Unallowable Costs for Federal and State Matching Funds"/>
      </w:tblPr>
      <w:tblGrid>
        <w:gridCol w:w="5382"/>
        <w:gridCol w:w="2829"/>
      </w:tblGrid>
      <w:tr w:rsidR="00B95156" w:rsidRPr="00B95156" w14:paraId="168D4FE9" w14:textId="77777777" w:rsidTr="00F6611B">
        <w:trPr>
          <w:tblHeader/>
        </w:trPr>
        <w:tc>
          <w:tcPr>
            <w:tcW w:w="538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000000DF" w14:textId="77777777" w:rsidR="002F3C8D" w:rsidRPr="007144D4" w:rsidRDefault="00BF5CDA" w:rsidP="007144D4">
            <w:pPr>
              <w:rPr>
                <w:rFonts w:ascii="Times New Roman" w:hAnsi="Times New Roman" w:cs="Times New Roman"/>
                <w:b/>
                <w:sz w:val="24"/>
              </w:rPr>
            </w:pPr>
            <w:r w:rsidRPr="007144D4">
              <w:rPr>
                <w:rFonts w:ascii="Times New Roman" w:hAnsi="Times New Roman" w:cs="Times New Roman"/>
                <w:b/>
                <w:sz w:val="24"/>
              </w:rPr>
              <w:t>Cost Item</w:t>
            </w:r>
          </w:p>
        </w:tc>
        <w:tc>
          <w:tcPr>
            <w:tcW w:w="28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center"/>
          </w:tcPr>
          <w:p w14:paraId="000000E0" w14:textId="77777777" w:rsidR="002F3C8D" w:rsidRPr="007144D4" w:rsidRDefault="00BF5CDA" w:rsidP="007144D4">
            <w:pPr>
              <w:rPr>
                <w:rFonts w:ascii="Times New Roman" w:hAnsi="Times New Roman" w:cs="Times New Roman"/>
                <w:b/>
                <w:sz w:val="24"/>
              </w:rPr>
            </w:pPr>
            <w:r w:rsidRPr="007144D4">
              <w:rPr>
                <w:rFonts w:ascii="Times New Roman" w:hAnsi="Times New Roman" w:cs="Times New Roman"/>
                <w:b/>
                <w:sz w:val="24"/>
              </w:rPr>
              <w:t>Determination* </w:t>
            </w:r>
          </w:p>
        </w:tc>
      </w:tr>
      <w:tr w:rsidR="002F3C8D" w:rsidRPr="00B131CA" w14:paraId="463F5744" w14:textId="77777777" w:rsidTr="00F6611B">
        <w:trPr>
          <w:trHeight w:val="48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1"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Advertising and Public Relations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2"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07039955"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3"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Alcoholic Beverages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4"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Unallowable</w:t>
            </w:r>
          </w:p>
        </w:tc>
      </w:tr>
      <w:tr w:rsidR="002F3C8D" w:rsidRPr="00B131CA" w14:paraId="301E0C40"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5"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Audit Services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6"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0BC8B9D6"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7"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Capital Expenditures and Improvements on Buildings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8"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2E8DFE44"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9"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Collections of Improper Payments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A"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w:t>
            </w:r>
          </w:p>
        </w:tc>
      </w:tr>
      <w:tr w:rsidR="002F3C8D" w:rsidRPr="00B131CA" w14:paraId="18604109"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B"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Commencement and Convocation</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C"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Unallowable</w:t>
            </w:r>
          </w:p>
        </w:tc>
      </w:tr>
      <w:tr w:rsidR="002F3C8D" w:rsidRPr="00B131CA" w14:paraId="3FABB0F0"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D"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Compensation-Personal Services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E"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38AFC9A5"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F"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Compensation-Fringe Benefits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0"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4AD78C58"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1"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Conferences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2"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4A2FD7CC"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3"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Employee Health and Welfare</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4"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w:t>
            </w:r>
          </w:p>
        </w:tc>
      </w:tr>
      <w:tr w:rsidR="002F3C8D" w:rsidRPr="00B131CA" w14:paraId="2876800F"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5"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Entertainment</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6"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Unallowable</w:t>
            </w:r>
          </w:p>
        </w:tc>
      </w:tr>
      <w:tr w:rsidR="002F3C8D" w:rsidRPr="00B131CA" w14:paraId="651B75D8"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7"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Equipment</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8"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6984DAB9"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9"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Fund Raising</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A"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Unallowable</w:t>
            </w:r>
          </w:p>
        </w:tc>
      </w:tr>
      <w:tr w:rsidR="002F3C8D" w:rsidRPr="00B131CA" w14:paraId="28C7E3B2"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B"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Goods and Services-Personal Use </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C"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Unallowable</w:t>
            </w:r>
          </w:p>
        </w:tc>
      </w:tr>
      <w:tr w:rsidR="002F3C8D" w:rsidRPr="00B131CA" w14:paraId="1776DA24"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D"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lastRenderedPageBreak/>
              <w:t>Insurance and Indemnification</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E"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459B4C94"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FF"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Lobbying</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0"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Unallowable</w:t>
            </w:r>
          </w:p>
        </w:tc>
      </w:tr>
      <w:tr w:rsidR="002F3C8D" w:rsidRPr="00B131CA" w14:paraId="71D597C3"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1"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Maintenance and Repair</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2"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w:t>
            </w:r>
          </w:p>
        </w:tc>
      </w:tr>
      <w:tr w:rsidR="002F3C8D" w:rsidRPr="00B131CA" w14:paraId="2A2C176A"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3"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Materials, Supplies, Computers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4"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w:t>
            </w:r>
          </w:p>
        </w:tc>
      </w:tr>
      <w:tr w:rsidR="002F3C8D" w:rsidRPr="00B131CA" w14:paraId="788B15D8"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5"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Professional Memberships and Subscriptions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6"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w:t>
            </w:r>
          </w:p>
        </w:tc>
      </w:tr>
      <w:tr w:rsidR="002F3C8D" w:rsidRPr="00B131CA" w14:paraId="0AD20598"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7"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Pre-award Costs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8"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362D5117"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9"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Publication and Printing</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A"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w:t>
            </w:r>
          </w:p>
        </w:tc>
      </w:tr>
      <w:tr w:rsidR="002F3C8D" w:rsidRPr="00B131CA" w14:paraId="038CB407"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B"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Recruiting of Employees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C"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47E32DC2"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D"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Relocation of Employees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E"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715F54AC"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0F"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Rent of Real Property/Equipment</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0"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71404B95"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1"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Student Activity</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2"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Unallowable</w:t>
            </w:r>
          </w:p>
        </w:tc>
      </w:tr>
      <w:tr w:rsidR="002F3C8D" w:rsidRPr="00B131CA" w14:paraId="4AA09222"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3"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Taxes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4"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r w:rsidR="002F3C8D" w:rsidRPr="00B131CA" w14:paraId="0D12F7B3"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5" w14:textId="2EF1A591"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Training and Education</w:t>
            </w:r>
            <w:r w:rsidR="00556E47">
              <w:rPr>
                <w:rFonts w:ascii="Times New Roman" w:eastAsia="Times New Roman" w:hAnsi="Times New Roman" w:cs="Times New Roman"/>
                <w:color w:val="000000"/>
                <w:sz w:val="24"/>
                <w:szCs w:val="24"/>
              </w:rPr>
              <w:t xml:space="preserve"> of Employees</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6"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w:t>
            </w:r>
          </w:p>
        </w:tc>
      </w:tr>
      <w:tr w:rsidR="002F3C8D" w:rsidRPr="00B131CA" w14:paraId="2BB53D3C" w14:textId="77777777" w:rsidTr="00F6611B">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7"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Travel</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18"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with restrictions</w:t>
            </w:r>
          </w:p>
        </w:tc>
      </w:tr>
    </w:tbl>
    <w:p w14:paraId="00000119" w14:textId="7718E6F1" w:rsidR="002F3C8D" w:rsidRPr="00F6611B" w:rsidRDefault="00BF5CDA">
      <w:pPr>
        <w:pBdr>
          <w:top w:val="nil"/>
          <w:left w:val="nil"/>
          <w:bottom w:val="nil"/>
          <w:right w:val="nil"/>
          <w:between w:val="nil"/>
        </w:pBdr>
        <w:spacing w:after="200" w:line="240" w:lineRule="auto"/>
        <w:ind w:left="360"/>
        <w:rPr>
          <w:rFonts w:ascii="Times New Roman" w:hAnsi="Times New Roman"/>
          <w:color w:val="000000"/>
          <w:sz w:val="24"/>
        </w:rPr>
      </w:pPr>
      <w:r w:rsidRPr="00F6611B">
        <w:rPr>
          <w:rFonts w:ascii="Times New Roman" w:hAnsi="Times New Roman"/>
          <w:color w:val="000000"/>
          <w:sz w:val="24"/>
        </w:rPr>
        <w:t xml:space="preserve">*Consult with the VDOE office before making purchases that </w:t>
      </w:r>
      <w:r w:rsidR="00F860E8">
        <w:rPr>
          <w:rFonts w:ascii="Times New Roman" w:hAnsi="Times New Roman"/>
          <w:color w:val="000000"/>
          <w:sz w:val="24"/>
        </w:rPr>
        <w:t>may</w:t>
      </w:r>
      <w:r w:rsidRPr="00F6611B">
        <w:rPr>
          <w:rFonts w:ascii="Times New Roman" w:hAnsi="Times New Roman"/>
          <w:color w:val="000000"/>
          <w:sz w:val="24"/>
        </w:rPr>
        <w:t xml:space="preserve"> </w:t>
      </w:r>
      <w:r w:rsidR="00F860E8">
        <w:rPr>
          <w:rFonts w:ascii="Times New Roman" w:hAnsi="Times New Roman"/>
          <w:color w:val="000000"/>
          <w:sz w:val="24"/>
        </w:rPr>
        <w:t>be unallowable</w:t>
      </w:r>
      <w:r w:rsidR="003F44DE">
        <w:rPr>
          <w:rFonts w:ascii="Times New Roman" w:hAnsi="Times New Roman"/>
          <w:color w:val="000000"/>
          <w:sz w:val="24"/>
        </w:rPr>
        <w:t xml:space="preserve"> or to discuss those that state “with restrictions</w:t>
      </w:r>
      <w:r w:rsidRPr="00F6611B">
        <w:rPr>
          <w:rFonts w:ascii="Times New Roman" w:hAnsi="Times New Roman"/>
          <w:color w:val="000000"/>
          <w:sz w:val="24"/>
        </w:rPr>
        <w:t>.</w:t>
      </w:r>
      <w:r w:rsidR="003F44DE">
        <w:rPr>
          <w:rFonts w:ascii="Times New Roman" w:hAnsi="Times New Roman"/>
          <w:color w:val="000000"/>
          <w:sz w:val="24"/>
        </w:rPr>
        <w:t>”</w:t>
      </w:r>
      <w:r w:rsidR="00C9464B">
        <w:rPr>
          <w:rFonts w:ascii="Times New Roman" w:hAnsi="Times New Roman"/>
          <w:color w:val="000000"/>
          <w:sz w:val="24"/>
        </w:rPr>
        <w:t xml:space="preserve"> </w:t>
      </w:r>
      <w:r w:rsidR="003F44DE">
        <w:rPr>
          <w:rFonts w:ascii="Times New Roman" w:hAnsi="Times New Roman"/>
          <w:color w:val="000000"/>
          <w:sz w:val="24"/>
        </w:rPr>
        <w:t xml:space="preserve">These items may not be deemed prudent or </w:t>
      </w:r>
      <w:r w:rsidR="00C9464B">
        <w:rPr>
          <w:rFonts w:ascii="Times New Roman" w:hAnsi="Times New Roman"/>
          <w:color w:val="000000"/>
          <w:sz w:val="24"/>
        </w:rPr>
        <w:t xml:space="preserve">a </w:t>
      </w:r>
      <w:r w:rsidR="00F16E33">
        <w:rPr>
          <w:rFonts w:ascii="Times New Roman" w:hAnsi="Times New Roman"/>
          <w:color w:val="000000"/>
          <w:sz w:val="24"/>
        </w:rPr>
        <w:t>necessary</w:t>
      </w:r>
      <w:r w:rsidR="003F44DE">
        <w:rPr>
          <w:rFonts w:ascii="Times New Roman" w:hAnsi="Times New Roman"/>
          <w:color w:val="000000"/>
          <w:sz w:val="24"/>
        </w:rPr>
        <w:t xml:space="preserve"> use of the AEFLA funds.</w:t>
      </w:r>
      <w:r w:rsidRPr="00F6611B">
        <w:rPr>
          <w:rFonts w:ascii="Times New Roman" w:hAnsi="Times New Roman"/>
          <w:color w:val="000000"/>
          <w:sz w:val="24"/>
        </w:rPr>
        <w:t> </w:t>
      </w:r>
    </w:p>
    <w:p w14:paraId="0000011A" w14:textId="2D7978C5" w:rsidR="002F3C8D" w:rsidRPr="002726B0" w:rsidRDefault="00BF5CDA" w:rsidP="004A0493">
      <w:pPr>
        <w:pStyle w:val="Heading3"/>
      </w:pPr>
      <w:bookmarkStart w:id="21" w:name="_Toc174088836"/>
      <w:r w:rsidRPr="002726B0">
        <w:t>Match Requirements</w:t>
      </w:r>
      <w:bookmarkEnd w:id="21"/>
    </w:p>
    <w:p w14:paraId="0000011B" w14:textId="7D1516B9"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Providers must arrange for a 15 percent match to the federal awards</w:t>
      </w:r>
      <w:r>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The match may be made as (1) in-kind contributions, (2) cash, or (3) a combination of the two, and match report workbooks require that these are disaggregated when reported. The match may exceed 15 percent but may not be less than 15 percent. The matching requirement may not be met by using other federal funds that the applicant may receive. Likewise, local funds reported as a match against the federal funds may not be used to match another federal grant. Note that reallocation funds and Innovation Challenge Grants (see above) that may be awarded during a program year also require a 15 percent local match. Expenditures must be tracked and reported quarterly by the object codes</w:t>
      </w:r>
      <w:r w:rsidR="005574A8">
        <w:rPr>
          <w:rFonts w:ascii="Times New Roman" w:eastAsia="Times New Roman" w:hAnsi="Times New Roman" w:cs="Times New Roman"/>
          <w:color w:val="000000"/>
          <w:sz w:val="24"/>
          <w:szCs w:val="24"/>
        </w:rPr>
        <w:t>, identified as either cash or in-kind,</w:t>
      </w:r>
      <w:r w:rsidRPr="00B131CA">
        <w:rPr>
          <w:rFonts w:ascii="Times New Roman" w:eastAsia="Times New Roman" w:hAnsi="Times New Roman" w:cs="Times New Roman"/>
          <w:color w:val="000000"/>
          <w:sz w:val="24"/>
          <w:szCs w:val="24"/>
        </w:rPr>
        <w:t xml:space="preserve"> and all matching funds must be expended in the program year for which they were claimed.</w:t>
      </w:r>
    </w:p>
    <w:p w14:paraId="0000011C" w14:textId="2AD5E12D"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No matching funds are required for the GAE</w:t>
      </w:r>
      <w:r w:rsidR="003E6C0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SLCA</w:t>
      </w:r>
      <w:r w:rsidR="003E6C0A">
        <w:rPr>
          <w:rFonts w:ascii="Times New Roman" w:eastAsia="Times New Roman" w:hAnsi="Times New Roman" w:cs="Times New Roman"/>
          <w:color w:val="000000"/>
          <w:sz w:val="24"/>
          <w:szCs w:val="24"/>
        </w:rPr>
        <w:t xml:space="preserve">, or </w:t>
      </w:r>
      <w:proofErr w:type="spellStart"/>
      <w:r w:rsidR="003E6C0A">
        <w:rPr>
          <w:rFonts w:ascii="Times New Roman" w:eastAsia="Times New Roman" w:hAnsi="Times New Roman" w:cs="Times New Roman"/>
          <w:color w:val="000000"/>
          <w:sz w:val="24"/>
          <w:szCs w:val="24"/>
        </w:rPr>
        <w:t>PluggedIn</w:t>
      </w:r>
      <w:proofErr w:type="spellEnd"/>
      <w:r w:rsidR="003E6C0A">
        <w:rPr>
          <w:rFonts w:ascii="Times New Roman" w:eastAsia="Times New Roman" w:hAnsi="Times New Roman" w:cs="Times New Roman"/>
          <w:color w:val="000000"/>
          <w:sz w:val="24"/>
          <w:szCs w:val="24"/>
        </w:rPr>
        <w:t xml:space="preserve"> V</w:t>
      </w:r>
      <w:r w:rsidR="007902CF">
        <w:rPr>
          <w:rFonts w:ascii="Times New Roman" w:eastAsia="Times New Roman" w:hAnsi="Times New Roman" w:cs="Times New Roman"/>
          <w:color w:val="000000"/>
          <w:sz w:val="24"/>
          <w:szCs w:val="24"/>
        </w:rPr>
        <w:t>A</w:t>
      </w:r>
      <w:r w:rsidRPr="00B131CA">
        <w:rPr>
          <w:rFonts w:ascii="Times New Roman" w:eastAsia="Times New Roman" w:hAnsi="Times New Roman" w:cs="Times New Roman"/>
          <w:color w:val="000000"/>
          <w:sz w:val="24"/>
          <w:szCs w:val="24"/>
        </w:rPr>
        <w:t xml:space="preserve"> funds awarded with the regional adult education grant. The GAE</w:t>
      </w:r>
      <w:r w:rsidR="003E6C0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SLCA</w:t>
      </w:r>
      <w:r w:rsidR="003E6C0A">
        <w:rPr>
          <w:rFonts w:ascii="Times New Roman" w:eastAsia="Times New Roman" w:hAnsi="Times New Roman" w:cs="Times New Roman"/>
          <w:color w:val="000000"/>
          <w:sz w:val="24"/>
          <w:szCs w:val="24"/>
        </w:rPr>
        <w:t xml:space="preserve">, and </w:t>
      </w:r>
      <w:proofErr w:type="spellStart"/>
      <w:r w:rsidR="003E6C0A">
        <w:rPr>
          <w:rFonts w:ascii="Times New Roman" w:eastAsia="Times New Roman" w:hAnsi="Times New Roman" w:cs="Times New Roman"/>
          <w:color w:val="000000"/>
          <w:sz w:val="24"/>
          <w:szCs w:val="24"/>
        </w:rPr>
        <w:t>PluggedIn</w:t>
      </w:r>
      <w:proofErr w:type="spellEnd"/>
      <w:r w:rsidR="003E6C0A">
        <w:rPr>
          <w:rFonts w:ascii="Times New Roman" w:eastAsia="Times New Roman" w:hAnsi="Times New Roman" w:cs="Times New Roman"/>
          <w:color w:val="000000"/>
          <w:sz w:val="24"/>
          <w:szCs w:val="24"/>
        </w:rPr>
        <w:t xml:space="preserve"> V</w:t>
      </w:r>
      <w:r w:rsidR="007902CF">
        <w:rPr>
          <w:rFonts w:ascii="Times New Roman" w:eastAsia="Times New Roman" w:hAnsi="Times New Roman" w:cs="Times New Roman"/>
          <w:color w:val="000000"/>
          <w:sz w:val="24"/>
          <w:szCs w:val="24"/>
        </w:rPr>
        <w:t>A</w:t>
      </w:r>
      <w:r w:rsidRPr="00B131CA">
        <w:rPr>
          <w:rFonts w:ascii="Times New Roman" w:eastAsia="Times New Roman" w:hAnsi="Times New Roman" w:cs="Times New Roman"/>
          <w:color w:val="000000"/>
          <w:sz w:val="24"/>
          <w:szCs w:val="24"/>
        </w:rPr>
        <w:t xml:space="preserve"> funds are used by the state to fulfill the overall state match and maintenance of effort requirements, so providers may not report those funds to fulfill the match requirement. </w:t>
      </w:r>
    </w:p>
    <w:p w14:paraId="0000011D" w14:textId="7CE25342" w:rsidR="002F3C8D" w:rsidRPr="00F6611B" w:rsidRDefault="00BF5CDA" w:rsidP="00F6611B">
      <w:pPr>
        <w:pBdr>
          <w:top w:val="nil"/>
          <w:left w:val="nil"/>
          <w:bottom w:val="nil"/>
          <w:right w:val="nil"/>
          <w:between w:val="nil"/>
        </w:pBdr>
        <w:spacing w:after="200" w:line="240" w:lineRule="auto"/>
        <w:rPr>
          <w:rFonts w:ascii="Times New Roman" w:hAnsi="Times New Roman"/>
          <w:sz w:val="24"/>
        </w:rPr>
      </w:pPr>
      <w:r w:rsidRPr="00F6611B">
        <w:rPr>
          <w:rFonts w:ascii="Times New Roman" w:hAnsi="Times New Roman"/>
          <w:b/>
          <w:color w:val="000000"/>
          <w:sz w:val="24"/>
        </w:rPr>
        <w:lastRenderedPageBreak/>
        <w:t>Maintenance of Effort</w:t>
      </w:r>
      <w:r>
        <w:rPr>
          <w:rFonts w:ascii="Times New Roman" w:eastAsia="Times New Roman" w:hAnsi="Times New Roman" w:cs="Times New Roman"/>
          <w:b/>
          <w:color w:val="000000"/>
          <w:sz w:val="24"/>
          <w:szCs w:val="24"/>
        </w:rPr>
        <w:t>.</w:t>
      </w:r>
      <w:r w:rsidR="00F6611B">
        <w:rPr>
          <w:rFonts w:ascii="Times New Roman" w:eastAsia="Times New Roman" w:hAnsi="Times New Roman" w:cs="Times New Roman"/>
          <w:b/>
          <w:color w:val="000000"/>
          <w:sz w:val="24"/>
          <w:szCs w:val="24"/>
        </w:rPr>
        <w:t xml:space="preserve"> </w:t>
      </w:r>
      <w:r w:rsidRPr="00B131CA">
        <w:rPr>
          <w:rFonts w:ascii="Times New Roman" w:eastAsia="Times New Roman" w:hAnsi="Times New Roman" w:cs="Times New Roman"/>
          <w:color w:val="000000"/>
          <w:sz w:val="24"/>
          <w:szCs w:val="24"/>
        </w:rPr>
        <w:t>A factor that affects the required local match is the state’s maintenance of effort requirement. Each eligible provider will be required in subsequent years of a competitive cycle to provide matching funds in an amount that meets or exceeds the previous year’s match total. Providers may shift the percentage of each type of match (cash or in-kind) from year to year. </w:t>
      </w:r>
    </w:p>
    <w:p w14:paraId="0000011F" w14:textId="0D3EFECE" w:rsidR="002F3C8D" w:rsidRPr="00B131CA" w:rsidRDefault="00BF5CDA" w:rsidP="00276614">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sidRPr="00F6611B">
        <w:rPr>
          <w:rFonts w:ascii="Times New Roman" w:hAnsi="Times New Roman"/>
          <w:b/>
          <w:color w:val="000000"/>
          <w:sz w:val="24"/>
        </w:rPr>
        <w:t>Allowable Local Matching Funds</w:t>
      </w:r>
      <w:r>
        <w:rPr>
          <w:rFonts w:ascii="Times New Roman" w:eastAsia="Times New Roman" w:hAnsi="Times New Roman" w:cs="Times New Roman"/>
          <w:b/>
          <w:color w:val="000000"/>
          <w:sz w:val="24"/>
          <w:szCs w:val="24"/>
        </w:rPr>
        <w:t xml:space="preserve">. </w:t>
      </w:r>
      <w:r w:rsidRPr="00B131CA">
        <w:rPr>
          <w:rFonts w:ascii="Times New Roman" w:eastAsia="Times New Roman" w:hAnsi="Times New Roman" w:cs="Times New Roman"/>
          <w:color w:val="000000"/>
          <w:sz w:val="24"/>
          <w:szCs w:val="24"/>
        </w:rPr>
        <w:t>Matching funds may be cash or in-kind contributions (non-federal funds) by the provider. Match may come from a single source or from multiple sources within the region. Match may occur in one object code, such as personal services, or across the various object codes. Match may be expended and reported in a single quarter or multiple quarters during the grant period.</w:t>
      </w:r>
      <w:r w:rsidR="00276614">
        <w:rPr>
          <w:rFonts w:ascii="Times New Roman" w:eastAsia="Times New Roman" w:hAnsi="Times New Roman" w:cs="Times New Roman"/>
          <w:color w:val="000000"/>
          <w:sz w:val="24"/>
          <w:szCs w:val="24"/>
        </w:rPr>
        <w:t xml:space="preserve"> </w:t>
      </w:r>
      <w:r w:rsidR="00305336">
        <w:rPr>
          <w:rFonts w:ascii="Times New Roman" w:eastAsia="Times New Roman" w:hAnsi="Times New Roman" w:cs="Times New Roman"/>
          <w:color w:val="000000"/>
          <w:sz w:val="24"/>
          <w:szCs w:val="24"/>
        </w:rPr>
        <w:t>Some c</w:t>
      </w:r>
      <w:r w:rsidRPr="00B131CA">
        <w:rPr>
          <w:rFonts w:ascii="Times New Roman" w:eastAsia="Times New Roman" w:hAnsi="Times New Roman" w:cs="Times New Roman"/>
          <w:color w:val="000000"/>
          <w:sz w:val="24"/>
          <w:szCs w:val="24"/>
        </w:rPr>
        <w:t>onsiderations for matching funds</w:t>
      </w:r>
      <w:r w:rsidR="00305336">
        <w:rPr>
          <w:rFonts w:ascii="Times New Roman" w:eastAsia="Times New Roman" w:hAnsi="Times New Roman" w:cs="Times New Roman"/>
          <w:color w:val="000000"/>
          <w:sz w:val="24"/>
          <w:szCs w:val="24"/>
        </w:rPr>
        <w:t xml:space="preserve"> are listed below</w:t>
      </w:r>
      <w:r w:rsidRPr="00B131CA">
        <w:rPr>
          <w:rFonts w:ascii="Times New Roman" w:eastAsia="Times New Roman" w:hAnsi="Times New Roman" w:cs="Times New Roman"/>
          <w:color w:val="000000"/>
          <w:sz w:val="24"/>
          <w:szCs w:val="24"/>
        </w:rPr>
        <w:t>:</w:t>
      </w:r>
    </w:p>
    <w:p w14:paraId="00000120" w14:textId="77777777" w:rsidR="002F3C8D" w:rsidRPr="00B131CA" w:rsidRDefault="00BF5CDA" w:rsidP="00022694">
      <w:pPr>
        <w:numPr>
          <w:ilvl w:val="0"/>
          <w:numId w:val="2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 expenditures identified as supported by local matching funds must be for the direct support of program activities.</w:t>
      </w:r>
    </w:p>
    <w:p w14:paraId="00000121" w14:textId="77777777" w:rsidR="002F3C8D" w:rsidRPr="00B131CA" w:rsidRDefault="00BF5CDA" w:rsidP="00022694">
      <w:pPr>
        <w:numPr>
          <w:ilvl w:val="0"/>
          <w:numId w:val="2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When applicable, documentation must be maintained and is required to identify the percentage of support converted to a dollar amount. Common instances of this requirement include salaries, rent, and utilities.</w:t>
      </w:r>
    </w:p>
    <w:p w14:paraId="00000122" w14:textId="39A4E935" w:rsidR="002F3C8D" w:rsidRPr="00B131CA" w:rsidRDefault="00BF5CDA" w:rsidP="00022694">
      <w:pPr>
        <w:numPr>
          <w:ilvl w:val="0"/>
          <w:numId w:val="2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Rent costs may be </w:t>
      </w:r>
      <w:r w:rsidRPr="00B131CA">
        <w:rPr>
          <w:rFonts w:ascii="Times New Roman" w:eastAsia="Times New Roman" w:hAnsi="Times New Roman" w:cs="Times New Roman"/>
          <w:sz w:val="24"/>
          <w:szCs w:val="24"/>
        </w:rPr>
        <w:t>declared</w:t>
      </w:r>
      <w:r w:rsidRPr="00B131CA">
        <w:rPr>
          <w:rFonts w:ascii="Times New Roman" w:eastAsia="Times New Roman" w:hAnsi="Times New Roman" w:cs="Times New Roman"/>
          <w:color w:val="000000"/>
          <w:sz w:val="24"/>
          <w:szCs w:val="24"/>
        </w:rPr>
        <w:t xml:space="preserve"> as match and must be based on the current fair market rental rate in the program area. This applies when state, local school, community college, or other agency property is used as space to support program activities. </w:t>
      </w:r>
      <w:r w:rsidR="00556E47">
        <w:rPr>
          <w:rFonts w:ascii="Times New Roman" w:eastAsia="Times New Roman" w:hAnsi="Times New Roman" w:cs="Times New Roman"/>
          <w:color w:val="000000"/>
          <w:sz w:val="24"/>
          <w:szCs w:val="24"/>
        </w:rPr>
        <w:t xml:space="preserve">Determine what the space would cost if it were to be rented by an outside group. </w:t>
      </w:r>
      <w:r w:rsidRPr="00B131CA">
        <w:rPr>
          <w:rFonts w:ascii="Times New Roman" w:eastAsia="Times New Roman" w:hAnsi="Times New Roman" w:cs="Times New Roman"/>
          <w:color w:val="000000"/>
          <w:sz w:val="24"/>
          <w:szCs w:val="24"/>
        </w:rPr>
        <w:t>Documentation of an appraisal of fair market rental rate for the area is required to be maintained. The percentage</w:t>
      </w:r>
      <w:r w:rsidR="00F80744">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of</w:t>
      </w:r>
      <w:r w:rsidR="00F80744">
        <w:rPr>
          <w:rFonts w:ascii="Times New Roman" w:eastAsia="Times New Roman" w:hAnsi="Times New Roman" w:cs="Times New Roman"/>
          <w:color w:val="000000"/>
          <w:sz w:val="24"/>
          <w:szCs w:val="24"/>
        </w:rPr>
        <w:t xml:space="preserve">-use </w:t>
      </w:r>
      <w:r w:rsidRPr="00B131CA">
        <w:rPr>
          <w:rFonts w:ascii="Times New Roman" w:eastAsia="Times New Roman" w:hAnsi="Times New Roman" w:cs="Times New Roman"/>
          <w:color w:val="000000"/>
          <w:sz w:val="24"/>
          <w:szCs w:val="24"/>
        </w:rPr>
        <w:t>time must be converted to a dollar amount.</w:t>
      </w:r>
    </w:p>
    <w:p w14:paraId="00000123" w14:textId="24BA0793" w:rsidR="002F3C8D" w:rsidRPr="00B131CA" w:rsidRDefault="00BF5CDA" w:rsidP="00022694">
      <w:pPr>
        <w:numPr>
          <w:ilvl w:val="0"/>
          <w:numId w:val="26"/>
        </w:numPr>
        <w:pBdr>
          <w:top w:val="nil"/>
          <w:left w:val="nil"/>
          <w:bottom w:val="nil"/>
          <w:right w:val="nil"/>
          <w:between w:val="nil"/>
        </w:pBdr>
        <w:spacing w:after="20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Volunteer hours may be</w:t>
      </w:r>
      <w:r w:rsidRPr="00B131CA">
        <w:rPr>
          <w:rFonts w:ascii="Times New Roman" w:eastAsia="Times New Roman" w:hAnsi="Times New Roman" w:cs="Times New Roman"/>
          <w:sz w:val="24"/>
          <w:szCs w:val="24"/>
        </w:rPr>
        <w:t xml:space="preserve"> declared</w:t>
      </w:r>
      <w:r w:rsidRPr="00B131CA">
        <w:rPr>
          <w:rFonts w:ascii="Times New Roman" w:eastAsia="Times New Roman" w:hAnsi="Times New Roman" w:cs="Times New Roman"/>
          <w:color w:val="000000"/>
          <w:sz w:val="24"/>
          <w:szCs w:val="24"/>
        </w:rPr>
        <w:t xml:space="preserve"> as match. To report such hours as match, the cash value of volunteer services per hour must be substantiated and the value reported as in-kind. Consult the Independent Sector Value of Volunteer Time </w:t>
      </w:r>
      <w:hyperlink r:id="rId52">
        <w:r w:rsidRPr="00EB7C21">
          <w:rPr>
            <w:rFonts w:ascii="Times New Roman" w:eastAsia="Times New Roman" w:hAnsi="Times New Roman" w:cs="Times New Roman"/>
            <w:color w:val="0000FF"/>
            <w:sz w:val="24"/>
            <w:szCs w:val="24"/>
            <w:u w:val="single"/>
          </w:rPr>
          <w:t>website</w:t>
        </w:r>
      </w:hyperlink>
      <w:r w:rsidRPr="00B131CA">
        <w:rPr>
          <w:rFonts w:ascii="Times New Roman" w:eastAsia="Times New Roman" w:hAnsi="Times New Roman" w:cs="Times New Roman"/>
          <w:color w:val="000000"/>
          <w:sz w:val="24"/>
          <w:szCs w:val="24"/>
        </w:rPr>
        <w:t xml:space="preserve"> for current, fair rates. </w:t>
      </w:r>
    </w:p>
    <w:p w14:paraId="00000124" w14:textId="69E87E99" w:rsidR="002F3C8D" w:rsidRPr="002726B0" w:rsidRDefault="00BF5CDA" w:rsidP="004A0493">
      <w:pPr>
        <w:pStyle w:val="Heading3"/>
        <w:rPr>
          <w:i/>
        </w:rPr>
      </w:pPr>
      <w:bookmarkStart w:id="22" w:name="_Toc174088837"/>
      <w:r w:rsidRPr="002726B0">
        <w:t>Program Income</w:t>
      </w:r>
      <w:bookmarkEnd w:id="22"/>
      <w:r w:rsidRPr="002726B0">
        <w:t> </w:t>
      </w:r>
    </w:p>
    <w:p w14:paraId="00000125" w14:textId="1160A05E"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Program income represents the gross income received by the federal grant recipient (the VDOE) or subrecipient (grantees) directly generated by a grant-supported activity or earned </w:t>
      </w:r>
      <w:proofErr w:type="gramStart"/>
      <w:r w:rsidRPr="00B131CA">
        <w:rPr>
          <w:rFonts w:ascii="Times New Roman" w:eastAsia="Times New Roman" w:hAnsi="Times New Roman" w:cs="Times New Roman"/>
          <w:color w:val="000000"/>
          <w:sz w:val="24"/>
          <w:szCs w:val="24"/>
        </w:rPr>
        <w:t>as a result of</w:t>
      </w:r>
      <w:proofErr w:type="gramEnd"/>
      <w:r w:rsidRPr="00B131CA">
        <w:rPr>
          <w:rFonts w:ascii="Times New Roman" w:eastAsia="Times New Roman" w:hAnsi="Times New Roman" w:cs="Times New Roman"/>
          <w:color w:val="000000"/>
          <w:sz w:val="24"/>
          <w:szCs w:val="24"/>
        </w:rPr>
        <w:t xml:space="preserve"> the grant during the grant period. As a condition of the federal award to the VDOE, the VDOE must ensure that any tuition, fees, or other adult education program expense requirements borne by participants must be equitably administered and not reach levels that have an adverse effect on the participation of </w:t>
      </w:r>
      <w:proofErr w:type="gramStart"/>
      <w:r w:rsidRPr="00B131CA">
        <w:rPr>
          <w:rFonts w:ascii="Times New Roman" w:eastAsia="Times New Roman" w:hAnsi="Times New Roman" w:cs="Times New Roman"/>
          <w:color w:val="000000"/>
          <w:sz w:val="24"/>
          <w:szCs w:val="24"/>
        </w:rPr>
        <w:t>economically disadvantaged</w:t>
      </w:r>
      <w:proofErr w:type="gramEnd"/>
      <w:r w:rsidRPr="00B131CA">
        <w:rPr>
          <w:rFonts w:ascii="Times New Roman" w:eastAsia="Times New Roman" w:hAnsi="Times New Roman" w:cs="Times New Roman"/>
          <w:color w:val="000000"/>
          <w:sz w:val="24"/>
          <w:szCs w:val="24"/>
        </w:rPr>
        <w:t xml:space="preserve"> students.</w:t>
      </w:r>
      <w:r w:rsidR="00032687">
        <w:rPr>
          <w:rFonts w:ascii="Times New Roman" w:eastAsia="Times New Roman" w:hAnsi="Times New Roman" w:cs="Times New Roman"/>
          <w:color w:val="000000"/>
          <w:sz w:val="24"/>
          <w:szCs w:val="24"/>
        </w:rPr>
        <w:t xml:space="preserve"> Opportunities for scholarships or sliding scale tuition should be communicated clearly and alongside the a</w:t>
      </w:r>
      <w:r w:rsidR="00D24C0A">
        <w:rPr>
          <w:rFonts w:ascii="Times New Roman" w:eastAsia="Times New Roman" w:hAnsi="Times New Roman" w:cs="Times New Roman"/>
          <w:color w:val="000000"/>
          <w:sz w:val="24"/>
          <w:szCs w:val="24"/>
        </w:rPr>
        <w:t>nnouncement</w:t>
      </w:r>
      <w:r w:rsidR="00032687">
        <w:rPr>
          <w:rFonts w:ascii="Times New Roman" w:eastAsia="Times New Roman" w:hAnsi="Times New Roman" w:cs="Times New Roman"/>
          <w:color w:val="000000"/>
          <w:sz w:val="24"/>
          <w:szCs w:val="24"/>
        </w:rPr>
        <w:t xml:space="preserve"> of the full fee and tuition costs. </w:t>
      </w:r>
    </w:p>
    <w:p w14:paraId="00000126" w14:textId="693EAC3D"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Per state requirements, </w:t>
      </w:r>
      <w:r w:rsidRPr="00B131CA">
        <w:rPr>
          <w:rFonts w:ascii="Times New Roman" w:eastAsia="Times New Roman" w:hAnsi="Times New Roman" w:cs="Times New Roman"/>
          <w:sz w:val="24"/>
          <w:szCs w:val="24"/>
        </w:rPr>
        <w:t>a provider</w:t>
      </w:r>
      <w:r w:rsidRPr="00B131CA">
        <w:rPr>
          <w:rFonts w:ascii="Times New Roman" w:eastAsia="Times New Roman" w:hAnsi="Times New Roman" w:cs="Times New Roman"/>
          <w:color w:val="000000"/>
          <w:sz w:val="24"/>
          <w:szCs w:val="24"/>
        </w:rPr>
        <w:t xml:space="preserve"> must have a valid and reliable system for tracking, documenting, and reporting the program income and the expenditure of the program income. Applicants planning to collect program income must provide justification for the need for such income. That justification should include how the cost(s) to participants are determined to be equitably administered and do not reach levels that have an adverse effect on the participation of </w:t>
      </w:r>
      <w:proofErr w:type="gramStart"/>
      <w:r w:rsidRPr="00B131CA">
        <w:rPr>
          <w:rFonts w:ascii="Times New Roman" w:eastAsia="Times New Roman" w:hAnsi="Times New Roman" w:cs="Times New Roman"/>
          <w:color w:val="000000"/>
          <w:sz w:val="24"/>
          <w:szCs w:val="24"/>
        </w:rPr>
        <w:t>economically disadvantaged</w:t>
      </w:r>
      <w:proofErr w:type="gramEnd"/>
      <w:r w:rsidRPr="00B131CA">
        <w:rPr>
          <w:rFonts w:ascii="Times New Roman" w:eastAsia="Times New Roman" w:hAnsi="Times New Roman" w:cs="Times New Roman"/>
          <w:color w:val="000000"/>
          <w:sz w:val="24"/>
          <w:szCs w:val="24"/>
        </w:rPr>
        <w:t xml:space="preserve"> participants.</w:t>
      </w:r>
    </w:p>
    <w:p w14:paraId="00000127" w14:textId="34B82E36"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All adult education program income must be spent on items or services within the scope of the provider’s approved title II activities and be used for activities and expenses that would be considered allowable for </w:t>
      </w:r>
      <w:r w:rsidR="00C27A2F">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 xml:space="preserve">federal grant. Efforts must be made to expend the funds within the </w:t>
      </w:r>
      <w:r w:rsidRPr="00B131CA">
        <w:rPr>
          <w:rFonts w:ascii="Times New Roman" w:eastAsia="Times New Roman" w:hAnsi="Times New Roman" w:cs="Times New Roman"/>
          <w:color w:val="000000"/>
          <w:sz w:val="24"/>
          <w:szCs w:val="24"/>
        </w:rPr>
        <w:lastRenderedPageBreak/>
        <w:t xml:space="preserve">fiscal quarter in which </w:t>
      </w:r>
      <w:r w:rsidR="00CD3B25">
        <w:rPr>
          <w:rFonts w:ascii="Times New Roman" w:eastAsia="Times New Roman" w:hAnsi="Times New Roman" w:cs="Times New Roman"/>
          <w:color w:val="000000"/>
          <w:sz w:val="24"/>
          <w:szCs w:val="24"/>
        </w:rPr>
        <w:t>they were</w:t>
      </w:r>
      <w:r w:rsidRPr="00B131CA">
        <w:rPr>
          <w:rFonts w:ascii="Times New Roman" w:eastAsia="Times New Roman" w:hAnsi="Times New Roman" w:cs="Times New Roman"/>
          <w:color w:val="000000"/>
          <w:sz w:val="24"/>
          <w:szCs w:val="24"/>
        </w:rPr>
        <w:t xml:space="preserve"> collected and must be spent in the same fiscal year. Program income may not be used to fulfill local match obligations and may not be used as general funds unless it is directly available to support grant services and is maintained as a separate line item. Expenditures must be tracked and reported quarterly by the object codes. Program income is flexible in that it is not designated within an object code when it is collected and may be used in any object code for allowable purchases.</w:t>
      </w:r>
    </w:p>
    <w:p w14:paraId="00000128" w14:textId="3A8A28A7" w:rsidR="002F3C8D" w:rsidRPr="002726B0" w:rsidRDefault="00BF5CDA" w:rsidP="004A0493">
      <w:pPr>
        <w:pStyle w:val="Heading3"/>
        <w:rPr>
          <w:i/>
        </w:rPr>
      </w:pPr>
      <w:bookmarkStart w:id="23" w:name="_Toc174088838"/>
      <w:r w:rsidRPr="002726B0">
        <w:t>Reimbursements</w:t>
      </w:r>
      <w:bookmarkEnd w:id="23"/>
    </w:p>
    <w:p w14:paraId="00000129" w14:textId="304745AB" w:rsidR="002F3C8D" w:rsidRPr="00B131CA" w:rsidRDefault="00BF5CD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Expenditures are reimbursed through the Online Management of Education Grant Awards (OMEGA), a web-based grant reimbursement system. All </w:t>
      </w:r>
      <w:r w:rsidRPr="00B131CA">
        <w:rPr>
          <w:rFonts w:ascii="Times New Roman" w:eastAsia="Times New Roman" w:hAnsi="Times New Roman" w:cs="Times New Roman"/>
          <w:sz w:val="24"/>
          <w:szCs w:val="24"/>
        </w:rPr>
        <w:t>provider</w:t>
      </w:r>
      <w:r w:rsidRPr="00B131CA">
        <w:rPr>
          <w:rFonts w:ascii="Times New Roman" w:eastAsia="Times New Roman" w:hAnsi="Times New Roman" w:cs="Times New Roman"/>
          <w:color w:val="000000"/>
          <w:sz w:val="24"/>
          <w:szCs w:val="24"/>
        </w:rPr>
        <w:t xml:space="preserve">s, except </w:t>
      </w:r>
      <w:r w:rsidR="00011C05" w:rsidRPr="00B131CA">
        <w:rPr>
          <w:rFonts w:ascii="Times New Roman" w:eastAsia="Times New Roman" w:hAnsi="Times New Roman" w:cs="Times New Roman"/>
          <w:color w:val="000000"/>
          <w:sz w:val="24"/>
          <w:szCs w:val="24"/>
        </w:rPr>
        <w:t xml:space="preserve">community-based literacy organizations </w:t>
      </w:r>
      <w:r w:rsidR="00011C05">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CBLOs</w:t>
      </w:r>
      <w:r w:rsidR="00011C05">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manage federal and most state funds through OMEGA. CBLOs manage federal reimbursement requests through a paper-based system. Community college fiscal agents must manage the state funds of GAE and SLCA through the paper-based reimbursement requests. The forms are provided by the adult education state team</w:t>
      </w:r>
      <w:r w:rsidR="00A476A5">
        <w:rPr>
          <w:rFonts w:ascii="Times New Roman" w:eastAsia="Times New Roman" w:hAnsi="Times New Roman" w:cs="Times New Roman"/>
          <w:color w:val="000000"/>
          <w:sz w:val="24"/>
          <w:szCs w:val="24"/>
        </w:rPr>
        <w:t xml:space="preserve"> at the start of the fiscal year</w:t>
      </w:r>
      <w:r w:rsidRPr="00B131CA">
        <w:rPr>
          <w:rFonts w:ascii="Times New Roman" w:eastAsia="Times New Roman" w:hAnsi="Times New Roman" w:cs="Times New Roman"/>
          <w:color w:val="000000"/>
          <w:sz w:val="24"/>
          <w:szCs w:val="24"/>
        </w:rPr>
        <w:t>.</w:t>
      </w:r>
    </w:p>
    <w:p w14:paraId="0000012A" w14:textId="46F5C89C" w:rsidR="002F3C8D" w:rsidRDefault="00BF5CDA">
      <w:pPr>
        <w:pBdr>
          <w:top w:val="nil"/>
          <w:left w:val="nil"/>
          <w:bottom w:val="nil"/>
          <w:right w:val="nil"/>
          <w:between w:val="nil"/>
        </w:pBdr>
        <w:spacing w:before="200"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Use the OMEGA User’s Guide and </w:t>
      </w:r>
      <w:hyperlink r:id="rId53">
        <w:r w:rsidRPr="00EB7C21">
          <w:rPr>
            <w:rFonts w:ascii="Times New Roman" w:eastAsia="Times New Roman" w:hAnsi="Times New Roman" w:cs="Times New Roman"/>
            <w:color w:val="0000FF"/>
            <w:sz w:val="24"/>
            <w:szCs w:val="24"/>
            <w:u w:val="single"/>
          </w:rPr>
          <w:t>technical assistance resources</w:t>
        </w:r>
      </w:hyperlink>
      <w:r w:rsidRPr="00B131CA">
        <w:rPr>
          <w:rFonts w:ascii="Times New Roman" w:eastAsia="Times New Roman" w:hAnsi="Times New Roman" w:cs="Times New Roman"/>
          <w:color w:val="000000"/>
          <w:sz w:val="24"/>
          <w:szCs w:val="24"/>
        </w:rPr>
        <w:t xml:space="preserve"> provided by the VDOE in order to propose a budget as well as request a reimbursement. The accounting </w:t>
      </w:r>
      <w:hyperlink r:id="rId54">
        <w:r w:rsidRPr="00EB7C21">
          <w:rPr>
            <w:rFonts w:ascii="Times New Roman" w:eastAsia="Times New Roman" w:hAnsi="Times New Roman" w:cs="Times New Roman"/>
            <w:color w:val="0000FF"/>
            <w:sz w:val="24"/>
            <w:szCs w:val="24"/>
            <w:u w:val="single"/>
          </w:rPr>
          <w:t>codes</w:t>
        </w:r>
      </w:hyperlink>
      <w:r w:rsidRPr="00B131CA">
        <w:rPr>
          <w:rFonts w:ascii="Times New Roman" w:eastAsia="Times New Roman" w:hAnsi="Times New Roman" w:cs="Times New Roman"/>
          <w:color w:val="000000"/>
          <w:sz w:val="24"/>
          <w:szCs w:val="24"/>
        </w:rPr>
        <w:t xml:space="preserve"> are to be used by fiscal agents requesting reimbursements through OMEGA or through paper-based reimbursement requests. </w:t>
      </w:r>
    </w:p>
    <w:p w14:paraId="6483DBF4" w14:textId="2F0C168A" w:rsidR="00A96B35" w:rsidRPr="00B131CA" w:rsidRDefault="00A96B35">
      <w:pPr>
        <w:pBdr>
          <w:top w:val="nil"/>
          <w:left w:val="nil"/>
          <w:bottom w:val="nil"/>
          <w:right w:val="nil"/>
          <w:between w:val="nil"/>
        </w:pBdr>
        <w:spacing w:before="200"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 the </w:t>
      </w:r>
      <w:r w:rsidR="001D26B3">
        <w:rPr>
          <w:rFonts w:ascii="Times New Roman" w:eastAsia="Times New Roman" w:hAnsi="Times New Roman" w:cs="Times New Roman"/>
          <w:color w:val="000000"/>
          <w:sz w:val="24"/>
          <w:szCs w:val="24"/>
        </w:rPr>
        <w:t xml:space="preserve">Appendix </w:t>
      </w:r>
      <w:r w:rsidR="00A305C6">
        <w:rPr>
          <w:rFonts w:ascii="Times New Roman" w:eastAsia="Times New Roman" w:hAnsi="Times New Roman" w:cs="Times New Roman"/>
          <w:color w:val="000000"/>
          <w:sz w:val="24"/>
          <w:szCs w:val="24"/>
        </w:rPr>
        <w:t>A</w:t>
      </w:r>
      <w:r w:rsidR="001D26B3">
        <w:rPr>
          <w:rFonts w:ascii="Times New Roman" w:eastAsia="Times New Roman" w:hAnsi="Times New Roman" w:cs="Times New Roman"/>
          <w:color w:val="000000"/>
          <w:sz w:val="24"/>
          <w:szCs w:val="24"/>
        </w:rPr>
        <w:t>: OMEGA AEFLA and Related Awards Reimbursement Submission Tips</w:t>
      </w:r>
      <w:r>
        <w:rPr>
          <w:rFonts w:ascii="Times New Roman" w:eastAsia="Times New Roman" w:hAnsi="Times New Roman" w:cs="Times New Roman"/>
          <w:color w:val="000000"/>
          <w:sz w:val="24"/>
          <w:szCs w:val="24"/>
        </w:rPr>
        <w:t xml:space="preserve"> for examples and tips for budgeting and seeking reimbursements for the types of activities funded through the adult education program. </w:t>
      </w:r>
    </w:p>
    <w:p w14:paraId="0000012B" w14:textId="49BBE4E6"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For federal awards, if payroll dates for June expenses fall in July (that is, the pay date is in the next program year) a request for reimbursement for these funds may be submitted with July expenditure dates</w:t>
      </w:r>
      <w:r w:rsidRPr="00B131CA">
        <w:rPr>
          <w:rFonts w:ascii="Times New Roman" w:eastAsia="Times New Roman" w:hAnsi="Times New Roman" w:cs="Times New Roman"/>
          <w:sz w:val="24"/>
          <w:szCs w:val="24"/>
        </w:rPr>
        <w:t xml:space="preserve"> but </w:t>
      </w:r>
      <w:r w:rsidR="001F2498">
        <w:rPr>
          <w:rFonts w:ascii="Times New Roman" w:eastAsia="Times New Roman" w:hAnsi="Times New Roman" w:cs="Times New Roman"/>
          <w:sz w:val="24"/>
          <w:szCs w:val="24"/>
        </w:rPr>
        <w:t>must</w:t>
      </w:r>
      <w:r w:rsidR="001F2498"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be charged to the fiscal year in which the charges </w:t>
      </w:r>
      <w:r w:rsidR="001F2498">
        <w:rPr>
          <w:rFonts w:ascii="Times New Roman" w:eastAsia="Times New Roman" w:hAnsi="Times New Roman" w:cs="Times New Roman"/>
          <w:sz w:val="24"/>
          <w:szCs w:val="24"/>
        </w:rPr>
        <w:t>were expended</w:t>
      </w:r>
      <w:r w:rsidRPr="00B131CA">
        <w:rPr>
          <w:rFonts w:ascii="Times New Roman" w:eastAsia="Times New Roman" w:hAnsi="Times New Roman" w:cs="Times New Roman"/>
          <w:sz w:val="24"/>
          <w:szCs w:val="24"/>
        </w:rPr>
        <w:t xml:space="preserve">. </w:t>
      </w:r>
    </w:p>
    <w:p w14:paraId="0000012D" w14:textId="48492971" w:rsidR="002F3C8D" w:rsidRPr="00F6611B" w:rsidRDefault="00BF5CDA" w:rsidP="00F6611B">
      <w:pPr>
        <w:pBdr>
          <w:top w:val="nil"/>
          <w:left w:val="nil"/>
          <w:bottom w:val="nil"/>
          <w:right w:val="nil"/>
          <w:between w:val="nil"/>
        </w:pBdr>
        <w:spacing w:after="200" w:line="240" w:lineRule="auto"/>
        <w:rPr>
          <w:rFonts w:ascii="Times New Roman" w:hAnsi="Times New Roman"/>
          <w:sz w:val="24"/>
        </w:rPr>
      </w:pPr>
      <w:r w:rsidRPr="00F6611B">
        <w:rPr>
          <w:rFonts w:ascii="Times New Roman" w:hAnsi="Times New Roman"/>
          <w:b/>
          <w:color w:val="000000"/>
          <w:sz w:val="24"/>
        </w:rPr>
        <w:t>Budget Amendments</w:t>
      </w:r>
      <w:r w:rsidR="00F6611B">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 xml:space="preserve">It is to be expected that budget plans </w:t>
      </w:r>
      <w:r w:rsidR="003E6C0A">
        <w:rPr>
          <w:rFonts w:ascii="Times New Roman" w:eastAsia="Times New Roman" w:hAnsi="Times New Roman" w:cs="Times New Roman"/>
          <w:color w:val="000000"/>
          <w:sz w:val="24"/>
          <w:szCs w:val="24"/>
        </w:rPr>
        <w:t xml:space="preserve">may </w:t>
      </w:r>
      <w:r w:rsidRPr="00B131CA">
        <w:rPr>
          <w:rFonts w:ascii="Times New Roman" w:eastAsia="Times New Roman" w:hAnsi="Times New Roman" w:cs="Times New Roman"/>
          <w:color w:val="000000"/>
          <w:sz w:val="24"/>
          <w:szCs w:val="24"/>
        </w:rPr>
        <w:t xml:space="preserve">need to be updated as the grants </w:t>
      </w:r>
      <w:r w:rsidRPr="00B131CA">
        <w:rPr>
          <w:rFonts w:ascii="Times New Roman" w:eastAsia="Times New Roman" w:hAnsi="Times New Roman" w:cs="Times New Roman"/>
          <w:sz w:val="24"/>
          <w:szCs w:val="24"/>
        </w:rPr>
        <w:t>are under</w:t>
      </w:r>
      <w:r w:rsidR="00575486"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way</w:t>
      </w:r>
      <w:r w:rsidRPr="00B131CA">
        <w:rPr>
          <w:rFonts w:ascii="Times New Roman" w:eastAsia="Times New Roman" w:hAnsi="Times New Roman" w:cs="Times New Roman"/>
          <w:color w:val="000000"/>
          <w:sz w:val="24"/>
          <w:szCs w:val="24"/>
        </w:rPr>
        <w:t xml:space="preserve">. If the need to shift funds arises, budget amendments are allowed and are handled in two ways. If the funds need to transfer from one object code to another, submit a budget transfer within OMEGA providing sufficient detail in the comments section or in an email to the grant manager. If funds are being transferred within </w:t>
      </w:r>
      <w:r w:rsidR="001F2498">
        <w:rPr>
          <w:rFonts w:ascii="Times New Roman" w:eastAsia="Times New Roman" w:hAnsi="Times New Roman" w:cs="Times New Roman"/>
          <w:color w:val="000000"/>
          <w:sz w:val="24"/>
          <w:szCs w:val="24"/>
        </w:rPr>
        <w:t>the same object</w:t>
      </w:r>
      <w:r w:rsidR="001F2498"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code but from one </w:t>
      </w:r>
      <w:r w:rsidRPr="00B131CA">
        <w:rPr>
          <w:rFonts w:ascii="Times New Roman" w:eastAsia="Times New Roman" w:hAnsi="Times New Roman" w:cs="Times New Roman"/>
          <w:sz w:val="24"/>
          <w:szCs w:val="24"/>
        </w:rPr>
        <w:t>planned item</w:t>
      </w:r>
      <w:r w:rsidRPr="00B131CA">
        <w:rPr>
          <w:rFonts w:ascii="Times New Roman" w:eastAsia="Times New Roman" w:hAnsi="Times New Roman" w:cs="Times New Roman"/>
          <w:color w:val="000000"/>
          <w:sz w:val="24"/>
          <w:szCs w:val="24"/>
        </w:rPr>
        <w:t xml:space="preserve"> to a different item, no budget transfer is required; however, communicate this transfer</w:t>
      </w:r>
      <w:r w:rsidR="003E6C0A">
        <w:rPr>
          <w:rFonts w:ascii="Times New Roman" w:eastAsia="Times New Roman" w:hAnsi="Times New Roman" w:cs="Times New Roman"/>
          <w:color w:val="000000"/>
          <w:sz w:val="24"/>
          <w:szCs w:val="24"/>
        </w:rPr>
        <w:t xml:space="preserve"> and any changes in program design </w:t>
      </w:r>
      <w:r w:rsidRPr="00B131CA">
        <w:rPr>
          <w:rFonts w:ascii="Times New Roman" w:eastAsia="Times New Roman" w:hAnsi="Times New Roman" w:cs="Times New Roman"/>
          <w:color w:val="000000"/>
          <w:sz w:val="24"/>
          <w:szCs w:val="24"/>
        </w:rPr>
        <w:t xml:space="preserve">with the </w:t>
      </w:r>
      <w:r w:rsidR="00F0002A" w:rsidRPr="00B131CA">
        <w:rPr>
          <w:rFonts w:ascii="Times New Roman" w:eastAsia="Times New Roman" w:hAnsi="Times New Roman" w:cs="Times New Roman"/>
          <w:color w:val="000000"/>
          <w:sz w:val="24"/>
          <w:szCs w:val="24"/>
        </w:rPr>
        <w:t>G</w:t>
      </w:r>
      <w:r w:rsidRPr="00B131CA">
        <w:rPr>
          <w:rFonts w:ascii="Times New Roman" w:eastAsia="Times New Roman" w:hAnsi="Times New Roman" w:cs="Times New Roman"/>
          <w:color w:val="000000"/>
          <w:sz w:val="24"/>
          <w:szCs w:val="24"/>
        </w:rPr>
        <w:t xml:space="preserve">rants </w:t>
      </w:r>
      <w:r w:rsidR="00F0002A" w:rsidRPr="00B131CA">
        <w:rPr>
          <w:rFonts w:ascii="Times New Roman" w:eastAsia="Times New Roman" w:hAnsi="Times New Roman" w:cs="Times New Roman"/>
          <w:color w:val="000000"/>
          <w:sz w:val="24"/>
          <w:szCs w:val="24"/>
        </w:rPr>
        <w:t>M</w:t>
      </w:r>
      <w:r w:rsidRPr="00B131CA">
        <w:rPr>
          <w:rFonts w:ascii="Times New Roman" w:eastAsia="Times New Roman" w:hAnsi="Times New Roman" w:cs="Times New Roman"/>
          <w:color w:val="000000"/>
          <w:sz w:val="24"/>
          <w:szCs w:val="24"/>
        </w:rPr>
        <w:t>anager for tracking purposes. </w:t>
      </w:r>
    </w:p>
    <w:p w14:paraId="0000012E" w14:textId="0A6D4215" w:rsidR="002F3C8D" w:rsidRPr="00F6611B" w:rsidRDefault="00BF5CDA">
      <w:pPr>
        <w:pBdr>
          <w:top w:val="nil"/>
          <w:left w:val="nil"/>
          <w:bottom w:val="nil"/>
          <w:right w:val="nil"/>
          <w:between w:val="nil"/>
        </w:pBdr>
        <w:spacing w:after="200" w:line="240" w:lineRule="auto"/>
        <w:rPr>
          <w:rFonts w:ascii="Times New Roman" w:hAnsi="Times New Roman"/>
          <w:sz w:val="24"/>
        </w:rPr>
      </w:pPr>
      <w:r w:rsidRPr="00B131CA">
        <w:rPr>
          <w:rFonts w:ascii="Times New Roman" w:eastAsia="Times New Roman" w:hAnsi="Times New Roman" w:cs="Times New Roman"/>
          <w:color w:val="000000"/>
          <w:sz w:val="24"/>
          <w:szCs w:val="24"/>
        </w:rPr>
        <w:t xml:space="preserve">Maintain a copy of </w:t>
      </w:r>
      <w:r w:rsidR="003E6C0A">
        <w:rPr>
          <w:rFonts w:ascii="Times New Roman" w:eastAsia="Times New Roman" w:hAnsi="Times New Roman" w:cs="Times New Roman"/>
          <w:color w:val="000000"/>
          <w:sz w:val="24"/>
          <w:szCs w:val="24"/>
        </w:rPr>
        <w:t>the approved</w:t>
      </w:r>
      <w:r w:rsidRPr="00B131CA">
        <w:rPr>
          <w:rFonts w:ascii="Times New Roman" w:eastAsia="Times New Roman" w:hAnsi="Times New Roman" w:cs="Times New Roman"/>
          <w:color w:val="000000"/>
          <w:sz w:val="24"/>
          <w:szCs w:val="24"/>
        </w:rPr>
        <w:t xml:space="preserve"> budget workbook with proposed and actual expenditures through the program year. This allows for accurate estimates when transferring funds and planning to expend the funds fully by the end of the grant period.</w:t>
      </w:r>
    </w:p>
    <w:p w14:paraId="00000130" w14:textId="37D5C11F" w:rsidR="002F3C8D" w:rsidRPr="00B131CA" w:rsidRDefault="00BF5CDA" w:rsidP="00276614">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sidRPr="00F6611B">
        <w:rPr>
          <w:rFonts w:ascii="Times New Roman" w:hAnsi="Times New Roman"/>
          <w:b/>
          <w:color w:val="000000"/>
          <w:sz w:val="24"/>
        </w:rPr>
        <w:t>Encumbrance Dates</w:t>
      </w:r>
      <w:r w:rsidR="00F6611B">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 xml:space="preserve">Because adult education grants (federal and state awards) are “cost reimbursable,” fiscal agents must handle expenditures prior to requesting reimbursements. </w:t>
      </w:r>
      <w:r w:rsidR="0073769F">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SLCA</w:t>
      </w:r>
      <w:r w:rsidR="0073769F">
        <w:rPr>
          <w:rFonts w:ascii="Times New Roman" w:eastAsia="Times New Roman" w:hAnsi="Times New Roman" w:cs="Times New Roman"/>
          <w:color w:val="000000"/>
          <w:sz w:val="24"/>
          <w:szCs w:val="24"/>
        </w:rPr>
        <w:t xml:space="preserve"> funding</w:t>
      </w:r>
      <w:r w:rsidRPr="00B131CA">
        <w:rPr>
          <w:rFonts w:ascii="Times New Roman" w:eastAsia="Times New Roman" w:hAnsi="Times New Roman" w:cs="Times New Roman"/>
          <w:color w:val="000000"/>
          <w:sz w:val="24"/>
          <w:szCs w:val="24"/>
        </w:rPr>
        <w:t xml:space="preserve"> is an exception when awarded to school division fiscal agents in which case the fiscal agent receives automatic</w:t>
      </w:r>
      <w:r w:rsidR="00C27A2F">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recurring payments. Plan carefully for all funds to be fully encumbered before the final date of the grant period or the date of final reimbursement request. </w:t>
      </w:r>
    </w:p>
    <w:p w14:paraId="00000132" w14:textId="7C6872A9" w:rsidR="002F3C8D" w:rsidRPr="00B131CA" w:rsidRDefault="00BF5CDA" w:rsidP="00F6611B">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period of the grant award is July 1 to June 30 of the next year. All federal funds must be encumbered by June 30</w:t>
      </w:r>
      <w:r w:rsidR="00C27A2F">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and final reimbursements are due to t</w:t>
      </w:r>
      <w:r w:rsidRPr="00B131CA">
        <w:rPr>
          <w:rFonts w:ascii="Times New Roman" w:eastAsia="Times New Roman" w:hAnsi="Times New Roman" w:cs="Times New Roman"/>
          <w:sz w:val="24"/>
          <w:szCs w:val="24"/>
        </w:rPr>
        <w:t xml:space="preserve">he </w:t>
      </w:r>
      <w:r w:rsidRPr="00B131CA">
        <w:rPr>
          <w:rFonts w:ascii="Times New Roman" w:eastAsia="Times New Roman" w:hAnsi="Times New Roman" w:cs="Times New Roman"/>
          <w:color w:val="000000"/>
          <w:sz w:val="24"/>
          <w:szCs w:val="24"/>
        </w:rPr>
        <w:t xml:space="preserve">VDOE in mid-August. State </w:t>
      </w:r>
      <w:r w:rsidRPr="00B131CA">
        <w:rPr>
          <w:rFonts w:ascii="Times New Roman" w:eastAsia="Times New Roman" w:hAnsi="Times New Roman" w:cs="Times New Roman"/>
          <w:color w:val="000000"/>
          <w:sz w:val="24"/>
          <w:szCs w:val="24"/>
        </w:rPr>
        <w:lastRenderedPageBreak/>
        <w:t>funds expire earlier in the spring. See the Calendar of Due Dates for exact dates; plan to have final reimbursement requests</w:t>
      </w:r>
      <w:r w:rsidR="003E6C0A">
        <w:rPr>
          <w:rFonts w:ascii="Times New Roman" w:eastAsia="Times New Roman" w:hAnsi="Times New Roman" w:cs="Times New Roman"/>
          <w:color w:val="000000"/>
          <w:sz w:val="24"/>
          <w:szCs w:val="24"/>
        </w:rPr>
        <w:t xml:space="preserve"> for state funds</w:t>
      </w:r>
      <w:r w:rsidRPr="00B131CA">
        <w:rPr>
          <w:rFonts w:ascii="Times New Roman" w:eastAsia="Times New Roman" w:hAnsi="Times New Roman" w:cs="Times New Roman"/>
          <w:color w:val="000000"/>
          <w:sz w:val="24"/>
          <w:szCs w:val="24"/>
        </w:rPr>
        <w:t xml:space="preserve"> to the VDOE by mid-May. </w:t>
      </w:r>
    </w:p>
    <w:p w14:paraId="00000134" w14:textId="2B54504B" w:rsidR="002F3C8D" w:rsidRPr="00F6611B" w:rsidRDefault="00BF5CDA" w:rsidP="00F6611B">
      <w:pPr>
        <w:pBdr>
          <w:top w:val="nil"/>
          <w:left w:val="nil"/>
          <w:bottom w:val="nil"/>
          <w:right w:val="nil"/>
          <w:between w:val="nil"/>
        </w:pBdr>
        <w:spacing w:after="200" w:line="240" w:lineRule="auto"/>
        <w:rPr>
          <w:rFonts w:ascii="Times New Roman" w:eastAsia="Times New Roman" w:hAnsi="Times New Roman" w:cs="Times New Roman"/>
          <w:b/>
          <w:color w:val="000000"/>
          <w:sz w:val="24"/>
          <w:szCs w:val="24"/>
        </w:rPr>
      </w:pPr>
      <w:r w:rsidRPr="00F6611B">
        <w:rPr>
          <w:rFonts w:ascii="Times New Roman" w:hAnsi="Times New Roman"/>
          <w:b/>
          <w:color w:val="000000"/>
          <w:sz w:val="24"/>
        </w:rPr>
        <w:t>Expenditure Documentation</w:t>
      </w:r>
      <w:r w:rsidR="00F6611B" w:rsidRPr="00F6611B">
        <w:rPr>
          <w:rFonts w:ascii="Times New Roman" w:eastAsia="Times New Roman" w:hAnsi="Times New Roman" w:cs="Times New Roman"/>
          <w:color w:val="000000"/>
          <w:sz w:val="24"/>
          <w:szCs w:val="24"/>
        </w:rPr>
        <w:t>.</w:t>
      </w:r>
      <w:r w:rsidR="00F6611B">
        <w:rPr>
          <w:rFonts w:ascii="Times New Roman" w:eastAsia="Times New Roman" w:hAnsi="Times New Roman" w:cs="Times New Roman"/>
          <w:b/>
          <w:color w:val="000000"/>
          <w:sz w:val="24"/>
          <w:szCs w:val="24"/>
        </w:rPr>
        <w:t xml:space="preserve"> </w:t>
      </w:r>
      <w:r w:rsidRPr="00B131CA">
        <w:rPr>
          <w:rFonts w:ascii="Times New Roman" w:eastAsia="Times New Roman" w:hAnsi="Times New Roman" w:cs="Times New Roman"/>
          <w:color w:val="000000"/>
          <w:sz w:val="24"/>
          <w:szCs w:val="24"/>
        </w:rPr>
        <w:t xml:space="preserve">Maintain adequate documentation of all expenditures with a level of detail necessary to describe the services received, benefits accrued to the grant program, actual time and effort expended, and the internal controls in place in your organization. For example, if a small purchase was charged to a division’s credit card, maintain the receipt and the signed approval of it that documents where </w:t>
      </w:r>
      <w:r w:rsidR="00BC5721">
        <w:rPr>
          <w:rFonts w:ascii="Times New Roman" w:eastAsia="Times New Roman" w:hAnsi="Times New Roman" w:cs="Times New Roman"/>
          <w:color w:val="000000"/>
          <w:sz w:val="24"/>
          <w:szCs w:val="24"/>
        </w:rPr>
        <w:t>and/</w:t>
      </w:r>
      <w:r w:rsidRPr="00B131CA">
        <w:rPr>
          <w:rFonts w:ascii="Times New Roman" w:eastAsia="Times New Roman" w:hAnsi="Times New Roman" w:cs="Times New Roman"/>
          <w:color w:val="000000"/>
          <w:sz w:val="24"/>
          <w:szCs w:val="24"/>
        </w:rPr>
        <w:t xml:space="preserve">or how the purchase is serving the grant </w:t>
      </w:r>
      <w:r w:rsidR="00941B41">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e.g. lockable box for transport of confidential files between satellite campus and main office</w:t>
      </w:r>
      <w:r w:rsidR="00941B41">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Although these documents are not submitted with OMEGA reimbursement requests, they must be available upon</w:t>
      </w:r>
      <w:r w:rsidR="0073769F">
        <w:rPr>
          <w:rFonts w:ascii="Times New Roman" w:eastAsia="Times New Roman" w:hAnsi="Times New Roman" w:cs="Times New Roman"/>
          <w:color w:val="000000"/>
          <w:sz w:val="24"/>
          <w:szCs w:val="24"/>
        </w:rPr>
        <w:t xml:space="preserve"> request</w:t>
      </w:r>
      <w:r w:rsidRPr="00B131CA">
        <w:rPr>
          <w:rFonts w:ascii="Times New Roman" w:eastAsia="Times New Roman" w:hAnsi="Times New Roman" w:cs="Times New Roman"/>
          <w:color w:val="000000"/>
          <w:sz w:val="24"/>
          <w:szCs w:val="24"/>
        </w:rPr>
        <w:t xml:space="preserve"> and are a part of an on-site monitoring visit. Records must be maintained according to the Library of Virginia Records Retention policies (section</w:t>
      </w:r>
      <w:r w:rsidR="00F302BB">
        <w:rPr>
          <w:rFonts w:ascii="Times New Roman" w:eastAsia="Times New Roman" w:hAnsi="Times New Roman" w:cs="Times New Roman"/>
          <w:color w:val="000000"/>
          <w:sz w:val="24"/>
          <w:szCs w:val="24"/>
        </w:rPr>
        <w:t xml:space="preserve"> Overview of Federal and State Regulations, subsection: State Code and Regulations</w:t>
      </w:r>
      <w:r w:rsidRPr="00B131CA">
        <w:rPr>
          <w:rFonts w:ascii="Times New Roman" w:eastAsia="Times New Roman" w:hAnsi="Times New Roman" w:cs="Times New Roman"/>
          <w:color w:val="000000"/>
          <w:sz w:val="24"/>
          <w:szCs w:val="24"/>
        </w:rPr>
        <w:t>). </w:t>
      </w:r>
    </w:p>
    <w:p w14:paraId="00000135" w14:textId="6A1F2C64" w:rsidR="002F3C8D" w:rsidRPr="002726B0" w:rsidRDefault="00BF5CDA" w:rsidP="004A0493">
      <w:pPr>
        <w:pStyle w:val="Heading3"/>
        <w:rPr>
          <w:i/>
        </w:rPr>
      </w:pPr>
      <w:bookmarkStart w:id="24" w:name="_Toc174088839"/>
      <w:r w:rsidRPr="002726B0">
        <w:t>Reporting Finances</w:t>
      </w:r>
      <w:bookmarkEnd w:id="24"/>
      <w:r w:rsidRPr="002726B0">
        <w:t> </w:t>
      </w:r>
    </w:p>
    <w:p w14:paraId="13BEC167" w14:textId="3C8761C1" w:rsidR="007F371A" w:rsidRDefault="00BF5CDA" w:rsidP="00F6611B">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Program managers are responsible for several qua</w:t>
      </w:r>
      <w:r w:rsidR="0073769F">
        <w:rPr>
          <w:rFonts w:ascii="Times New Roman" w:eastAsia="Times New Roman" w:hAnsi="Times New Roman" w:cs="Times New Roman"/>
          <w:color w:val="000000"/>
          <w:sz w:val="24"/>
          <w:szCs w:val="24"/>
        </w:rPr>
        <w:t>rterly or annual fiscal reports</w:t>
      </w:r>
      <w:r w:rsidRPr="00B131CA">
        <w:rPr>
          <w:rFonts w:ascii="Times New Roman" w:eastAsia="Times New Roman" w:hAnsi="Times New Roman" w:cs="Times New Roman"/>
          <w:color w:val="000000"/>
          <w:sz w:val="24"/>
          <w:szCs w:val="24"/>
        </w:rPr>
        <w:t xml:space="preserve"> in addition to requesting reimbursements in OMEGA or by paper. The chart below provides a brief explanation of what is required and the reporting schedule. Fiscal reports should always be signed by the superintendent, executive director, or college president as a matter of internal controls and segregation of duties. All forms have detailed instructions included within the file on the first worksheet tab. Be sure to check the current Calendar of Due Dates on the </w:t>
      </w:r>
      <w:hyperlink r:id="rId55">
        <w:r w:rsidRPr="00EB7C21">
          <w:rPr>
            <w:rFonts w:ascii="Times New Roman" w:eastAsia="Times New Roman" w:hAnsi="Times New Roman" w:cs="Times New Roman"/>
            <w:color w:val="0000FF"/>
            <w:sz w:val="24"/>
            <w:szCs w:val="24"/>
            <w:u w:val="single"/>
          </w:rPr>
          <w:t>Grants and Funding</w:t>
        </w:r>
      </w:hyperlink>
      <w:r w:rsidRPr="00B131CA">
        <w:rPr>
          <w:rFonts w:ascii="Times New Roman" w:eastAsia="Times New Roman" w:hAnsi="Times New Roman" w:cs="Times New Roman"/>
          <w:color w:val="000000"/>
          <w:sz w:val="24"/>
          <w:szCs w:val="24"/>
        </w:rPr>
        <w:t xml:space="preserve"> webpage for exact due dates. </w:t>
      </w:r>
      <w:r w:rsidR="007F371A">
        <w:rPr>
          <w:rFonts w:ascii="Times New Roman" w:eastAsia="Times New Roman" w:hAnsi="Times New Roman" w:cs="Times New Roman"/>
          <w:color w:val="000000"/>
          <w:sz w:val="24"/>
          <w:szCs w:val="24"/>
        </w:rPr>
        <w:br w:type="page"/>
      </w:r>
    </w:p>
    <w:p w14:paraId="00000137" w14:textId="2B771DCB" w:rsidR="002F3C8D" w:rsidRPr="003D1EE3" w:rsidRDefault="005F60B4">
      <w:pPr>
        <w:pBdr>
          <w:top w:val="nil"/>
          <w:left w:val="nil"/>
          <w:bottom w:val="nil"/>
          <w:right w:val="nil"/>
          <w:between w:val="nil"/>
        </w:pBdr>
        <w:spacing w:after="200" w:line="240" w:lineRule="auto"/>
        <w:rPr>
          <w:rFonts w:ascii="Times New Roman" w:eastAsia="Times New Roman" w:hAnsi="Times New Roman" w:cs="Times New Roman"/>
          <w:b/>
          <w:bCs/>
          <w:color w:val="000000"/>
          <w:sz w:val="24"/>
          <w:szCs w:val="24"/>
        </w:rPr>
      </w:pPr>
      <w:r w:rsidRPr="003D1EE3">
        <w:rPr>
          <w:rFonts w:ascii="Times New Roman" w:eastAsia="Times New Roman" w:hAnsi="Times New Roman" w:cs="Times New Roman"/>
          <w:b/>
          <w:bCs/>
          <w:color w:val="000000"/>
          <w:sz w:val="24"/>
          <w:szCs w:val="24"/>
        </w:rPr>
        <w:lastRenderedPageBreak/>
        <w:t xml:space="preserve">Table 3.2 Descriptions of Fiscal Reports </w:t>
      </w:r>
    </w:p>
    <w:tbl>
      <w:tblPr>
        <w:tblStyle w:val="a0"/>
        <w:tblW w:w="9349" w:type="dxa"/>
        <w:tblInd w:w="360" w:type="dxa"/>
        <w:tblLayout w:type="fixed"/>
        <w:tblLook w:val="0420" w:firstRow="1" w:lastRow="0" w:firstColumn="0" w:lastColumn="0" w:noHBand="0" w:noVBand="1"/>
        <w:tblCaption w:val="Descriptions of Fiscal Reports "/>
      </w:tblPr>
      <w:tblGrid>
        <w:gridCol w:w="1772"/>
        <w:gridCol w:w="6003"/>
        <w:gridCol w:w="1574"/>
      </w:tblGrid>
      <w:tr w:rsidR="00B95156" w:rsidRPr="00B95156" w14:paraId="62FAEAE8" w14:textId="77777777" w:rsidTr="00F6611B">
        <w:trPr>
          <w:trHeight w:val="512"/>
          <w:tblHeader/>
        </w:trPr>
        <w:tc>
          <w:tcPr>
            <w:tcW w:w="17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tcPr>
          <w:p w14:paraId="00000138" w14:textId="77777777" w:rsidR="002F3C8D" w:rsidRPr="007144D4" w:rsidRDefault="00BF5CDA" w:rsidP="007144D4">
            <w:pPr>
              <w:rPr>
                <w:rFonts w:ascii="Times New Roman" w:hAnsi="Times New Roman" w:cs="Times New Roman"/>
                <w:b/>
                <w:sz w:val="24"/>
              </w:rPr>
            </w:pPr>
            <w:r w:rsidRPr="007144D4">
              <w:rPr>
                <w:rFonts w:ascii="Times New Roman" w:hAnsi="Times New Roman" w:cs="Times New Roman"/>
                <w:b/>
                <w:sz w:val="24"/>
              </w:rPr>
              <w:t>Name of Report</w:t>
            </w:r>
          </w:p>
        </w:tc>
        <w:tc>
          <w:tcPr>
            <w:tcW w:w="60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tcPr>
          <w:p w14:paraId="00000139" w14:textId="77777777" w:rsidR="002F3C8D" w:rsidRPr="007144D4" w:rsidRDefault="00BF5CDA" w:rsidP="007144D4">
            <w:pPr>
              <w:rPr>
                <w:rFonts w:ascii="Times New Roman" w:hAnsi="Times New Roman" w:cs="Times New Roman"/>
                <w:b/>
                <w:sz w:val="24"/>
              </w:rPr>
            </w:pPr>
            <w:r w:rsidRPr="007144D4">
              <w:rPr>
                <w:rFonts w:ascii="Times New Roman" w:hAnsi="Times New Roman" w:cs="Times New Roman"/>
                <w:b/>
                <w:sz w:val="24"/>
              </w:rPr>
              <w:t>Brief Description </w:t>
            </w:r>
          </w:p>
        </w:tc>
        <w:tc>
          <w:tcPr>
            <w:tcW w:w="157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tcPr>
          <w:p w14:paraId="0000013A" w14:textId="77777777" w:rsidR="002F3C8D" w:rsidRPr="007144D4" w:rsidRDefault="00BF5CDA" w:rsidP="007144D4">
            <w:pPr>
              <w:rPr>
                <w:rFonts w:ascii="Times New Roman" w:hAnsi="Times New Roman" w:cs="Times New Roman"/>
                <w:b/>
                <w:sz w:val="24"/>
              </w:rPr>
            </w:pPr>
            <w:r w:rsidRPr="007144D4">
              <w:rPr>
                <w:rFonts w:ascii="Times New Roman" w:hAnsi="Times New Roman" w:cs="Times New Roman"/>
                <w:b/>
                <w:sz w:val="24"/>
              </w:rPr>
              <w:t>Schedule of Submission</w:t>
            </w:r>
          </w:p>
        </w:tc>
      </w:tr>
      <w:tr w:rsidR="002F3C8D" w:rsidRPr="00B131CA" w14:paraId="4F12A464" w14:textId="77777777" w:rsidTr="00F6611B">
        <w:trPr>
          <w:trHeight w:val="237"/>
        </w:trPr>
        <w:tc>
          <w:tcPr>
            <w:tcW w:w="1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3B"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Federal Match</w:t>
            </w:r>
          </w:p>
        </w:tc>
        <w:tc>
          <w:tcPr>
            <w:tcW w:w="6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3C" w14:textId="4C9FF262"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This form documents expenditures charged to local match, organized by locality. Local match may be cash or in-kind contributions</w:t>
            </w:r>
            <w:r w:rsidR="005574A8">
              <w:rPr>
                <w:rFonts w:ascii="Times New Roman" w:eastAsia="Times New Roman" w:hAnsi="Times New Roman" w:cs="Times New Roman"/>
                <w:color w:val="000000"/>
                <w:sz w:val="24"/>
                <w:szCs w:val="24"/>
              </w:rPr>
              <w:t xml:space="preserve"> and must be identified as one or the other category</w:t>
            </w:r>
            <w:r w:rsidRPr="00B131CA">
              <w:rPr>
                <w:rFonts w:ascii="Times New Roman" w:eastAsia="Times New Roman" w:hAnsi="Times New Roman" w:cs="Times New Roman"/>
                <w:color w:val="000000"/>
                <w:sz w:val="24"/>
                <w:szCs w:val="24"/>
              </w:rPr>
              <w:t xml:space="preserve">. All </w:t>
            </w:r>
            <w:proofErr w:type="gramStart"/>
            <w:r w:rsidRPr="00B131CA">
              <w:rPr>
                <w:rFonts w:ascii="Times New Roman" w:eastAsia="Times New Roman" w:hAnsi="Times New Roman" w:cs="Times New Roman"/>
                <w:color w:val="000000"/>
                <w:sz w:val="24"/>
                <w:szCs w:val="24"/>
              </w:rPr>
              <w:t>match</w:t>
            </w:r>
            <w:proofErr w:type="gramEnd"/>
            <w:r w:rsidRPr="00B131CA">
              <w:rPr>
                <w:rFonts w:ascii="Times New Roman" w:eastAsia="Times New Roman" w:hAnsi="Times New Roman" w:cs="Times New Roman"/>
                <w:color w:val="000000"/>
                <w:sz w:val="24"/>
                <w:szCs w:val="24"/>
              </w:rPr>
              <w:t xml:space="preserve"> must be expended within the program year.</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3D"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Quarterly</w:t>
            </w:r>
          </w:p>
        </w:tc>
      </w:tr>
      <w:tr w:rsidR="002F3C8D" w:rsidRPr="00B131CA" w14:paraId="19396F91" w14:textId="77777777" w:rsidTr="00F6611B">
        <w:trPr>
          <w:trHeight w:val="224"/>
        </w:trPr>
        <w:tc>
          <w:tcPr>
            <w:tcW w:w="1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3E" w14:textId="77777777" w:rsidR="002F3C8D" w:rsidRPr="00B131CA" w:rsidRDefault="00BF5CDA" w:rsidP="00273AC7">
            <w:pPr>
              <w:pBdr>
                <w:top w:val="nil"/>
                <w:left w:val="nil"/>
                <w:bottom w:val="nil"/>
                <w:right w:val="nil"/>
                <w:between w:val="nil"/>
              </w:pBdr>
              <w:spacing w:after="200" w:line="240" w:lineRule="auto"/>
              <w:ind w:firstLine="9"/>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Program Income</w:t>
            </w:r>
          </w:p>
        </w:tc>
        <w:tc>
          <w:tcPr>
            <w:tcW w:w="6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3F" w14:textId="3A1BE8D3" w:rsidR="002F3C8D" w:rsidRPr="00B131CA" w:rsidRDefault="00BF5CDA" w:rsidP="00C961F1">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This form documents intake and expenditures of program income. Program income is to be spent within the quarter in which it </w:t>
            </w:r>
            <w:r w:rsidR="00C961F1">
              <w:rPr>
                <w:rFonts w:ascii="Times New Roman" w:eastAsia="Times New Roman" w:hAnsi="Times New Roman" w:cs="Times New Roman"/>
                <w:color w:val="000000"/>
                <w:sz w:val="24"/>
                <w:szCs w:val="24"/>
              </w:rPr>
              <w:t>is</w:t>
            </w:r>
            <w:r w:rsidR="00C961F1"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collected or as soon as possible. All program income must be expended within the program year. Providers that do not collect program income </w:t>
            </w:r>
            <w:r w:rsidR="001F2498">
              <w:rPr>
                <w:rFonts w:ascii="Times New Roman" w:eastAsia="Times New Roman" w:hAnsi="Times New Roman" w:cs="Times New Roman"/>
                <w:color w:val="000000"/>
                <w:sz w:val="24"/>
                <w:szCs w:val="24"/>
              </w:rPr>
              <w:t xml:space="preserve">must </w:t>
            </w:r>
            <w:r w:rsidRPr="00B131CA">
              <w:rPr>
                <w:rFonts w:ascii="Times New Roman" w:eastAsia="Times New Roman" w:hAnsi="Times New Roman" w:cs="Times New Roman"/>
                <w:color w:val="000000"/>
                <w:sz w:val="24"/>
                <w:szCs w:val="24"/>
              </w:rPr>
              <w:t>attest to this on the first quarter’s submission and do not need to submit further reports.</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40"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Quarterly</w:t>
            </w:r>
          </w:p>
        </w:tc>
      </w:tr>
      <w:tr w:rsidR="002F3C8D" w:rsidRPr="00B131CA" w14:paraId="4B79BBFB" w14:textId="77777777" w:rsidTr="00F6611B">
        <w:trPr>
          <w:trHeight w:val="237"/>
        </w:trPr>
        <w:tc>
          <w:tcPr>
            <w:tcW w:w="1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41" w14:textId="77777777" w:rsidR="002F3C8D" w:rsidRPr="00B131CA" w:rsidRDefault="00BF5CDA" w:rsidP="00276614">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SLCA Expenditures</w:t>
            </w:r>
          </w:p>
        </w:tc>
        <w:tc>
          <w:tcPr>
            <w:tcW w:w="6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42" w14:textId="43659C89"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This form, used by school division fiscal agents, documents expenditures charged to SLCA. For fiscal agents based at school divisions that receive recurring payments, any amount left unspent at the end of the year must be returned to the VDOE</w:t>
            </w:r>
            <w:r w:rsidR="003E6C0A">
              <w:rPr>
                <w:rFonts w:ascii="Times New Roman" w:eastAsia="Times New Roman" w:hAnsi="Times New Roman" w:cs="Times New Roman"/>
                <w:color w:val="000000"/>
                <w:sz w:val="24"/>
                <w:szCs w:val="24"/>
              </w:rPr>
              <w:t xml:space="preserve"> unless notified otherwise</w:t>
            </w:r>
            <w:r w:rsidRPr="00B131CA">
              <w:rPr>
                <w:rFonts w:ascii="Times New Roman" w:eastAsia="Times New Roman" w:hAnsi="Times New Roman" w:cs="Times New Roman"/>
                <w:color w:val="000000"/>
                <w:sz w:val="24"/>
                <w:szCs w:val="24"/>
              </w:rPr>
              <w:t>. </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43"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Quarterly</w:t>
            </w:r>
          </w:p>
        </w:tc>
      </w:tr>
      <w:tr w:rsidR="002F3C8D" w:rsidRPr="00B131CA" w14:paraId="182D6FC4" w14:textId="77777777" w:rsidTr="00F6611B">
        <w:trPr>
          <w:trHeight w:val="237"/>
        </w:trPr>
        <w:tc>
          <w:tcPr>
            <w:tcW w:w="1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44" w14:textId="5CAD213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Career</w:t>
            </w:r>
            <w:r w:rsidR="00BE211F">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Training</w:t>
            </w:r>
            <w:r w:rsidR="00BE211F">
              <w:rPr>
                <w:rFonts w:ascii="Times New Roman" w:eastAsia="Times New Roman" w:hAnsi="Times New Roman" w:cs="Times New Roman"/>
                <w:color w:val="000000"/>
                <w:sz w:val="24"/>
                <w:szCs w:val="24"/>
              </w:rPr>
              <w:t>, and Supportive</w:t>
            </w:r>
            <w:r w:rsidRPr="00B131CA">
              <w:rPr>
                <w:rFonts w:ascii="Times New Roman" w:eastAsia="Times New Roman" w:hAnsi="Times New Roman" w:cs="Times New Roman"/>
                <w:color w:val="000000"/>
                <w:sz w:val="24"/>
                <w:szCs w:val="24"/>
              </w:rPr>
              <w:t xml:space="preserve"> Services</w:t>
            </w:r>
          </w:p>
        </w:tc>
        <w:tc>
          <w:tcPr>
            <w:tcW w:w="6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45" w14:textId="57D8676A"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This form documents the amount of federal instructional funds expended on activities categorized as Career</w:t>
            </w:r>
            <w:r w:rsidR="001F2498">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Training</w:t>
            </w:r>
            <w:r w:rsidR="001D26B3">
              <w:rPr>
                <w:rFonts w:ascii="Times New Roman" w:eastAsia="Times New Roman" w:hAnsi="Times New Roman" w:cs="Times New Roman"/>
                <w:color w:val="000000"/>
                <w:sz w:val="24"/>
                <w:szCs w:val="24"/>
              </w:rPr>
              <w:t>,</w:t>
            </w:r>
            <w:r w:rsidR="001F2498">
              <w:rPr>
                <w:rFonts w:ascii="Times New Roman" w:eastAsia="Times New Roman" w:hAnsi="Times New Roman" w:cs="Times New Roman"/>
                <w:color w:val="000000"/>
                <w:sz w:val="24"/>
                <w:szCs w:val="24"/>
              </w:rPr>
              <w:t xml:space="preserve"> and Supportive</w:t>
            </w:r>
            <w:r w:rsidRPr="00B131CA">
              <w:rPr>
                <w:rFonts w:ascii="Times New Roman" w:eastAsia="Times New Roman" w:hAnsi="Times New Roman" w:cs="Times New Roman"/>
                <w:color w:val="000000"/>
                <w:sz w:val="24"/>
                <w:szCs w:val="24"/>
              </w:rPr>
              <w:t xml:space="preserve"> Services. See </w:t>
            </w:r>
            <w:r w:rsidR="00BE211F" w:rsidRPr="00941C09">
              <w:rPr>
                <w:rFonts w:ascii="Times New Roman" w:eastAsia="Times New Roman" w:hAnsi="Times New Roman" w:cs="Times New Roman"/>
                <w:color w:val="0000FF"/>
                <w:sz w:val="24"/>
                <w:szCs w:val="24"/>
                <w:u w:val="single"/>
              </w:rPr>
              <w:t xml:space="preserve">Directors Memo </w:t>
            </w:r>
            <w:hyperlink r:id="rId56" w:history="1">
              <w:r w:rsidR="00BE211F" w:rsidRPr="00A476A5">
                <w:rPr>
                  <w:rStyle w:val="Hyperlink"/>
                  <w:rFonts w:ascii="Times New Roman" w:eastAsia="Times New Roman" w:hAnsi="Times New Roman" w:cs="Times New Roman"/>
                  <w:sz w:val="24"/>
                  <w:szCs w:val="24"/>
                </w:rPr>
                <w:t>#075-24</w:t>
              </w:r>
            </w:hyperlink>
            <w:r w:rsidRPr="00B131CA">
              <w:rPr>
                <w:rFonts w:ascii="Times New Roman" w:eastAsia="Times New Roman" w:hAnsi="Times New Roman" w:cs="Times New Roman"/>
                <w:color w:val="000000"/>
                <w:sz w:val="24"/>
                <w:szCs w:val="24"/>
              </w:rPr>
              <w:t xml:space="preserve"> for more information.</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46" w14:textId="2EE8817C"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Annually, </w:t>
            </w:r>
            <w:r w:rsidR="0061577F">
              <w:rPr>
                <w:rFonts w:ascii="Times New Roman" w:eastAsia="Times New Roman" w:hAnsi="Times New Roman" w:cs="Times New Roman"/>
                <w:color w:val="000000"/>
                <w:sz w:val="24"/>
                <w:szCs w:val="24"/>
              </w:rPr>
              <w:t>mid-August</w:t>
            </w:r>
          </w:p>
        </w:tc>
      </w:tr>
      <w:tr w:rsidR="002F3C8D" w:rsidRPr="00B131CA" w14:paraId="2225750B" w14:textId="77777777" w:rsidTr="00F6611B">
        <w:trPr>
          <w:trHeight w:val="224"/>
        </w:trPr>
        <w:tc>
          <w:tcPr>
            <w:tcW w:w="1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47"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One-Stop Infrastructure Report</w:t>
            </w:r>
          </w:p>
        </w:tc>
        <w:tc>
          <w:tcPr>
            <w:tcW w:w="60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48" w14:textId="1E275190"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This form documents the amount of federal funds contributed to the Virginia Career Works system toward infrastructure costs</w:t>
            </w:r>
            <w:r w:rsidR="00556E47">
              <w:rPr>
                <w:rFonts w:ascii="Times New Roman" w:eastAsia="Times New Roman" w:hAnsi="Times New Roman" w:cs="Times New Roman"/>
                <w:color w:val="000000"/>
                <w:sz w:val="24"/>
                <w:szCs w:val="24"/>
              </w:rPr>
              <w:t xml:space="preserve"> (non-personnel)</w:t>
            </w:r>
            <w:r w:rsidRPr="00B131CA">
              <w:rPr>
                <w:rFonts w:ascii="Times New Roman" w:eastAsia="Times New Roman" w:hAnsi="Times New Roman" w:cs="Times New Roman"/>
                <w:color w:val="000000"/>
                <w:sz w:val="24"/>
                <w:szCs w:val="24"/>
              </w:rPr>
              <w:t>. </w:t>
            </w:r>
          </w:p>
        </w:tc>
        <w:tc>
          <w:tcPr>
            <w:tcW w:w="1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149" w14:textId="56570793"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Annually, </w:t>
            </w:r>
            <w:r w:rsidR="0061577F">
              <w:rPr>
                <w:rFonts w:ascii="Times New Roman" w:eastAsia="Times New Roman" w:hAnsi="Times New Roman" w:cs="Times New Roman"/>
                <w:color w:val="000000"/>
                <w:sz w:val="24"/>
                <w:szCs w:val="24"/>
              </w:rPr>
              <w:t>mid-August</w:t>
            </w:r>
          </w:p>
        </w:tc>
      </w:tr>
    </w:tbl>
    <w:p w14:paraId="422B4D98" w14:textId="335A3871" w:rsidR="00035A01" w:rsidRPr="00F6611B" w:rsidRDefault="00035A01" w:rsidP="004C3706">
      <w:pPr>
        <w:pStyle w:val="Heading2"/>
        <w:sectPr w:rsidR="00035A01" w:rsidRPr="00F6611B" w:rsidSect="000912F6">
          <w:footerReference w:type="default" r:id="rId57"/>
          <w:pgSz w:w="12240" w:h="15840"/>
          <w:pgMar w:top="1440" w:right="1440" w:bottom="1440" w:left="1440" w:header="720" w:footer="720" w:gutter="0"/>
          <w:pgNumType w:start="1" w:chapStyle="2"/>
          <w:cols w:space="720"/>
        </w:sectPr>
      </w:pPr>
    </w:p>
    <w:p w14:paraId="0000014B" w14:textId="1272908A" w:rsidR="002F3C8D" w:rsidRPr="00AB56C4" w:rsidRDefault="00BF5CDA" w:rsidP="004C3706">
      <w:pPr>
        <w:pStyle w:val="Heading2"/>
      </w:pPr>
      <w:bookmarkStart w:id="25" w:name="_Toc174088840"/>
      <w:r w:rsidRPr="00AB56C4">
        <w:lastRenderedPageBreak/>
        <w:t>PROGRAM MANAGEMENT AND DELIVERY</w:t>
      </w:r>
      <w:bookmarkEnd w:id="25"/>
    </w:p>
    <w:p w14:paraId="0000014C" w14:textId="6DB131AB" w:rsidR="002F3C8D" w:rsidRPr="00F6611B" w:rsidRDefault="00BF5CDA" w:rsidP="0061577F">
      <w:pPr>
        <w:spacing w:line="240" w:lineRule="auto"/>
        <w:rPr>
          <w:rFonts w:ascii="Times New Roman" w:hAnsi="Times New Roman"/>
          <w:sz w:val="24"/>
        </w:rPr>
      </w:pPr>
      <w:r w:rsidRPr="00F6611B">
        <w:rPr>
          <w:rFonts w:ascii="Times New Roman" w:hAnsi="Times New Roman"/>
          <w:sz w:val="24"/>
        </w:rPr>
        <w:t xml:space="preserve">Managing your program’s resources to maximize service offerings and strategically coordinate with partners keeps your program vibrant. Consult this section for information on funding requirements and restrictions, ideas for extending your program outreach, and </w:t>
      </w:r>
      <w:r w:rsidR="0073769F">
        <w:rPr>
          <w:rFonts w:ascii="Times New Roman" w:hAnsi="Times New Roman"/>
          <w:sz w:val="24"/>
        </w:rPr>
        <w:t xml:space="preserve">on </w:t>
      </w:r>
      <w:r w:rsidRPr="00F6611B">
        <w:rPr>
          <w:rFonts w:ascii="Times New Roman" w:hAnsi="Times New Roman"/>
          <w:sz w:val="24"/>
        </w:rPr>
        <w:t xml:space="preserve">being an instructional leader. </w:t>
      </w:r>
    </w:p>
    <w:p w14:paraId="0000014D" w14:textId="2F7E9252" w:rsidR="002F3C8D" w:rsidRPr="00F6611B" w:rsidRDefault="00BF5CDA" w:rsidP="004A0493">
      <w:pPr>
        <w:pStyle w:val="Heading3"/>
      </w:pPr>
      <w:bookmarkStart w:id="26" w:name="_Toc174088841"/>
      <w:r w:rsidRPr="00F6611B">
        <w:t>Planning Allowable Activities by Funding Stream</w:t>
      </w:r>
      <w:bookmarkEnd w:id="26"/>
    </w:p>
    <w:p w14:paraId="0000014E" w14:textId="2F1AD5AE" w:rsidR="002F3C8D" w:rsidRPr="00B131CA" w:rsidRDefault="00BF5CDA">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This section details the allowable activities under each federal funding stream and ways to leverage the purpose of the funding to meet the state priorities and regional needs. While providers organize, report, and communicate their offerings as the </w:t>
      </w:r>
      <w:r w:rsidR="007E5922">
        <w:rPr>
          <w:rFonts w:ascii="Times New Roman" w:eastAsia="Times New Roman" w:hAnsi="Times New Roman" w:cs="Times New Roman"/>
          <w:color w:val="000000"/>
          <w:sz w:val="24"/>
          <w:szCs w:val="24"/>
        </w:rPr>
        <w:t xml:space="preserve">four </w:t>
      </w:r>
      <w:r w:rsidRPr="00B131CA">
        <w:rPr>
          <w:rFonts w:ascii="Times New Roman" w:eastAsia="Times New Roman" w:hAnsi="Times New Roman" w:cs="Times New Roman"/>
          <w:i/>
          <w:color w:val="000000"/>
          <w:sz w:val="24"/>
          <w:szCs w:val="24"/>
        </w:rPr>
        <w:t>program types</w:t>
      </w:r>
      <w:r w:rsidRPr="00B131CA">
        <w:rPr>
          <w:rFonts w:ascii="Times New Roman" w:eastAsia="Times New Roman" w:hAnsi="Times New Roman" w:cs="Times New Roman"/>
          <w:color w:val="000000"/>
          <w:sz w:val="24"/>
          <w:szCs w:val="24"/>
        </w:rPr>
        <w:t xml:space="preserve"> of adult basic education (ABE), adult secondary education (ASE), English language acquisition (ELA), and Integrated English Literacy and Civics Education (IELCE), the statute lists </w:t>
      </w:r>
      <w:r w:rsidRPr="00B131CA">
        <w:rPr>
          <w:rFonts w:ascii="Times New Roman" w:eastAsia="Times New Roman" w:hAnsi="Times New Roman" w:cs="Times New Roman"/>
          <w:i/>
          <w:color w:val="000000"/>
          <w:sz w:val="24"/>
          <w:szCs w:val="24"/>
        </w:rPr>
        <w:t>activities</w:t>
      </w:r>
      <w:r w:rsidRPr="00B131CA">
        <w:rPr>
          <w:rFonts w:ascii="Times New Roman" w:eastAsia="Times New Roman" w:hAnsi="Times New Roman" w:cs="Times New Roman"/>
          <w:color w:val="000000"/>
          <w:sz w:val="24"/>
          <w:szCs w:val="24"/>
        </w:rPr>
        <w:t xml:space="preserve"> </w:t>
      </w:r>
      <w:r w:rsidR="003A1284">
        <w:rPr>
          <w:rFonts w:ascii="Times New Roman" w:eastAsia="Times New Roman" w:hAnsi="Times New Roman" w:cs="Times New Roman"/>
          <w:color w:val="000000"/>
          <w:sz w:val="24"/>
          <w:szCs w:val="24"/>
        </w:rPr>
        <w:t>in the definition of adult education and literacy Sec. 203(2)</w:t>
      </w:r>
      <w:r w:rsidRPr="00B131CA">
        <w:rPr>
          <w:rFonts w:ascii="Times New Roman" w:eastAsia="Times New Roman" w:hAnsi="Times New Roman" w:cs="Times New Roman"/>
          <w:color w:val="000000"/>
          <w:sz w:val="24"/>
          <w:szCs w:val="24"/>
        </w:rPr>
        <w:t>. These activities describe the kinds of instructional approaches and content to be delivered with the federal funds. </w:t>
      </w:r>
    </w:p>
    <w:p w14:paraId="0000014F" w14:textId="4CE204A1" w:rsidR="002F3C8D" w:rsidRPr="00F6611B" w:rsidRDefault="00BF5CDA" w:rsidP="008D03B8">
      <w:pPr>
        <w:pStyle w:val="Heading4"/>
        <w:rPr>
          <w:i/>
        </w:rPr>
      </w:pPr>
      <w:bookmarkStart w:id="27" w:name="_Toc174088842"/>
      <w:r w:rsidRPr="00F6611B">
        <w:t>AEFLA Sec. 231 Adult Education Activities</w:t>
      </w:r>
      <w:bookmarkEnd w:id="27"/>
      <w:r w:rsidRPr="00F6611B">
        <w:t> </w:t>
      </w:r>
    </w:p>
    <w:p w14:paraId="2729770C" w14:textId="55C1DC75" w:rsidR="002F3C8D"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In Virginia, providers are required to offer the following five activities per the Combined State Plan and the </w:t>
      </w:r>
      <w:r w:rsidRPr="00941C09">
        <w:rPr>
          <w:rFonts w:ascii="Times New Roman" w:eastAsia="Times New Roman" w:hAnsi="Times New Roman" w:cs="Times New Roman"/>
          <w:color w:val="000000"/>
          <w:sz w:val="24"/>
          <w:szCs w:val="24"/>
        </w:rPr>
        <w:t>202</w:t>
      </w:r>
      <w:r w:rsidR="00DA679E">
        <w:rPr>
          <w:rFonts w:ascii="Times New Roman" w:eastAsia="Times New Roman" w:hAnsi="Times New Roman" w:cs="Times New Roman"/>
          <w:color w:val="000000"/>
          <w:sz w:val="24"/>
          <w:szCs w:val="24"/>
        </w:rPr>
        <w:t>4</w:t>
      </w:r>
      <w:r w:rsidRPr="00941C09">
        <w:rPr>
          <w:rFonts w:ascii="Times New Roman" w:eastAsia="Times New Roman" w:hAnsi="Times New Roman" w:cs="Times New Roman"/>
          <w:color w:val="000000"/>
          <w:sz w:val="24"/>
          <w:szCs w:val="24"/>
        </w:rPr>
        <w:t>-202</w:t>
      </w:r>
      <w:r w:rsidR="00DA679E">
        <w:rPr>
          <w:rFonts w:ascii="Times New Roman" w:eastAsia="Times New Roman" w:hAnsi="Times New Roman" w:cs="Times New Roman"/>
          <w:color w:val="000000"/>
          <w:sz w:val="24"/>
          <w:szCs w:val="24"/>
        </w:rPr>
        <w:t>6</w:t>
      </w:r>
      <w:r w:rsidRPr="00941C09">
        <w:rPr>
          <w:rFonts w:ascii="Times New Roman" w:eastAsia="Times New Roman" w:hAnsi="Times New Roman" w:cs="Times New Roman"/>
          <w:color w:val="000000"/>
          <w:sz w:val="24"/>
          <w:szCs w:val="24"/>
        </w:rPr>
        <w:t xml:space="preserve"> State Priorities</w:t>
      </w:r>
      <w:r w:rsidRPr="00B131CA">
        <w:rPr>
          <w:rFonts w:ascii="Times New Roman" w:eastAsia="Times New Roman" w:hAnsi="Times New Roman" w:cs="Times New Roman"/>
          <w:color w:val="000000"/>
          <w:sz w:val="24"/>
          <w:szCs w:val="24"/>
        </w:rPr>
        <w:t>:</w:t>
      </w:r>
    </w:p>
    <w:p w14:paraId="3C77EC9F" w14:textId="783964BB" w:rsidR="002F3C8D" w:rsidRPr="00273AC7" w:rsidRDefault="00BF5CDA" w:rsidP="00022694">
      <w:pPr>
        <w:pStyle w:val="ListParagraph"/>
        <w:numPr>
          <w:ilvl w:val="0"/>
          <w:numId w:val="41"/>
        </w:numPr>
        <w:pBdr>
          <w:top w:val="nil"/>
          <w:left w:val="nil"/>
          <w:bottom w:val="nil"/>
          <w:right w:val="nil"/>
          <w:between w:val="nil"/>
        </w:pBdr>
        <w:tabs>
          <w:tab w:val="left" w:pos="1440"/>
        </w:tabs>
        <w:spacing w:after="0" w:line="240" w:lineRule="auto"/>
        <w:ind w:left="1440" w:hanging="360"/>
        <w:rPr>
          <w:rFonts w:ascii="Times New Roman" w:eastAsia="Times New Roman" w:hAnsi="Times New Roman" w:cs="Times New Roman"/>
          <w:color w:val="000000"/>
          <w:sz w:val="24"/>
          <w:szCs w:val="24"/>
        </w:rPr>
      </w:pPr>
      <w:r w:rsidRPr="00273AC7">
        <w:rPr>
          <w:rFonts w:ascii="Times New Roman" w:eastAsia="Times New Roman" w:hAnsi="Times New Roman" w:cs="Times New Roman"/>
          <w:color w:val="000000"/>
          <w:sz w:val="24"/>
          <w:szCs w:val="24"/>
        </w:rPr>
        <w:t>Adult education</w:t>
      </w:r>
      <w:r w:rsidR="00305336" w:rsidRPr="00273AC7">
        <w:rPr>
          <w:rFonts w:ascii="Times New Roman" w:eastAsia="Times New Roman" w:hAnsi="Times New Roman" w:cs="Times New Roman"/>
          <w:color w:val="000000"/>
          <w:sz w:val="24"/>
          <w:szCs w:val="24"/>
        </w:rPr>
        <w:t>,</w:t>
      </w:r>
    </w:p>
    <w:p w14:paraId="5FBD5D9C" w14:textId="04475469" w:rsidR="002F3C8D" w:rsidRPr="00273AC7" w:rsidRDefault="00BF5CDA" w:rsidP="00022694">
      <w:pPr>
        <w:numPr>
          <w:ilvl w:val="0"/>
          <w:numId w:val="41"/>
        </w:numPr>
        <w:pBdr>
          <w:top w:val="nil"/>
          <w:left w:val="nil"/>
          <w:bottom w:val="nil"/>
          <w:right w:val="nil"/>
          <w:between w:val="nil"/>
        </w:pBdr>
        <w:tabs>
          <w:tab w:val="left" w:pos="1440"/>
        </w:tabs>
        <w:spacing w:after="0" w:line="240" w:lineRule="auto"/>
        <w:ind w:left="1440" w:hanging="360"/>
        <w:rPr>
          <w:rFonts w:ascii="Times New Roman" w:eastAsia="Times New Roman" w:hAnsi="Times New Roman" w:cs="Times New Roman"/>
          <w:color w:val="000000"/>
          <w:sz w:val="24"/>
          <w:szCs w:val="24"/>
        </w:rPr>
      </w:pPr>
      <w:r w:rsidRPr="00273AC7">
        <w:rPr>
          <w:rFonts w:ascii="Times New Roman" w:eastAsia="Times New Roman" w:hAnsi="Times New Roman" w:cs="Times New Roman"/>
          <w:color w:val="000000"/>
          <w:sz w:val="24"/>
          <w:szCs w:val="24"/>
        </w:rPr>
        <w:t>L</w:t>
      </w:r>
      <w:r w:rsidR="00305336" w:rsidRPr="00273AC7">
        <w:rPr>
          <w:rFonts w:ascii="Times New Roman" w:eastAsia="Times New Roman" w:hAnsi="Times New Roman" w:cs="Times New Roman"/>
          <w:color w:val="000000"/>
          <w:sz w:val="24"/>
          <w:szCs w:val="24"/>
        </w:rPr>
        <w:t>iteracy,</w:t>
      </w:r>
    </w:p>
    <w:p w14:paraId="7EBD1F4E" w14:textId="573B0550" w:rsidR="002F3C8D" w:rsidRPr="00273AC7" w:rsidRDefault="00BF5CDA" w:rsidP="00022694">
      <w:pPr>
        <w:numPr>
          <w:ilvl w:val="0"/>
          <w:numId w:val="41"/>
        </w:numPr>
        <w:pBdr>
          <w:top w:val="nil"/>
          <w:left w:val="nil"/>
          <w:bottom w:val="nil"/>
          <w:right w:val="nil"/>
          <w:between w:val="nil"/>
        </w:pBdr>
        <w:tabs>
          <w:tab w:val="left" w:pos="1440"/>
        </w:tabs>
        <w:spacing w:after="0" w:line="240" w:lineRule="auto"/>
        <w:ind w:left="1440" w:hanging="360"/>
        <w:rPr>
          <w:rFonts w:ascii="Times New Roman" w:eastAsia="Times New Roman" w:hAnsi="Times New Roman" w:cs="Times New Roman"/>
          <w:color w:val="000000"/>
          <w:sz w:val="24"/>
          <w:szCs w:val="24"/>
        </w:rPr>
      </w:pPr>
      <w:r w:rsidRPr="00273AC7">
        <w:rPr>
          <w:rFonts w:ascii="Times New Roman" w:eastAsia="Times New Roman" w:hAnsi="Times New Roman" w:cs="Times New Roman"/>
          <w:color w:val="000000"/>
          <w:sz w:val="24"/>
          <w:szCs w:val="24"/>
        </w:rPr>
        <w:t>English language acquisition activities</w:t>
      </w:r>
      <w:r w:rsidR="00305336" w:rsidRPr="00273AC7">
        <w:rPr>
          <w:rFonts w:ascii="Times New Roman" w:eastAsia="Times New Roman" w:hAnsi="Times New Roman" w:cs="Times New Roman"/>
          <w:color w:val="000000"/>
          <w:sz w:val="24"/>
          <w:szCs w:val="24"/>
        </w:rPr>
        <w:t>,</w:t>
      </w:r>
    </w:p>
    <w:p w14:paraId="4B30C041" w14:textId="1EDC1AEA" w:rsidR="002F3C8D" w:rsidRPr="00273AC7" w:rsidRDefault="00BF5CDA" w:rsidP="00022694">
      <w:pPr>
        <w:numPr>
          <w:ilvl w:val="0"/>
          <w:numId w:val="41"/>
        </w:numPr>
        <w:pBdr>
          <w:top w:val="nil"/>
          <w:left w:val="nil"/>
          <w:bottom w:val="nil"/>
          <w:right w:val="nil"/>
          <w:between w:val="nil"/>
        </w:pBdr>
        <w:tabs>
          <w:tab w:val="left" w:pos="1440"/>
        </w:tabs>
        <w:spacing w:after="0" w:line="240" w:lineRule="auto"/>
        <w:ind w:left="1440" w:hanging="360"/>
        <w:rPr>
          <w:rFonts w:ascii="Times New Roman" w:eastAsia="Times New Roman" w:hAnsi="Times New Roman" w:cs="Times New Roman"/>
          <w:color w:val="000000"/>
          <w:sz w:val="24"/>
          <w:szCs w:val="24"/>
        </w:rPr>
      </w:pPr>
      <w:r w:rsidRPr="00273AC7">
        <w:rPr>
          <w:rFonts w:ascii="Times New Roman" w:eastAsia="Times New Roman" w:hAnsi="Times New Roman" w:cs="Times New Roman"/>
          <w:color w:val="000000"/>
          <w:sz w:val="24"/>
          <w:szCs w:val="24"/>
        </w:rPr>
        <w:t>Workforce preparation activities</w:t>
      </w:r>
      <w:r w:rsidR="00305336" w:rsidRPr="00273AC7">
        <w:rPr>
          <w:rFonts w:ascii="Times New Roman" w:eastAsia="Times New Roman" w:hAnsi="Times New Roman" w:cs="Times New Roman"/>
          <w:color w:val="000000"/>
          <w:sz w:val="24"/>
          <w:szCs w:val="24"/>
        </w:rPr>
        <w:t>,</w:t>
      </w:r>
      <w:r w:rsidRPr="00273AC7">
        <w:rPr>
          <w:rFonts w:ascii="Times New Roman" w:eastAsia="Times New Roman" w:hAnsi="Times New Roman" w:cs="Times New Roman"/>
          <w:color w:val="000000"/>
          <w:sz w:val="24"/>
          <w:szCs w:val="24"/>
        </w:rPr>
        <w:t xml:space="preserve"> and </w:t>
      </w:r>
    </w:p>
    <w:p w14:paraId="00000155" w14:textId="1368756A" w:rsidR="002F3C8D" w:rsidRPr="00273AC7" w:rsidRDefault="00BF5CDA" w:rsidP="00022694">
      <w:pPr>
        <w:numPr>
          <w:ilvl w:val="0"/>
          <w:numId w:val="41"/>
        </w:numPr>
        <w:pBdr>
          <w:top w:val="nil"/>
          <w:left w:val="nil"/>
          <w:bottom w:val="nil"/>
          <w:right w:val="nil"/>
          <w:between w:val="nil"/>
        </w:pBdr>
        <w:tabs>
          <w:tab w:val="left" w:pos="1440"/>
        </w:tabs>
        <w:spacing w:after="200" w:line="240" w:lineRule="auto"/>
        <w:ind w:left="1440" w:hanging="360"/>
        <w:rPr>
          <w:rFonts w:ascii="Times New Roman" w:eastAsia="Times New Roman" w:hAnsi="Times New Roman" w:cs="Times New Roman"/>
          <w:color w:val="000000"/>
          <w:sz w:val="24"/>
          <w:szCs w:val="24"/>
        </w:rPr>
      </w:pPr>
      <w:r w:rsidRPr="00273AC7">
        <w:rPr>
          <w:rFonts w:ascii="Times New Roman" w:eastAsia="Times New Roman" w:hAnsi="Times New Roman" w:cs="Times New Roman"/>
          <w:color w:val="000000"/>
          <w:sz w:val="24"/>
          <w:szCs w:val="24"/>
        </w:rPr>
        <w:t>Integrated education and training (IET).</w:t>
      </w:r>
    </w:p>
    <w:p w14:paraId="1675AFC7" w14:textId="77777777" w:rsidR="002F3C8D" w:rsidRPr="00273AC7"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73AC7">
        <w:rPr>
          <w:rFonts w:ascii="Times New Roman" w:eastAsia="Times New Roman" w:hAnsi="Times New Roman" w:cs="Times New Roman"/>
          <w:color w:val="000000"/>
          <w:sz w:val="24"/>
          <w:szCs w:val="24"/>
        </w:rPr>
        <w:t>Providers may also offer the following three activities with Sec. 231 funds, with justification of need</w:t>
      </w:r>
      <w:r w:rsidR="003B1856" w:rsidRPr="00273AC7">
        <w:rPr>
          <w:rFonts w:ascii="Times New Roman" w:eastAsia="Times New Roman" w:hAnsi="Times New Roman" w:cs="Times New Roman"/>
          <w:color w:val="000000"/>
          <w:sz w:val="24"/>
          <w:szCs w:val="24"/>
        </w:rPr>
        <w:t>:</w:t>
      </w:r>
      <w:r w:rsidRPr="00273AC7">
        <w:rPr>
          <w:rFonts w:ascii="Times New Roman" w:eastAsia="Times New Roman" w:hAnsi="Times New Roman" w:cs="Times New Roman"/>
          <w:color w:val="000000"/>
          <w:sz w:val="24"/>
          <w:szCs w:val="24"/>
        </w:rPr>
        <w:t> </w:t>
      </w:r>
    </w:p>
    <w:p w14:paraId="6024C187" w14:textId="390C9DBF" w:rsidR="002F3C8D" w:rsidRPr="00273AC7" w:rsidRDefault="00BF5CDA" w:rsidP="00022694">
      <w:pPr>
        <w:pStyle w:val="ListParagraph"/>
        <w:numPr>
          <w:ilvl w:val="0"/>
          <w:numId w:val="41"/>
        </w:num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273AC7">
        <w:rPr>
          <w:rFonts w:ascii="Times New Roman" w:eastAsia="Times New Roman" w:hAnsi="Times New Roman" w:cs="Times New Roman"/>
          <w:color w:val="000000"/>
          <w:sz w:val="24"/>
          <w:szCs w:val="24"/>
        </w:rPr>
        <w:t>Integrated English literacy and civics education</w:t>
      </w:r>
      <w:r w:rsidR="001F2498">
        <w:rPr>
          <w:rFonts w:ascii="Times New Roman" w:eastAsia="Times New Roman" w:hAnsi="Times New Roman" w:cs="Times New Roman"/>
          <w:color w:val="000000"/>
          <w:sz w:val="24"/>
          <w:szCs w:val="24"/>
        </w:rPr>
        <w:t xml:space="preserve"> (IELCE)</w:t>
      </w:r>
      <w:r w:rsidR="00305336" w:rsidRPr="00273AC7">
        <w:rPr>
          <w:rFonts w:ascii="Times New Roman" w:eastAsia="Times New Roman" w:hAnsi="Times New Roman" w:cs="Times New Roman"/>
          <w:color w:val="000000"/>
          <w:sz w:val="24"/>
          <w:szCs w:val="24"/>
        </w:rPr>
        <w:t>,</w:t>
      </w:r>
    </w:p>
    <w:p w14:paraId="650DF7CB" w14:textId="6B2EDB57" w:rsidR="002F3C8D" w:rsidRPr="00273AC7" w:rsidRDefault="00BF5CDA" w:rsidP="00022694">
      <w:pPr>
        <w:numPr>
          <w:ilvl w:val="0"/>
          <w:numId w:val="41"/>
        </w:num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273AC7">
        <w:rPr>
          <w:rFonts w:ascii="Times New Roman" w:eastAsia="Times New Roman" w:hAnsi="Times New Roman" w:cs="Times New Roman"/>
          <w:color w:val="000000"/>
          <w:sz w:val="24"/>
          <w:szCs w:val="24"/>
        </w:rPr>
        <w:t>Workplace adult education and literacy activities</w:t>
      </w:r>
      <w:r w:rsidR="00305336" w:rsidRPr="00273AC7">
        <w:rPr>
          <w:rFonts w:ascii="Times New Roman" w:eastAsia="Times New Roman" w:hAnsi="Times New Roman" w:cs="Times New Roman"/>
          <w:color w:val="000000"/>
          <w:sz w:val="24"/>
          <w:szCs w:val="24"/>
        </w:rPr>
        <w:t>,</w:t>
      </w:r>
      <w:r w:rsidR="006D0E26" w:rsidRPr="00273AC7">
        <w:rPr>
          <w:rFonts w:ascii="Times New Roman" w:eastAsia="Times New Roman" w:hAnsi="Times New Roman" w:cs="Times New Roman"/>
          <w:color w:val="000000"/>
          <w:sz w:val="24"/>
          <w:szCs w:val="24"/>
        </w:rPr>
        <w:t xml:space="preserve"> and </w:t>
      </w:r>
    </w:p>
    <w:p w14:paraId="00000159" w14:textId="12F3A5CF" w:rsidR="002F3C8D" w:rsidRPr="00273AC7" w:rsidRDefault="00BF5CDA" w:rsidP="00022694">
      <w:pPr>
        <w:numPr>
          <w:ilvl w:val="0"/>
          <w:numId w:val="41"/>
        </w:numPr>
        <w:pBdr>
          <w:top w:val="nil"/>
          <w:left w:val="nil"/>
          <w:bottom w:val="nil"/>
          <w:right w:val="nil"/>
          <w:between w:val="nil"/>
        </w:pBdr>
        <w:spacing w:after="150" w:line="240" w:lineRule="auto"/>
        <w:ind w:left="1440" w:hanging="360"/>
        <w:rPr>
          <w:rFonts w:ascii="Times New Roman" w:eastAsia="Times New Roman" w:hAnsi="Times New Roman" w:cs="Times New Roman"/>
          <w:color w:val="000000"/>
          <w:sz w:val="24"/>
          <w:szCs w:val="24"/>
        </w:rPr>
      </w:pPr>
      <w:r w:rsidRPr="00273AC7">
        <w:rPr>
          <w:rFonts w:ascii="Times New Roman" w:eastAsia="Times New Roman" w:hAnsi="Times New Roman" w:cs="Times New Roman"/>
          <w:color w:val="000000"/>
          <w:sz w:val="24"/>
          <w:szCs w:val="24"/>
        </w:rPr>
        <w:t>Family literacy activities.</w:t>
      </w:r>
    </w:p>
    <w:p w14:paraId="0000015A" w14:textId="77777777" w:rsidR="002F3C8D" w:rsidRPr="00F6611B" w:rsidRDefault="00BF5CDA">
      <w:pPr>
        <w:pBdr>
          <w:top w:val="nil"/>
          <w:left w:val="nil"/>
          <w:bottom w:val="nil"/>
          <w:right w:val="nil"/>
          <w:between w:val="nil"/>
        </w:pBdr>
        <w:spacing w:after="200" w:line="240" w:lineRule="auto"/>
        <w:rPr>
          <w:rFonts w:ascii="Times New Roman" w:hAnsi="Times New Roman"/>
          <w:sz w:val="24"/>
        </w:rPr>
      </w:pPr>
      <w:r w:rsidRPr="00B131CA">
        <w:rPr>
          <w:rFonts w:ascii="Times New Roman" w:eastAsia="Times New Roman" w:hAnsi="Times New Roman" w:cs="Times New Roman"/>
          <w:color w:val="000000"/>
          <w:sz w:val="24"/>
          <w:szCs w:val="24"/>
        </w:rPr>
        <w:t>Each of these activities is defined in the Glossary of Terms.</w:t>
      </w:r>
    </w:p>
    <w:p w14:paraId="0000015B" w14:textId="36B6EF44" w:rsidR="002F3C8D" w:rsidRPr="00F6611B" w:rsidRDefault="00BF5CDA">
      <w:pPr>
        <w:pBdr>
          <w:top w:val="nil"/>
          <w:left w:val="nil"/>
          <w:bottom w:val="nil"/>
          <w:right w:val="nil"/>
          <w:between w:val="nil"/>
        </w:pBdr>
        <w:spacing w:after="200" w:line="240" w:lineRule="auto"/>
        <w:rPr>
          <w:rFonts w:ascii="Times New Roman" w:hAnsi="Times New Roman"/>
          <w:sz w:val="24"/>
        </w:rPr>
      </w:pPr>
      <w:r w:rsidRPr="00B131CA">
        <w:rPr>
          <w:rFonts w:ascii="Times New Roman" w:eastAsia="Times New Roman" w:hAnsi="Times New Roman" w:cs="Times New Roman"/>
          <w:color w:val="000000"/>
          <w:sz w:val="24"/>
          <w:szCs w:val="24"/>
        </w:rPr>
        <w:t>Note that the State Priorities</w:t>
      </w:r>
      <w:r w:rsidR="00A476A5">
        <w:rPr>
          <w:rFonts w:ascii="Times New Roman" w:eastAsia="Times New Roman" w:hAnsi="Times New Roman" w:cs="Times New Roman"/>
          <w:color w:val="000000"/>
          <w:sz w:val="24"/>
          <w:szCs w:val="24"/>
        </w:rPr>
        <w:t xml:space="preserve"> in the </w:t>
      </w:r>
      <w:hyperlink r:id="rId58" w:history="1">
        <w:r w:rsidR="00A476A5" w:rsidRPr="001D26B3">
          <w:rPr>
            <w:rStyle w:val="Hyperlink"/>
            <w:rFonts w:ascii="Times New Roman" w:eastAsia="Times New Roman" w:hAnsi="Times New Roman" w:cs="Times New Roman"/>
            <w:i/>
            <w:sz w:val="24"/>
            <w:szCs w:val="24"/>
          </w:rPr>
          <w:t>WIOA</w:t>
        </w:r>
        <w:r w:rsidR="00623B9D" w:rsidRPr="001D26B3">
          <w:rPr>
            <w:rStyle w:val="Hyperlink"/>
            <w:rFonts w:ascii="Times New Roman" w:eastAsia="Times New Roman" w:hAnsi="Times New Roman" w:cs="Times New Roman"/>
            <w:i/>
            <w:sz w:val="24"/>
            <w:szCs w:val="24"/>
          </w:rPr>
          <w:t xml:space="preserve"> </w:t>
        </w:r>
        <w:r w:rsidR="001D26B3" w:rsidRPr="001D26B3">
          <w:rPr>
            <w:rStyle w:val="Hyperlink"/>
            <w:rFonts w:ascii="Times New Roman" w:eastAsia="Times New Roman" w:hAnsi="Times New Roman" w:cs="Times New Roman"/>
            <w:i/>
            <w:sz w:val="24"/>
            <w:szCs w:val="24"/>
          </w:rPr>
          <w:t xml:space="preserve">Virginia </w:t>
        </w:r>
        <w:r w:rsidR="00623B9D" w:rsidRPr="001D26B3">
          <w:rPr>
            <w:rStyle w:val="Hyperlink"/>
            <w:rFonts w:ascii="Times New Roman" w:eastAsia="Times New Roman" w:hAnsi="Times New Roman" w:cs="Times New Roman"/>
            <w:i/>
            <w:sz w:val="24"/>
            <w:szCs w:val="24"/>
          </w:rPr>
          <w:t>Combined</w:t>
        </w:r>
        <w:r w:rsidR="00A476A5" w:rsidRPr="001D26B3">
          <w:rPr>
            <w:rStyle w:val="Hyperlink"/>
            <w:rFonts w:ascii="Times New Roman" w:eastAsia="Times New Roman" w:hAnsi="Times New Roman" w:cs="Times New Roman"/>
            <w:i/>
            <w:sz w:val="24"/>
            <w:szCs w:val="24"/>
          </w:rPr>
          <w:t xml:space="preserve"> State Plan</w:t>
        </w:r>
      </w:hyperlink>
      <w:r w:rsidRPr="00B131CA">
        <w:rPr>
          <w:rFonts w:ascii="Times New Roman" w:eastAsia="Times New Roman" w:hAnsi="Times New Roman" w:cs="Times New Roman"/>
          <w:color w:val="000000"/>
          <w:sz w:val="24"/>
          <w:szCs w:val="24"/>
        </w:rPr>
        <w:t xml:space="preserve"> </w:t>
      </w:r>
      <w:r w:rsidR="0047149F">
        <w:rPr>
          <w:rFonts w:ascii="Times New Roman" w:eastAsia="Times New Roman" w:hAnsi="Times New Roman" w:cs="Times New Roman"/>
          <w:color w:val="000000"/>
          <w:sz w:val="24"/>
          <w:szCs w:val="24"/>
        </w:rPr>
        <w:t xml:space="preserve">should be considered part of high-quality programming, </w:t>
      </w:r>
      <w:r w:rsidRPr="00B131CA">
        <w:rPr>
          <w:rFonts w:ascii="Times New Roman" w:eastAsia="Times New Roman" w:hAnsi="Times New Roman" w:cs="Times New Roman"/>
          <w:color w:val="000000"/>
          <w:sz w:val="24"/>
          <w:szCs w:val="24"/>
        </w:rPr>
        <w:t xml:space="preserve">including </w:t>
      </w:r>
      <w:r w:rsidR="00DA679E">
        <w:rPr>
          <w:rFonts w:ascii="Times New Roman" w:eastAsia="Times New Roman" w:hAnsi="Times New Roman" w:cs="Times New Roman"/>
          <w:color w:val="000000"/>
          <w:sz w:val="24"/>
          <w:szCs w:val="24"/>
        </w:rPr>
        <w:t xml:space="preserve">a focus on the science of reading, inclusive service to adults with disabilities, </w:t>
      </w:r>
      <w:r w:rsidRPr="00B131CA">
        <w:rPr>
          <w:rFonts w:ascii="Times New Roman" w:eastAsia="Times New Roman" w:hAnsi="Times New Roman" w:cs="Times New Roman"/>
          <w:color w:val="000000"/>
          <w:sz w:val="24"/>
          <w:szCs w:val="24"/>
        </w:rPr>
        <w:t xml:space="preserve">full implementation of standards-based instruction, the concurrent delivery of workplace preparation </w:t>
      </w:r>
      <w:r w:rsidR="00DA679E">
        <w:rPr>
          <w:rFonts w:ascii="Times New Roman" w:eastAsia="Times New Roman" w:hAnsi="Times New Roman" w:cs="Times New Roman"/>
          <w:color w:val="000000"/>
          <w:sz w:val="24"/>
          <w:szCs w:val="24"/>
        </w:rPr>
        <w:t xml:space="preserve">and civic </w:t>
      </w:r>
      <w:r w:rsidRPr="00B131CA">
        <w:rPr>
          <w:rFonts w:ascii="Times New Roman" w:eastAsia="Times New Roman" w:hAnsi="Times New Roman" w:cs="Times New Roman"/>
          <w:color w:val="000000"/>
          <w:sz w:val="24"/>
          <w:szCs w:val="24"/>
        </w:rPr>
        <w:t>activities with all program types, service to those with low levels of literacy, and an overarching focus on career pathways and integrated education and training. </w:t>
      </w:r>
    </w:p>
    <w:p w14:paraId="0000015C" w14:textId="094BF4D0" w:rsidR="002F3C8D" w:rsidRPr="00B131CA" w:rsidRDefault="00BF5CD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allowable, non-required activities in the list above (f, g, and h) give providers opportunities to design programs to serve specific needs. For example, workplace adult education and literacy activities</w:t>
      </w:r>
      <w:r w:rsidR="00C961F1">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are designed in collaboration with an employer or employee organization (</w:t>
      </w:r>
      <w:r w:rsidR="005D13B0">
        <w:rPr>
          <w:rFonts w:ascii="Times New Roman" w:eastAsia="Times New Roman" w:hAnsi="Times New Roman" w:cs="Times New Roman"/>
          <w:color w:val="000000"/>
          <w:sz w:val="24"/>
          <w:szCs w:val="24"/>
        </w:rPr>
        <w:t xml:space="preserve">labor </w:t>
      </w:r>
      <w:r w:rsidRPr="00B131CA">
        <w:rPr>
          <w:rFonts w:ascii="Times New Roman" w:eastAsia="Times New Roman" w:hAnsi="Times New Roman" w:cs="Times New Roman"/>
          <w:color w:val="000000"/>
          <w:sz w:val="24"/>
          <w:szCs w:val="24"/>
        </w:rPr>
        <w:t xml:space="preserve">union, trade group, association) willing to bring educational programming – any of the allowable </w:t>
      </w:r>
      <w:r w:rsidRPr="00B131CA">
        <w:rPr>
          <w:rFonts w:ascii="Times New Roman" w:eastAsia="Times New Roman" w:hAnsi="Times New Roman" w:cs="Times New Roman"/>
          <w:color w:val="000000"/>
          <w:sz w:val="24"/>
          <w:szCs w:val="24"/>
        </w:rPr>
        <w:lastRenderedPageBreak/>
        <w:t>activities – onto the worksite</w:t>
      </w:r>
      <w:r w:rsidR="00D06E18">
        <w:rPr>
          <w:rFonts w:ascii="Times New Roman" w:eastAsia="Times New Roman" w:hAnsi="Times New Roman" w:cs="Times New Roman"/>
          <w:color w:val="000000"/>
          <w:sz w:val="24"/>
          <w:szCs w:val="24"/>
        </w:rPr>
        <w:t xml:space="preserve"> or for a cohort of employees in another location</w:t>
      </w:r>
      <w:r w:rsidRPr="00B131CA">
        <w:rPr>
          <w:rFonts w:ascii="Times New Roman" w:eastAsia="Times New Roman" w:hAnsi="Times New Roman" w:cs="Times New Roman"/>
          <w:color w:val="000000"/>
          <w:sz w:val="24"/>
          <w:szCs w:val="24"/>
        </w:rPr>
        <w:t xml:space="preserve"> </w:t>
      </w:r>
      <w:proofErr w:type="gramStart"/>
      <w:r w:rsidRPr="00B131CA">
        <w:rPr>
          <w:rFonts w:ascii="Times New Roman" w:eastAsia="Times New Roman" w:hAnsi="Times New Roman" w:cs="Times New Roman"/>
          <w:color w:val="000000"/>
          <w:sz w:val="24"/>
          <w:szCs w:val="24"/>
        </w:rPr>
        <w:t>in order to</w:t>
      </w:r>
      <w:proofErr w:type="gramEnd"/>
      <w:r w:rsidRPr="00B131CA">
        <w:rPr>
          <w:rFonts w:ascii="Times New Roman" w:eastAsia="Times New Roman" w:hAnsi="Times New Roman" w:cs="Times New Roman"/>
          <w:color w:val="000000"/>
          <w:sz w:val="24"/>
          <w:szCs w:val="24"/>
        </w:rPr>
        <w:t xml:space="preserve"> improve the productivity of the workforce.</w:t>
      </w:r>
      <w:r w:rsidR="003208BA">
        <w:rPr>
          <w:rFonts w:ascii="Times New Roman" w:eastAsia="Times New Roman" w:hAnsi="Times New Roman" w:cs="Times New Roman"/>
          <w:color w:val="000000"/>
          <w:sz w:val="24"/>
          <w:szCs w:val="24"/>
        </w:rPr>
        <w:t xml:space="preserve"> </w:t>
      </w:r>
    </w:p>
    <w:p w14:paraId="12A20D2A" w14:textId="18C72414" w:rsidR="0047149F" w:rsidRPr="00A4753C" w:rsidRDefault="00BF5CDA" w:rsidP="0061577F">
      <w:pPr>
        <w:pStyle w:val="ColorfulList-Accent11"/>
        <w:spacing w:before="240" w:after="200"/>
        <w:ind w:left="0"/>
        <w:contextualSpacing/>
        <w:rPr>
          <w:szCs w:val="24"/>
        </w:rPr>
      </w:pPr>
      <w:r w:rsidRPr="00B131CA">
        <w:rPr>
          <w:color w:val="000000"/>
          <w:szCs w:val="24"/>
        </w:rPr>
        <w:t>Family literacy, allowable only with Sec. 231 funds</w:t>
      </w:r>
      <w:r w:rsidR="003A1284">
        <w:rPr>
          <w:color w:val="000000"/>
          <w:szCs w:val="24"/>
        </w:rPr>
        <w:t xml:space="preserve"> </w:t>
      </w:r>
      <w:r w:rsidR="003A1284" w:rsidRPr="009729C1">
        <w:rPr>
          <w:color w:val="000000"/>
          <w:szCs w:val="24"/>
        </w:rPr>
        <w:t>due to the funding requirements described below</w:t>
      </w:r>
      <w:r w:rsidRPr="009729C1">
        <w:rPr>
          <w:color w:val="000000"/>
          <w:szCs w:val="24"/>
        </w:rPr>
        <w:t>,</w:t>
      </w:r>
      <w:r w:rsidRPr="00B131CA">
        <w:rPr>
          <w:color w:val="000000"/>
          <w:szCs w:val="24"/>
        </w:rPr>
        <w:t xml:space="preserve"> is defined as a four-component, two-generation model that encompasses adult education, childhood education, joint parent and child literacy activities, and parenting training. This model is frequently designed to be offered in conjunction with other community and family-serving partners. This is the only activity in which non-eligible individuals (the children) may be served with AEFLA funds. The funding has unique requirements in AEFLA (Sec. 231(d)) that state that programs “shall attempt to coordinate” funding with other entities that serve children before using AEFLA funds for the child services components. Such entities could include a public school or early childhood program, Head Start</w:t>
      </w:r>
      <w:r w:rsidR="00DA679E">
        <w:rPr>
          <w:color w:val="000000"/>
          <w:szCs w:val="24"/>
        </w:rPr>
        <w:t xml:space="preserve"> program</w:t>
      </w:r>
      <w:r w:rsidRPr="00B131CA">
        <w:rPr>
          <w:color w:val="000000"/>
          <w:szCs w:val="24"/>
        </w:rPr>
        <w:t>, or community-based or faith-based organization. Resources on how to design and support a family literacy program can be foun</w:t>
      </w:r>
      <w:r w:rsidRPr="00B131CA">
        <w:rPr>
          <w:szCs w:val="24"/>
        </w:rPr>
        <w:t xml:space="preserve">d at the </w:t>
      </w:r>
      <w:hyperlink r:id="rId59" w:history="1">
        <w:r w:rsidRPr="0069138B">
          <w:rPr>
            <w:rStyle w:val="Hyperlink"/>
            <w:szCs w:val="24"/>
          </w:rPr>
          <w:t>National</w:t>
        </w:r>
        <w:r w:rsidR="0069138B" w:rsidRPr="0069138B">
          <w:rPr>
            <w:rStyle w:val="Hyperlink"/>
            <w:szCs w:val="24"/>
          </w:rPr>
          <w:t xml:space="preserve"> Center for Families Learning</w:t>
        </w:r>
      </w:hyperlink>
      <w:r w:rsidR="0047149F">
        <w:rPr>
          <w:szCs w:val="24"/>
        </w:rPr>
        <w:t xml:space="preserve"> and in the VALRC-created </w:t>
      </w:r>
      <w:hyperlink r:id="rId60" w:anchor="heading=h.4kbn91sr2mga" w:history="1">
        <w:r w:rsidR="0047149F" w:rsidRPr="00A4753C">
          <w:rPr>
            <w:rStyle w:val="Hyperlink"/>
            <w:i/>
            <w:szCs w:val="24"/>
          </w:rPr>
          <w:t xml:space="preserve">From </w:t>
        </w:r>
        <w:proofErr w:type="spellStart"/>
        <w:r w:rsidR="0047149F" w:rsidRPr="00A4753C">
          <w:rPr>
            <w:rStyle w:val="Hyperlink"/>
            <w:i/>
            <w:szCs w:val="24"/>
          </w:rPr>
          <w:t>Scratch:Using</w:t>
        </w:r>
        <w:proofErr w:type="spellEnd"/>
        <w:r w:rsidR="0047149F" w:rsidRPr="00A4753C">
          <w:rPr>
            <w:rStyle w:val="Hyperlink"/>
            <w:i/>
            <w:szCs w:val="24"/>
          </w:rPr>
          <w:t xml:space="preserve"> AEFLA Funds to Develop a Family Literacy Program</w:t>
        </w:r>
      </w:hyperlink>
      <w:r w:rsidR="0047149F" w:rsidRPr="00A4753C">
        <w:rPr>
          <w:i/>
          <w:szCs w:val="24"/>
        </w:rPr>
        <w:t xml:space="preserve"> </w:t>
      </w:r>
      <w:r w:rsidR="0047149F" w:rsidRPr="00A4753C">
        <w:rPr>
          <w:szCs w:val="24"/>
        </w:rPr>
        <w:t xml:space="preserve">toolkit. </w:t>
      </w:r>
    </w:p>
    <w:p w14:paraId="0000015E" w14:textId="34577B71" w:rsidR="002F3C8D" w:rsidRPr="00F6611B" w:rsidRDefault="00BF5CDA" w:rsidP="008D03B8">
      <w:pPr>
        <w:pStyle w:val="Heading4"/>
        <w:rPr>
          <w:i/>
        </w:rPr>
      </w:pPr>
      <w:bookmarkStart w:id="28" w:name="_Toc174088843"/>
      <w:r w:rsidRPr="00F6611B">
        <w:t>AEFLA Sec. 225 Corrections Education and Other Institutionalized Individuals (C&amp;I) Activities</w:t>
      </w:r>
      <w:bookmarkEnd w:id="28"/>
      <w:r w:rsidRPr="00F6611B">
        <w:t> </w:t>
      </w:r>
    </w:p>
    <w:p w14:paraId="00000160" w14:textId="3CD890B8" w:rsidR="002F3C8D" w:rsidRPr="00B131CA" w:rsidRDefault="00BF5CDA">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In Virginia, </w:t>
      </w:r>
      <w:r w:rsidR="0047149F">
        <w:rPr>
          <w:rFonts w:ascii="Times New Roman" w:eastAsia="Times New Roman" w:hAnsi="Times New Roman" w:cs="Times New Roman"/>
          <w:color w:val="000000"/>
          <w:sz w:val="24"/>
          <w:szCs w:val="24"/>
        </w:rPr>
        <w:t xml:space="preserve">correctional education </w:t>
      </w:r>
      <w:r w:rsidRPr="00B131CA">
        <w:rPr>
          <w:rFonts w:ascii="Times New Roman" w:eastAsia="Times New Roman" w:hAnsi="Times New Roman" w:cs="Times New Roman"/>
          <w:color w:val="000000"/>
          <w:sz w:val="24"/>
          <w:szCs w:val="24"/>
        </w:rPr>
        <w:t xml:space="preserve">providers are required to offer, </w:t>
      </w:r>
      <w:r w:rsidRPr="007C45E9">
        <w:rPr>
          <w:rFonts w:ascii="Times New Roman" w:hAnsi="Times New Roman"/>
          <w:color w:val="000000"/>
          <w:sz w:val="24"/>
        </w:rPr>
        <w:t>at a minimum,</w:t>
      </w:r>
      <w:r w:rsidRPr="00B131CA">
        <w:rPr>
          <w:rFonts w:ascii="Times New Roman" w:eastAsia="Times New Roman" w:hAnsi="Times New Roman" w:cs="Times New Roman"/>
          <w:color w:val="000000"/>
          <w:sz w:val="24"/>
          <w:szCs w:val="24"/>
        </w:rPr>
        <w:t xml:space="preserve"> </w:t>
      </w:r>
      <w:r w:rsidR="0047149F">
        <w:rPr>
          <w:rFonts w:ascii="Times New Roman" w:eastAsia="Times New Roman" w:hAnsi="Times New Roman" w:cs="Times New Roman"/>
          <w:color w:val="000000"/>
          <w:sz w:val="24"/>
          <w:szCs w:val="24"/>
        </w:rPr>
        <w:t xml:space="preserve">standards-based </w:t>
      </w:r>
      <w:r w:rsidRPr="00B131CA">
        <w:rPr>
          <w:rFonts w:ascii="Times New Roman" w:eastAsia="Times New Roman" w:hAnsi="Times New Roman" w:cs="Times New Roman"/>
          <w:color w:val="000000"/>
          <w:sz w:val="24"/>
          <w:szCs w:val="24"/>
        </w:rPr>
        <w:t xml:space="preserve">instructional adult </w:t>
      </w:r>
      <w:proofErr w:type="gramStart"/>
      <w:r w:rsidRPr="00B131CA">
        <w:rPr>
          <w:rFonts w:ascii="Times New Roman" w:eastAsia="Times New Roman" w:hAnsi="Times New Roman" w:cs="Times New Roman"/>
          <w:color w:val="000000"/>
          <w:sz w:val="24"/>
          <w:szCs w:val="24"/>
        </w:rPr>
        <w:t>education</w:t>
      </w:r>
      <w:proofErr w:type="gramEnd"/>
      <w:r w:rsidRPr="00B131CA">
        <w:rPr>
          <w:rFonts w:ascii="Times New Roman" w:eastAsia="Times New Roman" w:hAnsi="Times New Roman" w:cs="Times New Roman"/>
          <w:color w:val="000000"/>
          <w:sz w:val="24"/>
          <w:szCs w:val="24"/>
        </w:rPr>
        <w:t xml:space="preserve"> and literacy activities in correctional settings. Providers may also offer the following activities and may do so concurrently with adult education and literacy instruction:</w:t>
      </w:r>
    </w:p>
    <w:p w14:paraId="00000161" w14:textId="34FF9C57" w:rsidR="002F3C8D" w:rsidRPr="00B131CA" w:rsidRDefault="00511F31" w:rsidP="00022694">
      <w:pPr>
        <w:numPr>
          <w:ilvl w:val="0"/>
          <w:numId w:val="3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BF5CDA" w:rsidRPr="00B131CA">
        <w:rPr>
          <w:rFonts w:ascii="Times New Roman" w:eastAsia="Times New Roman" w:hAnsi="Times New Roman" w:cs="Times New Roman"/>
          <w:color w:val="000000"/>
          <w:sz w:val="24"/>
          <w:szCs w:val="24"/>
        </w:rPr>
        <w:t xml:space="preserve">pecial education, as determined by the Virginia Department of </w:t>
      </w:r>
      <w:proofErr w:type="gramStart"/>
      <w:r w:rsidR="00BF5CDA" w:rsidRPr="00B131CA">
        <w:rPr>
          <w:rFonts w:ascii="Times New Roman" w:eastAsia="Times New Roman" w:hAnsi="Times New Roman" w:cs="Times New Roman"/>
          <w:color w:val="000000"/>
          <w:sz w:val="24"/>
          <w:szCs w:val="24"/>
        </w:rPr>
        <w:t>Education;</w:t>
      </w:r>
      <w:proofErr w:type="gramEnd"/>
    </w:p>
    <w:p w14:paraId="00000162" w14:textId="54682C08" w:rsidR="002F3C8D" w:rsidRPr="00B131CA" w:rsidRDefault="00511F31" w:rsidP="00022694">
      <w:pPr>
        <w:numPr>
          <w:ilvl w:val="0"/>
          <w:numId w:val="3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BF5CDA" w:rsidRPr="00B131CA">
        <w:rPr>
          <w:rFonts w:ascii="Times New Roman" w:eastAsia="Times New Roman" w:hAnsi="Times New Roman" w:cs="Times New Roman"/>
          <w:color w:val="000000"/>
          <w:sz w:val="24"/>
          <w:szCs w:val="24"/>
        </w:rPr>
        <w:t xml:space="preserve">econdary school </w:t>
      </w:r>
      <w:proofErr w:type="gramStart"/>
      <w:r w:rsidR="00BF5CDA" w:rsidRPr="00B131CA">
        <w:rPr>
          <w:rFonts w:ascii="Times New Roman" w:eastAsia="Times New Roman" w:hAnsi="Times New Roman" w:cs="Times New Roman"/>
          <w:color w:val="000000"/>
          <w:sz w:val="24"/>
          <w:szCs w:val="24"/>
        </w:rPr>
        <w:t>credit;</w:t>
      </w:r>
      <w:proofErr w:type="gramEnd"/>
    </w:p>
    <w:p w14:paraId="00000163" w14:textId="64B86850" w:rsidR="002F3C8D" w:rsidRPr="00B131CA" w:rsidRDefault="00511F31" w:rsidP="00022694">
      <w:pPr>
        <w:numPr>
          <w:ilvl w:val="0"/>
          <w:numId w:val="3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BF5CDA" w:rsidRPr="00B131CA">
        <w:rPr>
          <w:rFonts w:ascii="Times New Roman" w:eastAsia="Times New Roman" w:hAnsi="Times New Roman" w:cs="Times New Roman"/>
          <w:color w:val="000000"/>
          <w:sz w:val="24"/>
          <w:szCs w:val="24"/>
        </w:rPr>
        <w:t>ntegrated education and training (IET</w:t>
      </w:r>
      <w:proofErr w:type="gramStart"/>
      <w:r w:rsidR="00BF5CDA" w:rsidRPr="00B131CA">
        <w:rPr>
          <w:rFonts w:ascii="Times New Roman" w:eastAsia="Times New Roman" w:hAnsi="Times New Roman" w:cs="Times New Roman"/>
          <w:color w:val="000000"/>
          <w:sz w:val="24"/>
          <w:szCs w:val="24"/>
        </w:rPr>
        <w:t>);</w:t>
      </w:r>
      <w:proofErr w:type="gramEnd"/>
    </w:p>
    <w:p w14:paraId="00000164" w14:textId="3ACEC4AF" w:rsidR="002F3C8D" w:rsidRPr="00B131CA" w:rsidRDefault="00511F31" w:rsidP="00022694">
      <w:pPr>
        <w:numPr>
          <w:ilvl w:val="0"/>
          <w:numId w:val="3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BF5CDA" w:rsidRPr="00B131CA">
        <w:rPr>
          <w:rFonts w:ascii="Times New Roman" w:eastAsia="Times New Roman" w:hAnsi="Times New Roman" w:cs="Times New Roman"/>
          <w:color w:val="000000"/>
          <w:sz w:val="24"/>
          <w:szCs w:val="24"/>
        </w:rPr>
        <w:t xml:space="preserve">areer </w:t>
      </w:r>
      <w:proofErr w:type="gramStart"/>
      <w:r w:rsidR="00BF5CDA" w:rsidRPr="00B131CA">
        <w:rPr>
          <w:rFonts w:ascii="Times New Roman" w:eastAsia="Times New Roman" w:hAnsi="Times New Roman" w:cs="Times New Roman"/>
          <w:color w:val="000000"/>
          <w:sz w:val="24"/>
          <w:szCs w:val="24"/>
        </w:rPr>
        <w:t>pathways;</w:t>
      </w:r>
      <w:proofErr w:type="gramEnd"/>
    </w:p>
    <w:p w14:paraId="00000165" w14:textId="74617195" w:rsidR="002F3C8D" w:rsidRPr="00B131CA" w:rsidRDefault="00511F31" w:rsidP="00022694">
      <w:pPr>
        <w:numPr>
          <w:ilvl w:val="0"/>
          <w:numId w:val="3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BF5CDA" w:rsidRPr="00B131CA">
        <w:rPr>
          <w:rFonts w:ascii="Times New Roman" w:eastAsia="Times New Roman" w:hAnsi="Times New Roman" w:cs="Times New Roman"/>
          <w:color w:val="000000"/>
          <w:sz w:val="24"/>
          <w:szCs w:val="24"/>
        </w:rPr>
        <w:t>oncurrent enrollment (with other WIOA partner programs</w:t>
      </w:r>
      <w:proofErr w:type="gramStart"/>
      <w:r w:rsidR="00BF5CDA" w:rsidRPr="00B131CA">
        <w:rPr>
          <w:rFonts w:ascii="Times New Roman" w:eastAsia="Times New Roman" w:hAnsi="Times New Roman" w:cs="Times New Roman"/>
          <w:color w:val="000000"/>
          <w:sz w:val="24"/>
          <w:szCs w:val="24"/>
        </w:rPr>
        <w:t>);</w:t>
      </w:r>
      <w:proofErr w:type="gramEnd"/>
    </w:p>
    <w:p w14:paraId="00000166" w14:textId="622D4AB9" w:rsidR="002F3C8D" w:rsidRPr="00B131CA" w:rsidRDefault="00511F31" w:rsidP="00022694">
      <w:pPr>
        <w:numPr>
          <w:ilvl w:val="0"/>
          <w:numId w:val="3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BF5CDA" w:rsidRPr="00B131CA">
        <w:rPr>
          <w:rFonts w:ascii="Times New Roman" w:eastAsia="Times New Roman" w:hAnsi="Times New Roman" w:cs="Times New Roman"/>
          <w:color w:val="000000"/>
          <w:sz w:val="24"/>
          <w:szCs w:val="24"/>
        </w:rPr>
        <w:t>eer tutoring; and</w:t>
      </w:r>
    </w:p>
    <w:p w14:paraId="0000016A" w14:textId="09334774" w:rsidR="002F3C8D" w:rsidRPr="007C45E9" w:rsidRDefault="00511F31" w:rsidP="00022694">
      <w:pPr>
        <w:numPr>
          <w:ilvl w:val="0"/>
          <w:numId w:val="35"/>
        </w:numPr>
        <w:pBdr>
          <w:top w:val="nil"/>
          <w:left w:val="nil"/>
          <w:bottom w:val="nil"/>
          <w:right w:val="nil"/>
          <w:between w:val="nil"/>
        </w:pBdr>
        <w:spacing w:after="20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BF5CDA" w:rsidRPr="00B131CA">
        <w:rPr>
          <w:rFonts w:ascii="Times New Roman" w:eastAsia="Times New Roman" w:hAnsi="Times New Roman" w:cs="Times New Roman"/>
          <w:color w:val="000000"/>
          <w:sz w:val="24"/>
          <w:szCs w:val="24"/>
        </w:rPr>
        <w:t>ransition to re-entry initiative and other postrelease services with the goal of reducing recidivism (e.g., counseling or case work). Examples of allowable use of funds for transition services include</w:t>
      </w:r>
      <w:r w:rsidR="007C45E9">
        <w:rPr>
          <w:rFonts w:ascii="Times New Roman" w:eastAsia="Times New Roman" w:hAnsi="Times New Roman" w:cs="Times New Roman"/>
          <w:color w:val="000000"/>
          <w:sz w:val="24"/>
          <w:szCs w:val="24"/>
        </w:rPr>
        <w:t xml:space="preserve"> </w:t>
      </w:r>
      <w:r w:rsidR="0022749B" w:rsidRPr="007C45E9">
        <w:rPr>
          <w:rFonts w:ascii="Times New Roman" w:eastAsia="Times New Roman" w:hAnsi="Times New Roman" w:cs="Times New Roman"/>
          <w:color w:val="000000"/>
          <w:sz w:val="24"/>
          <w:szCs w:val="24"/>
        </w:rPr>
        <w:t>a</w:t>
      </w:r>
      <w:r w:rsidR="00BF5CDA" w:rsidRPr="007C45E9">
        <w:rPr>
          <w:rFonts w:ascii="Times New Roman" w:eastAsia="Times New Roman" w:hAnsi="Times New Roman" w:cs="Times New Roman"/>
          <w:color w:val="000000"/>
          <w:sz w:val="24"/>
          <w:szCs w:val="24"/>
        </w:rPr>
        <w:t>ssisting incarcerated individuals to develop plans for postrelease educational program participation</w:t>
      </w:r>
      <w:r w:rsidR="007C45E9">
        <w:rPr>
          <w:rFonts w:ascii="Times New Roman" w:eastAsia="Times New Roman" w:hAnsi="Times New Roman" w:cs="Times New Roman"/>
          <w:color w:val="000000"/>
          <w:sz w:val="24"/>
          <w:szCs w:val="24"/>
        </w:rPr>
        <w:t>,</w:t>
      </w:r>
      <w:r w:rsidR="007C45E9" w:rsidRPr="007C45E9">
        <w:rPr>
          <w:rFonts w:ascii="Times New Roman" w:eastAsia="Times New Roman" w:hAnsi="Times New Roman" w:cs="Times New Roman"/>
          <w:color w:val="000000"/>
          <w:sz w:val="24"/>
          <w:szCs w:val="24"/>
        </w:rPr>
        <w:t xml:space="preserve"> </w:t>
      </w:r>
      <w:r w:rsidR="0022749B" w:rsidRPr="007C45E9">
        <w:rPr>
          <w:rFonts w:ascii="Times New Roman" w:eastAsia="Times New Roman" w:hAnsi="Times New Roman" w:cs="Times New Roman"/>
          <w:color w:val="000000"/>
          <w:sz w:val="24"/>
          <w:szCs w:val="24"/>
        </w:rPr>
        <w:t>a</w:t>
      </w:r>
      <w:r w:rsidR="00BF5CDA" w:rsidRPr="007C45E9">
        <w:rPr>
          <w:rFonts w:ascii="Times New Roman" w:eastAsia="Times New Roman" w:hAnsi="Times New Roman" w:cs="Times New Roman"/>
          <w:color w:val="000000"/>
          <w:sz w:val="24"/>
          <w:szCs w:val="24"/>
        </w:rPr>
        <w:t>ssisting incarcerated individuals in identifying and applying for participation in postrelease programs</w:t>
      </w:r>
      <w:r w:rsidR="007C45E9">
        <w:rPr>
          <w:rFonts w:ascii="Times New Roman" w:eastAsia="Times New Roman" w:hAnsi="Times New Roman" w:cs="Times New Roman"/>
          <w:color w:val="000000"/>
          <w:sz w:val="24"/>
          <w:szCs w:val="24"/>
        </w:rPr>
        <w:t>, and</w:t>
      </w:r>
      <w:r w:rsidR="007C45E9" w:rsidRPr="007C45E9">
        <w:rPr>
          <w:rFonts w:ascii="Times New Roman" w:eastAsia="Times New Roman" w:hAnsi="Times New Roman" w:cs="Times New Roman"/>
          <w:color w:val="000000"/>
          <w:sz w:val="24"/>
          <w:szCs w:val="24"/>
        </w:rPr>
        <w:t xml:space="preserve"> </w:t>
      </w:r>
      <w:r w:rsidR="0022749B" w:rsidRPr="007C45E9">
        <w:rPr>
          <w:rFonts w:ascii="Times New Roman" w:eastAsia="Times New Roman" w:hAnsi="Times New Roman" w:cs="Times New Roman"/>
          <w:color w:val="000000"/>
          <w:sz w:val="24"/>
          <w:szCs w:val="24"/>
        </w:rPr>
        <w:t>p</w:t>
      </w:r>
      <w:r w:rsidR="00BF5CDA" w:rsidRPr="007C45E9">
        <w:rPr>
          <w:rFonts w:ascii="Times New Roman" w:eastAsia="Times New Roman" w:hAnsi="Times New Roman" w:cs="Times New Roman"/>
          <w:color w:val="000000"/>
          <w:sz w:val="24"/>
          <w:szCs w:val="24"/>
        </w:rPr>
        <w:t>erforming direct outreach to community-based program providers on behalf of re-entering individuals.</w:t>
      </w:r>
    </w:p>
    <w:p w14:paraId="0000016B" w14:textId="41F625D5" w:rsidR="002F3C8D" w:rsidRPr="00B131CA" w:rsidRDefault="00BF5CDA">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Priority of Service Provision: The purpose of Sec. 225 funding is to support educational programs for criminal offenders in correctional institutions and other institutionalized individuals. C&amp;I-funded activities must give priority to serving individuals who are likely to leave the correctional institution within five years of participation in the program. Such funds may not be used for costs for participation in postrelease programs or services.</w:t>
      </w:r>
    </w:p>
    <w:p w14:paraId="0000016C" w14:textId="77777777" w:rsidR="002F3C8D" w:rsidRPr="00B131CA" w:rsidRDefault="00BF5CDA">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following entities qualify as a correctional institution:</w:t>
      </w:r>
    </w:p>
    <w:p w14:paraId="0000016D" w14:textId="77777777" w:rsidR="002F3C8D" w:rsidRPr="00B131CA" w:rsidRDefault="00BF5CDA" w:rsidP="00022694">
      <w:pPr>
        <w:numPr>
          <w:ilvl w:val="0"/>
          <w:numId w:val="3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Prison</w:t>
      </w:r>
    </w:p>
    <w:p w14:paraId="0000016E" w14:textId="77777777" w:rsidR="002F3C8D" w:rsidRPr="00B131CA" w:rsidRDefault="00BF5CDA" w:rsidP="00022694">
      <w:pPr>
        <w:numPr>
          <w:ilvl w:val="0"/>
          <w:numId w:val="3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Local or regional jail</w:t>
      </w:r>
    </w:p>
    <w:p w14:paraId="0000016F" w14:textId="77777777" w:rsidR="002F3C8D" w:rsidRPr="00B131CA" w:rsidRDefault="00BF5CDA" w:rsidP="00022694">
      <w:pPr>
        <w:numPr>
          <w:ilvl w:val="0"/>
          <w:numId w:val="3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Reformatory</w:t>
      </w:r>
    </w:p>
    <w:p w14:paraId="00000170" w14:textId="77777777" w:rsidR="002F3C8D" w:rsidRPr="00B131CA" w:rsidRDefault="00BF5CDA" w:rsidP="00022694">
      <w:pPr>
        <w:numPr>
          <w:ilvl w:val="0"/>
          <w:numId w:val="3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lastRenderedPageBreak/>
        <w:t xml:space="preserve">Work </w:t>
      </w:r>
      <w:proofErr w:type="gramStart"/>
      <w:r w:rsidRPr="00B131CA">
        <w:rPr>
          <w:rFonts w:ascii="Times New Roman" w:eastAsia="Times New Roman" w:hAnsi="Times New Roman" w:cs="Times New Roman"/>
          <w:color w:val="000000"/>
          <w:sz w:val="24"/>
          <w:szCs w:val="24"/>
        </w:rPr>
        <w:t>farm</w:t>
      </w:r>
      <w:proofErr w:type="gramEnd"/>
    </w:p>
    <w:p w14:paraId="00000171" w14:textId="77777777" w:rsidR="002F3C8D" w:rsidRPr="00B131CA" w:rsidRDefault="00BF5CDA" w:rsidP="00022694">
      <w:pPr>
        <w:numPr>
          <w:ilvl w:val="0"/>
          <w:numId w:val="3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Detention center</w:t>
      </w:r>
    </w:p>
    <w:p w14:paraId="00000172" w14:textId="2DFE1652" w:rsidR="002F3C8D" w:rsidRPr="00B131CA" w:rsidRDefault="00BF5CDA" w:rsidP="00022694">
      <w:pPr>
        <w:numPr>
          <w:ilvl w:val="0"/>
          <w:numId w:val="36"/>
        </w:numPr>
        <w:pBdr>
          <w:top w:val="nil"/>
          <w:left w:val="nil"/>
          <w:bottom w:val="nil"/>
          <w:right w:val="nil"/>
          <w:between w:val="nil"/>
        </w:pBdr>
        <w:spacing w:after="12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Halfway house, community-based rehabilitation center, or any other similar institution designed for the confinement or rehabilitation of criminal </w:t>
      </w:r>
      <w:proofErr w:type="gramStart"/>
      <w:r w:rsidRPr="00B131CA">
        <w:rPr>
          <w:rFonts w:ascii="Times New Roman" w:eastAsia="Times New Roman" w:hAnsi="Times New Roman" w:cs="Times New Roman"/>
          <w:color w:val="000000"/>
          <w:sz w:val="24"/>
          <w:szCs w:val="24"/>
        </w:rPr>
        <w:t>offenders</w:t>
      </w:r>
      <w:proofErr w:type="gramEnd"/>
    </w:p>
    <w:p w14:paraId="00000173" w14:textId="64E5AC1E" w:rsidR="002F3C8D" w:rsidRPr="00B131CA" w:rsidRDefault="00BF5CDA">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Probation and parole facilities, which do not confine criminal offenders, are not considered “institutions” in the federal definition. Services provided to reentering eligible individuals at or through probation and parole facilities and partners should be funded with AEFLA Sec. 231 funds. Providers may use Sec. 225 funds for staff to conduct direct outreach to reentry and transition programming on behalf of students but should use Sec. 231 funds to provide services to individuals not </w:t>
      </w:r>
      <w:r w:rsidR="005D13B0">
        <w:rPr>
          <w:rFonts w:ascii="Times New Roman" w:eastAsia="Times New Roman" w:hAnsi="Times New Roman" w:cs="Times New Roman"/>
          <w:color w:val="000000"/>
          <w:sz w:val="24"/>
          <w:szCs w:val="24"/>
        </w:rPr>
        <w:t>confined</w:t>
      </w:r>
      <w:r w:rsidR="005D13B0"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or for staff to participate in local reentry councils and planning groups.</w:t>
      </w:r>
    </w:p>
    <w:p w14:paraId="00000174" w14:textId="76952383" w:rsidR="002F3C8D" w:rsidRPr="00841CC4" w:rsidRDefault="00BF5CDA" w:rsidP="008D03B8">
      <w:pPr>
        <w:pStyle w:val="Heading4"/>
        <w:rPr>
          <w:i/>
        </w:rPr>
      </w:pPr>
      <w:bookmarkStart w:id="29" w:name="_Toc174088844"/>
      <w:r w:rsidRPr="00841CC4">
        <w:t>AEFLA Sec. 243 Integrated English Literacy and Civics Education (IELCE) Activities</w:t>
      </w:r>
      <w:bookmarkEnd w:id="29"/>
      <w:r w:rsidRPr="00841CC4">
        <w:t> </w:t>
      </w:r>
    </w:p>
    <w:p w14:paraId="00000175" w14:textId="77777777" w:rsidR="002F3C8D" w:rsidRPr="00B131CA" w:rsidRDefault="00BF5CDA" w:rsidP="00E706E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IELCE programs funded with Sec. 243 funds must offer the following interrelated activities in each program term:</w:t>
      </w:r>
    </w:p>
    <w:p w14:paraId="00000176" w14:textId="74B63053" w:rsidR="002F3C8D" w:rsidRPr="00511F31" w:rsidRDefault="00BF5CDA" w:rsidP="00022694">
      <w:pPr>
        <w:pStyle w:val="ListParagraph"/>
        <w:numPr>
          <w:ilvl w:val="0"/>
          <w:numId w:val="42"/>
        </w:numPr>
        <w:pBdr>
          <w:top w:val="nil"/>
          <w:left w:val="nil"/>
          <w:bottom w:val="nil"/>
          <w:right w:val="nil"/>
          <w:between w:val="nil"/>
        </w:pBdr>
        <w:spacing w:after="0" w:line="240" w:lineRule="auto"/>
        <w:rPr>
          <w:rFonts w:ascii="Times New Roman" w:hAnsi="Times New Roman"/>
          <w:color w:val="000000"/>
        </w:rPr>
      </w:pPr>
      <w:r w:rsidRPr="00511F31">
        <w:rPr>
          <w:rFonts w:ascii="Times New Roman" w:eastAsia="Times New Roman" w:hAnsi="Times New Roman" w:cs="Times New Roman"/>
          <w:color w:val="000000"/>
          <w:sz w:val="24"/>
          <w:szCs w:val="24"/>
        </w:rPr>
        <w:t>Literacy instruction</w:t>
      </w:r>
    </w:p>
    <w:p w14:paraId="00000177" w14:textId="4B7798FC" w:rsidR="002F3C8D" w:rsidRPr="00841CC4" w:rsidRDefault="00BF5CDA" w:rsidP="00022694">
      <w:pPr>
        <w:numPr>
          <w:ilvl w:val="0"/>
          <w:numId w:val="42"/>
        </w:numPr>
        <w:pBdr>
          <w:top w:val="nil"/>
          <w:left w:val="nil"/>
          <w:bottom w:val="nil"/>
          <w:right w:val="nil"/>
          <w:between w:val="nil"/>
        </w:pBdr>
        <w:spacing w:after="0" w:line="240" w:lineRule="auto"/>
        <w:rPr>
          <w:rFonts w:ascii="Times New Roman" w:hAnsi="Times New Roman"/>
          <w:color w:val="000000"/>
        </w:rPr>
      </w:pPr>
      <w:r w:rsidRPr="00B131CA">
        <w:rPr>
          <w:rFonts w:ascii="Times New Roman" w:eastAsia="Times New Roman" w:hAnsi="Times New Roman" w:cs="Times New Roman"/>
          <w:color w:val="000000"/>
          <w:sz w:val="24"/>
          <w:szCs w:val="24"/>
        </w:rPr>
        <w:t>English language acquisition </w:t>
      </w:r>
    </w:p>
    <w:p w14:paraId="64EA5119" w14:textId="4634D310" w:rsidR="00E706EA" w:rsidRPr="00841CC4" w:rsidRDefault="00BF5CDA" w:rsidP="00022694">
      <w:pPr>
        <w:numPr>
          <w:ilvl w:val="0"/>
          <w:numId w:val="42"/>
        </w:numPr>
        <w:pBdr>
          <w:top w:val="nil"/>
          <w:left w:val="nil"/>
          <w:bottom w:val="nil"/>
          <w:right w:val="nil"/>
          <w:between w:val="nil"/>
        </w:pBdr>
        <w:spacing w:after="0" w:line="240" w:lineRule="auto"/>
        <w:rPr>
          <w:rFonts w:ascii="Times New Roman" w:hAnsi="Times New Roman"/>
          <w:color w:val="000000"/>
        </w:rPr>
      </w:pPr>
      <w:r w:rsidRPr="00B131CA">
        <w:rPr>
          <w:rFonts w:ascii="Times New Roman" w:eastAsia="Times New Roman" w:hAnsi="Times New Roman" w:cs="Times New Roman"/>
          <w:color w:val="000000"/>
          <w:sz w:val="24"/>
          <w:szCs w:val="24"/>
        </w:rPr>
        <w:t>Civics education</w:t>
      </w:r>
    </w:p>
    <w:p w14:paraId="7A915528" w14:textId="7751492E" w:rsidR="00E706EA" w:rsidRPr="00511F31" w:rsidRDefault="00BF5CDA" w:rsidP="00022694">
      <w:pPr>
        <w:pStyle w:val="ListParagraph"/>
        <w:numPr>
          <w:ilvl w:val="2"/>
          <w:numId w:val="43"/>
        </w:numPr>
        <w:pBdr>
          <w:top w:val="nil"/>
          <w:left w:val="nil"/>
          <w:bottom w:val="nil"/>
          <w:right w:val="nil"/>
          <w:between w:val="nil"/>
        </w:pBdr>
        <w:spacing w:after="0" w:line="240" w:lineRule="auto"/>
        <w:rPr>
          <w:rFonts w:ascii="Times New Roman" w:hAnsi="Times New Roman"/>
          <w:color w:val="000000"/>
        </w:rPr>
      </w:pPr>
      <w:r w:rsidRPr="00511F31">
        <w:rPr>
          <w:rFonts w:ascii="Times New Roman" w:eastAsia="Times New Roman" w:hAnsi="Times New Roman" w:cs="Times New Roman"/>
          <w:color w:val="000000"/>
          <w:sz w:val="24"/>
          <w:szCs w:val="24"/>
        </w:rPr>
        <w:t>Instruction on the rights and responsibilities of citizenship</w:t>
      </w:r>
    </w:p>
    <w:p w14:paraId="6C150BA6" w14:textId="77777777" w:rsidR="00E706EA" w:rsidRPr="00A149BB" w:rsidRDefault="00BF5CDA" w:rsidP="00022694">
      <w:pPr>
        <w:numPr>
          <w:ilvl w:val="2"/>
          <w:numId w:val="43"/>
        </w:numPr>
        <w:pBdr>
          <w:top w:val="nil"/>
          <w:left w:val="nil"/>
          <w:bottom w:val="nil"/>
          <w:right w:val="nil"/>
          <w:between w:val="nil"/>
        </w:pBdr>
        <w:spacing w:after="0" w:line="240" w:lineRule="auto"/>
        <w:rPr>
          <w:rFonts w:ascii="Times New Roman" w:hAnsi="Times New Roman"/>
          <w:color w:val="000000"/>
        </w:rPr>
      </w:pPr>
      <w:r w:rsidRPr="00A149BB">
        <w:rPr>
          <w:rFonts w:ascii="Times New Roman" w:eastAsia="Times New Roman" w:hAnsi="Times New Roman" w:cs="Times New Roman"/>
          <w:color w:val="000000"/>
          <w:sz w:val="24"/>
          <w:szCs w:val="24"/>
        </w:rPr>
        <w:t>Instruction on civic participation</w:t>
      </w:r>
    </w:p>
    <w:p w14:paraId="617A655C" w14:textId="75DFDB15" w:rsidR="003C72C4" w:rsidRPr="00511F31" w:rsidRDefault="00BF5CDA" w:rsidP="00022694">
      <w:pPr>
        <w:pStyle w:val="ListParagraph"/>
        <w:numPr>
          <w:ilvl w:val="0"/>
          <w:numId w:val="42"/>
        </w:numPr>
        <w:pBdr>
          <w:top w:val="nil"/>
          <w:left w:val="nil"/>
          <w:bottom w:val="nil"/>
          <w:right w:val="nil"/>
          <w:between w:val="nil"/>
        </w:pBdr>
        <w:tabs>
          <w:tab w:val="left" w:pos="1440"/>
        </w:tabs>
        <w:spacing w:after="200" w:line="240" w:lineRule="auto"/>
        <w:rPr>
          <w:rFonts w:ascii="Times New Roman" w:hAnsi="Times New Roman"/>
          <w:color w:val="000000"/>
          <w:sz w:val="24"/>
        </w:rPr>
      </w:pPr>
      <w:r w:rsidRPr="00511F31">
        <w:rPr>
          <w:rFonts w:ascii="Times New Roman" w:eastAsia="Times New Roman" w:hAnsi="Times New Roman" w:cs="Times New Roman"/>
          <w:color w:val="000000"/>
          <w:sz w:val="24"/>
          <w:szCs w:val="24"/>
        </w:rPr>
        <w:t xml:space="preserve">Integrated </w:t>
      </w:r>
      <w:r w:rsidR="003208BA">
        <w:rPr>
          <w:rFonts w:ascii="Times New Roman" w:eastAsia="Times New Roman" w:hAnsi="Times New Roman" w:cs="Times New Roman"/>
          <w:color w:val="000000"/>
          <w:sz w:val="24"/>
          <w:szCs w:val="24"/>
        </w:rPr>
        <w:t>e</w:t>
      </w:r>
      <w:r w:rsidRPr="00511F31">
        <w:rPr>
          <w:rFonts w:ascii="Times New Roman" w:eastAsia="Times New Roman" w:hAnsi="Times New Roman" w:cs="Times New Roman"/>
          <w:color w:val="000000"/>
          <w:sz w:val="24"/>
          <w:szCs w:val="24"/>
        </w:rPr>
        <w:t xml:space="preserve">ducation and </w:t>
      </w:r>
      <w:r w:rsidR="003208BA">
        <w:rPr>
          <w:rFonts w:ascii="Times New Roman" w:eastAsia="Times New Roman" w:hAnsi="Times New Roman" w:cs="Times New Roman"/>
          <w:color w:val="000000"/>
          <w:sz w:val="24"/>
          <w:szCs w:val="24"/>
        </w:rPr>
        <w:t>t</w:t>
      </w:r>
      <w:r w:rsidRPr="00511F31">
        <w:rPr>
          <w:rFonts w:ascii="Times New Roman" w:eastAsia="Times New Roman" w:hAnsi="Times New Roman" w:cs="Times New Roman"/>
          <w:color w:val="000000"/>
          <w:sz w:val="24"/>
          <w:szCs w:val="24"/>
        </w:rPr>
        <w:t>raining (IET) </w:t>
      </w:r>
    </w:p>
    <w:p w14:paraId="0000017D" w14:textId="7238E112" w:rsidR="002F3C8D" w:rsidRPr="00841CC4" w:rsidRDefault="00BF5CDA" w:rsidP="008D03B8">
      <w:pPr>
        <w:pStyle w:val="Heading4"/>
        <w:rPr>
          <w:i/>
        </w:rPr>
      </w:pPr>
      <w:bookmarkStart w:id="30" w:name="_Toc174088845"/>
      <w:r w:rsidRPr="00841CC4">
        <w:t>State Matching Funds</w:t>
      </w:r>
      <w:bookmarkEnd w:id="30"/>
    </w:p>
    <w:p w14:paraId="00000181" w14:textId="364B27B5" w:rsidR="002F3C8D" w:rsidRPr="00B131CA" w:rsidRDefault="004427B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Three</w:t>
      </w:r>
      <w:r w:rsidRPr="00B131CA">
        <w:rPr>
          <w:rFonts w:ascii="Times New Roman" w:eastAsia="Times New Roman" w:hAnsi="Times New Roman" w:cs="Times New Roman"/>
          <w:color w:val="000000"/>
          <w:sz w:val="24"/>
          <w:szCs w:val="24"/>
        </w:rPr>
        <w:t xml:space="preserve"> </w:t>
      </w:r>
      <w:r w:rsidR="00BF5CDA" w:rsidRPr="00B131CA">
        <w:rPr>
          <w:rFonts w:ascii="Times New Roman" w:eastAsia="Times New Roman" w:hAnsi="Times New Roman" w:cs="Times New Roman"/>
          <w:color w:val="000000"/>
          <w:sz w:val="24"/>
          <w:szCs w:val="24"/>
        </w:rPr>
        <w:t xml:space="preserve">funding streams are awarded out of the Virginia General Assembly budget </w:t>
      </w:r>
      <w:r>
        <w:rPr>
          <w:rFonts w:ascii="Times New Roman" w:eastAsia="Times New Roman" w:hAnsi="Times New Roman" w:cs="Times New Roman"/>
          <w:color w:val="000000"/>
          <w:sz w:val="24"/>
          <w:szCs w:val="24"/>
        </w:rPr>
        <w:t xml:space="preserve">and reported </w:t>
      </w:r>
      <w:r w:rsidR="00BF5CDA" w:rsidRPr="00B131CA">
        <w:rPr>
          <w:rFonts w:ascii="Times New Roman" w:eastAsia="Times New Roman" w:hAnsi="Times New Roman" w:cs="Times New Roman"/>
          <w:color w:val="000000"/>
          <w:sz w:val="24"/>
          <w:szCs w:val="24"/>
        </w:rPr>
        <w:t>as the required state match to the federal AEFLA award:</w:t>
      </w:r>
      <w:r w:rsidR="005D00B3">
        <w:rPr>
          <w:rFonts w:ascii="Times New Roman" w:eastAsia="Times New Roman" w:hAnsi="Times New Roman" w:cs="Times New Roman"/>
          <w:color w:val="000000"/>
          <w:sz w:val="24"/>
          <w:szCs w:val="24"/>
        </w:rPr>
        <w:t xml:space="preserve"> the </w:t>
      </w:r>
      <w:r w:rsidR="00BF5CDA" w:rsidRPr="00B131CA">
        <w:rPr>
          <w:rFonts w:ascii="Times New Roman" w:eastAsia="Times New Roman" w:hAnsi="Times New Roman" w:cs="Times New Roman"/>
          <w:color w:val="000000"/>
          <w:sz w:val="24"/>
          <w:szCs w:val="24"/>
        </w:rPr>
        <w:t>General Adult Education (GAE)</w:t>
      </w:r>
      <w:r w:rsidR="005D00B3">
        <w:rPr>
          <w:rFonts w:ascii="Times New Roman" w:eastAsia="Times New Roman" w:hAnsi="Times New Roman" w:cs="Times New Roman"/>
          <w:color w:val="000000"/>
          <w:sz w:val="24"/>
          <w:szCs w:val="24"/>
        </w:rPr>
        <w:t xml:space="preserve"> fund</w:t>
      </w:r>
      <w:r w:rsidR="00BF5CDA" w:rsidRPr="00B131CA">
        <w:rPr>
          <w:rFonts w:ascii="Times New Roman" w:eastAsia="Times New Roman" w:hAnsi="Times New Roman" w:cs="Times New Roman"/>
          <w:color w:val="000000"/>
          <w:sz w:val="24"/>
          <w:szCs w:val="24"/>
        </w:rPr>
        <w:t xml:space="preserve">, </w:t>
      </w:r>
      <w:r w:rsidR="005D00B3">
        <w:rPr>
          <w:rFonts w:ascii="Times New Roman" w:eastAsia="Times New Roman" w:hAnsi="Times New Roman" w:cs="Times New Roman"/>
          <w:color w:val="000000"/>
          <w:sz w:val="24"/>
          <w:szCs w:val="24"/>
        </w:rPr>
        <w:t xml:space="preserve">the </w:t>
      </w:r>
      <w:r w:rsidR="00BF5CDA" w:rsidRPr="00B131CA">
        <w:rPr>
          <w:rFonts w:ascii="Times New Roman" w:eastAsia="Times New Roman" w:hAnsi="Times New Roman" w:cs="Times New Roman"/>
          <w:color w:val="000000"/>
          <w:sz w:val="24"/>
          <w:szCs w:val="24"/>
        </w:rPr>
        <w:t>State Lead Coordinating Agency (SLCA)</w:t>
      </w:r>
      <w:r w:rsidR="005D00B3">
        <w:rPr>
          <w:rFonts w:ascii="Times New Roman" w:eastAsia="Times New Roman" w:hAnsi="Times New Roman" w:cs="Times New Roman"/>
          <w:color w:val="000000"/>
          <w:sz w:val="24"/>
          <w:szCs w:val="24"/>
        </w:rPr>
        <w:t xml:space="preserve"> fund</w:t>
      </w:r>
      <w:r>
        <w:rPr>
          <w:rFonts w:ascii="Times New Roman" w:eastAsia="Times New Roman" w:hAnsi="Times New Roman" w:cs="Times New Roman"/>
          <w:color w:val="000000"/>
          <w:sz w:val="24"/>
          <w:szCs w:val="24"/>
        </w:rPr>
        <w:t xml:space="preserve">, and, as of PY2022-2023, </w:t>
      </w:r>
      <w:proofErr w:type="spellStart"/>
      <w:r>
        <w:rPr>
          <w:rFonts w:ascii="Times New Roman" w:eastAsia="Times New Roman" w:hAnsi="Times New Roman" w:cs="Times New Roman"/>
          <w:color w:val="000000"/>
          <w:sz w:val="24"/>
          <w:szCs w:val="24"/>
        </w:rPr>
        <w:t>PluggedIn</w:t>
      </w:r>
      <w:proofErr w:type="spellEnd"/>
      <w:r w:rsidR="005655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VA fund</w:t>
      </w:r>
      <w:r w:rsidR="00BF5CDA" w:rsidRPr="00B131CA">
        <w:rPr>
          <w:rFonts w:ascii="Times New Roman" w:eastAsia="Times New Roman" w:hAnsi="Times New Roman" w:cs="Times New Roman"/>
          <w:color w:val="000000"/>
          <w:sz w:val="24"/>
          <w:szCs w:val="24"/>
        </w:rPr>
        <w:t>.</w:t>
      </w:r>
      <w:r w:rsidR="005D00B3">
        <w:rPr>
          <w:rFonts w:ascii="Times New Roman" w:eastAsia="Times New Roman" w:hAnsi="Times New Roman" w:cs="Times New Roman"/>
          <w:color w:val="000000"/>
          <w:sz w:val="24"/>
          <w:szCs w:val="24"/>
        </w:rPr>
        <w:t xml:space="preserve"> </w:t>
      </w:r>
      <w:r w:rsidR="00BF5CDA" w:rsidRPr="00B131CA">
        <w:rPr>
          <w:rFonts w:ascii="Times New Roman" w:eastAsia="Times New Roman" w:hAnsi="Times New Roman" w:cs="Times New Roman"/>
          <w:color w:val="000000"/>
          <w:sz w:val="24"/>
          <w:szCs w:val="24"/>
        </w:rPr>
        <w:t>These funds are awarded to each of the 22 adult education regions in conjunction with the federal adult education funds. They are not competed separately. Because these funds are declared as match to the federal funds as part of a provider</w:t>
      </w:r>
      <w:r w:rsidR="00BF5CDA" w:rsidRPr="00B131CA">
        <w:rPr>
          <w:rFonts w:ascii="Times New Roman" w:eastAsia="Times New Roman" w:hAnsi="Times New Roman" w:cs="Times New Roman"/>
          <w:sz w:val="24"/>
          <w:szCs w:val="24"/>
        </w:rPr>
        <w:t>’s total award</w:t>
      </w:r>
      <w:r w:rsidR="00BF5CDA" w:rsidRPr="00B131CA">
        <w:rPr>
          <w:rFonts w:ascii="Times New Roman" w:eastAsia="Times New Roman" w:hAnsi="Times New Roman" w:cs="Times New Roman"/>
          <w:color w:val="000000"/>
          <w:sz w:val="24"/>
          <w:szCs w:val="24"/>
        </w:rPr>
        <w:t>, their expenditure must follow the same regulations and allowable activities (</w:t>
      </w:r>
      <w:r w:rsidR="00BF5CDA" w:rsidRPr="00B131CA">
        <w:rPr>
          <w:rFonts w:ascii="Times New Roman" w:eastAsia="Times New Roman" w:hAnsi="Times New Roman" w:cs="Times New Roman"/>
          <w:sz w:val="24"/>
          <w:szCs w:val="24"/>
        </w:rPr>
        <w:t>Sec. 222(b)(2)</w:t>
      </w:r>
      <w:r w:rsidR="00BF5CDA" w:rsidRPr="00B131CA">
        <w:rPr>
          <w:rFonts w:ascii="Times New Roman" w:eastAsia="Times New Roman" w:hAnsi="Times New Roman" w:cs="Times New Roman"/>
          <w:color w:val="000000"/>
          <w:sz w:val="24"/>
          <w:szCs w:val="24"/>
        </w:rPr>
        <w:t>).</w:t>
      </w:r>
    </w:p>
    <w:p w14:paraId="00000182" w14:textId="36B9F2E6" w:rsidR="002F3C8D" w:rsidRPr="00B131CA" w:rsidRDefault="00BF5CDA" w:rsidP="005D00B3">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sidRPr="00841CC4">
        <w:rPr>
          <w:rFonts w:ascii="Times New Roman" w:hAnsi="Times New Roman"/>
          <w:color w:val="000000"/>
          <w:sz w:val="24"/>
        </w:rPr>
        <w:t xml:space="preserve">General Adult Education (GAE) </w:t>
      </w:r>
      <w:r w:rsidRPr="00B131CA">
        <w:rPr>
          <w:rFonts w:ascii="Times New Roman" w:eastAsia="Times New Roman" w:hAnsi="Times New Roman" w:cs="Times New Roman"/>
          <w:color w:val="000000"/>
          <w:sz w:val="24"/>
          <w:szCs w:val="24"/>
        </w:rPr>
        <w:t xml:space="preserve">funds are to be used to address the instructional needs of eligible individuals throughout the region, particularly those eligible individuals who have low levels of literacy skills, are English language learners, or are individuals with disabilities. Allowable costs include but are not limited to instructors’ time and effort and benefits, </w:t>
      </w:r>
      <w:r w:rsidR="00113D3A">
        <w:rPr>
          <w:rFonts w:ascii="Times New Roman" w:eastAsia="Times New Roman" w:hAnsi="Times New Roman" w:cs="Times New Roman"/>
          <w:color w:val="000000"/>
          <w:sz w:val="24"/>
          <w:szCs w:val="24"/>
        </w:rPr>
        <w:t xml:space="preserve">participation in relevant professional development, </w:t>
      </w:r>
      <w:r w:rsidRPr="00B131CA">
        <w:rPr>
          <w:rFonts w:ascii="Times New Roman" w:eastAsia="Times New Roman" w:hAnsi="Times New Roman" w:cs="Times New Roman"/>
          <w:color w:val="000000"/>
          <w:sz w:val="24"/>
          <w:szCs w:val="24"/>
        </w:rPr>
        <w:t>instructional materials and supplies, and assessment materials and supplies. </w:t>
      </w:r>
    </w:p>
    <w:p w14:paraId="00000183" w14:textId="77777777" w:rsidR="002F3C8D" w:rsidRPr="00B131CA" w:rsidRDefault="00BF5CDA" w:rsidP="005D00B3">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841CC4">
        <w:rPr>
          <w:rFonts w:ascii="Times New Roman" w:hAnsi="Times New Roman"/>
          <w:color w:val="000000"/>
          <w:sz w:val="24"/>
        </w:rPr>
        <w:t>State Lead Coordinating Agency (SLCA)</w:t>
      </w:r>
      <w:r w:rsidRPr="00B131CA">
        <w:rPr>
          <w:rFonts w:ascii="Times New Roman" w:eastAsia="Times New Roman" w:hAnsi="Times New Roman" w:cs="Times New Roman"/>
          <w:color w:val="000000"/>
          <w:sz w:val="24"/>
          <w:szCs w:val="24"/>
        </w:rPr>
        <w:t xml:space="preserve"> administrative funds are awarded to the fiscal agent of regional providers to assist with the costs of administering adult education and C&amp;I programs. Allowable costs include but are not limited to the regional program manager and regional staff time and effort and benefits, professional development activities, regional </w:t>
      </w:r>
      <w:proofErr w:type="gramStart"/>
      <w:r w:rsidRPr="00B131CA">
        <w:rPr>
          <w:rFonts w:ascii="Times New Roman" w:eastAsia="Times New Roman" w:hAnsi="Times New Roman" w:cs="Times New Roman"/>
          <w:color w:val="000000"/>
          <w:sz w:val="24"/>
          <w:szCs w:val="24"/>
        </w:rPr>
        <w:t>travel</w:t>
      </w:r>
      <w:proofErr w:type="gramEnd"/>
      <w:r w:rsidRPr="00B131CA">
        <w:rPr>
          <w:rFonts w:ascii="Times New Roman" w:eastAsia="Times New Roman" w:hAnsi="Times New Roman" w:cs="Times New Roman"/>
          <w:color w:val="000000"/>
          <w:sz w:val="24"/>
          <w:szCs w:val="24"/>
        </w:rPr>
        <w:t xml:space="preserve"> and administrative costs.</w:t>
      </w:r>
    </w:p>
    <w:p w14:paraId="32AD9BBE" w14:textId="26CD5C43" w:rsidR="00F16E33" w:rsidRPr="00107B06" w:rsidRDefault="00113D15" w:rsidP="00F16E3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07B06">
        <w:rPr>
          <w:rFonts w:ascii="Times New Roman" w:eastAsia="Times New Roman" w:hAnsi="Times New Roman" w:cs="Times New Roman"/>
          <w:color w:val="000000"/>
          <w:sz w:val="24"/>
          <w:szCs w:val="24"/>
        </w:rPr>
        <w:t xml:space="preserve">The </w:t>
      </w:r>
      <w:proofErr w:type="spellStart"/>
      <w:r w:rsidR="00BF5CDA" w:rsidRPr="00113D15">
        <w:rPr>
          <w:rFonts w:ascii="Times New Roman" w:eastAsia="Times New Roman" w:hAnsi="Times New Roman" w:cs="Times New Roman"/>
          <w:color w:val="000000"/>
          <w:sz w:val="24"/>
          <w:szCs w:val="24"/>
        </w:rPr>
        <w:t>PluggedIn</w:t>
      </w:r>
      <w:proofErr w:type="spellEnd"/>
      <w:r w:rsidR="00565524">
        <w:rPr>
          <w:rFonts w:ascii="Times New Roman" w:eastAsia="Times New Roman" w:hAnsi="Times New Roman" w:cs="Times New Roman"/>
          <w:color w:val="000000"/>
          <w:sz w:val="24"/>
          <w:szCs w:val="24"/>
        </w:rPr>
        <w:t xml:space="preserve"> </w:t>
      </w:r>
      <w:r w:rsidR="00BF5CDA" w:rsidRPr="00113D15">
        <w:rPr>
          <w:rFonts w:ascii="Times New Roman" w:eastAsia="Times New Roman" w:hAnsi="Times New Roman" w:cs="Times New Roman"/>
          <w:color w:val="000000"/>
          <w:sz w:val="24"/>
          <w:szCs w:val="24"/>
        </w:rPr>
        <w:t>VA</w:t>
      </w:r>
      <w:r w:rsidRPr="00107B06">
        <w:rPr>
          <w:rFonts w:ascii="Times New Roman" w:eastAsia="Times New Roman" w:hAnsi="Times New Roman" w:cs="Times New Roman"/>
          <w:color w:val="000000"/>
          <w:sz w:val="24"/>
          <w:szCs w:val="24"/>
        </w:rPr>
        <w:t xml:space="preserve"> model</w:t>
      </w:r>
      <w:r w:rsidR="00BF5CDA" w:rsidRPr="00113D15">
        <w:rPr>
          <w:rFonts w:ascii="Times New Roman" w:eastAsia="Times New Roman" w:hAnsi="Times New Roman" w:cs="Times New Roman"/>
          <w:color w:val="000000"/>
          <w:sz w:val="24"/>
          <w:szCs w:val="24"/>
        </w:rPr>
        <w:t xml:space="preserve"> </w:t>
      </w:r>
      <w:r w:rsidR="00F16E33" w:rsidRPr="00107B06">
        <w:rPr>
          <w:rFonts w:ascii="Times New Roman" w:eastAsia="Times New Roman" w:hAnsi="Times New Roman" w:cs="Times New Roman"/>
          <w:color w:val="000000"/>
          <w:sz w:val="24"/>
          <w:szCs w:val="24"/>
        </w:rPr>
        <w:t>was</w:t>
      </w:r>
      <w:r w:rsidR="00F16E33" w:rsidRPr="00113D15">
        <w:rPr>
          <w:rFonts w:ascii="Times New Roman" w:eastAsia="Times New Roman" w:hAnsi="Times New Roman" w:cs="Times New Roman"/>
          <w:color w:val="000000"/>
          <w:sz w:val="24"/>
          <w:szCs w:val="24"/>
        </w:rPr>
        <w:t xml:space="preserve"> </w:t>
      </w:r>
      <w:r w:rsidR="00BF5CDA" w:rsidRPr="00113D15">
        <w:rPr>
          <w:rFonts w:ascii="Times New Roman" w:eastAsia="Times New Roman" w:hAnsi="Times New Roman" w:cs="Times New Roman"/>
          <w:color w:val="000000"/>
          <w:sz w:val="24"/>
          <w:szCs w:val="24"/>
        </w:rPr>
        <w:t>built</w:t>
      </w:r>
      <w:r w:rsidR="00F16E33" w:rsidRPr="00107B06">
        <w:rPr>
          <w:rFonts w:ascii="Times New Roman" w:eastAsia="Times New Roman" w:hAnsi="Times New Roman" w:cs="Times New Roman"/>
          <w:color w:val="000000"/>
          <w:sz w:val="24"/>
          <w:szCs w:val="24"/>
        </w:rPr>
        <w:t xml:space="preserve"> </w:t>
      </w:r>
      <w:r w:rsidR="00BF5CDA" w:rsidRPr="00113D15">
        <w:rPr>
          <w:rFonts w:ascii="Times New Roman" w:eastAsia="Times New Roman" w:hAnsi="Times New Roman" w:cs="Times New Roman"/>
          <w:color w:val="000000"/>
          <w:sz w:val="24"/>
          <w:szCs w:val="24"/>
        </w:rPr>
        <w:t>a</w:t>
      </w:r>
      <w:r w:rsidR="00F16E33" w:rsidRPr="00107B06">
        <w:rPr>
          <w:rFonts w:ascii="Times New Roman" w:eastAsia="Times New Roman" w:hAnsi="Times New Roman" w:cs="Times New Roman"/>
          <w:color w:val="000000"/>
          <w:sz w:val="24"/>
          <w:szCs w:val="24"/>
        </w:rPr>
        <w:t>s a</w:t>
      </w:r>
      <w:r w:rsidR="00BF5CDA" w:rsidRPr="00113D15">
        <w:rPr>
          <w:rFonts w:ascii="Times New Roman" w:eastAsia="Times New Roman" w:hAnsi="Times New Roman" w:cs="Times New Roman"/>
          <w:color w:val="000000"/>
          <w:sz w:val="24"/>
          <w:szCs w:val="24"/>
        </w:rPr>
        <w:t xml:space="preserve"> career pathways approach </w:t>
      </w:r>
      <w:r w:rsidR="00F16E33" w:rsidRPr="00107B06">
        <w:rPr>
          <w:rFonts w:ascii="Times New Roman" w:eastAsia="Times New Roman" w:hAnsi="Times New Roman" w:cs="Times New Roman"/>
          <w:color w:val="000000"/>
          <w:sz w:val="24"/>
          <w:szCs w:val="24"/>
        </w:rPr>
        <w:t>to</w:t>
      </w:r>
      <w:r w:rsidR="00F16E33" w:rsidRPr="00113D15">
        <w:rPr>
          <w:rFonts w:ascii="Times New Roman" w:eastAsia="Times New Roman" w:hAnsi="Times New Roman" w:cs="Times New Roman"/>
          <w:color w:val="000000"/>
          <w:sz w:val="24"/>
          <w:szCs w:val="24"/>
        </w:rPr>
        <w:t xml:space="preserve"> </w:t>
      </w:r>
      <w:r w:rsidR="00BF5CDA" w:rsidRPr="00113D15">
        <w:rPr>
          <w:rFonts w:ascii="Times New Roman" w:eastAsia="Times New Roman" w:hAnsi="Times New Roman" w:cs="Times New Roman"/>
          <w:color w:val="000000"/>
          <w:sz w:val="24"/>
          <w:szCs w:val="24"/>
        </w:rPr>
        <w:t xml:space="preserve">prepare adults with the </w:t>
      </w:r>
      <w:r w:rsidR="005E101E">
        <w:rPr>
          <w:rFonts w:ascii="Times New Roman" w:eastAsia="Times New Roman" w:hAnsi="Times New Roman" w:cs="Times New Roman"/>
          <w:color w:val="000000"/>
          <w:sz w:val="24"/>
          <w:szCs w:val="24"/>
        </w:rPr>
        <w:t>education and training</w:t>
      </w:r>
      <w:r w:rsidR="00BF5CDA" w:rsidRPr="00107B06">
        <w:rPr>
          <w:rFonts w:ascii="Times New Roman" w:eastAsia="Times New Roman" w:hAnsi="Times New Roman" w:cs="Times New Roman"/>
          <w:color w:val="000000"/>
          <w:sz w:val="24"/>
          <w:szCs w:val="24"/>
        </w:rPr>
        <w:t xml:space="preserve"> they need to succeed in high-demand, high-wage careers. </w:t>
      </w:r>
      <w:r w:rsidR="007902CF">
        <w:rPr>
          <w:rFonts w:ascii="Times New Roman" w:eastAsia="Times New Roman" w:hAnsi="Times New Roman" w:cs="Times New Roman"/>
          <w:color w:val="000000"/>
          <w:sz w:val="24"/>
          <w:szCs w:val="24"/>
        </w:rPr>
        <w:t>T</w:t>
      </w:r>
      <w:r w:rsidR="00F16E33" w:rsidRPr="00107B06">
        <w:rPr>
          <w:rFonts w:ascii="Times New Roman" w:eastAsia="Times New Roman" w:hAnsi="Times New Roman" w:cs="Times New Roman"/>
          <w:color w:val="000000"/>
          <w:sz w:val="24"/>
          <w:szCs w:val="24"/>
        </w:rPr>
        <w:t xml:space="preserve">he VDOE </w:t>
      </w:r>
      <w:r w:rsidR="00F16E33" w:rsidRPr="00107B06">
        <w:rPr>
          <w:rFonts w:ascii="Times New Roman" w:eastAsia="Times New Roman" w:hAnsi="Times New Roman" w:cs="Times New Roman"/>
          <w:color w:val="000000"/>
          <w:sz w:val="24"/>
          <w:szCs w:val="24"/>
        </w:rPr>
        <w:lastRenderedPageBreak/>
        <w:t>distribute</w:t>
      </w:r>
      <w:r w:rsidR="007902CF">
        <w:rPr>
          <w:rFonts w:ascii="Times New Roman" w:eastAsia="Times New Roman" w:hAnsi="Times New Roman" w:cs="Times New Roman"/>
          <w:color w:val="000000"/>
          <w:sz w:val="24"/>
          <w:szCs w:val="24"/>
        </w:rPr>
        <w:t>s</w:t>
      </w:r>
      <w:r w:rsidR="00F16E33" w:rsidRPr="00107B06">
        <w:rPr>
          <w:rFonts w:ascii="Times New Roman" w:eastAsia="Times New Roman" w:hAnsi="Times New Roman" w:cs="Times New Roman"/>
          <w:color w:val="000000"/>
          <w:sz w:val="24"/>
          <w:szCs w:val="24"/>
        </w:rPr>
        <w:t xml:space="preserve"> the </w:t>
      </w:r>
      <w:proofErr w:type="spellStart"/>
      <w:r w:rsidR="00F16E33" w:rsidRPr="00107B06">
        <w:rPr>
          <w:rFonts w:ascii="Times New Roman" w:eastAsia="Times New Roman" w:hAnsi="Times New Roman" w:cs="Times New Roman"/>
          <w:color w:val="000000"/>
          <w:sz w:val="24"/>
          <w:szCs w:val="24"/>
        </w:rPr>
        <w:t>PluggedIn</w:t>
      </w:r>
      <w:proofErr w:type="spellEnd"/>
      <w:r w:rsidR="00F16E33" w:rsidRPr="00107B06">
        <w:rPr>
          <w:rFonts w:ascii="Times New Roman" w:eastAsia="Times New Roman" w:hAnsi="Times New Roman" w:cs="Times New Roman"/>
          <w:color w:val="000000"/>
          <w:sz w:val="24"/>
          <w:szCs w:val="24"/>
        </w:rPr>
        <w:t xml:space="preserve"> VA funds as formula awards to reach all regional providers</w:t>
      </w:r>
      <w:r w:rsidR="007902CF">
        <w:rPr>
          <w:rFonts w:ascii="Times New Roman" w:eastAsia="Times New Roman" w:hAnsi="Times New Roman" w:cs="Times New Roman"/>
          <w:color w:val="000000"/>
          <w:sz w:val="24"/>
          <w:szCs w:val="24"/>
        </w:rPr>
        <w:t xml:space="preserve"> to</w:t>
      </w:r>
      <w:r w:rsidR="00DA679E">
        <w:rPr>
          <w:rFonts w:ascii="Times New Roman" w:eastAsia="Times New Roman" w:hAnsi="Times New Roman" w:cs="Times New Roman"/>
          <w:color w:val="000000"/>
          <w:sz w:val="24"/>
          <w:szCs w:val="24"/>
        </w:rPr>
        <w:t xml:space="preserve"> </w:t>
      </w:r>
      <w:r w:rsidR="00F16E33" w:rsidRPr="00107B06">
        <w:rPr>
          <w:rFonts w:ascii="Times New Roman" w:eastAsia="Times New Roman" w:hAnsi="Times New Roman" w:cs="Times New Roman"/>
          <w:color w:val="000000"/>
          <w:sz w:val="24"/>
          <w:szCs w:val="24"/>
        </w:rPr>
        <w:t>ensure consistent, predictable funding that providers can budget toward the staffing and instructional costs of the IET model, including the provision of career coaching</w:t>
      </w:r>
      <w:r w:rsidR="00FE032B">
        <w:rPr>
          <w:rFonts w:ascii="Times New Roman" w:eastAsia="Times New Roman" w:hAnsi="Times New Roman" w:cs="Times New Roman"/>
          <w:color w:val="000000"/>
          <w:sz w:val="24"/>
          <w:szCs w:val="24"/>
        </w:rPr>
        <w:t>/navigator</w:t>
      </w:r>
      <w:r w:rsidR="00F16E33" w:rsidRPr="00107B06">
        <w:rPr>
          <w:rFonts w:ascii="Times New Roman" w:eastAsia="Times New Roman" w:hAnsi="Times New Roman" w:cs="Times New Roman"/>
          <w:color w:val="000000"/>
          <w:sz w:val="24"/>
          <w:szCs w:val="24"/>
        </w:rPr>
        <w:t xml:space="preserve"> services</w:t>
      </w:r>
      <w:r w:rsidR="009F6522">
        <w:rPr>
          <w:rFonts w:ascii="Times New Roman" w:eastAsia="Times New Roman" w:hAnsi="Times New Roman" w:cs="Times New Roman"/>
          <w:color w:val="000000"/>
          <w:sz w:val="24"/>
          <w:szCs w:val="24"/>
        </w:rPr>
        <w:t xml:space="preserve">. </w:t>
      </w:r>
    </w:p>
    <w:p w14:paraId="00000186" w14:textId="637BF2EA" w:rsidR="002F3C8D" w:rsidRPr="00B131CA" w:rsidRDefault="00FE032B" w:rsidP="00A476A5">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This </w:t>
      </w:r>
      <w:r w:rsidRPr="00B131CA">
        <w:rPr>
          <w:rFonts w:ascii="Times New Roman" w:eastAsia="Times New Roman" w:hAnsi="Times New Roman" w:cs="Times New Roman"/>
          <w:sz w:val="24"/>
          <w:szCs w:val="24"/>
        </w:rPr>
        <w:t>grant</w:t>
      </w:r>
      <w:r w:rsidRPr="00B131CA">
        <w:rPr>
          <w:rFonts w:ascii="Times New Roman" w:eastAsia="Times New Roman" w:hAnsi="Times New Roman" w:cs="Times New Roman"/>
          <w:color w:val="000000"/>
          <w:sz w:val="24"/>
          <w:szCs w:val="24"/>
        </w:rPr>
        <w:t xml:space="preserve"> is funded through proceeds from the Virginia Lottery and is allocated to </w:t>
      </w:r>
      <w:r>
        <w:rPr>
          <w:rFonts w:ascii="Times New Roman" w:eastAsia="Times New Roman" w:hAnsi="Times New Roman" w:cs="Times New Roman"/>
          <w:color w:val="000000"/>
          <w:sz w:val="24"/>
          <w:szCs w:val="24"/>
        </w:rPr>
        <w:t xml:space="preserve">regional </w:t>
      </w:r>
      <w:r w:rsidRPr="00B131CA">
        <w:rPr>
          <w:rFonts w:ascii="Times New Roman" w:eastAsia="Times New Roman" w:hAnsi="Times New Roman" w:cs="Times New Roman"/>
          <w:color w:val="000000"/>
          <w:sz w:val="24"/>
          <w:szCs w:val="24"/>
        </w:rPr>
        <w:t xml:space="preserve">providers currently receiving AEFLA funds, based on the same </w:t>
      </w:r>
      <w:r>
        <w:rPr>
          <w:rFonts w:ascii="Times New Roman" w:eastAsia="Times New Roman" w:hAnsi="Times New Roman" w:cs="Times New Roman"/>
          <w:color w:val="000000"/>
          <w:sz w:val="24"/>
          <w:szCs w:val="24"/>
        </w:rPr>
        <w:t xml:space="preserve">population-based </w:t>
      </w:r>
      <w:r w:rsidRPr="00B131CA">
        <w:rPr>
          <w:rFonts w:ascii="Times New Roman" w:eastAsia="Times New Roman" w:hAnsi="Times New Roman" w:cs="Times New Roman"/>
          <w:color w:val="000000"/>
          <w:sz w:val="24"/>
          <w:szCs w:val="24"/>
        </w:rPr>
        <w:t>formula as the federal funds.</w:t>
      </w:r>
      <w:r w:rsidR="00A571AE">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Virginia Lottery funds </w:t>
      </w:r>
      <w:r>
        <w:rPr>
          <w:rFonts w:ascii="Times New Roman" w:eastAsia="Times New Roman" w:hAnsi="Times New Roman" w:cs="Times New Roman"/>
          <w:color w:val="000000"/>
          <w:sz w:val="24"/>
          <w:szCs w:val="24"/>
        </w:rPr>
        <w:t>must</w:t>
      </w:r>
      <w:r w:rsidRPr="00B131CA">
        <w:rPr>
          <w:rFonts w:ascii="Times New Roman" w:eastAsia="Times New Roman" w:hAnsi="Times New Roman" w:cs="Times New Roman"/>
          <w:color w:val="000000"/>
          <w:sz w:val="24"/>
          <w:szCs w:val="24"/>
        </w:rPr>
        <w:t xml:space="preserve"> be distributed to school divisions only. Therefore, </w:t>
      </w:r>
      <w:r>
        <w:rPr>
          <w:rFonts w:ascii="Times New Roman" w:eastAsia="Times New Roman" w:hAnsi="Times New Roman" w:cs="Times New Roman"/>
          <w:color w:val="000000"/>
          <w:sz w:val="24"/>
          <w:szCs w:val="24"/>
        </w:rPr>
        <w:t>f</w:t>
      </w:r>
      <w:r w:rsidR="00F16E33" w:rsidRPr="00107B06">
        <w:rPr>
          <w:rFonts w:ascii="Times New Roman" w:eastAsia="Times New Roman" w:hAnsi="Times New Roman" w:cs="Times New Roman"/>
          <w:color w:val="000000"/>
          <w:sz w:val="24"/>
          <w:szCs w:val="24"/>
        </w:rPr>
        <w:t xml:space="preserve">iscal agents at </w:t>
      </w:r>
      <w:r w:rsidR="00BF5CDA" w:rsidRPr="00113D15">
        <w:rPr>
          <w:rFonts w:ascii="Times New Roman" w:eastAsia="Times New Roman" w:hAnsi="Times New Roman" w:cs="Times New Roman"/>
          <w:color w:val="000000"/>
          <w:sz w:val="24"/>
          <w:szCs w:val="24"/>
        </w:rPr>
        <w:t>community college</w:t>
      </w:r>
      <w:r w:rsidR="00C961F1">
        <w:rPr>
          <w:rFonts w:ascii="Times New Roman" w:eastAsia="Times New Roman" w:hAnsi="Times New Roman" w:cs="Times New Roman"/>
          <w:color w:val="000000"/>
          <w:sz w:val="24"/>
          <w:szCs w:val="24"/>
        </w:rPr>
        <w:t>s</w:t>
      </w:r>
      <w:r w:rsidR="00BF5CDA" w:rsidRPr="00113D15">
        <w:rPr>
          <w:rFonts w:ascii="Times New Roman" w:eastAsia="Times New Roman" w:hAnsi="Times New Roman" w:cs="Times New Roman"/>
          <w:color w:val="000000"/>
          <w:sz w:val="24"/>
          <w:szCs w:val="24"/>
        </w:rPr>
        <w:t xml:space="preserve"> must collaborate with a school division within th</w:t>
      </w:r>
      <w:r w:rsidR="00BF5CDA" w:rsidRPr="00107B06">
        <w:rPr>
          <w:rFonts w:ascii="Times New Roman" w:eastAsia="Times New Roman" w:hAnsi="Times New Roman" w:cs="Times New Roman"/>
          <w:color w:val="000000"/>
          <w:sz w:val="24"/>
          <w:szCs w:val="24"/>
        </w:rPr>
        <w:t xml:space="preserve">e region to serve as fiscal agent for the </w:t>
      </w:r>
      <w:proofErr w:type="spellStart"/>
      <w:r w:rsidR="00BF5CDA" w:rsidRPr="00107B06">
        <w:rPr>
          <w:rFonts w:ascii="Times New Roman" w:eastAsia="Times New Roman" w:hAnsi="Times New Roman" w:cs="Times New Roman"/>
          <w:color w:val="000000"/>
          <w:sz w:val="24"/>
          <w:szCs w:val="24"/>
        </w:rPr>
        <w:t>PluggedIn</w:t>
      </w:r>
      <w:proofErr w:type="spellEnd"/>
      <w:r w:rsidR="00565524">
        <w:rPr>
          <w:rFonts w:ascii="Times New Roman" w:eastAsia="Times New Roman" w:hAnsi="Times New Roman" w:cs="Times New Roman"/>
          <w:color w:val="000000"/>
          <w:sz w:val="24"/>
          <w:szCs w:val="24"/>
        </w:rPr>
        <w:t xml:space="preserve"> </w:t>
      </w:r>
      <w:r w:rsidR="00BF5CDA" w:rsidRPr="00107B06">
        <w:rPr>
          <w:rFonts w:ascii="Times New Roman" w:eastAsia="Times New Roman" w:hAnsi="Times New Roman" w:cs="Times New Roman"/>
          <w:color w:val="000000"/>
          <w:sz w:val="24"/>
          <w:szCs w:val="24"/>
        </w:rPr>
        <w:t xml:space="preserve">VA </w:t>
      </w:r>
      <w:r w:rsidR="00113D15" w:rsidRPr="00107B06">
        <w:rPr>
          <w:rFonts w:ascii="Times New Roman" w:eastAsia="Times New Roman" w:hAnsi="Times New Roman" w:cs="Times New Roman"/>
          <w:color w:val="000000"/>
          <w:sz w:val="24"/>
          <w:szCs w:val="24"/>
        </w:rPr>
        <w:t>funds</w:t>
      </w:r>
      <w:r w:rsidR="00BF5CDA" w:rsidRPr="00113D15">
        <w:rPr>
          <w:rFonts w:ascii="Times New Roman" w:eastAsia="Times New Roman" w:hAnsi="Times New Roman" w:cs="Times New Roman"/>
          <w:color w:val="000000"/>
          <w:sz w:val="24"/>
          <w:szCs w:val="24"/>
        </w:rPr>
        <w:t>.</w:t>
      </w:r>
      <w:r w:rsidR="00107B06">
        <w:rPr>
          <w:rFonts w:ascii="Times New Roman" w:eastAsia="Times New Roman" w:hAnsi="Times New Roman" w:cs="Times New Roman"/>
          <w:color w:val="000000"/>
          <w:sz w:val="24"/>
          <w:szCs w:val="24"/>
        </w:rPr>
        <w:t xml:space="preserve"> </w:t>
      </w:r>
      <w:r w:rsidR="007902CF">
        <w:rPr>
          <w:rFonts w:ascii="Times New Roman" w:eastAsia="Times New Roman" w:hAnsi="Times New Roman" w:cs="Times New Roman"/>
          <w:color w:val="000000"/>
          <w:sz w:val="24"/>
          <w:szCs w:val="24"/>
        </w:rPr>
        <w:t>Since</w:t>
      </w:r>
      <w:r w:rsidR="00107B06" w:rsidRPr="00107B06">
        <w:rPr>
          <w:rFonts w:ascii="Times New Roman" w:eastAsia="Times New Roman" w:hAnsi="Times New Roman" w:cs="Times New Roman"/>
          <w:color w:val="000000"/>
          <w:sz w:val="24"/>
          <w:szCs w:val="24"/>
        </w:rPr>
        <w:t xml:space="preserve"> </w:t>
      </w:r>
      <w:r w:rsidR="007902CF">
        <w:rPr>
          <w:rFonts w:ascii="Times New Roman" w:eastAsia="Times New Roman" w:hAnsi="Times New Roman" w:cs="Times New Roman"/>
          <w:color w:val="000000"/>
          <w:sz w:val="24"/>
          <w:szCs w:val="24"/>
        </w:rPr>
        <w:t>PY</w:t>
      </w:r>
      <w:r w:rsidR="00107B06" w:rsidRPr="00107B06">
        <w:rPr>
          <w:rFonts w:ascii="Times New Roman" w:eastAsia="Times New Roman" w:hAnsi="Times New Roman" w:cs="Times New Roman"/>
          <w:color w:val="000000"/>
          <w:sz w:val="24"/>
          <w:szCs w:val="24"/>
        </w:rPr>
        <w:t xml:space="preserve">2022-2023, </w:t>
      </w:r>
      <w:proofErr w:type="spellStart"/>
      <w:r w:rsidR="00107B06" w:rsidRPr="00107B06">
        <w:rPr>
          <w:rFonts w:ascii="Times New Roman" w:eastAsia="Times New Roman" w:hAnsi="Times New Roman" w:cs="Times New Roman"/>
          <w:color w:val="000000"/>
          <w:sz w:val="24"/>
          <w:szCs w:val="24"/>
        </w:rPr>
        <w:t>PluggedIn</w:t>
      </w:r>
      <w:proofErr w:type="spellEnd"/>
      <w:r w:rsidR="00565524">
        <w:rPr>
          <w:rFonts w:ascii="Times New Roman" w:eastAsia="Times New Roman" w:hAnsi="Times New Roman" w:cs="Times New Roman"/>
          <w:color w:val="000000"/>
          <w:sz w:val="24"/>
          <w:szCs w:val="24"/>
        </w:rPr>
        <w:t xml:space="preserve"> </w:t>
      </w:r>
      <w:r w:rsidR="00107B06" w:rsidRPr="00107B06">
        <w:rPr>
          <w:rFonts w:ascii="Times New Roman" w:eastAsia="Times New Roman" w:hAnsi="Times New Roman" w:cs="Times New Roman"/>
          <w:color w:val="000000"/>
          <w:sz w:val="24"/>
          <w:szCs w:val="24"/>
        </w:rPr>
        <w:t xml:space="preserve">VA funds </w:t>
      </w:r>
      <w:r w:rsidR="007902CF">
        <w:rPr>
          <w:rFonts w:ascii="Times New Roman" w:eastAsia="Times New Roman" w:hAnsi="Times New Roman" w:cs="Times New Roman"/>
          <w:color w:val="000000"/>
          <w:sz w:val="24"/>
          <w:szCs w:val="24"/>
        </w:rPr>
        <w:t xml:space="preserve">have been </w:t>
      </w:r>
      <w:r w:rsidR="00107B06" w:rsidRPr="00107B06">
        <w:rPr>
          <w:rFonts w:ascii="Times New Roman" w:eastAsia="Times New Roman" w:hAnsi="Times New Roman" w:cs="Times New Roman"/>
          <w:color w:val="000000"/>
          <w:sz w:val="24"/>
          <w:szCs w:val="24"/>
        </w:rPr>
        <w:t xml:space="preserve">claimed as state match to the federal AEFLA award. Therefore, </w:t>
      </w:r>
      <w:proofErr w:type="spellStart"/>
      <w:r w:rsidR="00107B06" w:rsidRPr="00107B06">
        <w:rPr>
          <w:rFonts w:ascii="Times New Roman" w:eastAsia="Times New Roman" w:hAnsi="Times New Roman" w:cs="Times New Roman"/>
          <w:color w:val="000000"/>
          <w:sz w:val="24"/>
          <w:szCs w:val="24"/>
        </w:rPr>
        <w:t>PluggedIn</w:t>
      </w:r>
      <w:proofErr w:type="spellEnd"/>
      <w:r w:rsidR="00565524">
        <w:rPr>
          <w:rFonts w:ascii="Times New Roman" w:eastAsia="Times New Roman" w:hAnsi="Times New Roman" w:cs="Times New Roman"/>
          <w:color w:val="000000"/>
          <w:sz w:val="24"/>
          <w:szCs w:val="24"/>
        </w:rPr>
        <w:t xml:space="preserve"> </w:t>
      </w:r>
      <w:r w:rsidR="00107B06" w:rsidRPr="00107B06">
        <w:rPr>
          <w:rFonts w:ascii="Times New Roman" w:eastAsia="Times New Roman" w:hAnsi="Times New Roman" w:cs="Times New Roman"/>
          <w:color w:val="000000"/>
          <w:sz w:val="24"/>
          <w:szCs w:val="24"/>
        </w:rPr>
        <w:t xml:space="preserve">VA funds </w:t>
      </w:r>
      <w:r w:rsidR="007902CF">
        <w:rPr>
          <w:rFonts w:ascii="Times New Roman" w:eastAsia="Times New Roman" w:hAnsi="Times New Roman" w:cs="Times New Roman"/>
          <w:color w:val="000000"/>
          <w:sz w:val="24"/>
          <w:szCs w:val="24"/>
        </w:rPr>
        <w:t>are</w:t>
      </w:r>
      <w:r w:rsidR="00107B06" w:rsidRPr="00107B06">
        <w:rPr>
          <w:rFonts w:ascii="Times New Roman" w:eastAsia="Times New Roman" w:hAnsi="Times New Roman" w:cs="Times New Roman"/>
          <w:color w:val="000000"/>
          <w:sz w:val="24"/>
          <w:szCs w:val="24"/>
        </w:rPr>
        <w:t xml:space="preserve"> no longer be available to purchase GED</w:t>
      </w:r>
      <w:r w:rsidR="00107B06" w:rsidRPr="00107B06">
        <w:rPr>
          <w:rFonts w:ascii="Times New Roman" w:eastAsia="Times New Roman" w:hAnsi="Times New Roman" w:cs="Times New Roman"/>
          <w:color w:val="000000"/>
          <w:sz w:val="24"/>
          <w:szCs w:val="24"/>
          <w:vertAlign w:val="superscript"/>
        </w:rPr>
        <w:t>®</w:t>
      </w:r>
      <w:r w:rsidR="00107B06" w:rsidRPr="00107B06">
        <w:rPr>
          <w:rFonts w:ascii="Times New Roman" w:eastAsia="Times New Roman" w:hAnsi="Times New Roman" w:cs="Times New Roman"/>
          <w:color w:val="000000"/>
          <w:sz w:val="24"/>
          <w:szCs w:val="24"/>
        </w:rPr>
        <w:t xml:space="preserve"> vouchers for students.</w:t>
      </w:r>
      <w:r w:rsidR="00292767">
        <w:rPr>
          <w:rFonts w:ascii="Times New Roman" w:eastAsia="Times New Roman" w:hAnsi="Times New Roman" w:cs="Times New Roman"/>
          <w:color w:val="000000"/>
          <w:sz w:val="24"/>
          <w:szCs w:val="24"/>
        </w:rPr>
        <w:t xml:space="preserve"> No program income may be collected against </w:t>
      </w:r>
      <w:proofErr w:type="spellStart"/>
      <w:r w:rsidR="00292767">
        <w:rPr>
          <w:rFonts w:ascii="Times New Roman" w:eastAsia="Times New Roman" w:hAnsi="Times New Roman" w:cs="Times New Roman"/>
          <w:color w:val="000000"/>
          <w:sz w:val="24"/>
          <w:szCs w:val="24"/>
        </w:rPr>
        <w:t>PluggedIn</w:t>
      </w:r>
      <w:proofErr w:type="spellEnd"/>
      <w:r w:rsidR="00565524">
        <w:rPr>
          <w:rFonts w:ascii="Times New Roman" w:eastAsia="Times New Roman" w:hAnsi="Times New Roman" w:cs="Times New Roman"/>
          <w:color w:val="000000"/>
          <w:sz w:val="24"/>
          <w:szCs w:val="24"/>
        </w:rPr>
        <w:t xml:space="preserve"> </w:t>
      </w:r>
      <w:r w:rsidR="00292767">
        <w:rPr>
          <w:rFonts w:ascii="Times New Roman" w:eastAsia="Times New Roman" w:hAnsi="Times New Roman" w:cs="Times New Roman"/>
          <w:color w:val="000000"/>
          <w:sz w:val="24"/>
          <w:szCs w:val="24"/>
        </w:rPr>
        <w:t>VA funds.</w:t>
      </w:r>
    </w:p>
    <w:p w14:paraId="00000188" w14:textId="1072D502" w:rsidR="002F3C8D" w:rsidRPr="00841CC4" w:rsidRDefault="00BF5CDA" w:rsidP="008D03B8">
      <w:pPr>
        <w:pStyle w:val="Heading4"/>
        <w:rPr>
          <w:i/>
        </w:rPr>
      </w:pPr>
      <w:bookmarkStart w:id="31" w:name="_Toc174088846"/>
      <w:r w:rsidRPr="00841CC4">
        <w:t>Race to GED</w:t>
      </w:r>
      <w:r w:rsidRPr="00841CC4">
        <w:rPr>
          <w:vertAlign w:val="superscript"/>
        </w:rPr>
        <w:t>®</w:t>
      </w:r>
      <w:bookmarkEnd w:id="31"/>
    </w:p>
    <w:p w14:paraId="00000189" w14:textId="498421E2" w:rsidR="002F3C8D" w:rsidRPr="00841CC4" w:rsidRDefault="00BF5CDA">
      <w:pPr>
        <w:pBdr>
          <w:top w:val="nil"/>
          <w:left w:val="nil"/>
          <w:bottom w:val="nil"/>
          <w:right w:val="nil"/>
          <w:between w:val="nil"/>
        </w:pBdr>
        <w:spacing w:after="200" w:line="240" w:lineRule="auto"/>
        <w:rPr>
          <w:rFonts w:ascii="Times New Roman" w:hAnsi="Times New Roman"/>
          <w:sz w:val="24"/>
        </w:rPr>
      </w:pPr>
      <w:r w:rsidRPr="00B131CA">
        <w:rPr>
          <w:rFonts w:ascii="Times New Roman" w:eastAsia="Times New Roman" w:hAnsi="Times New Roman" w:cs="Times New Roman"/>
          <w:color w:val="000000"/>
          <w:sz w:val="24"/>
          <w:szCs w:val="24"/>
        </w:rPr>
        <w:t>The purpose of the Race to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initiative is to contribute to the strengthening of Virginia’s workforce by increasing the number of adults completing a high school equivalency (HSE) credential.</w:t>
      </w:r>
      <w:r w:rsidRPr="00841CC4">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 xml:space="preserve">This </w:t>
      </w:r>
      <w:r w:rsidRPr="00B131CA">
        <w:rPr>
          <w:rFonts w:ascii="Times New Roman" w:eastAsia="Times New Roman" w:hAnsi="Times New Roman" w:cs="Times New Roman"/>
          <w:sz w:val="24"/>
          <w:szCs w:val="24"/>
        </w:rPr>
        <w:t>grant</w:t>
      </w:r>
      <w:r w:rsidRPr="00B131CA">
        <w:rPr>
          <w:rFonts w:ascii="Times New Roman" w:eastAsia="Times New Roman" w:hAnsi="Times New Roman" w:cs="Times New Roman"/>
          <w:color w:val="000000"/>
          <w:sz w:val="24"/>
          <w:szCs w:val="24"/>
        </w:rPr>
        <w:t xml:space="preserve"> is funded through proceeds from the Virginia Lottery and is allocated to </w:t>
      </w:r>
      <w:r w:rsidR="001230B7">
        <w:rPr>
          <w:rFonts w:ascii="Times New Roman" w:eastAsia="Times New Roman" w:hAnsi="Times New Roman" w:cs="Times New Roman"/>
          <w:color w:val="000000"/>
          <w:sz w:val="24"/>
          <w:szCs w:val="24"/>
        </w:rPr>
        <w:t xml:space="preserve">regional </w:t>
      </w:r>
      <w:r w:rsidRPr="00B131CA">
        <w:rPr>
          <w:rFonts w:ascii="Times New Roman" w:eastAsia="Times New Roman" w:hAnsi="Times New Roman" w:cs="Times New Roman"/>
          <w:color w:val="000000"/>
          <w:sz w:val="24"/>
          <w:szCs w:val="24"/>
        </w:rPr>
        <w:t xml:space="preserve">providers currently receiving AEFLA funds, based on the same </w:t>
      </w:r>
      <w:r w:rsidR="00DA679E">
        <w:rPr>
          <w:rFonts w:ascii="Times New Roman" w:eastAsia="Times New Roman" w:hAnsi="Times New Roman" w:cs="Times New Roman"/>
          <w:color w:val="000000"/>
          <w:sz w:val="24"/>
          <w:szCs w:val="24"/>
        </w:rPr>
        <w:t xml:space="preserve">population-based </w:t>
      </w:r>
      <w:r w:rsidRPr="00B131CA">
        <w:rPr>
          <w:rFonts w:ascii="Times New Roman" w:eastAsia="Times New Roman" w:hAnsi="Times New Roman" w:cs="Times New Roman"/>
          <w:color w:val="000000"/>
          <w:sz w:val="24"/>
          <w:szCs w:val="24"/>
        </w:rPr>
        <w:t>formula as the federal funds. Virginia Lottery funds may be distributed to school divisions only. Therefore, it is necessary for community college-based fiscal agents to collaborate with a school division within the region to serve as fiscal agent for the grant.</w:t>
      </w:r>
    </w:p>
    <w:p w14:paraId="0000018A" w14:textId="12045630"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Allowable activities</w:t>
      </w:r>
      <w:r w:rsidR="00E72C46" w:rsidRPr="00E72C46">
        <w:rPr>
          <w:rFonts w:ascii="Times New Roman" w:eastAsia="Times New Roman" w:hAnsi="Times New Roman" w:cs="Times New Roman"/>
          <w:color w:val="000000"/>
          <w:sz w:val="24"/>
          <w:szCs w:val="24"/>
        </w:rPr>
        <w:t xml:space="preserve"> </w:t>
      </w:r>
      <w:r w:rsidR="00E72C46" w:rsidRPr="00B131CA">
        <w:rPr>
          <w:rFonts w:ascii="Times New Roman" w:eastAsia="Times New Roman" w:hAnsi="Times New Roman" w:cs="Times New Roman"/>
          <w:color w:val="000000"/>
          <w:sz w:val="24"/>
          <w:szCs w:val="24"/>
        </w:rPr>
        <w:t>to increase HSE completion</w:t>
      </w:r>
      <w:r w:rsidRPr="00B131CA">
        <w:rPr>
          <w:rFonts w:ascii="Times New Roman" w:eastAsia="Times New Roman" w:hAnsi="Times New Roman" w:cs="Times New Roman"/>
          <w:color w:val="000000"/>
          <w:sz w:val="24"/>
          <w:szCs w:val="24"/>
        </w:rPr>
        <w:t xml:space="preserve"> include</w:t>
      </w:r>
      <w:r w:rsidR="009E1DA2">
        <w:rPr>
          <w:rFonts w:ascii="Times New Roman" w:eastAsia="Times New Roman" w:hAnsi="Times New Roman" w:cs="Times New Roman"/>
          <w:color w:val="000000"/>
          <w:sz w:val="24"/>
          <w:szCs w:val="24"/>
        </w:rPr>
        <w:t xml:space="preserve"> the following</w:t>
      </w:r>
      <w:r w:rsidRPr="00B131CA">
        <w:rPr>
          <w:rFonts w:ascii="Times New Roman" w:eastAsia="Times New Roman" w:hAnsi="Times New Roman" w:cs="Times New Roman"/>
          <w:color w:val="000000"/>
          <w:sz w:val="24"/>
          <w:szCs w:val="24"/>
        </w:rPr>
        <w:t>: </w:t>
      </w:r>
    </w:p>
    <w:p w14:paraId="0000018B" w14:textId="13803839" w:rsidR="002F3C8D" w:rsidRPr="00B131CA" w:rsidRDefault="00F6458A" w:rsidP="00022694">
      <w:pPr>
        <w:numPr>
          <w:ilvl w:val="0"/>
          <w:numId w:val="4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BF5CDA" w:rsidRPr="00B131CA">
        <w:rPr>
          <w:rFonts w:ascii="Times New Roman" w:eastAsia="Times New Roman" w:hAnsi="Times New Roman" w:cs="Times New Roman"/>
          <w:color w:val="000000"/>
          <w:sz w:val="24"/>
          <w:szCs w:val="24"/>
        </w:rPr>
        <w:t xml:space="preserve">pgrade testing centers to increase testing capacity (i.e., </w:t>
      </w:r>
      <w:r w:rsidR="007902CF">
        <w:rPr>
          <w:rFonts w:ascii="Times New Roman" w:eastAsia="Times New Roman" w:hAnsi="Times New Roman" w:cs="Times New Roman"/>
          <w:color w:val="000000"/>
          <w:sz w:val="24"/>
          <w:szCs w:val="24"/>
        </w:rPr>
        <w:t xml:space="preserve">upgrade computer testing equipment, </w:t>
      </w:r>
      <w:r w:rsidR="00BF5CDA" w:rsidRPr="00B131CA">
        <w:rPr>
          <w:rFonts w:ascii="Times New Roman" w:eastAsia="Times New Roman" w:hAnsi="Times New Roman" w:cs="Times New Roman"/>
          <w:color w:val="000000"/>
          <w:sz w:val="24"/>
          <w:szCs w:val="24"/>
        </w:rPr>
        <w:t>add more seats, additional testing sessions, and/or additional addendum testing sites</w:t>
      </w:r>
      <w:proofErr w:type="gramStart"/>
      <w:r w:rsidR="00BF5CDA" w:rsidRPr="00B131CA">
        <w:rPr>
          <w:rFonts w:ascii="Times New Roman" w:eastAsia="Times New Roman" w:hAnsi="Times New Roman" w:cs="Times New Roman"/>
          <w:color w:val="000000"/>
          <w:sz w:val="24"/>
          <w:szCs w:val="24"/>
        </w:rPr>
        <w:t>);</w:t>
      </w:r>
      <w:proofErr w:type="gramEnd"/>
      <w:r w:rsidR="00BF5CDA" w:rsidRPr="00B131CA">
        <w:rPr>
          <w:rFonts w:ascii="Times New Roman" w:eastAsia="Times New Roman" w:hAnsi="Times New Roman" w:cs="Times New Roman"/>
          <w:color w:val="000000"/>
          <w:sz w:val="24"/>
          <w:szCs w:val="24"/>
        </w:rPr>
        <w:t> </w:t>
      </w:r>
    </w:p>
    <w:p w14:paraId="0000018C" w14:textId="7C02C663" w:rsidR="002F3C8D" w:rsidRPr="00B131CA" w:rsidRDefault="00F6458A" w:rsidP="00022694">
      <w:pPr>
        <w:numPr>
          <w:ilvl w:val="0"/>
          <w:numId w:val="4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BF5CDA" w:rsidRPr="00B131CA">
        <w:rPr>
          <w:rFonts w:ascii="Times New Roman" w:eastAsia="Times New Roman" w:hAnsi="Times New Roman" w:cs="Times New Roman"/>
          <w:color w:val="000000"/>
          <w:sz w:val="24"/>
          <w:szCs w:val="24"/>
        </w:rPr>
        <w:t xml:space="preserve">urchase testing vouchers for both the practice test and </w:t>
      </w:r>
      <w:r w:rsidR="00DA679E" w:rsidRPr="00B131CA">
        <w:rPr>
          <w:rFonts w:ascii="Times New Roman" w:eastAsia="Times New Roman" w:hAnsi="Times New Roman" w:cs="Times New Roman"/>
          <w:color w:val="000000"/>
          <w:sz w:val="24"/>
          <w:szCs w:val="24"/>
        </w:rPr>
        <w:t>o</w:t>
      </w:r>
      <w:r w:rsidR="00DA679E">
        <w:rPr>
          <w:rFonts w:ascii="Times New Roman" w:eastAsia="Times New Roman" w:hAnsi="Times New Roman" w:cs="Times New Roman"/>
          <w:color w:val="000000"/>
          <w:sz w:val="24"/>
          <w:szCs w:val="24"/>
        </w:rPr>
        <w:t>fficial</w:t>
      </w:r>
      <w:r w:rsidR="00DA679E" w:rsidRPr="00B131CA">
        <w:rPr>
          <w:rFonts w:ascii="Times New Roman" w:eastAsia="Times New Roman" w:hAnsi="Times New Roman" w:cs="Times New Roman"/>
          <w:color w:val="000000"/>
          <w:sz w:val="24"/>
          <w:szCs w:val="24"/>
        </w:rPr>
        <w:t xml:space="preserve"> </w:t>
      </w:r>
      <w:r w:rsidR="00BF5CDA" w:rsidRPr="00B131CA">
        <w:rPr>
          <w:rFonts w:ascii="Times New Roman" w:eastAsia="Times New Roman" w:hAnsi="Times New Roman" w:cs="Times New Roman"/>
          <w:color w:val="000000"/>
          <w:sz w:val="24"/>
          <w:szCs w:val="24"/>
        </w:rPr>
        <w:t xml:space="preserve">HSE </w:t>
      </w:r>
      <w:proofErr w:type="gramStart"/>
      <w:r w:rsidR="00BF5CDA" w:rsidRPr="00B131CA">
        <w:rPr>
          <w:rFonts w:ascii="Times New Roman" w:eastAsia="Times New Roman" w:hAnsi="Times New Roman" w:cs="Times New Roman"/>
          <w:color w:val="000000"/>
          <w:sz w:val="24"/>
          <w:szCs w:val="24"/>
        </w:rPr>
        <w:t>test;</w:t>
      </w:r>
      <w:proofErr w:type="gramEnd"/>
    </w:p>
    <w:p w14:paraId="0000018D" w14:textId="4B6B1B32" w:rsidR="002F3C8D" w:rsidRPr="00B131CA" w:rsidRDefault="00F6458A" w:rsidP="00022694">
      <w:pPr>
        <w:numPr>
          <w:ilvl w:val="0"/>
          <w:numId w:val="4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BF5CDA" w:rsidRPr="00B131CA">
        <w:rPr>
          <w:rFonts w:ascii="Times New Roman" w:eastAsia="Times New Roman" w:hAnsi="Times New Roman" w:cs="Times New Roman"/>
          <w:color w:val="000000"/>
          <w:sz w:val="24"/>
          <w:szCs w:val="24"/>
        </w:rPr>
        <w:t xml:space="preserve">rovide additional instructional classes or supplemental academic </w:t>
      </w:r>
      <w:proofErr w:type="gramStart"/>
      <w:r w:rsidR="00BF5CDA" w:rsidRPr="00B131CA">
        <w:rPr>
          <w:rFonts w:ascii="Times New Roman" w:eastAsia="Times New Roman" w:hAnsi="Times New Roman" w:cs="Times New Roman"/>
          <w:color w:val="000000"/>
          <w:sz w:val="24"/>
          <w:szCs w:val="24"/>
        </w:rPr>
        <w:t>support;</w:t>
      </w:r>
      <w:proofErr w:type="gramEnd"/>
    </w:p>
    <w:p w14:paraId="0000018E" w14:textId="66FF2A00" w:rsidR="002F3C8D" w:rsidRDefault="00F6458A" w:rsidP="00022694">
      <w:pPr>
        <w:numPr>
          <w:ilvl w:val="0"/>
          <w:numId w:val="4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BF5CDA" w:rsidRPr="00B131CA">
        <w:rPr>
          <w:rFonts w:ascii="Times New Roman" w:eastAsia="Times New Roman" w:hAnsi="Times New Roman" w:cs="Times New Roman"/>
          <w:color w:val="000000"/>
          <w:sz w:val="24"/>
          <w:szCs w:val="24"/>
        </w:rPr>
        <w:t xml:space="preserve">mplement outreach activities to increase enrollment in adult education classes </w:t>
      </w:r>
      <w:proofErr w:type="gramStart"/>
      <w:r w:rsidR="00BF5CDA" w:rsidRPr="00B131CA">
        <w:rPr>
          <w:rFonts w:ascii="Times New Roman" w:eastAsia="Times New Roman" w:hAnsi="Times New Roman" w:cs="Times New Roman"/>
          <w:color w:val="000000"/>
          <w:sz w:val="24"/>
          <w:szCs w:val="24"/>
        </w:rPr>
        <w:t>through the use of</w:t>
      </w:r>
      <w:proofErr w:type="gramEnd"/>
      <w:r w:rsidR="00BF5CDA" w:rsidRPr="00B131CA">
        <w:rPr>
          <w:rFonts w:ascii="Times New Roman" w:eastAsia="Times New Roman" w:hAnsi="Times New Roman" w:cs="Times New Roman"/>
          <w:color w:val="000000"/>
          <w:sz w:val="24"/>
          <w:szCs w:val="24"/>
        </w:rPr>
        <w:t xml:space="preserve"> various outreach venues</w:t>
      </w:r>
      <w:r w:rsidR="009E1DA2">
        <w:rPr>
          <w:rFonts w:ascii="Times New Roman" w:eastAsia="Times New Roman" w:hAnsi="Times New Roman" w:cs="Times New Roman"/>
          <w:color w:val="000000"/>
          <w:sz w:val="24"/>
          <w:szCs w:val="24"/>
        </w:rPr>
        <w:t>; and</w:t>
      </w:r>
    </w:p>
    <w:p w14:paraId="64078A31" w14:textId="65FB1DDC" w:rsidR="009E1DA2" w:rsidRPr="00B131CA" w:rsidRDefault="009E1DA2" w:rsidP="00022694">
      <w:pPr>
        <w:numPr>
          <w:ilvl w:val="0"/>
          <w:numId w:val="46"/>
        </w:numPr>
        <w:pBdr>
          <w:top w:val="nil"/>
          <w:left w:val="nil"/>
          <w:bottom w:val="nil"/>
          <w:right w:val="nil"/>
          <w:between w:val="nil"/>
        </w:pBdr>
        <w:spacing w:after="12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Relevant professional development as needed to meet the goals of the grant.</w:t>
      </w:r>
    </w:p>
    <w:p w14:paraId="00000190" w14:textId="0BCB50E4" w:rsidR="002F3C8D" w:rsidRPr="00841CC4" w:rsidRDefault="00BF5CDA" w:rsidP="008D03B8">
      <w:pPr>
        <w:pStyle w:val="Heading4"/>
        <w:rPr>
          <w:i/>
        </w:rPr>
      </w:pPr>
      <w:bookmarkStart w:id="32" w:name="_Toc174088847"/>
      <w:r w:rsidRPr="00841CC4">
        <w:t>National External Diploma Program</w:t>
      </w:r>
      <w:bookmarkEnd w:id="32"/>
      <w:r w:rsidRPr="00841CC4">
        <w:t> </w:t>
      </w:r>
    </w:p>
    <w:p w14:paraId="00000191" w14:textId="006B4BCA"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National External Diploma Program (NEDP) is a competency-based, applied performance assessment system leading to an Adult High School Diploma. Owned and developed by Comprehensive Adult Student Assessment Systems (CASAS), NEDP is one of the approved adult secondary completion options in Virginia for individuals 18 years of age or older and no longer enrolled in K-12 school. The </w:t>
      </w:r>
      <w:r w:rsidR="00785218">
        <w:rPr>
          <w:rFonts w:ascii="Times New Roman" w:eastAsia="Times New Roman" w:hAnsi="Times New Roman" w:cs="Times New Roman"/>
          <w:color w:val="000000"/>
          <w:sz w:val="24"/>
          <w:szCs w:val="24"/>
        </w:rPr>
        <w:t>VDOE</w:t>
      </w:r>
      <w:r w:rsidRPr="00B131CA">
        <w:rPr>
          <w:rFonts w:ascii="Times New Roman" w:eastAsia="Times New Roman" w:hAnsi="Times New Roman" w:cs="Times New Roman"/>
          <w:color w:val="000000"/>
          <w:sz w:val="24"/>
          <w:szCs w:val="24"/>
        </w:rPr>
        <w:t xml:space="preserve"> works in collaboration with CASAS and the Virginia Adult Learning Resource Center (VALRC) to provide technical assistance and training support to organizations that operate NEDP programs throughout the state. The NEDP program costs may be supported with </w:t>
      </w:r>
      <w:r w:rsidR="00DA679E">
        <w:rPr>
          <w:rFonts w:ascii="Times New Roman" w:eastAsia="Times New Roman" w:hAnsi="Times New Roman" w:cs="Times New Roman"/>
          <w:color w:val="000000"/>
          <w:sz w:val="24"/>
          <w:szCs w:val="24"/>
        </w:rPr>
        <w:t>federal</w:t>
      </w:r>
      <w:r w:rsidRPr="00B131CA">
        <w:rPr>
          <w:rFonts w:ascii="Times New Roman" w:eastAsia="Times New Roman" w:hAnsi="Times New Roman" w:cs="Times New Roman"/>
          <w:color w:val="000000"/>
          <w:sz w:val="24"/>
          <w:szCs w:val="24"/>
        </w:rPr>
        <w:t xml:space="preserve"> and GAE funding.</w:t>
      </w:r>
    </w:p>
    <w:p w14:paraId="00000192" w14:textId="1AE4DC14"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Administered by trained local or regional adult education program staff, NEDP evaluates the reading, writing, math, digital literacy, and workforce readiness skills of participants in life and work contexts. The flexible, self-paced program requires participants to complete a series of online assignments which are tracked by time on task and may be captured as distance learning </w:t>
      </w:r>
      <w:r w:rsidRPr="00B131CA">
        <w:rPr>
          <w:rFonts w:ascii="Times New Roman" w:eastAsia="Times New Roman" w:hAnsi="Times New Roman" w:cs="Times New Roman"/>
          <w:color w:val="000000"/>
          <w:sz w:val="24"/>
          <w:szCs w:val="24"/>
        </w:rPr>
        <w:lastRenderedPageBreak/>
        <w:t xml:space="preserve">hours. The online assignments are coupled with regular </w:t>
      </w:r>
      <w:r w:rsidR="007902CF">
        <w:rPr>
          <w:rFonts w:ascii="Times New Roman" w:eastAsia="Times New Roman" w:hAnsi="Times New Roman" w:cs="Times New Roman"/>
          <w:color w:val="000000"/>
          <w:sz w:val="24"/>
          <w:szCs w:val="24"/>
        </w:rPr>
        <w:t xml:space="preserve">virtual </w:t>
      </w:r>
      <w:r w:rsidRPr="00B131CA">
        <w:rPr>
          <w:rFonts w:ascii="Times New Roman" w:eastAsia="Times New Roman" w:hAnsi="Times New Roman" w:cs="Times New Roman"/>
          <w:color w:val="000000"/>
          <w:sz w:val="24"/>
          <w:szCs w:val="24"/>
        </w:rPr>
        <w:t xml:space="preserve">meetings with an </w:t>
      </w:r>
      <w:r w:rsidR="006907E9">
        <w:rPr>
          <w:rFonts w:ascii="Times New Roman" w:eastAsia="Times New Roman" w:hAnsi="Times New Roman" w:cs="Times New Roman"/>
          <w:color w:val="000000"/>
          <w:sz w:val="24"/>
          <w:szCs w:val="24"/>
        </w:rPr>
        <w:t>a</w:t>
      </w:r>
      <w:r w:rsidR="006907E9" w:rsidRPr="00B131CA">
        <w:rPr>
          <w:rFonts w:ascii="Times New Roman" w:eastAsia="Times New Roman" w:hAnsi="Times New Roman" w:cs="Times New Roman"/>
          <w:color w:val="000000"/>
          <w:sz w:val="24"/>
          <w:szCs w:val="24"/>
        </w:rPr>
        <w:t>dvisor</w:t>
      </w:r>
      <w:r w:rsidRPr="00B131CA">
        <w:rPr>
          <w:rFonts w:ascii="Times New Roman" w:eastAsia="Times New Roman" w:hAnsi="Times New Roman" w:cs="Times New Roman"/>
          <w:color w:val="000000"/>
          <w:sz w:val="24"/>
          <w:szCs w:val="24"/>
        </w:rPr>
        <w:t>/</w:t>
      </w:r>
      <w:r w:rsidR="006907E9">
        <w:rPr>
          <w:rFonts w:ascii="Times New Roman" w:eastAsia="Times New Roman" w:hAnsi="Times New Roman" w:cs="Times New Roman"/>
          <w:color w:val="000000"/>
          <w:sz w:val="24"/>
          <w:szCs w:val="24"/>
        </w:rPr>
        <w:t>a</w:t>
      </w:r>
      <w:r w:rsidR="006907E9" w:rsidRPr="00B131CA">
        <w:rPr>
          <w:rFonts w:ascii="Times New Roman" w:eastAsia="Times New Roman" w:hAnsi="Times New Roman" w:cs="Times New Roman"/>
          <w:color w:val="000000"/>
          <w:sz w:val="24"/>
          <w:szCs w:val="24"/>
        </w:rPr>
        <w:t>ssessor</w:t>
      </w:r>
      <w:r w:rsidRPr="00B131CA">
        <w:rPr>
          <w:rFonts w:ascii="Times New Roman" w:eastAsia="Times New Roman" w:hAnsi="Times New Roman" w:cs="Times New Roman"/>
          <w:color w:val="000000"/>
          <w:sz w:val="24"/>
          <w:szCs w:val="24"/>
        </w:rPr>
        <w:t>, and the time spent in both activities may be counted as contact hours. </w:t>
      </w:r>
    </w:p>
    <w:p w14:paraId="00000193" w14:textId="10B5B9D8"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Only approved NEDP </w:t>
      </w:r>
      <w:r w:rsidR="00DB21A9">
        <w:rPr>
          <w:rFonts w:ascii="Times New Roman" w:eastAsia="Times New Roman" w:hAnsi="Times New Roman" w:cs="Times New Roman"/>
          <w:color w:val="000000"/>
          <w:sz w:val="24"/>
          <w:szCs w:val="24"/>
        </w:rPr>
        <w:t xml:space="preserve">agencies </w:t>
      </w:r>
      <w:r w:rsidRPr="00B131CA">
        <w:rPr>
          <w:rFonts w:ascii="Times New Roman" w:eastAsia="Times New Roman" w:hAnsi="Times New Roman" w:cs="Times New Roman"/>
          <w:color w:val="000000"/>
          <w:sz w:val="24"/>
          <w:szCs w:val="24"/>
        </w:rPr>
        <w:t xml:space="preserve">that have completed the required training may offer the program. Adult education providers interested in starting an NEDP should contact the </w:t>
      </w:r>
      <w:r w:rsidR="00DB21A9">
        <w:rPr>
          <w:rFonts w:ascii="Times New Roman" w:eastAsia="Times New Roman" w:hAnsi="Times New Roman" w:cs="Times New Roman"/>
          <w:color w:val="000000"/>
          <w:sz w:val="24"/>
          <w:szCs w:val="24"/>
        </w:rPr>
        <w:t xml:space="preserve">High School Equivalency Specialist at the state office </w:t>
      </w:r>
      <w:r w:rsidRPr="00B131CA">
        <w:rPr>
          <w:rFonts w:ascii="Times New Roman" w:eastAsia="Times New Roman" w:hAnsi="Times New Roman" w:cs="Times New Roman"/>
          <w:color w:val="000000"/>
          <w:sz w:val="24"/>
          <w:szCs w:val="24"/>
        </w:rPr>
        <w:t xml:space="preserve">to schedule a preliminary consultation. New NEDP </w:t>
      </w:r>
      <w:r w:rsidR="00DB21A9">
        <w:rPr>
          <w:rFonts w:ascii="Times New Roman" w:eastAsia="Times New Roman" w:hAnsi="Times New Roman" w:cs="Times New Roman"/>
          <w:color w:val="000000"/>
          <w:sz w:val="24"/>
          <w:szCs w:val="24"/>
        </w:rPr>
        <w:t xml:space="preserve">agencies </w:t>
      </w:r>
      <w:r w:rsidRPr="00B131CA">
        <w:rPr>
          <w:rFonts w:ascii="Times New Roman" w:eastAsia="Times New Roman" w:hAnsi="Times New Roman" w:cs="Times New Roman"/>
          <w:color w:val="000000"/>
          <w:sz w:val="24"/>
          <w:szCs w:val="24"/>
        </w:rPr>
        <w:t xml:space="preserve">must establish a formal partnership with an accredited Virginia diploma granting school division that agrees to award adult high school diplomas to NEDP graduates. </w:t>
      </w:r>
      <w:r w:rsidR="005D09B5">
        <w:rPr>
          <w:rFonts w:ascii="Times New Roman" w:eastAsia="Times New Roman" w:hAnsi="Times New Roman" w:cs="Times New Roman"/>
          <w:color w:val="000000"/>
          <w:sz w:val="24"/>
          <w:szCs w:val="24"/>
        </w:rPr>
        <w:t xml:space="preserve">See the </w:t>
      </w:r>
      <w:r w:rsidR="00DB21A9">
        <w:rPr>
          <w:rFonts w:ascii="Times New Roman" w:eastAsia="Times New Roman" w:hAnsi="Times New Roman" w:cs="Times New Roman"/>
          <w:color w:val="000000"/>
          <w:sz w:val="24"/>
          <w:szCs w:val="24"/>
        </w:rPr>
        <w:t xml:space="preserve">CASAS </w:t>
      </w:r>
      <w:hyperlink r:id="rId61" w:history="1">
        <w:r w:rsidR="00841CC4" w:rsidRPr="00841CC4">
          <w:rPr>
            <w:rStyle w:val="Hyperlink"/>
            <w:rFonts w:ascii="Times New Roman" w:eastAsia="Times New Roman" w:hAnsi="Times New Roman" w:cs="Times New Roman"/>
            <w:sz w:val="24"/>
            <w:szCs w:val="24"/>
          </w:rPr>
          <w:t xml:space="preserve">NEDP </w:t>
        </w:r>
        <w:r w:rsidR="005D09B5" w:rsidRPr="00841CC4">
          <w:rPr>
            <w:rStyle w:val="Hyperlink"/>
            <w:rFonts w:ascii="Times New Roman" w:eastAsia="Times New Roman" w:hAnsi="Times New Roman" w:cs="Times New Roman"/>
            <w:sz w:val="24"/>
            <w:szCs w:val="24"/>
          </w:rPr>
          <w:t>website</w:t>
        </w:r>
      </w:hyperlink>
      <w:r w:rsidR="005D09B5">
        <w:rPr>
          <w:rFonts w:ascii="Times New Roman" w:eastAsia="Times New Roman" w:hAnsi="Times New Roman" w:cs="Times New Roman"/>
          <w:color w:val="000000"/>
          <w:sz w:val="24"/>
          <w:szCs w:val="24"/>
        </w:rPr>
        <w:t xml:space="preserve"> for a</w:t>
      </w:r>
      <w:r w:rsidRPr="00B131CA">
        <w:rPr>
          <w:rFonts w:ascii="Times New Roman" w:eastAsia="Times New Roman" w:hAnsi="Times New Roman" w:cs="Times New Roman"/>
          <w:color w:val="000000"/>
          <w:sz w:val="24"/>
          <w:szCs w:val="24"/>
        </w:rPr>
        <w:t>dditional information on the NEDP. </w:t>
      </w:r>
    </w:p>
    <w:p w14:paraId="00000194" w14:textId="5F8F46A1" w:rsidR="002F3C8D" w:rsidRPr="00841CC4" w:rsidRDefault="00BF5CDA" w:rsidP="008D03B8">
      <w:pPr>
        <w:pStyle w:val="Heading4"/>
        <w:rPr>
          <w:i/>
        </w:rPr>
      </w:pPr>
      <w:bookmarkStart w:id="33" w:name="_Toc174088848"/>
      <w:r w:rsidRPr="00841CC4">
        <w:t>Individual Student Alternative Education Plan</w:t>
      </w:r>
      <w:bookmarkEnd w:id="33"/>
    </w:p>
    <w:p w14:paraId="00000195" w14:textId="321ADD02"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VDOE Office of</w:t>
      </w:r>
      <w:r w:rsidR="002E3423">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Adult Education</w:t>
      </w:r>
      <w:r w:rsidR="002E3423">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administers the Individual Student Alternative Education Plan (ISAEP) program, a Board of Education-approved K-12 alternative option. Th</w:t>
      </w:r>
      <w:r w:rsidR="007902CF">
        <w:rPr>
          <w:rFonts w:ascii="Times New Roman" w:eastAsia="Times New Roman" w:hAnsi="Times New Roman" w:cs="Times New Roman"/>
          <w:color w:val="000000"/>
          <w:sz w:val="24"/>
          <w:szCs w:val="24"/>
        </w:rPr>
        <w:t>e</w:t>
      </w:r>
      <w:r w:rsidRPr="00B131CA">
        <w:rPr>
          <w:rFonts w:ascii="Times New Roman" w:eastAsia="Times New Roman" w:hAnsi="Times New Roman" w:cs="Times New Roman"/>
          <w:color w:val="000000"/>
          <w:sz w:val="24"/>
          <w:szCs w:val="24"/>
        </w:rPr>
        <w:t xml:space="preserve"> office provides leadership and oversight to ISAEP programs in Virginia. All Virginia public school divisions may apply annually for state lottery funding to support the ISAEP program. This program is not adult education-related programming, although adult education program managers may seek to coordinate with local ISAEP programs on HSE testing centers and other relevant issues. </w:t>
      </w:r>
    </w:p>
    <w:p w14:paraId="00000196" w14:textId="74AE5B0E"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In accordance with the </w:t>
      </w:r>
      <w:r w:rsidRPr="00841CC4">
        <w:rPr>
          <w:rFonts w:ascii="Times New Roman" w:hAnsi="Times New Roman"/>
          <w:i/>
          <w:color w:val="000000"/>
          <w:sz w:val="24"/>
        </w:rPr>
        <w:t>Code of Virginia</w:t>
      </w:r>
      <w:r w:rsidRPr="00B131CA">
        <w:rPr>
          <w:rFonts w:ascii="Times New Roman" w:eastAsia="Times New Roman" w:hAnsi="Times New Roman" w:cs="Times New Roman"/>
          <w:color w:val="000000"/>
          <w:sz w:val="24"/>
          <w:szCs w:val="24"/>
        </w:rPr>
        <w:t xml:space="preserve"> </w:t>
      </w:r>
      <w:hyperlink r:id="rId62">
        <w:r w:rsidRPr="00EB7C21">
          <w:rPr>
            <w:rFonts w:ascii="Times New Roman" w:eastAsia="Times New Roman" w:hAnsi="Times New Roman" w:cs="Times New Roman"/>
            <w:color w:val="0000FF"/>
            <w:sz w:val="24"/>
            <w:szCs w:val="24"/>
            <w:u w:val="single"/>
          </w:rPr>
          <w:t>§22.1-254D.E</w:t>
        </w:r>
      </w:hyperlink>
      <w:r w:rsidRPr="00B131CA">
        <w:rPr>
          <w:rFonts w:ascii="Times New Roman" w:eastAsia="Times New Roman" w:hAnsi="Times New Roman" w:cs="Times New Roman"/>
          <w:color w:val="000000"/>
          <w:sz w:val="24"/>
          <w:szCs w:val="24"/>
        </w:rPr>
        <w:t>, the ISAEP program fulfills compulsory attendance requirements for students who are at least 16 years of age and for whom an ISAEP is written. With a key focus on dropout prevention, the ISAEP program provides an opportunity for qualifying students to work toward a high school equivalency (HSE) credential</w:t>
      </w:r>
      <w:r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color w:val="000000"/>
          <w:sz w:val="24"/>
          <w:szCs w:val="24"/>
        </w:rPr>
        <w:t xml:space="preserve">and participate in </w:t>
      </w:r>
      <w:r w:rsidR="006B4126">
        <w:rPr>
          <w:rFonts w:ascii="Times New Roman" w:eastAsia="Times New Roman" w:hAnsi="Times New Roman" w:cs="Times New Roman"/>
          <w:color w:val="000000"/>
          <w:sz w:val="24"/>
          <w:szCs w:val="24"/>
        </w:rPr>
        <w:t>c</w:t>
      </w:r>
      <w:r w:rsidRPr="00B131CA">
        <w:rPr>
          <w:rFonts w:ascii="Times New Roman" w:eastAsia="Times New Roman" w:hAnsi="Times New Roman" w:cs="Times New Roman"/>
          <w:sz w:val="24"/>
          <w:szCs w:val="24"/>
        </w:rPr>
        <w:t xml:space="preserve">areer </w:t>
      </w:r>
      <w:r w:rsidR="006B4126">
        <w:rPr>
          <w:rFonts w:ascii="Times New Roman" w:eastAsia="Times New Roman" w:hAnsi="Times New Roman" w:cs="Times New Roman"/>
          <w:sz w:val="24"/>
          <w:szCs w:val="24"/>
        </w:rPr>
        <w:t>and</w:t>
      </w:r>
      <w:r w:rsidRPr="00B131CA">
        <w:rPr>
          <w:rFonts w:ascii="Times New Roman" w:eastAsia="Times New Roman" w:hAnsi="Times New Roman" w:cs="Times New Roman"/>
          <w:sz w:val="24"/>
          <w:szCs w:val="24"/>
        </w:rPr>
        <w:t xml:space="preserve"> </w:t>
      </w:r>
      <w:r w:rsidR="006B4126">
        <w:rPr>
          <w:rFonts w:ascii="Times New Roman" w:eastAsia="Times New Roman" w:hAnsi="Times New Roman" w:cs="Times New Roman"/>
          <w:sz w:val="24"/>
          <w:szCs w:val="24"/>
        </w:rPr>
        <w:t>technical e</w:t>
      </w:r>
      <w:r w:rsidRPr="00B131CA">
        <w:rPr>
          <w:rFonts w:ascii="Times New Roman" w:eastAsia="Times New Roman" w:hAnsi="Times New Roman" w:cs="Times New Roman"/>
          <w:sz w:val="24"/>
          <w:szCs w:val="24"/>
        </w:rPr>
        <w:t>ducation (CTE)</w:t>
      </w:r>
      <w:r w:rsidRPr="00B131CA">
        <w:rPr>
          <w:rFonts w:ascii="Times New Roman" w:eastAsia="Times New Roman" w:hAnsi="Times New Roman" w:cs="Times New Roman"/>
          <w:color w:val="000000"/>
          <w:sz w:val="24"/>
          <w:szCs w:val="24"/>
        </w:rPr>
        <w:t xml:space="preserve"> and work-based learning activities. Students must be enrolled in public education and meet program eligibility requirements. Students and parents or guardians seeking specific information about the eligibility and application process should contact the local school division. </w:t>
      </w:r>
    </w:p>
    <w:p w14:paraId="00000198" w14:textId="12E5A5FA" w:rsidR="002F3C8D" w:rsidRPr="00BF6E46" w:rsidRDefault="00BF5CDA" w:rsidP="00BF6E4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41CC4">
        <w:br w:type="page"/>
      </w:r>
    </w:p>
    <w:p w14:paraId="2560F3E8" w14:textId="1195760A" w:rsidR="002E5BB9" w:rsidRPr="00F01963" w:rsidRDefault="00BF5CDA" w:rsidP="004A0493">
      <w:pPr>
        <w:pStyle w:val="Heading3"/>
      </w:pPr>
      <w:bookmarkStart w:id="34" w:name="_Toc174088849"/>
      <w:r w:rsidRPr="002726B0">
        <w:lastRenderedPageBreak/>
        <w:t>Managing HSE Programs</w:t>
      </w:r>
      <w:bookmarkEnd w:id="34"/>
      <w:r w:rsidR="00D5707D">
        <w:t xml:space="preserve">   </w:t>
      </w:r>
    </w:p>
    <w:p w14:paraId="0000019A" w14:textId="77777777"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Assisting individuals to earn their secondary credential is a key responsibility of title II of WIOA and a performance metric of an adult education program. Without a secondary credential, many avenues of education, training, and employment advancement are closed to individuals. While a secondary credential alone is no longer a sufficient endpoint of education, it remains a key milestone to further achievements. This section describes the various pathways to earning a secondary credential and the considerations adult education programs must make to support HSE testing. </w:t>
      </w:r>
    </w:p>
    <w:p w14:paraId="0000019B" w14:textId="2AA4FEB6" w:rsidR="002F3C8D" w:rsidRPr="00F002E2" w:rsidRDefault="00BF5CDA" w:rsidP="008D03B8">
      <w:pPr>
        <w:pStyle w:val="Heading4"/>
        <w:rPr>
          <w:rFonts w:eastAsia="Times New Roman" w:cs="Times New Roman"/>
          <w:i/>
          <w:szCs w:val="24"/>
        </w:rPr>
      </w:pPr>
      <w:bookmarkStart w:id="35" w:name="_Toc174088850"/>
      <w:r w:rsidRPr="00841CC4">
        <w:t>Five Ways to Earn a High School Credential</w:t>
      </w:r>
      <w:bookmarkEnd w:id="35"/>
    </w:p>
    <w:p w14:paraId="0000019C" w14:textId="35517128" w:rsidR="002F3C8D" w:rsidRPr="00841CC4" w:rsidRDefault="00BF5CDA" w:rsidP="00841CC4">
      <w:pPr>
        <w:pBdr>
          <w:top w:val="nil"/>
          <w:left w:val="nil"/>
          <w:bottom w:val="nil"/>
          <w:right w:val="nil"/>
          <w:between w:val="nil"/>
        </w:pBdr>
        <w:spacing w:after="200" w:line="240" w:lineRule="auto"/>
        <w:rPr>
          <w:rFonts w:ascii="Times New Roman" w:hAnsi="Times New Roman"/>
          <w:sz w:val="24"/>
        </w:rPr>
      </w:pPr>
      <w:r w:rsidRPr="00B131CA">
        <w:rPr>
          <w:rFonts w:ascii="Times New Roman" w:eastAsia="Times New Roman" w:hAnsi="Times New Roman" w:cs="Times New Roman"/>
          <w:color w:val="000000"/>
          <w:sz w:val="24"/>
          <w:szCs w:val="24"/>
        </w:rPr>
        <w:t xml:space="preserve">Adult education programs in Virginia have five pathways to recommend to individuals seeking a secondary credential: </w:t>
      </w:r>
      <w:r w:rsidR="00E64A39">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1) Standard or Advanced Studies High School Diploma</w:t>
      </w:r>
      <w:r w:rsidR="000864AF" w:rsidRPr="00B131C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w:t>
      </w:r>
      <w:r w:rsidR="00E64A39">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2) Adult High School Diploma</w:t>
      </w:r>
      <w:r w:rsidR="000864AF" w:rsidRPr="00B131C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w:t>
      </w:r>
      <w:r w:rsidR="00E64A39">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3) General Achievement Adult High School Diploma (GAAHSD)</w:t>
      </w:r>
      <w:r w:rsidR="000864AF" w:rsidRPr="00B131C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w:t>
      </w:r>
      <w:r w:rsidR="00E64A39">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4) National External Diploma</w:t>
      </w:r>
      <w:r w:rsidR="007902CF">
        <w:rPr>
          <w:rFonts w:ascii="Times New Roman" w:eastAsia="Times New Roman" w:hAnsi="Times New Roman" w:cs="Times New Roman"/>
          <w:color w:val="000000"/>
          <w:sz w:val="24"/>
          <w:szCs w:val="24"/>
        </w:rPr>
        <w:t xml:space="preserve"> Program</w:t>
      </w:r>
      <w:r w:rsidR="000864AF" w:rsidRPr="00B131C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or </w:t>
      </w:r>
      <w:r w:rsidR="00E64A39">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5) High School Equivalency Credential. Matching the individual’s circumstances and abilities to </w:t>
      </w:r>
      <w:proofErr w:type="gramStart"/>
      <w:r w:rsidRPr="00B131CA">
        <w:rPr>
          <w:rFonts w:ascii="Times New Roman" w:eastAsia="Times New Roman" w:hAnsi="Times New Roman" w:cs="Times New Roman"/>
          <w:color w:val="000000"/>
          <w:sz w:val="24"/>
          <w:szCs w:val="24"/>
        </w:rPr>
        <w:t>particular options</w:t>
      </w:r>
      <w:proofErr w:type="gramEnd"/>
      <w:r w:rsidRPr="00B131CA">
        <w:rPr>
          <w:rFonts w:ascii="Times New Roman" w:eastAsia="Times New Roman" w:hAnsi="Times New Roman" w:cs="Times New Roman"/>
          <w:color w:val="000000"/>
          <w:sz w:val="24"/>
          <w:szCs w:val="24"/>
        </w:rPr>
        <w:t xml:space="preserve"> can help them reach their goals more efficiently. To compare all high school credential options, read </w:t>
      </w:r>
      <w:hyperlink r:id="rId63">
        <w:r w:rsidRPr="00EB7C21">
          <w:rPr>
            <w:rFonts w:ascii="Times New Roman" w:eastAsia="Times New Roman" w:hAnsi="Times New Roman" w:cs="Times New Roman"/>
            <w:color w:val="0000FF"/>
            <w:sz w:val="24"/>
            <w:szCs w:val="24"/>
            <w:u w:val="single"/>
          </w:rPr>
          <w:t>Five Ways to Earn a High School Credential</w:t>
        </w:r>
      </w:hyperlink>
      <w:r w:rsidRPr="00B131CA">
        <w:rPr>
          <w:rFonts w:ascii="Times New Roman" w:eastAsia="Times New Roman" w:hAnsi="Times New Roman" w:cs="Times New Roman"/>
          <w:color w:val="000000"/>
          <w:sz w:val="24"/>
          <w:szCs w:val="24"/>
        </w:rPr>
        <w:t>. Each adult high school completion option can also be found in the Virginia Administrative Code</w:t>
      </w:r>
      <w:r w:rsidR="001D01ED">
        <w:rPr>
          <w:rFonts w:ascii="Times New Roman" w:eastAsia="Times New Roman" w:hAnsi="Times New Roman" w:cs="Times New Roman"/>
          <w:color w:val="000000"/>
          <w:sz w:val="24"/>
          <w:szCs w:val="24"/>
        </w:rPr>
        <w:t xml:space="preserve"> </w:t>
      </w:r>
      <w:hyperlink r:id="rId64" w:history="1">
        <w:r w:rsidR="001D01ED" w:rsidRPr="001D01ED">
          <w:rPr>
            <w:rStyle w:val="Hyperlink"/>
            <w:rFonts w:ascii="Times New Roman" w:eastAsia="Times New Roman" w:hAnsi="Times New Roman" w:cs="Times New Roman"/>
            <w:sz w:val="24"/>
            <w:szCs w:val="24"/>
          </w:rPr>
          <w:t>8VAC20-30-20, Minimum Requirements for Adult High School Programs</w:t>
        </w:r>
      </w:hyperlink>
      <w:r w:rsidR="006B4126">
        <w:rPr>
          <w:rFonts w:ascii="Times New Roman" w:eastAsia="Times New Roman" w:hAnsi="Times New Roman" w:cs="Times New Roman"/>
          <w:color w:val="0000FF"/>
          <w:sz w:val="24"/>
          <w:szCs w:val="24"/>
        </w:rPr>
        <w:t>.</w:t>
      </w:r>
      <w:r w:rsidRPr="00B131CA">
        <w:rPr>
          <w:rFonts w:ascii="Times New Roman" w:eastAsia="Times New Roman" w:hAnsi="Times New Roman" w:cs="Times New Roman"/>
          <w:color w:val="0000FF"/>
          <w:sz w:val="24"/>
          <w:szCs w:val="24"/>
        </w:rPr>
        <w:t> </w:t>
      </w:r>
    </w:p>
    <w:p w14:paraId="0000019D" w14:textId="38E7A3D7" w:rsidR="002F3C8D" w:rsidRPr="00F002E2" w:rsidRDefault="00BF5CDA" w:rsidP="008D03B8">
      <w:pPr>
        <w:pStyle w:val="Heading4"/>
        <w:rPr>
          <w:rFonts w:eastAsia="Times New Roman" w:cs="Times New Roman"/>
          <w:i/>
          <w:szCs w:val="24"/>
        </w:rPr>
      </w:pPr>
      <w:bookmarkStart w:id="36" w:name="_Toc174088851"/>
      <w:r w:rsidRPr="00841CC4">
        <w:t>Funding HSE Testing Activities</w:t>
      </w:r>
      <w:bookmarkEnd w:id="36"/>
      <w:r w:rsidRPr="00841CC4">
        <w:t> </w:t>
      </w:r>
    </w:p>
    <w:p w14:paraId="0000019E" w14:textId="3ECF7BDA" w:rsidR="002F3C8D" w:rsidRPr="00B131CA" w:rsidRDefault="00BF5CDA" w:rsidP="00841CC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federal AEFLA funds may </w:t>
      </w:r>
      <w:r w:rsidRPr="00841CC4">
        <w:rPr>
          <w:rFonts w:ascii="Times New Roman" w:hAnsi="Times New Roman"/>
          <w:i/>
          <w:color w:val="000000"/>
          <w:sz w:val="24"/>
        </w:rPr>
        <w:t>not</w:t>
      </w:r>
      <w:r w:rsidRPr="00841CC4">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be used to purchase testing vouchers or support the operation of testing centers. Instead, program managers must budget for these costs through state funds not declared as match to the federal funds, specifically Race to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funds. With Race to GED</w:t>
      </w:r>
      <w:r w:rsidRPr="00B131CA">
        <w:rPr>
          <w:rFonts w:ascii="Times New Roman" w:eastAsia="Times New Roman" w:hAnsi="Times New Roman" w:cs="Times New Roman"/>
          <w:sz w:val="24"/>
          <w:szCs w:val="24"/>
          <w:vertAlign w:val="superscript"/>
        </w:rPr>
        <w:t xml:space="preserve">® </w:t>
      </w:r>
      <w:r w:rsidRPr="00B131CA">
        <w:rPr>
          <w:rFonts w:ascii="Times New Roman" w:eastAsia="Times New Roman" w:hAnsi="Times New Roman" w:cs="Times New Roman"/>
          <w:color w:val="000000"/>
          <w:sz w:val="24"/>
          <w:szCs w:val="24"/>
        </w:rPr>
        <w:t>funds</w:t>
      </w:r>
      <w:r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color w:val="000000"/>
          <w:sz w:val="24"/>
          <w:szCs w:val="24"/>
        </w:rPr>
        <w:t>programs may establish testing centers (these must meet certification standards set by Pearson Vue), support testing administrators and proctors to staff the centers, and purchase testing vouchers for enrolled students. Federal funds and state funds declared for match (GAE</w:t>
      </w:r>
      <w:r w:rsidR="007902CF">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SLCA</w:t>
      </w:r>
      <w:r w:rsidR="007902CF">
        <w:rPr>
          <w:rFonts w:ascii="Times New Roman" w:eastAsia="Times New Roman" w:hAnsi="Times New Roman" w:cs="Times New Roman"/>
          <w:color w:val="000000"/>
          <w:sz w:val="24"/>
          <w:szCs w:val="24"/>
        </w:rPr>
        <w:t xml:space="preserve">, and </w:t>
      </w:r>
      <w:proofErr w:type="spellStart"/>
      <w:r w:rsidR="007902CF">
        <w:rPr>
          <w:rFonts w:ascii="Times New Roman" w:eastAsia="Times New Roman" w:hAnsi="Times New Roman" w:cs="Times New Roman"/>
          <w:color w:val="000000"/>
          <w:sz w:val="24"/>
          <w:szCs w:val="24"/>
        </w:rPr>
        <w:t>PluggedIn</w:t>
      </w:r>
      <w:proofErr w:type="spellEnd"/>
      <w:r w:rsidR="007902CF">
        <w:rPr>
          <w:rFonts w:ascii="Times New Roman" w:eastAsia="Times New Roman" w:hAnsi="Times New Roman" w:cs="Times New Roman"/>
          <w:color w:val="000000"/>
          <w:sz w:val="24"/>
          <w:szCs w:val="24"/>
        </w:rPr>
        <w:t xml:space="preserve"> VA</w:t>
      </w:r>
      <w:r w:rsidRPr="00B131CA">
        <w:rPr>
          <w:rFonts w:ascii="Times New Roman" w:eastAsia="Times New Roman" w:hAnsi="Times New Roman" w:cs="Times New Roman"/>
          <w:color w:val="000000"/>
          <w:sz w:val="24"/>
          <w:szCs w:val="24"/>
        </w:rPr>
        <w:t xml:space="preserve">) may not be used on any of these activities. Federal funds and state matching funds may be used to purchase HSE practice tests because these are used for educational planning and as instructional materials. </w:t>
      </w:r>
    </w:p>
    <w:p w14:paraId="000001A0" w14:textId="77777777" w:rsidR="002F3C8D" w:rsidRPr="00B131CA" w:rsidRDefault="00BF5CDA" w:rsidP="00841CC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This section answers some common questions about funding HSE testing activities. </w:t>
      </w:r>
    </w:p>
    <w:p w14:paraId="000001A3" w14:textId="38FFEB42" w:rsidR="002F3C8D" w:rsidRPr="00B131CA" w:rsidRDefault="00BF5CDA" w:rsidP="00841CC4">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841CC4">
        <w:rPr>
          <w:rFonts w:ascii="Times New Roman" w:hAnsi="Times New Roman"/>
          <w:b/>
          <w:color w:val="000000"/>
          <w:sz w:val="24"/>
        </w:rPr>
        <w:t>Which tests are recognized in Virginia? </w:t>
      </w:r>
      <w:r w:rsidRPr="00B131CA">
        <w:rPr>
          <w:rFonts w:ascii="Times New Roman" w:eastAsia="Times New Roman" w:hAnsi="Times New Roman" w:cs="Times New Roman"/>
          <w:color w:val="000000"/>
          <w:sz w:val="24"/>
          <w:szCs w:val="24"/>
        </w:rPr>
        <w:t>Prior to January 2014, the General Educational Development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test was the only High School Equivalency (HSE) test available to those individuals who lacked a high school diploma. Beginning January 2014, three </w:t>
      </w:r>
      <w:r w:rsidRPr="00B131CA">
        <w:rPr>
          <w:rFonts w:ascii="Times New Roman" w:eastAsia="Times New Roman" w:hAnsi="Times New Roman" w:cs="Times New Roman"/>
          <w:sz w:val="24"/>
          <w:szCs w:val="24"/>
        </w:rPr>
        <w:t>h</w:t>
      </w:r>
      <w:r w:rsidRPr="00B131CA">
        <w:rPr>
          <w:rFonts w:ascii="Times New Roman" w:eastAsia="Times New Roman" w:hAnsi="Times New Roman" w:cs="Times New Roman"/>
          <w:color w:val="000000"/>
          <w:sz w:val="24"/>
          <w:szCs w:val="24"/>
        </w:rPr>
        <w:t xml:space="preserve">igh </w:t>
      </w:r>
      <w:r w:rsidRPr="00B131CA">
        <w:rPr>
          <w:rFonts w:ascii="Times New Roman" w:eastAsia="Times New Roman" w:hAnsi="Times New Roman" w:cs="Times New Roman"/>
          <w:sz w:val="24"/>
          <w:szCs w:val="24"/>
        </w:rPr>
        <w:t>s</w:t>
      </w:r>
      <w:r w:rsidRPr="00B131CA">
        <w:rPr>
          <w:rFonts w:ascii="Times New Roman" w:eastAsia="Times New Roman" w:hAnsi="Times New Roman" w:cs="Times New Roman"/>
          <w:color w:val="000000"/>
          <w:sz w:val="24"/>
          <w:szCs w:val="24"/>
        </w:rPr>
        <w:t xml:space="preserve">chool </w:t>
      </w:r>
      <w:r w:rsidRPr="00B131CA">
        <w:rPr>
          <w:rFonts w:ascii="Times New Roman" w:eastAsia="Times New Roman" w:hAnsi="Times New Roman" w:cs="Times New Roman"/>
          <w:sz w:val="24"/>
          <w:szCs w:val="24"/>
        </w:rPr>
        <w:t>e</w:t>
      </w:r>
      <w:r w:rsidRPr="00B131CA">
        <w:rPr>
          <w:rFonts w:ascii="Times New Roman" w:eastAsia="Times New Roman" w:hAnsi="Times New Roman" w:cs="Times New Roman"/>
          <w:color w:val="000000"/>
          <w:sz w:val="24"/>
          <w:szCs w:val="24"/>
        </w:rPr>
        <w:t xml:space="preserve">quivalency examinations </w:t>
      </w:r>
      <w:r w:rsidRPr="00B131CA">
        <w:rPr>
          <w:rFonts w:ascii="Times New Roman" w:eastAsia="Times New Roman" w:hAnsi="Times New Roman" w:cs="Times New Roman"/>
          <w:sz w:val="24"/>
          <w:szCs w:val="24"/>
        </w:rPr>
        <w:t>were published</w:t>
      </w:r>
      <w:r w:rsidRPr="00B131CA">
        <w:rPr>
          <w:rFonts w:ascii="Times New Roman" w:eastAsia="Times New Roman" w:hAnsi="Times New Roman" w:cs="Times New Roman"/>
          <w:color w:val="000000"/>
          <w:sz w:val="24"/>
          <w:szCs w:val="24"/>
        </w:rPr>
        <w:t xml:space="preserve">. The three HSE options </w:t>
      </w:r>
      <w:r w:rsidR="009E1DA2">
        <w:rPr>
          <w:rFonts w:ascii="Times New Roman" w:eastAsia="Times New Roman" w:hAnsi="Times New Roman" w:cs="Times New Roman"/>
          <w:color w:val="000000"/>
          <w:sz w:val="24"/>
          <w:szCs w:val="24"/>
        </w:rPr>
        <w:t>were</w:t>
      </w:r>
      <w:r w:rsidRPr="00B131CA">
        <w:rPr>
          <w:rFonts w:ascii="Times New Roman" w:eastAsia="Times New Roman" w:hAnsi="Times New Roman" w:cs="Times New Roman"/>
          <w:color w:val="000000"/>
          <w:sz w:val="24"/>
          <w:szCs w:val="24"/>
        </w:rPr>
        <w:t>: 1) High School Equivalency Test (</w:t>
      </w:r>
      <w:proofErr w:type="spellStart"/>
      <w:r w:rsidRPr="00B131CA">
        <w:rPr>
          <w:rFonts w:ascii="Times New Roman" w:eastAsia="Times New Roman" w:hAnsi="Times New Roman" w:cs="Times New Roman"/>
          <w:color w:val="000000"/>
          <w:sz w:val="24"/>
          <w:szCs w:val="24"/>
        </w:rPr>
        <w:t>HiSET</w:t>
      </w:r>
      <w:proofErr w:type="spellEnd"/>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color w:val="000000"/>
          <w:sz w:val="24"/>
          <w:szCs w:val="24"/>
        </w:rPr>
        <w:t xml:space="preserve"> published</w:t>
      </w:r>
      <w:r w:rsidR="009E1DA2">
        <w:rPr>
          <w:rFonts w:ascii="Times New Roman" w:eastAsia="Times New Roman" w:hAnsi="Times New Roman" w:cs="Times New Roman"/>
          <w:color w:val="000000"/>
          <w:sz w:val="24"/>
          <w:szCs w:val="24"/>
        </w:rPr>
        <w:t xml:space="preserve"> </w:t>
      </w:r>
      <w:r w:rsidR="00152BDF">
        <w:rPr>
          <w:rFonts w:ascii="Times New Roman" w:eastAsia="Times New Roman" w:hAnsi="Times New Roman" w:cs="Times New Roman"/>
          <w:color w:val="000000"/>
          <w:sz w:val="24"/>
          <w:szCs w:val="24"/>
        </w:rPr>
        <w:t>originally</w:t>
      </w:r>
      <w:r w:rsidRPr="00B131CA">
        <w:rPr>
          <w:rFonts w:ascii="Times New Roman" w:eastAsia="Times New Roman" w:hAnsi="Times New Roman" w:cs="Times New Roman"/>
          <w:color w:val="000000"/>
          <w:sz w:val="24"/>
          <w:szCs w:val="24"/>
        </w:rPr>
        <w:t xml:space="preserve"> by the Educational Testing Service (ETS); 2) Test Assessing Secondary Completion (TASC™), published by the Data Recognition Corporation (DRC)</w:t>
      </w:r>
      <w:r w:rsidR="00BF7386">
        <w:rPr>
          <w:rFonts w:ascii="Times New Roman" w:eastAsia="Times New Roman" w:hAnsi="Times New Roman" w:cs="Times New Roman"/>
          <w:color w:val="000000"/>
          <w:sz w:val="24"/>
          <w:szCs w:val="24"/>
        </w:rPr>
        <w:t xml:space="preserve"> (no longer available)</w:t>
      </w:r>
      <w:r w:rsidRPr="00B131CA">
        <w:rPr>
          <w:rFonts w:ascii="Times New Roman" w:eastAsia="Times New Roman" w:hAnsi="Times New Roman" w:cs="Times New Roman"/>
          <w:color w:val="000000"/>
          <w:sz w:val="24"/>
          <w:szCs w:val="24"/>
        </w:rPr>
        <w:t>; and 3) the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test, published by the GED</w:t>
      </w:r>
      <w:r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color w:val="000000"/>
          <w:sz w:val="24"/>
          <w:szCs w:val="24"/>
        </w:rPr>
        <w:t>Testing Service</w:t>
      </w:r>
      <w:r w:rsidR="00BF7386"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color w:val="000000"/>
          <w:sz w:val="24"/>
          <w:szCs w:val="24"/>
        </w:rPr>
        <w:t xml:space="preserve"> and Pearson Vue (NOTE: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is no longer an acronym for General Educational Development). All three tests are recognized in Virginia by employers, community colleges, and some four-year institutions; however, </w:t>
      </w:r>
      <w:r w:rsidR="00A46FD8">
        <w:rPr>
          <w:rFonts w:ascii="Times New Roman" w:eastAsia="Times New Roman" w:hAnsi="Times New Roman" w:cs="Times New Roman"/>
          <w:color w:val="000000"/>
          <w:sz w:val="24"/>
          <w:szCs w:val="24"/>
        </w:rPr>
        <w:t>as of this publication, only</w:t>
      </w:r>
      <w:r w:rsidR="00A46FD8"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the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test has been approved by the Virginia Board of Education as meeting Virginia HSE standards </w:t>
      </w:r>
      <w:r w:rsidR="00A655C0">
        <w:rPr>
          <w:rFonts w:ascii="Times New Roman" w:eastAsia="Times New Roman" w:hAnsi="Times New Roman" w:cs="Times New Roman"/>
          <w:color w:val="000000"/>
          <w:sz w:val="24"/>
          <w:szCs w:val="24"/>
        </w:rPr>
        <w:t>through June 30,</w:t>
      </w:r>
      <w:r w:rsidRPr="00B131CA">
        <w:rPr>
          <w:rFonts w:ascii="Times New Roman" w:eastAsia="Times New Roman" w:hAnsi="Times New Roman" w:cs="Times New Roman"/>
          <w:color w:val="000000"/>
          <w:sz w:val="24"/>
          <w:szCs w:val="24"/>
        </w:rPr>
        <w:t xml:space="preserve"> </w:t>
      </w:r>
      <w:r w:rsidR="00E81A99" w:rsidRPr="00B131CA">
        <w:rPr>
          <w:rFonts w:ascii="Times New Roman" w:eastAsia="Times New Roman" w:hAnsi="Times New Roman" w:cs="Times New Roman"/>
          <w:color w:val="000000"/>
          <w:sz w:val="24"/>
          <w:szCs w:val="24"/>
        </w:rPr>
        <w:t>202</w:t>
      </w:r>
      <w:r w:rsidR="00E81A99">
        <w:rPr>
          <w:rFonts w:ascii="Times New Roman" w:eastAsia="Times New Roman" w:hAnsi="Times New Roman" w:cs="Times New Roman"/>
          <w:color w:val="000000"/>
          <w:sz w:val="24"/>
          <w:szCs w:val="24"/>
        </w:rPr>
        <w:t>6</w:t>
      </w:r>
      <w:r w:rsidRPr="00B131CA">
        <w:rPr>
          <w:rFonts w:ascii="Times New Roman" w:eastAsia="Times New Roman" w:hAnsi="Times New Roman" w:cs="Times New Roman"/>
          <w:color w:val="000000"/>
          <w:sz w:val="24"/>
          <w:szCs w:val="24"/>
        </w:rPr>
        <w:t>.</w:t>
      </w:r>
    </w:p>
    <w:p w14:paraId="000001A5" w14:textId="76F26048" w:rsidR="002F3C8D" w:rsidRDefault="00BF5CDA" w:rsidP="00841CC4">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841CC4">
        <w:rPr>
          <w:rFonts w:ascii="Times New Roman" w:hAnsi="Times New Roman"/>
          <w:b/>
          <w:color w:val="000000"/>
          <w:sz w:val="24"/>
        </w:rPr>
        <w:lastRenderedPageBreak/>
        <w:t>How is the decision made to approve an HSE examination in Virginia? </w:t>
      </w:r>
      <w:r w:rsidR="00BF7386" w:rsidRPr="00B131CA">
        <w:rPr>
          <w:rFonts w:ascii="Times New Roman" w:eastAsia="Times New Roman" w:hAnsi="Times New Roman" w:cs="Times New Roman"/>
          <w:color w:val="000000"/>
          <w:sz w:val="24"/>
          <w:szCs w:val="24"/>
        </w:rPr>
        <w:t xml:space="preserve"> </w:t>
      </w:r>
      <w:r w:rsidR="00A151A5">
        <w:rPr>
          <w:rFonts w:ascii="Times New Roman" w:eastAsia="Times New Roman" w:hAnsi="Times New Roman" w:cs="Times New Roman"/>
          <w:color w:val="000000"/>
          <w:sz w:val="24"/>
          <w:szCs w:val="24"/>
        </w:rPr>
        <w:t>N</w:t>
      </w:r>
      <w:r w:rsidRPr="00B131CA">
        <w:rPr>
          <w:rFonts w:ascii="Times New Roman" w:eastAsia="Times New Roman" w:hAnsi="Times New Roman" w:cs="Times New Roman"/>
          <w:color w:val="000000"/>
          <w:sz w:val="24"/>
          <w:szCs w:val="24"/>
        </w:rPr>
        <w:t>ational HSE vendors ha</w:t>
      </w:r>
      <w:r w:rsidR="00A151A5">
        <w:rPr>
          <w:rFonts w:ascii="Times New Roman" w:eastAsia="Times New Roman" w:hAnsi="Times New Roman" w:cs="Times New Roman"/>
          <w:color w:val="000000"/>
          <w:sz w:val="24"/>
          <w:szCs w:val="24"/>
        </w:rPr>
        <w:t>ve</w:t>
      </w:r>
      <w:r w:rsidRPr="00B131CA">
        <w:rPr>
          <w:rFonts w:ascii="Times New Roman" w:eastAsia="Times New Roman" w:hAnsi="Times New Roman" w:cs="Times New Roman"/>
          <w:color w:val="000000"/>
          <w:sz w:val="24"/>
          <w:szCs w:val="24"/>
        </w:rPr>
        <w:t xml:space="preserve"> the opportunity to respond to a </w:t>
      </w:r>
      <w:hyperlink r:id="rId65">
        <w:r w:rsidRPr="00EB7C21">
          <w:rPr>
            <w:rFonts w:ascii="Times New Roman" w:eastAsia="Times New Roman" w:hAnsi="Times New Roman" w:cs="Times New Roman"/>
            <w:color w:val="0000FF"/>
            <w:sz w:val="24"/>
            <w:szCs w:val="24"/>
            <w:u w:val="single"/>
          </w:rPr>
          <w:t>Request for Application</w:t>
        </w:r>
      </w:hyperlink>
      <w:r w:rsidRPr="00B131CA">
        <w:rPr>
          <w:rFonts w:ascii="Times New Roman" w:eastAsia="Times New Roman" w:hAnsi="Times New Roman" w:cs="Times New Roman"/>
          <w:color w:val="000000"/>
          <w:sz w:val="24"/>
          <w:szCs w:val="24"/>
        </w:rPr>
        <w:t xml:space="preserve"> during a</w:t>
      </w:r>
      <w:r w:rsidR="00BF7386">
        <w:rPr>
          <w:rFonts w:ascii="Times New Roman" w:eastAsia="Times New Roman" w:hAnsi="Times New Roman" w:cs="Times New Roman"/>
          <w:color w:val="000000"/>
          <w:sz w:val="24"/>
          <w:szCs w:val="24"/>
        </w:rPr>
        <w:t>n open application</w:t>
      </w:r>
      <w:r w:rsidRPr="00B131CA">
        <w:rPr>
          <w:rFonts w:ascii="Times New Roman" w:eastAsia="Times New Roman" w:hAnsi="Times New Roman" w:cs="Times New Roman"/>
          <w:color w:val="000000"/>
          <w:sz w:val="24"/>
          <w:szCs w:val="24"/>
        </w:rPr>
        <w:t xml:space="preserve"> period </w:t>
      </w:r>
      <w:r w:rsidR="00BF7386">
        <w:rPr>
          <w:rFonts w:ascii="Times New Roman" w:eastAsia="Times New Roman" w:hAnsi="Times New Roman" w:cs="Times New Roman"/>
          <w:color w:val="000000"/>
          <w:sz w:val="24"/>
          <w:szCs w:val="24"/>
        </w:rPr>
        <w:t>every other</w:t>
      </w:r>
      <w:r w:rsidR="00BF7386"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year </w:t>
      </w:r>
      <w:r w:rsidR="00BF7386">
        <w:rPr>
          <w:rFonts w:ascii="Times New Roman" w:eastAsia="Times New Roman" w:hAnsi="Times New Roman" w:cs="Times New Roman"/>
          <w:color w:val="000000"/>
          <w:sz w:val="24"/>
          <w:szCs w:val="24"/>
        </w:rPr>
        <w:t>between</w:t>
      </w:r>
      <w:r w:rsidRPr="00B131CA">
        <w:rPr>
          <w:rFonts w:ascii="Times New Roman" w:eastAsia="Times New Roman" w:hAnsi="Times New Roman" w:cs="Times New Roman"/>
          <w:color w:val="000000"/>
          <w:sz w:val="24"/>
          <w:szCs w:val="24"/>
        </w:rPr>
        <w:t xml:space="preserve"> October </w:t>
      </w:r>
      <w:r w:rsidR="00BF7386">
        <w:rPr>
          <w:rFonts w:ascii="Times New Roman" w:eastAsia="Times New Roman" w:hAnsi="Times New Roman" w:cs="Times New Roman"/>
          <w:color w:val="000000"/>
          <w:sz w:val="24"/>
          <w:szCs w:val="24"/>
        </w:rPr>
        <w:t>and</w:t>
      </w:r>
      <w:r w:rsidRPr="00B131CA">
        <w:rPr>
          <w:rFonts w:ascii="Times New Roman" w:eastAsia="Times New Roman" w:hAnsi="Times New Roman" w:cs="Times New Roman"/>
          <w:color w:val="000000"/>
          <w:sz w:val="24"/>
          <w:szCs w:val="24"/>
        </w:rPr>
        <w:t xml:space="preserve"> November. In order to qualify to be an HSE test </w:t>
      </w:r>
      <w:r w:rsidRPr="00ED22C7">
        <w:rPr>
          <w:rFonts w:ascii="Times New Roman" w:eastAsia="Times New Roman" w:hAnsi="Times New Roman" w:cs="Times New Roman"/>
          <w:color w:val="000000"/>
          <w:sz w:val="24"/>
          <w:szCs w:val="24"/>
        </w:rPr>
        <w:t xml:space="preserve">provider in Virginia, the application’s responses must meet each </w:t>
      </w:r>
      <w:r w:rsidR="00152BDF" w:rsidRPr="00ED22C7">
        <w:rPr>
          <w:rFonts w:ascii="Times New Roman" w:eastAsia="Times New Roman" w:hAnsi="Times New Roman" w:cs="Times New Roman"/>
          <w:sz w:val="24"/>
          <w:szCs w:val="24"/>
        </w:rPr>
        <w:t>guideline</w:t>
      </w:r>
      <w:r w:rsidRPr="00ED22C7">
        <w:rPr>
          <w:rFonts w:ascii="Times New Roman" w:eastAsia="Times New Roman" w:hAnsi="Times New Roman" w:cs="Times New Roman"/>
          <w:color w:val="0000FF"/>
          <w:sz w:val="24"/>
          <w:szCs w:val="24"/>
        </w:rPr>
        <w:t xml:space="preserve"> </w:t>
      </w:r>
      <w:r w:rsidRPr="00ED22C7">
        <w:rPr>
          <w:rFonts w:ascii="Times New Roman" w:eastAsia="Times New Roman" w:hAnsi="Times New Roman" w:cs="Times New Roman"/>
          <w:color w:val="000000"/>
          <w:sz w:val="24"/>
          <w:szCs w:val="24"/>
        </w:rPr>
        <w:t xml:space="preserve">found in the </w:t>
      </w:r>
      <w:hyperlink r:id="rId66" w:history="1">
        <w:r w:rsidRPr="00ED22C7">
          <w:rPr>
            <w:rStyle w:val="Hyperlink"/>
            <w:rFonts w:ascii="Times New Roman" w:eastAsia="Times New Roman" w:hAnsi="Times New Roman" w:cs="Times New Roman"/>
            <w:i/>
            <w:sz w:val="24"/>
            <w:szCs w:val="24"/>
          </w:rPr>
          <w:t>High School Equivalency Examination Guidelines for Virginia</w:t>
        </w:r>
      </w:hyperlink>
      <w:r w:rsidRPr="00ED22C7">
        <w:rPr>
          <w:rFonts w:ascii="Times New Roman" w:eastAsia="Times New Roman" w:hAnsi="Times New Roman" w:cs="Times New Roman"/>
          <w:i/>
          <w:color w:val="000000"/>
          <w:sz w:val="24"/>
          <w:szCs w:val="24"/>
        </w:rPr>
        <w:t xml:space="preserve"> </w:t>
      </w:r>
      <w:r w:rsidRPr="00ED22C7">
        <w:rPr>
          <w:rFonts w:ascii="Times New Roman" w:eastAsia="Times New Roman" w:hAnsi="Times New Roman" w:cs="Times New Roman"/>
          <w:color w:val="000000"/>
          <w:sz w:val="24"/>
          <w:szCs w:val="24"/>
        </w:rPr>
        <w:t xml:space="preserve">approved by the </w:t>
      </w:r>
      <w:r w:rsidR="004C2EFF" w:rsidRPr="00ED22C7">
        <w:rPr>
          <w:rFonts w:ascii="Times New Roman" w:eastAsia="Times New Roman" w:hAnsi="Times New Roman" w:cs="Times New Roman"/>
          <w:color w:val="000000"/>
          <w:sz w:val="24"/>
          <w:szCs w:val="24"/>
        </w:rPr>
        <w:t xml:space="preserve">Virginia </w:t>
      </w:r>
      <w:r w:rsidRPr="00ED22C7">
        <w:rPr>
          <w:rFonts w:ascii="Times New Roman" w:eastAsia="Times New Roman" w:hAnsi="Times New Roman" w:cs="Times New Roman"/>
          <w:color w:val="000000"/>
          <w:sz w:val="24"/>
          <w:szCs w:val="24"/>
        </w:rPr>
        <w:t>Board of Education. E</w:t>
      </w:r>
      <w:r w:rsidR="00BF7386" w:rsidRPr="00ED22C7">
        <w:rPr>
          <w:rFonts w:ascii="Times New Roman" w:eastAsia="Times New Roman" w:hAnsi="Times New Roman" w:cs="Times New Roman"/>
          <w:color w:val="000000"/>
          <w:sz w:val="24"/>
          <w:szCs w:val="24"/>
        </w:rPr>
        <w:t>ach</w:t>
      </w:r>
      <w:r w:rsidRPr="00ED22C7">
        <w:rPr>
          <w:rFonts w:ascii="Times New Roman" w:eastAsia="Times New Roman" w:hAnsi="Times New Roman" w:cs="Times New Roman"/>
          <w:color w:val="000000"/>
          <w:sz w:val="24"/>
          <w:szCs w:val="24"/>
        </w:rPr>
        <w:t xml:space="preserve"> year</w:t>
      </w:r>
      <w:r w:rsidR="00BF7386" w:rsidRPr="00ED22C7">
        <w:rPr>
          <w:rFonts w:ascii="Times New Roman" w:eastAsia="Times New Roman" w:hAnsi="Times New Roman" w:cs="Times New Roman"/>
          <w:color w:val="000000"/>
          <w:sz w:val="24"/>
          <w:szCs w:val="24"/>
        </w:rPr>
        <w:t xml:space="preserve"> </w:t>
      </w:r>
      <w:r w:rsidR="00E200B2" w:rsidRPr="00ED22C7">
        <w:rPr>
          <w:rFonts w:ascii="Times New Roman" w:eastAsia="Times New Roman" w:hAnsi="Times New Roman" w:cs="Times New Roman"/>
          <w:color w:val="000000"/>
          <w:sz w:val="24"/>
          <w:szCs w:val="24"/>
        </w:rPr>
        <w:t xml:space="preserve">that </w:t>
      </w:r>
      <w:r w:rsidR="00BF7386" w:rsidRPr="00ED22C7">
        <w:rPr>
          <w:rFonts w:ascii="Times New Roman" w:eastAsia="Times New Roman" w:hAnsi="Times New Roman" w:cs="Times New Roman"/>
          <w:color w:val="000000"/>
          <w:sz w:val="24"/>
          <w:szCs w:val="24"/>
        </w:rPr>
        <w:t>the call for application</w:t>
      </w:r>
      <w:r w:rsidR="00E200B2" w:rsidRPr="00ED22C7">
        <w:rPr>
          <w:rFonts w:ascii="Times New Roman" w:eastAsia="Times New Roman" w:hAnsi="Times New Roman" w:cs="Times New Roman"/>
          <w:color w:val="000000"/>
          <w:sz w:val="24"/>
          <w:szCs w:val="24"/>
        </w:rPr>
        <w:t>s</w:t>
      </w:r>
      <w:r w:rsidR="00BF7386" w:rsidRPr="00ED22C7">
        <w:rPr>
          <w:rFonts w:ascii="Times New Roman" w:eastAsia="Times New Roman" w:hAnsi="Times New Roman" w:cs="Times New Roman"/>
          <w:color w:val="000000"/>
          <w:sz w:val="24"/>
          <w:szCs w:val="24"/>
        </w:rPr>
        <w:t xml:space="preserve"> is held</w:t>
      </w:r>
      <w:r w:rsidRPr="00ED22C7">
        <w:rPr>
          <w:rFonts w:ascii="Times New Roman" w:eastAsia="Times New Roman" w:hAnsi="Times New Roman" w:cs="Times New Roman"/>
          <w:color w:val="000000"/>
          <w:sz w:val="24"/>
          <w:szCs w:val="24"/>
        </w:rPr>
        <w:t>, an HSE Evaluation</w:t>
      </w:r>
      <w:r w:rsidRPr="00B131CA">
        <w:rPr>
          <w:rFonts w:ascii="Times New Roman" w:eastAsia="Times New Roman" w:hAnsi="Times New Roman" w:cs="Times New Roman"/>
          <w:color w:val="000000"/>
          <w:sz w:val="24"/>
          <w:szCs w:val="24"/>
        </w:rPr>
        <w:t xml:space="preserve"> Committee is appointed to review the applications received and make recommendations to the VDOE. Once a test vendor is approved, the approval is valid for five years. If a test vendor is not approved during an application period, the vendor is eligible to reapply </w:t>
      </w:r>
      <w:r w:rsidR="00BF7386">
        <w:rPr>
          <w:rFonts w:ascii="Times New Roman" w:eastAsia="Times New Roman" w:hAnsi="Times New Roman" w:cs="Times New Roman"/>
          <w:color w:val="000000"/>
          <w:sz w:val="24"/>
          <w:szCs w:val="24"/>
        </w:rPr>
        <w:t>during the next open application period</w:t>
      </w:r>
      <w:r w:rsidRPr="00B131CA">
        <w:rPr>
          <w:rFonts w:ascii="Times New Roman" w:eastAsia="Times New Roman" w:hAnsi="Times New Roman" w:cs="Times New Roman"/>
          <w:color w:val="000000"/>
          <w:sz w:val="24"/>
          <w:szCs w:val="24"/>
        </w:rPr>
        <w:t xml:space="preserve">. </w:t>
      </w:r>
    </w:p>
    <w:p w14:paraId="085D8C8E" w14:textId="3CE78D1D" w:rsidR="00E12314" w:rsidRPr="00D572B1" w:rsidRDefault="00E12314" w:rsidP="00E12314">
      <w:pPr>
        <w:spacing w:line="240" w:lineRule="auto"/>
        <w:rPr>
          <w:rFonts w:ascii="Times New Roman" w:hAnsi="Times New Roman" w:cs="Times New Roman"/>
          <w:sz w:val="24"/>
          <w:szCs w:val="24"/>
        </w:rPr>
      </w:pPr>
      <w:r w:rsidRPr="00D572B1">
        <w:rPr>
          <w:rFonts w:ascii="Times New Roman" w:hAnsi="Times New Roman" w:cs="Times New Roman"/>
          <w:b/>
          <w:sz w:val="24"/>
          <w:szCs w:val="24"/>
        </w:rPr>
        <w:t>In what format</w:t>
      </w:r>
      <w:r>
        <w:rPr>
          <w:rFonts w:ascii="Times New Roman" w:hAnsi="Times New Roman" w:cs="Times New Roman"/>
          <w:b/>
          <w:sz w:val="24"/>
          <w:szCs w:val="24"/>
        </w:rPr>
        <w:t>s</w:t>
      </w:r>
      <w:r w:rsidRPr="00D572B1">
        <w:rPr>
          <w:rFonts w:ascii="Times New Roman" w:hAnsi="Times New Roman" w:cs="Times New Roman"/>
          <w:b/>
          <w:sz w:val="24"/>
          <w:szCs w:val="24"/>
        </w:rPr>
        <w:t xml:space="preserve"> can the GED</w:t>
      </w:r>
      <w:r w:rsidRPr="00D572B1">
        <w:rPr>
          <w:rFonts w:ascii="Times New Roman" w:hAnsi="Times New Roman" w:cs="Times New Roman"/>
          <w:b/>
          <w:sz w:val="24"/>
          <w:szCs w:val="24"/>
          <w:vertAlign w:val="superscript"/>
        </w:rPr>
        <w:t>®</w:t>
      </w:r>
      <w:r w:rsidRPr="00D572B1">
        <w:rPr>
          <w:rFonts w:ascii="Times New Roman" w:hAnsi="Times New Roman" w:cs="Times New Roman"/>
          <w:b/>
          <w:sz w:val="24"/>
          <w:szCs w:val="24"/>
        </w:rPr>
        <w:t xml:space="preserve"> test be administered?</w:t>
      </w:r>
      <w:r w:rsidRPr="00D572B1">
        <w:rPr>
          <w:rFonts w:ascii="Times New Roman" w:hAnsi="Times New Roman" w:cs="Times New Roman"/>
          <w:sz w:val="24"/>
          <w:szCs w:val="24"/>
        </w:rPr>
        <w:t xml:space="preserve">  Starting on January 1, 2014, the GED</w:t>
      </w:r>
      <w:r w:rsidRPr="00D572B1">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D572B1">
        <w:rPr>
          <w:rFonts w:ascii="Times New Roman" w:hAnsi="Times New Roman" w:cs="Times New Roman"/>
          <w:sz w:val="24"/>
          <w:szCs w:val="24"/>
        </w:rPr>
        <w:t xml:space="preserve">test </w:t>
      </w:r>
      <w:r>
        <w:rPr>
          <w:rFonts w:ascii="Times New Roman" w:hAnsi="Times New Roman" w:cs="Times New Roman"/>
          <w:sz w:val="24"/>
          <w:szCs w:val="24"/>
        </w:rPr>
        <w:t>transitioned from a paper-based format to a computer-based format.</w:t>
      </w:r>
      <w:r w:rsidRPr="00D572B1">
        <w:rPr>
          <w:rFonts w:ascii="Times New Roman" w:hAnsi="Times New Roman" w:cs="Times New Roman"/>
          <w:sz w:val="24"/>
          <w:szCs w:val="24"/>
        </w:rPr>
        <w:t xml:space="preserve"> Paper-based tests are still available, but only </w:t>
      </w:r>
      <w:r w:rsidR="00BF7386">
        <w:rPr>
          <w:rFonts w:ascii="Times New Roman" w:hAnsi="Times New Roman" w:cs="Times New Roman"/>
          <w:sz w:val="24"/>
          <w:szCs w:val="24"/>
        </w:rPr>
        <w:t>as an approved accommodation or if requested for another legitimate reason</w:t>
      </w:r>
      <w:r w:rsidRPr="00D572B1">
        <w:rPr>
          <w:rFonts w:ascii="Times New Roman" w:hAnsi="Times New Roman" w:cs="Times New Roman"/>
          <w:sz w:val="24"/>
          <w:szCs w:val="24"/>
        </w:rPr>
        <w:t xml:space="preserve">. The test is available in English and in Spanish. </w:t>
      </w:r>
      <w:r w:rsidRPr="00E12314">
        <w:rPr>
          <w:rFonts w:ascii="Times New Roman" w:hAnsi="Times New Roman" w:cs="Times New Roman"/>
          <w:sz w:val="24"/>
          <w:szCs w:val="24"/>
        </w:rPr>
        <w:t>Students may choose to test in either English or Spanish or may combine subtests. Students indicate the language of their choice at the time of registration for each subtest.</w:t>
      </w:r>
    </w:p>
    <w:p w14:paraId="07E5D9B0" w14:textId="0B697FCF" w:rsidR="00E12314" w:rsidRPr="000F66B0" w:rsidRDefault="00BB4410" w:rsidP="00E12314">
      <w:pPr>
        <w:pStyle w:val="NoSpacing"/>
        <w:rPr>
          <w:rFonts w:ascii="Times New Roman" w:hAnsi="Times New Roman" w:cs="Times New Roman"/>
          <w:sz w:val="24"/>
          <w:szCs w:val="24"/>
        </w:rPr>
      </w:pPr>
      <w:r w:rsidRPr="000F66B0">
        <w:rPr>
          <w:rFonts w:ascii="Times New Roman" w:hAnsi="Times New Roman" w:cs="Times New Roman"/>
          <w:sz w:val="24"/>
          <w:szCs w:val="24"/>
        </w:rPr>
        <w:t xml:space="preserve">The </w:t>
      </w:r>
      <w:r w:rsidR="00C41466" w:rsidRPr="00B131CA">
        <w:rPr>
          <w:rFonts w:ascii="Times New Roman" w:eastAsia="Times New Roman" w:hAnsi="Times New Roman" w:cs="Times New Roman"/>
          <w:color w:val="000000"/>
          <w:sz w:val="24"/>
          <w:szCs w:val="24"/>
        </w:rPr>
        <w:t>GED</w:t>
      </w:r>
      <w:r w:rsidR="00C41466" w:rsidRPr="00B131CA">
        <w:rPr>
          <w:rFonts w:ascii="Times New Roman" w:eastAsia="Times New Roman" w:hAnsi="Times New Roman" w:cs="Times New Roman"/>
          <w:sz w:val="24"/>
          <w:szCs w:val="24"/>
        </w:rPr>
        <w:t xml:space="preserve"> </w:t>
      </w:r>
      <w:r w:rsidR="00C41466" w:rsidRPr="00B131CA">
        <w:rPr>
          <w:rFonts w:ascii="Times New Roman" w:eastAsia="Times New Roman" w:hAnsi="Times New Roman" w:cs="Times New Roman"/>
          <w:color w:val="000000"/>
          <w:sz w:val="24"/>
          <w:szCs w:val="24"/>
        </w:rPr>
        <w:t>Testing Service</w:t>
      </w:r>
      <w:r w:rsidR="00C41466" w:rsidRPr="00B131CA">
        <w:rPr>
          <w:rFonts w:ascii="Times New Roman" w:eastAsia="Times New Roman" w:hAnsi="Times New Roman" w:cs="Times New Roman"/>
          <w:sz w:val="24"/>
          <w:szCs w:val="24"/>
          <w:vertAlign w:val="superscript"/>
        </w:rPr>
        <w:t>®</w:t>
      </w:r>
      <w:r w:rsidR="00C41466" w:rsidRPr="00B131CA">
        <w:rPr>
          <w:rFonts w:ascii="Times New Roman" w:eastAsia="Times New Roman" w:hAnsi="Times New Roman" w:cs="Times New Roman"/>
          <w:color w:val="000000"/>
          <w:sz w:val="24"/>
          <w:szCs w:val="24"/>
        </w:rPr>
        <w:t xml:space="preserve"> </w:t>
      </w:r>
      <w:r w:rsidR="00C41466">
        <w:rPr>
          <w:rFonts w:ascii="Times New Roman" w:eastAsia="Times New Roman" w:hAnsi="Times New Roman" w:cs="Times New Roman"/>
          <w:color w:val="000000"/>
          <w:sz w:val="24"/>
          <w:szCs w:val="24"/>
        </w:rPr>
        <w:t>(</w:t>
      </w:r>
      <w:r w:rsidR="00E12314" w:rsidRPr="000F66B0">
        <w:rPr>
          <w:rFonts w:ascii="Times New Roman" w:hAnsi="Times New Roman" w:cs="Times New Roman"/>
          <w:sz w:val="24"/>
          <w:szCs w:val="24"/>
        </w:rPr>
        <w:t>GEDTS</w:t>
      </w:r>
      <w:r w:rsidR="00C41466">
        <w:rPr>
          <w:rFonts w:ascii="Times New Roman" w:hAnsi="Times New Roman" w:cs="Times New Roman"/>
          <w:sz w:val="24"/>
          <w:szCs w:val="24"/>
        </w:rPr>
        <w:t>)</w:t>
      </w:r>
      <w:r w:rsidR="00E12314" w:rsidRPr="000F66B0">
        <w:rPr>
          <w:rFonts w:ascii="Times New Roman" w:hAnsi="Times New Roman" w:cs="Times New Roman"/>
          <w:sz w:val="24"/>
          <w:szCs w:val="24"/>
        </w:rPr>
        <w:t xml:space="preserve"> began online testing, as an Online Proctored (OP) format</w:t>
      </w:r>
      <w:r w:rsidR="00EC4B3E" w:rsidRPr="000F66B0">
        <w:rPr>
          <w:rFonts w:ascii="Times New Roman" w:hAnsi="Times New Roman" w:cs="Times New Roman"/>
          <w:sz w:val="24"/>
          <w:szCs w:val="24"/>
        </w:rPr>
        <w:t>,</w:t>
      </w:r>
      <w:r w:rsidR="00E12314" w:rsidRPr="000F66B0">
        <w:rPr>
          <w:rFonts w:ascii="Times New Roman" w:hAnsi="Times New Roman" w:cs="Times New Roman"/>
          <w:sz w:val="24"/>
          <w:szCs w:val="24"/>
        </w:rPr>
        <w:t xml:space="preserve"> in </w:t>
      </w:r>
      <w:r w:rsidR="00BF7386">
        <w:rPr>
          <w:rFonts w:ascii="Times New Roman" w:hAnsi="Times New Roman" w:cs="Times New Roman"/>
          <w:sz w:val="24"/>
          <w:szCs w:val="24"/>
        </w:rPr>
        <w:t xml:space="preserve">July </w:t>
      </w:r>
      <w:r w:rsidR="00E12314" w:rsidRPr="000F66B0">
        <w:rPr>
          <w:rFonts w:ascii="Times New Roman" w:hAnsi="Times New Roman" w:cs="Times New Roman"/>
          <w:sz w:val="24"/>
          <w:szCs w:val="24"/>
        </w:rPr>
        <w:t xml:space="preserve">2020. The test taker is </w:t>
      </w:r>
      <w:r w:rsidR="00DB21A9">
        <w:rPr>
          <w:rFonts w:ascii="Times New Roman" w:hAnsi="Times New Roman" w:cs="Times New Roman"/>
          <w:sz w:val="24"/>
          <w:szCs w:val="24"/>
        </w:rPr>
        <w:t xml:space="preserve">monitored </w:t>
      </w:r>
      <w:r w:rsidR="00E12314" w:rsidRPr="000F66B0">
        <w:rPr>
          <w:rFonts w:ascii="Times New Roman" w:hAnsi="Times New Roman" w:cs="Times New Roman"/>
          <w:sz w:val="24"/>
          <w:szCs w:val="24"/>
        </w:rPr>
        <w:t xml:space="preserve">by </w:t>
      </w:r>
      <w:r w:rsidR="00E62E3D">
        <w:rPr>
          <w:rFonts w:ascii="Times New Roman" w:hAnsi="Times New Roman" w:cs="Times New Roman"/>
          <w:sz w:val="24"/>
          <w:szCs w:val="24"/>
        </w:rPr>
        <w:t xml:space="preserve">a </w:t>
      </w:r>
      <w:r w:rsidR="00A151A5">
        <w:rPr>
          <w:rFonts w:ascii="Times New Roman" w:hAnsi="Times New Roman" w:cs="Times New Roman"/>
          <w:sz w:val="24"/>
          <w:szCs w:val="24"/>
        </w:rPr>
        <w:t xml:space="preserve">remote </w:t>
      </w:r>
      <w:r w:rsidR="00E12314" w:rsidRPr="000F66B0">
        <w:rPr>
          <w:rFonts w:ascii="Times New Roman" w:hAnsi="Times New Roman" w:cs="Times New Roman"/>
          <w:sz w:val="24"/>
          <w:szCs w:val="24"/>
        </w:rPr>
        <w:t>proctor throughout the duration of the test</w:t>
      </w:r>
      <w:r w:rsidR="00E1304F">
        <w:rPr>
          <w:rFonts w:ascii="Times New Roman" w:hAnsi="Times New Roman" w:cs="Times New Roman"/>
          <w:sz w:val="24"/>
          <w:szCs w:val="24"/>
        </w:rPr>
        <w:t>ing sess</w:t>
      </w:r>
      <w:r w:rsidR="00E62E3D">
        <w:rPr>
          <w:rFonts w:ascii="Times New Roman" w:hAnsi="Times New Roman" w:cs="Times New Roman"/>
          <w:sz w:val="24"/>
          <w:szCs w:val="24"/>
        </w:rPr>
        <w:t>i</w:t>
      </w:r>
      <w:r w:rsidR="00E1304F">
        <w:rPr>
          <w:rFonts w:ascii="Times New Roman" w:hAnsi="Times New Roman" w:cs="Times New Roman"/>
          <w:sz w:val="24"/>
          <w:szCs w:val="24"/>
        </w:rPr>
        <w:t>on</w:t>
      </w:r>
      <w:r w:rsidR="00E62E3D">
        <w:rPr>
          <w:rFonts w:ascii="Times New Roman" w:hAnsi="Times New Roman" w:cs="Times New Roman"/>
          <w:sz w:val="24"/>
          <w:szCs w:val="24"/>
        </w:rPr>
        <w:t>.</w:t>
      </w:r>
      <w:r w:rsidR="00E12314" w:rsidRPr="000F66B0">
        <w:rPr>
          <w:rFonts w:ascii="Times New Roman" w:hAnsi="Times New Roman" w:cs="Times New Roman"/>
          <w:sz w:val="24"/>
          <w:szCs w:val="24"/>
        </w:rPr>
        <w:t xml:space="preserve"> </w:t>
      </w:r>
      <w:proofErr w:type="gramStart"/>
      <w:r w:rsidR="00E12314" w:rsidRPr="000F66B0">
        <w:rPr>
          <w:rFonts w:ascii="Times New Roman" w:hAnsi="Times New Roman" w:cs="Times New Roman"/>
          <w:sz w:val="24"/>
          <w:szCs w:val="24"/>
        </w:rPr>
        <w:t>In order to</w:t>
      </w:r>
      <w:proofErr w:type="gramEnd"/>
      <w:r w:rsidR="00E12314" w:rsidRPr="000F66B0">
        <w:rPr>
          <w:rFonts w:ascii="Times New Roman" w:hAnsi="Times New Roman" w:cs="Times New Roman"/>
          <w:sz w:val="24"/>
          <w:szCs w:val="24"/>
        </w:rPr>
        <w:t xml:space="preserve"> be eligible to take the OP test, the student must </w:t>
      </w:r>
      <w:r w:rsidR="00E1304F">
        <w:rPr>
          <w:rFonts w:ascii="Times New Roman" w:hAnsi="Times New Roman" w:cs="Times New Roman"/>
          <w:sz w:val="24"/>
          <w:szCs w:val="24"/>
        </w:rPr>
        <w:t xml:space="preserve">have </w:t>
      </w:r>
      <w:r w:rsidR="00E12314" w:rsidRPr="000F66B0">
        <w:rPr>
          <w:rFonts w:ascii="Times New Roman" w:hAnsi="Times New Roman" w:cs="Times New Roman"/>
          <w:sz w:val="24"/>
          <w:szCs w:val="24"/>
        </w:rPr>
        <w:t>pass</w:t>
      </w:r>
      <w:r w:rsidR="00E1304F">
        <w:rPr>
          <w:rFonts w:ascii="Times New Roman" w:hAnsi="Times New Roman" w:cs="Times New Roman"/>
          <w:sz w:val="24"/>
          <w:szCs w:val="24"/>
        </w:rPr>
        <w:t>ed</w:t>
      </w:r>
      <w:r w:rsidR="00E12314" w:rsidRPr="000F66B0">
        <w:rPr>
          <w:rFonts w:ascii="Times New Roman" w:hAnsi="Times New Roman" w:cs="Times New Roman"/>
          <w:sz w:val="24"/>
          <w:szCs w:val="24"/>
        </w:rPr>
        <w:t xml:space="preserve"> the specific-subject GED Ready</w:t>
      </w:r>
      <w:r w:rsidR="00BC1B65" w:rsidRPr="00BC1B65">
        <w:rPr>
          <w:rFonts w:ascii="Times New Roman" w:hAnsi="Times New Roman" w:cs="Times New Roman"/>
          <w:sz w:val="24"/>
          <w:szCs w:val="24"/>
          <w:vertAlign w:val="superscript"/>
        </w:rPr>
        <w:t>®</w:t>
      </w:r>
      <w:r w:rsidR="00E12314" w:rsidRPr="000F66B0">
        <w:rPr>
          <w:rFonts w:ascii="Times New Roman" w:hAnsi="Times New Roman" w:cs="Times New Roman"/>
          <w:sz w:val="24"/>
          <w:szCs w:val="24"/>
        </w:rPr>
        <w:t xml:space="preserve"> test</w:t>
      </w:r>
      <w:r w:rsidR="00E1304F">
        <w:rPr>
          <w:rFonts w:ascii="Times New Roman" w:hAnsi="Times New Roman" w:cs="Times New Roman"/>
          <w:sz w:val="24"/>
          <w:szCs w:val="24"/>
        </w:rPr>
        <w:t xml:space="preserve"> and scored in the ‘likely to pass’ range within the last 60 days</w:t>
      </w:r>
      <w:r w:rsidR="009F6522">
        <w:rPr>
          <w:rFonts w:ascii="Times New Roman" w:hAnsi="Times New Roman" w:cs="Times New Roman"/>
          <w:sz w:val="24"/>
          <w:szCs w:val="24"/>
        </w:rPr>
        <w:t xml:space="preserve">. </w:t>
      </w:r>
      <w:r w:rsidR="00E12314" w:rsidRPr="000F66B0">
        <w:rPr>
          <w:rFonts w:ascii="Times New Roman" w:hAnsi="Times New Roman" w:cs="Times New Roman"/>
          <w:sz w:val="24"/>
          <w:szCs w:val="24"/>
        </w:rPr>
        <w:t xml:space="preserve">When advising students </w:t>
      </w:r>
      <w:proofErr w:type="gramStart"/>
      <w:r w:rsidR="00E12314" w:rsidRPr="000F66B0">
        <w:rPr>
          <w:rFonts w:ascii="Times New Roman" w:hAnsi="Times New Roman" w:cs="Times New Roman"/>
          <w:sz w:val="24"/>
          <w:szCs w:val="24"/>
        </w:rPr>
        <w:t>whether or not</w:t>
      </w:r>
      <w:proofErr w:type="gramEnd"/>
      <w:r w:rsidR="00E12314" w:rsidRPr="000F66B0">
        <w:rPr>
          <w:rFonts w:ascii="Times New Roman" w:hAnsi="Times New Roman" w:cs="Times New Roman"/>
          <w:sz w:val="24"/>
          <w:szCs w:val="24"/>
        </w:rPr>
        <w:t xml:space="preserve"> to choose this testing option, </w:t>
      </w:r>
      <w:r w:rsidR="00E1304F">
        <w:rPr>
          <w:rFonts w:ascii="Times New Roman" w:hAnsi="Times New Roman" w:cs="Times New Roman"/>
          <w:sz w:val="24"/>
          <w:szCs w:val="24"/>
        </w:rPr>
        <w:t xml:space="preserve">it is important to </w:t>
      </w:r>
      <w:r w:rsidR="00E12314" w:rsidRPr="000F66B0">
        <w:rPr>
          <w:rFonts w:ascii="Times New Roman" w:hAnsi="Times New Roman" w:cs="Times New Roman"/>
          <w:sz w:val="24"/>
          <w:szCs w:val="24"/>
        </w:rPr>
        <w:t xml:space="preserve">know your student’s strengths. Do they feel comfortable working by themselves with technology? Do they have </w:t>
      </w:r>
      <w:proofErr w:type="gramStart"/>
      <w:r w:rsidR="00E12314" w:rsidRPr="000F66B0">
        <w:rPr>
          <w:rFonts w:ascii="Times New Roman" w:hAnsi="Times New Roman" w:cs="Times New Roman"/>
          <w:sz w:val="24"/>
          <w:szCs w:val="24"/>
        </w:rPr>
        <w:t>all of</w:t>
      </w:r>
      <w:proofErr w:type="gramEnd"/>
      <w:r w:rsidR="00E12314" w:rsidRPr="000F66B0">
        <w:rPr>
          <w:rFonts w:ascii="Times New Roman" w:hAnsi="Times New Roman" w:cs="Times New Roman"/>
          <w:sz w:val="24"/>
          <w:szCs w:val="24"/>
        </w:rPr>
        <w:t xml:space="preserve"> the required equipment and a quiet</w:t>
      </w:r>
      <w:r w:rsidR="00EC4B3E" w:rsidRPr="000F66B0">
        <w:rPr>
          <w:rFonts w:ascii="Times New Roman" w:hAnsi="Times New Roman" w:cs="Times New Roman"/>
          <w:sz w:val="24"/>
          <w:szCs w:val="24"/>
        </w:rPr>
        <w:t>, undisturbed</w:t>
      </w:r>
      <w:r w:rsidR="00E12314" w:rsidRPr="000F66B0">
        <w:rPr>
          <w:rFonts w:ascii="Times New Roman" w:hAnsi="Times New Roman" w:cs="Times New Roman"/>
          <w:sz w:val="24"/>
          <w:szCs w:val="24"/>
        </w:rPr>
        <w:t xml:space="preserve"> environment to test at home? Do they need scratch paper when testing? </w:t>
      </w:r>
      <w:r w:rsidR="00EC4B3E" w:rsidRPr="000F66B0">
        <w:rPr>
          <w:rFonts w:ascii="Times New Roman" w:hAnsi="Times New Roman" w:cs="Times New Roman"/>
          <w:sz w:val="24"/>
          <w:szCs w:val="24"/>
        </w:rPr>
        <w:t>T</w:t>
      </w:r>
      <w:r w:rsidR="00E12314" w:rsidRPr="000F66B0">
        <w:rPr>
          <w:rFonts w:ascii="Times New Roman" w:hAnsi="Times New Roman" w:cs="Times New Roman"/>
          <w:sz w:val="24"/>
          <w:szCs w:val="24"/>
        </w:rPr>
        <w:t xml:space="preserve">he OP test does not allow </w:t>
      </w:r>
      <w:r w:rsidR="006907E9" w:rsidRPr="000F66B0">
        <w:rPr>
          <w:rFonts w:ascii="Times New Roman" w:hAnsi="Times New Roman" w:cs="Times New Roman"/>
          <w:sz w:val="24"/>
          <w:szCs w:val="24"/>
        </w:rPr>
        <w:t xml:space="preserve">any </w:t>
      </w:r>
      <w:r w:rsidR="00E1304F">
        <w:rPr>
          <w:rFonts w:ascii="Times New Roman" w:hAnsi="Times New Roman" w:cs="Times New Roman"/>
          <w:sz w:val="24"/>
          <w:szCs w:val="24"/>
        </w:rPr>
        <w:t xml:space="preserve">physical </w:t>
      </w:r>
      <w:r w:rsidR="00E12314" w:rsidRPr="000F66B0">
        <w:rPr>
          <w:rFonts w:ascii="Times New Roman" w:hAnsi="Times New Roman" w:cs="Times New Roman"/>
          <w:sz w:val="24"/>
          <w:szCs w:val="24"/>
        </w:rPr>
        <w:t xml:space="preserve">scratch paper on any test nor a handheld calculator for the </w:t>
      </w:r>
      <w:r w:rsidR="00E348D5" w:rsidRPr="000F66B0">
        <w:rPr>
          <w:rFonts w:ascii="Times New Roman" w:hAnsi="Times New Roman" w:cs="Times New Roman"/>
          <w:sz w:val="24"/>
          <w:szCs w:val="24"/>
        </w:rPr>
        <w:t xml:space="preserve">math </w:t>
      </w:r>
      <w:r w:rsidR="00E12314" w:rsidRPr="000F66B0">
        <w:rPr>
          <w:rFonts w:ascii="Times New Roman" w:hAnsi="Times New Roman" w:cs="Times New Roman"/>
          <w:sz w:val="24"/>
          <w:szCs w:val="24"/>
        </w:rPr>
        <w:t xml:space="preserve">test. </w:t>
      </w:r>
      <w:r w:rsidR="00E1304F">
        <w:rPr>
          <w:rFonts w:ascii="Times New Roman" w:hAnsi="Times New Roman" w:cs="Times New Roman"/>
          <w:sz w:val="24"/>
          <w:szCs w:val="24"/>
        </w:rPr>
        <w:t xml:space="preserve">Test takers may only use the onscreen calculator, scratch pad, and whiteboard. </w:t>
      </w:r>
      <w:r w:rsidR="00EC4B3E" w:rsidRPr="000F66B0">
        <w:rPr>
          <w:rFonts w:ascii="Times New Roman" w:hAnsi="Times New Roman" w:cs="Times New Roman"/>
          <w:sz w:val="24"/>
          <w:szCs w:val="24"/>
        </w:rPr>
        <w:t>Students</w:t>
      </w:r>
      <w:r w:rsidR="00E12314" w:rsidRPr="000F66B0">
        <w:rPr>
          <w:rFonts w:ascii="Times New Roman" w:hAnsi="Times New Roman" w:cs="Times New Roman"/>
          <w:sz w:val="24"/>
          <w:szCs w:val="24"/>
        </w:rPr>
        <w:t xml:space="preserve"> </w:t>
      </w:r>
      <w:r w:rsidR="00EC4B3E" w:rsidRPr="000F66B0">
        <w:rPr>
          <w:rFonts w:ascii="Times New Roman" w:hAnsi="Times New Roman" w:cs="Times New Roman"/>
          <w:sz w:val="24"/>
          <w:szCs w:val="24"/>
        </w:rPr>
        <w:t>may</w:t>
      </w:r>
      <w:r w:rsidR="00E12314" w:rsidRPr="000F66B0">
        <w:rPr>
          <w:rFonts w:ascii="Times New Roman" w:hAnsi="Times New Roman" w:cs="Times New Roman"/>
          <w:sz w:val="24"/>
          <w:szCs w:val="24"/>
        </w:rPr>
        <w:t xml:space="preserve"> choose to take tests at </w:t>
      </w:r>
      <w:r w:rsidR="00EC4B3E" w:rsidRPr="000F66B0">
        <w:rPr>
          <w:rFonts w:ascii="Times New Roman" w:hAnsi="Times New Roman" w:cs="Times New Roman"/>
          <w:sz w:val="24"/>
          <w:szCs w:val="24"/>
        </w:rPr>
        <w:t>an in-person</w:t>
      </w:r>
      <w:r w:rsidR="00E12314" w:rsidRPr="000F66B0">
        <w:rPr>
          <w:rFonts w:ascii="Times New Roman" w:hAnsi="Times New Roman" w:cs="Times New Roman"/>
          <w:sz w:val="24"/>
          <w:szCs w:val="24"/>
        </w:rPr>
        <w:t xml:space="preserve"> testing center</w:t>
      </w:r>
      <w:r w:rsidR="00EC4B3E" w:rsidRPr="000F66B0">
        <w:rPr>
          <w:rFonts w:ascii="Times New Roman" w:hAnsi="Times New Roman" w:cs="Times New Roman"/>
          <w:sz w:val="24"/>
          <w:szCs w:val="24"/>
        </w:rPr>
        <w:t>, by OP</w:t>
      </w:r>
      <w:r w:rsidR="00302265" w:rsidRPr="000F66B0">
        <w:rPr>
          <w:rFonts w:ascii="Times New Roman" w:hAnsi="Times New Roman" w:cs="Times New Roman"/>
          <w:sz w:val="24"/>
          <w:szCs w:val="24"/>
        </w:rPr>
        <w:t xml:space="preserve"> format</w:t>
      </w:r>
      <w:r w:rsidR="00EC4B3E" w:rsidRPr="000F66B0">
        <w:rPr>
          <w:rFonts w:ascii="Times New Roman" w:hAnsi="Times New Roman" w:cs="Times New Roman"/>
          <w:sz w:val="24"/>
          <w:szCs w:val="24"/>
        </w:rPr>
        <w:t>,</w:t>
      </w:r>
      <w:r w:rsidR="00E12314" w:rsidRPr="000F66B0">
        <w:rPr>
          <w:rFonts w:ascii="Times New Roman" w:hAnsi="Times New Roman" w:cs="Times New Roman"/>
          <w:sz w:val="24"/>
          <w:szCs w:val="24"/>
        </w:rPr>
        <w:t xml:space="preserve"> </w:t>
      </w:r>
      <w:r w:rsidR="00EC4B3E" w:rsidRPr="000F66B0">
        <w:rPr>
          <w:rFonts w:ascii="Times New Roman" w:hAnsi="Times New Roman" w:cs="Times New Roman"/>
          <w:sz w:val="24"/>
          <w:szCs w:val="24"/>
        </w:rPr>
        <w:t xml:space="preserve">or </w:t>
      </w:r>
      <w:r w:rsidR="00E1304F">
        <w:rPr>
          <w:rFonts w:ascii="Times New Roman" w:hAnsi="Times New Roman" w:cs="Times New Roman"/>
          <w:sz w:val="24"/>
          <w:szCs w:val="24"/>
        </w:rPr>
        <w:t xml:space="preserve">they </w:t>
      </w:r>
      <w:r w:rsidR="00EC4B3E" w:rsidRPr="000F66B0">
        <w:rPr>
          <w:rFonts w:ascii="Times New Roman" w:hAnsi="Times New Roman" w:cs="Times New Roman"/>
          <w:sz w:val="24"/>
          <w:szCs w:val="24"/>
        </w:rPr>
        <w:t>may combine subtest</w:t>
      </w:r>
      <w:r w:rsidR="00E348D5" w:rsidRPr="000F66B0">
        <w:rPr>
          <w:rFonts w:ascii="Times New Roman" w:hAnsi="Times New Roman" w:cs="Times New Roman"/>
          <w:sz w:val="24"/>
          <w:szCs w:val="24"/>
        </w:rPr>
        <w:t xml:space="preserve"> formats</w:t>
      </w:r>
      <w:r w:rsidR="00EC4B3E" w:rsidRPr="000F66B0">
        <w:rPr>
          <w:rStyle w:val="CommentReference"/>
          <w:rFonts w:ascii="Calibri" w:eastAsia="Calibri" w:hAnsi="Calibri" w:cs="Calibri"/>
        </w:rPr>
        <w:t>.</w:t>
      </w:r>
      <w:r w:rsidR="00E12314" w:rsidRPr="000F66B0">
        <w:rPr>
          <w:rFonts w:ascii="Times New Roman" w:hAnsi="Times New Roman" w:cs="Times New Roman"/>
          <w:sz w:val="24"/>
          <w:szCs w:val="24"/>
        </w:rPr>
        <w:t xml:space="preserve"> </w:t>
      </w:r>
    </w:p>
    <w:p w14:paraId="17DCEDF6" w14:textId="77777777" w:rsidR="00E12314" w:rsidRDefault="00E12314" w:rsidP="00E12314">
      <w:pPr>
        <w:pStyle w:val="NoSpacing"/>
        <w:rPr>
          <w:rFonts w:ascii="Times New Roman" w:hAnsi="Times New Roman" w:cs="Times New Roman"/>
          <w:sz w:val="24"/>
          <w:szCs w:val="24"/>
        </w:rPr>
      </w:pPr>
    </w:p>
    <w:p w14:paraId="000001A7" w14:textId="05E0DFEE" w:rsidR="002F3C8D" w:rsidRPr="00B131CA" w:rsidRDefault="00BF5CDA" w:rsidP="00841CC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1CC4">
        <w:rPr>
          <w:rFonts w:ascii="Times New Roman" w:hAnsi="Times New Roman"/>
          <w:b/>
          <w:color w:val="000000"/>
          <w:sz w:val="24"/>
        </w:rPr>
        <w:t>How can teachers learn more about the HSE test and content?</w:t>
      </w:r>
      <w:r w:rsidRPr="00841CC4">
        <w:rPr>
          <w:rFonts w:ascii="Times New Roman" w:hAnsi="Times New Roman"/>
          <w:color w:val="000000"/>
          <w:sz w:val="24"/>
        </w:rPr>
        <w:t> </w:t>
      </w:r>
      <w:r w:rsidR="003B3ED6">
        <w:rPr>
          <w:rFonts w:ascii="Times New Roman" w:hAnsi="Times New Roman"/>
          <w:color w:val="000000"/>
          <w:sz w:val="24"/>
        </w:rPr>
        <w:t xml:space="preserve">Teachers and program administrators are </w:t>
      </w:r>
      <w:r w:rsidR="00BC1B65">
        <w:rPr>
          <w:rFonts w:ascii="Times New Roman" w:hAnsi="Times New Roman"/>
          <w:color w:val="000000"/>
          <w:sz w:val="24"/>
        </w:rPr>
        <w:t xml:space="preserve">encouraged </w:t>
      </w:r>
      <w:r w:rsidR="00BC1B65" w:rsidRPr="00B131CA">
        <w:rPr>
          <w:rFonts w:ascii="Times New Roman" w:eastAsia="Times New Roman" w:hAnsi="Times New Roman" w:cs="Times New Roman"/>
          <w:color w:val="000000"/>
          <w:sz w:val="24"/>
          <w:szCs w:val="24"/>
        </w:rPr>
        <w:t>to</w:t>
      </w:r>
      <w:r w:rsidRPr="00B131CA">
        <w:rPr>
          <w:rFonts w:ascii="Times New Roman" w:eastAsia="Times New Roman" w:hAnsi="Times New Roman" w:cs="Times New Roman"/>
          <w:color w:val="000000"/>
          <w:sz w:val="24"/>
          <w:szCs w:val="24"/>
        </w:rPr>
        <w:t xml:space="preserve"> visit</w:t>
      </w:r>
      <w:r w:rsidRPr="00B131CA">
        <w:rPr>
          <w:rFonts w:ascii="Times New Roman" w:eastAsia="Times New Roman" w:hAnsi="Times New Roman" w:cs="Times New Roman"/>
          <w:sz w:val="24"/>
          <w:szCs w:val="24"/>
        </w:rPr>
        <w:t xml:space="preserve"> the</w:t>
      </w:r>
      <w:r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sz w:val="24"/>
          <w:szCs w:val="24"/>
        </w:rPr>
        <w:t>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w:t>
      </w:r>
      <w:hyperlink r:id="rId67" w:history="1">
        <w:r w:rsidRPr="005D09B5">
          <w:rPr>
            <w:rStyle w:val="Hyperlink"/>
            <w:rFonts w:ascii="Times New Roman" w:eastAsia="Times New Roman" w:hAnsi="Times New Roman" w:cs="Times New Roman"/>
            <w:sz w:val="24"/>
            <w:szCs w:val="24"/>
          </w:rPr>
          <w:t>websit</w:t>
        </w:r>
        <w:r w:rsidR="005D09B5" w:rsidRPr="005D09B5">
          <w:rPr>
            <w:rStyle w:val="Hyperlink"/>
            <w:rFonts w:ascii="Times New Roman" w:eastAsia="Times New Roman" w:hAnsi="Times New Roman" w:cs="Times New Roman"/>
            <w:sz w:val="24"/>
            <w:szCs w:val="24"/>
          </w:rPr>
          <w:t>e</w:t>
        </w:r>
      </w:hyperlink>
      <w:r w:rsidR="005D09B5">
        <w:rPr>
          <w:rFonts w:ascii="Times New Roman" w:eastAsia="Times New Roman" w:hAnsi="Times New Roman" w:cs="Times New Roman"/>
          <w:sz w:val="24"/>
          <w:szCs w:val="24"/>
        </w:rPr>
        <w:t xml:space="preserve"> </w:t>
      </w:r>
      <w:r w:rsidR="00573901">
        <w:rPr>
          <w:rFonts w:ascii="Times New Roman" w:eastAsia="Times New Roman" w:hAnsi="Times New Roman" w:cs="Times New Roman"/>
          <w:color w:val="000000"/>
          <w:sz w:val="24"/>
          <w:szCs w:val="24"/>
        </w:rPr>
        <w:t>to access</w:t>
      </w:r>
      <w:r w:rsidR="00573901"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instructional resources such as subject area study guides, test administration</w:t>
      </w:r>
      <w:r w:rsidR="00520E31">
        <w:rPr>
          <w:rFonts w:ascii="Times New Roman" w:eastAsia="Times New Roman" w:hAnsi="Times New Roman" w:cs="Times New Roman"/>
          <w:color w:val="000000"/>
          <w:sz w:val="24"/>
          <w:szCs w:val="24"/>
        </w:rPr>
        <w:t xml:space="preserve"> guides</w:t>
      </w:r>
      <w:r w:rsidRPr="00B131CA">
        <w:rPr>
          <w:rFonts w:ascii="Times New Roman" w:eastAsia="Times New Roman" w:hAnsi="Times New Roman" w:cs="Times New Roman"/>
          <w:color w:val="000000"/>
          <w:sz w:val="24"/>
          <w:szCs w:val="24"/>
        </w:rPr>
        <w:t xml:space="preserve">, study recommendations, professional development opportunities, and state policies. Teachers can sign up for the free </w:t>
      </w:r>
      <w:r w:rsidRPr="00B131CA">
        <w:rPr>
          <w:rFonts w:ascii="Times New Roman" w:eastAsia="Times New Roman" w:hAnsi="Times New Roman" w:cs="Times New Roman"/>
          <w:i/>
          <w:color w:val="000000"/>
          <w:sz w:val="24"/>
          <w:szCs w:val="24"/>
        </w:rPr>
        <w:t>In Session Educator Newsletter</w:t>
      </w:r>
      <w:r w:rsidRPr="00B131CA">
        <w:rPr>
          <w:rFonts w:ascii="Times New Roman" w:eastAsia="Times New Roman" w:hAnsi="Times New Roman" w:cs="Times New Roman"/>
          <w:color w:val="000000"/>
          <w:sz w:val="24"/>
          <w:szCs w:val="24"/>
        </w:rPr>
        <w:t xml:space="preserve"> at the bottom of any page at the</w:t>
      </w:r>
      <w:r w:rsidR="003B3ED6">
        <w:rPr>
          <w:rFonts w:ascii="Times New Roman" w:eastAsia="Times New Roman" w:hAnsi="Times New Roman" w:cs="Times New Roman"/>
          <w:sz w:val="24"/>
          <w:szCs w:val="24"/>
        </w:rPr>
        <w:t xml:space="preserve"> ged.com</w:t>
      </w:r>
      <w:r w:rsidR="00823FC3">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website</w:t>
      </w:r>
      <w:r w:rsidRPr="00B131CA">
        <w:rPr>
          <w:rFonts w:ascii="Times New Roman" w:eastAsia="Times New Roman" w:hAnsi="Times New Roman" w:cs="Times New Roman"/>
          <w:color w:val="000000"/>
          <w:sz w:val="24"/>
          <w:szCs w:val="24"/>
        </w:rPr>
        <w:t xml:space="preserve">. </w:t>
      </w:r>
      <w:r w:rsidR="00E200B2">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HSE publishers offer professional development for instructors, both online and in-person</w:t>
      </w:r>
      <w:r w:rsidR="00520E31">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at conferences and workshops. Sessions for HSE preparation are offered for teachers of all instructional levels at the annual </w:t>
      </w:r>
      <w:r w:rsidR="00E200B2" w:rsidRPr="00152BDF">
        <w:rPr>
          <w:rFonts w:ascii="Times New Roman" w:hAnsi="Times New Roman"/>
          <w:iCs/>
          <w:sz w:val="24"/>
        </w:rPr>
        <w:t xml:space="preserve">Virginia Association for Adult </w:t>
      </w:r>
      <w:r w:rsidR="00152BDF">
        <w:rPr>
          <w:rFonts w:ascii="Times New Roman" w:hAnsi="Times New Roman"/>
          <w:iCs/>
          <w:sz w:val="24"/>
        </w:rPr>
        <w:t>and</w:t>
      </w:r>
      <w:r w:rsidR="00E200B2" w:rsidRPr="00152BDF">
        <w:rPr>
          <w:rFonts w:ascii="Times New Roman" w:hAnsi="Times New Roman"/>
          <w:iCs/>
          <w:sz w:val="24"/>
        </w:rPr>
        <w:t xml:space="preserve"> Continuing Education</w:t>
      </w:r>
      <w:r w:rsidR="00E200B2" w:rsidRPr="00932B32">
        <w:rPr>
          <w:rFonts w:ascii="Times New Roman" w:hAnsi="Times New Roman"/>
          <w:i/>
          <w:sz w:val="24"/>
        </w:rPr>
        <w:t xml:space="preserve"> </w:t>
      </w:r>
      <w:r w:rsidR="00E200B2">
        <w:rPr>
          <w:rFonts w:ascii="Times New Roman" w:eastAsia="Times New Roman" w:hAnsi="Times New Roman" w:cs="Times New Roman"/>
          <w:color w:val="000000"/>
          <w:sz w:val="24"/>
          <w:szCs w:val="24"/>
        </w:rPr>
        <w:t>(</w:t>
      </w:r>
      <w:r w:rsidR="00BF7386">
        <w:rPr>
          <w:rFonts w:ascii="Times New Roman" w:eastAsia="Times New Roman" w:hAnsi="Times New Roman" w:cs="Times New Roman"/>
          <w:color w:val="000000"/>
          <w:sz w:val="24"/>
          <w:szCs w:val="24"/>
        </w:rPr>
        <w:t>VAACE</w:t>
      </w:r>
      <w:r w:rsidR="00E200B2">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Conference. There is also a national conference held each </w:t>
      </w:r>
      <w:r w:rsidRPr="00B131CA">
        <w:rPr>
          <w:rFonts w:ascii="Times New Roman" w:eastAsia="Times New Roman" w:hAnsi="Times New Roman" w:cs="Times New Roman"/>
          <w:sz w:val="24"/>
          <w:szCs w:val="24"/>
        </w:rPr>
        <w:t xml:space="preserve">year </w:t>
      </w:r>
      <w:r w:rsidRPr="00B131CA">
        <w:rPr>
          <w:rFonts w:ascii="Times New Roman" w:eastAsia="Times New Roman" w:hAnsi="Times New Roman" w:cs="Times New Roman"/>
          <w:color w:val="000000"/>
          <w:sz w:val="24"/>
          <w:szCs w:val="24"/>
        </w:rPr>
        <w:t>when instructors and state administrators convene to learn information first-hand from the HSE provider.</w:t>
      </w:r>
    </w:p>
    <w:p w14:paraId="000001A8" w14:textId="1EFB6390" w:rsidR="002F3C8D" w:rsidRPr="00B131CA" w:rsidRDefault="00BF5CDA" w:rsidP="00841CC4">
      <w:pPr>
        <w:pBdr>
          <w:top w:val="nil"/>
          <w:left w:val="nil"/>
          <w:bottom w:val="nil"/>
          <w:right w:val="nil"/>
          <w:between w:val="nil"/>
        </w:pBdr>
        <w:spacing w:before="200" w:after="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color w:val="000000"/>
          <w:sz w:val="24"/>
          <w:szCs w:val="24"/>
        </w:rPr>
        <w:t xml:space="preserve"> test content is closely aligned with the College and Career Readiness Standards for Adult Education</w:t>
      </w:r>
      <w:r w:rsidR="006907E9">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w:t>
      </w:r>
      <w:r w:rsidR="00BF7386">
        <w:rPr>
          <w:rFonts w:ascii="Times New Roman" w:eastAsia="Times New Roman" w:hAnsi="Times New Roman" w:cs="Times New Roman"/>
          <w:color w:val="000000"/>
          <w:sz w:val="24"/>
          <w:szCs w:val="24"/>
        </w:rPr>
        <w:t>This</w:t>
      </w:r>
      <w:r w:rsidRPr="00B131CA">
        <w:rPr>
          <w:rFonts w:ascii="Times New Roman" w:eastAsia="Times New Roman" w:hAnsi="Times New Roman" w:cs="Times New Roman"/>
          <w:color w:val="000000"/>
          <w:sz w:val="24"/>
          <w:szCs w:val="24"/>
        </w:rPr>
        <w:t xml:space="preserve"> </w:t>
      </w:r>
      <w:hyperlink r:id="rId68" w:history="1">
        <w:r w:rsidRPr="005D09B5">
          <w:rPr>
            <w:rStyle w:val="Hyperlink"/>
            <w:rFonts w:ascii="Times New Roman" w:eastAsia="Times New Roman" w:hAnsi="Times New Roman" w:cs="Times New Roman"/>
            <w:sz w:val="24"/>
            <w:szCs w:val="24"/>
          </w:rPr>
          <w:t>resource</w:t>
        </w:r>
      </w:hyperlink>
      <w:r w:rsidRPr="00B131CA">
        <w:rPr>
          <w:rFonts w:ascii="Times New Roman" w:eastAsia="Times New Roman" w:hAnsi="Times New Roman" w:cs="Times New Roman"/>
          <w:color w:val="000000"/>
          <w:sz w:val="24"/>
          <w:szCs w:val="24"/>
        </w:rPr>
        <w:t xml:space="preserve"> shows a crosswalk between the CCRS and the 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color w:val="000000"/>
          <w:sz w:val="24"/>
          <w:szCs w:val="24"/>
        </w:rPr>
        <w:t xml:space="preserve"> test.</w:t>
      </w:r>
    </w:p>
    <w:p w14:paraId="000001AA" w14:textId="61AE84D4" w:rsidR="002F3C8D" w:rsidRPr="0061577F" w:rsidRDefault="00BF5CDA" w:rsidP="00841CC4">
      <w:pPr>
        <w:pBdr>
          <w:top w:val="nil"/>
          <w:left w:val="nil"/>
          <w:bottom w:val="nil"/>
          <w:right w:val="nil"/>
          <w:between w:val="nil"/>
        </w:pBdr>
        <w:spacing w:before="200" w:after="0" w:line="240" w:lineRule="auto"/>
        <w:rPr>
          <w:rFonts w:ascii="Times New Roman" w:eastAsia="Times New Roman" w:hAnsi="Times New Roman" w:cs="Times New Roman"/>
          <w:b/>
          <w:color w:val="000000"/>
          <w:sz w:val="24"/>
          <w:szCs w:val="24"/>
        </w:rPr>
      </w:pPr>
      <w:r w:rsidRPr="00841CC4">
        <w:rPr>
          <w:rFonts w:ascii="Times New Roman" w:hAnsi="Times New Roman"/>
          <w:b/>
          <w:color w:val="000000"/>
          <w:sz w:val="24"/>
        </w:rPr>
        <w:t>How are tests funded? </w:t>
      </w:r>
      <w:r w:rsidRPr="00B131CA">
        <w:rPr>
          <w:rFonts w:ascii="Times New Roman" w:eastAsia="Times New Roman" w:hAnsi="Times New Roman" w:cs="Times New Roman"/>
          <w:color w:val="000000"/>
          <w:sz w:val="24"/>
          <w:szCs w:val="24"/>
        </w:rPr>
        <w:t>Currently, the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w:t>
      </w:r>
      <w:r w:rsidR="00BC1B65">
        <w:rPr>
          <w:rFonts w:ascii="Times New Roman" w:eastAsia="Times New Roman" w:hAnsi="Times New Roman" w:cs="Times New Roman"/>
          <w:color w:val="000000"/>
          <w:sz w:val="24"/>
          <w:szCs w:val="24"/>
        </w:rPr>
        <w:t>test includes</w:t>
      </w:r>
      <w:r w:rsidR="003B3ED6">
        <w:rPr>
          <w:rFonts w:ascii="Times New Roman" w:eastAsia="Times New Roman" w:hAnsi="Times New Roman" w:cs="Times New Roman"/>
          <w:color w:val="000000"/>
          <w:sz w:val="24"/>
          <w:szCs w:val="24"/>
        </w:rPr>
        <w:t xml:space="preserve"> four subject</w:t>
      </w:r>
      <w:r w:rsidR="00D46496">
        <w:rPr>
          <w:rFonts w:ascii="Times New Roman" w:eastAsia="Times New Roman" w:hAnsi="Times New Roman" w:cs="Times New Roman"/>
          <w:color w:val="000000"/>
          <w:sz w:val="24"/>
          <w:szCs w:val="24"/>
        </w:rPr>
        <w:t xml:space="preserve">s, </w:t>
      </w:r>
      <w:r w:rsidR="0061577F">
        <w:rPr>
          <w:rFonts w:ascii="Times New Roman" w:eastAsia="Times New Roman" w:hAnsi="Times New Roman" w:cs="Times New Roman"/>
          <w:color w:val="000000"/>
          <w:sz w:val="24"/>
          <w:szCs w:val="24"/>
        </w:rPr>
        <w:t>presented as</w:t>
      </w:r>
      <w:r w:rsidR="00D46496">
        <w:rPr>
          <w:rFonts w:ascii="Times New Roman" w:eastAsia="Times New Roman" w:hAnsi="Times New Roman" w:cs="Times New Roman"/>
          <w:color w:val="000000"/>
          <w:sz w:val="24"/>
          <w:szCs w:val="24"/>
        </w:rPr>
        <w:t xml:space="preserve"> separate exams</w:t>
      </w:r>
      <w:r w:rsidRPr="00B131CA">
        <w:rPr>
          <w:rFonts w:ascii="Times New Roman" w:eastAsia="Times New Roman" w:hAnsi="Times New Roman" w:cs="Times New Roman"/>
          <w:color w:val="000000"/>
          <w:sz w:val="24"/>
          <w:szCs w:val="24"/>
        </w:rPr>
        <w:t xml:space="preserve">. </w:t>
      </w:r>
      <w:r w:rsidR="00D46496">
        <w:rPr>
          <w:rFonts w:ascii="Times New Roman" w:eastAsia="Times New Roman" w:hAnsi="Times New Roman" w:cs="Times New Roman"/>
          <w:color w:val="000000"/>
          <w:sz w:val="24"/>
          <w:szCs w:val="24"/>
        </w:rPr>
        <w:t>As of July 1, 2023, the cost of in-person testing per subject is $36. This includes $26 which goes to GEDTS and Pearson and $10 compensation for the testing center.</w:t>
      </w:r>
      <w:r w:rsidR="0061577F">
        <w:rPr>
          <w:rFonts w:ascii="Times New Roman" w:eastAsia="Times New Roman" w:hAnsi="Times New Roman" w:cs="Times New Roman"/>
          <w:color w:val="000000"/>
          <w:sz w:val="24"/>
          <w:szCs w:val="24"/>
        </w:rPr>
        <w:t xml:space="preserve"> </w:t>
      </w:r>
      <w:r w:rsidR="00D46496">
        <w:rPr>
          <w:rFonts w:ascii="Times New Roman" w:eastAsia="Times New Roman" w:hAnsi="Times New Roman" w:cs="Times New Roman"/>
          <w:color w:val="000000"/>
          <w:sz w:val="24"/>
          <w:szCs w:val="24"/>
        </w:rPr>
        <w:t>Currently, the</w:t>
      </w:r>
      <w:r w:rsidR="00C41466">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GEDTS allows </w:t>
      </w:r>
      <w:r w:rsidR="00A151A5">
        <w:rPr>
          <w:rFonts w:ascii="Times New Roman" w:eastAsia="Times New Roman" w:hAnsi="Times New Roman" w:cs="Times New Roman"/>
          <w:color w:val="000000"/>
          <w:sz w:val="24"/>
          <w:szCs w:val="24"/>
        </w:rPr>
        <w:t xml:space="preserve">one </w:t>
      </w:r>
      <w:proofErr w:type="gramStart"/>
      <w:r w:rsidR="00A151A5">
        <w:rPr>
          <w:rFonts w:ascii="Times New Roman" w:eastAsia="Times New Roman" w:hAnsi="Times New Roman" w:cs="Times New Roman"/>
          <w:color w:val="000000"/>
          <w:sz w:val="24"/>
          <w:szCs w:val="24"/>
        </w:rPr>
        <w:t xml:space="preserve">discounted </w:t>
      </w:r>
      <w:r w:rsidRPr="00B131CA">
        <w:rPr>
          <w:rFonts w:ascii="Times New Roman" w:eastAsia="Times New Roman" w:hAnsi="Times New Roman" w:cs="Times New Roman"/>
          <w:color w:val="000000"/>
          <w:sz w:val="24"/>
          <w:szCs w:val="24"/>
        </w:rPr>
        <w:t xml:space="preserve"> retake</w:t>
      </w:r>
      <w:proofErr w:type="gramEnd"/>
      <w:r w:rsidR="00D46496">
        <w:rPr>
          <w:rFonts w:ascii="Times New Roman" w:eastAsia="Times New Roman" w:hAnsi="Times New Roman" w:cs="Times New Roman"/>
          <w:color w:val="000000"/>
          <w:sz w:val="24"/>
          <w:szCs w:val="24"/>
        </w:rPr>
        <w:t xml:space="preserve"> (if taken within 12 months of the initial attempt)</w:t>
      </w:r>
      <w:r w:rsidRPr="00B131CA">
        <w:rPr>
          <w:rFonts w:ascii="Times New Roman" w:eastAsia="Times New Roman" w:hAnsi="Times New Roman" w:cs="Times New Roman"/>
          <w:color w:val="000000"/>
          <w:sz w:val="24"/>
          <w:szCs w:val="24"/>
        </w:rPr>
        <w:t xml:space="preserve">, if </w:t>
      </w:r>
      <w:r w:rsidRPr="00B131CA">
        <w:rPr>
          <w:rFonts w:ascii="Times New Roman" w:eastAsia="Times New Roman" w:hAnsi="Times New Roman" w:cs="Times New Roman"/>
          <w:color w:val="000000"/>
          <w:sz w:val="24"/>
          <w:szCs w:val="24"/>
        </w:rPr>
        <w:lastRenderedPageBreak/>
        <w:t xml:space="preserve">needed, but the examinee must pay the $10 testing center fee for </w:t>
      </w:r>
      <w:r w:rsidR="005033D5">
        <w:rPr>
          <w:rFonts w:ascii="Times New Roman" w:eastAsia="Times New Roman" w:hAnsi="Times New Roman" w:cs="Times New Roman"/>
          <w:color w:val="000000"/>
          <w:sz w:val="24"/>
          <w:szCs w:val="24"/>
        </w:rPr>
        <w:t>each</w:t>
      </w:r>
      <w:r w:rsidR="00A151A5">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retake. The $10 testing center fee helps the testing center offset operational costs, but additional funding is needed to operate a testing center.</w:t>
      </w:r>
      <w:r w:rsidR="00994ED2" w:rsidRPr="00994ED2">
        <w:rPr>
          <w:rFonts w:ascii="Times New Roman" w:eastAsia="Times New Roman" w:hAnsi="Times New Roman" w:cs="Times New Roman"/>
          <w:color w:val="000000"/>
          <w:sz w:val="24"/>
          <w:szCs w:val="24"/>
        </w:rPr>
        <w:t xml:space="preserve"> </w:t>
      </w:r>
      <w:r w:rsidR="00994ED2" w:rsidRPr="00B131CA">
        <w:rPr>
          <w:rFonts w:ascii="Times New Roman" w:eastAsia="Times New Roman" w:hAnsi="Times New Roman" w:cs="Times New Roman"/>
          <w:color w:val="000000"/>
          <w:sz w:val="24"/>
          <w:szCs w:val="24"/>
        </w:rPr>
        <w:t>Programs may use Race to GED</w:t>
      </w:r>
      <w:r w:rsidR="00994ED2" w:rsidRPr="00B131CA">
        <w:rPr>
          <w:rFonts w:ascii="Times New Roman" w:eastAsia="Times New Roman" w:hAnsi="Times New Roman" w:cs="Times New Roman"/>
          <w:color w:val="000000"/>
          <w:sz w:val="24"/>
          <w:szCs w:val="24"/>
          <w:vertAlign w:val="superscript"/>
        </w:rPr>
        <w:t>®</w:t>
      </w:r>
      <w:r w:rsidR="00994ED2" w:rsidRPr="00B131CA">
        <w:rPr>
          <w:rFonts w:ascii="Times New Roman" w:eastAsia="Times New Roman" w:hAnsi="Times New Roman" w:cs="Times New Roman"/>
          <w:color w:val="000000"/>
          <w:sz w:val="24"/>
          <w:szCs w:val="24"/>
        </w:rPr>
        <w:t xml:space="preserve"> funds </w:t>
      </w:r>
      <w:r w:rsidR="00994ED2" w:rsidRPr="001D5588">
        <w:rPr>
          <w:rFonts w:ascii="Times New Roman" w:eastAsia="Times New Roman" w:hAnsi="Times New Roman" w:cs="Times New Roman"/>
          <w:color w:val="000000"/>
          <w:sz w:val="24"/>
          <w:szCs w:val="24"/>
        </w:rPr>
        <w:t>to supplement testing center operation and staffing costs.</w:t>
      </w:r>
      <w:r w:rsidRPr="001D5588">
        <w:rPr>
          <w:rFonts w:ascii="Times New Roman" w:eastAsia="Times New Roman" w:hAnsi="Times New Roman" w:cs="Times New Roman"/>
          <w:color w:val="000000"/>
          <w:sz w:val="24"/>
          <w:szCs w:val="24"/>
        </w:rPr>
        <w:t xml:space="preserve"> </w:t>
      </w:r>
      <w:r w:rsidR="00170516">
        <w:rPr>
          <w:rFonts w:ascii="Times New Roman" w:eastAsia="Times New Roman" w:hAnsi="Times New Roman" w:cs="Times New Roman"/>
          <w:color w:val="000000"/>
          <w:sz w:val="24"/>
          <w:szCs w:val="24"/>
        </w:rPr>
        <w:t xml:space="preserve">The cost of the Online Proctored test is $36 for initial testing and retakes. </w:t>
      </w:r>
      <w:r w:rsidR="00061FD1" w:rsidRPr="00061FD1">
        <w:rPr>
          <w:rFonts w:ascii="Times New Roman" w:eastAsia="Times New Roman" w:hAnsi="Times New Roman" w:cs="Times New Roman"/>
          <w:color w:val="000000"/>
          <w:sz w:val="24"/>
          <w:szCs w:val="24"/>
        </w:rPr>
        <w:t>The testing center receives no funds when a student chooses to take the OP test.</w:t>
      </w:r>
    </w:p>
    <w:p w14:paraId="000001AB" w14:textId="7F2AA92E" w:rsidR="002F3C8D" w:rsidRPr="00B131CA" w:rsidRDefault="00BF5CDA" w:rsidP="00841CC4">
      <w:pPr>
        <w:pBdr>
          <w:top w:val="nil"/>
          <w:left w:val="nil"/>
          <w:bottom w:val="nil"/>
          <w:right w:val="nil"/>
          <w:between w:val="nil"/>
        </w:pBdr>
        <w:spacing w:before="280" w:after="28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Virginia promotes testing by providing vouchers for free HSE testing for enrolled adult education students meeting requirements such as passing the GED Ready</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practice test</w:t>
      </w:r>
      <w:r w:rsidR="005033D5">
        <w:rPr>
          <w:rFonts w:ascii="Times New Roman" w:eastAsia="Times New Roman" w:hAnsi="Times New Roman" w:cs="Times New Roman"/>
          <w:color w:val="000000"/>
          <w:sz w:val="24"/>
          <w:szCs w:val="24"/>
        </w:rPr>
        <w:t xml:space="preserve"> and accruing 12 hours of attendance in an adult education program, including through distance education study</w:t>
      </w:r>
      <w:r w:rsidRPr="00B131CA">
        <w:rPr>
          <w:rFonts w:ascii="Times New Roman" w:eastAsia="Times New Roman" w:hAnsi="Times New Roman" w:cs="Times New Roman"/>
          <w:color w:val="000000"/>
          <w:sz w:val="24"/>
          <w:szCs w:val="24"/>
        </w:rPr>
        <w:t xml:space="preserve">. This incentive is promoted locally by programs and on </w:t>
      </w:r>
      <w:r w:rsidRPr="00B131CA">
        <w:rPr>
          <w:rFonts w:ascii="Times New Roman" w:eastAsia="Times New Roman" w:hAnsi="Times New Roman" w:cs="Times New Roman"/>
          <w:sz w:val="24"/>
          <w:szCs w:val="24"/>
        </w:rPr>
        <w:t>the 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website</w:t>
      </w:r>
      <w:r w:rsidRPr="00B131CA">
        <w:rPr>
          <w:rFonts w:ascii="Times New Roman" w:eastAsia="Times New Roman" w:hAnsi="Times New Roman" w:cs="Times New Roman"/>
          <w:color w:val="000000"/>
          <w:sz w:val="24"/>
          <w:szCs w:val="24"/>
        </w:rPr>
        <w:t>. Race to GED</w:t>
      </w:r>
      <w:r w:rsidRPr="00B131CA">
        <w:rPr>
          <w:rFonts w:ascii="Times New Roman" w:eastAsia="Times New Roman" w:hAnsi="Times New Roman" w:cs="Times New Roman"/>
          <w:color w:val="000000"/>
          <w:sz w:val="24"/>
          <w:szCs w:val="24"/>
          <w:vertAlign w:val="superscript"/>
        </w:rPr>
        <w:t>®</w:t>
      </w:r>
      <w:r w:rsidR="00C47608">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and local funds such as the Tobacco Region Revitalization Commission funds may be used to purchase these vouchers. </w:t>
      </w:r>
    </w:p>
    <w:p w14:paraId="000001AC" w14:textId="46FA767C" w:rsidR="002F3C8D" w:rsidRDefault="00BF5CDA" w:rsidP="00841CC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In 2020, </w:t>
      </w:r>
      <w:r w:rsidR="006B4126">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w:t>
      </w:r>
      <w:r w:rsidR="006B4126">
        <w:rPr>
          <w:rFonts w:ascii="Times New Roman" w:eastAsia="Times New Roman" w:hAnsi="Times New Roman" w:cs="Times New Roman"/>
          <w:sz w:val="24"/>
          <w:szCs w:val="24"/>
        </w:rPr>
        <w:t>communications team</w:t>
      </w:r>
      <w:r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color w:val="000000"/>
          <w:sz w:val="24"/>
          <w:szCs w:val="24"/>
        </w:rPr>
        <w:t xml:space="preserve">provided graphics </w:t>
      </w:r>
      <w:r w:rsidR="005D09B5">
        <w:rPr>
          <w:rFonts w:ascii="Times New Roman" w:eastAsia="Times New Roman" w:hAnsi="Times New Roman" w:cs="Times New Roman"/>
          <w:color w:val="000000"/>
          <w:sz w:val="24"/>
          <w:szCs w:val="24"/>
        </w:rPr>
        <w:t xml:space="preserve">and messaging for this offer </w:t>
      </w:r>
      <w:r w:rsidR="00BF7386">
        <w:rPr>
          <w:rFonts w:ascii="Times New Roman" w:eastAsia="Times New Roman" w:hAnsi="Times New Roman" w:cs="Times New Roman"/>
          <w:color w:val="000000"/>
          <w:sz w:val="24"/>
          <w:szCs w:val="24"/>
        </w:rPr>
        <w:t>that students see when setting up their GED</w:t>
      </w:r>
      <w:r w:rsidR="00BF7386" w:rsidRPr="00152BDF">
        <w:rPr>
          <w:rFonts w:ascii="Times New Roman" w:eastAsia="Times New Roman" w:hAnsi="Times New Roman" w:cs="Times New Roman"/>
          <w:color w:val="000000"/>
          <w:sz w:val="24"/>
          <w:szCs w:val="24"/>
          <w:vertAlign w:val="superscript"/>
        </w:rPr>
        <w:t>®</w:t>
      </w:r>
      <w:r w:rsidR="00BF7386">
        <w:rPr>
          <w:rFonts w:ascii="Times New Roman" w:eastAsia="Times New Roman" w:hAnsi="Times New Roman" w:cs="Times New Roman"/>
          <w:color w:val="000000"/>
          <w:sz w:val="24"/>
          <w:szCs w:val="24"/>
        </w:rPr>
        <w:t xml:space="preserve"> accounts</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color w:val="000000"/>
          <w:sz w:val="24"/>
          <w:szCs w:val="24"/>
        </w:rPr>
        <w:t xml:space="preserve"> When a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account is established indicating Virginia as the jurisdiction</w:t>
      </w:r>
      <w:r w:rsidRPr="00ED22C7">
        <w:rPr>
          <w:rFonts w:ascii="Times New Roman" w:eastAsia="Times New Roman" w:hAnsi="Times New Roman" w:cs="Times New Roman"/>
          <w:color w:val="000000"/>
          <w:sz w:val="24"/>
          <w:szCs w:val="24"/>
        </w:rPr>
        <w:t xml:space="preserve">, </w:t>
      </w:r>
      <w:r w:rsidR="00BF7386" w:rsidRPr="00ED22C7">
        <w:rPr>
          <w:rFonts w:ascii="Times New Roman" w:eastAsia="Times New Roman" w:hAnsi="Times New Roman" w:cs="Times New Roman"/>
          <w:color w:val="000000"/>
          <w:sz w:val="24"/>
          <w:szCs w:val="24"/>
        </w:rPr>
        <w:t xml:space="preserve">this banner and </w:t>
      </w:r>
      <w:r w:rsidRPr="00ED22C7">
        <w:rPr>
          <w:rFonts w:ascii="Times New Roman" w:eastAsia="Times New Roman" w:hAnsi="Times New Roman" w:cs="Times New Roman"/>
          <w:color w:val="000000"/>
          <w:sz w:val="24"/>
          <w:szCs w:val="24"/>
        </w:rPr>
        <w:t>message</w:t>
      </w:r>
      <w:r w:rsidRPr="00B131CA">
        <w:rPr>
          <w:rFonts w:ascii="Times New Roman" w:eastAsia="Times New Roman" w:hAnsi="Times New Roman" w:cs="Times New Roman"/>
          <w:color w:val="000000"/>
          <w:sz w:val="24"/>
          <w:szCs w:val="24"/>
        </w:rPr>
        <w:t xml:space="preserve"> is displayed stating</w:t>
      </w:r>
      <w:r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color w:val="000000"/>
          <w:sz w:val="24"/>
          <w:szCs w:val="24"/>
        </w:rPr>
        <w:t>that individuals may earn a free testing voucher if they meet three requirements:</w:t>
      </w:r>
    </w:p>
    <w:p w14:paraId="11A047B8" w14:textId="77777777" w:rsidR="005E101E" w:rsidRDefault="005E101E" w:rsidP="00841CC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4210CD7" w14:textId="4CEC1B0F" w:rsidR="00BF7386" w:rsidRDefault="00BF7386" w:rsidP="00841CC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44A29">
        <w:rPr>
          <w:noProof/>
        </w:rPr>
        <w:drawing>
          <wp:inline distT="0" distB="0" distL="0" distR="0" wp14:anchorId="5F47183A" wp14:editId="2165BF0F">
            <wp:extent cx="5943600" cy="734695"/>
            <wp:effectExtent l="0" t="0" r="0" b="8255"/>
            <wp:docPr id="1" name="Picture 1" descr="Banner stating Take the GED test for Free, Enroll in an Adult Education Program to get started. Picture of four adul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nner stating Take the GED test for Free, Enroll in an Adult Education Program to get started. Picture of four adults.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43600" cy="734695"/>
                    </a:xfrm>
                    <a:prstGeom prst="rect">
                      <a:avLst/>
                    </a:prstGeom>
                    <a:noFill/>
                    <a:ln>
                      <a:noFill/>
                    </a:ln>
                  </pic:spPr>
                </pic:pic>
              </a:graphicData>
            </a:graphic>
          </wp:inline>
        </w:drawing>
      </w:r>
    </w:p>
    <w:p w14:paraId="18D6F7A7" w14:textId="77777777" w:rsidR="005E101E" w:rsidRPr="00B131CA" w:rsidRDefault="005E101E" w:rsidP="00841CC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1AD" w14:textId="3051A8F6" w:rsidR="002F3C8D" w:rsidRPr="00B131CA" w:rsidRDefault="00BF5CDA" w:rsidP="00022694">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Enroll in an adult education program (which may include distance education options)</w:t>
      </w:r>
      <w:r w:rsidR="00F6458A">
        <w:rPr>
          <w:rFonts w:ascii="Times New Roman" w:eastAsia="Times New Roman" w:hAnsi="Times New Roman" w:cs="Times New Roman"/>
          <w:color w:val="000000"/>
          <w:sz w:val="24"/>
          <w:szCs w:val="24"/>
        </w:rPr>
        <w:t>,</w:t>
      </w:r>
    </w:p>
    <w:p w14:paraId="000001AE" w14:textId="7907C458" w:rsidR="002F3C8D" w:rsidRPr="00B131CA" w:rsidRDefault="00BF5CDA" w:rsidP="00022694">
      <w:pPr>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Participate in and complete at least 12 hours in an adult education program</w:t>
      </w:r>
      <w:r w:rsidR="00F6458A">
        <w:rPr>
          <w:rFonts w:ascii="Times New Roman" w:eastAsia="Times New Roman" w:hAnsi="Times New Roman" w:cs="Times New Roman"/>
          <w:color w:val="000000"/>
          <w:sz w:val="24"/>
          <w:szCs w:val="24"/>
        </w:rPr>
        <w:t>, and</w:t>
      </w:r>
    </w:p>
    <w:p w14:paraId="082E4281" w14:textId="5FE05F47" w:rsidR="00BF7386" w:rsidRDefault="006907E9" w:rsidP="00022694">
      <w:pPr>
        <w:numPr>
          <w:ilvl w:val="0"/>
          <w:numId w:val="37"/>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BF5CDA" w:rsidRPr="00B131CA">
        <w:rPr>
          <w:rFonts w:ascii="Times New Roman" w:eastAsia="Times New Roman" w:hAnsi="Times New Roman" w:cs="Times New Roman"/>
          <w:color w:val="000000"/>
          <w:sz w:val="24"/>
          <w:szCs w:val="24"/>
        </w:rPr>
        <w:t xml:space="preserve">ass </w:t>
      </w:r>
      <w:r w:rsidR="00BF5CDA" w:rsidRPr="00F04203">
        <w:rPr>
          <w:rFonts w:ascii="Times New Roman" w:eastAsia="Times New Roman" w:hAnsi="Times New Roman" w:cs="Times New Roman"/>
          <w:color w:val="000000"/>
          <w:sz w:val="24"/>
          <w:szCs w:val="24"/>
        </w:rPr>
        <w:t>the GED Ready</w:t>
      </w:r>
      <w:r w:rsidR="00BF5CDA" w:rsidRPr="00F04203">
        <w:rPr>
          <w:rFonts w:ascii="Times New Roman" w:eastAsia="Times New Roman" w:hAnsi="Times New Roman" w:cs="Times New Roman"/>
          <w:color w:val="000000"/>
          <w:sz w:val="24"/>
          <w:szCs w:val="24"/>
          <w:vertAlign w:val="superscript"/>
        </w:rPr>
        <w:t>®</w:t>
      </w:r>
      <w:r w:rsidR="00BF5CDA" w:rsidRPr="00F04203">
        <w:rPr>
          <w:rFonts w:ascii="Times New Roman" w:eastAsia="Times New Roman" w:hAnsi="Times New Roman" w:cs="Times New Roman"/>
          <w:color w:val="000000"/>
          <w:sz w:val="24"/>
          <w:szCs w:val="24"/>
        </w:rPr>
        <w:t xml:space="preserve"> official practice test for the GED</w:t>
      </w:r>
      <w:r w:rsidR="00BF5CDA" w:rsidRPr="00F04203">
        <w:rPr>
          <w:rFonts w:ascii="Times New Roman" w:eastAsia="Times New Roman" w:hAnsi="Times New Roman" w:cs="Times New Roman"/>
          <w:sz w:val="24"/>
          <w:szCs w:val="24"/>
          <w:vertAlign w:val="superscript"/>
        </w:rPr>
        <w:t>®</w:t>
      </w:r>
      <w:r w:rsidR="00BF5CDA" w:rsidRPr="00F04203">
        <w:rPr>
          <w:rFonts w:ascii="Times New Roman" w:eastAsia="Times New Roman" w:hAnsi="Times New Roman" w:cs="Times New Roman"/>
          <w:color w:val="000000"/>
          <w:sz w:val="24"/>
          <w:szCs w:val="24"/>
        </w:rPr>
        <w:t xml:space="preserve"> Content Area </w:t>
      </w:r>
      <w:r w:rsidR="00BF5CDA" w:rsidRPr="00F04203">
        <w:rPr>
          <w:rFonts w:ascii="Times New Roman" w:eastAsia="Times New Roman" w:hAnsi="Times New Roman" w:cs="Times New Roman"/>
          <w:sz w:val="24"/>
          <w:szCs w:val="24"/>
        </w:rPr>
        <w:t>t</w:t>
      </w:r>
      <w:r w:rsidR="00BF5CDA" w:rsidRPr="00F04203">
        <w:rPr>
          <w:rFonts w:ascii="Times New Roman" w:eastAsia="Times New Roman" w:hAnsi="Times New Roman" w:cs="Times New Roman"/>
          <w:color w:val="000000"/>
          <w:sz w:val="24"/>
          <w:szCs w:val="24"/>
        </w:rPr>
        <w:t>est (</w:t>
      </w:r>
      <w:r w:rsidR="00A655C0">
        <w:rPr>
          <w:rFonts w:ascii="Times New Roman" w:eastAsia="Times New Roman" w:hAnsi="Times New Roman" w:cs="Times New Roman"/>
          <w:color w:val="000000"/>
          <w:sz w:val="24"/>
          <w:szCs w:val="24"/>
        </w:rPr>
        <w:t>s</w:t>
      </w:r>
      <w:r w:rsidR="00BF5CDA" w:rsidRPr="00F04203">
        <w:rPr>
          <w:rFonts w:ascii="Times New Roman" w:eastAsia="Times New Roman" w:hAnsi="Times New Roman" w:cs="Times New Roman"/>
          <w:color w:val="000000"/>
          <w:sz w:val="24"/>
          <w:szCs w:val="24"/>
        </w:rPr>
        <w:t>core ‘Green’)</w:t>
      </w:r>
      <w:r w:rsidR="00BF5CDA" w:rsidRPr="00B131CA">
        <w:rPr>
          <w:rFonts w:ascii="Times New Roman" w:eastAsia="Times New Roman" w:hAnsi="Times New Roman" w:cs="Times New Roman"/>
          <w:color w:val="000000"/>
          <w:sz w:val="24"/>
          <w:szCs w:val="24"/>
        </w:rPr>
        <w:t xml:space="preserve"> for which a voucher is needed to test.</w:t>
      </w:r>
    </w:p>
    <w:p w14:paraId="3DB41B3B" w14:textId="4F100C06" w:rsidR="00BF7386" w:rsidRPr="00BF7386" w:rsidRDefault="00BF7386" w:rsidP="00BF7386">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new campaign began in February 2022 entitled, “Just 1 to Go,” targeting those individuals who have only one test remaining to take and pass to earn a high school equivalency credential. The VALRC developed a </w:t>
      </w:r>
      <w:hyperlink r:id="rId70" w:history="1">
        <w:r w:rsidRPr="00291FF0">
          <w:rPr>
            <w:rStyle w:val="Hyperlink"/>
            <w:rFonts w:ascii="Times New Roman" w:eastAsia="Times New Roman" w:hAnsi="Times New Roman" w:cs="Times New Roman"/>
            <w:sz w:val="24"/>
            <w:szCs w:val="24"/>
          </w:rPr>
          <w:t>toolkit</w:t>
        </w:r>
      </w:hyperlink>
      <w:r>
        <w:rPr>
          <w:rFonts w:ascii="Times New Roman" w:eastAsia="Times New Roman" w:hAnsi="Times New Roman" w:cs="Times New Roman"/>
          <w:color w:val="000000"/>
          <w:sz w:val="24"/>
          <w:szCs w:val="24"/>
        </w:rPr>
        <w:t xml:space="preserve"> for use by the field that includes the campaign logo, graphic files, and</w:t>
      </w:r>
      <w:r w:rsidR="00F030E9">
        <w:rPr>
          <w:rFonts w:ascii="Times New Roman" w:eastAsia="Times New Roman" w:hAnsi="Times New Roman" w:cs="Times New Roman"/>
          <w:color w:val="000000"/>
          <w:sz w:val="24"/>
          <w:szCs w:val="24"/>
        </w:rPr>
        <w:t xml:space="preserve"> email and social media messages. This is an ongoing campaign to encourage Virginia test takers to return to adult education and complete their HSE testing.</w:t>
      </w:r>
    </w:p>
    <w:p w14:paraId="000001B1" w14:textId="3A138E4D" w:rsidR="002F3C8D" w:rsidRPr="00B131CA" w:rsidRDefault="00BF5CDA" w:rsidP="006B4126">
      <w:pPr>
        <w:pBdr>
          <w:top w:val="nil"/>
          <w:left w:val="nil"/>
          <w:bottom w:val="nil"/>
          <w:right w:val="nil"/>
          <w:between w:val="nil"/>
        </w:pBdr>
        <w:spacing w:after="150" w:line="240" w:lineRule="auto"/>
        <w:rPr>
          <w:rFonts w:ascii="Times New Roman" w:eastAsia="Times New Roman" w:hAnsi="Times New Roman" w:cs="Times New Roman"/>
          <w:color w:val="000000"/>
          <w:sz w:val="24"/>
          <w:szCs w:val="24"/>
        </w:rPr>
      </w:pPr>
      <w:r w:rsidRPr="00841CC4">
        <w:rPr>
          <w:rFonts w:ascii="Times New Roman" w:hAnsi="Times New Roman"/>
          <w:b/>
          <w:color w:val="000000"/>
          <w:sz w:val="24"/>
        </w:rPr>
        <w:t xml:space="preserve">How do students </w:t>
      </w:r>
      <w:r w:rsidR="00F030E9">
        <w:rPr>
          <w:rFonts w:ascii="Times New Roman" w:hAnsi="Times New Roman"/>
          <w:b/>
          <w:color w:val="000000"/>
          <w:sz w:val="24"/>
        </w:rPr>
        <w:t>receive</w:t>
      </w:r>
      <w:r w:rsidR="00F030E9" w:rsidRPr="00841CC4">
        <w:rPr>
          <w:rFonts w:ascii="Times New Roman" w:hAnsi="Times New Roman"/>
          <w:b/>
          <w:color w:val="000000"/>
          <w:sz w:val="24"/>
        </w:rPr>
        <w:t xml:space="preserve"> </w:t>
      </w:r>
      <w:r w:rsidRPr="00841CC4">
        <w:rPr>
          <w:rFonts w:ascii="Times New Roman" w:hAnsi="Times New Roman"/>
          <w:b/>
          <w:color w:val="000000"/>
          <w:sz w:val="24"/>
        </w:rPr>
        <w:t>their HSE certificate? </w:t>
      </w:r>
      <w:r w:rsidRPr="00B131CA">
        <w:rPr>
          <w:rFonts w:ascii="Times New Roman" w:eastAsia="Times New Roman" w:hAnsi="Times New Roman" w:cs="Times New Roman"/>
          <w:color w:val="000000"/>
          <w:sz w:val="24"/>
          <w:szCs w:val="24"/>
          <w:highlight w:val="white"/>
        </w:rPr>
        <w:t xml:space="preserve">When individuals successfully complete the </w:t>
      </w:r>
      <w:r w:rsidRPr="00B131CA">
        <w:rPr>
          <w:rFonts w:ascii="Times New Roman" w:eastAsia="Times New Roman" w:hAnsi="Times New Roman" w:cs="Times New Roman"/>
          <w:color w:val="000000"/>
          <w:sz w:val="24"/>
          <w:szCs w:val="24"/>
        </w:rPr>
        <w:t>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test</w:t>
      </w:r>
      <w:r w:rsidRPr="00B131CA">
        <w:rPr>
          <w:rFonts w:ascii="Times New Roman" w:eastAsia="Times New Roman" w:hAnsi="Times New Roman" w:cs="Times New Roman"/>
          <w:color w:val="000000"/>
          <w:sz w:val="24"/>
          <w:szCs w:val="24"/>
          <w:highlight w:val="white"/>
        </w:rPr>
        <w:t>, they receive a congratulatory email that includes a</w:t>
      </w:r>
      <w:r w:rsidR="00A151A5">
        <w:rPr>
          <w:rFonts w:ascii="Times New Roman" w:eastAsia="Times New Roman" w:hAnsi="Times New Roman" w:cs="Times New Roman"/>
          <w:color w:val="000000"/>
          <w:sz w:val="24"/>
          <w:szCs w:val="24"/>
          <w:highlight w:val="white"/>
        </w:rPr>
        <w:t xml:space="preserve"> link to download a</w:t>
      </w:r>
      <w:r w:rsidRPr="00B131CA">
        <w:rPr>
          <w:rFonts w:ascii="Times New Roman" w:eastAsia="Times New Roman" w:hAnsi="Times New Roman" w:cs="Times New Roman"/>
          <w:color w:val="000000"/>
          <w:sz w:val="24"/>
          <w:szCs w:val="24"/>
          <w:highlight w:val="white"/>
        </w:rPr>
        <w:t xml:space="preserve">n electronic transcript and </w:t>
      </w:r>
      <w:r w:rsidR="00597EAA">
        <w:rPr>
          <w:rFonts w:ascii="Times New Roman" w:eastAsia="Times New Roman" w:hAnsi="Times New Roman" w:cs="Times New Roman"/>
          <w:color w:val="000000"/>
          <w:sz w:val="24"/>
          <w:szCs w:val="24"/>
          <w:highlight w:val="white"/>
        </w:rPr>
        <w:t xml:space="preserve">digital certificate. Graduates must request a physical printed certificate; it is not automatically mailed. </w:t>
      </w:r>
    </w:p>
    <w:p w14:paraId="543301B8" w14:textId="019F1749" w:rsidR="00B93665" w:rsidRPr="00B93665" w:rsidRDefault="00BF5CDA" w:rsidP="0011431D">
      <w:pPr>
        <w:pBdr>
          <w:top w:val="nil"/>
          <w:left w:val="nil"/>
          <w:bottom w:val="nil"/>
          <w:right w:val="nil"/>
          <w:between w:val="nil"/>
        </w:pBdr>
        <w:spacing w:after="150" w:line="240" w:lineRule="auto"/>
        <w:rPr>
          <w:rFonts w:ascii="Times New Roman" w:eastAsia="Times New Roman" w:hAnsi="Times New Roman" w:cs="Times New Roman"/>
          <w:color w:val="000000"/>
          <w:sz w:val="24"/>
          <w:szCs w:val="24"/>
          <w:lang w:val="en"/>
        </w:rPr>
      </w:pPr>
      <w:r w:rsidRPr="00B131CA">
        <w:rPr>
          <w:rFonts w:ascii="Times New Roman" w:eastAsia="Times New Roman" w:hAnsi="Times New Roman" w:cs="Times New Roman"/>
          <w:color w:val="000000"/>
          <w:sz w:val="24"/>
          <w:szCs w:val="24"/>
        </w:rPr>
        <w:t xml:space="preserve">The VDOE no longer provides </w:t>
      </w:r>
      <w:r w:rsidR="004A0FE0">
        <w:rPr>
          <w:rFonts w:ascii="Times New Roman" w:eastAsia="Times New Roman" w:hAnsi="Times New Roman" w:cs="Times New Roman"/>
          <w:color w:val="000000"/>
          <w:sz w:val="24"/>
          <w:szCs w:val="24"/>
        </w:rPr>
        <w:t xml:space="preserve">replacement </w:t>
      </w:r>
      <w:r w:rsidRPr="00B131CA">
        <w:rPr>
          <w:rFonts w:ascii="Times New Roman" w:eastAsia="Times New Roman" w:hAnsi="Times New Roman" w:cs="Times New Roman"/>
          <w:color w:val="000000"/>
          <w:sz w:val="24"/>
          <w:szCs w:val="24"/>
        </w:rPr>
        <w:t>copies of HSE transcripts or certificates but</w:t>
      </w:r>
      <w:r w:rsidR="00C41466">
        <w:rPr>
          <w:rFonts w:ascii="Times New Roman" w:eastAsia="Times New Roman" w:hAnsi="Times New Roman" w:cs="Times New Roman"/>
          <w:color w:val="000000"/>
          <w:sz w:val="24"/>
          <w:szCs w:val="24"/>
        </w:rPr>
        <w:t xml:space="preserve"> instead</w:t>
      </w:r>
      <w:r w:rsidRPr="00B131CA">
        <w:rPr>
          <w:rFonts w:ascii="Times New Roman" w:eastAsia="Times New Roman" w:hAnsi="Times New Roman" w:cs="Times New Roman"/>
          <w:color w:val="000000"/>
          <w:sz w:val="24"/>
          <w:szCs w:val="24"/>
        </w:rPr>
        <w:t xml:space="preserve"> uses </w:t>
      </w:r>
      <w:r w:rsidR="00C41466">
        <w:rPr>
          <w:rFonts w:ascii="Times New Roman" w:eastAsia="Times New Roman" w:hAnsi="Times New Roman" w:cs="Times New Roman"/>
          <w:color w:val="000000"/>
          <w:sz w:val="24"/>
          <w:szCs w:val="24"/>
        </w:rPr>
        <w:t>the</w:t>
      </w:r>
      <w:r w:rsidR="00C41466" w:rsidRPr="00B131CA">
        <w:rPr>
          <w:rFonts w:ascii="Times New Roman" w:eastAsia="Times New Roman" w:hAnsi="Times New Roman" w:cs="Times New Roman"/>
          <w:color w:val="000000"/>
          <w:sz w:val="24"/>
          <w:szCs w:val="24"/>
        </w:rPr>
        <w:t xml:space="preserve"> Parchment </w:t>
      </w:r>
      <w:r w:rsidRPr="00B131CA">
        <w:rPr>
          <w:rFonts w:ascii="Times New Roman" w:eastAsia="Times New Roman" w:hAnsi="Times New Roman" w:cs="Times New Roman"/>
          <w:color w:val="000000"/>
          <w:sz w:val="24"/>
          <w:szCs w:val="24"/>
        </w:rPr>
        <w:t xml:space="preserve">credentialing service. If </w:t>
      </w:r>
      <w:r w:rsidR="00CA7FD5">
        <w:rPr>
          <w:rFonts w:ascii="Times New Roman" w:eastAsia="Times New Roman" w:hAnsi="Times New Roman" w:cs="Times New Roman"/>
          <w:color w:val="000000"/>
          <w:sz w:val="24"/>
          <w:szCs w:val="24"/>
        </w:rPr>
        <w:t>test takers</w:t>
      </w:r>
      <w:r w:rsidR="00CA7FD5"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need a duplicate copy of their HSE credentials for postsecondary institutions or employers, they should go to</w:t>
      </w:r>
      <w:r w:rsidR="005D09B5">
        <w:rPr>
          <w:rFonts w:ascii="Times New Roman" w:eastAsia="Times New Roman" w:hAnsi="Times New Roman" w:cs="Times New Roman"/>
          <w:color w:val="000000"/>
          <w:sz w:val="24"/>
          <w:szCs w:val="24"/>
        </w:rPr>
        <w:t xml:space="preserve"> the GED</w:t>
      </w:r>
      <w:r w:rsidR="00F940C7" w:rsidRPr="001D01ED">
        <w:rPr>
          <w:rFonts w:ascii="Times New Roman" w:eastAsia="Times New Roman" w:hAnsi="Times New Roman" w:cs="Times New Roman"/>
          <w:color w:val="000000"/>
          <w:sz w:val="24"/>
          <w:szCs w:val="24"/>
          <w:vertAlign w:val="superscript"/>
        </w:rPr>
        <w:t>®</w:t>
      </w:r>
      <w:r w:rsidR="005D09B5">
        <w:rPr>
          <w:rFonts w:ascii="Times New Roman" w:eastAsia="Times New Roman" w:hAnsi="Times New Roman" w:cs="Times New Roman"/>
          <w:color w:val="000000"/>
          <w:sz w:val="24"/>
          <w:szCs w:val="24"/>
        </w:rPr>
        <w:t xml:space="preserve"> </w:t>
      </w:r>
      <w:hyperlink r:id="rId71" w:history="1">
        <w:r w:rsidR="005D09B5" w:rsidRPr="005D09B5">
          <w:rPr>
            <w:rStyle w:val="Hyperlink"/>
            <w:rFonts w:ascii="Times New Roman" w:eastAsia="Times New Roman" w:hAnsi="Times New Roman" w:cs="Times New Roman"/>
            <w:sz w:val="24"/>
            <w:szCs w:val="24"/>
          </w:rPr>
          <w:t>website</w:t>
        </w:r>
      </w:hyperlink>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color w:val="000000"/>
          <w:sz w:val="24"/>
          <w:szCs w:val="24"/>
        </w:rPr>
        <w:t xml:space="preserve"> </w:t>
      </w:r>
      <w:r w:rsidR="00D46496">
        <w:rPr>
          <w:rFonts w:ascii="Times New Roman" w:eastAsia="Times New Roman" w:hAnsi="Times New Roman" w:cs="Times New Roman"/>
          <w:color w:val="000000"/>
          <w:sz w:val="24"/>
          <w:szCs w:val="24"/>
        </w:rPr>
        <w:t xml:space="preserve">select </w:t>
      </w:r>
      <w:r w:rsidRPr="00B131CA">
        <w:rPr>
          <w:rFonts w:ascii="Times New Roman" w:eastAsia="Times New Roman" w:hAnsi="Times New Roman" w:cs="Times New Roman"/>
          <w:color w:val="000000"/>
          <w:sz w:val="24"/>
          <w:szCs w:val="24"/>
        </w:rPr>
        <w:t>“Grads and Transcripts,” and follow the steps indicated. Users may order an electronic copy and/or a</w:t>
      </w:r>
      <w:r w:rsidR="005033D5">
        <w:rPr>
          <w:rFonts w:ascii="Times New Roman" w:eastAsia="Times New Roman" w:hAnsi="Times New Roman" w:cs="Times New Roman"/>
          <w:color w:val="000000"/>
          <w:sz w:val="24"/>
          <w:szCs w:val="24"/>
        </w:rPr>
        <w:t xml:space="preserve"> </w:t>
      </w:r>
      <w:r w:rsidR="00597EAA">
        <w:rPr>
          <w:rFonts w:ascii="Times New Roman" w:eastAsia="Times New Roman" w:hAnsi="Times New Roman" w:cs="Times New Roman"/>
          <w:color w:val="000000"/>
          <w:sz w:val="24"/>
          <w:szCs w:val="24"/>
        </w:rPr>
        <w:t xml:space="preserve">physical </w:t>
      </w:r>
      <w:r w:rsidRPr="00B131CA">
        <w:rPr>
          <w:rFonts w:ascii="Times New Roman" w:eastAsia="Times New Roman" w:hAnsi="Times New Roman" w:cs="Times New Roman"/>
          <w:color w:val="000000"/>
          <w:sz w:val="24"/>
          <w:szCs w:val="24"/>
        </w:rPr>
        <w:t>copy and have the credential sent to their requested recipient. </w:t>
      </w:r>
      <w:r w:rsidR="00597EAA">
        <w:rPr>
          <w:rFonts w:ascii="Times New Roman" w:eastAsia="Times New Roman" w:hAnsi="Times New Roman" w:cs="Times New Roman"/>
          <w:color w:val="000000"/>
          <w:sz w:val="24"/>
          <w:szCs w:val="24"/>
        </w:rPr>
        <w:t xml:space="preserve">Beginning September 3, 2024, </w:t>
      </w:r>
      <w:r w:rsidR="00B93665">
        <w:rPr>
          <w:rFonts w:ascii="Times New Roman" w:eastAsia="Times New Roman" w:hAnsi="Times New Roman" w:cs="Times New Roman"/>
          <w:color w:val="000000"/>
          <w:sz w:val="24"/>
          <w:szCs w:val="24"/>
        </w:rPr>
        <w:t>GE</w:t>
      </w:r>
      <w:r w:rsidR="008D3276">
        <w:rPr>
          <w:rFonts w:ascii="Times New Roman" w:eastAsia="Times New Roman" w:hAnsi="Times New Roman" w:cs="Times New Roman"/>
          <w:color w:val="000000"/>
          <w:sz w:val="24"/>
          <w:szCs w:val="24"/>
        </w:rPr>
        <w:t>D</w:t>
      </w:r>
      <w:r w:rsidR="008D3276" w:rsidRPr="008D3276">
        <w:rPr>
          <w:rFonts w:ascii="Times New Roman" w:eastAsia="Times New Roman" w:hAnsi="Times New Roman" w:cs="Times New Roman"/>
          <w:color w:val="000000"/>
          <w:sz w:val="24"/>
          <w:szCs w:val="24"/>
          <w:vertAlign w:val="superscript"/>
          <w:lang w:val="en"/>
        </w:rPr>
        <w:t>®</w:t>
      </w:r>
      <w:r w:rsidR="008D3276">
        <w:rPr>
          <w:rFonts w:ascii="Times New Roman" w:eastAsia="Times New Roman" w:hAnsi="Times New Roman" w:cs="Times New Roman"/>
          <w:color w:val="000000"/>
          <w:sz w:val="24"/>
          <w:szCs w:val="24"/>
          <w:vertAlign w:val="superscript"/>
          <w:lang w:val="en"/>
        </w:rPr>
        <w:t xml:space="preserve"> </w:t>
      </w:r>
      <w:r w:rsidR="00597EAA">
        <w:rPr>
          <w:rFonts w:ascii="Times New Roman" w:eastAsia="Times New Roman" w:hAnsi="Times New Roman" w:cs="Times New Roman"/>
          <w:color w:val="000000"/>
          <w:sz w:val="24"/>
          <w:szCs w:val="24"/>
        </w:rPr>
        <w:t>credentialing fees</w:t>
      </w:r>
      <w:r w:rsidR="008D3276">
        <w:rPr>
          <w:rFonts w:ascii="Times New Roman" w:eastAsia="Times New Roman" w:hAnsi="Times New Roman" w:cs="Times New Roman"/>
          <w:color w:val="000000"/>
          <w:sz w:val="24"/>
          <w:szCs w:val="24"/>
        </w:rPr>
        <w:t xml:space="preserve"> will increase</w:t>
      </w:r>
      <w:r w:rsidR="00597EAA">
        <w:rPr>
          <w:rFonts w:ascii="Times New Roman" w:eastAsia="Times New Roman" w:hAnsi="Times New Roman" w:cs="Times New Roman"/>
          <w:color w:val="000000"/>
          <w:sz w:val="24"/>
          <w:szCs w:val="24"/>
        </w:rPr>
        <w:t xml:space="preserve">. </w:t>
      </w:r>
      <w:r w:rsidR="00B93665" w:rsidRPr="00B93665">
        <w:rPr>
          <w:rFonts w:ascii="Times New Roman" w:eastAsia="Times New Roman" w:hAnsi="Times New Roman" w:cs="Times New Roman"/>
          <w:color w:val="000000"/>
          <w:sz w:val="24"/>
          <w:szCs w:val="24"/>
          <w:lang w:val="en"/>
        </w:rPr>
        <w:t xml:space="preserve">Initial </w:t>
      </w:r>
      <w:r w:rsidR="005033D5">
        <w:rPr>
          <w:rFonts w:ascii="Times New Roman" w:eastAsia="Times New Roman" w:hAnsi="Times New Roman" w:cs="Times New Roman"/>
          <w:color w:val="000000"/>
          <w:sz w:val="24"/>
          <w:szCs w:val="24"/>
          <w:lang w:val="en"/>
        </w:rPr>
        <w:t xml:space="preserve">digital </w:t>
      </w:r>
      <w:r w:rsidR="00B93665" w:rsidRPr="00B93665">
        <w:rPr>
          <w:rFonts w:ascii="Times New Roman" w:eastAsia="Times New Roman" w:hAnsi="Times New Roman" w:cs="Times New Roman"/>
          <w:color w:val="000000"/>
          <w:sz w:val="24"/>
          <w:szCs w:val="24"/>
          <w:lang w:val="en"/>
        </w:rPr>
        <w:t>certificates and transcripts will continue to be provided, free of charge to new GED</w:t>
      </w:r>
      <w:bookmarkStart w:id="37" w:name="_Hlk173159620"/>
      <w:r w:rsidR="00B93665" w:rsidRPr="00B93665">
        <w:rPr>
          <w:rFonts w:ascii="Times New Roman" w:eastAsia="Times New Roman" w:hAnsi="Times New Roman" w:cs="Times New Roman"/>
          <w:color w:val="000000"/>
          <w:sz w:val="24"/>
          <w:szCs w:val="24"/>
          <w:vertAlign w:val="superscript"/>
          <w:lang w:val="en"/>
        </w:rPr>
        <w:t>®</w:t>
      </w:r>
      <w:bookmarkEnd w:id="37"/>
      <w:r w:rsidR="00B93665" w:rsidRPr="00B93665">
        <w:rPr>
          <w:rFonts w:ascii="Times New Roman" w:eastAsia="Times New Roman" w:hAnsi="Times New Roman" w:cs="Times New Roman"/>
          <w:color w:val="000000"/>
          <w:sz w:val="24"/>
          <w:szCs w:val="24"/>
          <w:lang w:val="en"/>
        </w:rPr>
        <w:t xml:space="preserve"> </w:t>
      </w:r>
      <w:r w:rsidR="008D3276">
        <w:rPr>
          <w:rFonts w:ascii="Times New Roman" w:eastAsia="Times New Roman" w:hAnsi="Times New Roman" w:cs="Times New Roman"/>
          <w:color w:val="000000"/>
          <w:sz w:val="24"/>
          <w:szCs w:val="24"/>
          <w:lang w:val="en"/>
        </w:rPr>
        <w:t>graduates</w:t>
      </w:r>
      <w:r w:rsidR="00B93665" w:rsidRPr="00B93665">
        <w:rPr>
          <w:rFonts w:ascii="Times New Roman" w:eastAsia="Times New Roman" w:hAnsi="Times New Roman" w:cs="Times New Roman"/>
          <w:color w:val="000000"/>
          <w:sz w:val="24"/>
          <w:szCs w:val="24"/>
          <w:lang w:val="en"/>
        </w:rPr>
        <w:t>. However, a $10 administrative fee (plus applicable shipping fees) will be charged for the initial printed</w:t>
      </w:r>
      <w:r w:rsidR="005033D5">
        <w:rPr>
          <w:rFonts w:ascii="Times New Roman" w:eastAsia="Times New Roman" w:hAnsi="Times New Roman" w:cs="Times New Roman"/>
          <w:color w:val="000000"/>
          <w:sz w:val="24"/>
          <w:szCs w:val="24"/>
          <w:lang w:val="en"/>
        </w:rPr>
        <w:t xml:space="preserve"> </w:t>
      </w:r>
      <w:r w:rsidR="00B93665" w:rsidRPr="00B93665">
        <w:rPr>
          <w:rFonts w:ascii="Times New Roman" w:eastAsia="Times New Roman" w:hAnsi="Times New Roman" w:cs="Times New Roman"/>
          <w:color w:val="000000"/>
          <w:sz w:val="24"/>
          <w:szCs w:val="24"/>
          <w:lang w:val="en"/>
        </w:rPr>
        <w:t xml:space="preserve">physical </w:t>
      </w:r>
      <w:r w:rsidR="00B93665" w:rsidRPr="00B93665">
        <w:rPr>
          <w:rFonts w:ascii="Times New Roman" w:eastAsia="Times New Roman" w:hAnsi="Times New Roman" w:cs="Times New Roman"/>
          <w:color w:val="000000"/>
          <w:sz w:val="24"/>
          <w:szCs w:val="24"/>
          <w:lang w:val="en"/>
        </w:rPr>
        <w:lastRenderedPageBreak/>
        <w:t>certificate, if ordered.</w:t>
      </w:r>
      <w:r w:rsidR="00B93665">
        <w:rPr>
          <w:rFonts w:ascii="Times New Roman" w:eastAsia="Times New Roman" w:hAnsi="Times New Roman" w:cs="Times New Roman"/>
          <w:color w:val="000000"/>
          <w:sz w:val="24"/>
          <w:szCs w:val="24"/>
          <w:lang w:val="en"/>
        </w:rPr>
        <w:t xml:space="preserve"> </w:t>
      </w:r>
      <w:r w:rsidR="00B93665" w:rsidRPr="00B93665">
        <w:rPr>
          <w:rFonts w:ascii="Times New Roman" w:eastAsia="Times New Roman" w:hAnsi="Times New Roman" w:cs="Times New Roman"/>
          <w:color w:val="000000"/>
          <w:sz w:val="24"/>
          <w:szCs w:val="24"/>
          <w:lang w:val="en"/>
        </w:rPr>
        <w:t xml:space="preserve">The price of </w:t>
      </w:r>
      <w:r w:rsidR="00B93665">
        <w:rPr>
          <w:rFonts w:ascii="Times New Roman" w:eastAsia="Times New Roman" w:hAnsi="Times New Roman" w:cs="Times New Roman"/>
          <w:color w:val="000000"/>
          <w:sz w:val="24"/>
          <w:szCs w:val="24"/>
          <w:lang w:val="en"/>
        </w:rPr>
        <w:t>replacement</w:t>
      </w:r>
      <w:r w:rsidR="00B93665" w:rsidRPr="00B93665">
        <w:rPr>
          <w:rFonts w:ascii="Times New Roman" w:eastAsia="Times New Roman" w:hAnsi="Times New Roman" w:cs="Times New Roman"/>
          <w:color w:val="000000"/>
          <w:sz w:val="24"/>
          <w:szCs w:val="24"/>
          <w:lang w:val="en"/>
        </w:rPr>
        <w:t xml:space="preserve"> certificates and transcripts (printed and </w:t>
      </w:r>
      <w:r w:rsidR="005033D5">
        <w:rPr>
          <w:rFonts w:ascii="Times New Roman" w:eastAsia="Times New Roman" w:hAnsi="Times New Roman" w:cs="Times New Roman"/>
          <w:color w:val="000000"/>
          <w:sz w:val="24"/>
          <w:szCs w:val="24"/>
          <w:lang w:val="en"/>
        </w:rPr>
        <w:t>digital</w:t>
      </w:r>
      <w:r w:rsidR="00B93665" w:rsidRPr="00B93665">
        <w:rPr>
          <w:rFonts w:ascii="Times New Roman" w:eastAsia="Times New Roman" w:hAnsi="Times New Roman" w:cs="Times New Roman"/>
          <w:color w:val="000000"/>
          <w:sz w:val="24"/>
          <w:szCs w:val="24"/>
          <w:lang w:val="en"/>
        </w:rPr>
        <w:t xml:space="preserve"> versions) will increase from the current fee of $15 per document to $18 per document (plus applicable shipping costs for printed versions).</w:t>
      </w:r>
    </w:p>
    <w:p w14:paraId="4B2E4A6B" w14:textId="588BC68D" w:rsidR="008D3276" w:rsidRPr="008D3276" w:rsidRDefault="00D46496" w:rsidP="0011431D">
      <w:pPr>
        <w:pBdr>
          <w:top w:val="nil"/>
          <w:left w:val="nil"/>
          <w:bottom w:val="nil"/>
          <w:right w:val="nil"/>
          <w:between w:val="nil"/>
        </w:pBdr>
        <w:spacing w:after="15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rPr>
        <w:t>Third party entities requesting a GED</w:t>
      </w:r>
      <w:r w:rsidRPr="00941C09">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transcript on behalf of a graduate should also follow the above process</w:t>
      </w:r>
      <w:r w:rsidR="00F94C0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however, they must select “Third Parties” on </w:t>
      </w:r>
      <w:r w:rsidR="00823FC3">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ged.com</w:t>
      </w:r>
      <w:r w:rsidR="00823FC3">
        <w:rPr>
          <w:rFonts w:ascii="Times New Roman" w:eastAsia="Times New Roman" w:hAnsi="Times New Roman" w:cs="Times New Roman"/>
          <w:color w:val="000000"/>
          <w:sz w:val="24"/>
          <w:szCs w:val="24"/>
        </w:rPr>
        <w:t xml:space="preserve"> website</w:t>
      </w:r>
      <w:r>
        <w:rPr>
          <w:rFonts w:ascii="Times New Roman" w:eastAsia="Times New Roman" w:hAnsi="Times New Roman" w:cs="Times New Roman"/>
          <w:color w:val="000000"/>
          <w:sz w:val="24"/>
          <w:szCs w:val="24"/>
        </w:rPr>
        <w:t>.</w:t>
      </w:r>
      <w:r w:rsidR="008D3276">
        <w:rPr>
          <w:rFonts w:ascii="Times New Roman" w:eastAsia="Times New Roman" w:hAnsi="Times New Roman" w:cs="Times New Roman"/>
          <w:color w:val="000000"/>
          <w:sz w:val="24"/>
          <w:szCs w:val="24"/>
        </w:rPr>
        <w:t xml:space="preserve"> A</w:t>
      </w:r>
      <w:r w:rsidR="008D3276" w:rsidRPr="008D3276">
        <w:rPr>
          <w:rFonts w:ascii="Times New Roman" w:eastAsia="Times New Roman" w:hAnsi="Times New Roman" w:cs="Times New Roman"/>
          <w:color w:val="000000"/>
          <w:sz w:val="24"/>
          <w:szCs w:val="24"/>
          <w:lang w:val="en"/>
        </w:rPr>
        <w:t>n administrative fee of $20 will be charged.</w:t>
      </w:r>
    </w:p>
    <w:p w14:paraId="2FF7927D" w14:textId="38AE450A" w:rsidR="00AE2B43" w:rsidRDefault="00BF5CDA" w:rsidP="00941C09">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841CC4">
        <w:rPr>
          <w:rFonts w:ascii="Times New Roman" w:hAnsi="Times New Roman"/>
          <w:b/>
          <w:sz w:val="24"/>
        </w:rPr>
        <w:t>Can adult education programs serve underage students?</w:t>
      </w:r>
      <w:r w:rsidR="00841CC4">
        <w:rPr>
          <w:rFonts w:ascii="Times New Roman" w:hAnsi="Times New Roman"/>
          <w:b/>
          <w:sz w:val="24"/>
        </w:rPr>
        <w:t xml:space="preserve"> </w:t>
      </w:r>
      <w:r w:rsidRPr="00B131CA">
        <w:rPr>
          <w:rFonts w:ascii="Times New Roman" w:eastAsia="Times New Roman" w:hAnsi="Times New Roman" w:cs="Times New Roman"/>
          <w:sz w:val="24"/>
          <w:szCs w:val="24"/>
        </w:rPr>
        <w:t>Students who are under the age of 18 and are not enrolled in an ISAEP program must meet one of Virginia's eligibility requirements for underage 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testing. </w:t>
      </w:r>
      <w:hyperlink r:id="rId72">
        <w:r w:rsidRPr="00B131CA">
          <w:rPr>
            <w:rFonts w:ascii="Times New Roman" w:eastAsia="Times New Roman" w:hAnsi="Times New Roman" w:cs="Times New Roman"/>
            <w:color w:val="0000FF"/>
            <w:sz w:val="24"/>
            <w:szCs w:val="24"/>
            <w:u w:val="single"/>
          </w:rPr>
          <w:t>Superintendent’s Memo #010-17</w:t>
        </w:r>
      </w:hyperlink>
      <w:r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i/>
          <w:sz w:val="24"/>
          <w:szCs w:val="24"/>
        </w:rPr>
        <w:t>High School Equivalency Testing</w:t>
      </w:r>
      <w:r w:rsidRPr="00B131CA">
        <w:rPr>
          <w:rFonts w:ascii="Times New Roman" w:eastAsia="Times New Roman" w:hAnsi="Times New Roman" w:cs="Times New Roman"/>
          <w:sz w:val="24"/>
          <w:szCs w:val="24"/>
        </w:rPr>
        <w:t xml:space="preserve">, </w:t>
      </w:r>
      <w:r w:rsidR="00291FF0">
        <w:rPr>
          <w:rFonts w:ascii="Times New Roman" w:eastAsia="Times New Roman" w:hAnsi="Times New Roman" w:cs="Times New Roman"/>
          <w:sz w:val="24"/>
          <w:szCs w:val="24"/>
        </w:rPr>
        <w:t xml:space="preserve">as well as the </w:t>
      </w:r>
      <w:r w:rsidR="00F94C0E">
        <w:rPr>
          <w:rFonts w:ascii="Times New Roman" w:eastAsia="Times New Roman" w:hAnsi="Times New Roman" w:cs="Times New Roman"/>
          <w:i/>
          <w:sz w:val="24"/>
          <w:szCs w:val="24"/>
        </w:rPr>
        <w:t>C</w:t>
      </w:r>
      <w:r w:rsidR="00291FF0">
        <w:rPr>
          <w:rFonts w:ascii="Times New Roman" w:eastAsia="Times New Roman" w:hAnsi="Times New Roman" w:cs="Times New Roman"/>
          <w:i/>
          <w:sz w:val="24"/>
          <w:szCs w:val="24"/>
        </w:rPr>
        <w:t>ode of Virginia </w:t>
      </w:r>
      <w:r w:rsidR="00291FF0" w:rsidRPr="00086B25">
        <w:rPr>
          <w:rFonts w:ascii="Times New Roman" w:hAnsi="Times New Roman" w:cs="Times New Roman"/>
          <w:sz w:val="24"/>
          <w:szCs w:val="24"/>
          <w:shd w:val="clear" w:color="auto" w:fill="FFFFFF"/>
        </w:rPr>
        <w:t>§22.1-254.2</w:t>
      </w:r>
      <w:r w:rsidR="00291FF0" w:rsidRPr="00086B25">
        <w:rPr>
          <w:rFonts w:ascii="Times New Roman" w:eastAsia="Times New Roman" w:hAnsi="Times New Roman" w:cs="Times New Roman"/>
          <w:sz w:val="24"/>
          <w:szCs w:val="24"/>
        </w:rPr>
        <w:t xml:space="preserve">, </w:t>
      </w:r>
      <w:r w:rsidR="00C66995">
        <w:rPr>
          <w:rFonts w:ascii="Times New Roman" w:eastAsia="Times New Roman" w:hAnsi="Times New Roman" w:cs="Times New Roman"/>
          <w:sz w:val="24"/>
          <w:szCs w:val="24"/>
        </w:rPr>
        <w:t xml:space="preserve">which </w:t>
      </w:r>
      <w:r w:rsidRPr="00B131CA">
        <w:rPr>
          <w:rFonts w:ascii="Times New Roman" w:eastAsia="Times New Roman" w:hAnsi="Times New Roman" w:cs="Times New Roman"/>
          <w:sz w:val="24"/>
          <w:szCs w:val="24"/>
        </w:rPr>
        <w:t>addresses all eligibility categories and the documentation required for underage testing.</w:t>
      </w:r>
      <w:r w:rsidR="00C66995" w:rsidRPr="00C66995">
        <w:rPr>
          <w:rFonts w:ascii="Times New Roman" w:eastAsia="Times New Roman" w:hAnsi="Times New Roman" w:cs="Times New Roman"/>
          <w:sz w:val="24"/>
          <w:szCs w:val="24"/>
        </w:rPr>
        <w:t xml:space="preserve"> </w:t>
      </w:r>
      <w:r w:rsidR="00C66995">
        <w:rPr>
          <w:rFonts w:ascii="Times New Roman" w:eastAsia="Times New Roman" w:hAnsi="Times New Roman" w:cs="Times New Roman"/>
          <w:sz w:val="24"/>
          <w:szCs w:val="24"/>
        </w:rPr>
        <w:t>It is the responsibility of the parent/</w:t>
      </w:r>
      <w:r w:rsidR="00DB553A">
        <w:rPr>
          <w:rFonts w:ascii="Times New Roman" w:eastAsia="Times New Roman" w:hAnsi="Times New Roman" w:cs="Times New Roman"/>
          <w:sz w:val="24"/>
          <w:szCs w:val="24"/>
        </w:rPr>
        <w:t xml:space="preserve">legal </w:t>
      </w:r>
      <w:r w:rsidR="00C66995">
        <w:rPr>
          <w:rFonts w:ascii="Times New Roman" w:eastAsia="Times New Roman" w:hAnsi="Times New Roman" w:cs="Times New Roman"/>
          <w:sz w:val="24"/>
          <w:szCs w:val="24"/>
        </w:rPr>
        <w:t>guardian to consult with the local school division and/or the courts</w:t>
      </w:r>
      <w:r w:rsidR="00DB553A">
        <w:rPr>
          <w:rFonts w:ascii="Times New Roman" w:eastAsia="Times New Roman" w:hAnsi="Times New Roman" w:cs="Times New Roman"/>
          <w:sz w:val="24"/>
          <w:szCs w:val="24"/>
        </w:rPr>
        <w:t>, as appropriate,</w:t>
      </w:r>
      <w:r w:rsidR="00C66995">
        <w:rPr>
          <w:rFonts w:ascii="Times New Roman" w:eastAsia="Times New Roman" w:hAnsi="Times New Roman" w:cs="Times New Roman"/>
          <w:sz w:val="24"/>
          <w:szCs w:val="24"/>
        </w:rPr>
        <w:t xml:space="preserve"> to secure the </w:t>
      </w:r>
      <w:r w:rsidR="00DB553A">
        <w:rPr>
          <w:rFonts w:ascii="Times New Roman" w:eastAsia="Times New Roman" w:hAnsi="Times New Roman" w:cs="Times New Roman"/>
          <w:sz w:val="24"/>
          <w:szCs w:val="24"/>
        </w:rPr>
        <w:t>required</w:t>
      </w:r>
      <w:r w:rsidR="00C66995">
        <w:rPr>
          <w:rFonts w:ascii="Times New Roman" w:eastAsia="Times New Roman" w:hAnsi="Times New Roman" w:cs="Times New Roman"/>
          <w:sz w:val="24"/>
          <w:szCs w:val="24"/>
        </w:rPr>
        <w:t xml:space="preserve"> documentation needed for underage GED</w:t>
      </w:r>
      <w:r w:rsidR="00C66995" w:rsidRPr="009F3B71">
        <w:rPr>
          <w:rFonts w:ascii="Times New Roman" w:eastAsia="Times New Roman" w:hAnsi="Times New Roman" w:cs="Times New Roman"/>
          <w:sz w:val="24"/>
          <w:szCs w:val="24"/>
          <w:vertAlign w:val="superscript"/>
        </w:rPr>
        <w:t>®</w:t>
      </w:r>
      <w:r w:rsidR="00C66995">
        <w:rPr>
          <w:rFonts w:ascii="Times New Roman" w:eastAsia="Times New Roman" w:hAnsi="Times New Roman" w:cs="Times New Roman"/>
          <w:sz w:val="24"/>
          <w:szCs w:val="24"/>
        </w:rPr>
        <w:t xml:space="preserve"> testing. Upon rece</w:t>
      </w:r>
      <w:r w:rsidR="00DB553A">
        <w:rPr>
          <w:rFonts w:ascii="Times New Roman" w:eastAsia="Times New Roman" w:hAnsi="Times New Roman" w:cs="Times New Roman"/>
          <w:sz w:val="24"/>
          <w:szCs w:val="24"/>
        </w:rPr>
        <w:t>i</w:t>
      </w:r>
      <w:r w:rsidR="00C66995">
        <w:rPr>
          <w:rFonts w:ascii="Times New Roman" w:eastAsia="Times New Roman" w:hAnsi="Times New Roman" w:cs="Times New Roman"/>
          <w:sz w:val="24"/>
          <w:szCs w:val="24"/>
        </w:rPr>
        <w:t xml:space="preserve">pt, </w:t>
      </w:r>
      <w:r w:rsidR="00DB553A">
        <w:rPr>
          <w:rFonts w:ascii="Times New Roman" w:eastAsia="Times New Roman" w:hAnsi="Times New Roman" w:cs="Times New Roman"/>
          <w:sz w:val="24"/>
          <w:szCs w:val="24"/>
        </w:rPr>
        <w:t xml:space="preserve">the adult education </w:t>
      </w:r>
      <w:r w:rsidR="00C66995">
        <w:rPr>
          <w:rFonts w:ascii="Times New Roman" w:eastAsia="Times New Roman" w:hAnsi="Times New Roman" w:cs="Times New Roman"/>
          <w:sz w:val="24"/>
          <w:szCs w:val="24"/>
        </w:rPr>
        <w:t>p</w:t>
      </w:r>
      <w:r w:rsidRPr="00B131CA">
        <w:rPr>
          <w:rFonts w:ascii="Times New Roman" w:eastAsia="Times New Roman" w:hAnsi="Times New Roman" w:cs="Times New Roman"/>
          <w:sz w:val="24"/>
          <w:szCs w:val="24"/>
        </w:rPr>
        <w:t xml:space="preserve">rogram must maintain the documentation in the student’s file. </w:t>
      </w:r>
      <w:r w:rsidR="00C66995">
        <w:rPr>
          <w:rFonts w:ascii="Times New Roman" w:eastAsia="Times New Roman" w:hAnsi="Times New Roman" w:cs="Times New Roman"/>
          <w:sz w:val="24"/>
          <w:szCs w:val="24"/>
        </w:rPr>
        <w:t>In addition, t</w:t>
      </w:r>
      <w:r w:rsidRPr="00B131CA">
        <w:rPr>
          <w:rFonts w:ascii="Times New Roman" w:eastAsia="Times New Roman" w:hAnsi="Times New Roman" w:cs="Times New Roman"/>
          <w:sz w:val="24"/>
          <w:szCs w:val="24"/>
        </w:rPr>
        <w:t xml:space="preserve">his documentation </w:t>
      </w:r>
      <w:r w:rsidR="00C66995">
        <w:rPr>
          <w:rFonts w:ascii="Times New Roman" w:eastAsia="Times New Roman" w:hAnsi="Times New Roman" w:cs="Times New Roman"/>
          <w:sz w:val="24"/>
          <w:szCs w:val="24"/>
        </w:rPr>
        <w:t>must be</w:t>
      </w:r>
      <w:r w:rsidRPr="00B131CA">
        <w:rPr>
          <w:rFonts w:ascii="Times New Roman" w:eastAsia="Times New Roman" w:hAnsi="Times New Roman" w:cs="Times New Roman"/>
          <w:sz w:val="24"/>
          <w:szCs w:val="24"/>
        </w:rPr>
        <w:t xml:space="preserve"> sent to the state office</w:t>
      </w:r>
      <w:r w:rsidR="00C66995">
        <w:rPr>
          <w:rFonts w:ascii="Times New Roman" w:eastAsia="Times New Roman" w:hAnsi="Times New Roman" w:cs="Times New Roman"/>
          <w:sz w:val="24"/>
          <w:szCs w:val="24"/>
        </w:rPr>
        <w:t xml:space="preserve"> at </w:t>
      </w:r>
      <w:hyperlink r:id="rId73" w:history="1">
        <w:r w:rsidR="000B3D8A" w:rsidRPr="0017050F">
          <w:rPr>
            <w:rStyle w:val="Hyperlink"/>
            <w:rFonts w:ascii="Times New Roman" w:eastAsia="Times New Roman" w:hAnsi="Times New Roman" w:cs="Times New Roman"/>
            <w:sz w:val="24"/>
            <w:szCs w:val="24"/>
          </w:rPr>
          <w:t>GEDinfo@doe.virginia.gov</w:t>
        </w:r>
      </w:hyperlink>
      <w:r w:rsidR="000B3D8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so that the </w:t>
      </w:r>
      <w:r w:rsidR="00C66995">
        <w:rPr>
          <w:rFonts w:ascii="Times New Roman" w:eastAsia="Times New Roman" w:hAnsi="Times New Roman" w:cs="Times New Roman"/>
          <w:sz w:val="24"/>
          <w:szCs w:val="24"/>
        </w:rPr>
        <w:t xml:space="preserve">age alert in the </w:t>
      </w:r>
      <w:r w:rsidRPr="00B131CA">
        <w:rPr>
          <w:rFonts w:ascii="Times New Roman" w:eastAsia="Times New Roman" w:hAnsi="Times New Roman" w:cs="Times New Roman"/>
          <w:sz w:val="24"/>
          <w:szCs w:val="24"/>
        </w:rPr>
        <w:t xml:space="preserve">student’s </w:t>
      </w:r>
      <w:r w:rsidR="00C66995">
        <w:rPr>
          <w:rFonts w:ascii="Times New Roman" w:eastAsia="Times New Roman" w:hAnsi="Times New Roman" w:cs="Times New Roman"/>
          <w:sz w:val="24"/>
          <w:szCs w:val="24"/>
        </w:rPr>
        <w:t xml:space="preserve">ged.com </w:t>
      </w:r>
      <w:r w:rsidRPr="00B131CA">
        <w:rPr>
          <w:rFonts w:ascii="Times New Roman" w:eastAsia="Times New Roman" w:hAnsi="Times New Roman" w:cs="Times New Roman"/>
          <w:sz w:val="24"/>
          <w:szCs w:val="24"/>
        </w:rPr>
        <w:t xml:space="preserve">account </w:t>
      </w:r>
      <w:r w:rsidR="006907E9">
        <w:rPr>
          <w:rFonts w:ascii="Times New Roman" w:eastAsia="Times New Roman" w:hAnsi="Times New Roman" w:cs="Times New Roman"/>
          <w:sz w:val="24"/>
          <w:szCs w:val="24"/>
        </w:rPr>
        <w:t>may</w:t>
      </w:r>
      <w:r w:rsidR="003D77DD"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be </w:t>
      </w:r>
      <w:r w:rsidR="00C66995">
        <w:rPr>
          <w:rFonts w:ascii="Times New Roman" w:eastAsia="Times New Roman" w:hAnsi="Times New Roman" w:cs="Times New Roman"/>
          <w:sz w:val="24"/>
          <w:szCs w:val="24"/>
        </w:rPr>
        <w:t xml:space="preserve">removed. </w:t>
      </w:r>
    </w:p>
    <w:p w14:paraId="65FD73E8" w14:textId="084461FA" w:rsidR="006827BC" w:rsidRDefault="00AE2B43" w:rsidP="006827BC">
      <w:pPr>
        <w:pStyle w:val="pf0"/>
        <w:rPr>
          <w:rFonts w:ascii="Arial" w:hAnsi="Arial" w:cs="Arial"/>
          <w:sz w:val="20"/>
          <w:szCs w:val="20"/>
        </w:rPr>
      </w:pPr>
      <w:r w:rsidRPr="00E92887">
        <w:rPr>
          <w:b/>
          <w:bCs/>
        </w:rPr>
        <w:t xml:space="preserve">Can </w:t>
      </w:r>
      <w:r w:rsidR="00E92887" w:rsidRPr="00E92887">
        <w:rPr>
          <w:b/>
          <w:bCs/>
        </w:rPr>
        <w:t>adult education programs prepare students for the Spanish language GED</w:t>
      </w:r>
      <w:r w:rsidR="00E92887" w:rsidRPr="00E92887">
        <w:rPr>
          <w:b/>
          <w:bCs/>
          <w:vertAlign w:val="superscript"/>
        </w:rPr>
        <w:t>®</w:t>
      </w:r>
      <w:r w:rsidR="00E92887" w:rsidRPr="00E92887">
        <w:rPr>
          <w:b/>
          <w:bCs/>
        </w:rPr>
        <w:t xml:space="preserve"> test? </w:t>
      </w:r>
      <w:r w:rsidR="00E92887" w:rsidRPr="00E92887">
        <w:t>A</w:t>
      </w:r>
      <w:r w:rsidRPr="00E92887">
        <w:t>EFLA</w:t>
      </w:r>
      <w:r w:rsidR="00E92887" w:rsidRPr="00E92887">
        <w:t xml:space="preserve"> and state</w:t>
      </w:r>
      <w:r w:rsidRPr="00E92887">
        <w:t xml:space="preserve"> funds may be used to offer HSE preparation instruction in Spanish</w:t>
      </w:r>
      <w:r w:rsidRPr="00E92887">
        <w:rPr>
          <w:rFonts w:eastAsiaTheme="minorHAnsi"/>
        </w:rPr>
        <w:t xml:space="preserve"> </w:t>
      </w:r>
      <w:proofErr w:type="gramStart"/>
      <w:r w:rsidRPr="00E92887">
        <w:t>in order to</w:t>
      </w:r>
      <w:proofErr w:type="gramEnd"/>
      <w:r w:rsidRPr="00E92887">
        <w:t xml:space="preserve"> accelerate Spanish-speaking students’ credential attainment and improve their English language proficiency. </w:t>
      </w:r>
      <w:r w:rsidR="00E92887" w:rsidRPr="00E92887">
        <w:t>Students may choose to test and earn the GED</w:t>
      </w:r>
      <w:r w:rsidR="00E92887" w:rsidRPr="00E92887">
        <w:rPr>
          <w:vertAlign w:val="superscript"/>
        </w:rPr>
        <w:t>®</w:t>
      </w:r>
      <w:r w:rsidR="00E92887" w:rsidRPr="00E92887">
        <w:t xml:space="preserve"> credential in either English or Spanish, or </w:t>
      </w:r>
      <w:r w:rsidR="00BC1B65">
        <w:t xml:space="preserve">they </w:t>
      </w:r>
      <w:r w:rsidR="00E92887" w:rsidRPr="00E92887">
        <w:t xml:space="preserve">may combine subtests. Students indicate the language of their choice at the time of registration for each subtest. Adult education programs should ensure students can continue to pursue English language acquisition instruction through </w:t>
      </w:r>
      <w:r w:rsidR="00BC1B65" w:rsidRPr="00E92887">
        <w:t>sequenced or</w:t>
      </w:r>
      <w:r w:rsidR="00E92887" w:rsidRPr="00E92887">
        <w:t xml:space="preserve"> coordinated class schedules or through bilingual instruction. Programs are also allowed to use AEFLA and state funds to purchase instructional materials in students’ native languages for self-study and advancement</w:t>
      </w:r>
      <w:r w:rsidR="009F6522">
        <w:t xml:space="preserve">. </w:t>
      </w:r>
      <w:proofErr w:type="gramStart"/>
      <w:r w:rsidR="005033D5">
        <w:t>The  GED</w:t>
      </w:r>
      <w:proofErr w:type="gramEnd"/>
      <w:r w:rsidR="005033D5" w:rsidRPr="002C7123">
        <w:rPr>
          <w:vertAlign w:val="superscript"/>
        </w:rPr>
        <w:t>®</w:t>
      </w:r>
      <w:r w:rsidR="005033D5">
        <w:t xml:space="preserve"> test is only available in English and Spanish; instructional materials are available in additional languages to support students’ preparation. </w:t>
      </w:r>
      <w:r w:rsidR="006827BC">
        <w:t xml:space="preserve">The VALRC has curated </w:t>
      </w:r>
      <w:hyperlink r:id="rId74" w:history="1">
        <w:r w:rsidR="006827BC" w:rsidRPr="006827BC">
          <w:rPr>
            <w:rStyle w:val="Hyperlink"/>
          </w:rPr>
          <w:t>resources</w:t>
        </w:r>
      </w:hyperlink>
      <w:r w:rsidR="006827BC">
        <w:t xml:space="preserve"> to support Spanish-language instruction at the secondary level. </w:t>
      </w:r>
    </w:p>
    <w:p w14:paraId="000001B5" w14:textId="47547874" w:rsidR="00AE2B43" w:rsidRPr="005033D5" w:rsidRDefault="00AE2B43" w:rsidP="00E9288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AE2B43" w:rsidRPr="005033D5" w:rsidSect="000E656A">
          <w:footerReference w:type="default" r:id="rId75"/>
          <w:pgSz w:w="12240" w:h="15840"/>
          <w:pgMar w:top="1440" w:right="1440" w:bottom="1440" w:left="1440" w:header="720" w:footer="720" w:gutter="0"/>
          <w:pgNumType w:start="1" w:chapStyle="2"/>
          <w:cols w:space="720"/>
        </w:sectPr>
      </w:pPr>
    </w:p>
    <w:p w14:paraId="21234DED" w14:textId="77777777" w:rsidR="00F648BC" w:rsidRDefault="00F648BC" w:rsidP="004A0493">
      <w:pPr>
        <w:pStyle w:val="Heading3"/>
      </w:pPr>
      <w:bookmarkStart w:id="38" w:name="_Toc174088852"/>
      <w:r>
        <w:lastRenderedPageBreak/>
        <w:t>Being an Instructional Leader</w:t>
      </w:r>
      <w:bookmarkEnd w:id="38"/>
    </w:p>
    <w:p w14:paraId="6271500B"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managers make decisions about scheduling, professional development, and instructional materials that have an enormous impact on how services are provided for students and how teachers manage instruction. The 13 federal considerations of adult education programming include key elements that are considered indicators of quality adult education. The considerations are provided in full in the section </w:t>
      </w:r>
      <w:r w:rsidRPr="002C7123">
        <w:rPr>
          <w:rFonts w:ascii="Times New Roman" w:eastAsia="Times New Roman" w:hAnsi="Times New Roman" w:cs="Times New Roman"/>
          <w:i/>
          <w:iCs/>
          <w:sz w:val="24"/>
          <w:szCs w:val="24"/>
        </w:rPr>
        <w:t>Competing for the AEFLA Funding</w:t>
      </w:r>
      <w:r>
        <w:rPr>
          <w:rFonts w:ascii="Times New Roman" w:eastAsia="Times New Roman" w:hAnsi="Times New Roman" w:cs="Times New Roman"/>
          <w:sz w:val="24"/>
          <w:szCs w:val="24"/>
        </w:rPr>
        <w:t xml:space="preserve"> and are referenced below in the recommendations for program design planning and instructor and/or staff support. Virginia’s state priorities, provided in full in the same section, are also referenced here in support of the federal considerations.</w:t>
      </w:r>
    </w:p>
    <w:p w14:paraId="301892C2" w14:textId="77777777" w:rsidR="00F648BC" w:rsidRDefault="00F648BC" w:rsidP="008D03B8">
      <w:pPr>
        <w:pStyle w:val="Heading4"/>
        <w:rPr>
          <w:i/>
        </w:rPr>
      </w:pPr>
      <w:bookmarkStart w:id="39" w:name="_vx1227" w:colFirst="0" w:colLast="0"/>
      <w:bookmarkStart w:id="40" w:name="_Toc174088853"/>
      <w:bookmarkEnd w:id="39"/>
      <w:r>
        <w:t>Designing High-Quality Programming</w:t>
      </w:r>
      <w:bookmarkEnd w:id="40"/>
    </w:p>
    <w:p w14:paraId="39C2F15F" w14:textId="77777777" w:rsidR="00F648BC" w:rsidRDefault="00F648BC" w:rsidP="00F648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poses guided questions about programming decisions and provides links to key resources for leading high-quality instruction.</w:t>
      </w:r>
    </w:p>
    <w:p w14:paraId="06B29BA3"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Are classes offered with “sufficient intensity and quality” </w:t>
      </w:r>
      <w:r>
        <w:rPr>
          <w:rFonts w:ascii="Times New Roman" w:eastAsia="Times New Roman" w:hAnsi="Times New Roman" w:cs="Times New Roman"/>
          <w:sz w:val="24"/>
          <w:szCs w:val="24"/>
        </w:rPr>
        <w:t>(consideration 5a)</w:t>
      </w:r>
      <w:r>
        <w:rPr>
          <w:rFonts w:ascii="Times New Roman" w:eastAsia="Times New Roman" w:hAnsi="Times New Roman" w:cs="Times New Roman"/>
          <w:i/>
          <w:sz w:val="24"/>
          <w:szCs w:val="24"/>
        </w:rPr>
        <w:t xml:space="preserve"> within “flexible schedules” </w:t>
      </w:r>
      <w:r>
        <w:rPr>
          <w:rFonts w:ascii="Times New Roman" w:eastAsia="Times New Roman" w:hAnsi="Times New Roman" w:cs="Times New Roman"/>
          <w:sz w:val="24"/>
          <w:szCs w:val="24"/>
        </w:rPr>
        <w:t>(consideration 11)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such that students can engage with the content enough time per week to </w:t>
      </w:r>
      <w:r>
        <w:rPr>
          <w:rFonts w:ascii="Times New Roman" w:eastAsia="Times New Roman" w:hAnsi="Times New Roman" w:cs="Times New Roman"/>
          <w:i/>
          <w:sz w:val="24"/>
          <w:szCs w:val="24"/>
        </w:rPr>
        <w:t>“achieve substantial learning gains”</w:t>
      </w:r>
      <w:r>
        <w:rPr>
          <w:rFonts w:ascii="Times New Roman" w:eastAsia="Times New Roman" w:hAnsi="Times New Roman" w:cs="Times New Roman"/>
          <w:sz w:val="24"/>
          <w:szCs w:val="24"/>
        </w:rPr>
        <w:t xml:space="preserve"> (consideration 5a)? </w:t>
      </w:r>
      <w:proofErr w:type="gramStart"/>
      <w:r>
        <w:rPr>
          <w:rFonts w:ascii="Times New Roman" w:eastAsia="Times New Roman" w:hAnsi="Times New Roman" w:cs="Times New Roman"/>
          <w:sz w:val="24"/>
          <w:szCs w:val="24"/>
        </w:rPr>
        <w:t>Generally speaking, students</w:t>
      </w:r>
      <w:proofErr w:type="gramEnd"/>
      <w:r>
        <w:rPr>
          <w:rFonts w:ascii="Times New Roman" w:eastAsia="Times New Roman" w:hAnsi="Times New Roman" w:cs="Times New Roman"/>
          <w:sz w:val="24"/>
          <w:szCs w:val="24"/>
        </w:rPr>
        <w:t xml:space="preserve"> need more than four hours per week of dedicated instructional time – this can be a combination of synchronous and asynchronous instruction. Consider how distance and blended learning can be used to address both considerations.</w:t>
      </w:r>
    </w:p>
    <w:p w14:paraId="0D0972B1"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your program’s enrollment patterns. Is enrollment steady enough to support managed enrollment such that a cohort of students is provided intense instruction in a determined sequence? If enrollment is ongoing through the year, can it support a modified, managed enrollment system that allows for new students to be admitted on a predetermined schedule? Additionally, determine if enrollment supports leveled classes or multi-level classes. These different models require coordination of resources and instructional support. Avoiding disruptive attendance patterns and thoughtfully grouping students will assist instructors and students alike in focusing on intentionally planned, standards-based instruction.</w:t>
      </w:r>
    </w:p>
    <w:p w14:paraId="3E81A5CD" w14:textId="77777777" w:rsidR="00F648BC" w:rsidRDefault="00F648BC" w:rsidP="00F648BC">
      <w:pPr>
        <w:shd w:val="clear" w:color="auto" w:fill="FFFFFF"/>
        <w:rPr>
          <w:rFonts w:ascii="Times New Roman" w:eastAsia="Times New Roman" w:hAnsi="Times New Roman" w:cs="Times New Roman"/>
        </w:rPr>
      </w:pPr>
      <w:r>
        <w:rPr>
          <w:rFonts w:ascii="Times New Roman" w:eastAsia="Times New Roman" w:hAnsi="Times New Roman" w:cs="Times New Roman"/>
          <w:sz w:val="24"/>
          <w:szCs w:val="24"/>
        </w:rPr>
        <w:t>Does the program effectively implement differentiated instruction (DI) to engage learners to</w:t>
      </w:r>
      <w:r>
        <w:rPr>
          <w:rFonts w:ascii="Times New Roman" w:eastAsia="Times New Roman" w:hAnsi="Times New Roman" w:cs="Times New Roman"/>
          <w:i/>
          <w:sz w:val="24"/>
          <w:szCs w:val="24"/>
        </w:rPr>
        <w:t xml:space="preserve"> “achieve substantial learning gains” </w:t>
      </w:r>
      <w:r>
        <w:rPr>
          <w:rFonts w:ascii="Times New Roman" w:eastAsia="Times New Roman" w:hAnsi="Times New Roman" w:cs="Times New Roman"/>
          <w:sz w:val="24"/>
          <w:szCs w:val="24"/>
        </w:rPr>
        <w:t>(consideration 5a)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DI is a proven instructional practice for achieving learning gains with diverse groups of adult learners. The Teaching Excellence in Adult Literacy (TEAL) project </w:t>
      </w:r>
      <w:hyperlink r:id="rId76">
        <w:r>
          <w:rPr>
            <w:rFonts w:ascii="Times New Roman" w:eastAsia="Times New Roman" w:hAnsi="Times New Roman" w:cs="Times New Roman"/>
            <w:color w:val="0000FF"/>
            <w:sz w:val="24"/>
            <w:szCs w:val="24"/>
            <w:u w:val="single"/>
          </w:rPr>
          <w:t>defined DI</w:t>
        </w:r>
      </w:hyperlink>
      <w:r>
        <w:rPr>
          <w:rFonts w:ascii="Times New Roman" w:eastAsia="Times New Roman" w:hAnsi="Times New Roman" w:cs="Times New Roman"/>
          <w:color w:val="3F3F3F"/>
          <w:sz w:val="24"/>
          <w:szCs w:val="24"/>
        </w:rPr>
        <w:t xml:space="preserve"> </w:t>
      </w:r>
      <w:r>
        <w:rPr>
          <w:rFonts w:ascii="Times New Roman" w:eastAsia="Times New Roman" w:hAnsi="Times New Roman" w:cs="Times New Roman"/>
          <w:sz w:val="24"/>
          <w:szCs w:val="24"/>
        </w:rPr>
        <w:t xml:space="preserve">as “the planning and delivery of classroom instruction that considers the varied levels of readiness, learning needs, and interests of each learner in the class.” Instructors enact DI through flexibility in instructional approaches and through variety in classroom routines, assignment types, learner groupings, and options for evaluating mastery of content. Instructional leaders should be asking several questions of local leaders and teachers. Do program intake and scheduling processes, physical environments, and technology tools facilitate learner collaboration and DI? Do instructors modify their teaching based on individual learners' interests, readiness, and goals? Do learners have choices in the topics they study, the materials they use, or how they demonstrate learning? Does instruction incorporate a variety of learner groupings, including time for learners to work individually as well as collaboratively with peers at a similar level? Do instructors provide scaffolding for learners who need additional support </w:t>
      </w:r>
      <w:r>
        <w:rPr>
          <w:rFonts w:ascii="Times New Roman" w:eastAsia="Times New Roman" w:hAnsi="Times New Roman" w:cs="Times New Roman"/>
          <w:sz w:val="24"/>
          <w:szCs w:val="24"/>
        </w:rPr>
        <w:lastRenderedPageBreak/>
        <w:t>and extension opportunities so learners who have completed a task remain challenged? Does instruction make use of strategies like learning stations, flexible grouping, tiered activities, project-based learning, pre-assessments, and formative assessments that support DI? Do instructors have planning time to review learner data and plan differentiated activities?</w:t>
      </w:r>
      <w:r>
        <w:rPr>
          <w:rFonts w:ascii="Times New Roman" w:eastAsia="Times New Roman" w:hAnsi="Times New Roman" w:cs="Times New Roman"/>
        </w:rPr>
        <w:t xml:space="preserve"> </w:t>
      </w:r>
    </w:p>
    <w:p w14:paraId="0EC2777A"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Does the program use technology effectively </w:t>
      </w:r>
      <w:r>
        <w:rPr>
          <w:rFonts w:ascii="Times New Roman" w:eastAsia="Times New Roman" w:hAnsi="Times New Roman" w:cs="Times New Roman"/>
          <w:sz w:val="24"/>
          <w:szCs w:val="24"/>
        </w:rPr>
        <w:t>(consideration 7)? What technology resources are available for teaching and learning in classrooms and for homework or distance learning? What is the plan for increasing online learning options? Is the same level of technology available in all classes in the region?  How are teachers supported to expand their technology skills? How is the program addressing equitable access to these resources for students across the community (e.g., through an equipment lending library or community partners)? What opportunities are available for learners to strengthen their technology skills to support their learning?</w:t>
      </w:r>
    </w:p>
    <w:p w14:paraId="556E3A2B" w14:textId="77777777" w:rsidR="00F648BC" w:rsidRDefault="00F648BC" w:rsidP="00F648BC">
      <w:pPr>
        <w:shd w:val="clear" w:color="auto" w:fill="FFFFFF"/>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hyperlink r:id="rId77">
        <w:r>
          <w:rPr>
            <w:rFonts w:ascii="Times New Roman" w:eastAsia="Times New Roman" w:hAnsi="Times New Roman" w:cs="Times New Roman"/>
            <w:sz w:val="24"/>
            <w:szCs w:val="24"/>
          </w:rPr>
          <w:t xml:space="preserve"> </w:t>
        </w:r>
      </w:hyperlink>
      <w:hyperlink r:id="rId78">
        <w:r>
          <w:rPr>
            <w:rFonts w:ascii="Times New Roman" w:eastAsia="Times New Roman" w:hAnsi="Times New Roman" w:cs="Times New Roman"/>
            <w:i/>
            <w:color w:val="0000FF"/>
            <w:sz w:val="24"/>
            <w:szCs w:val="24"/>
            <w:u w:val="single"/>
          </w:rPr>
          <w:t>Assessment and Distance Education Policy for Virginia Adult Education and Literacy Programs</w:t>
        </w:r>
      </w:hyperlink>
      <w:r>
        <w:rPr>
          <w:rFonts w:ascii="Times New Roman" w:eastAsia="Times New Roman" w:hAnsi="Times New Roman" w:cs="Times New Roman"/>
          <w:sz w:val="24"/>
          <w:szCs w:val="24"/>
        </w:rPr>
        <w:t xml:space="preserve"> states: distance education is a way to increase services to adult learners in Virginia and a means to improve the state’s adult education outcomes. It is also a method of increasing access to educational resources for the state adult student population as well as building capacity to serve more students with a wider variety of delivery options. Distance education’s incorporation of technology affords students who are not able or choose not to attend traditional classes another avenue to further their education and improve their skills. </w:t>
      </w:r>
    </w:p>
    <w:p w14:paraId="00BA5BF7" w14:textId="77777777" w:rsidR="00F648BC" w:rsidRDefault="00B73E9E" w:rsidP="00F648BC">
      <w:pPr>
        <w:spacing w:before="240" w:after="240" w:line="240" w:lineRule="auto"/>
        <w:rPr>
          <w:rFonts w:ascii="Times New Roman" w:eastAsia="Times New Roman" w:hAnsi="Times New Roman" w:cs="Times New Roman"/>
          <w:sz w:val="24"/>
          <w:szCs w:val="24"/>
        </w:rPr>
      </w:pPr>
      <w:hyperlink r:id="rId79">
        <w:r w:rsidR="00F648BC">
          <w:rPr>
            <w:rFonts w:ascii="Times New Roman" w:eastAsia="Times New Roman" w:hAnsi="Times New Roman" w:cs="Times New Roman"/>
            <w:color w:val="0000FF"/>
            <w:sz w:val="24"/>
            <w:szCs w:val="24"/>
            <w:u w:val="single"/>
          </w:rPr>
          <w:t>Distance education resources</w:t>
        </w:r>
      </w:hyperlink>
      <w:r w:rsidR="00F648BC">
        <w:rPr>
          <w:rFonts w:ascii="Times New Roman" w:eastAsia="Times New Roman" w:hAnsi="Times New Roman" w:cs="Times New Roman"/>
          <w:sz w:val="24"/>
          <w:szCs w:val="24"/>
        </w:rPr>
        <w:t xml:space="preserve"> can be found on the VALRC’s website. Resources include:</w:t>
      </w:r>
    </w:p>
    <w:p w14:paraId="0866CC21" w14:textId="280904C4" w:rsidR="00F648BC" w:rsidRDefault="00B73E9E" w:rsidP="00022694">
      <w:pPr>
        <w:numPr>
          <w:ilvl w:val="3"/>
          <w:numId w:val="52"/>
        </w:numPr>
        <w:pBdr>
          <w:top w:val="nil"/>
          <w:left w:val="nil"/>
          <w:bottom w:val="nil"/>
          <w:right w:val="nil"/>
          <w:between w:val="nil"/>
        </w:pBdr>
        <w:shd w:val="clear" w:color="auto" w:fill="FFFFFF"/>
        <w:tabs>
          <w:tab w:val="left" w:pos="1980"/>
        </w:tabs>
        <w:spacing w:after="0" w:line="240" w:lineRule="auto"/>
        <w:ind w:left="1440"/>
        <w:rPr>
          <w:rFonts w:ascii="Times New Roman" w:eastAsia="Times New Roman" w:hAnsi="Times New Roman" w:cs="Times New Roman"/>
          <w:color w:val="222222"/>
          <w:sz w:val="24"/>
          <w:szCs w:val="24"/>
        </w:rPr>
      </w:pPr>
      <w:hyperlink r:id="rId80">
        <w:r w:rsidR="00F648BC">
          <w:rPr>
            <w:rFonts w:ascii="Times New Roman" w:eastAsia="Times New Roman" w:hAnsi="Times New Roman" w:cs="Times New Roman"/>
            <w:i/>
            <w:color w:val="0000FF"/>
            <w:sz w:val="24"/>
            <w:szCs w:val="24"/>
            <w:u w:val="single"/>
          </w:rPr>
          <w:t>Approved Curriculum List</w:t>
        </w:r>
      </w:hyperlink>
      <w:r w:rsidR="002C7123">
        <w:rPr>
          <w:rFonts w:ascii="Times New Roman" w:eastAsia="Times New Roman" w:hAnsi="Times New Roman" w:cs="Times New Roman"/>
          <w:color w:val="222222"/>
          <w:sz w:val="24"/>
          <w:szCs w:val="24"/>
        </w:rPr>
        <w:t>:</w:t>
      </w:r>
      <w:r w:rsidR="00F648BC">
        <w:rPr>
          <w:rFonts w:ascii="Times New Roman" w:eastAsia="Times New Roman" w:hAnsi="Times New Roman" w:cs="Times New Roman"/>
          <w:color w:val="222222"/>
          <w:sz w:val="24"/>
          <w:szCs w:val="24"/>
        </w:rPr>
        <w:t xml:space="preserve"> Distance education curricula are reviewed and approved by a Distance Education Curriculum Review Panel. The list of approved distance education curricula is maintained and disseminated by the VALRC.</w:t>
      </w:r>
    </w:p>
    <w:p w14:paraId="6AB1C6B5" w14:textId="00897C77" w:rsidR="00F648BC" w:rsidRDefault="00B73E9E" w:rsidP="00022694">
      <w:pPr>
        <w:numPr>
          <w:ilvl w:val="3"/>
          <w:numId w:val="52"/>
        </w:numPr>
        <w:pBdr>
          <w:top w:val="nil"/>
          <w:left w:val="nil"/>
          <w:bottom w:val="nil"/>
          <w:right w:val="nil"/>
          <w:between w:val="nil"/>
        </w:pBdr>
        <w:shd w:val="clear" w:color="auto" w:fill="FFFFFF"/>
        <w:tabs>
          <w:tab w:val="left" w:pos="1980"/>
        </w:tabs>
        <w:spacing w:after="0" w:line="240" w:lineRule="auto"/>
        <w:ind w:left="1440"/>
        <w:rPr>
          <w:rFonts w:ascii="Times New Roman" w:eastAsia="Times New Roman" w:hAnsi="Times New Roman" w:cs="Times New Roman"/>
          <w:color w:val="222222"/>
          <w:sz w:val="24"/>
          <w:szCs w:val="24"/>
        </w:rPr>
      </w:pPr>
      <w:hyperlink r:id="rId81">
        <w:r w:rsidR="00F648BC">
          <w:rPr>
            <w:rFonts w:ascii="Times New Roman" w:eastAsia="Times New Roman" w:hAnsi="Times New Roman" w:cs="Times New Roman"/>
            <w:i/>
            <w:color w:val="0000FF"/>
            <w:sz w:val="24"/>
            <w:szCs w:val="24"/>
            <w:u w:val="single"/>
          </w:rPr>
          <w:t xml:space="preserve">Distance Education Curriculum </w:t>
        </w:r>
      </w:hyperlink>
      <w:hyperlink r:id="rId82">
        <w:r w:rsidR="00F648BC">
          <w:rPr>
            <w:rFonts w:ascii="Times New Roman" w:eastAsia="Times New Roman" w:hAnsi="Times New Roman" w:cs="Times New Roman"/>
            <w:i/>
            <w:color w:val="0000FF"/>
            <w:sz w:val="24"/>
            <w:szCs w:val="24"/>
            <w:u w:val="single"/>
          </w:rPr>
          <w:t>Submission Form</w:t>
        </w:r>
      </w:hyperlink>
      <w:r w:rsidR="002C7123">
        <w:rPr>
          <w:rFonts w:ascii="Times New Roman" w:eastAsia="Times New Roman" w:hAnsi="Times New Roman" w:cs="Times New Roman"/>
          <w:color w:val="222222"/>
          <w:sz w:val="24"/>
          <w:szCs w:val="24"/>
        </w:rPr>
        <w:t>:</w:t>
      </w:r>
      <w:r w:rsidR="00F648BC">
        <w:rPr>
          <w:rFonts w:ascii="Times New Roman" w:eastAsia="Times New Roman" w:hAnsi="Times New Roman" w:cs="Times New Roman"/>
          <w:color w:val="222222"/>
          <w:sz w:val="24"/>
          <w:szCs w:val="24"/>
        </w:rPr>
        <w:t xml:space="preserve"> Local and regional program managers can submit recommended curricula to the Distance Education Curriculum Review Panel using this form.</w:t>
      </w:r>
      <w:r w:rsidR="00785624">
        <w:rPr>
          <w:rFonts w:ascii="Times New Roman" w:eastAsia="Times New Roman" w:hAnsi="Times New Roman" w:cs="Times New Roman"/>
          <w:color w:val="222222"/>
          <w:sz w:val="24"/>
          <w:szCs w:val="24"/>
        </w:rPr>
        <w:t xml:space="preserve"> Submission window dates are announced by the VDOE every second year. </w:t>
      </w:r>
    </w:p>
    <w:p w14:paraId="4121065A" w14:textId="6C5D9279" w:rsidR="00F648BC" w:rsidRDefault="00B73E9E" w:rsidP="00022694">
      <w:pPr>
        <w:numPr>
          <w:ilvl w:val="3"/>
          <w:numId w:val="52"/>
        </w:numPr>
        <w:pBdr>
          <w:top w:val="nil"/>
          <w:left w:val="nil"/>
          <w:bottom w:val="nil"/>
          <w:right w:val="nil"/>
          <w:between w:val="nil"/>
        </w:pBdr>
        <w:shd w:val="clear" w:color="auto" w:fill="FFFFFF"/>
        <w:tabs>
          <w:tab w:val="left" w:pos="1980"/>
        </w:tabs>
        <w:spacing w:after="0" w:line="240" w:lineRule="auto"/>
        <w:ind w:left="1440"/>
        <w:rPr>
          <w:rFonts w:ascii="Times New Roman" w:eastAsia="Times New Roman" w:hAnsi="Times New Roman" w:cs="Times New Roman"/>
          <w:color w:val="222222"/>
          <w:sz w:val="24"/>
          <w:szCs w:val="24"/>
        </w:rPr>
      </w:pPr>
      <w:hyperlink r:id="rId83">
        <w:r w:rsidR="00F648BC">
          <w:rPr>
            <w:rFonts w:ascii="Times New Roman" w:eastAsia="Times New Roman" w:hAnsi="Times New Roman" w:cs="Times New Roman"/>
            <w:i/>
            <w:color w:val="0000FF"/>
            <w:sz w:val="24"/>
            <w:szCs w:val="24"/>
            <w:u w:val="single"/>
          </w:rPr>
          <w:t>Assessment Policy and Distance Education Policy for Virginia Adult Education and Literacy Programs</w:t>
        </w:r>
      </w:hyperlink>
      <w:r w:rsidR="002C7123">
        <w:rPr>
          <w:rFonts w:ascii="Times New Roman" w:eastAsia="Times New Roman" w:hAnsi="Times New Roman" w:cs="Times New Roman"/>
          <w:i/>
          <w:color w:val="222222"/>
          <w:sz w:val="24"/>
          <w:szCs w:val="24"/>
        </w:rPr>
        <w:t>:</w:t>
      </w:r>
      <w:r w:rsidR="00F648BC">
        <w:rPr>
          <w:rFonts w:ascii="Times New Roman" w:eastAsia="Times New Roman" w:hAnsi="Times New Roman" w:cs="Times New Roman"/>
          <w:color w:val="222222"/>
          <w:sz w:val="24"/>
          <w:szCs w:val="24"/>
        </w:rPr>
        <w:t xml:space="preserve"> This policy document defines distance education for adult education programs in Virginia and provides guidelines by which programs can report adult learners’ distance education hours.</w:t>
      </w:r>
    </w:p>
    <w:p w14:paraId="2AFD7EC4" w14:textId="765B0031" w:rsidR="00F648BC" w:rsidRDefault="00B73E9E" w:rsidP="00022694">
      <w:pPr>
        <w:numPr>
          <w:ilvl w:val="3"/>
          <w:numId w:val="52"/>
        </w:numPr>
        <w:pBdr>
          <w:top w:val="nil"/>
          <w:left w:val="nil"/>
          <w:bottom w:val="nil"/>
          <w:right w:val="nil"/>
          <w:between w:val="nil"/>
        </w:pBdr>
        <w:shd w:val="clear" w:color="auto" w:fill="FFFFFF"/>
        <w:tabs>
          <w:tab w:val="left" w:pos="1980"/>
        </w:tabs>
        <w:spacing w:after="0" w:line="240" w:lineRule="auto"/>
        <w:ind w:left="1440"/>
        <w:rPr>
          <w:rFonts w:ascii="Times New Roman" w:eastAsia="Times New Roman" w:hAnsi="Times New Roman" w:cs="Times New Roman"/>
          <w:color w:val="222222"/>
          <w:sz w:val="24"/>
          <w:szCs w:val="24"/>
        </w:rPr>
      </w:pPr>
      <w:hyperlink r:id="rId84">
        <w:r w:rsidR="00F648BC">
          <w:rPr>
            <w:rFonts w:ascii="Times New Roman" w:eastAsia="Times New Roman" w:hAnsi="Times New Roman" w:cs="Times New Roman"/>
            <w:i/>
            <w:color w:val="0000FF"/>
            <w:sz w:val="24"/>
            <w:szCs w:val="24"/>
            <w:u w:val="single"/>
          </w:rPr>
          <w:t>Distance Education Introduction Video</w:t>
        </w:r>
      </w:hyperlink>
      <w:r w:rsidR="002C7123">
        <w:rPr>
          <w:rFonts w:ascii="Times New Roman" w:eastAsia="Times New Roman" w:hAnsi="Times New Roman" w:cs="Times New Roman"/>
          <w:color w:val="222222"/>
          <w:sz w:val="24"/>
          <w:szCs w:val="24"/>
        </w:rPr>
        <w:t>:</w:t>
      </w:r>
      <w:r w:rsidR="00F648BC">
        <w:rPr>
          <w:rFonts w:ascii="Times New Roman" w:eastAsia="Times New Roman" w:hAnsi="Times New Roman" w:cs="Times New Roman"/>
          <w:color w:val="222222"/>
          <w:sz w:val="24"/>
          <w:szCs w:val="24"/>
        </w:rPr>
        <w:t xml:space="preserve"> This video, based on information provided in the </w:t>
      </w:r>
      <w:r w:rsidR="00F648BC">
        <w:rPr>
          <w:rFonts w:ascii="Times New Roman" w:eastAsia="Times New Roman" w:hAnsi="Times New Roman" w:cs="Times New Roman"/>
          <w:i/>
          <w:color w:val="222222"/>
          <w:sz w:val="24"/>
          <w:szCs w:val="24"/>
        </w:rPr>
        <w:t xml:space="preserve">IDEAL Consortium Handbook, </w:t>
      </w:r>
      <w:r w:rsidR="00F648BC">
        <w:rPr>
          <w:rFonts w:ascii="Times New Roman" w:eastAsia="Times New Roman" w:hAnsi="Times New Roman" w:cs="Times New Roman"/>
          <w:color w:val="222222"/>
          <w:sz w:val="24"/>
          <w:szCs w:val="24"/>
        </w:rPr>
        <w:t>presents a common language of distance education definitions and terms.</w:t>
      </w:r>
    </w:p>
    <w:p w14:paraId="59F4F766" w14:textId="26AC162B" w:rsidR="00F648BC" w:rsidRDefault="00B73E9E" w:rsidP="00022694">
      <w:pPr>
        <w:numPr>
          <w:ilvl w:val="3"/>
          <w:numId w:val="52"/>
        </w:numPr>
        <w:pBdr>
          <w:top w:val="nil"/>
          <w:left w:val="nil"/>
          <w:bottom w:val="nil"/>
          <w:right w:val="nil"/>
          <w:between w:val="nil"/>
        </w:pBdr>
        <w:shd w:val="clear" w:color="auto" w:fill="FFFFFF"/>
        <w:tabs>
          <w:tab w:val="left" w:pos="1980"/>
        </w:tabs>
        <w:spacing w:after="0" w:line="240" w:lineRule="auto"/>
        <w:ind w:left="1440"/>
        <w:rPr>
          <w:rFonts w:ascii="Times New Roman" w:eastAsia="Times New Roman" w:hAnsi="Times New Roman" w:cs="Times New Roman"/>
          <w:color w:val="000000"/>
          <w:sz w:val="24"/>
          <w:szCs w:val="24"/>
        </w:rPr>
      </w:pPr>
      <w:hyperlink r:id="rId85">
        <w:r w:rsidR="00F648BC">
          <w:rPr>
            <w:rFonts w:ascii="Times New Roman" w:eastAsia="Times New Roman" w:hAnsi="Times New Roman" w:cs="Times New Roman"/>
            <w:i/>
            <w:color w:val="0000FF"/>
            <w:sz w:val="24"/>
            <w:szCs w:val="24"/>
            <w:u w:val="single"/>
          </w:rPr>
          <w:t>Distance Education Webinar Series</w:t>
        </w:r>
      </w:hyperlink>
      <w:r w:rsidR="002C7123">
        <w:rPr>
          <w:rFonts w:ascii="Times New Roman" w:eastAsia="Times New Roman" w:hAnsi="Times New Roman" w:cs="Times New Roman"/>
          <w:color w:val="222222"/>
          <w:sz w:val="24"/>
          <w:szCs w:val="24"/>
        </w:rPr>
        <w:t>:</w:t>
      </w:r>
      <w:r w:rsidR="00F648BC">
        <w:rPr>
          <w:rFonts w:ascii="Times New Roman" w:eastAsia="Times New Roman" w:hAnsi="Times New Roman" w:cs="Times New Roman"/>
          <w:color w:val="222222"/>
          <w:sz w:val="24"/>
          <w:szCs w:val="24"/>
        </w:rPr>
        <w:t xml:space="preserve"> This two-part webinar series, hosted by the VALRC, provides guidance and recommendations for establishing quality, innovative distance education and blended learning programs. Topics of discussion include common definitions of distance education terminology, blended learning models, successfully implemented distance education and blended learning programs from different states, and key findings from IDEAL Consortium research. </w:t>
      </w:r>
      <w:r w:rsidR="00F648BC">
        <w:rPr>
          <w:rFonts w:ascii="Times New Roman" w:eastAsia="Times New Roman" w:hAnsi="Times New Roman" w:cs="Times New Roman"/>
          <w:color w:val="000000"/>
          <w:sz w:val="24"/>
          <w:szCs w:val="24"/>
        </w:rPr>
        <w:tab/>
      </w:r>
    </w:p>
    <w:p w14:paraId="25C3E7DC" w14:textId="310D2ECA" w:rsidR="00F648BC" w:rsidRDefault="00B73E9E" w:rsidP="00022694">
      <w:pPr>
        <w:numPr>
          <w:ilvl w:val="0"/>
          <w:numId w:val="52"/>
        </w:numPr>
        <w:pBdr>
          <w:top w:val="nil"/>
          <w:left w:val="nil"/>
          <w:bottom w:val="nil"/>
          <w:right w:val="nil"/>
          <w:between w:val="nil"/>
        </w:pBdr>
        <w:shd w:val="clear" w:color="auto" w:fill="FFFFFF"/>
        <w:tabs>
          <w:tab w:val="left" w:pos="1980"/>
        </w:tabs>
        <w:spacing w:after="0" w:line="240" w:lineRule="auto"/>
        <w:ind w:left="1440"/>
        <w:rPr>
          <w:rFonts w:ascii="Times New Roman" w:eastAsia="Times New Roman" w:hAnsi="Times New Roman" w:cs="Times New Roman"/>
          <w:color w:val="000000"/>
          <w:sz w:val="24"/>
          <w:szCs w:val="24"/>
        </w:rPr>
      </w:pPr>
      <w:hyperlink r:id="rId86">
        <w:r w:rsidR="00F648BC">
          <w:rPr>
            <w:rFonts w:ascii="Times New Roman" w:eastAsia="Times New Roman" w:hAnsi="Times New Roman" w:cs="Times New Roman"/>
            <w:color w:val="0000FF"/>
            <w:sz w:val="24"/>
            <w:szCs w:val="24"/>
            <w:u w:val="single"/>
          </w:rPr>
          <w:t>Quality Teaching Online Resources and Tips</w:t>
        </w:r>
      </w:hyperlink>
      <w:r w:rsidR="002C7123">
        <w:rPr>
          <w:rFonts w:ascii="Times New Roman" w:eastAsia="Times New Roman" w:hAnsi="Times New Roman" w:cs="Times New Roman"/>
          <w:color w:val="000000"/>
          <w:sz w:val="24"/>
          <w:szCs w:val="24"/>
        </w:rPr>
        <w:t>:</w:t>
      </w:r>
      <w:r w:rsidR="00F648BC">
        <w:rPr>
          <w:rFonts w:ascii="Times New Roman" w:eastAsia="Times New Roman" w:hAnsi="Times New Roman" w:cs="Times New Roman"/>
          <w:color w:val="000000"/>
          <w:sz w:val="24"/>
          <w:szCs w:val="24"/>
        </w:rPr>
        <w:t xml:space="preserve"> These curated resources and tip collections provide guidance to support programs and instructors in implementing quality teaching online.</w:t>
      </w:r>
    </w:p>
    <w:p w14:paraId="67A2BAA9" w14:textId="51CF1CE0" w:rsidR="00F648BC" w:rsidRDefault="00B73E9E" w:rsidP="00022694">
      <w:pPr>
        <w:numPr>
          <w:ilvl w:val="0"/>
          <w:numId w:val="52"/>
        </w:numPr>
        <w:pBdr>
          <w:top w:val="nil"/>
          <w:left w:val="nil"/>
          <w:bottom w:val="nil"/>
          <w:right w:val="nil"/>
          <w:between w:val="nil"/>
        </w:pBdr>
        <w:shd w:val="clear" w:color="auto" w:fill="FFFFFF"/>
        <w:tabs>
          <w:tab w:val="left" w:pos="1980"/>
        </w:tabs>
        <w:spacing w:after="0" w:line="240" w:lineRule="auto"/>
        <w:ind w:left="1440"/>
        <w:rPr>
          <w:rFonts w:ascii="Times New Roman" w:eastAsia="Times New Roman" w:hAnsi="Times New Roman" w:cs="Times New Roman"/>
          <w:color w:val="222222"/>
          <w:sz w:val="24"/>
          <w:szCs w:val="24"/>
        </w:rPr>
      </w:pPr>
      <w:hyperlink r:id="rId87">
        <w:r w:rsidR="00F648BC">
          <w:rPr>
            <w:rFonts w:ascii="Times New Roman" w:eastAsia="Times New Roman" w:hAnsi="Times New Roman" w:cs="Times New Roman"/>
            <w:i/>
            <w:color w:val="0000FF"/>
            <w:sz w:val="24"/>
            <w:szCs w:val="24"/>
            <w:u w:val="single"/>
          </w:rPr>
          <w:t>Transforming Distance Education Course</w:t>
        </w:r>
      </w:hyperlink>
      <w:r w:rsidR="00F648BC">
        <w:rPr>
          <w:rFonts w:ascii="Times New Roman" w:eastAsia="Times New Roman" w:hAnsi="Times New Roman" w:cs="Times New Roman"/>
          <w:color w:val="222222"/>
          <w:sz w:val="24"/>
          <w:szCs w:val="24"/>
        </w:rPr>
        <w:t xml:space="preserve"> by EdTech </w:t>
      </w:r>
      <w:proofErr w:type="spellStart"/>
      <w:r w:rsidR="00F648BC">
        <w:rPr>
          <w:rFonts w:ascii="Times New Roman" w:eastAsia="Times New Roman" w:hAnsi="Times New Roman" w:cs="Times New Roman"/>
          <w:color w:val="222222"/>
          <w:sz w:val="24"/>
          <w:szCs w:val="24"/>
        </w:rPr>
        <w:t>Center@World</w:t>
      </w:r>
      <w:proofErr w:type="spellEnd"/>
      <w:r w:rsidR="00F648BC">
        <w:rPr>
          <w:rFonts w:ascii="Times New Roman" w:eastAsia="Times New Roman" w:hAnsi="Times New Roman" w:cs="Times New Roman"/>
          <w:color w:val="222222"/>
          <w:sz w:val="24"/>
          <w:szCs w:val="24"/>
        </w:rPr>
        <w:t xml:space="preserve"> Education</w:t>
      </w:r>
      <w:r w:rsidR="002C7123">
        <w:rPr>
          <w:rFonts w:ascii="Times New Roman" w:eastAsia="Times New Roman" w:hAnsi="Times New Roman" w:cs="Times New Roman"/>
          <w:color w:val="222222"/>
          <w:sz w:val="24"/>
          <w:szCs w:val="24"/>
        </w:rPr>
        <w:t xml:space="preserve">: </w:t>
      </w:r>
      <w:r w:rsidR="00F648BC">
        <w:rPr>
          <w:rFonts w:ascii="Times New Roman" w:eastAsia="Times New Roman" w:hAnsi="Times New Roman" w:cs="Times New Roman"/>
          <w:color w:val="222222"/>
          <w:sz w:val="24"/>
          <w:szCs w:val="24"/>
        </w:rPr>
        <w:t xml:space="preserve"> This course is designed for education providers and practitioners teaching adult basic academic skills, English for speakers of other languages (ESOL), and literacy at a distance and/or through blended learning. It provides strategies and resources that are essential for both setting up and implementing distance education or teaching with a blended approach.</w:t>
      </w:r>
    </w:p>
    <w:p w14:paraId="68DFDA21" w14:textId="198E5E2B" w:rsidR="00F648BC" w:rsidRDefault="00B73E9E" w:rsidP="00022694">
      <w:pPr>
        <w:numPr>
          <w:ilvl w:val="0"/>
          <w:numId w:val="52"/>
        </w:numPr>
        <w:pBdr>
          <w:top w:val="nil"/>
          <w:left w:val="nil"/>
          <w:bottom w:val="nil"/>
          <w:right w:val="nil"/>
          <w:between w:val="nil"/>
        </w:pBdr>
        <w:shd w:val="clear" w:color="auto" w:fill="FFFFFF"/>
        <w:tabs>
          <w:tab w:val="left" w:pos="1980"/>
        </w:tabs>
        <w:spacing w:after="0" w:line="240" w:lineRule="auto"/>
        <w:ind w:left="1440"/>
        <w:rPr>
          <w:rFonts w:ascii="Times New Roman" w:eastAsia="Times New Roman" w:hAnsi="Times New Roman" w:cs="Times New Roman"/>
          <w:color w:val="222222"/>
          <w:sz w:val="24"/>
          <w:szCs w:val="24"/>
        </w:rPr>
      </w:pPr>
      <w:hyperlink r:id="rId88" w:history="1">
        <w:r w:rsidR="00F648BC" w:rsidRPr="00F4087C">
          <w:rPr>
            <w:rStyle w:val="Hyperlink"/>
            <w:rFonts w:ascii="Times New Roman" w:hAnsi="Times New Roman" w:cs="Times New Roman"/>
            <w:i/>
            <w:iCs/>
            <w:sz w:val="24"/>
            <w:szCs w:val="24"/>
          </w:rPr>
          <w:t xml:space="preserve">Digital Literacy and </w:t>
        </w:r>
      </w:hyperlink>
      <w:hyperlink r:id="rId89" w:history="1">
        <w:r w:rsidR="00F648BC" w:rsidRPr="00F4087C">
          <w:rPr>
            <w:rStyle w:val="Hyperlink"/>
            <w:rFonts w:ascii="Times New Roman" w:hAnsi="Times New Roman" w:cs="Times New Roman"/>
            <w:i/>
            <w:iCs/>
            <w:sz w:val="24"/>
            <w:szCs w:val="24"/>
          </w:rPr>
          <w:t>Resilience</w:t>
        </w:r>
      </w:hyperlink>
      <w:hyperlink r:id="rId90" w:history="1">
        <w:r w:rsidR="00F648BC" w:rsidRPr="00F4087C">
          <w:rPr>
            <w:rStyle w:val="Hyperlink"/>
            <w:rFonts w:ascii="Times New Roman" w:hAnsi="Times New Roman" w:cs="Times New Roman"/>
            <w:i/>
            <w:iCs/>
            <w:sz w:val="24"/>
            <w:szCs w:val="24"/>
          </w:rPr>
          <w:t xml:space="preserve"> Skills for Multilingual Learners</w:t>
        </w:r>
      </w:hyperlink>
      <w:r w:rsidR="00F648BC" w:rsidRPr="00F4087C">
        <w:rPr>
          <w:rStyle w:val="Hyperlink"/>
          <w:rFonts w:ascii="Times New Roman" w:hAnsi="Times New Roman" w:cs="Times New Roman"/>
          <w:i/>
          <w:iCs/>
          <w:sz w:val="24"/>
          <w:szCs w:val="24"/>
        </w:rPr>
        <w:t>:</w:t>
      </w:r>
      <w:r w:rsidR="00F648BC">
        <w:rPr>
          <w:rFonts w:ascii="Times New Roman" w:eastAsia="Times New Roman" w:hAnsi="Times New Roman" w:cs="Times New Roman"/>
          <w:color w:val="222222"/>
          <w:sz w:val="24"/>
          <w:szCs w:val="24"/>
        </w:rPr>
        <w:t xml:space="preserve"> This resource provides information, resources, and practices for integrating digital literacy and resilience skills into the adult English language learners. The content for this resource comes from the fall 2023 Digital Literacy for Multilingual Learners webinar series and was developed by Darlene Fahrenkrug</w:t>
      </w:r>
      <w:r w:rsidR="001C19EB">
        <w:rPr>
          <w:rFonts w:ascii="Times New Roman" w:eastAsia="Times New Roman" w:hAnsi="Times New Roman" w:cs="Times New Roman"/>
          <w:color w:val="222222"/>
          <w:sz w:val="24"/>
          <w:szCs w:val="24"/>
        </w:rPr>
        <w:t>, an instructor at the Arlington County REEP IELCE program</w:t>
      </w:r>
      <w:r w:rsidR="00F648BC">
        <w:rPr>
          <w:rFonts w:ascii="Times New Roman" w:eastAsia="Times New Roman" w:hAnsi="Times New Roman" w:cs="Times New Roman"/>
          <w:color w:val="222222"/>
          <w:sz w:val="24"/>
          <w:szCs w:val="24"/>
        </w:rPr>
        <w:t xml:space="preserve">. </w:t>
      </w:r>
    </w:p>
    <w:p w14:paraId="6EC0240A"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Do the instructional methods and materials reflect the essential components of reading instruction</w:t>
      </w:r>
      <w:r>
        <w:rPr>
          <w:rFonts w:ascii="Times New Roman" w:eastAsia="Times New Roman" w:hAnsi="Times New Roman" w:cs="Times New Roman"/>
          <w:sz w:val="24"/>
          <w:szCs w:val="24"/>
        </w:rPr>
        <w:t xml:space="preserve"> (consideration 5b)</w:t>
      </w:r>
      <w:r>
        <w:rPr>
          <w:rFonts w:ascii="Times New Roman" w:eastAsia="Times New Roman" w:hAnsi="Times New Roman" w:cs="Times New Roman"/>
          <w:i/>
          <w:sz w:val="24"/>
          <w:szCs w:val="24"/>
        </w:rPr>
        <w:t xml:space="preserve"> and “best practices derived from the most rigorous research available” </w:t>
      </w:r>
      <w:r>
        <w:rPr>
          <w:rFonts w:ascii="Times New Roman" w:eastAsia="Times New Roman" w:hAnsi="Times New Roman" w:cs="Times New Roman"/>
          <w:sz w:val="24"/>
          <w:szCs w:val="24"/>
        </w:rPr>
        <w:t xml:space="preserve">(consideration 6)? How does the program evaluate, choose, and renew instructional materials that support standards-based instruction to adhere to the state priority to deliver standards-based instruction (SBI) in all settings?  How does the program incorporate all components of reading (alphabetics, fluency, vocabulary, and comprehension) and the science of reading instructional methods into programming? Are learners who read at or below the intermediate level assessed to determine which reading component skills they need to strengthen? How do staff recruitment, hiring, retention, and development practices ensure content knowledge expertise is maintained and updated among instructors and support communication between managers and instructional leaders? </w:t>
      </w:r>
    </w:p>
    <w:p w14:paraId="5C337DBB" w14:textId="348DE426"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science of reading consists of a large body of multidisciplinary research, including education, neuroscience, developmental psychology, and cognitive psychology. This research helps explain how people learn to read–with a strong focus on the neuroscience involved in learning to read–and which practices best support quality reading instruction. The VALRC has curated a </w:t>
      </w:r>
      <w:hyperlink r:id="rId91" w:history="1">
        <w:r>
          <w:rPr>
            <w:rFonts w:ascii="Times New Roman" w:eastAsia="Times New Roman" w:hAnsi="Times New Roman" w:cs="Times New Roman"/>
            <w:sz w:val="24"/>
            <w:szCs w:val="24"/>
          </w:rPr>
          <w:t>suite of resources</w:t>
        </w:r>
      </w:hyperlink>
      <w:r>
        <w:rPr>
          <w:rFonts w:ascii="Times New Roman" w:eastAsia="Times New Roman" w:hAnsi="Times New Roman" w:cs="Times New Roman"/>
          <w:sz w:val="24"/>
          <w:szCs w:val="24"/>
        </w:rPr>
        <w:t xml:space="preserve"> and maintains a </w:t>
      </w:r>
      <w:hyperlink r:id="rId92" w:history="1">
        <w:r w:rsidRPr="00F4087C">
          <w:rPr>
            <w:rStyle w:val="Hyperlink"/>
            <w:rFonts w:ascii="Times New Roman" w:hAnsi="Times New Roman" w:cs="Times New Roman"/>
            <w:sz w:val="24"/>
            <w:szCs w:val="24"/>
          </w:rPr>
          <w:t xml:space="preserve">Reading: Featured Instructional </w:t>
        </w:r>
      </w:hyperlink>
      <w:hyperlink r:id="rId93" w:history="1">
        <w:r w:rsidRPr="00F4087C">
          <w:rPr>
            <w:rStyle w:val="Hyperlink"/>
            <w:rFonts w:ascii="Times New Roman" w:hAnsi="Times New Roman" w:cs="Times New Roman"/>
            <w:sz w:val="24"/>
            <w:szCs w:val="24"/>
          </w:rPr>
          <w:t>Resources</w:t>
        </w:r>
      </w:hyperlink>
      <w:r w:rsidR="00E7100F" w:rsidRPr="00F4087C">
        <w:rPr>
          <w:sz w:val="24"/>
          <w:szCs w:val="24"/>
        </w:rPr>
        <w:t xml:space="preserve"> </w:t>
      </w:r>
      <w:r>
        <w:rPr>
          <w:rFonts w:ascii="Times New Roman" w:eastAsia="Times New Roman" w:hAnsi="Times New Roman" w:cs="Times New Roman"/>
          <w:sz w:val="24"/>
          <w:szCs w:val="24"/>
        </w:rPr>
        <w:t xml:space="preserve">webpage, which contains professional development learning opportunities that support and are responsive to the requirements stated in </w:t>
      </w:r>
      <w:hyperlink r:id="rId94" w:history="1">
        <w:r w:rsidRPr="00F4087C">
          <w:rPr>
            <w:rStyle w:val="Hyperlink"/>
            <w:rFonts w:ascii="Times New Roman" w:hAnsi="Times New Roman" w:cs="Times New Roman"/>
            <w:sz w:val="24"/>
            <w:szCs w:val="24"/>
          </w:rPr>
          <w:t>Adult Education Director’s Memo #62-23</w:t>
        </w:r>
      </w:hyperlink>
      <w:r>
        <w:rPr>
          <w:rFonts w:ascii="Times New Roman" w:eastAsia="Times New Roman" w:hAnsi="Times New Roman" w:cs="Times New Roman"/>
          <w:sz w:val="24"/>
          <w:szCs w:val="24"/>
        </w:rPr>
        <w:t>.</w:t>
      </w:r>
    </w:p>
    <w:p w14:paraId="3E6B5091" w14:textId="56C01EC6" w:rsidR="00F648BC" w:rsidRDefault="00F648BC" w:rsidP="00F648B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95">
        <w:r>
          <w:rPr>
            <w:rFonts w:ascii="Times New Roman" w:eastAsia="Times New Roman" w:hAnsi="Times New Roman" w:cs="Times New Roman"/>
            <w:i/>
            <w:color w:val="0000FF"/>
            <w:sz w:val="24"/>
            <w:szCs w:val="24"/>
            <w:u w:val="single"/>
          </w:rPr>
          <w:t>College and Career Readiness Standards for Adult Education (CCRS)</w:t>
        </w:r>
      </w:hyperlink>
      <w:r>
        <w:rPr>
          <w:rFonts w:ascii="Times New Roman" w:eastAsia="Times New Roman" w:hAnsi="Times New Roman" w:cs="Times New Roman"/>
          <w:sz w:val="24"/>
          <w:szCs w:val="24"/>
        </w:rPr>
        <w:t xml:space="preserve"> are Virginia’s state-adopted standards for adult education instruction. For E</w:t>
      </w:r>
      <w:r w:rsidR="001C19EB">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instruction and other classes that include English language learners, teachers are encouraged to consult and use the </w:t>
      </w:r>
      <w:hyperlink r:id="rId96">
        <w:r>
          <w:rPr>
            <w:rFonts w:ascii="Times New Roman" w:eastAsia="Times New Roman" w:hAnsi="Times New Roman" w:cs="Times New Roman"/>
            <w:i/>
            <w:color w:val="0000FF"/>
            <w:sz w:val="24"/>
            <w:szCs w:val="24"/>
            <w:u w:val="single"/>
          </w:rPr>
          <w:t>English Language Proficiency Standards (ELPS)</w:t>
        </w:r>
      </w:hyperlink>
      <w:r>
        <w:rPr>
          <w:rFonts w:ascii="Times New Roman" w:eastAsia="Times New Roman" w:hAnsi="Times New Roman" w:cs="Times New Roman"/>
          <w:sz w:val="24"/>
          <w:szCs w:val="24"/>
        </w:rPr>
        <w:t xml:space="preserve">, which provide standards and guidance for supporting language learners in reaching college and career readiness goals. </w:t>
      </w:r>
      <w:hyperlink r:id="rId97" w:history="1">
        <w:r>
          <w:rPr>
            <w:rFonts w:ascii="Times New Roman" w:eastAsia="Times New Roman" w:hAnsi="Times New Roman" w:cs="Times New Roman"/>
            <w:sz w:val="24"/>
            <w:szCs w:val="24"/>
          </w:rPr>
          <w:t>The College and Career Readiness Observation Tools</w:t>
        </w:r>
      </w:hyperlink>
      <w:r>
        <w:rPr>
          <w:rFonts w:ascii="Times New Roman" w:eastAsia="Times New Roman" w:hAnsi="Times New Roman" w:cs="Times New Roman"/>
          <w:sz w:val="24"/>
          <w:szCs w:val="24"/>
        </w:rPr>
        <w:t xml:space="preserve"> provide a means of ensuring that instruction is standards-based and aligned to best and promising practices in English language acquisition, English language arts, and mathematics. Programs are expected to fully implement SBI, which is defined by the state as: </w:t>
      </w:r>
    </w:p>
    <w:p w14:paraId="35FE9827" w14:textId="77777777" w:rsidR="00F648BC" w:rsidRDefault="00F648BC" w:rsidP="00F648BC">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All adult education programs are prepared to deliver instruction aligned to and addressing all levels of state-adopted instructional standards. Standards-based instruction demonstrates College and Career Readiness key advances and meets the expectations set by the core actions of the Standards-in-Action observation tools. </w:t>
      </w:r>
      <w:r>
        <w:rPr>
          <w:rFonts w:ascii="Times New Roman" w:eastAsia="Times New Roman" w:hAnsi="Times New Roman" w:cs="Times New Roman"/>
          <w:i/>
          <w:sz w:val="24"/>
          <w:szCs w:val="24"/>
        </w:rPr>
        <w:lastRenderedPageBreak/>
        <w:t xml:space="preserve">Organizational leadership, policies, and practices support the conditions necessary for the effective and sustainable implementation of standards-based instruction to maximize student learning in adult education classrooms across the Commonwealth. </w:t>
      </w:r>
    </w:p>
    <w:p w14:paraId="031FE2F8" w14:textId="77777777" w:rsidR="00F648BC" w:rsidRDefault="00F648BC" w:rsidP="00FA6B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98">
        <w:r>
          <w:rPr>
            <w:rFonts w:ascii="Times New Roman" w:eastAsia="Times New Roman" w:hAnsi="Times New Roman" w:cs="Times New Roman"/>
            <w:i/>
            <w:color w:val="0000FF"/>
            <w:sz w:val="24"/>
            <w:szCs w:val="24"/>
            <w:u w:val="single"/>
          </w:rPr>
          <w:t>Implementing Standards-based Instruction in Virginia: A Technical Assistance Roadmap</w:t>
        </w:r>
      </w:hyperlink>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document includes more information on the standards, key advances, and core actions, along with suggestions for how managers and teachers can support SBI. Programs embracing full implementation of SBI address the breadth of skills included in the CCRS, among them critical thinking, quantitative reasoning, digital literacy, collaboration, and speaking and listening for all adult learners. The VALRC offers an abundance of </w:t>
      </w:r>
      <w:hyperlink r:id="rId99">
        <w:r>
          <w:rPr>
            <w:rFonts w:ascii="Times New Roman" w:eastAsia="Times New Roman" w:hAnsi="Times New Roman" w:cs="Times New Roman"/>
            <w:color w:val="0000FF"/>
            <w:sz w:val="24"/>
            <w:szCs w:val="24"/>
            <w:u w:val="single"/>
          </w:rPr>
          <w:t>training and resources related to SBI</w:t>
        </w:r>
      </w:hyperlink>
      <w:r>
        <w:rPr>
          <w:rFonts w:ascii="Times New Roman" w:eastAsia="Times New Roman" w:hAnsi="Times New Roman" w:cs="Times New Roman"/>
          <w:sz w:val="24"/>
          <w:szCs w:val="24"/>
        </w:rPr>
        <w:t>.</w:t>
      </w:r>
    </w:p>
    <w:p w14:paraId="7952EC8D" w14:textId="77777777" w:rsidR="00F648BC" w:rsidRDefault="00F648BC" w:rsidP="00785624">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How is adult education and literacy instruction contextualized </w:t>
      </w:r>
      <w:r>
        <w:rPr>
          <w:rFonts w:ascii="Times New Roman" w:eastAsia="Times New Roman" w:hAnsi="Times New Roman" w:cs="Times New Roman"/>
          <w:sz w:val="24"/>
          <w:szCs w:val="24"/>
        </w:rPr>
        <w:t xml:space="preserve">(consideration 8), such that learners are simultaneously preparing for further education and training, employment, or work advancement? Workforce preparation activities can be a powerful means of contextualizing academic instruction. Integrated education and training (IET) programming, through which academic, workforce preparation, and occupational training are offered concurrently, is also a programming model that allows instructors to contextualize instruction and, as a state requirement, should be offered by every provider. The VALRC provides </w:t>
      </w:r>
      <w:hyperlink r:id="rId100" w:history="1">
        <w:r>
          <w:rPr>
            <w:rFonts w:ascii="Times New Roman" w:eastAsia="Times New Roman" w:hAnsi="Times New Roman" w:cs="Times New Roman"/>
            <w:sz w:val="24"/>
            <w:szCs w:val="24"/>
          </w:rPr>
          <w:t>professional development and resources on workforce preparation</w:t>
        </w:r>
      </w:hyperlink>
      <w:r>
        <w:rPr>
          <w:rFonts w:ascii="Times New Roman" w:eastAsia="Times New Roman" w:hAnsi="Times New Roman" w:cs="Times New Roman"/>
          <w:sz w:val="24"/>
          <w:szCs w:val="24"/>
        </w:rPr>
        <w:t xml:space="preserve"> that supports the contextualization of adult learning with workforce preparation content. </w:t>
      </w:r>
    </w:p>
    <w:p w14:paraId="7D49E0B9"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What is the level of communication and coordination between the program and the Local Workforce Development Board (LWDB), the local and regional one-stop centers, and other community organizations and services in the development of career pathways</w:t>
      </w:r>
      <w:r>
        <w:rPr>
          <w:rFonts w:ascii="Times New Roman" w:eastAsia="Times New Roman" w:hAnsi="Times New Roman" w:cs="Times New Roman"/>
          <w:sz w:val="24"/>
          <w:szCs w:val="24"/>
        </w:rPr>
        <w:t xml:space="preserve"> (consideration 10)? It is important to recognize and understand the role of adult education in the local and regional workforce continuum. Is the program responsive to the needs identified in the local workforce development plan (consideration 1a)? Do program activities and services align with the strategies and goals of the local plan, and are these services offered in collaboration with the WIOA and community partners (consideration 4)? Is the program fulfilling its responsibilities with the local and regional Career Works Centers (section Alignment with WIOA Partners, subsection: One-Stop, or Career Works, Center Responsibilities)? </w:t>
      </w:r>
    </w:p>
    <w:p w14:paraId="163F0196"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Is the program design responsive to serving individuals in the region who are most in need of adult education and literacy activities, including individuals who have low levels of literacy or are English language learners</w:t>
      </w:r>
      <w:r>
        <w:rPr>
          <w:rFonts w:ascii="Times New Roman" w:eastAsia="Times New Roman" w:hAnsi="Times New Roman" w:cs="Times New Roman"/>
          <w:sz w:val="24"/>
          <w:szCs w:val="24"/>
        </w:rPr>
        <w:t xml:space="preserve"> (consideration 1b and 13)? How is the program using data to track “responsiveness”? How are partnerships leveraged to reach key populations for services? See the interactive </w:t>
      </w:r>
      <w:hyperlink r:id="rId101">
        <w:r>
          <w:rPr>
            <w:rFonts w:ascii="Times New Roman" w:eastAsia="Times New Roman" w:hAnsi="Times New Roman" w:cs="Times New Roman"/>
            <w:color w:val="0000FF"/>
            <w:sz w:val="24"/>
            <w:szCs w:val="24"/>
            <w:u w:val="single"/>
          </w:rPr>
          <w:t>Study of Adult Skills maps</w:t>
        </w:r>
      </w:hyperlink>
      <w:r>
        <w:rPr>
          <w:rFonts w:ascii="Times New Roman" w:eastAsia="Times New Roman" w:hAnsi="Times New Roman" w:cs="Times New Roman"/>
          <w:sz w:val="24"/>
          <w:szCs w:val="24"/>
        </w:rPr>
        <w:t xml:space="preserve"> that are constructed at the county level to inform your understanding of local needs.</w:t>
      </w:r>
    </w:p>
    <w:p w14:paraId="0A2C8C05" w14:textId="77777777" w:rsidR="00F648BC" w:rsidRDefault="00F648BC" w:rsidP="008D03B8">
      <w:pPr>
        <w:pStyle w:val="Heading4"/>
      </w:pPr>
      <w:bookmarkStart w:id="41" w:name="_qfr29dbdsgb7" w:colFirst="0" w:colLast="0"/>
      <w:bookmarkStart w:id="42" w:name="_Toc174088854"/>
      <w:bookmarkEnd w:id="41"/>
      <w:r>
        <w:t>Serving Multilingual Learners</w:t>
      </w:r>
      <w:bookmarkEnd w:id="42"/>
    </w:p>
    <w:p w14:paraId="6A045BF4" w14:textId="22C03696" w:rsidR="00F648BC" w:rsidRDefault="00785624" w:rsidP="00F648BC">
      <w:pPr>
        <w:rPr>
          <w:rFonts w:ascii="Times New Roman" w:eastAsia="Times New Roman" w:hAnsi="Times New Roman" w:cs="Times New Roman"/>
          <w:sz w:val="24"/>
          <w:szCs w:val="24"/>
        </w:rPr>
      </w:pPr>
      <w:r>
        <w:rPr>
          <w:rFonts w:ascii="Times New Roman" w:eastAsia="Times New Roman" w:hAnsi="Times New Roman" w:cs="Times New Roman"/>
          <w:sz w:val="24"/>
          <w:szCs w:val="24"/>
        </w:rPr>
        <w:t>Sixty-fve</w:t>
      </w:r>
      <w:r w:rsidR="00F648BC">
        <w:rPr>
          <w:rFonts w:ascii="Times New Roman" w:eastAsia="Times New Roman" w:hAnsi="Times New Roman" w:cs="Times New Roman"/>
          <w:sz w:val="24"/>
          <w:szCs w:val="24"/>
        </w:rPr>
        <w:t xml:space="preserve"> percent of adult learners </w:t>
      </w:r>
      <w:r>
        <w:rPr>
          <w:rFonts w:ascii="Times New Roman" w:eastAsia="Times New Roman" w:hAnsi="Times New Roman" w:cs="Times New Roman"/>
          <w:sz w:val="24"/>
          <w:szCs w:val="24"/>
        </w:rPr>
        <w:t xml:space="preserve">enrolled in adult education in Virginia in PY2023-2024 indicated that they began their formal education outside of the United States.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these learners </w:t>
      </w:r>
      <w:r w:rsidR="00F648BC">
        <w:rPr>
          <w:rFonts w:ascii="Times New Roman" w:eastAsia="Times New Roman" w:hAnsi="Times New Roman" w:cs="Times New Roman"/>
          <w:sz w:val="24"/>
          <w:szCs w:val="24"/>
        </w:rPr>
        <w:t xml:space="preserve">are multilingual, meaning that they speak and/or are literate in one or more languages. Because of this demographic information, most adult education programs in Virginia have multilingual learners in their classrooms which is why it is important to understand these populations and account for them in program design and planning for instructional quality. The </w:t>
      </w:r>
      <w:r w:rsidR="00F648BC">
        <w:rPr>
          <w:rFonts w:ascii="Times New Roman" w:eastAsia="Times New Roman" w:hAnsi="Times New Roman" w:cs="Times New Roman"/>
          <w:sz w:val="24"/>
          <w:szCs w:val="24"/>
        </w:rPr>
        <w:lastRenderedPageBreak/>
        <w:t>following resources provide more information and training on working with multilingual learners. This information applies not only to English language acquisition classrooms but any learning environment that includes multilingual individuals.</w:t>
      </w:r>
    </w:p>
    <w:p w14:paraId="44488C10" w14:textId="756E87AB" w:rsidR="00F648BC" w:rsidRDefault="00B73E9E" w:rsidP="00022694">
      <w:pPr>
        <w:numPr>
          <w:ilvl w:val="0"/>
          <w:numId w:val="51"/>
        </w:numPr>
        <w:spacing w:after="0"/>
      </w:pPr>
      <w:hyperlink r:id="rId102" w:history="1">
        <w:r w:rsidR="00F648BC" w:rsidRPr="00F4087C">
          <w:rPr>
            <w:rStyle w:val="Hyperlink"/>
            <w:rFonts w:ascii="Times New Roman" w:hAnsi="Times New Roman" w:cs="Times New Roman"/>
            <w:sz w:val="24"/>
            <w:szCs w:val="24"/>
          </w:rPr>
          <w:t>English to Speakers of Other Languages (ESOL) Featured Resources</w:t>
        </w:r>
      </w:hyperlink>
      <w:r w:rsidR="00F648BC" w:rsidRPr="00F4087C">
        <w:rPr>
          <w:rStyle w:val="Hyperlink"/>
          <w:rFonts w:ascii="Times New Roman" w:hAnsi="Times New Roman" w:cs="Times New Roman"/>
          <w:sz w:val="24"/>
          <w:szCs w:val="24"/>
        </w:rPr>
        <w:t>:</w:t>
      </w:r>
      <w:r w:rsidR="00F648BC">
        <w:rPr>
          <w:rFonts w:ascii="Times New Roman" w:eastAsia="Times New Roman" w:hAnsi="Times New Roman" w:cs="Times New Roman"/>
          <w:sz w:val="24"/>
          <w:szCs w:val="24"/>
        </w:rPr>
        <w:t xml:space="preserve"> This collection of resources provides information on key instructional strategies as well as learning more about the adult E</w:t>
      </w:r>
      <w:r w:rsidR="003D42E4">
        <w:rPr>
          <w:rFonts w:ascii="Times New Roman" w:eastAsia="Times New Roman" w:hAnsi="Times New Roman" w:cs="Times New Roman"/>
          <w:sz w:val="24"/>
          <w:szCs w:val="24"/>
        </w:rPr>
        <w:t>LA</w:t>
      </w:r>
      <w:r w:rsidR="00F648BC">
        <w:rPr>
          <w:rFonts w:ascii="Times New Roman" w:eastAsia="Times New Roman" w:hAnsi="Times New Roman" w:cs="Times New Roman"/>
          <w:sz w:val="24"/>
          <w:szCs w:val="24"/>
        </w:rPr>
        <w:t xml:space="preserve"> classroom and adult multilingual learners. </w:t>
      </w:r>
      <w:proofErr w:type="gramStart"/>
      <w:r w:rsidR="00F648BC">
        <w:rPr>
          <w:rFonts w:ascii="Times New Roman" w:eastAsia="Times New Roman" w:hAnsi="Times New Roman" w:cs="Times New Roman"/>
          <w:sz w:val="24"/>
          <w:szCs w:val="24"/>
        </w:rPr>
        <w:t>All of</w:t>
      </w:r>
      <w:proofErr w:type="gramEnd"/>
      <w:r w:rsidR="00F648BC">
        <w:rPr>
          <w:rFonts w:ascii="Times New Roman" w:eastAsia="Times New Roman" w:hAnsi="Times New Roman" w:cs="Times New Roman"/>
          <w:sz w:val="24"/>
          <w:szCs w:val="24"/>
        </w:rPr>
        <w:t xml:space="preserve"> these resources can be used by instructors who are new to adult E</w:t>
      </w:r>
      <w:r w:rsidR="003D42E4">
        <w:rPr>
          <w:rFonts w:ascii="Times New Roman" w:eastAsia="Times New Roman" w:hAnsi="Times New Roman" w:cs="Times New Roman"/>
          <w:sz w:val="24"/>
          <w:szCs w:val="24"/>
        </w:rPr>
        <w:t>LA</w:t>
      </w:r>
      <w:r w:rsidR="00F648BC">
        <w:rPr>
          <w:rFonts w:ascii="Times New Roman" w:eastAsia="Times New Roman" w:hAnsi="Times New Roman" w:cs="Times New Roman"/>
          <w:sz w:val="24"/>
          <w:szCs w:val="24"/>
        </w:rPr>
        <w:t xml:space="preserve"> instruction or those who are interested in further developing their instructional skills and knowledge.</w:t>
      </w:r>
    </w:p>
    <w:p w14:paraId="2E321549" w14:textId="77777777" w:rsidR="00F648BC" w:rsidRDefault="00B73E9E" w:rsidP="00022694">
      <w:pPr>
        <w:numPr>
          <w:ilvl w:val="0"/>
          <w:numId w:val="51"/>
        </w:numPr>
        <w:spacing w:after="0"/>
      </w:pPr>
      <w:hyperlink r:id="rId103" w:history="1">
        <w:r w:rsidR="00F648BC" w:rsidRPr="00F4087C">
          <w:rPr>
            <w:rStyle w:val="Hyperlink"/>
            <w:rFonts w:ascii="Times New Roman" w:hAnsi="Times New Roman" w:cs="Times New Roman"/>
            <w:sz w:val="24"/>
            <w:szCs w:val="24"/>
          </w:rPr>
          <w:t>ESOL Instructional Techniques Bank</w:t>
        </w:r>
      </w:hyperlink>
      <w:r w:rsidR="00F648BC" w:rsidRPr="00F4087C">
        <w:rPr>
          <w:rStyle w:val="Hyperlink"/>
          <w:rFonts w:ascii="Times New Roman" w:hAnsi="Times New Roman" w:cs="Times New Roman"/>
          <w:sz w:val="24"/>
          <w:szCs w:val="24"/>
        </w:rPr>
        <w:t>:</w:t>
      </w:r>
      <w:r w:rsidR="00F648BC">
        <w:rPr>
          <w:rFonts w:ascii="Times New Roman" w:eastAsia="Times New Roman" w:hAnsi="Times New Roman" w:cs="Times New Roman"/>
          <w:sz w:val="24"/>
          <w:szCs w:val="24"/>
        </w:rPr>
        <w:t xml:space="preserve"> This resource provides instructional techniques for engaging multilingual learners in the English language classroom. These techniques are aligned with the English Language Proficiency Standards and the College and Career Readiness Standards and most of them engage learners in all four language modalities: speaking, listening, reading, and writing.</w:t>
      </w:r>
    </w:p>
    <w:p w14:paraId="52675255" w14:textId="77777777" w:rsidR="00F648BC" w:rsidRDefault="00B73E9E" w:rsidP="00022694">
      <w:pPr>
        <w:numPr>
          <w:ilvl w:val="0"/>
          <w:numId w:val="51"/>
        </w:numPr>
        <w:spacing w:after="0"/>
      </w:pPr>
      <w:hyperlink r:id="rId104" w:history="1">
        <w:r w:rsidR="00F648BC" w:rsidRPr="00F4087C">
          <w:rPr>
            <w:rStyle w:val="Hyperlink"/>
            <w:rFonts w:ascii="Times New Roman" w:hAnsi="Times New Roman" w:cs="Times New Roman"/>
            <w:sz w:val="24"/>
            <w:szCs w:val="24"/>
          </w:rPr>
          <w:t>Enhancing Access for Refugees and New Americans (EARN) Resources</w:t>
        </w:r>
      </w:hyperlink>
      <w:r w:rsidR="00F648BC" w:rsidRPr="00F4087C">
        <w:rPr>
          <w:rStyle w:val="Hyperlink"/>
          <w:rFonts w:ascii="Times New Roman" w:hAnsi="Times New Roman" w:cs="Times New Roman"/>
          <w:sz w:val="24"/>
          <w:szCs w:val="24"/>
        </w:rPr>
        <w:t>:</w:t>
      </w:r>
      <w:r w:rsidR="00F648BC">
        <w:rPr>
          <w:rFonts w:ascii="Times New Roman" w:eastAsia="Times New Roman" w:hAnsi="Times New Roman" w:cs="Times New Roman"/>
          <w:sz w:val="24"/>
          <w:szCs w:val="24"/>
        </w:rPr>
        <w:t xml:space="preserve"> This resource provides information on the federal EARN project as well as tips and strategies that adult education programs in Virginia are using to enhance access to refugees and new Americans on the state and program level.</w:t>
      </w:r>
    </w:p>
    <w:p w14:paraId="60CE6549" w14:textId="77777777" w:rsidR="00F648BC" w:rsidRPr="00785624" w:rsidRDefault="00B73E9E" w:rsidP="00022694">
      <w:pPr>
        <w:numPr>
          <w:ilvl w:val="0"/>
          <w:numId w:val="51"/>
        </w:numPr>
      </w:pPr>
      <w:hyperlink r:id="rId105" w:history="1">
        <w:r w:rsidR="00F648BC" w:rsidRPr="00F4087C">
          <w:rPr>
            <w:rStyle w:val="Hyperlink"/>
            <w:rFonts w:ascii="Times New Roman" w:hAnsi="Times New Roman" w:cs="Times New Roman"/>
            <w:sz w:val="24"/>
            <w:szCs w:val="24"/>
          </w:rPr>
          <w:t>Strategies and Routines for Multilingual Learners</w:t>
        </w:r>
      </w:hyperlink>
      <w:r w:rsidR="00F648BC" w:rsidRPr="00F4087C">
        <w:rPr>
          <w:rStyle w:val="Hyperlink"/>
          <w:rFonts w:ascii="Times New Roman" w:hAnsi="Times New Roman" w:cs="Times New Roman"/>
          <w:sz w:val="24"/>
          <w:szCs w:val="24"/>
        </w:rPr>
        <w:t>:</w:t>
      </w:r>
      <w:r w:rsidR="00F648BC">
        <w:rPr>
          <w:rFonts w:ascii="Times New Roman" w:eastAsia="Times New Roman" w:hAnsi="Times New Roman" w:cs="Times New Roman"/>
          <w:sz w:val="24"/>
          <w:szCs w:val="24"/>
        </w:rPr>
        <w:t xml:space="preserve"> This resource details effective strategies and routines to support multilingual learners in an adult education classroom.</w:t>
      </w:r>
    </w:p>
    <w:p w14:paraId="69109CA0" w14:textId="77777777" w:rsidR="00F648BC" w:rsidRDefault="00F648BC" w:rsidP="008D03B8">
      <w:pPr>
        <w:pStyle w:val="Heading4"/>
        <w:rPr>
          <w:i/>
        </w:rPr>
      </w:pPr>
      <w:bookmarkStart w:id="43" w:name="_3fwokq0" w:colFirst="0" w:colLast="0"/>
      <w:bookmarkStart w:id="44" w:name="_Toc174088855"/>
      <w:bookmarkEnd w:id="43"/>
      <w:r>
        <w:t>Serving Adults with Disabilities</w:t>
      </w:r>
      <w:bookmarkEnd w:id="44"/>
    </w:p>
    <w:p w14:paraId="3D5590AC" w14:textId="77777777" w:rsidR="00F648BC" w:rsidRDefault="00F648BC" w:rsidP="00F648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consideration 2 asks </w:t>
      </w:r>
      <w:r>
        <w:rPr>
          <w:rFonts w:ascii="Times New Roman" w:eastAsia="Times New Roman" w:hAnsi="Times New Roman" w:cs="Times New Roman"/>
          <w:i/>
          <w:sz w:val="24"/>
          <w:szCs w:val="24"/>
        </w:rPr>
        <w:t>how well programs and instructors are prepared to serve students with disabilities and students who face other barriers.</w:t>
      </w:r>
      <w:r>
        <w:rPr>
          <w:rFonts w:ascii="Times New Roman" w:eastAsia="Times New Roman" w:hAnsi="Times New Roman" w:cs="Times New Roman"/>
          <w:sz w:val="24"/>
          <w:szCs w:val="24"/>
        </w:rPr>
        <w:t xml:space="preserve"> Youth and adults with disabilities, whether formally diagnosed or not, with either high-incidence (such as learning disabilities, attention disorders, and health impairments) or low-incidence (such as severe sensory impairments) disabilities, or both, are populations of high priority for WIOA services. Instructors and support staff should be knowledgeable about how to communicate with individuals about disabilities and about the program’s policies governing confidentiality and the provision of reasonable accommodations. Students should be served in the most integrated setting appropriate.</w:t>
      </w:r>
    </w:p>
    <w:p w14:paraId="169BFB91" w14:textId="4A193F54" w:rsidR="00F648BC" w:rsidRDefault="00F648BC" w:rsidP="00F648BC">
      <w:pPr>
        <w:spacing w:before="240" w:after="240" w:line="240" w:lineRule="auto"/>
        <w:rPr>
          <w:rFonts w:ascii="Times New Roman" w:eastAsia="Times New Roman" w:hAnsi="Times New Roman" w:cs="Times New Roman"/>
          <w:sz w:val="24"/>
          <w:szCs w:val="24"/>
        </w:rPr>
      </w:pPr>
      <w:r w:rsidRPr="00FE0080">
        <w:rPr>
          <w:rFonts w:ascii="Times New Roman" w:eastAsia="Times New Roman" w:hAnsi="Times New Roman" w:cs="Times New Roman"/>
          <w:b/>
          <w:bCs/>
          <w:sz w:val="24"/>
          <w:szCs w:val="24"/>
        </w:rPr>
        <w:t>Inclusive instruction.</w:t>
      </w:r>
      <w:r>
        <w:rPr>
          <w:rFonts w:ascii="Times New Roman" w:eastAsia="Times New Roman" w:hAnsi="Times New Roman" w:cs="Times New Roman"/>
          <w:sz w:val="24"/>
          <w:szCs w:val="24"/>
        </w:rPr>
        <w:t xml:space="preserve"> The VALRC has curated a </w:t>
      </w:r>
      <w:hyperlink r:id="rId106" w:history="1">
        <w:r>
          <w:rPr>
            <w:rFonts w:ascii="Times New Roman" w:eastAsia="Times New Roman" w:hAnsi="Times New Roman" w:cs="Times New Roman"/>
            <w:sz w:val="24"/>
            <w:szCs w:val="24"/>
          </w:rPr>
          <w:t>suite of resources</w:t>
        </w:r>
      </w:hyperlink>
      <w:r>
        <w:rPr>
          <w:rFonts w:ascii="Times New Roman" w:eastAsia="Times New Roman" w:hAnsi="Times New Roman" w:cs="Times New Roman"/>
          <w:sz w:val="24"/>
          <w:szCs w:val="24"/>
        </w:rPr>
        <w:t xml:space="preserve"> and </w:t>
      </w:r>
      <w:hyperlink r:id="rId107" w:history="1">
        <w:r>
          <w:rPr>
            <w:rFonts w:ascii="Times New Roman" w:eastAsia="Times New Roman" w:hAnsi="Times New Roman" w:cs="Times New Roman"/>
            <w:sz w:val="24"/>
            <w:szCs w:val="24"/>
          </w:rPr>
          <w:t>professional development opportunities</w:t>
        </w:r>
      </w:hyperlink>
      <w:r>
        <w:rPr>
          <w:rFonts w:ascii="Times New Roman" w:eastAsia="Times New Roman" w:hAnsi="Times New Roman" w:cs="Times New Roman"/>
          <w:sz w:val="24"/>
          <w:szCs w:val="24"/>
        </w:rPr>
        <w:t xml:space="preserve"> that can assist programs and instructors when working with learners with disabilities. These include self-paced and facilitated courses, links to national resources such as the </w:t>
      </w:r>
      <w:hyperlink r:id="rId108" w:history="1">
        <w:r w:rsidRPr="00F4087C">
          <w:rPr>
            <w:rStyle w:val="Hyperlink"/>
            <w:rFonts w:ascii="Times New Roman" w:hAnsi="Times New Roman" w:cs="Times New Roman"/>
            <w:sz w:val="24"/>
            <w:szCs w:val="24"/>
          </w:rPr>
          <w:t>Job Accommodation Network</w:t>
        </w:r>
      </w:hyperlink>
      <w:r>
        <w:rPr>
          <w:rFonts w:ascii="Times New Roman" w:eastAsia="Times New Roman" w:hAnsi="Times New Roman" w:cs="Times New Roman"/>
          <w:sz w:val="24"/>
          <w:szCs w:val="24"/>
        </w:rPr>
        <w:t xml:space="preserve">, </w:t>
      </w:r>
      <w:hyperlink r:id="rId109" w:history="1">
        <w:r w:rsidRPr="004A6328">
          <w:rPr>
            <w:rStyle w:val="Hyperlink"/>
            <w:rFonts w:ascii="Times New Roman" w:eastAsia="Times New Roman" w:hAnsi="Times New Roman" w:cs="Times New Roman"/>
            <w:sz w:val="24"/>
            <w:szCs w:val="24"/>
          </w:rPr>
          <w:t>LINCS</w:t>
        </w:r>
      </w:hyperlink>
      <w:r>
        <w:rPr>
          <w:rFonts w:ascii="Times New Roman" w:eastAsia="Times New Roman" w:hAnsi="Times New Roman" w:cs="Times New Roman"/>
          <w:sz w:val="24"/>
          <w:szCs w:val="24"/>
        </w:rPr>
        <w:t xml:space="preserve">, and the ten </w:t>
      </w:r>
      <w:hyperlink r:id="rId110" w:history="1">
        <w:r w:rsidRPr="00B3475F">
          <w:rPr>
            <w:rStyle w:val="Hyperlink"/>
            <w:rFonts w:ascii="Times New Roman" w:eastAsia="Times New Roman" w:hAnsi="Times New Roman" w:cs="Times New Roman"/>
            <w:sz w:val="24"/>
            <w:szCs w:val="24"/>
          </w:rPr>
          <w:t>WIOA Disability Playlists</w:t>
        </w:r>
      </w:hyperlink>
      <w:r w:rsidR="00B3475F">
        <w:rPr>
          <w:rFonts w:ascii="Times New Roman" w:eastAsia="Times New Roman" w:hAnsi="Times New Roman" w:cs="Times New Roman"/>
          <w:sz w:val="24"/>
          <w:szCs w:val="24"/>
        </w:rPr>
        <w:t xml:space="preserve"> and articles</w:t>
      </w:r>
      <w:r w:rsidRPr="00B347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strategies and helpful tools.</w:t>
      </w:r>
    </w:p>
    <w:p w14:paraId="790E9E6C" w14:textId="77777777" w:rsidR="00F648BC" w:rsidRDefault="00F648BC" w:rsidP="004942C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particularly helpful concept for increasing inclusive teaching and learning is Universal Design for Learning (UDL), which creates a flexible learning environment that can accommodate individual learning differences. This framework consists of three key principles–engagement, representation, and action and expression–that help remove barriers from curriculum and instruction and make learning more inclusive for all students. This flexible approach provides multiple ways for learners to access and engage with course content and expectations. For example, instructors can: provide access to materials and content in various ways such as </w:t>
      </w:r>
      <w:r>
        <w:rPr>
          <w:rFonts w:ascii="Times New Roman" w:eastAsia="Times New Roman" w:hAnsi="Times New Roman" w:cs="Times New Roman"/>
          <w:sz w:val="24"/>
          <w:szCs w:val="24"/>
        </w:rPr>
        <w:lastRenderedPageBreak/>
        <w:t xml:space="preserve">auditory, visual, or kinesthetic; break assignments or text into smaller chunks; extend learning or response time for an activity; provide text in larger print or use images or audio along with text; or provide options for how learners express what they know, such as writing, speaking, or using technology. More information about how adult educators can apply UDL can be found on the </w:t>
      </w:r>
      <w:hyperlink r:id="rId111" w:history="1">
        <w:r w:rsidRPr="00F4087C">
          <w:rPr>
            <w:rStyle w:val="Hyperlink"/>
            <w:rFonts w:ascii="Times New Roman" w:hAnsi="Times New Roman" w:cs="Times New Roman"/>
            <w:sz w:val="24"/>
            <w:szCs w:val="24"/>
          </w:rPr>
          <w:t>Inclusive Virginia</w:t>
        </w:r>
      </w:hyperlink>
      <w:r w:rsidRPr="00F4087C">
        <w:rPr>
          <w:rStyle w:val="Hyperlink"/>
          <w:rFonts w:ascii="Times New Roman" w:hAnsi="Times New Roman" w:cs="Times New Roman"/>
          <w:sz w:val="24"/>
          <w:szCs w:val="24"/>
        </w:rPr>
        <w:t xml:space="preserve"> website</w:t>
      </w:r>
      <w:r>
        <w:rPr>
          <w:rFonts w:ascii="Times New Roman" w:eastAsia="Times New Roman" w:hAnsi="Times New Roman" w:cs="Times New Roman"/>
          <w:sz w:val="24"/>
          <w:szCs w:val="24"/>
        </w:rPr>
        <w:t xml:space="preserve"> and through technical assistance from the VALRC.</w:t>
      </w:r>
    </w:p>
    <w:p w14:paraId="40E090A4" w14:textId="77777777" w:rsidR="00F648BC" w:rsidRDefault="00F648BC" w:rsidP="00F648BC">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WIOA and Serving Adults with Disabilities. </w:t>
      </w:r>
      <w:r>
        <w:rPr>
          <w:rFonts w:ascii="Times New Roman" w:eastAsia="Times New Roman" w:hAnsi="Times New Roman" w:cs="Times New Roman"/>
          <w:color w:val="000000"/>
          <w:sz w:val="24"/>
          <w:szCs w:val="24"/>
        </w:rPr>
        <w:t xml:space="preserve">WIOA describes funded providers’ obligation to serve individuals with disabilities and other protected statuses in Section 188, which presents the nondiscrimination and equal opportunity provisions for workforce services, activities, and programs. Sec. 188 of WIOA prohibits discrimination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race, color, religion, sex, sexual orientation, age, disability, political affiliation or belief, national origin (including limited English proficiency), and citizenship status. The regulations for implementing Sec. 188 can be found in</w:t>
      </w:r>
      <w:hyperlink r:id="rId112">
        <w:r>
          <w:rPr>
            <w:rFonts w:ascii="Times New Roman" w:eastAsia="Times New Roman" w:hAnsi="Times New Roman" w:cs="Times New Roman"/>
            <w:color w:val="000000"/>
            <w:sz w:val="24"/>
            <w:szCs w:val="24"/>
            <w:u w:val="single"/>
          </w:rPr>
          <w:t xml:space="preserve"> </w:t>
        </w:r>
      </w:hyperlink>
      <w:hyperlink r:id="rId113">
        <w:r>
          <w:rPr>
            <w:rFonts w:ascii="Times New Roman" w:eastAsia="Times New Roman" w:hAnsi="Times New Roman" w:cs="Times New Roman"/>
            <w:color w:val="0000FF"/>
            <w:sz w:val="24"/>
            <w:szCs w:val="24"/>
            <w:u w:val="single"/>
          </w:rPr>
          <w:t>29 CFR Part 38</w:t>
        </w:r>
      </w:hyperlink>
      <w:r>
        <w:rPr>
          <w:rFonts w:ascii="Times New Roman" w:eastAsia="Times New Roman" w:hAnsi="Times New Roman" w:cs="Times New Roman"/>
          <w:color w:val="000000"/>
          <w:sz w:val="24"/>
          <w:szCs w:val="24"/>
        </w:rPr>
        <w:t xml:space="preserve">.The LEAD Center, a technical assistance contractor for the U.S. Department of Labor, created the </w:t>
      </w:r>
      <w:hyperlink r:id="rId114">
        <w:r>
          <w:rPr>
            <w:rFonts w:ascii="Times New Roman" w:eastAsia="Times New Roman" w:hAnsi="Times New Roman" w:cs="Times New Roman"/>
            <w:i/>
            <w:color w:val="0000FF"/>
            <w:sz w:val="24"/>
            <w:szCs w:val="24"/>
            <w:u w:val="single"/>
          </w:rPr>
          <w:t>Section 188 Guide, Promising Practices in Achieving Nondiscrimination and Equal Opportunity: A Section 188 Disability Reference Guide</w:t>
        </w:r>
      </w:hyperlink>
      <w:hyperlink r:id="rId115">
        <w:r>
          <w:rPr>
            <w:rFonts w:ascii="Times New Roman" w:eastAsia="Times New Roman" w:hAnsi="Times New Roman" w:cs="Times New Roman"/>
            <w:color w:val="0000FF"/>
            <w:sz w:val="24"/>
            <w:szCs w:val="24"/>
            <w:u w:val="single"/>
          </w:rPr>
          <w:t>.</w:t>
        </w:r>
      </w:hyperlink>
      <w:r>
        <w:rPr>
          <w:rFonts w:ascii="Times New Roman" w:eastAsia="Times New Roman" w:hAnsi="Times New Roman" w:cs="Times New Roman"/>
          <w:color w:val="000000"/>
          <w:sz w:val="24"/>
          <w:szCs w:val="24"/>
        </w:rPr>
        <w:t xml:space="preserve"> The Guide is organized into two major content areas, Part I: Best Practices and Part II: The Regulations. Programs may find the following sections useful as they think about all the components that contribute to adult education programming: Marketing and Outreach (Section 1.2), Registration (Section 1.6.2), Confidentiality and Disclosure (Section 1.6.4), Collaboration with Partners (Section 1.4), Accommodations (Section 2.2), and Accessibility, both physical and programmatic (Section 2.7). Programs should ensure that all materials, procedures, practices, and policies are designed with all learners in mind and that, when needed, individuals receive appropriate reasonable accommodations to help them gain access to </w:t>
      </w:r>
      <w:proofErr w:type="gramStart"/>
      <w:r>
        <w:rPr>
          <w:rFonts w:ascii="Times New Roman" w:eastAsia="Times New Roman" w:hAnsi="Times New Roman" w:cs="Times New Roman"/>
          <w:color w:val="000000"/>
          <w:sz w:val="24"/>
          <w:szCs w:val="24"/>
        </w:rPr>
        <w:t>any and all</w:t>
      </w:r>
      <w:proofErr w:type="gramEnd"/>
      <w:r>
        <w:rPr>
          <w:rFonts w:ascii="Times New Roman" w:eastAsia="Times New Roman" w:hAnsi="Times New Roman" w:cs="Times New Roman"/>
          <w:color w:val="000000"/>
          <w:sz w:val="24"/>
          <w:szCs w:val="24"/>
        </w:rPr>
        <w:t xml:space="preserve"> aspects of the program.</w:t>
      </w:r>
    </w:p>
    <w:p w14:paraId="0E4C6EF2" w14:textId="77777777" w:rsidR="00F648BC" w:rsidRDefault="00F648BC" w:rsidP="008D03B8">
      <w:pPr>
        <w:pStyle w:val="Heading4"/>
        <w:rPr>
          <w:i/>
        </w:rPr>
      </w:pPr>
      <w:bookmarkStart w:id="45" w:name="_Toc174088856"/>
      <w:r>
        <w:t>Supporting Instructors and Student Services Staff</w:t>
      </w:r>
      <w:bookmarkEnd w:id="45"/>
    </w:p>
    <w:p w14:paraId="2548FF00" w14:textId="77777777" w:rsidR="00F648BC" w:rsidRDefault="00F648BC" w:rsidP="00F648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consideration 9 asks </w:t>
      </w:r>
      <w:r>
        <w:rPr>
          <w:rFonts w:ascii="Times New Roman" w:eastAsia="Times New Roman" w:hAnsi="Times New Roman" w:cs="Times New Roman"/>
          <w:i/>
          <w:sz w:val="24"/>
          <w:szCs w:val="24"/>
        </w:rPr>
        <w:t>how instructors, counselors, and administrators are selected and provided access to high-quality professional development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Ensuring that these student-serving staff members have the skills they need to implement a high-quality program requires thoughtful onboarding, organizational structures, regular communications and faculty meetings with administrators, and ongoing professional development and feedback. </w:t>
      </w:r>
    </w:p>
    <w:p w14:paraId="7C6B689B" w14:textId="77F77FD0"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Virginia, the minimum education requirement for adult education instructors is to hold a </w:t>
      </w:r>
      <w:proofErr w:type="gramStart"/>
      <w:r>
        <w:rPr>
          <w:rFonts w:ascii="Times New Roman" w:eastAsia="Times New Roman" w:hAnsi="Times New Roman" w:cs="Times New Roman"/>
          <w:sz w:val="24"/>
          <w:szCs w:val="24"/>
        </w:rPr>
        <w:t>Bachelor’s</w:t>
      </w:r>
      <w:proofErr w:type="gramEnd"/>
      <w:r>
        <w:rPr>
          <w:rFonts w:ascii="Times New Roman" w:eastAsia="Times New Roman" w:hAnsi="Times New Roman" w:cs="Times New Roman"/>
          <w:sz w:val="24"/>
          <w:szCs w:val="24"/>
        </w:rPr>
        <w:t xml:space="preserve"> degree. Some programs require instructors to hold teaching licenses; others require newly hired instructors to complete a minimum sequence of professional development offered through the VALRC. Onboarding new staff members and ensuring that they all are kept up to date with state and program requirements take deliberate planning and communication. Does your program have an instructors’ handbook; if so, how often is it reviewed and updated? Does your program conduct an onboarding orientation for new instructors? How do you support teachers through their first semester or year? The VALRC maintains</w:t>
      </w:r>
      <w:r w:rsidR="003D42E4">
        <w:rPr>
          <w:rFonts w:ascii="Times New Roman" w:eastAsia="Times New Roman" w:hAnsi="Times New Roman" w:cs="Times New Roman"/>
          <w:sz w:val="24"/>
          <w:szCs w:val="24"/>
        </w:rPr>
        <w:t xml:space="preserve"> a </w:t>
      </w:r>
      <w:hyperlink r:id="rId116" w:history="1">
        <w:r w:rsidR="003D42E4" w:rsidRPr="003D42E4">
          <w:rPr>
            <w:rStyle w:val="Hyperlink"/>
            <w:rFonts w:ascii="Times New Roman" w:eastAsia="Times New Roman" w:hAnsi="Times New Roman" w:cs="Times New Roman"/>
            <w:sz w:val="24"/>
            <w:szCs w:val="24"/>
          </w:rPr>
          <w:t>Resource Guide for New Instructors</w:t>
        </w:r>
      </w:hyperlink>
      <w:r>
        <w:rPr>
          <w:rFonts w:ascii="Times New Roman" w:eastAsia="Times New Roman" w:hAnsi="Times New Roman" w:cs="Times New Roman"/>
          <w:sz w:val="24"/>
          <w:szCs w:val="24"/>
        </w:rPr>
        <w:t xml:space="preserve"> that is updated annually and provides resources and links to professional development opportunities to support onboarding new staff.</w:t>
      </w:r>
    </w:p>
    <w:p w14:paraId="3F98F8B2"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VALRC and the state office are sources of professional development for instructional and administrative staff, and although there is no minimum state requirement for the number of hours </w:t>
      </w:r>
      <w:r>
        <w:rPr>
          <w:rFonts w:ascii="Times New Roman" w:eastAsia="Times New Roman" w:hAnsi="Times New Roman" w:cs="Times New Roman"/>
          <w:sz w:val="24"/>
          <w:szCs w:val="24"/>
        </w:rPr>
        <w:lastRenderedPageBreak/>
        <w:t xml:space="preserve">of professional development required each year, programs budget annually for participation in professional development and involvement in professional learning communities (PLC). </w:t>
      </w:r>
    </w:p>
    <w:p w14:paraId="6A899E33"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Reimbursement to staff members for participation in professional development is an allowable use of federal funds and must be budgeted in the administrative portion of the federal budget (section Managing Federal and State Budgets, subsection: Establishing Budgets). The federal funds in this category are quite limited. Other sources of funding for professional development are the GAE funds, Race to GED</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funds, </w:t>
      </w:r>
      <w:proofErr w:type="spellStart"/>
      <w:r>
        <w:rPr>
          <w:rFonts w:ascii="Times New Roman" w:eastAsia="Times New Roman" w:hAnsi="Times New Roman" w:cs="Times New Roman"/>
          <w:sz w:val="24"/>
          <w:szCs w:val="24"/>
        </w:rPr>
        <w:t>PluggedIn</w:t>
      </w:r>
      <w:proofErr w:type="spellEnd"/>
      <w:r>
        <w:rPr>
          <w:rFonts w:ascii="Times New Roman" w:eastAsia="Times New Roman" w:hAnsi="Times New Roman" w:cs="Times New Roman"/>
          <w:sz w:val="24"/>
          <w:szCs w:val="24"/>
        </w:rPr>
        <w:t xml:space="preserve"> VA funds, local matching funds, program income, and, in some cases, State Lead Coordinating Agency funds (SLCA). The SLCA funding is an appropriate source in instances when a lead staff member attends a conference with the expectation of sharing the training content with the region upon return.</w:t>
      </w:r>
    </w:p>
    <w:p w14:paraId="3C870D0E"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PLCs are another mechanism to build staff expertise and support continuous program improvement. They bring educators together for regular, collaborative meetings over an extended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xml:space="preserve"> (usually a few months or a year) in order to address a problem, plan, and/or improve their craft. The elements of PLCs are to:</w:t>
      </w:r>
    </w:p>
    <w:p w14:paraId="240C9599" w14:textId="77777777" w:rsidR="00F648BC" w:rsidRDefault="00F648BC" w:rsidP="00022694">
      <w:pPr>
        <w:numPr>
          <w:ilvl w:val="0"/>
          <w:numId w:val="53"/>
        </w:numPr>
        <w:spacing w:before="240"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leverage existing professional wisdom among participating </w:t>
      </w:r>
      <w:proofErr w:type="gramStart"/>
      <w:r>
        <w:rPr>
          <w:rFonts w:ascii="Times New Roman" w:eastAsia="Times New Roman" w:hAnsi="Times New Roman" w:cs="Times New Roman"/>
          <w:sz w:val="24"/>
          <w:szCs w:val="24"/>
        </w:rPr>
        <w:t>educators;</w:t>
      </w:r>
      <w:proofErr w:type="gramEnd"/>
      <w:r>
        <w:rPr>
          <w:rFonts w:ascii="Times New Roman" w:eastAsia="Times New Roman" w:hAnsi="Times New Roman" w:cs="Times New Roman"/>
          <w:sz w:val="24"/>
          <w:szCs w:val="24"/>
        </w:rPr>
        <w:t xml:space="preserve"> </w:t>
      </w:r>
    </w:p>
    <w:p w14:paraId="11D3DB50" w14:textId="77777777" w:rsidR="00F648BC" w:rsidRDefault="00F648BC" w:rsidP="00022694">
      <w:pPr>
        <w:numPr>
          <w:ilvl w:val="0"/>
          <w:numId w:val="53"/>
        </w:num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examine additional, external knowledge sources (such as information on evidence-based practices, examples of student work, or student assessment data); and </w:t>
      </w:r>
    </w:p>
    <w:p w14:paraId="07913F8B" w14:textId="77777777" w:rsidR="00F648BC" w:rsidRDefault="00F648BC" w:rsidP="00022694">
      <w:pPr>
        <w:numPr>
          <w:ilvl w:val="0"/>
          <w:numId w:val="53"/>
        </w:numPr>
        <w:spacing w:after="24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practical implementation efforts by group members </w:t>
      </w:r>
      <w:proofErr w:type="gramStart"/>
      <w:r>
        <w:rPr>
          <w:rFonts w:ascii="Times New Roman" w:eastAsia="Times New Roman" w:hAnsi="Times New Roman" w:cs="Times New Roman"/>
          <w:sz w:val="24"/>
          <w:szCs w:val="24"/>
        </w:rPr>
        <w:t>during the course of</w:t>
      </w:r>
      <w:proofErr w:type="gramEnd"/>
      <w:r>
        <w:rPr>
          <w:rFonts w:ascii="Times New Roman" w:eastAsia="Times New Roman" w:hAnsi="Times New Roman" w:cs="Times New Roman"/>
          <w:sz w:val="24"/>
          <w:szCs w:val="24"/>
        </w:rPr>
        <w:t xml:space="preserve"> the PLC. </w:t>
      </w:r>
    </w:p>
    <w:p w14:paraId="6A3F62CD"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PLCs often use a protocol such as that provided by the </w:t>
      </w:r>
      <w:hyperlink r:id="rId117">
        <w:r>
          <w:rPr>
            <w:rFonts w:ascii="Times New Roman" w:eastAsia="Times New Roman" w:hAnsi="Times New Roman" w:cs="Times New Roman"/>
            <w:color w:val="0000FF"/>
            <w:sz w:val="24"/>
            <w:szCs w:val="24"/>
            <w:u w:val="single"/>
          </w:rPr>
          <w:t>critical friends model</w:t>
        </w:r>
      </w:hyperlink>
      <w:r>
        <w:rPr>
          <w:rFonts w:ascii="Times New Roman" w:eastAsia="Times New Roman" w:hAnsi="Times New Roman" w:cs="Times New Roman"/>
          <w:sz w:val="24"/>
          <w:szCs w:val="24"/>
        </w:rPr>
        <w:t xml:space="preserve"> to ensure meetings are organized and productive. </w:t>
      </w:r>
    </w:p>
    <w:p w14:paraId="1CBE523A" w14:textId="77777777" w:rsidR="00F648BC" w:rsidRDefault="00F648BC" w:rsidP="00F648B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instructors and staff members are planning and learning together to address local and regional issues, their participation may be categorized as a PLC for budgeting purposes. The PLCs may be budgeted under federal instructional funds, GAE, Race to GED</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PluggedIn</w:t>
      </w:r>
      <w:proofErr w:type="spellEnd"/>
      <w:r>
        <w:rPr>
          <w:rFonts w:ascii="Times New Roman" w:eastAsia="Times New Roman" w:hAnsi="Times New Roman" w:cs="Times New Roman"/>
          <w:sz w:val="24"/>
          <w:szCs w:val="24"/>
        </w:rPr>
        <w:t xml:space="preserve"> VA, local match, and program income. In some cases, the VALRC coordinates statewide PLCs so that participants can work together on common local issues. Be sure to check with the state office before budgeting for a statewide PLC to determine whether it should be categorized to instructional or administrative funds, if using federal funds.</w:t>
      </w:r>
    </w:p>
    <w:p w14:paraId="000001E8" w14:textId="6036A5A4" w:rsidR="002F3C8D" w:rsidRPr="006656E6" w:rsidRDefault="00F648BC" w:rsidP="004942CD">
      <w:pPr>
        <w:spacing w:before="240" w:after="240" w:line="240" w:lineRule="auto"/>
        <w:sectPr w:rsidR="002F3C8D" w:rsidRPr="006656E6" w:rsidSect="000E656A">
          <w:pgSz w:w="12240" w:h="15840"/>
          <w:pgMar w:top="1440" w:right="1440" w:bottom="1440" w:left="1440" w:header="720" w:footer="720" w:gutter="0"/>
          <w:pgNumType w:chapStyle="2"/>
          <w:cols w:space="720"/>
        </w:sectPr>
      </w:pPr>
      <w:r>
        <w:rPr>
          <w:rFonts w:ascii="Times New Roman" w:eastAsia="Times New Roman" w:hAnsi="Times New Roman" w:cs="Times New Roman"/>
          <w:sz w:val="24"/>
          <w:szCs w:val="24"/>
        </w:rPr>
        <w:t xml:space="preserve">Instructors should be evaluated and observed by peers and/or administrators so that they are receiving regular and timely feedback. While formal evaluation of instructors may be a responsibility assigned by the employing school division, class observations are an opportunity to focus on instructional delivery of SBI. See VALRC </w:t>
      </w:r>
      <w:hyperlink r:id="rId118">
        <w:r>
          <w:rPr>
            <w:rFonts w:ascii="Times New Roman" w:eastAsia="Times New Roman" w:hAnsi="Times New Roman" w:cs="Times New Roman"/>
            <w:color w:val="0000FF"/>
            <w:sz w:val="24"/>
            <w:szCs w:val="24"/>
            <w:u w:val="single"/>
          </w:rPr>
          <w:t>resources for supporting standards-based instruction</w:t>
        </w:r>
      </w:hyperlink>
      <w:r>
        <w:rPr>
          <w:rFonts w:ascii="Times New Roman" w:eastAsia="Times New Roman" w:hAnsi="Times New Roman" w:cs="Times New Roman"/>
          <w:sz w:val="24"/>
          <w:szCs w:val="24"/>
        </w:rPr>
        <w:t xml:space="preserve"> to find the CCR Observation Tools and a recorded tutorial on how to use them. </w:t>
      </w:r>
    </w:p>
    <w:p w14:paraId="000001E9" w14:textId="4277514A" w:rsidR="002F3C8D" w:rsidRPr="008B0FDB" w:rsidRDefault="00BF5CDA" w:rsidP="004A0493">
      <w:pPr>
        <w:pStyle w:val="Heading3"/>
      </w:pPr>
      <w:bookmarkStart w:id="46" w:name="_Toc174088857"/>
      <w:r w:rsidRPr="008B0FDB">
        <w:lastRenderedPageBreak/>
        <w:t>Growing and Sustaining Your Program</w:t>
      </w:r>
      <w:bookmarkEnd w:id="46"/>
    </w:p>
    <w:p w14:paraId="000001EA" w14:textId="399D77E2"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This section has links and tips for growing and sustaining your adult education program. Whether a program </w:t>
      </w:r>
      <w:proofErr w:type="gramStart"/>
      <w:r w:rsidRPr="00B131CA">
        <w:rPr>
          <w:rFonts w:ascii="Times New Roman" w:eastAsia="Times New Roman" w:hAnsi="Times New Roman" w:cs="Times New Roman"/>
          <w:color w:val="000000"/>
          <w:sz w:val="24"/>
          <w:szCs w:val="24"/>
        </w:rPr>
        <w:t>is located in</w:t>
      </w:r>
      <w:proofErr w:type="gramEnd"/>
      <w:r w:rsidRPr="00B131CA">
        <w:rPr>
          <w:rFonts w:ascii="Times New Roman" w:eastAsia="Times New Roman" w:hAnsi="Times New Roman" w:cs="Times New Roman"/>
          <w:color w:val="000000"/>
          <w:sz w:val="24"/>
          <w:szCs w:val="24"/>
        </w:rPr>
        <w:t xml:space="preserve"> a dense urban area</w:t>
      </w:r>
      <w:r w:rsidR="00F06EE1">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a sparsely populated rural area, or a region with a combination of areas, program managers have the responsibility of maintaining the vibrancy and vitality of the program’s communications</w:t>
      </w:r>
      <w:r w:rsidR="00853958">
        <w:rPr>
          <w:rFonts w:ascii="Times New Roman" w:eastAsia="Times New Roman" w:hAnsi="Times New Roman" w:cs="Times New Roman"/>
          <w:color w:val="000000"/>
          <w:sz w:val="24"/>
          <w:szCs w:val="24"/>
        </w:rPr>
        <w:t>, the reach of program offerings to all localities,</w:t>
      </w:r>
      <w:r w:rsidRPr="00B131CA">
        <w:rPr>
          <w:rFonts w:ascii="Times New Roman" w:eastAsia="Times New Roman" w:hAnsi="Times New Roman" w:cs="Times New Roman"/>
          <w:color w:val="000000"/>
          <w:sz w:val="24"/>
          <w:szCs w:val="24"/>
        </w:rPr>
        <w:t xml:space="preserve"> and its health as an organization. </w:t>
      </w:r>
    </w:p>
    <w:p w14:paraId="000001EB" w14:textId="302325AA" w:rsidR="002F3C8D" w:rsidRPr="006656E6" w:rsidRDefault="00BF5CDA" w:rsidP="008D03B8">
      <w:pPr>
        <w:pStyle w:val="Heading4"/>
        <w:rPr>
          <w:i/>
        </w:rPr>
      </w:pPr>
      <w:bookmarkStart w:id="47" w:name="_Toc174088858"/>
      <w:r w:rsidRPr="006656E6">
        <w:t>Communications and Outreach</w:t>
      </w:r>
      <w:bookmarkEnd w:id="47"/>
    </w:p>
    <w:p w14:paraId="000001EC" w14:textId="59A4CFC2"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Providers may use federal </w:t>
      </w:r>
      <w:r w:rsidR="00F06EE1">
        <w:rPr>
          <w:rFonts w:ascii="Times New Roman" w:eastAsia="Times New Roman" w:hAnsi="Times New Roman" w:cs="Times New Roman"/>
          <w:color w:val="000000"/>
          <w:sz w:val="24"/>
          <w:szCs w:val="24"/>
        </w:rPr>
        <w:t xml:space="preserve">funds </w:t>
      </w:r>
      <w:r w:rsidRPr="00B131CA">
        <w:rPr>
          <w:rFonts w:ascii="Times New Roman" w:eastAsia="Times New Roman" w:hAnsi="Times New Roman" w:cs="Times New Roman"/>
          <w:color w:val="000000"/>
          <w:sz w:val="24"/>
          <w:szCs w:val="24"/>
        </w:rPr>
        <w:t>(</w:t>
      </w:r>
      <w:r w:rsidR="002258F2">
        <w:rPr>
          <w:rFonts w:ascii="Times New Roman" w:eastAsia="Times New Roman" w:hAnsi="Times New Roman" w:cs="Times New Roman"/>
          <w:color w:val="000000"/>
          <w:sz w:val="24"/>
          <w:szCs w:val="24"/>
        </w:rPr>
        <w:t>when necessary and costs are prudent</w:t>
      </w:r>
      <w:r w:rsidRPr="00B131CA">
        <w:rPr>
          <w:rFonts w:ascii="Times New Roman" w:eastAsia="Times New Roman" w:hAnsi="Times New Roman" w:cs="Times New Roman"/>
          <w:color w:val="000000"/>
          <w:sz w:val="24"/>
          <w:szCs w:val="24"/>
        </w:rPr>
        <w:t>) and Race to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funds for outreach</w:t>
      </w:r>
      <w:r w:rsidR="00282302">
        <w:rPr>
          <w:rFonts w:ascii="Times New Roman" w:eastAsia="Times New Roman" w:hAnsi="Times New Roman" w:cs="Times New Roman"/>
          <w:color w:val="000000"/>
          <w:sz w:val="24"/>
          <w:szCs w:val="24"/>
        </w:rPr>
        <w:t>, online presence,</w:t>
      </w:r>
      <w:r w:rsidRPr="00B131CA">
        <w:rPr>
          <w:rFonts w:ascii="Times New Roman" w:eastAsia="Times New Roman" w:hAnsi="Times New Roman" w:cs="Times New Roman"/>
          <w:color w:val="000000"/>
          <w:sz w:val="24"/>
          <w:szCs w:val="24"/>
        </w:rPr>
        <w:t xml:space="preserve"> and communication materials and subscriptions. Creating </w:t>
      </w:r>
      <w:r w:rsidR="00282302">
        <w:rPr>
          <w:rFonts w:ascii="Times New Roman" w:eastAsia="Times New Roman" w:hAnsi="Times New Roman" w:cs="Times New Roman"/>
          <w:color w:val="000000"/>
          <w:sz w:val="24"/>
          <w:szCs w:val="24"/>
        </w:rPr>
        <w:t xml:space="preserve">and maintaining </w:t>
      </w:r>
      <w:r w:rsidRPr="00B131CA">
        <w:rPr>
          <w:rFonts w:ascii="Times New Roman" w:eastAsia="Times New Roman" w:hAnsi="Times New Roman" w:cs="Times New Roman"/>
          <w:color w:val="000000"/>
          <w:sz w:val="24"/>
          <w:szCs w:val="24"/>
        </w:rPr>
        <w:t>clear and attractive messaging to reach your focus audience is key</w:t>
      </w:r>
      <w:r w:rsidR="00B168CC">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and doing that is both an art and a science. You may want to seek communication partners who have experience in reaching underserved and/or language minority populations in your communities to find ways to get your brand and messaging </w:t>
      </w:r>
      <w:r w:rsidR="00B168CC">
        <w:rPr>
          <w:rFonts w:ascii="Times New Roman" w:eastAsia="Times New Roman" w:hAnsi="Times New Roman" w:cs="Times New Roman"/>
          <w:color w:val="000000"/>
          <w:sz w:val="24"/>
          <w:szCs w:val="24"/>
        </w:rPr>
        <w:t>seen by</w:t>
      </w:r>
      <w:r w:rsidRPr="00B131CA">
        <w:rPr>
          <w:rFonts w:ascii="Times New Roman" w:eastAsia="Times New Roman" w:hAnsi="Times New Roman" w:cs="Times New Roman"/>
          <w:color w:val="000000"/>
          <w:sz w:val="24"/>
          <w:szCs w:val="24"/>
        </w:rPr>
        <w:t xml:space="preserve"> eligible </w:t>
      </w:r>
      <w:r w:rsidR="00B168CC">
        <w:rPr>
          <w:rFonts w:ascii="Times New Roman" w:eastAsia="Times New Roman" w:hAnsi="Times New Roman" w:cs="Times New Roman"/>
          <w:color w:val="000000"/>
          <w:sz w:val="24"/>
          <w:szCs w:val="24"/>
        </w:rPr>
        <w:t>individuals</w:t>
      </w:r>
      <w:r w:rsidRPr="00B131CA">
        <w:rPr>
          <w:rFonts w:ascii="Times New Roman" w:eastAsia="Times New Roman" w:hAnsi="Times New Roman" w:cs="Times New Roman"/>
          <w:color w:val="000000"/>
          <w:sz w:val="24"/>
          <w:szCs w:val="24"/>
        </w:rPr>
        <w:t>. Coordinating and working together with community partners, with reciprocal agreements on outreach venues and expectations, can greatly expand the “reach” of your outreach. For example, the VDOE worked with the GED</w:t>
      </w:r>
      <w:r w:rsidRPr="00B131CA">
        <w:rPr>
          <w:rFonts w:ascii="Times New Roman" w:eastAsia="Times New Roman" w:hAnsi="Times New Roman" w:cs="Times New Roman"/>
          <w:color w:val="000000"/>
          <w:sz w:val="24"/>
          <w:szCs w:val="24"/>
          <w:vertAlign w:val="superscript"/>
        </w:rPr>
        <w:t>®</w:t>
      </w:r>
      <w:r w:rsidRPr="00B131CA">
        <w:rPr>
          <w:rFonts w:ascii="Times New Roman" w:eastAsia="Times New Roman" w:hAnsi="Times New Roman" w:cs="Times New Roman"/>
          <w:color w:val="000000"/>
          <w:sz w:val="24"/>
          <w:szCs w:val="24"/>
        </w:rPr>
        <w:t xml:space="preserve"> Testing Service to create messaging that appears on the</w:t>
      </w:r>
      <w:r w:rsidR="005D09B5">
        <w:rPr>
          <w:rFonts w:ascii="Times New Roman" w:eastAsia="Times New Roman" w:hAnsi="Times New Roman" w:cs="Times New Roman"/>
          <w:color w:val="000000"/>
          <w:sz w:val="24"/>
          <w:szCs w:val="24"/>
        </w:rPr>
        <w:t xml:space="preserve"> GED</w:t>
      </w:r>
      <w:r w:rsidR="00182B39">
        <w:rPr>
          <w:rFonts w:ascii="Times New Roman" w:eastAsia="Times New Roman" w:hAnsi="Times New Roman" w:cs="Times New Roman"/>
          <w:color w:val="000000"/>
          <w:sz w:val="24"/>
          <w:szCs w:val="24"/>
        </w:rPr>
        <w:t>.com</w:t>
      </w:r>
      <w:r w:rsidR="005D09B5">
        <w:rPr>
          <w:rFonts w:ascii="Times New Roman" w:eastAsia="Times New Roman" w:hAnsi="Times New Roman" w:cs="Times New Roman"/>
          <w:color w:val="000000"/>
          <w:sz w:val="24"/>
          <w:szCs w:val="24"/>
        </w:rPr>
        <w:t xml:space="preserve"> </w:t>
      </w:r>
      <w:hyperlink r:id="rId119" w:history="1">
        <w:r w:rsidR="005D09B5" w:rsidRPr="005D09B5">
          <w:rPr>
            <w:rStyle w:val="Hyperlink"/>
            <w:rFonts w:ascii="Times New Roman" w:eastAsia="Times New Roman" w:hAnsi="Times New Roman" w:cs="Times New Roman"/>
            <w:sz w:val="24"/>
            <w:szCs w:val="24"/>
          </w:rPr>
          <w:t>website</w:t>
        </w:r>
      </w:hyperlink>
      <w:r w:rsidRPr="00B131CA">
        <w:rPr>
          <w:rFonts w:ascii="Times New Roman" w:eastAsia="Times New Roman" w:hAnsi="Times New Roman" w:cs="Times New Roman"/>
          <w:color w:val="000000"/>
          <w:sz w:val="24"/>
          <w:szCs w:val="24"/>
        </w:rPr>
        <w:t xml:space="preserve"> when a user selects Virginia as his or her testing jurisdiction.</w:t>
      </w:r>
    </w:p>
    <w:p w14:paraId="000001ED" w14:textId="22C32024" w:rsidR="002F3C8D" w:rsidRPr="00B131CA" w:rsidRDefault="0085395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w:t>
      </w:r>
      <w:r w:rsidR="00BF5CDA" w:rsidRPr="00B131CA">
        <w:rPr>
          <w:rFonts w:ascii="Times New Roman" w:eastAsia="Times New Roman" w:hAnsi="Times New Roman" w:cs="Times New Roman"/>
          <w:color w:val="000000"/>
          <w:sz w:val="24"/>
          <w:szCs w:val="24"/>
        </w:rPr>
        <w:t xml:space="preserve"> Outreach Plan that includes activities designed specifically for </w:t>
      </w:r>
      <w:r w:rsidR="00B168CC">
        <w:rPr>
          <w:rFonts w:ascii="Times New Roman" w:eastAsia="Times New Roman" w:hAnsi="Times New Roman" w:cs="Times New Roman"/>
          <w:color w:val="000000"/>
          <w:sz w:val="24"/>
          <w:szCs w:val="24"/>
        </w:rPr>
        <w:t>various</w:t>
      </w:r>
      <w:r w:rsidR="00BF5CDA" w:rsidRPr="00B131CA">
        <w:rPr>
          <w:rFonts w:ascii="Times New Roman" w:eastAsia="Times New Roman" w:hAnsi="Times New Roman" w:cs="Times New Roman"/>
          <w:color w:val="000000"/>
          <w:sz w:val="24"/>
          <w:szCs w:val="24"/>
        </w:rPr>
        <w:t xml:space="preserve"> identified audience</w:t>
      </w:r>
      <w:r w:rsidR="00B168CC">
        <w:rPr>
          <w:rFonts w:ascii="Times New Roman" w:eastAsia="Times New Roman" w:hAnsi="Times New Roman" w:cs="Times New Roman"/>
          <w:color w:val="000000"/>
          <w:sz w:val="24"/>
          <w:szCs w:val="24"/>
        </w:rPr>
        <w:t>s</w:t>
      </w:r>
      <w:r w:rsidR="00BF5CDA" w:rsidRPr="00B131CA">
        <w:rPr>
          <w:rFonts w:ascii="Times New Roman" w:eastAsia="Times New Roman" w:hAnsi="Times New Roman" w:cs="Times New Roman"/>
          <w:color w:val="000000"/>
          <w:sz w:val="24"/>
          <w:szCs w:val="24"/>
        </w:rPr>
        <w:t xml:space="preserve">, such as immigrant and refugee populations, disconnected youth, </w:t>
      </w:r>
      <w:r w:rsidR="00B168CC">
        <w:rPr>
          <w:rFonts w:ascii="Times New Roman" w:eastAsia="Times New Roman" w:hAnsi="Times New Roman" w:cs="Times New Roman"/>
          <w:color w:val="000000"/>
          <w:sz w:val="24"/>
          <w:szCs w:val="24"/>
        </w:rPr>
        <w:t xml:space="preserve">those who are seeking online learning opportunities, </w:t>
      </w:r>
      <w:r w:rsidR="00BF5CDA" w:rsidRPr="00B131CA">
        <w:rPr>
          <w:rFonts w:ascii="Times New Roman" w:eastAsia="Times New Roman" w:hAnsi="Times New Roman" w:cs="Times New Roman"/>
          <w:color w:val="000000"/>
          <w:sz w:val="24"/>
          <w:szCs w:val="24"/>
        </w:rPr>
        <w:t>or underemployed workers</w:t>
      </w:r>
      <w:r>
        <w:rPr>
          <w:rFonts w:ascii="Times New Roman" w:eastAsia="Times New Roman" w:hAnsi="Times New Roman" w:cs="Times New Roman"/>
          <w:color w:val="000000"/>
          <w:sz w:val="24"/>
          <w:szCs w:val="24"/>
        </w:rPr>
        <w:t xml:space="preserve"> can guide programs in their efforts and evaluation of those efforts</w:t>
      </w:r>
      <w:r w:rsidR="00B168CC">
        <w:rPr>
          <w:rFonts w:ascii="Times New Roman" w:eastAsia="Times New Roman" w:hAnsi="Times New Roman" w:cs="Times New Roman"/>
          <w:color w:val="000000"/>
          <w:sz w:val="24"/>
          <w:szCs w:val="24"/>
        </w:rPr>
        <w:t>.</w:t>
      </w:r>
      <w:r w:rsidR="00BF5CDA" w:rsidRPr="00B131CA">
        <w:rPr>
          <w:rFonts w:ascii="Times New Roman" w:eastAsia="Times New Roman" w:hAnsi="Times New Roman" w:cs="Times New Roman"/>
          <w:color w:val="000000"/>
          <w:sz w:val="24"/>
          <w:szCs w:val="24"/>
        </w:rPr>
        <w:t xml:space="preserve"> Outreach efforts are planned activities that serve to inform</w:t>
      </w:r>
      <w:r w:rsidR="006E3372">
        <w:rPr>
          <w:rFonts w:ascii="Times New Roman" w:eastAsia="Times New Roman" w:hAnsi="Times New Roman" w:cs="Times New Roman"/>
          <w:color w:val="000000"/>
          <w:sz w:val="24"/>
          <w:szCs w:val="24"/>
        </w:rPr>
        <w:t xml:space="preserve"> and engage</w:t>
      </w:r>
      <w:r w:rsidR="00BF5CDA" w:rsidRPr="00B131CA">
        <w:rPr>
          <w:rFonts w:ascii="Times New Roman" w:eastAsia="Times New Roman" w:hAnsi="Times New Roman" w:cs="Times New Roman"/>
          <w:color w:val="000000"/>
          <w:sz w:val="24"/>
          <w:szCs w:val="24"/>
        </w:rPr>
        <w:t xml:space="preserve"> not only prospective adult education students but also their family members, employers, WIOA partners, community agencies, and other internal and external stakeholders</w:t>
      </w:r>
      <w:r w:rsidR="00B168CC">
        <w:rPr>
          <w:rFonts w:ascii="Times New Roman" w:eastAsia="Times New Roman" w:hAnsi="Times New Roman" w:cs="Times New Roman"/>
          <w:color w:val="000000"/>
          <w:sz w:val="24"/>
          <w:szCs w:val="24"/>
        </w:rPr>
        <w:t xml:space="preserve"> who can help amplify and carry the message as a trusted messenger</w:t>
      </w:r>
      <w:r w:rsidR="00BF5CDA" w:rsidRPr="00B131CA">
        <w:rPr>
          <w:rFonts w:ascii="Times New Roman" w:eastAsia="Times New Roman" w:hAnsi="Times New Roman" w:cs="Times New Roman"/>
          <w:color w:val="000000"/>
          <w:sz w:val="24"/>
          <w:szCs w:val="24"/>
        </w:rPr>
        <w:t xml:space="preserve">. One activity might be to check </w:t>
      </w:r>
      <w:proofErr w:type="spellStart"/>
      <w:r w:rsidR="00BF5CDA" w:rsidRPr="00B131CA">
        <w:rPr>
          <w:rFonts w:ascii="Times New Roman" w:eastAsia="Times New Roman" w:hAnsi="Times New Roman" w:cs="Times New Roman"/>
          <w:color w:val="000000"/>
          <w:sz w:val="24"/>
          <w:szCs w:val="24"/>
        </w:rPr>
        <w:t>GEDPrep</w:t>
      </w:r>
      <w:proofErr w:type="spellEnd"/>
      <w:r w:rsidR="00BF5CDA" w:rsidRPr="00B131CA">
        <w:rPr>
          <w:rFonts w:ascii="Times New Roman" w:eastAsia="Times New Roman" w:hAnsi="Times New Roman" w:cs="Times New Roman"/>
          <w:color w:val="000000"/>
          <w:sz w:val="24"/>
          <w:szCs w:val="24"/>
        </w:rPr>
        <w:t xml:space="preserve"> Connect</w:t>
      </w:r>
      <w:r w:rsidR="00001075">
        <w:rPr>
          <w:rFonts w:ascii="Times New Roman" w:eastAsia="Times New Roman" w:hAnsi="Times New Roman" w:cs="Times New Roman"/>
          <w:color w:val="000000"/>
          <w:sz w:val="24"/>
          <w:szCs w:val="24"/>
        </w:rPr>
        <w:t>™</w:t>
      </w:r>
      <w:r w:rsidR="00BF5CDA" w:rsidRPr="00B131CA">
        <w:rPr>
          <w:rFonts w:ascii="Times New Roman" w:eastAsia="Times New Roman" w:hAnsi="Times New Roman" w:cs="Times New Roman"/>
          <w:color w:val="000000"/>
          <w:sz w:val="24"/>
          <w:szCs w:val="24"/>
        </w:rPr>
        <w:t xml:space="preserve"> regularly for prospective students who have indicated interest in learning more about adult education programs. Designating or hiring a staff member to serve as an </w:t>
      </w:r>
      <w:r w:rsidR="00F06EE1">
        <w:rPr>
          <w:rFonts w:ascii="Times New Roman" w:eastAsia="Times New Roman" w:hAnsi="Times New Roman" w:cs="Times New Roman"/>
          <w:color w:val="000000"/>
          <w:sz w:val="24"/>
          <w:szCs w:val="24"/>
        </w:rPr>
        <w:t>o</w:t>
      </w:r>
      <w:r w:rsidR="00F06EE1" w:rsidRPr="00B131CA">
        <w:rPr>
          <w:rFonts w:ascii="Times New Roman" w:eastAsia="Times New Roman" w:hAnsi="Times New Roman" w:cs="Times New Roman"/>
          <w:color w:val="000000"/>
          <w:sz w:val="24"/>
          <w:szCs w:val="24"/>
        </w:rPr>
        <w:t xml:space="preserve">utreach </w:t>
      </w:r>
      <w:r w:rsidR="00F06EE1">
        <w:rPr>
          <w:rFonts w:ascii="Times New Roman" w:eastAsia="Times New Roman" w:hAnsi="Times New Roman" w:cs="Times New Roman"/>
          <w:color w:val="000000"/>
          <w:sz w:val="24"/>
          <w:szCs w:val="24"/>
        </w:rPr>
        <w:t>s</w:t>
      </w:r>
      <w:r w:rsidR="00F06EE1" w:rsidRPr="00B131CA">
        <w:rPr>
          <w:rFonts w:ascii="Times New Roman" w:eastAsia="Times New Roman" w:hAnsi="Times New Roman" w:cs="Times New Roman"/>
          <w:color w:val="000000"/>
          <w:sz w:val="24"/>
          <w:szCs w:val="24"/>
        </w:rPr>
        <w:t xml:space="preserve">pecialist </w:t>
      </w:r>
      <w:r w:rsidR="00BF5CDA" w:rsidRPr="00B131CA">
        <w:rPr>
          <w:rFonts w:ascii="Times New Roman" w:eastAsia="Times New Roman" w:hAnsi="Times New Roman" w:cs="Times New Roman"/>
          <w:color w:val="000000"/>
          <w:sz w:val="24"/>
          <w:szCs w:val="24"/>
        </w:rPr>
        <w:t xml:space="preserve">may be helpful, especially in </w:t>
      </w:r>
      <w:r w:rsidR="00F06EE1">
        <w:rPr>
          <w:rFonts w:ascii="Times New Roman" w:eastAsia="Times New Roman" w:hAnsi="Times New Roman" w:cs="Times New Roman"/>
          <w:color w:val="000000"/>
          <w:sz w:val="24"/>
          <w:szCs w:val="24"/>
        </w:rPr>
        <w:t xml:space="preserve">the </w:t>
      </w:r>
      <w:r w:rsidR="00BF5CDA" w:rsidRPr="00B131CA">
        <w:rPr>
          <w:rFonts w:ascii="Times New Roman" w:eastAsia="Times New Roman" w:hAnsi="Times New Roman" w:cs="Times New Roman"/>
          <w:color w:val="000000"/>
          <w:sz w:val="24"/>
          <w:szCs w:val="24"/>
        </w:rPr>
        <w:t xml:space="preserve">larger urban programs. Outreach </w:t>
      </w:r>
      <w:r w:rsidR="006E3372">
        <w:rPr>
          <w:rFonts w:ascii="Times New Roman" w:eastAsia="Times New Roman" w:hAnsi="Times New Roman" w:cs="Times New Roman"/>
          <w:color w:val="000000"/>
          <w:sz w:val="24"/>
          <w:szCs w:val="24"/>
        </w:rPr>
        <w:t xml:space="preserve">and engagement activities </w:t>
      </w:r>
      <w:r w:rsidR="00BF5CDA" w:rsidRPr="00B131CA">
        <w:rPr>
          <w:rFonts w:ascii="Times New Roman" w:eastAsia="Times New Roman" w:hAnsi="Times New Roman" w:cs="Times New Roman"/>
          <w:color w:val="000000"/>
          <w:sz w:val="24"/>
          <w:szCs w:val="24"/>
        </w:rPr>
        <w:t xml:space="preserve">may occur in various venues and should be evaluated in terms of </w:t>
      </w:r>
      <w:r w:rsidR="00A46FD8">
        <w:rPr>
          <w:rFonts w:ascii="Times New Roman" w:eastAsia="Times New Roman" w:hAnsi="Times New Roman" w:cs="Times New Roman"/>
          <w:color w:val="000000"/>
          <w:sz w:val="24"/>
          <w:szCs w:val="24"/>
        </w:rPr>
        <w:t>their</w:t>
      </w:r>
      <w:r w:rsidR="00A46FD8" w:rsidRPr="00B131CA">
        <w:rPr>
          <w:rFonts w:ascii="Times New Roman" w:eastAsia="Times New Roman" w:hAnsi="Times New Roman" w:cs="Times New Roman"/>
          <w:color w:val="000000"/>
          <w:sz w:val="24"/>
          <w:szCs w:val="24"/>
        </w:rPr>
        <w:t xml:space="preserve"> </w:t>
      </w:r>
      <w:r w:rsidR="00BF5CDA" w:rsidRPr="00B131CA">
        <w:rPr>
          <w:rFonts w:ascii="Times New Roman" w:eastAsia="Times New Roman" w:hAnsi="Times New Roman" w:cs="Times New Roman"/>
          <w:color w:val="000000"/>
          <w:sz w:val="24"/>
          <w:szCs w:val="24"/>
        </w:rPr>
        <w:t>return on investment. If a particular outreach activity does not produce the expected outcomes, then the plan should be readjusted.</w:t>
      </w:r>
    </w:p>
    <w:p w14:paraId="000001EE" w14:textId="2C32798C"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Every adult education region should</w:t>
      </w:r>
      <w:r w:rsidR="00282302">
        <w:rPr>
          <w:rFonts w:ascii="Times New Roman" w:eastAsia="Times New Roman" w:hAnsi="Times New Roman" w:cs="Times New Roman"/>
          <w:color w:val="000000"/>
          <w:sz w:val="24"/>
          <w:szCs w:val="24"/>
        </w:rPr>
        <w:t xml:space="preserve"> maintain a webpage or website and</w:t>
      </w:r>
      <w:r w:rsidRPr="00B131CA">
        <w:rPr>
          <w:rFonts w:ascii="Times New Roman" w:eastAsia="Times New Roman" w:hAnsi="Times New Roman" w:cs="Times New Roman"/>
          <w:color w:val="000000"/>
          <w:sz w:val="24"/>
          <w:szCs w:val="24"/>
        </w:rPr>
        <w:t xml:space="preserve"> identify its own branding. If you have a regional logo or if you use the Virginia Career Works branding for your workforce development area, be consistent in </w:t>
      </w:r>
      <w:r w:rsidRPr="00B131CA">
        <w:rPr>
          <w:rFonts w:ascii="Times New Roman" w:eastAsia="Times New Roman" w:hAnsi="Times New Roman" w:cs="Times New Roman"/>
          <w:sz w:val="24"/>
          <w:szCs w:val="24"/>
        </w:rPr>
        <w:t>the</w:t>
      </w:r>
      <w:r w:rsidRPr="00B131CA">
        <w:rPr>
          <w:rFonts w:ascii="Times New Roman" w:eastAsia="Times New Roman" w:hAnsi="Times New Roman" w:cs="Times New Roman"/>
          <w:color w:val="000000"/>
          <w:sz w:val="24"/>
          <w:szCs w:val="24"/>
        </w:rPr>
        <w:t xml:space="preserve"> use of these so that </w:t>
      </w:r>
      <w:r w:rsidR="00910567">
        <w:rPr>
          <w:rFonts w:ascii="Times New Roman" w:eastAsia="Times New Roman" w:hAnsi="Times New Roman" w:cs="Times New Roman"/>
          <w:color w:val="000000"/>
          <w:sz w:val="24"/>
          <w:szCs w:val="24"/>
        </w:rPr>
        <w:t xml:space="preserve">your </w:t>
      </w:r>
      <w:r w:rsidRPr="00B131CA">
        <w:rPr>
          <w:rFonts w:ascii="Times New Roman" w:eastAsia="Times New Roman" w:hAnsi="Times New Roman" w:cs="Times New Roman"/>
          <w:color w:val="000000"/>
          <w:sz w:val="24"/>
          <w:szCs w:val="24"/>
        </w:rPr>
        <w:t xml:space="preserve">program will be </w:t>
      </w:r>
      <w:r w:rsidR="00F06EE1">
        <w:rPr>
          <w:rFonts w:ascii="Times New Roman" w:eastAsia="Times New Roman" w:hAnsi="Times New Roman" w:cs="Times New Roman"/>
          <w:color w:val="000000"/>
          <w:sz w:val="24"/>
          <w:szCs w:val="24"/>
        </w:rPr>
        <w:t>easily</w:t>
      </w:r>
      <w:r w:rsidR="00F06EE1"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identified with the logo seen in your outreach materials.</w:t>
      </w:r>
      <w:r w:rsidR="00282302">
        <w:rPr>
          <w:rFonts w:ascii="Times New Roman" w:eastAsia="Times New Roman" w:hAnsi="Times New Roman" w:cs="Times New Roman"/>
          <w:color w:val="000000"/>
          <w:sz w:val="24"/>
          <w:szCs w:val="24"/>
        </w:rPr>
        <w:t xml:space="preserve"> Ensuring that the information is stays current is critical. </w:t>
      </w:r>
    </w:p>
    <w:p w14:paraId="000001EF" w14:textId="41E72698" w:rsidR="002F3C8D" w:rsidRPr="006656E6" w:rsidRDefault="00BF5CDA" w:rsidP="008D03B8">
      <w:pPr>
        <w:pStyle w:val="Heading4"/>
        <w:rPr>
          <w:i/>
        </w:rPr>
      </w:pPr>
      <w:bookmarkStart w:id="48" w:name="_Toc174088859"/>
      <w:r w:rsidRPr="006656E6">
        <w:t>Retention and Persistence</w:t>
      </w:r>
      <w:bookmarkEnd w:id="48"/>
    </w:p>
    <w:p w14:paraId="000001F0" w14:textId="32B4D6AD"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Ensuring students can reach their goals is key to running an excellent program. How students are supported and encouraged, from their first encounter with the program’s branding and outreach message through to their goal attainment, is a responsibility that can and should be shared with and addressed by community partners who share similar missions. Many of the program activities in this section are considered “career services” that WIOA programs offer clients. See more about career services in </w:t>
      </w:r>
      <w:r w:rsidR="00282302" w:rsidRPr="00B131CA">
        <w:rPr>
          <w:rFonts w:ascii="Times New Roman" w:eastAsia="Times New Roman" w:hAnsi="Times New Roman" w:cs="Times New Roman"/>
          <w:color w:val="0000FF"/>
          <w:sz w:val="24"/>
          <w:szCs w:val="24"/>
          <w:u w:val="single"/>
        </w:rPr>
        <w:t xml:space="preserve">Director’s Memo </w:t>
      </w:r>
      <w:hyperlink r:id="rId120" w:history="1">
        <w:r w:rsidR="00282302" w:rsidRPr="00A476A5">
          <w:rPr>
            <w:rStyle w:val="Hyperlink"/>
            <w:rFonts w:ascii="Times New Roman" w:eastAsia="Times New Roman" w:hAnsi="Times New Roman" w:cs="Times New Roman"/>
            <w:sz w:val="24"/>
            <w:szCs w:val="24"/>
          </w:rPr>
          <w:t>#075-24</w:t>
        </w:r>
      </w:hyperlink>
      <w:r w:rsidRPr="00B131CA">
        <w:rPr>
          <w:rFonts w:ascii="Times New Roman" w:eastAsia="Times New Roman" w:hAnsi="Times New Roman" w:cs="Times New Roman"/>
          <w:color w:val="000000"/>
          <w:sz w:val="24"/>
          <w:szCs w:val="24"/>
        </w:rPr>
        <w:t>.</w:t>
      </w:r>
    </w:p>
    <w:p w14:paraId="000001F1" w14:textId="347E926A" w:rsidR="002F3C8D" w:rsidRDefault="00BF5CDA" w:rsidP="006656E6">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sidRPr="00F40AC6">
        <w:rPr>
          <w:rFonts w:ascii="Times New Roman" w:eastAsia="Times New Roman" w:hAnsi="Times New Roman" w:cs="Times New Roman"/>
          <w:b/>
          <w:bCs/>
          <w:color w:val="000000"/>
          <w:sz w:val="24"/>
          <w:szCs w:val="24"/>
        </w:rPr>
        <w:lastRenderedPageBreak/>
        <w:t>Intake</w:t>
      </w:r>
      <w:r w:rsidRPr="006656E6">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When a person first enters an adult education program, a</w:t>
      </w:r>
      <w:r w:rsidR="00282302">
        <w:rPr>
          <w:rFonts w:ascii="Times New Roman" w:eastAsia="Times New Roman" w:hAnsi="Times New Roman" w:cs="Times New Roman"/>
          <w:color w:val="000000"/>
          <w:sz w:val="24"/>
          <w:szCs w:val="24"/>
          <w:highlight w:val="white"/>
        </w:rPr>
        <w:t xml:space="preserve"> student record in the Virginia Student Portal or a paper-based</w:t>
      </w:r>
      <w:r w:rsidRPr="00B131CA">
        <w:rPr>
          <w:rFonts w:ascii="Times New Roman" w:eastAsia="Times New Roman" w:hAnsi="Times New Roman" w:cs="Times New Roman"/>
          <w:color w:val="000000"/>
          <w:sz w:val="24"/>
          <w:szCs w:val="24"/>
          <w:highlight w:val="white"/>
        </w:rPr>
        <w:t xml:space="preserve"> Adult Student Profile Document (ASPD) </w:t>
      </w:r>
      <w:r w:rsidR="00282302">
        <w:rPr>
          <w:rFonts w:ascii="Times New Roman" w:eastAsia="Times New Roman" w:hAnsi="Times New Roman" w:cs="Times New Roman"/>
          <w:color w:val="000000"/>
          <w:sz w:val="24"/>
          <w:szCs w:val="24"/>
          <w:highlight w:val="white"/>
        </w:rPr>
        <w:t>must be</w:t>
      </w:r>
      <w:r w:rsidRPr="00B131CA">
        <w:rPr>
          <w:rFonts w:ascii="Times New Roman" w:eastAsia="Times New Roman" w:hAnsi="Times New Roman" w:cs="Times New Roman"/>
          <w:color w:val="000000"/>
          <w:sz w:val="24"/>
          <w:szCs w:val="24"/>
          <w:highlight w:val="white"/>
        </w:rPr>
        <w:t xml:space="preserve"> completed. </w:t>
      </w:r>
      <w:r w:rsidRPr="00B131CA">
        <w:rPr>
          <w:rFonts w:ascii="Times New Roman" w:eastAsia="Times New Roman" w:hAnsi="Times New Roman" w:cs="Times New Roman"/>
          <w:color w:val="000000"/>
          <w:sz w:val="24"/>
          <w:szCs w:val="24"/>
        </w:rPr>
        <w:t xml:space="preserve">This begins the process of gathering background information from prospective adult education students about their </w:t>
      </w:r>
      <w:r w:rsidR="00282302">
        <w:rPr>
          <w:rFonts w:ascii="Times New Roman" w:eastAsia="Times New Roman" w:hAnsi="Times New Roman" w:cs="Times New Roman"/>
          <w:color w:val="000000"/>
          <w:sz w:val="24"/>
          <w:szCs w:val="24"/>
        </w:rPr>
        <w:t xml:space="preserve">demographics, </w:t>
      </w:r>
      <w:r w:rsidRPr="00B131CA">
        <w:rPr>
          <w:rFonts w:ascii="Times New Roman" w:eastAsia="Times New Roman" w:hAnsi="Times New Roman" w:cs="Times New Roman"/>
          <w:color w:val="000000"/>
          <w:sz w:val="24"/>
          <w:szCs w:val="24"/>
        </w:rPr>
        <w:t>educational and work histories, their current skills, their educational goals, and any barriers they face in achieving those goals. This information will drive the student’s program plan.</w:t>
      </w:r>
    </w:p>
    <w:p w14:paraId="213A0839" w14:textId="27162CB8" w:rsidR="0032355B" w:rsidRPr="00B131CA" w:rsidRDefault="0032355B" w:rsidP="006656E6">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VDOE has provided the ASPD in a wide variety of languages to ease intake for speakers of other languages. </w:t>
      </w:r>
      <w:r w:rsidR="00282302">
        <w:rPr>
          <w:rFonts w:ascii="Times New Roman" w:eastAsia="Times New Roman" w:hAnsi="Times New Roman" w:cs="Times New Roman"/>
          <w:color w:val="000000"/>
          <w:sz w:val="24"/>
          <w:szCs w:val="24"/>
        </w:rPr>
        <w:t xml:space="preserve">The ASPD mirrors the Student Portal data fields; the translated ASPDs can support students’ understanding of the Portal or even of completing the ASPD in English if they can. </w:t>
      </w:r>
      <w:r>
        <w:rPr>
          <w:rFonts w:ascii="Times New Roman" w:eastAsia="Times New Roman" w:hAnsi="Times New Roman" w:cs="Times New Roman"/>
          <w:color w:val="000000"/>
          <w:sz w:val="24"/>
          <w:szCs w:val="24"/>
        </w:rPr>
        <w:t xml:space="preserve">See the forms on the </w:t>
      </w:r>
      <w:hyperlink r:id="rId121" w:history="1">
        <w:r w:rsidRPr="0032355B">
          <w:rPr>
            <w:rStyle w:val="Hyperlink"/>
            <w:rFonts w:ascii="Times New Roman" w:eastAsia="Times New Roman" w:hAnsi="Times New Roman" w:cs="Times New Roman"/>
            <w:sz w:val="24"/>
            <w:szCs w:val="24"/>
          </w:rPr>
          <w:t>Grants and Funding</w:t>
        </w:r>
      </w:hyperlink>
      <w:r>
        <w:rPr>
          <w:rFonts w:ascii="Times New Roman" w:eastAsia="Times New Roman" w:hAnsi="Times New Roman" w:cs="Times New Roman"/>
          <w:color w:val="000000"/>
          <w:sz w:val="24"/>
          <w:szCs w:val="24"/>
        </w:rPr>
        <w:t xml:space="preserve"> page. </w:t>
      </w:r>
      <w:r w:rsidR="00C41466">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VALRC has produced </w:t>
      </w:r>
      <w:hyperlink r:id="rId122" w:history="1">
        <w:r w:rsidRPr="0032355B">
          <w:rPr>
            <w:rStyle w:val="Hyperlink"/>
            <w:rFonts w:ascii="Times New Roman" w:eastAsia="Times New Roman" w:hAnsi="Times New Roman" w:cs="Times New Roman"/>
            <w:sz w:val="24"/>
            <w:szCs w:val="24"/>
          </w:rPr>
          <w:t>mini videos</w:t>
        </w:r>
      </w:hyperlink>
      <w:r>
        <w:rPr>
          <w:rFonts w:ascii="Times New Roman" w:eastAsia="Times New Roman" w:hAnsi="Times New Roman" w:cs="Times New Roman"/>
          <w:color w:val="000000"/>
          <w:sz w:val="24"/>
          <w:szCs w:val="24"/>
        </w:rPr>
        <w:t xml:space="preserve"> in a similar variety of languages to explain the intake process. Make use of these resources to put language learners at ease.</w:t>
      </w:r>
    </w:p>
    <w:p w14:paraId="000001F2" w14:textId="6B375739" w:rsidR="002F3C8D" w:rsidRPr="00294EC6" w:rsidRDefault="0032355B" w:rsidP="006656E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BF5CDA" w:rsidRPr="00294EC6">
        <w:rPr>
          <w:rFonts w:ascii="Times New Roman" w:eastAsia="Times New Roman" w:hAnsi="Times New Roman" w:cs="Times New Roman"/>
          <w:color w:val="000000"/>
          <w:sz w:val="24"/>
          <w:szCs w:val="24"/>
        </w:rPr>
        <w:t xml:space="preserve">uring the intake process (within the first </w:t>
      </w:r>
      <w:r w:rsidR="00282302">
        <w:rPr>
          <w:rFonts w:ascii="Times New Roman" w:eastAsia="Times New Roman" w:hAnsi="Times New Roman" w:cs="Times New Roman"/>
          <w:color w:val="000000"/>
          <w:sz w:val="24"/>
          <w:szCs w:val="24"/>
        </w:rPr>
        <w:t>12</w:t>
      </w:r>
      <w:r w:rsidR="00BF5CDA" w:rsidRPr="00294EC6">
        <w:rPr>
          <w:rFonts w:ascii="Times New Roman" w:eastAsia="Times New Roman" w:hAnsi="Times New Roman" w:cs="Times New Roman"/>
          <w:color w:val="000000"/>
          <w:sz w:val="24"/>
          <w:szCs w:val="24"/>
        </w:rPr>
        <w:t xml:space="preserve"> hours), an assessment </w:t>
      </w:r>
      <w:r w:rsidR="00282302">
        <w:rPr>
          <w:rFonts w:ascii="Times New Roman" w:eastAsia="Times New Roman" w:hAnsi="Times New Roman" w:cs="Times New Roman"/>
          <w:color w:val="000000"/>
          <w:sz w:val="24"/>
          <w:szCs w:val="24"/>
        </w:rPr>
        <w:t>may be</w:t>
      </w:r>
      <w:r w:rsidR="00BF5CDA" w:rsidRPr="00294EC6">
        <w:rPr>
          <w:rFonts w:ascii="Times New Roman" w:eastAsia="Times New Roman" w:hAnsi="Times New Roman" w:cs="Times New Roman"/>
          <w:color w:val="000000"/>
          <w:sz w:val="24"/>
          <w:szCs w:val="24"/>
        </w:rPr>
        <w:t xml:space="preserve"> conducted through standardized pre-testing and/or a variety of informal assessments that the adult education staff may want to administer to obtain further information on students’ needs and interests. Both standardized and informal (non-standardized) testing </w:t>
      </w:r>
      <w:proofErr w:type="gramStart"/>
      <w:r w:rsidR="00BF5CDA" w:rsidRPr="00294EC6">
        <w:rPr>
          <w:rFonts w:ascii="Times New Roman" w:eastAsia="Times New Roman" w:hAnsi="Times New Roman" w:cs="Times New Roman"/>
          <w:color w:val="000000"/>
          <w:sz w:val="24"/>
          <w:szCs w:val="24"/>
        </w:rPr>
        <w:t>provide</w:t>
      </w:r>
      <w:proofErr w:type="gramEnd"/>
      <w:r w:rsidR="00BF5CDA" w:rsidRPr="00294EC6">
        <w:rPr>
          <w:rFonts w:ascii="Times New Roman" w:eastAsia="Times New Roman" w:hAnsi="Times New Roman" w:cs="Times New Roman"/>
          <w:color w:val="000000"/>
          <w:sz w:val="24"/>
          <w:szCs w:val="24"/>
        </w:rPr>
        <w:t xml:space="preserve"> valuable information when planning the learner’s course of study.</w:t>
      </w:r>
      <w:r w:rsidR="008221C1">
        <w:rPr>
          <w:rFonts w:ascii="Times New Roman" w:eastAsia="Times New Roman" w:hAnsi="Times New Roman" w:cs="Times New Roman"/>
          <w:color w:val="000000"/>
          <w:sz w:val="24"/>
          <w:szCs w:val="24"/>
        </w:rPr>
        <w:t xml:space="preserve"> Reminder that PY2024-2025 will be a transition year for Virginia to implement the new National Reporting System (NRS) allowance for alternative placement for select enrollment paths. This information is available separately as it is still evolving.</w:t>
      </w:r>
    </w:p>
    <w:p w14:paraId="000001F3" w14:textId="6DF5D0A8" w:rsidR="002F3C8D" w:rsidRPr="00B131CA" w:rsidRDefault="00BF5CDA" w:rsidP="006656E6">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sidRPr="00294EC6">
        <w:rPr>
          <w:rFonts w:ascii="Times New Roman" w:eastAsia="Times New Roman" w:hAnsi="Times New Roman" w:cs="Times New Roman"/>
          <w:b/>
          <w:bCs/>
          <w:color w:val="000000"/>
          <w:sz w:val="24"/>
          <w:szCs w:val="24"/>
        </w:rPr>
        <w:t>Orientation</w:t>
      </w:r>
      <w:r w:rsidRPr="006656E6">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Orientation is the introduction of the student to the adult education pro</w:t>
      </w:r>
      <w:r w:rsidR="00282302">
        <w:rPr>
          <w:rFonts w:ascii="Times New Roman" w:eastAsia="Times New Roman" w:hAnsi="Times New Roman" w:cs="Times New Roman"/>
          <w:color w:val="000000"/>
          <w:sz w:val="24"/>
          <w:szCs w:val="24"/>
        </w:rPr>
        <w:t>vider’s offerings</w:t>
      </w:r>
      <w:r w:rsidRPr="00B131CA">
        <w:rPr>
          <w:rFonts w:ascii="Times New Roman" w:eastAsia="Times New Roman" w:hAnsi="Times New Roman" w:cs="Times New Roman"/>
          <w:color w:val="000000"/>
          <w:sz w:val="24"/>
          <w:szCs w:val="24"/>
        </w:rPr>
        <w:t>. It helps students feel welcome and more comfortable by providing a program overview</w:t>
      </w:r>
      <w:r w:rsidR="00282302">
        <w:rPr>
          <w:rFonts w:ascii="Times New Roman" w:eastAsia="Times New Roman" w:hAnsi="Times New Roman" w:cs="Times New Roman"/>
          <w:color w:val="000000"/>
          <w:sz w:val="24"/>
          <w:szCs w:val="24"/>
        </w:rPr>
        <w:t xml:space="preserve"> and course options</w:t>
      </w:r>
      <w:r w:rsidRPr="00B131CA">
        <w:rPr>
          <w:rFonts w:ascii="Times New Roman" w:eastAsia="Times New Roman" w:hAnsi="Times New Roman" w:cs="Times New Roman"/>
          <w:color w:val="000000"/>
          <w:sz w:val="24"/>
          <w:szCs w:val="24"/>
        </w:rPr>
        <w:t>, an introduction of staff, and an opportunity to meet fellow classmates. Warmth, friendliness, and concern for the student, along with seriousness of purpose and an explanation of the reasons for intake procedures and assessments, are some of the messages that should be communicated to the adult learner during this session, whether it is in</w:t>
      </w:r>
      <w:r w:rsidR="00CA7FD5">
        <w:rPr>
          <w:rFonts w:ascii="Times New Roman" w:eastAsia="Times New Roman" w:hAnsi="Times New Roman" w:cs="Times New Roman"/>
          <w:color w:val="000000"/>
          <w:sz w:val="24"/>
          <w:szCs w:val="24"/>
        </w:rPr>
        <w:t xml:space="preserve"> </w:t>
      </w:r>
      <w:proofErr w:type="gramStart"/>
      <w:r w:rsidRPr="00B131CA">
        <w:rPr>
          <w:rFonts w:ascii="Times New Roman" w:eastAsia="Times New Roman" w:hAnsi="Times New Roman" w:cs="Times New Roman"/>
          <w:color w:val="000000"/>
          <w:sz w:val="24"/>
          <w:szCs w:val="24"/>
        </w:rPr>
        <w:t>person</w:t>
      </w:r>
      <w:proofErr w:type="gramEnd"/>
      <w:r w:rsidRPr="00B131CA">
        <w:rPr>
          <w:rFonts w:ascii="Times New Roman" w:eastAsia="Times New Roman" w:hAnsi="Times New Roman" w:cs="Times New Roman"/>
          <w:color w:val="000000"/>
          <w:sz w:val="24"/>
          <w:szCs w:val="24"/>
        </w:rPr>
        <w:t xml:space="preserve"> or a recorded video shared with new students. The students should come away from this orientation session with enough information about the program to understand the commitments they will need to make to reach their goals.</w:t>
      </w:r>
      <w:r w:rsidR="00B252E6">
        <w:rPr>
          <w:rFonts w:ascii="Times New Roman" w:eastAsia="Times New Roman" w:hAnsi="Times New Roman" w:cs="Times New Roman"/>
          <w:color w:val="000000"/>
          <w:sz w:val="24"/>
          <w:szCs w:val="24"/>
        </w:rPr>
        <w:t xml:space="preserve"> Having students engage in goal setting from the beginning of their commitment may aid in persistence and retention.</w:t>
      </w:r>
      <w:r w:rsidRPr="00B131CA">
        <w:rPr>
          <w:rFonts w:ascii="Times New Roman" w:eastAsia="Times New Roman" w:hAnsi="Times New Roman" w:cs="Times New Roman"/>
          <w:color w:val="000000"/>
          <w:sz w:val="24"/>
          <w:szCs w:val="24"/>
        </w:rPr>
        <w:t xml:space="preserve"> Providing a program information packet to students can also be helpful and informative.</w:t>
      </w:r>
    </w:p>
    <w:p w14:paraId="000001F4" w14:textId="0A52B080" w:rsidR="002F3C8D" w:rsidRPr="00B131CA" w:rsidRDefault="00BF5CDA" w:rsidP="006656E6">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294EC6">
        <w:rPr>
          <w:rFonts w:ascii="Times New Roman" w:eastAsia="Times New Roman" w:hAnsi="Times New Roman" w:cs="Times New Roman"/>
          <w:b/>
          <w:bCs/>
          <w:color w:val="000000"/>
          <w:sz w:val="24"/>
          <w:szCs w:val="24"/>
        </w:rPr>
        <w:t>Persistence</w:t>
      </w:r>
      <w:r w:rsidRPr="006656E6">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 xml:space="preserve">Persistence refers to the perseverance of students, which can be a challenge for those returning to adult education while balancing many other adult responsibilities. Staying with the program and engaging in self-study are critical determinants of whether students’ educational and workforce goals are likely to be met. Programs can contribute to a student’s sense of determination and persistence to continue to work toward their goals and return when they are able to attend. To more fully understand the issues surrounding the persistence of students, refer to the research study on </w:t>
      </w:r>
      <w:hyperlink r:id="rId123">
        <w:r w:rsidRPr="00B131CA">
          <w:rPr>
            <w:rFonts w:ascii="Times New Roman" w:eastAsia="Times New Roman" w:hAnsi="Times New Roman" w:cs="Times New Roman"/>
            <w:color w:val="0000FF"/>
            <w:sz w:val="24"/>
            <w:szCs w:val="24"/>
            <w:u w:val="single"/>
          </w:rPr>
          <w:t>Critiquing Adult Participation in Education</w:t>
        </w:r>
      </w:hyperlink>
      <w:r w:rsidR="00A866A5">
        <w:rPr>
          <w:rFonts w:ascii="Times New Roman" w:eastAsia="Times New Roman" w:hAnsi="Times New Roman" w:cs="Times New Roman"/>
          <w:color w:val="000000"/>
          <w:sz w:val="24"/>
          <w:szCs w:val="24"/>
        </w:rPr>
        <w:t xml:space="preserve"> (the “CAPE” study).</w:t>
      </w:r>
    </w:p>
    <w:p w14:paraId="000001F5" w14:textId="07BB845F" w:rsidR="002F3C8D" w:rsidRPr="00B131CA" w:rsidRDefault="00BF5CDA" w:rsidP="006656E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294EC6">
        <w:rPr>
          <w:rFonts w:ascii="Times New Roman" w:eastAsia="Times New Roman" w:hAnsi="Times New Roman" w:cs="Times New Roman"/>
          <w:b/>
          <w:bCs/>
          <w:color w:val="000000"/>
          <w:sz w:val="24"/>
          <w:szCs w:val="24"/>
        </w:rPr>
        <w:t>Referrals and Support</w:t>
      </w:r>
      <w:r w:rsidR="00C667AA">
        <w:rPr>
          <w:rFonts w:ascii="Times New Roman" w:eastAsia="Times New Roman" w:hAnsi="Times New Roman" w:cs="Times New Roman"/>
          <w:b/>
          <w:bCs/>
          <w:color w:val="000000"/>
          <w:sz w:val="24"/>
          <w:szCs w:val="24"/>
        </w:rPr>
        <w:t>ive</w:t>
      </w:r>
      <w:r w:rsidRPr="00294EC6">
        <w:rPr>
          <w:rFonts w:ascii="Times New Roman" w:eastAsia="Times New Roman" w:hAnsi="Times New Roman" w:cs="Times New Roman"/>
          <w:b/>
          <w:bCs/>
          <w:color w:val="000000"/>
          <w:sz w:val="24"/>
          <w:szCs w:val="24"/>
        </w:rPr>
        <w:t xml:space="preserve"> Services.</w:t>
      </w:r>
      <w:r w:rsidR="00554B5F">
        <w:rPr>
          <w:rFonts w:ascii="Times New Roman" w:eastAsia="Times New Roman" w:hAnsi="Times New Roman" w:cs="Times New Roman"/>
          <w:b/>
          <w:bCs/>
          <w:color w:val="000000"/>
          <w:sz w:val="24"/>
          <w:szCs w:val="24"/>
        </w:rPr>
        <w:t xml:space="preserve"> </w:t>
      </w:r>
      <w:r w:rsidR="00554B5F" w:rsidRPr="006656E6">
        <w:rPr>
          <w:rFonts w:ascii="Times New Roman" w:hAnsi="Times New Roman"/>
          <w:color w:val="000000"/>
          <w:sz w:val="24"/>
        </w:rPr>
        <w:t>In many instances, students benefit from referrals to other service agencies, either to co-enroll in other WIOA title programs, or to access support</w:t>
      </w:r>
      <w:r w:rsidR="00EA43B5">
        <w:rPr>
          <w:rFonts w:ascii="Times New Roman" w:hAnsi="Times New Roman"/>
          <w:color w:val="000000"/>
          <w:sz w:val="24"/>
        </w:rPr>
        <w:t>ive</w:t>
      </w:r>
      <w:r w:rsidR="00554B5F" w:rsidRPr="006656E6">
        <w:rPr>
          <w:rFonts w:ascii="Times New Roman" w:hAnsi="Times New Roman"/>
          <w:color w:val="000000"/>
          <w:sz w:val="24"/>
        </w:rPr>
        <w:t xml:space="preserve"> services such as health care and legal services, or assistance with transportation, housing, food, or child </w:t>
      </w:r>
      <w:r w:rsidR="00F648BC">
        <w:rPr>
          <w:rFonts w:ascii="Times New Roman" w:hAnsi="Times New Roman"/>
          <w:color w:val="000000"/>
          <w:sz w:val="24"/>
        </w:rPr>
        <w:t xml:space="preserve">and dependent </w:t>
      </w:r>
      <w:r w:rsidR="00554B5F" w:rsidRPr="006656E6">
        <w:rPr>
          <w:rFonts w:ascii="Times New Roman" w:hAnsi="Times New Roman"/>
          <w:color w:val="000000"/>
          <w:sz w:val="24"/>
        </w:rPr>
        <w:t>care. See the Glossary of Terms for the full list of support</w:t>
      </w:r>
      <w:r w:rsidR="00EA43B5">
        <w:rPr>
          <w:rFonts w:ascii="Times New Roman" w:hAnsi="Times New Roman"/>
          <w:color w:val="000000"/>
          <w:sz w:val="24"/>
        </w:rPr>
        <w:t>ive</w:t>
      </w:r>
      <w:r w:rsidR="00554B5F" w:rsidRPr="006656E6">
        <w:rPr>
          <w:rFonts w:ascii="Times New Roman" w:hAnsi="Times New Roman"/>
          <w:color w:val="000000"/>
          <w:sz w:val="24"/>
        </w:rPr>
        <w:t xml:space="preserve"> services authorized under WIOA. </w:t>
      </w:r>
    </w:p>
    <w:p w14:paraId="000001F6" w14:textId="16C4E271" w:rsidR="002F3C8D" w:rsidRPr="006656E6" w:rsidRDefault="00BF5CDA" w:rsidP="006656E6">
      <w:pPr>
        <w:pBdr>
          <w:top w:val="nil"/>
          <w:left w:val="nil"/>
          <w:bottom w:val="nil"/>
          <w:right w:val="nil"/>
          <w:between w:val="nil"/>
        </w:pBdr>
        <w:spacing w:after="200" w:line="240" w:lineRule="auto"/>
        <w:rPr>
          <w:rFonts w:ascii="Times New Roman" w:hAnsi="Times New Roman"/>
          <w:sz w:val="24"/>
        </w:rPr>
      </w:pPr>
      <w:r w:rsidRPr="00294EC6">
        <w:rPr>
          <w:rFonts w:ascii="Times New Roman" w:eastAsia="Times New Roman" w:hAnsi="Times New Roman" w:cs="Times New Roman"/>
          <w:color w:val="000000"/>
          <w:sz w:val="24"/>
          <w:szCs w:val="24"/>
        </w:rPr>
        <w:lastRenderedPageBreak/>
        <w:t>Partner programs are excellent sources of referrals to</w:t>
      </w:r>
      <w:r w:rsidRPr="00294EC6">
        <w:rPr>
          <w:rFonts w:ascii="Times New Roman" w:eastAsia="Times New Roman" w:hAnsi="Times New Roman" w:cs="Times New Roman"/>
          <w:i/>
          <w:color w:val="000000"/>
          <w:sz w:val="24"/>
          <w:szCs w:val="24"/>
        </w:rPr>
        <w:t xml:space="preserve"> </w:t>
      </w:r>
      <w:r w:rsidRPr="00294EC6">
        <w:rPr>
          <w:rFonts w:ascii="Times New Roman" w:eastAsia="Times New Roman" w:hAnsi="Times New Roman" w:cs="Times New Roman"/>
          <w:color w:val="000000"/>
          <w:sz w:val="24"/>
          <w:szCs w:val="24"/>
        </w:rPr>
        <w:t>your program</w:t>
      </w:r>
      <w:r w:rsidR="00EA43B5">
        <w:rPr>
          <w:rFonts w:ascii="Times New Roman" w:eastAsia="Times New Roman" w:hAnsi="Times New Roman" w:cs="Times New Roman"/>
          <w:color w:val="000000"/>
          <w:sz w:val="24"/>
          <w:szCs w:val="24"/>
        </w:rPr>
        <w:t xml:space="preserve">; </w:t>
      </w:r>
      <w:r w:rsidRPr="00294EC6">
        <w:rPr>
          <w:rFonts w:ascii="Times New Roman" w:eastAsia="Times New Roman" w:hAnsi="Times New Roman" w:cs="Times New Roman"/>
          <w:color w:val="000000"/>
          <w:sz w:val="24"/>
          <w:szCs w:val="24"/>
        </w:rPr>
        <w:t>reach out to community partners to strategize effective outreach efforts and specific services to shared populations. For example, be sure all service providers serving reentering citizens transitioning from correctional institutions are connecting those clients with limited education and/or those with a need for skills development to your services and reach this population by arranging services to be offered at transition programs like probation and parole offices. </w:t>
      </w:r>
      <w:r w:rsidR="00853958">
        <w:rPr>
          <w:rFonts w:ascii="Times New Roman" w:eastAsia="Times New Roman" w:hAnsi="Times New Roman" w:cs="Times New Roman"/>
          <w:color w:val="000000"/>
          <w:sz w:val="24"/>
          <w:szCs w:val="24"/>
        </w:rPr>
        <w:t>Faith-based groups can also be partners to help reach specific community groups and speakers of other languages; they may be able to provide recruitment and supportive services as a trusted voice in the community.</w:t>
      </w:r>
    </w:p>
    <w:p w14:paraId="000001F7" w14:textId="1E9E6166" w:rsidR="002F3C8D" w:rsidRPr="006656E6" w:rsidRDefault="00BF5CDA" w:rsidP="008D03B8">
      <w:pPr>
        <w:pStyle w:val="Heading4"/>
        <w:rPr>
          <w:i/>
        </w:rPr>
      </w:pPr>
      <w:bookmarkStart w:id="49" w:name="_Toc174088860"/>
      <w:r w:rsidRPr="006656E6">
        <w:t>Collaborating and Leveraging Funding Opportunities</w:t>
      </w:r>
      <w:bookmarkEnd w:id="49"/>
      <w:r w:rsidRPr="006656E6">
        <w:t> </w:t>
      </w:r>
    </w:p>
    <w:p w14:paraId="000001F8" w14:textId="5E2CBEC7" w:rsidR="002F3C8D" w:rsidRPr="00182B39" w:rsidRDefault="00BF5CDA">
      <w:pPr>
        <w:pBdr>
          <w:top w:val="nil"/>
          <w:left w:val="nil"/>
          <w:bottom w:val="nil"/>
          <w:right w:val="nil"/>
          <w:between w:val="nil"/>
        </w:pBdr>
        <w:spacing w:after="200" w:line="240" w:lineRule="auto"/>
        <w:rPr>
          <w:rFonts w:ascii="Times New Roman" w:hAnsi="Times New Roman"/>
          <w:sz w:val="24"/>
        </w:rPr>
      </w:pPr>
      <w:r w:rsidRPr="00B131CA">
        <w:rPr>
          <w:rFonts w:ascii="Times New Roman" w:eastAsia="Times New Roman" w:hAnsi="Times New Roman" w:cs="Times New Roman"/>
          <w:color w:val="000000"/>
          <w:sz w:val="24"/>
          <w:szCs w:val="24"/>
        </w:rPr>
        <w:t xml:space="preserve">In Virginia, adult education providers may seek additional funding that enhances their ability to offer programming and services that attract, support, and retain students so that they can achieve their goals. Additional funding sources often have different spending allowances that can fill gaps left by the AEFLA allowability rules. For example, while federal and state matching dollars may not be used to fund student tuition unless it is part of an official IET cohort, partners such as WIOA title I and </w:t>
      </w:r>
      <w:r w:rsidR="00DA7EA4">
        <w:rPr>
          <w:rFonts w:ascii="Times New Roman" w:eastAsia="Times New Roman" w:hAnsi="Times New Roman" w:cs="Times New Roman"/>
          <w:color w:val="000000"/>
          <w:sz w:val="24"/>
          <w:szCs w:val="24"/>
        </w:rPr>
        <w:t xml:space="preserve">the </w:t>
      </w:r>
      <w:r w:rsidR="00433028">
        <w:rPr>
          <w:rFonts w:ascii="Times New Roman" w:eastAsia="Times New Roman" w:hAnsi="Times New Roman" w:cs="Times New Roman"/>
          <w:color w:val="000000"/>
          <w:sz w:val="24"/>
          <w:szCs w:val="24"/>
        </w:rPr>
        <w:t>Department of Social Services (</w:t>
      </w:r>
      <w:r w:rsidRPr="00B131CA">
        <w:rPr>
          <w:rFonts w:ascii="Times New Roman" w:eastAsia="Times New Roman" w:hAnsi="Times New Roman" w:cs="Times New Roman"/>
          <w:color w:val="000000"/>
          <w:sz w:val="24"/>
          <w:szCs w:val="24"/>
        </w:rPr>
        <w:t>DSS</w:t>
      </w:r>
      <w:r w:rsidR="00433028">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may support tuition stipends for shared clients. Similarly, while federal and state matching funds may not</w:t>
      </w:r>
      <w:r w:rsidR="00EB0BFD">
        <w:rPr>
          <w:rFonts w:ascii="Times New Roman" w:eastAsia="Times New Roman" w:hAnsi="Times New Roman" w:cs="Times New Roman"/>
          <w:color w:val="000000"/>
          <w:sz w:val="24"/>
          <w:szCs w:val="24"/>
        </w:rPr>
        <w:t xml:space="preserve"> be used to</w:t>
      </w:r>
      <w:r w:rsidRPr="00B131CA">
        <w:rPr>
          <w:rFonts w:ascii="Times New Roman" w:eastAsia="Times New Roman" w:hAnsi="Times New Roman" w:cs="Times New Roman"/>
          <w:color w:val="000000"/>
          <w:sz w:val="24"/>
          <w:szCs w:val="24"/>
        </w:rPr>
        <w:t xml:space="preserve"> purchase supplies for celebrations, local business sponsors are often happy to help and be </w:t>
      </w:r>
      <w:r w:rsidR="00EB0BFD">
        <w:rPr>
          <w:rFonts w:ascii="Times New Roman" w:eastAsia="Times New Roman" w:hAnsi="Times New Roman" w:cs="Times New Roman"/>
          <w:color w:val="000000"/>
          <w:sz w:val="24"/>
          <w:szCs w:val="24"/>
        </w:rPr>
        <w:t xml:space="preserve">a </w:t>
      </w:r>
      <w:r w:rsidRPr="00B131CA">
        <w:rPr>
          <w:rFonts w:ascii="Times New Roman" w:eastAsia="Times New Roman" w:hAnsi="Times New Roman" w:cs="Times New Roman"/>
          <w:color w:val="000000"/>
          <w:sz w:val="24"/>
          <w:szCs w:val="24"/>
        </w:rPr>
        <w:t xml:space="preserve">part of recognition and sponsorship activities. One key financial principle to keep in mind as you seek additional funds, however, is “supplement </w:t>
      </w:r>
      <w:proofErr w:type="gramStart"/>
      <w:r w:rsidRPr="00B131CA">
        <w:rPr>
          <w:rFonts w:ascii="Times New Roman" w:eastAsia="Times New Roman" w:hAnsi="Times New Roman" w:cs="Times New Roman"/>
          <w:color w:val="000000"/>
          <w:sz w:val="24"/>
          <w:szCs w:val="24"/>
        </w:rPr>
        <w:t>not supplant</w:t>
      </w:r>
      <w:proofErr w:type="gramEnd"/>
      <w:r w:rsidRPr="00B131CA">
        <w:rPr>
          <w:rFonts w:ascii="Times New Roman" w:eastAsia="Times New Roman" w:hAnsi="Times New Roman" w:cs="Times New Roman"/>
          <w:color w:val="000000"/>
          <w:sz w:val="24"/>
          <w:szCs w:val="24"/>
        </w:rPr>
        <w:t xml:space="preserve">” </w:t>
      </w:r>
      <w:r w:rsidR="00A866A5">
        <w:rPr>
          <w:rFonts w:ascii="Times New Roman" w:eastAsia="Times New Roman" w:hAnsi="Times New Roman" w:cs="Times New Roman"/>
          <w:color w:val="000000"/>
          <w:sz w:val="24"/>
          <w:szCs w:val="24"/>
        </w:rPr>
        <w:t>(</w:t>
      </w:r>
      <w:r w:rsidR="00761A9D">
        <w:rPr>
          <w:rFonts w:ascii="Times New Roman" w:eastAsia="Times New Roman" w:hAnsi="Times New Roman" w:cs="Times New Roman"/>
          <w:color w:val="000000"/>
          <w:sz w:val="24"/>
          <w:szCs w:val="24"/>
        </w:rPr>
        <w:t>Overview of Federal and State Regulations, subsection: Federal Legislation and Regulations</w:t>
      </w:r>
      <w:r w:rsidR="00A866A5">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w:t>
      </w:r>
    </w:p>
    <w:p w14:paraId="000001F9" w14:textId="1A2FD82D" w:rsidR="002F3C8D" w:rsidRPr="00B131CA" w:rsidRDefault="00BF5CDA" w:rsidP="006656E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While adult education providers may not be an eligible or the most appropriate applicant for </w:t>
      </w:r>
      <w:r w:rsidR="00EA43B5">
        <w:rPr>
          <w:rFonts w:ascii="Times New Roman" w:eastAsia="Times New Roman" w:hAnsi="Times New Roman" w:cs="Times New Roman"/>
          <w:color w:val="000000"/>
          <w:sz w:val="24"/>
          <w:szCs w:val="24"/>
        </w:rPr>
        <w:t>outside</w:t>
      </w:r>
      <w:r w:rsidRPr="00B131CA">
        <w:rPr>
          <w:rFonts w:ascii="Times New Roman" w:eastAsia="Times New Roman" w:hAnsi="Times New Roman" w:cs="Times New Roman"/>
          <w:color w:val="000000"/>
          <w:sz w:val="24"/>
          <w:szCs w:val="24"/>
        </w:rPr>
        <w:t xml:space="preserve"> funding streams, applying with a local partner may generate funds that can strengthen joint programming and outreach in your community. </w:t>
      </w:r>
      <w:r w:rsidR="00F6458A" w:rsidRPr="00B131CA">
        <w:rPr>
          <w:rFonts w:ascii="Times New Roman" w:eastAsia="Times New Roman" w:hAnsi="Times New Roman" w:cs="Times New Roman"/>
          <w:color w:val="000000"/>
          <w:sz w:val="24"/>
          <w:szCs w:val="24"/>
        </w:rPr>
        <w:t xml:space="preserve">The following list provides a </w:t>
      </w:r>
      <w:r w:rsidR="00F6458A">
        <w:rPr>
          <w:rFonts w:ascii="Times New Roman" w:eastAsia="Times New Roman" w:hAnsi="Times New Roman" w:cs="Times New Roman"/>
          <w:color w:val="000000"/>
          <w:sz w:val="24"/>
          <w:szCs w:val="24"/>
        </w:rPr>
        <w:t>few sources of additional funds:</w:t>
      </w:r>
    </w:p>
    <w:p w14:paraId="000001FA" w14:textId="77777777" w:rsidR="002F3C8D" w:rsidRPr="00B131CA" w:rsidRDefault="00BF5CDA" w:rsidP="00F057C2">
      <w:pPr>
        <w:numPr>
          <w:ilvl w:val="0"/>
          <w:numId w:val="2"/>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6656E6">
        <w:rPr>
          <w:rFonts w:ascii="Times New Roman" w:hAnsi="Times New Roman"/>
          <w:color w:val="000000"/>
          <w:sz w:val="24"/>
        </w:rPr>
        <w:t>Road to Success in Virginia (RSVP)</w:t>
      </w:r>
      <w:r w:rsidRPr="00B131CA">
        <w:rPr>
          <w:rFonts w:ascii="Times New Roman" w:eastAsia="Times New Roman" w:hAnsi="Times New Roman" w:cs="Times New Roman"/>
          <w:color w:val="000000"/>
          <w:sz w:val="24"/>
          <w:szCs w:val="24"/>
        </w:rPr>
        <w:t>: The Department of Social Services sponsors grants to community colleges and adult education partners under the Temporary Aid for Needy Families (TANF) federal funds. These grants, competed by the VCCS, specifically require integrated education and training programming.</w:t>
      </w:r>
    </w:p>
    <w:p w14:paraId="000001FB" w14:textId="39DC2E92" w:rsidR="002F3C8D" w:rsidRPr="00B131CA" w:rsidRDefault="00BF5CDA" w:rsidP="00F057C2">
      <w:pPr>
        <w:numPr>
          <w:ilvl w:val="0"/>
          <w:numId w:val="2"/>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6656E6">
        <w:rPr>
          <w:rFonts w:ascii="Times New Roman" w:hAnsi="Times New Roman"/>
          <w:color w:val="000000"/>
          <w:sz w:val="24"/>
        </w:rPr>
        <w:t>Local Workforce Development Boards</w:t>
      </w:r>
      <w:r w:rsidR="00BB00DF">
        <w:rPr>
          <w:rFonts w:ascii="Times New Roman" w:hAnsi="Times New Roman"/>
          <w:color w:val="000000"/>
          <w:sz w:val="24"/>
        </w:rPr>
        <w:t xml:space="preserve"> (LWDB)</w:t>
      </w:r>
      <w:r w:rsidRPr="00B131CA">
        <w:rPr>
          <w:rFonts w:ascii="Times New Roman" w:eastAsia="Times New Roman" w:hAnsi="Times New Roman" w:cs="Times New Roman"/>
          <w:color w:val="000000"/>
          <w:sz w:val="24"/>
          <w:szCs w:val="24"/>
        </w:rPr>
        <w:t xml:space="preserve">: Although the Boards do not usually have discretionary funds, they may be </w:t>
      </w:r>
      <w:r w:rsidR="00EB0BFD">
        <w:rPr>
          <w:rFonts w:ascii="Times New Roman" w:eastAsia="Times New Roman" w:hAnsi="Times New Roman" w:cs="Times New Roman"/>
          <w:color w:val="000000"/>
          <w:sz w:val="24"/>
          <w:szCs w:val="24"/>
        </w:rPr>
        <w:t xml:space="preserve">an </w:t>
      </w:r>
      <w:r w:rsidRPr="00B131CA">
        <w:rPr>
          <w:rFonts w:ascii="Times New Roman" w:eastAsia="Times New Roman" w:hAnsi="Times New Roman" w:cs="Times New Roman"/>
          <w:color w:val="000000"/>
          <w:sz w:val="24"/>
          <w:szCs w:val="24"/>
        </w:rPr>
        <w:t>eligible applicant for state discretionary grants that fund education and training, professional development, or related projects.</w:t>
      </w:r>
    </w:p>
    <w:p w14:paraId="000001FC" w14:textId="3852EE2B" w:rsidR="002F3C8D" w:rsidRPr="00B131CA" w:rsidRDefault="00B73E9E" w:rsidP="00F057C2">
      <w:pPr>
        <w:numPr>
          <w:ilvl w:val="0"/>
          <w:numId w:val="2"/>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hyperlink r:id="rId124" w:history="1">
        <w:r w:rsidR="00BF5CDA" w:rsidRPr="00C7302E">
          <w:rPr>
            <w:rStyle w:val="Hyperlink"/>
            <w:rFonts w:ascii="Times New Roman" w:eastAsia="Times New Roman" w:hAnsi="Times New Roman" w:cs="Times New Roman"/>
            <w:sz w:val="24"/>
            <w:szCs w:val="24"/>
          </w:rPr>
          <w:t>Doll</w:t>
        </w:r>
        <w:r w:rsidR="00C7302E" w:rsidRPr="00C7302E">
          <w:rPr>
            <w:rStyle w:val="Hyperlink"/>
            <w:rFonts w:ascii="Times New Roman" w:eastAsia="Times New Roman" w:hAnsi="Times New Roman" w:cs="Times New Roman"/>
            <w:sz w:val="24"/>
            <w:szCs w:val="24"/>
          </w:rPr>
          <w:t>ar General Adult Literacy Fund</w:t>
        </w:r>
      </w:hyperlink>
    </w:p>
    <w:p w14:paraId="000001FD" w14:textId="1AF6BE30" w:rsidR="002F3C8D" w:rsidRPr="00B131CA" w:rsidRDefault="00B73E9E" w:rsidP="00F057C2">
      <w:pPr>
        <w:numPr>
          <w:ilvl w:val="0"/>
          <w:numId w:val="2"/>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hyperlink r:id="rId125" w:history="1">
        <w:r w:rsidR="00BF5CDA" w:rsidRPr="00C7302E">
          <w:rPr>
            <w:rStyle w:val="Hyperlink"/>
            <w:rFonts w:ascii="Times New Roman" w:eastAsia="Times New Roman" w:hAnsi="Times New Roman" w:cs="Times New Roman"/>
            <w:sz w:val="24"/>
            <w:szCs w:val="24"/>
          </w:rPr>
          <w:t xml:space="preserve">The Virginia Foundation </w:t>
        </w:r>
        <w:r w:rsidR="00C7302E" w:rsidRPr="00C7302E">
          <w:rPr>
            <w:rStyle w:val="Hyperlink"/>
            <w:rFonts w:ascii="Times New Roman" w:eastAsia="Times New Roman" w:hAnsi="Times New Roman" w:cs="Times New Roman"/>
            <w:sz w:val="24"/>
            <w:szCs w:val="24"/>
          </w:rPr>
          <w:t>for Community College Education</w:t>
        </w:r>
      </w:hyperlink>
    </w:p>
    <w:p w14:paraId="000001FE" w14:textId="06EAF0FC" w:rsidR="002F3C8D" w:rsidRPr="00B131CA" w:rsidRDefault="00B73E9E" w:rsidP="00F057C2">
      <w:pPr>
        <w:numPr>
          <w:ilvl w:val="0"/>
          <w:numId w:val="2"/>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hyperlink r:id="rId126" w:history="1">
        <w:r w:rsidR="00C7302E" w:rsidRPr="00C7302E">
          <w:rPr>
            <w:rStyle w:val="Hyperlink"/>
            <w:rFonts w:ascii="Times New Roman" w:eastAsia="Times New Roman" w:hAnsi="Times New Roman" w:cs="Times New Roman"/>
            <w:sz w:val="24"/>
            <w:szCs w:val="24"/>
          </w:rPr>
          <w:t>United Way chapters</w:t>
        </w:r>
      </w:hyperlink>
    </w:p>
    <w:p w14:paraId="000001FF" w14:textId="7E2BBA33" w:rsidR="002F3C8D" w:rsidRPr="00B131CA" w:rsidRDefault="00B73E9E" w:rsidP="00F057C2">
      <w:pPr>
        <w:numPr>
          <w:ilvl w:val="0"/>
          <w:numId w:val="2"/>
        </w:num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hyperlink r:id="rId127" w:history="1">
        <w:r w:rsidR="00C7302E" w:rsidRPr="00C7302E">
          <w:rPr>
            <w:rStyle w:val="Hyperlink"/>
            <w:rFonts w:ascii="Times New Roman" w:eastAsia="Times New Roman" w:hAnsi="Times New Roman" w:cs="Times New Roman"/>
            <w:sz w:val="24"/>
            <w:szCs w:val="24"/>
          </w:rPr>
          <w:t>Dress for Success</w:t>
        </w:r>
      </w:hyperlink>
    </w:p>
    <w:p w14:paraId="00000200" w14:textId="06A09306"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 curated list of grant opportunities is kept current at</w:t>
      </w:r>
      <w:r w:rsidRPr="006656E6">
        <w:rPr>
          <w:rFonts w:ascii="Times New Roman" w:hAnsi="Times New Roman"/>
          <w:color w:val="000000"/>
          <w:sz w:val="24"/>
        </w:rPr>
        <w:t xml:space="preserve"> </w:t>
      </w:r>
      <w:r w:rsidR="00C7302E">
        <w:rPr>
          <w:rFonts w:ascii="Times New Roman" w:eastAsia="Times New Roman" w:hAnsi="Times New Roman" w:cs="Times New Roman"/>
          <w:color w:val="000000"/>
          <w:sz w:val="24"/>
          <w:szCs w:val="24"/>
        </w:rPr>
        <w:t xml:space="preserve">the </w:t>
      </w:r>
      <w:proofErr w:type="spellStart"/>
      <w:r w:rsidR="00C7302E">
        <w:rPr>
          <w:rFonts w:ascii="Times New Roman" w:eastAsia="Times New Roman" w:hAnsi="Times New Roman" w:cs="Times New Roman"/>
          <w:color w:val="000000"/>
          <w:sz w:val="24"/>
          <w:szCs w:val="24"/>
        </w:rPr>
        <w:t>ProLiteracy</w:t>
      </w:r>
      <w:proofErr w:type="spellEnd"/>
      <w:r w:rsidR="00C7302E">
        <w:rPr>
          <w:rFonts w:ascii="Times New Roman" w:eastAsia="Times New Roman" w:hAnsi="Times New Roman" w:cs="Times New Roman"/>
          <w:color w:val="000000"/>
          <w:sz w:val="24"/>
          <w:szCs w:val="24"/>
        </w:rPr>
        <w:t xml:space="preserve"> </w:t>
      </w:r>
      <w:hyperlink r:id="rId128" w:history="1">
        <w:r w:rsidR="00C7302E" w:rsidRPr="00C7302E">
          <w:rPr>
            <w:rStyle w:val="Hyperlink"/>
            <w:rFonts w:ascii="Times New Roman" w:eastAsia="Times New Roman" w:hAnsi="Times New Roman" w:cs="Times New Roman"/>
            <w:sz w:val="24"/>
            <w:szCs w:val="24"/>
          </w:rPr>
          <w:t>website</w:t>
        </w:r>
      </w:hyperlink>
      <w:r w:rsidRPr="00B131CA">
        <w:rPr>
          <w:rFonts w:ascii="Times New Roman" w:eastAsia="Times New Roman" w:hAnsi="Times New Roman" w:cs="Times New Roman"/>
          <w:color w:val="000000"/>
          <w:sz w:val="24"/>
          <w:szCs w:val="24"/>
        </w:rPr>
        <w:t>.</w:t>
      </w:r>
    </w:p>
    <w:p w14:paraId="00000201" w14:textId="77777777" w:rsidR="002F3C8D" w:rsidRPr="005C5E03" w:rsidRDefault="002F3C8D" w:rsidP="004A0493">
      <w:pPr>
        <w:pStyle w:val="Heading3"/>
        <w:sectPr w:rsidR="002F3C8D" w:rsidRPr="005C5E03" w:rsidSect="000E656A">
          <w:pgSz w:w="12240" w:h="15840"/>
          <w:pgMar w:top="1440" w:right="1440" w:bottom="1440" w:left="1440" w:header="720" w:footer="720" w:gutter="0"/>
          <w:pgNumType w:chapStyle="2"/>
          <w:cols w:space="720"/>
        </w:sectPr>
      </w:pPr>
    </w:p>
    <w:p w14:paraId="00000202" w14:textId="23CAFE39" w:rsidR="002F3C8D" w:rsidRPr="008B0FDB" w:rsidRDefault="00BF5CDA" w:rsidP="004A0493">
      <w:pPr>
        <w:pStyle w:val="Heading3"/>
      </w:pPr>
      <w:bookmarkStart w:id="50" w:name="_Toc174088861"/>
      <w:r w:rsidRPr="008B0FDB">
        <w:lastRenderedPageBreak/>
        <w:t>Competing for the AEFLA Funding</w:t>
      </w:r>
      <w:bookmarkEnd w:id="50"/>
    </w:p>
    <w:p w14:paraId="00000203" w14:textId="3499F829"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AEFLA grants are competed by the VDOE on a three-year cycle, most recently in 202</w:t>
      </w:r>
      <w:r w:rsidR="00B256A4">
        <w:rPr>
          <w:rFonts w:ascii="Times New Roman" w:eastAsia="Times New Roman" w:hAnsi="Times New Roman" w:cs="Times New Roman"/>
          <w:color w:val="000000"/>
          <w:sz w:val="24"/>
          <w:szCs w:val="24"/>
        </w:rPr>
        <w:t>3</w:t>
      </w:r>
      <w:r w:rsidRPr="00B131CA">
        <w:rPr>
          <w:rFonts w:ascii="Times New Roman" w:eastAsia="Times New Roman" w:hAnsi="Times New Roman" w:cs="Times New Roman"/>
          <w:color w:val="000000"/>
          <w:sz w:val="24"/>
          <w:szCs w:val="24"/>
        </w:rPr>
        <w:t xml:space="preserve"> for the 202</w:t>
      </w:r>
      <w:r w:rsidR="00B256A4">
        <w:rPr>
          <w:rFonts w:ascii="Times New Roman" w:eastAsia="Times New Roman" w:hAnsi="Times New Roman" w:cs="Times New Roman"/>
          <w:color w:val="000000"/>
          <w:sz w:val="24"/>
          <w:szCs w:val="24"/>
        </w:rPr>
        <w:t>3</w:t>
      </w:r>
      <w:r w:rsidRPr="00B131CA">
        <w:rPr>
          <w:rFonts w:ascii="Times New Roman" w:eastAsia="Times New Roman" w:hAnsi="Times New Roman" w:cs="Times New Roman"/>
          <w:color w:val="000000"/>
          <w:sz w:val="24"/>
          <w:szCs w:val="24"/>
        </w:rPr>
        <w:t>-202</w:t>
      </w:r>
      <w:r w:rsidR="00B256A4">
        <w:rPr>
          <w:rFonts w:ascii="Times New Roman" w:eastAsia="Times New Roman" w:hAnsi="Times New Roman" w:cs="Times New Roman"/>
          <w:color w:val="000000"/>
          <w:sz w:val="24"/>
          <w:szCs w:val="24"/>
        </w:rPr>
        <w:t>5</w:t>
      </w:r>
      <w:r w:rsidRPr="00B131CA">
        <w:rPr>
          <w:rFonts w:ascii="Times New Roman" w:eastAsia="Times New Roman" w:hAnsi="Times New Roman" w:cs="Times New Roman"/>
          <w:color w:val="000000"/>
          <w:sz w:val="24"/>
          <w:szCs w:val="24"/>
        </w:rPr>
        <w:t xml:space="preserve"> cycle. Every second and third year, providers must submit a continuation application. Federal funding levels fluctuate each year in response to the federal allocation. State funding levels are more consistent year over year. Budget workbooks and narratives are required in each year’s application. Regional adult education (Sec. 231) funds are awarded to a single</w:t>
      </w:r>
      <w:r w:rsidR="00EA43B5">
        <w:rPr>
          <w:rFonts w:ascii="Times New Roman" w:eastAsia="Times New Roman" w:hAnsi="Times New Roman" w:cs="Times New Roman"/>
          <w:color w:val="000000"/>
          <w:sz w:val="24"/>
          <w:szCs w:val="24"/>
        </w:rPr>
        <w:t xml:space="preserve"> eligible applicant applying to serve as a</w:t>
      </w:r>
      <w:r w:rsidRPr="00B131CA">
        <w:rPr>
          <w:rFonts w:ascii="Times New Roman" w:eastAsia="Times New Roman" w:hAnsi="Times New Roman" w:cs="Times New Roman"/>
          <w:color w:val="000000"/>
          <w:sz w:val="24"/>
          <w:szCs w:val="24"/>
        </w:rPr>
        <w:t xml:space="preserve"> fiscal agent for </w:t>
      </w:r>
      <w:r w:rsidR="00EA43B5">
        <w:rPr>
          <w:rFonts w:ascii="Times New Roman" w:eastAsia="Times New Roman" w:hAnsi="Times New Roman" w:cs="Times New Roman"/>
          <w:color w:val="000000"/>
          <w:sz w:val="24"/>
          <w:szCs w:val="24"/>
        </w:rPr>
        <w:t>an entire</w:t>
      </w:r>
      <w:r w:rsidRPr="00B131CA">
        <w:rPr>
          <w:rFonts w:ascii="Times New Roman" w:eastAsia="Times New Roman" w:hAnsi="Times New Roman" w:cs="Times New Roman"/>
          <w:color w:val="000000"/>
          <w:sz w:val="24"/>
          <w:szCs w:val="24"/>
        </w:rPr>
        <w:t xml:space="preserve"> region.</w:t>
      </w:r>
      <w:r w:rsidR="00B256A4">
        <w:rPr>
          <w:rFonts w:ascii="Times New Roman" w:eastAsia="Times New Roman" w:hAnsi="Times New Roman" w:cs="Times New Roman"/>
          <w:color w:val="000000"/>
          <w:sz w:val="24"/>
          <w:szCs w:val="24"/>
        </w:rPr>
        <w:t xml:space="preserve"> C&amp;I (Sec. 225) funds </w:t>
      </w:r>
      <w:r w:rsidR="0050600F">
        <w:rPr>
          <w:rFonts w:ascii="Times New Roman" w:eastAsia="Times New Roman" w:hAnsi="Times New Roman" w:cs="Times New Roman"/>
          <w:color w:val="000000"/>
          <w:sz w:val="24"/>
          <w:szCs w:val="24"/>
        </w:rPr>
        <w:t>a</w:t>
      </w:r>
      <w:r w:rsidR="00B256A4">
        <w:rPr>
          <w:rFonts w:ascii="Times New Roman" w:eastAsia="Times New Roman" w:hAnsi="Times New Roman" w:cs="Times New Roman"/>
          <w:color w:val="000000"/>
          <w:sz w:val="24"/>
          <w:szCs w:val="24"/>
        </w:rPr>
        <w:t xml:space="preserve">re awarded to eligible providers </w:t>
      </w:r>
      <w:r w:rsidR="0050600F">
        <w:rPr>
          <w:rFonts w:ascii="Times New Roman" w:eastAsia="Times New Roman" w:hAnsi="Times New Roman" w:cs="Times New Roman"/>
          <w:color w:val="000000"/>
          <w:sz w:val="24"/>
          <w:szCs w:val="24"/>
        </w:rPr>
        <w:t>applying to serve institutionalized individuals within cooperating facilities</w:t>
      </w:r>
      <w:r w:rsidR="009F6522">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IELCE (Sec. 243) funds are awarded to eligible providers applying to serve localities with demonstrated need for services, whether across an entire region or in a locality.</w:t>
      </w:r>
    </w:p>
    <w:p w14:paraId="00000204" w14:textId="5D0DA995" w:rsidR="002F3C8D" w:rsidRPr="00F002E2" w:rsidRDefault="00BF5CDA" w:rsidP="008D03B8">
      <w:pPr>
        <w:pStyle w:val="Heading4"/>
        <w:rPr>
          <w:rFonts w:eastAsia="Times New Roman" w:cs="Times New Roman"/>
          <w:i/>
          <w:szCs w:val="24"/>
        </w:rPr>
      </w:pPr>
      <w:bookmarkStart w:id="51" w:name="_Toc174088862"/>
      <w:r w:rsidRPr="006656E6">
        <w:t>Eligible Providers</w:t>
      </w:r>
      <w:bookmarkEnd w:id="51"/>
      <w:r w:rsidRPr="006656E6">
        <w:t> </w:t>
      </w:r>
    </w:p>
    <w:p w14:paraId="00000205" w14:textId="728F0651" w:rsidR="002F3C8D" w:rsidRPr="00B131CA" w:rsidRDefault="00BF5CDA">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An eligible provider is an organization that has demonstrated effectiveness</w:t>
      </w:r>
      <w:r w:rsidR="003E1F58">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in providing adult education and literacy activities. These organizations may include, but are not limited to: </w:t>
      </w:r>
    </w:p>
    <w:p w14:paraId="5FD5A700" w14:textId="77777777" w:rsidR="00251701" w:rsidRPr="00251701" w:rsidRDefault="00251701" w:rsidP="00251701">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251701">
        <w:rPr>
          <w:rFonts w:ascii="Times New Roman" w:eastAsia="Times New Roman" w:hAnsi="Times New Roman" w:cs="Times New Roman"/>
          <w:color w:val="000000"/>
          <w:sz w:val="24"/>
          <w:szCs w:val="24"/>
        </w:rPr>
        <w:t>(a)</w:t>
      </w:r>
      <w:r w:rsidRPr="00251701">
        <w:rPr>
          <w:rFonts w:ascii="Times New Roman" w:eastAsia="Times New Roman" w:hAnsi="Times New Roman" w:cs="Times New Roman"/>
          <w:color w:val="000000"/>
          <w:sz w:val="24"/>
          <w:szCs w:val="24"/>
        </w:rPr>
        <w:tab/>
        <w:t xml:space="preserve">local educational </w:t>
      </w:r>
      <w:proofErr w:type="gramStart"/>
      <w:r w:rsidRPr="00251701">
        <w:rPr>
          <w:rFonts w:ascii="Times New Roman" w:eastAsia="Times New Roman" w:hAnsi="Times New Roman" w:cs="Times New Roman"/>
          <w:color w:val="000000"/>
          <w:sz w:val="24"/>
          <w:szCs w:val="24"/>
        </w:rPr>
        <w:t>agency;</w:t>
      </w:r>
      <w:proofErr w:type="gramEnd"/>
    </w:p>
    <w:p w14:paraId="22749B78" w14:textId="77777777" w:rsidR="00251701" w:rsidRPr="00251701" w:rsidRDefault="00251701" w:rsidP="00251701">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251701">
        <w:rPr>
          <w:rFonts w:ascii="Times New Roman" w:eastAsia="Times New Roman" w:hAnsi="Times New Roman" w:cs="Times New Roman"/>
          <w:color w:val="000000"/>
          <w:sz w:val="24"/>
          <w:szCs w:val="24"/>
        </w:rPr>
        <w:t xml:space="preserve">(b) </w:t>
      </w:r>
      <w:r w:rsidRPr="00251701">
        <w:rPr>
          <w:rFonts w:ascii="Times New Roman" w:eastAsia="Times New Roman" w:hAnsi="Times New Roman" w:cs="Times New Roman"/>
          <w:color w:val="000000"/>
          <w:sz w:val="24"/>
          <w:szCs w:val="24"/>
        </w:rPr>
        <w:tab/>
        <w:t xml:space="preserve">community-based organization or faith-based </w:t>
      </w:r>
      <w:proofErr w:type="gramStart"/>
      <w:r w:rsidRPr="00251701">
        <w:rPr>
          <w:rFonts w:ascii="Times New Roman" w:eastAsia="Times New Roman" w:hAnsi="Times New Roman" w:cs="Times New Roman"/>
          <w:color w:val="000000"/>
          <w:sz w:val="24"/>
          <w:szCs w:val="24"/>
        </w:rPr>
        <w:t>organization;</w:t>
      </w:r>
      <w:proofErr w:type="gramEnd"/>
    </w:p>
    <w:p w14:paraId="6E7D16B8" w14:textId="77777777" w:rsidR="00251701" w:rsidRPr="00251701" w:rsidRDefault="00251701" w:rsidP="00251701">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251701">
        <w:rPr>
          <w:rFonts w:ascii="Times New Roman" w:eastAsia="Times New Roman" w:hAnsi="Times New Roman" w:cs="Times New Roman"/>
          <w:color w:val="000000"/>
          <w:sz w:val="24"/>
          <w:szCs w:val="24"/>
        </w:rPr>
        <w:t xml:space="preserve">(c) </w:t>
      </w:r>
      <w:r w:rsidRPr="00251701">
        <w:rPr>
          <w:rFonts w:ascii="Times New Roman" w:eastAsia="Times New Roman" w:hAnsi="Times New Roman" w:cs="Times New Roman"/>
          <w:color w:val="000000"/>
          <w:sz w:val="24"/>
          <w:szCs w:val="24"/>
        </w:rPr>
        <w:tab/>
        <w:t xml:space="preserve">volunteer literacy </w:t>
      </w:r>
      <w:proofErr w:type="gramStart"/>
      <w:r w:rsidRPr="00251701">
        <w:rPr>
          <w:rFonts w:ascii="Times New Roman" w:eastAsia="Times New Roman" w:hAnsi="Times New Roman" w:cs="Times New Roman"/>
          <w:color w:val="000000"/>
          <w:sz w:val="24"/>
          <w:szCs w:val="24"/>
        </w:rPr>
        <w:t>organization;</w:t>
      </w:r>
      <w:proofErr w:type="gramEnd"/>
    </w:p>
    <w:p w14:paraId="4FDD7FA9" w14:textId="77777777" w:rsidR="00251701" w:rsidRPr="00251701" w:rsidRDefault="00251701" w:rsidP="00251701">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251701">
        <w:rPr>
          <w:rFonts w:ascii="Times New Roman" w:eastAsia="Times New Roman" w:hAnsi="Times New Roman" w:cs="Times New Roman"/>
          <w:color w:val="000000"/>
          <w:sz w:val="24"/>
          <w:szCs w:val="24"/>
        </w:rPr>
        <w:t xml:space="preserve">(d) </w:t>
      </w:r>
      <w:r w:rsidRPr="00251701">
        <w:rPr>
          <w:rFonts w:ascii="Times New Roman" w:eastAsia="Times New Roman" w:hAnsi="Times New Roman" w:cs="Times New Roman"/>
          <w:color w:val="000000"/>
          <w:sz w:val="24"/>
          <w:szCs w:val="24"/>
        </w:rPr>
        <w:tab/>
        <w:t xml:space="preserve">institution of higher </w:t>
      </w:r>
      <w:proofErr w:type="gramStart"/>
      <w:r w:rsidRPr="00251701">
        <w:rPr>
          <w:rFonts w:ascii="Times New Roman" w:eastAsia="Times New Roman" w:hAnsi="Times New Roman" w:cs="Times New Roman"/>
          <w:color w:val="000000"/>
          <w:sz w:val="24"/>
          <w:szCs w:val="24"/>
        </w:rPr>
        <w:t>education;</w:t>
      </w:r>
      <w:proofErr w:type="gramEnd"/>
    </w:p>
    <w:p w14:paraId="7F77691B" w14:textId="77777777" w:rsidR="00251701" w:rsidRPr="00251701" w:rsidRDefault="00251701" w:rsidP="00251701">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251701">
        <w:rPr>
          <w:rFonts w:ascii="Times New Roman" w:eastAsia="Times New Roman" w:hAnsi="Times New Roman" w:cs="Times New Roman"/>
          <w:color w:val="000000"/>
          <w:sz w:val="24"/>
          <w:szCs w:val="24"/>
        </w:rPr>
        <w:t xml:space="preserve">(e) </w:t>
      </w:r>
      <w:r w:rsidRPr="00251701">
        <w:rPr>
          <w:rFonts w:ascii="Times New Roman" w:eastAsia="Times New Roman" w:hAnsi="Times New Roman" w:cs="Times New Roman"/>
          <w:color w:val="000000"/>
          <w:sz w:val="24"/>
          <w:szCs w:val="24"/>
        </w:rPr>
        <w:tab/>
        <w:t xml:space="preserve">public or private nonprofit </w:t>
      </w:r>
      <w:proofErr w:type="gramStart"/>
      <w:r w:rsidRPr="00251701">
        <w:rPr>
          <w:rFonts w:ascii="Times New Roman" w:eastAsia="Times New Roman" w:hAnsi="Times New Roman" w:cs="Times New Roman"/>
          <w:color w:val="000000"/>
          <w:sz w:val="24"/>
          <w:szCs w:val="24"/>
        </w:rPr>
        <w:t>agency;</w:t>
      </w:r>
      <w:proofErr w:type="gramEnd"/>
    </w:p>
    <w:p w14:paraId="23083489" w14:textId="77777777" w:rsidR="00251701" w:rsidRPr="00251701" w:rsidRDefault="00251701" w:rsidP="00251701">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251701">
        <w:rPr>
          <w:rFonts w:ascii="Times New Roman" w:eastAsia="Times New Roman" w:hAnsi="Times New Roman" w:cs="Times New Roman"/>
          <w:color w:val="000000"/>
          <w:sz w:val="24"/>
          <w:szCs w:val="24"/>
        </w:rPr>
        <w:t xml:space="preserve">(f) </w:t>
      </w:r>
      <w:r w:rsidRPr="00251701">
        <w:rPr>
          <w:rFonts w:ascii="Times New Roman" w:eastAsia="Times New Roman" w:hAnsi="Times New Roman" w:cs="Times New Roman"/>
          <w:color w:val="000000"/>
          <w:sz w:val="24"/>
          <w:szCs w:val="24"/>
        </w:rPr>
        <w:tab/>
      </w:r>
      <w:proofErr w:type="gramStart"/>
      <w:r w:rsidRPr="00251701">
        <w:rPr>
          <w:rFonts w:ascii="Times New Roman" w:eastAsia="Times New Roman" w:hAnsi="Times New Roman" w:cs="Times New Roman"/>
          <w:color w:val="000000"/>
          <w:sz w:val="24"/>
          <w:szCs w:val="24"/>
        </w:rPr>
        <w:t>library;</w:t>
      </w:r>
      <w:proofErr w:type="gramEnd"/>
    </w:p>
    <w:p w14:paraId="0CD42BD6" w14:textId="77777777" w:rsidR="00251701" w:rsidRPr="00251701" w:rsidRDefault="00251701" w:rsidP="00251701">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251701">
        <w:rPr>
          <w:rFonts w:ascii="Times New Roman" w:eastAsia="Times New Roman" w:hAnsi="Times New Roman" w:cs="Times New Roman"/>
          <w:color w:val="000000"/>
          <w:sz w:val="24"/>
          <w:szCs w:val="24"/>
        </w:rPr>
        <w:t xml:space="preserve">(g) </w:t>
      </w:r>
      <w:r w:rsidRPr="00251701">
        <w:rPr>
          <w:rFonts w:ascii="Times New Roman" w:eastAsia="Times New Roman" w:hAnsi="Times New Roman" w:cs="Times New Roman"/>
          <w:color w:val="000000"/>
          <w:sz w:val="24"/>
          <w:szCs w:val="24"/>
        </w:rPr>
        <w:tab/>
        <w:t xml:space="preserve">public housing </w:t>
      </w:r>
      <w:proofErr w:type="gramStart"/>
      <w:r w:rsidRPr="00251701">
        <w:rPr>
          <w:rFonts w:ascii="Times New Roman" w:eastAsia="Times New Roman" w:hAnsi="Times New Roman" w:cs="Times New Roman"/>
          <w:color w:val="000000"/>
          <w:sz w:val="24"/>
          <w:szCs w:val="24"/>
        </w:rPr>
        <w:t>authority;</w:t>
      </w:r>
      <w:proofErr w:type="gramEnd"/>
    </w:p>
    <w:p w14:paraId="42A26FD5" w14:textId="77777777" w:rsidR="00251701" w:rsidRPr="00251701" w:rsidRDefault="00251701" w:rsidP="00251701">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251701">
        <w:rPr>
          <w:rFonts w:ascii="Times New Roman" w:eastAsia="Times New Roman" w:hAnsi="Times New Roman" w:cs="Times New Roman"/>
          <w:color w:val="000000"/>
          <w:sz w:val="24"/>
          <w:szCs w:val="24"/>
        </w:rPr>
        <w:t xml:space="preserve">(h) </w:t>
      </w:r>
      <w:r w:rsidRPr="00251701">
        <w:rPr>
          <w:rFonts w:ascii="Times New Roman" w:eastAsia="Times New Roman" w:hAnsi="Times New Roman" w:cs="Times New Roman"/>
          <w:color w:val="000000"/>
          <w:sz w:val="24"/>
          <w:szCs w:val="24"/>
        </w:rPr>
        <w:tab/>
        <w:t xml:space="preserve">nonprofit institution that is not described in (a) through (g) and has the ability to provide adult education and literacy activities to eligible </w:t>
      </w:r>
      <w:proofErr w:type="gramStart"/>
      <w:r w:rsidRPr="00251701">
        <w:rPr>
          <w:rFonts w:ascii="Times New Roman" w:eastAsia="Times New Roman" w:hAnsi="Times New Roman" w:cs="Times New Roman"/>
          <w:color w:val="000000"/>
          <w:sz w:val="24"/>
          <w:szCs w:val="24"/>
        </w:rPr>
        <w:t>individuals;</w:t>
      </w:r>
      <w:proofErr w:type="gramEnd"/>
      <w:r w:rsidRPr="00251701">
        <w:rPr>
          <w:rFonts w:ascii="Times New Roman" w:eastAsia="Times New Roman" w:hAnsi="Times New Roman" w:cs="Times New Roman"/>
          <w:color w:val="000000"/>
          <w:sz w:val="24"/>
          <w:szCs w:val="24"/>
        </w:rPr>
        <w:t xml:space="preserve"> </w:t>
      </w:r>
    </w:p>
    <w:p w14:paraId="6CA915F8" w14:textId="77777777" w:rsidR="00251701" w:rsidRPr="00251701" w:rsidRDefault="00251701" w:rsidP="00251701">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251701">
        <w:rPr>
          <w:rFonts w:ascii="Times New Roman" w:eastAsia="Times New Roman" w:hAnsi="Times New Roman" w:cs="Times New Roman"/>
          <w:color w:val="000000"/>
          <w:sz w:val="24"/>
          <w:szCs w:val="24"/>
        </w:rPr>
        <w:t>(</w:t>
      </w:r>
      <w:proofErr w:type="spellStart"/>
      <w:r w:rsidRPr="00251701">
        <w:rPr>
          <w:rFonts w:ascii="Times New Roman" w:eastAsia="Times New Roman" w:hAnsi="Times New Roman" w:cs="Times New Roman"/>
          <w:color w:val="000000"/>
          <w:sz w:val="24"/>
          <w:szCs w:val="24"/>
        </w:rPr>
        <w:t>i</w:t>
      </w:r>
      <w:proofErr w:type="spellEnd"/>
      <w:r w:rsidRPr="00251701">
        <w:rPr>
          <w:rFonts w:ascii="Times New Roman" w:eastAsia="Times New Roman" w:hAnsi="Times New Roman" w:cs="Times New Roman"/>
          <w:color w:val="000000"/>
          <w:sz w:val="24"/>
          <w:szCs w:val="24"/>
        </w:rPr>
        <w:t xml:space="preserve">) </w:t>
      </w:r>
      <w:r w:rsidRPr="00251701">
        <w:rPr>
          <w:rFonts w:ascii="Times New Roman" w:eastAsia="Times New Roman" w:hAnsi="Times New Roman" w:cs="Times New Roman"/>
          <w:color w:val="000000"/>
          <w:sz w:val="24"/>
          <w:szCs w:val="24"/>
        </w:rPr>
        <w:tab/>
        <w:t>consortium or coalition of the agencies, organizations, institutions, libraries, or authorities described in (a) through (h); and</w:t>
      </w:r>
    </w:p>
    <w:p w14:paraId="2DBCB1E6" w14:textId="77777777" w:rsidR="00251701" w:rsidRPr="00251701" w:rsidRDefault="00251701" w:rsidP="00251701">
      <w:pPr>
        <w:pBdr>
          <w:top w:val="nil"/>
          <w:left w:val="nil"/>
          <w:bottom w:val="nil"/>
          <w:right w:val="nil"/>
          <w:between w:val="nil"/>
        </w:pBdr>
        <w:spacing w:after="150" w:line="240" w:lineRule="auto"/>
        <w:ind w:left="1440" w:hanging="360"/>
        <w:rPr>
          <w:rFonts w:ascii="Times New Roman" w:eastAsia="Times New Roman" w:hAnsi="Times New Roman" w:cs="Times New Roman"/>
          <w:color w:val="000000"/>
          <w:sz w:val="24"/>
          <w:szCs w:val="24"/>
        </w:rPr>
      </w:pPr>
      <w:r w:rsidRPr="00251701">
        <w:rPr>
          <w:rFonts w:ascii="Times New Roman" w:eastAsia="Times New Roman" w:hAnsi="Times New Roman" w:cs="Times New Roman"/>
          <w:color w:val="000000"/>
          <w:sz w:val="24"/>
          <w:szCs w:val="24"/>
        </w:rPr>
        <w:t xml:space="preserve">(j) </w:t>
      </w:r>
      <w:r w:rsidRPr="00251701">
        <w:rPr>
          <w:rFonts w:ascii="Times New Roman" w:eastAsia="Times New Roman" w:hAnsi="Times New Roman" w:cs="Times New Roman"/>
          <w:color w:val="000000"/>
          <w:sz w:val="24"/>
          <w:szCs w:val="24"/>
        </w:rPr>
        <w:tab/>
        <w:t>partnership between an employer and an entity described in (a) through (</w:t>
      </w:r>
      <w:proofErr w:type="spellStart"/>
      <w:r w:rsidRPr="00251701">
        <w:rPr>
          <w:rFonts w:ascii="Times New Roman" w:eastAsia="Times New Roman" w:hAnsi="Times New Roman" w:cs="Times New Roman"/>
          <w:color w:val="000000"/>
          <w:sz w:val="24"/>
          <w:szCs w:val="24"/>
        </w:rPr>
        <w:t>i</w:t>
      </w:r>
      <w:proofErr w:type="spellEnd"/>
      <w:r w:rsidRPr="00251701">
        <w:rPr>
          <w:rFonts w:ascii="Times New Roman" w:eastAsia="Times New Roman" w:hAnsi="Times New Roman" w:cs="Times New Roman"/>
          <w:color w:val="000000"/>
          <w:sz w:val="24"/>
          <w:szCs w:val="24"/>
        </w:rPr>
        <w:t>).</w:t>
      </w:r>
    </w:p>
    <w:p w14:paraId="00000210" w14:textId="20ADE3A2" w:rsidR="002F3C8D" w:rsidRPr="00F002E2" w:rsidRDefault="00BF5CDA">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 consortium may be led by a single fiscal agent, but represents a coalition of eligible providers, each of whom must be able to demonstrate effectiveness. The regional structure in Virginia that represents investment and involvement by local school divisions, literacy organizations, </w:t>
      </w:r>
      <w:r w:rsidR="00EA43B5">
        <w:rPr>
          <w:rFonts w:ascii="Times New Roman" w:eastAsia="Times New Roman" w:hAnsi="Times New Roman" w:cs="Times New Roman"/>
          <w:color w:val="000000"/>
          <w:sz w:val="24"/>
          <w:szCs w:val="24"/>
        </w:rPr>
        <w:t xml:space="preserve">community colleges, </w:t>
      </w:r>
      <w:r w:rsidRPr="00B131CA">
        <w:rPr>
          <w:rFonts w:ascii="Times New Roman" w:eastAsia="Times New Roman" w:hAnsi="Times New Roman" w:cs="Times New Roman"/>
          <w:color w:val="000000"/>
          <w:sz w:val="24"/>
          <w:szCs w:val="24"/>
        </w:rPr>
        <w:t xml:space="preserve">and other providers under a single fiscal agent are considered consortiums. Each member of a consortium must itself be an </w:t>
      </w:r>
      <w:r w:rsidRPr="00F002E2">
        <w:rPr>
          <w:rFonts w:ascii="Times New Roman" w:eastAsia="Times New Roman" w:hAnsi="Times New Roman" w:cs="Times New Roman"/>
          <w:color w:val="000000"/>
          <w:sz w:val="24"/>
          <w:szCs w:val="24"/>
        </w:rPr>
        <w:t xml:space="preserve">eligible provider and demonstrate </w:t>
      </w:r>
      <w:proofErr w:type="gramStart"/>
      <w:r w:rsidRPr="00F002E2">
        <w:rPr>
          <w:rFonts w:ascii="Times New Roman" w:eastAsia="Times New Roman" w:hAnsi="Times New Roman" w:cs="Times New Roman"/>
          <w:color w:val="000000"/>
          <w:sz w:val="24"/>
          <w:szCs w:val="24"/>
        </w:rPr>
        <w:t>effectiveness .</w:t>
      </w:r>
      <w:proofErr w:type="gramEnd"/>
      <w:r w:rsidRPr="00F002E2">
        <w:rPr>
          <w:rFonts w:ascii="Times New Roman" w:eastAsia="Times New Roman" w:hAnsi="Times New Roman" w:cs="Times New Roman"/>
          <w:color w:val="000000"/>
          <w:sz w:val="24"/>
          <w:szCs w:val="24"/>
        </w:rPr>
        <w:t> </w:t>
      </w:r>
    </w:p>
    <w:p w14:paraId="00000211" w14:textId="11C660EC" w:rsidR="002F3C8D" w:rsidRPr="006656E6" w:rsidRDefault="00BF5CDA" w:rsidP="008D03B8">
      <w:pPr>
        <w:pStyle w:val="Heading4"/>
        <w:rPr>
          <w:i/>
        </w:rPr>
      </w:pPr>
      <w:bookmarkStart w:id="52" w:name="_Toc174088863"/>
      <w:r w:rsidRPr="006656E6">
        <w:t>Eligibility Determination</w:t>
      </w:r>
      <w:bookmarkEnd w:id="52"/>
    </w:p>
    <w:p w14:paraId="00000212" w14:textId="48019D2D"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Applications are screened to ensure they have met the minimum technical requirements enumerated below and, if so, eligible for further evaluation</w:t>
      </w:r>
      <w:r w:rsidR="00A458B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w:t>
      </w:r>
    </w:p>
    <w:p w14:paraId="00000213" w14:textId="77777777" w:rsidR="002F3C8D" w:rsidRPr="00B131CA" w:rsidRDefault="00BF5CDA" w:rsidP="00F057C2">
      <w:pPr>
        <w:numPr>
          <w:ilvl w:val="0"/>
          <w:numId w:val="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application was submitted by an eligible provider.</w:t>
      </w:r>
    </w:p>
    <w:p w14:paraId="00000214" w14:textId="77777777" w:rsidR="002F3C8D" w:rsidRPr="00B131CA" w:rsidRDefault="00BF5CDA" w:rsidP="00F057C2">
      <w:pPr>
        <w:numPr>
          <w:ilvl w:val="0"/>
          <w:numId w:val="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application was received by the submission deadline.</w:t>
      </w:r>
    </w:p>
    <w:p w14:paraId="00000215" w14:textId="77777777" w:rsidR="002F3C8D" w:rsidRPr="00B131CA" w:rsidRDefault="00BF5CDA" w:rsidP="00F057C2">
      <w:pPr>
        <w:numPr>
          <w:ilvl w:val="0"/>
          <w:numId w:val="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application was submitted in the required format with all required information.</w:t>
      </w:r>
    </w:p>
    <w:p w14:paraId="00000216" w14:textId="77777777" w:rsidR="002F3C8D" w:rsidRPr="00B131CA" w:rsidRDefault="00BF5CDA" w:rsidP="00F057C2">
      <w:pPr>
        <w:numPr>
          <w:ilvl w:val="0"/>
          <w:numId w:val="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application included original signatures.</w:t>
      </w:r>
    </w:p>
    <w:p w14:paraId="00000217" w14:textId="77777777" w:rsidR="002F3C8D" w:rsidRPr="00B131CA" w:rsidRDefault="00BF5CDA" w:rsidP="00F057C2">
      <w:pPr>
        <w:numPr>
          <w:ilvl w:val="0"/>
          <w:numId w:val="4"/>
        </w:numPr>
        <w:pBdr>
          <w:top w:val="nil"/>
          <w:left w:val="nil"/>
          <w:bottom w:val="nil"/>
          <w:right w:val="nil"/>
          <w:between w:val="nil"/>
        </w:pBdr>
        <w:spacing w:after="20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application included required documentation of demonstrated effectiveness by the eligible provider illustrating service to eligible individuals. If the application was submitted by a consortium of providers (see Glossary of Terms), </w:t>
      </w:r>
      <w:r w:rsidRPr="00B131CA">
        <w:rPr>
          <w:rFonts w:ascii="Times New Roman" w:eastAsia="Times New Roman" w:hAnsi="Times New Roman" w:cs="Times New Roman"/>
          <w:i/>
          <w:color w:val="000000"/>
          <w:sz w:val="24"/>
          <w:szCs w:val="24"/>
        </w:rPr>
        <w:lastRenderedPageBreak/>
        <w:t>each</w:t>
      </w:r>
      <w:r w:rsidRPr="00B131CA">
        <w:rPr>
          <w:rFonts w:ascii="Times New Roman" w:eastAsia="Times New Roman" w:hAnsi="Times New Roman" w:cs="Times New Roman"/>
          <w:color w:val="000000"/>
          <w:sz w:val="24"/>
          <w:szCs w:val="24"/>
        </w:rPr>
        <w:t xml:space="preserve"> member of the consortium must have submitted the required documentation to demonstrate that it meets or exceeds the acceptable level of performance. </w:t>
      </w:r>
    </w:p>
    <w:p w14:paraId="00000218"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Applications that do not meet these minimal technical requirements are not advanced for further evaluation.</w:t>
      </w:r>
    </w:p>
    <w:p w14:paraId="00000219" w14:textId="409F1A93" w:rsidR="002F3C8D" w:rsidRPr="006656E6" w:rsidRDefault="00BF5CDA" w:rsidP="008D03B8">
      <w:pPr>
        <w:pStyle w:val="Heading4"/>
        <w:rPr>
          <w:i/>
        </w:rPr>
      </w:pPr>
      <w:bookmarkStart w:id="53" w:name="_Toc174088864"/>
      <w:r w:rsidRPr="006656E6">
        <w:t>Demonstrated Effectiveness</w:t>
      </w:r>
      <w:bookmarkEnd w:id="53"/>
    </w:p>
    <w:p w14:paraId="0000021A"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Demonstrated effectiveness is a screening process to determine eligibility for review. Only applications that provide documentation of demonstrated effectiveness that meets or exceeds the state-set performance levels in providing effective adult education and literacy services will be evaluated for eligibility for AEFLA funds. This screening process ensures that eligible providers, including all member providers of a consortium, are experienced and effective in serving the academic and workforce development needs of the adult education population. The state establishes the reporting expectations for this requirement and publishes it with the grant application package. Each member of a consortium must submit the required documentation within the fiscal agent’s (the primary submitter) application to demonstrate that it meets or exceeds the acceptable level of performance.</w:t>
      </w:r>
    </w:p>
    <w:p w14:paraId="0000021B" w14:textId="41641E24" w:rsidR="002F3C8D" w:rsidRPr="006656E6" w:rsidRDefault="00BF5CDA" w:rsidP="008D03B8">
      <w:pPr>
        <w:pStyle w:val="Heading4"/>
        <w:rPr>
          <w:i/>
        </w:rPr>
      </w:pPr>
      <w:bookmarkStart w:id="54" w:name="_Toc174088865"/>
      <w:r w:rsidRPr="006656E6">
        <w:t>Grant Review Processes</w:t>
      </w:r>
      <w:bookmarkEnd w:id="54"/>
    </w:p>
    <w:p w14:paraId="0000021C" w14:textId="4D93D11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Once it has been determined that the applicant has sufficiently demonstrated effectiveness in providing adult education and literacy activities, the application is forwarded </w:t>
      </w:r>
      <w:r w:rsidR="0050600F">
        <w:rPr>
          <w:rFonts w:ascii="Times New Roman" w:eastAsia="Times New Roman" w:hAnsi="Times New Roman" w:cs="Times New Roman"/>
          <w:color w:val="000000"/>
          <w:sz w:val="24"/>
          <w:szCs w:val="24"/>
        </w:rPr>
        <w:t>for review. T</w:t>
      </w:r>
      <w:r w:rsidRPr="00B131CA">
        <w:rPr>
          <w:rFonts w:ascii="Times New Roman" w:eastAsia="Times New Roman" w:hAnsi="Times New Roman" w:cs="Times New Roman"/>
          <w:color w:val="000000"/>
          <w:sz w:val="24"/>
          <w:szCs w:val="24"/>
        </w:rPr>
        <w:t xml:space="preserve">he LWDB(s) associated with the applicant’s adult education region are responsible for </w:t>
      </w:r>
      <w:r w:rsidR="00685EB4">
        <w:rPr>
          <w:rFonts w:ascii="Times New Roman" w:eastAsia="Times New Roman" w:hAnsi="Times New Roman" w:cs="Times New Roman"/>
          <w:color w:val="000000"/>
          <w:sz w:val="24"/>
          <w:szCs w:val="24"/>
        </w:rPr>
        <w:t>reviewing</w:t>
      </w:r>
      <w:r w:rsidRPr="00B131CA">
        <w:rPr>
          <w:rFonts w:ascii="Times New Roman" w:eastAsia="Times New Roman" w:hAnsi="Times New Roman" w:cs="Times New Roman"/>
          <w:color w:val="000000"/>
          <w:sz w:val="24"/>
          <w:szCs w:val="24"/>
        </w:rPr>
        <w:t xml:space="preserve"> the extent to which the eligible provider’s proposed activities are aligned with the education and training activities identified in the LWDB’s current local plan. All title II adult education applications (i.e., adult education</w:t>
      </w:r>
      <w:r w:rsidR="0050600F">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C&amp;I</w:t>
      </w:r>
      <w:r w:rsidR="0050600F">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and IELCE) are required to be aligned with the local plans</w:t>
      </w:r>
      <w:r w:rsidRPr="00B131CA">
        <w:rPr>
          <w:rFonts w:ascii="Times New Roman" w:eastAsia="Times New Roman" w:hAnsi="Times New Roman" w:cs="Times New Roman"/>
          <w:i/>
          <w:color w:val="000000"/>
          <w:sz w:val="24"/>
          <w:szCs w:val="24"/>
        </w:rPr>
        <w:t xml:space="preserve"> </w:t>
      </w:r>
      <w:r w:rsidRPr="00B131CA">
        <w:rPr>
          <w:rFonts w:ascii="Times New Roman" w:eastAsia="Times New Roman" w:hAnsi="Times New Roman" w:cs="Times New Roman"/>
          <w:color w:val="000000"/>
          <w:sz w:val="24"/>
          <w:szCs w:val="24"/>
        </w:rPr>
        <w:t>within the adult education region</w:t>
      </w:r>
      <w:r w:rsidRPr="00B131CA">
        <w:rPr>
          <w:rFonts w:ascii="Times New Roman" w:eastAsia="Times New Roman" w:hAnsi="Times New Roman" w:cs="Times New Roman"/>
          <w:i/>
          <w:color w:val="000000"/>
          <w:sz w:val="24"/>
          <w:szCs w:val="24"/>
        </w:rPr>
        <w:t xml:space="preserve">. </w:t>
      </w:r>
      <w:r w:rsidRPr="00B131CA">
        <w:rPr>
          <w:rFonts w:ascii="Times New Roman" w:eastAsia="Times New Roman" w:hAnsi="Times New Roman" w:cs="Times New Roman"/>
          <w:color w:val="000000"/>
          <w:sz w:val="24"/>
          <w:szCs w:val="24"/>
        </w:rPr>
        <w:t xml:space="preserve">If more than one LWDB is located within an adult education region, the adult education </w:t>
      </w:r>
      <w:r w:rsidR="0050600F">
        <w:rPr>
          <w:rFonts w:ascii="Times New Roman" w:eastAsia="Times New Roman" w:hAnsi="Times New Roman" w:cs="Times New Roman"/>
          <w:color w:val="000000"/>
          <w:sz w:val="24"/>
          <w:szCs w:val="24"/>
        </w:rPr>
        <w:t>application</w:t>
      </w:r>
      <w:r w:rsidRPr="00B131CA">
        <w:rPr>
          <w:rFonts w:ascii="Times New Roman" w:eastAsia="Times New Roman" w:hAnsi="Times New Roman" w:cs="Times New Roman"/>
          <w:color w:val="000000"/>
          <w:sz w:val="24"/>
          <w:szCs w:val="24"/>
        </w:rPr>
        <w:t xml:space="preserve"> is reviewed</w:t>
      </w:r>
      <w:r w:rsidR="0050600F">
        <w:rPr>
          <w:rFonts w:ascii="Times New Roman" w:eastAsia="Times New Roman" w:hAnsi="Times New Roman" w:cs="Times New Roman"/>
          <w:color w:val="000000"/>
          <w:sz w:val="24"/>
          <w:szCs w:val="24"/>
        </w:rPr>
        <w:t xml:space="preserve"> for alignment</w:t>
      </w:r>
      <w:r w:rsidRPr="00B131CA">
        <w:rPr>
          <w:rFonts w:ascii="Times New Roman" w:eastAsia="Times New Roman" w:hAnsi="Times New Roman" w:cs="Times New Roman"/>
          <w:color w:val="000000"/>
          <w:sz w:val="24"/>
          <w:szCs w:val="24"/>
        </w:rPr>
        <w:t xml:space="preserve"> by both boards.</w:t>
      </w:r>
      <w:r w:rsidRPr="00B131CA">
        <w:rPr>
          <w:rFonts w:ascii="Times New Roman" w:eastAsia="Times New Roman" w:hAnsi="Times New Roman" w:cs="Times New Roman"/>
          <w:i/>
          <w:color w:val="000000"/>
          <w:sz w:val="24"/>
          <w:szCs w:val="24"/>
        </w:rPr>
        <w:t xml:space="preserve"> </w:t>
      </w:r>
      <w:r w:rsidRPr="00B131CA">
        <w:rPr>
          <w:rFonts w:ascii="Times New Roman" w:eastAsia="Times New Roman" w:hAnsi="Times New Roman" w:cs="Times New Roman"/>
          <w:color w:val="000000"/>
          <w:sz w:val="24"/>
          <w:szCs w:val="24"/>
        </w:rPr>
        <w:t xml:space="preserve">The scores and feedback by the LWDB review </w:t>
      </w:r>
      <w:r w:rsidRPr="00B131CA">
        <w:rPr>
          <w:rFonts w:ascii="Times New Roman" w:eastAsia="Times New Roman" w:hAnsi="Times New Roman" w:cs="Times New Roman"/>
          <w:sz w:val="24"/>
          <w:szCs w:val="24"/>
        </w:rPr>
        <w:t>are</w:t>
      </w:r>
      <w:r w:rsidRPr="00B131CA">
        <w:rPr>
          <w:rFonts w:ascii="Times New Roman" w:eastAsia="Times New Roman" w:hAnsi="Times New Roman" w:cs="Times New Roman"/>
          <w:color w:val="000000"/>
          <w:sz w:val="24"/>
          <w:szCs w:val="24"/>
        </w:rPr>
        <w:t xml:space="preserve"> </w:t>
      </w:r>
      <w:r w:rsidR="00685EB4">
        <w:rPr>
          <w:rFonts w:ascii="Times New Roman" w:eastAsia="Times New Roman" w:hAnsi="Times New Roman" w:cs="Times New Roman"/>
          <w:color w:val="000000"/>
          <w:sz w:val="24"/>
          <w:szCs w:val="24"/>
        </w:rPr>
        <w:t>considered</w:t>
      </w:r>
      <w:r w:rsidRPr="00B131CA">
        <w:rPr>
          <w:rFonts w:ascii="Times New Roman" w:eastAsia="Times New Roman" w:hAnsi="Times New Roman" w:cs="Times New Roman"/>
          <w:color w:val="000000"/>
          <w:sz w:val="24"/>
          <w:szCs w:val="24"/>
        </w:rPr>
        <w:t xml:space="preserve"> in the final evaluation</w:t>
      </w:r>
      <w:r w:rsidR="00EB0BFD">
        <w:rPr>
          <w:rFonts w:ascii="Times New Roman" w:eastAsia="Times New Roman" w:hAnsi="Times New Roman" w:cs="Times New Roman"/>
          <w:color w:val="000000"/>
          <w:sz w:val="24"/>
          <w:szCs w:val="24"/>
        </w:rPr>
        <w:t xml:space="preserve"> of applications</w:t>
      </w:r>
      <w:r w:rsidRPr="00B131CA">
        <w:rPr>
          <w:rFonts w:ascii="Times New Roman" w:eastAsia="Times New Roman" w:hAnsi="Times New Roman" w:cs="Times New Roman"/>
          <w:color w:val="000000"/>
          <w:sz w:val="24"/>
          <w:szCs w:val="24"/>
        </w:rPr>
        <w:t>.</w:t>
      </w:r>
    </w:p>
    <w:p w14:paraId="0000021D" w14:textId="0B5EBC26"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Grant review panels evaluate sets of applications and are composed of adult education content experts and agency partners from across the state. Applications are evaluated by reviewers</w:t>
      </w:r>
      <w:r w:rsidR="0030493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w:t>
      </w:r>
      <w:r w:rsidR="002A2ACC">
        <w:rPr>
          <w:rFonts w:ascii="Times New Roman" w:eastAsia="Times New Roman" w:hAnsi="Times New Roman" w:cs="Times New Roman"/>
          <w:color w:val="000000"/>
          <w:sz w:val="24"/>
          <w:szCs w:val="24"/>
        </w:rPr>
        <w:t xml:space="preserve">using </w:t>
      </w:r>
      <w:r w:rsidR="0030493A">
        <w:rPr>
          <w:rFonts w:ascii="Times New Roman" w:eastAsia="Times New Roman" w:hAnsi="Times New Roman" w:cs="Times New Roman"/>
          <w:color w:val="000000"/>
          <w:sz w:val="24"/>
          <w:szCs w:val="24"/>
        </w:rPr>
        <w:t>the evaluation</w:t>
      </w:r>
      <w:r w:rsidR="002A2ACC">
        <w:rPr>
          <w:rFonts w:ascii="Times New Roman" w:eastAsia="Times New Roman" w:hAnsi="Times New Roman" w:cs="Times New Roman"/>
          <w:color w:val="000000"/>
          <w:sz w:val="24"/>
          <w:szCs w:val="24"/>
        </w:rPr>
        <w:t xml:space="preserve"> rubric</w:t>
      </w:r>
      <w:r w:rsidR="0030493A">
        <w:rPr>
          <w:rFonts w:ascii="Times New Roman" w:eastAsia="Times New Roman" w:hAnsi="Times New Roman" w:cs="Times New Roman"/>
          <w:color w:val="000000"/>
          <w:sz w:val="24"/>
          <w:szCs w:val="24"/>
        </w:rPr>
        <w:t xml:space="preserve">, to determine </w:t>
      </w:r>
      <w:r w:rsidRPr="00B131CA">
        <w:rPr>
          <w:rFonts w:ascii="Times New Roman" w:eastAsia="Times New Roman" w:hAnsi="Times New Roman" w:cs="Times New Roman"/>
          <w:color w:val="000000"/>
          <w:sz w:val="24"/>
          <w:szCs w:val="24"/>
        </w:rPr>
        <w:t xml:space="preserve">the extent to which the application addresses the seven federal requirements and </w:t>
      </w:r>
      <w:r w:rsidR="000D1D43">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 xml:space="preserve">thirteen federal considerations (see below). Panelists </w:t>
      </w:r>
      <w:r w:rsidR="0030493A">
        <w:rPr>
          <w:rFonts w:ascii="Times New Roman" w:eastAsia="Times New Roman" w:hAnsi="Times New Roman" w:cs="Times New Roman"/>
          <w:color w:val="000000"/>
          <w:sz w:val="24"/>
          <w:szCs w:val="24"/>
        </w:rPr>
        <w:t xml:space="preserve">use the evaluation rubric to </w:t>
      </w:r>
      <w:r w:rsidRPr="00B131CA">
        <w:rPr>
          <w:rFonts w:ascii="Times New Roman" w:eastAsia="Times New Roman" w:hAnsi="Times New Roman" w:cs="Times New Roman"/>
          <w:color w:val="000000"/>
          <w:sz w:val="24"/>
          <w:szCs w:val="24"/>
        </w:rPr>
        <w:t xml:space="preserve">review each assigned application independently and submit scores and feedback ahead of a panel meeting during which panelists discuss </w:t>
      </w:r>
      <w:r w:rsidR="000D1D43" w:rsidRPr="00B131CA">
        <w:rPr>
          <w:rFonts w:ascii="Times New Roman" w:eastAsia="Times New Roman" w:hAnsi="Times New Roman" w:cs="Times New Roman"/>
          <w:color w:val="000000"/>
          <w:sz w:val="24"/>
          <w:szCs w:val="24"/>
        </w:rPr>
        <w:t>th</w:t>
      </w:r>
      <w:r w:rsidR="000D1D43">
        <w:rPr>
          <w:rFonts w:ascii="Times New Roman" w:eastAsia="Times New Roman" w:hAnsi="Times New Roman" w:cs="Times New Roman"/>
          <w:color w:val="000000"/>
          <w:sz w:val="24"/>
          <w:szCs w:val="24"/>
        </w:rPr>
        <w:t>eir</w:t>
      </w:r>
      <w:r w:rsidR="000D1D43"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scores</w:t>
      </w:r>
      <w:r w:rsidR="000D1D43">
        <w:rPr>
          <w:rFonts w:ascii="Times New Roman" w:eastAsia="Times New Roman" w:hAnsi="Times New Roman" w:cs="Times New Roman"/>
          <w:color w:val="000000"/>
          <w:sz w:val="24"/>
          <w:szCs w:val="24"/>
        </w:rPr>
        <w:t xml:space="preserve"> and</w:t>
      </w:r>
      <w:r w:rsidR="000D1D43"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any </w:t>
      </w:r>
      <w:r w:rsidR="000D1D43">
        <w:rPr>
          <w:rFonts w:ascii="Times New Roman" w:eastAsia="Times New Roman" w:hAnsi="Times New Roman" w:cs="Times New Roman"/>
          <w:color w:val="000000"/>
          <w:sz w:val="24"/>
          <w:szCs w:val="24"/>
        </w:rPr>
        <w:t xml:space="preserve">scoring </w:t>
      </w:r>
      <w:r w:rsidR="0012070B" w:rsidRPr="00B131CA">
        <w:rPr>
          <w:rFonts w:ascii="Times New Roman" w:eastAsia="Times New Roman" w:hAnsi="Times New Roman" w:cs="Times New Roman"/>
          <w:color w:val="000000"/>
          <w:sz w:val="24"/>
          <w:szCs w:val="24"/>
        </w:rPr>
        <w:t xml:space="preserve">discrepancies </w:t>
      </w:r>
      <w:r w:rsidR="00685EB4">
        <w:rPr>
          <w:rFonts w:ascii="Times New Roman" w:eastAsia="Times New Roman" w:hAnsi="Times New Roman" w:cs="Times New Roman"/>
          <w:color w:val="000000"/>
          <w:sz w:val="24"/>
          <w:szCs w:val="24"/>
        </w:rPr>
        <w:t>to</w:t>
      </w:r>
      <w:r w:rsidRPr="00B131CA">
        <w:rPr>
          <w:rFonts w:ascii="Times New Roman" w:eastAsia="Times New Roman" w:hAnsi="Times New Roman" w:cs="Times New Roman"/>
          <w:color w:val="000000"/>
          <w:sz w:val="24"/>
          <w:szCs w:val="24"/>
        </w:rPr>
        <w:t xml:space="preserve"> establish a consensus or team score.</w:t>
      </w:r>
      <w:r w:rsidR="00685EB4">
        <w:rPr>
          <w:rFonts w:ascii="Times New Roman" w:eastAsia="Times New Roman" w:hAnsi="Times New Roman" w:cs="Times New Roman"/>
          <w:color w:val="000000"/>
          <w:sz w:val="24"/>
          <w:szCs w:val="24"/>
        </w:rPr>
        <w:t xml:space="preserve"> </w:t>
      </w:r>
    </w:p>
    <w:p w14:paraId="0000021E" w14:textId="0490029E" w:rsidR="002F3C8D"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Funding decisions are ultimately made by the VDOE, Office of Adult Education, based on the review panel’s recommendations. </w:t>
      </w:r>
    </w:p>
    <w:p w14:paraId="0EC46861" w14:textId="307983C1" w:rsidR="00685EB4" w:rsidRPr="00B131CA" w:rsidRDefault="00685EB4">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Reviewer comments and scores are shared with the applicants once the award decisions have been finalized. Applicants are strongly encouraged to take the review panel comments and scores into consideration and to request a debrief call with the VDOE team</w:t>
      </w:r>
      <w:r w:rsidR="0019296C">
        <w:rPr>
          <w:rFonts w:ascii="Times New Roman" w:eastAsia="Times New Roman" w:hAnsi="Times New Roman" w:cs="Times New Roman"/>
          <w:color w:val="000000"/>
          <w:sz w:val="24"/>
          <w:szCs w:val="24"/>
        </w:rPr>
        <w:t xml:space="preserve"> as part of their own grant-writing self-assessment</w:t>
      </w:r>
      <w:r>
        <w:rPr>
          <w:rFonts w:ascii="Times New Roman" w:eastAsia="Times New Roman" w:hAnsi="Times New Roman" w:cs="Times New Roman"/>
          <w:color w:val="000000"/>
          <w:sz w:val="24"/>
          <w:szCs w:val="24"/>
        </w:rPr>
        <w:t xml:space="preserve">. </w:t>
      </w:r>
    </w:p>
    <w:p w14:paraId="0000021F" w14:textId="5A651736" w:rsidR="002F3C8D" w:rsidRPr="00F002E2" w:rsidRDefault="00BF5CDA" w:rsidP="008D03B8">
      <w:pPr>
        <w:pStyle w:val="Heading4"/>
        <w:rPr>
          <w:rFonts w:eastAsia="Times New Roman" w:cs="Times New Roman"/>
          <w:i/>
          <w:szCs w:val="24"/>
        </w:rPr>
      </w:pPr>
      <w:bookmarkStart w:id="55" w:name="_Toc174088866"/>
      <w:r w:rsidRPr="006656E6">
        <w:lastRenderedPageBreak/>
        <w:t>Federal Requirements and Considerations</w:t>
      </w:r>
      <w:bookmarkEnd w:id="55"/>
    </w:p>
    <w:p w14:paraId="00000220" w14:textId="565CA84F"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State adult education staff constructs the application package and evaluation rubric and overall process to address the federal requirements and considerations that apply to competing AEFLA funds and ensure</w:t>
      </w:r>
      <w:r w:rsidR="000D1D43">
        <w:rPr>
          <w:rFonts w:ascii="Times New Roman" w:eastAsia="Times New Roman" w:hAnsi="Times New Roman" w:cs="Times New Roman"/>
          <w:color w:val="000000"/>
          <w:sz w:val="24"/>
          <w:szCs w:val="24"/>
        </w:rPr>
        <w:t>s</w:t>
      </w:r>
      <w:r w:rsidRPr="00B131CA">
        <w:rPr>
          <w:rFonts w:ascii="Times New Roman" w:eastAsia="Times New Roman" w:hAnsi="Times New Roman" w:cs="Times New Roman"/>
          <w:color w:val="000000"/>
          <w:sz w:val="24"/>
          <w:szCs w:val="24"/>
        </w:rPr>
        <w:t xml:space="preserve"> that funded providers </w:t>
      </w:r>
      <w:proofErr w:type="gramStart"/>
      <w:r w:rsidRPr="00B131CA">
        <w:rPr>
          <w:rFonts w:ascii="Times New Roman" w:eastAsia="Times New Roman" w:hAnsi="Times New Roman" w:cs="Times New Roman"/>
          <w:color w:val="000000"/>
          <w:sz w:val="24"/>
          <w:szCs w:val="24"/>
        </w:rPr>
        <w:t>are in compliance with</w:t>
      </w:r>
      <w:proofErr w:type="gramEnd"/>
      <w:r w:rsidRPr="00B131CA">
        <w:rPr>
          <w:rFonts w:ascii="Times New Roman" w:eastAsia="Times New Roman" w:hAnsi="Times New Roman" w:cs="Times New Roman"/>
          <w:color w:val="000000"/>
          <w:sz w:val="24"/>
          <w:szCs w:val="24"/>
        </w:rPr>
        <w:t xml:space="preserve"> the law and regulations. These requirements and considerations are found in Sec. </w:t>
      </w:r>
      <w:r w:rsidRPr="00B131CA">
        <w:rPr>
          <w:rFonts w:ascii="Times New Roman" w:eastAsia="Times New Roman" w:hAnsi="Times New Roman" w:cs="Times New Roman"/>
          <w:sz w:val="24"/>
          <w:szCs w:val="24"/>
        </w:rPr>
        <w:t>231</w:t>
      </w:r>
      <w:r w:rsidRPr="00B131CA">
        <w:rPr>
          <w:rFonts w:ascii="Times New Roman" w:eastAsia="Times New Roman" w:hAnsi="Times New Roman" w:cs="Times New Roman"/>
          <w:color w:val="000000"/>
          <w:sz w:val="24"/>
          <w:szCs w:val="24"/>
        </w:rPr>
        <w:t xml:space="preserve"> of AEFLA. </w:t>
      </w:r>
    </w:p>
    <w:p w14:paraId="00000221" w14:textId="77777777"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seven requirements are:</w:t>
      </w:r>
    </w:p>
    <w:p w14:paraId="00000222" w14:textId="77777777" w:rsidR="002F3C8D" w:rsidRPr="00B131CA" w:rsidRDefault="00BF5CDA" w:rsidP="00F057C2">
      <w:pPr>
        <w:numPr>
          <w:ilvl w:val="0"/>
          <w:numId w:val="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 description of how funds awarded under this title will be spent consistent with the requirements of title II of </w:t>
      </w:r>
      <w:proofErr w:type="gramStart"/>
      <w:r w:rsidRPr="00B131CA">
        <w:rPr>
          <w:rFonts w:ascii="Times New Roman" w:eastAsia="Times New Roman" w:hAnsi="Times New Roman" w:cs="Times New Roman"/>
          <w:color w:val="000000"/>
          <w:sz w:val="24"/>
          <w:szCs w:val="24"/>
        </w:rPr>
        <w:t>AEFLA;</w:t>
      </w:r>
      <w:proofErr w:type="gramEnd"/>
    </w:p>
    <w:p w14:paraId="00000223" w14:textId="77777777" w:rsidR="002F3C8D" w:rsidRPr="00B131CA" w:rsidRDefault="00BF5CDA" w:rsidP="00F057C2">
      <w:pPr>
        <w:numPr>
          <w:ilvl w:val="0"/>
          <w:numId w:val="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 description of any cooperative arrangements the eligible provider has with other agencies, institutions, or organizations for the delivery of adult education and literacy </w:t>
      </w:r>
      <w:proofErr w:type="gramStart"/>
      <w:r w:rsidRPr="00B131CA">
        <w:rPr>
          <w:rFonts w:ascii="Times New Roman" w:eastAsia="Times New Roman" w:hAnsi="Times New Roman" w:cs="Times New Roman"/>
          <w:color w:val="000000"/>
          <w:sz w:val="24"/>
          <w:szCs w:val="24"/>
        </w:rPr>
        <w:t>activities;</w:t>
      </w:r>
      <w:proofErr w:type="gramEnd"/>
    </w:p>
    <w:p w14:paraId="00000224" w14:textId="77777777" w:rsidR="002F3C8D" w:rsidRPr="00B131CA" w:rsidRDefault="00BF5CDA" w:rsidP="00F057C2">
      <w:pPr>
        <w:numPr>
          <w:ilvl w:val="0"/>
          <w:numId w:val="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 description of how the eligible provider will provide services in alignment with the local workforce development plan, including how such provider will promote concurrent enrollment in programs and activities under title I, as </w:t>
      </w:r>
      <w:proofErr w:type="gramStart"/>
      <w:r w:rsidRPr="00B131CA">
        <w:rPr>
          <w:rFonts w:ascii="Times New Roman" w:eastAsia="Times New Roman" w:hAnsi="Times New Roman" w:cs="Times New Roman"/>
          <w:color w:val="000000"/>
          <w:sz w:val="24"/>
          <w:szCs w:val="24"/>
        </w:rPr>
        <w:t>appropriate;</w:t>
      </w:r>
      <w:proofErr w:type="gramEnd"/>
    </w:p>
    <w:p w14:paraId="00000225" w14:textId="77777777" w:rsidR="002F3C8D" w:rsidRPr="00B131CA" w:rsidRDefault="00BF5CDA" w:rsidP="00F057C2">
      <w:pPr>
        <w:numPr>
          <w:ilvl w:val="0"/>
          <w:numId w:val="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 description of how the eligible provider will meet the state-adjusted levels of performance for the primary indicators of performance identified in the State’s Unified or Combined State Plan, including how such provider will collect data to report on such performance </w:t>
      </w:r>
      <w:proofErr w:type="gramStart"/>
      <w:r w:rsidRPr="00B131CA">
        <w:rPr>
          <w:rFonts w:ascii="Times New Roman" w:eastAsia="Times New Roman" w:hAnsi="Times New Roman" w:cs="Times New Roman"/>
          <w:color w:val="000000"/>
          <w:sz w:val="24"/>
          <w:szCs w:val="24"/>
        </w:rPr>
        <w:t>indicators;</w:t>
      </w:r>
      <w:proofErr w:type="gramEnd"/>
    </w:p>
    <w:p w14:paraId="57513EF9" w14:textId="29EF1B75" w:rsidR="00D02499" w:rsidRDefault="00BF5CDA" w:rsidP="00F057C2">
      <w:pPr>
        <w:numPr>
          <w:ilvl w:val="0"/>
          <w:numId w:val="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 description of how the eligible provider will fulfill, as appropriate, required one-stop partner responsibilities (</w:t>
      </w:r>
      <w:r w:rsidRPr="00B131CA">
        <w:rPr>
          <w:rFonts w:ascii="Times New Roman" w:eastAsia="Times New Roman" w:hAnsi="Times New Roman" w:cs="Times New Roman"/>
          <w:sz w:val="24"/>
          <w:szCs w:val="24"/>
        </w:rPr>
        <w:t>s</w:t>
      </w:r>
      <w:r w:rsidR="007D1CB1" w:rsidRPr="006656E6">
        <w:rPr>
          <w:rFonts w:ascii="Times New Roman" w:hAnsi="Times New Roman"/>
          <w:sz w:val="24"/>
        </w:rPr>
        <w:t xml:space="preserve">ection </w:t>
      </w:r>
      <w:r w:rsidR="007D1CB1">
        <w:rPr>
          <w:rFonts w:ascii="Times New Roman" w:eastAsia="Times New Roman" w:hAnsi="Times New Roman" w:cs="Times New Roman"/>
          <w:sz w:val="24"/>
          <w:szCs w:val="24"/>
        </w:rPr>
        <w:t>Alignment with WIOA Partners, subsection: One-Stop, or Career Works, Center Responsibilities</w:t>
      </w:r>
      <w:proofErr w:type="gramStart"/>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color w:val="000000"/>
          <w:sz w:val="24"/>
          <w:szCs w:val="24"/>
        </w:rPr>
        <w:t>;</w:t>
      </w:r>
      <w:proofErr w:type="gramEnd"/>
    </w:p>
    <w:p w14:paraId="1304E3A2" w14:textId="6AAF7BED" w:rsidR="00D02499" w:rsidRDefault="00BF5CDA" w:rsidP="00F057C2">
      <w:pPr>
        <w:numPr>
          <w:ilvl w:val="0"/>
          <w:numId w:val="6"/>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D02499">
        <w:rPr>
          <w:rFonts w:ascii="Times New Roman" w:eastAsia="Times New Roman" w:hAnsi="Times New Roman" w:cs="Times New Roman"/>
          <w:color w:val="000000"/>
          <w:sz w:val="24"/>
          <w:szCs w:val="24"/>
        </w:rPr>
        <w:t>A description of how the eligible provider will provide services in a manner that meets the needs of eligible individuals;</w:t>
      </w:r>
      <w:r w:rsidR="000D1D43">
        <w:rPr>
          <w:rFonts w:ascii="Times New Roman" w:eastAsia="Times New Roman" w:hAnsi="Times New Roman" w:cs="Times New Roman"/>
          <w:color w:val="000000"/>
          <w:sz w:val="24"/>
          <w:szCs w:val="24"/>
        </w:rPr>
        <w:t xml:space="preserve"> and</w:t>
      </w:r>
    </w:p>
    <w:p w14:paraId="00000228" w14:textId="19CB17AF" w:rsidR="002F3C8D" w:rsidRPr="00D02499" w:rsidRDefault="00BF5CDA" w:rsidP="00F057C2">
      <w:pPr>
        <w:numPr>
          <w:ilvl w:val="0"/>
          <w:numId w:val="6"/>
        </w:numPr>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sidRPr="00D02499">
        <w:rPr>
          <w:rFonts w:ascii="Times New Roman" w:eastAsia="Times New Roman" w:hAnsi="Times New Roman" w:cs="Times New Roman"/>
          <w:color w:val="000000"/>
          <w:sz w:val="24"/>
          <w:szCs w:val="24"/>
        </w:rPr>
        <w:t>Information that addresses the following 13 considerations.</w:t>
      </w:r>
    </w:p>
    <w:p w14:paraId="00000229" w14:textId="537110B2"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w:t>
      </w:r>
      <w:r w:rsidR="00CE3AD5">
        <w:rPr>
          <w:rFonts w:ascii="Times New Roman" w:eastAsia="Times New Roman" w:hAnsi="Times New Roman" w:cs="Times New Roman"/>
          <w:color w:val="000000"/>
          <w:sz w:val="24"/>
          <w:szCs w:val="24"/>
        </w:rPr>
        <w:t>13</w:t>
      </w:r>
      <w:r w:rsidRPr="00B131CA">
        <w:rPr>
          <w:rFonts w:ascii="Times New Roman" w:eastAsia="Times New Roman" w:hAnsi="Times New Roman" w:cs="Times New Roman"/>
          <w:color w:val="000000"/>
          <w:sz w:val="24"/>
          <w:szCs w:val="24"/>
        </w:rPr>
        <w:t xml:space="preserve"> considerations are:</w:t>
      </w:r>
    </w:p>
    <w:p w14:paraId="0000022A" w14:textId="339A5501" w:rsidR="002F3C8D" w:rsidRPr="007A5666" w:rsidRDefault="00BF5CDA" w:rsidP="00F057C2">
      <w:pPr>
        <w:pStyle w:val="ListParagraph"/>
        <w:numPr>
          <w:ilvl w:val="0"/>
          <w:numId w:val="8"/>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7A5666">
        <w:rPr>
          <w:rFonts w:ascii="Times New Roman" w:eastAsia="Times New Roman" w:hAnsi="Times New Roman" w:cs="Times New Roman"/>
          <w:color w:val="000000"/>
          <w:sz w:val="24"/>
          <w:szCs w:val="24"/>
        </w:rPr>
        <w:t>The degree to which the eligible provider would be responsive to</w:t>
      </w:r>
      <w:r w:rsidR="00494793" w:rsidRPr="007A5666">
        <w:rPr>
          <w:rFonts w:ascii="Times New Roman" w:eastAsia="Times New Roman" w:hAnsi="Times New Roman" w:cs="Times New Roman"/>
          <w:color w:val="000000"/>
          <w:sz w:val="24"/>
          <w:szCs w:val="24"/>
        </w:rPr>
        <w:t>:</w:t>
      </w:r>
    </w:p>
    <w:p w14:paraId="4129282D" w14:textId="77777777" w:rsidR="0027327A" w:rsidRDefault="00BF5CDA" w:rsidP="00F057C2">
      <w:pPr>
        <w:pStyle w:val="ListParagraph"/>
        <w:numPr>
          <w:ilvl w:val="1"/>
          <w:numId w:val="8"/>
        </w:numPr>
        <w:pBdr>
          <w:top w:val="nil"/>
          <w:left w:val="nil"/>
          <w:bottom w:val="nil"/>
          <w:right w:val="nil"/>
          <w:between w:val="nil"/>
        </w:pBdr>
        <w:tabs>
          <w:tab w:val="left" w:pos="2520"/>
        </w:tabs>
        <w:spacing w:after="0" w:line="240" w:lineRule="auto"/>
        <w:ind w:left="2160"/>
        <w:rPr>
          <w:rFonts w:ascii="Times New Roman" w:eastAsia="Times New Roman" w:hAnsi="Times New Roman" w:cs="Times New Roman"/>
          <w:color w:val="000000"/>
          <w:sz w:val="24"/>
          <w:szCs w:val="24"/>
        </w:rPr>
      </w:pPr>
      <w:r w:rsidRPr="0027327A">
        <w:rPr>
          <w:rFonts w:ascii="Times New Roman" w:eastAsia="Times New Roman" w:hAnsi="Times New Roman" w:cs="Times New Roman"/>
          <w:color w:val="000000"/>
          <w:sz w:val="24"/>
          <w:szCs w:val="24"/>
        </w:rPr>
        <w:t>Regional needs as identified in the local workforce development plan; and</w:t>
      </w:r>
      <w:r w:rsidR="0027327A" w:rsidRPr="0027327A">
        <w:rPr>
          <w:rFonts w:ascii="Times New Roman" w:eastAsia="Times New Roman" w:hAnsi="Times New Roman" w:cs="Times New Roman"/>
          <w:color w:val="000000"/>
          <w:sz w:val="24"/>
          <w:szCs w:val="24"/>
        </w:rPr>
        <w:t xml:space="preserve"> </w:t>
      </w:r>
    </w:p>
    <w:p w14:paraId="0000022E" w14:textId="55628F88" w:rsidR="002F3C8D" w:rsidRPr="0027327A" w:rsidRDefault="00BF5CDA" w:rsidP="00F057C2">
      <w:pPr>
        <w:pStyle w:val="ListParagraph"/>
        <w:numPr>
          <w:ilvl w:val="1"/>
          <w:numId w:val="8"/>
        </w:numPr>
        <w:pBdr>
          <w:top w:val="nil"/>
          <w:left w:val="nil"/>
          <w:bottom w:val="nil"/>
          <w:right w:val="nil"/>
          <w:between w:val="nil"/>
        </w:pBdr>
        <w:tabs>
          <w:tab w:val="left" w:pos="2520"/>
        </w:tabs>
        <w:spacing w:after="0" w:line="240" w:lineRule="auto"/>
        <w:ind w:left="2160"/>
        <w:rPr>
          <w:rFonts w:ascii="Times New Roman" w:eastAsia="Times New Roman" w:hAnsi="Times New Roman" w:cs="Times New Roman"/>
          <w:color w:val="000000"/>
          <w:sz w:val="24"/>
          <w:szCs w:val="24"/>
        </w:rPr>
      </w:pPr>
      <w:r w:rsidRPr="0027327A">
        <w:rPr>
          <w:rFonts w:ascii="Times New Roman" w:eastAsia="Times New Roman" w:hAnsi="Times New Roman" w:cs="Times New Roman"/>
          <w:color w:val="000000"/>
          <w:sz w:val="24"/>
          <w:szCs w:val="24"/>
        </w:rPr>
        <w:t>Serving individuals in the community who were identified in such plan as most in need of adult education and literacy activities, including individuals who--</w:t>
      </w:r>
    </w:p>
    <w:p w14:paraId="30606A9A" w14:textId="54E85D24" w:rsidR="002F3C8D" w:rsidRPr="001C1593" w:rsidRDefault="00BF5CDA" w:rsidP="00022694">
      <w:pPr>
        <w:pStyle w:val="ListParagraph"/>
        <w:numPr>
          <w:ilvl w:val="3"/>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C1593">
        <w:rPr>
          <w:rFonts w:ascii="Times New Roman" w:eastAsia="Times New Roman" w:hAnsi="Times New Roman" w:cs="Times New Roman"/>
          <w:color w:val="000000"/>
          <w:sz w:val="24"/>
          <w:szCs w:val="24"/>
        </w:rPr>
        <w:t>Have low levels of literacy skills; or</w:t>
      </w:r>
    </w:p>
    <w:p w14:paraId="7DE674BA" w14:textId="77777777" w:rsidR="002F3C8D" w:rsidRDefault="00BF5CDA" w:rsidP="00022694">
      <w:pPr>
        <w:numPr>
          <w:ilvl w:val="3"/>
          <w:numId w:val="23"/>
        </w:num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English language </w:t>
      </w:r>
      <w:proofErr w:type="gramStart"/>
      <w:r>
        <w:rPr>
          <w:rFonts w:ascii="Times New Roman" w:eastAsia="Times New Roman" w:hAnsi="Times New Roman" w:cs="Times New Roman"/>
          <w:color w:val="000000"/>
          <w:sz w:val="24"/>
          <w:szCs w:val="24"/>
        </w:rPr>
        <w:t>learners;</w:t>
      </w:r>
      <w:proofErr w:type="gramEnd"/>
    </w:p>
    <w:p w14:paraId="0000022F" w14:textId="54AB2DEE" w:rsidR="002F3C8D" w:rsidRPr="00B131CA" w:rsidRDefault="001C1593" w:rsidP="00813C91">
      <w:pPr>
        <w:pBdr>
          <w:top w:val="nil"/>
          <w:left w:val="nil"/>
          <w:bottom w:val="nil"/>
          <w:right w:val="nil"/>
          <w:between w:val="nil"/>
        </w:pBdr>
        <w:tabs>
          <w:tab w:val="left" w:pos="1350"/>
        </w:tabs>
        <w:spacing w:after="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F6522">
        <w:rPr>
          <w:rFonts w:ascii="Times New Roman" w:eastAsia="Times New Roman" w:hAnsi="Times New Roman" w:cs="Times New Roman"/>
          <w:color w:val="000000"/>
          <w:sz w:val="24"/>
          <w:szCs w:val="24"/>
        </w:rPr>
        <w:t xml:space="preserve">. </w:t>
      </w:r>
      <w:r w:rsidR="00813C91">
        <w:rPr>
          <w:rFonts w:ascii="Times New Roman" w:eastAsia="Times New Roman" w:hAnsi="Times New Roman" w:cs="Times New Roman"/>
          <w:color w:val="000000"/>
          <w:sz w:val="24"/>
          <w:szCs w:val="24"/>
        </w:rPr>
        <w:t xml:space="preserve">  </w:t>
      </w:r>
      <w:r w:rsidR="00BF5CDA" w:rsidRPr="00B131CA">
        <w:rPr>
          <w:rFonts w:ascii="Times New Roman" w:eastAsia="Times New Roman" w:hAnsi="Times New Roman" w:cs="Times New Roman"/>
          <w:color w:val="000000"/>
          <w:sz w:val="24"/>
          <w:szCs w:val="24"/>
        </w:rPr>
        <w:t>The ability of the eligible provider to serve eligible individuals with disabilities,</w:t>
      </w:r>
      <w:r w:rsidR="00813C91">
        <w:rPr>
          <w:rFonts w:ascii="Times New Roman" w:eastAsia="Times New Roman" w:hAnsi="Times New Roman" w:cs="Times New Roman"/>
          <w:color w:val="000000"/>
          <w:sz w:val="24"/>
          <w:szCs w:val="24"/>
        </w:rPr>
        <w:t xml:space="preserve"> </w:t>
      </w:r>
      <w:r w:rsidR="00BF5CDA" w:rsidRPr="00B131CA">
        <w:rPr>
          <w:rFonts w:ascii="Times New Roman" w:eastAsia="Times New Roman" w:hAnsi="Times New Roman" w:cs="Times New Roman"/>
          <w:color w:val="000000"/>
          <w:sz w:val="24"/>
          <w:szCs w:val="24"/>
        </w:rPr>
        <w:t xml:space="preserve">including eligible individuals with learning </w:t>
      </w:r>
      <w:proofErr w:type="gramStart"/>
      <w:r w:rsidR="00BF5CDA" w:rsidRPr="00B131CA">
        <w:rPr>
          <w:rFonts w:ascii="Times New Roman" w:eastAsia="Times New Roman" w:hAnsi="Times New Roman" w:cs="Times New Roman"/>
          <w:color w:val="000000"/>
          <w:sz w:val="24"/>
          <w:szCs w:val="24"/>
        </w:rPr>
        <w:t>disabilities;</w:t>
      </w:r>
      <w:proofErr w:type="gramEnd"/>
    </w:p>
    <w:p w14:paraId="00000230" w14:textId="77777777" w:rsidR="002F3C8D" w:rsidRPr="00B131CA" w:rsidRDefault="00BF5CDA" w:rsidP="00022694">
      <w:pPr>
        <w:numPr>
          <w:ilvl w:val="0"/>
          <w:numId w:val="23"/>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past effectiveness of the eligible provider in improving the literacy of eligible individuals, especially those individuals who have low levels of literacy, and the degree to which those improvements contribute to the eligible agency meeting its state-adjusted levels of performance for the primary indicators of </w:t>
      </w:r>
      <w:proofErr w:type="gramStart"/>
      <w:r w:rsidRPr="00B131CA">
        <w:rPr>
          <w:rFonts w:ascii="Times New Roman" w:eastAsia="Times New Roman" w:hAnsi="Times New Roman" w:cs="Times New Roman"/>
          <w:color w:val="000000"/>
          <w:sz w:val="24"/>
          <w:szCs w:val="24"/>
        </w:rPr>
        <w:t>performance;</w:t>
      </w:r>
      <w:proofErr w:type="gramEnd"/>
      <w:r w:rsidRPr="00B131CA">
        <w:rPr>
          <w:rFonts w:ascii="Times New Roman" w:eastAsia="Times New Roman" w:hAnsi="Times New Roman" w:cs="Times New Roman"/>
          <w:color w:val="000000"/>
          <w:sz w:val="24"/>
          <w:szCs w:val="24"/>
        </w:rPr>
        <w:t> </w:t>
      </w:r>
    </w:p>
    <w:p w14:paraId="6A85FB7D" w14:textId="77777777" w:rsidR="006D3ACA" w:rsidRPr="00B131CA" w:rsidRDefault="00BF5CDA" w:rsidP="00022694">
      <w:pPr>
        <w:numPr>
          <w:ilvl w:val="0"/>
          <w:numId w:val="23"/>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extent to which the eligible provider demonstrates alignment between proposed activities and services and the strategy and goals of the local plan under section 108 of the Act, as well as the activities and services of the one-stop </w:t>
      </w:r>
      <w:proofErr w:type="gramStart"/>
      <w:r w:rsidRPr="00B131CA">
        <w:rPr>
          <w:rFonts w:ascii="Times New Roman" w:eastAsia="Times New Roman" w:hAnsi="Times New Roman" w:cs="Times New Roman"/>
          <w:color w:val="000000"/>
          <w:sz w:val="24"/>
          <w:szCs w:val="24"/>
        </w:rPr>
        <w:t>partners;</w:t>
      </w:r>
      <w:proofErr w:type="gramEnd"/>
    </w:p>
    <w:p w14:paraId="05F3E7DE" w14:textId="77777777" w:rsidR="001C1593" w:rsidRDefault="001C1593" w:rsidP="001C1593">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Pr>
          <w:rFonts w:ascii="Times New Roman" w:eastAsia="Times New Roman" w:hAnsi="Times New Roman" w:cs="Times New Roman"/>
          <w:color w:val="000000"/>
          <w:sz w:val="24"/>
          <w:szCs w:val="24"/>
        </w:rPr>
        <w:tab/>
      </w:r>
      <w:r w:rsidR="00BF5CDA" w:rsidRPr="00B131CA">
        <w:rPr>
          <w:rFonts w:ascii="Times New Roman" w:eastAsia="Times New Roman" w:hAnsi="Times New Roman" w:cs="Times New Roman"/>
          <w:color w:val="000000"/>
          <w:sz w:val="24"/>
          <w:szCs w:val="24"/>
        </w:rPr>
        <w:t>Whether the eligible provider’s program</w:t>
      </w:r>
    </w:p>
    <w:p w14:paraId="75D93DDE" w14:textId="28F97B17" w:rsidR="001C1593" w:rsidRDefault="006D3ACA" w:rsidP="001C1593">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w:t>
      </w:r>
      <w:r w:rsidRPr="001C1593">
        <w:rPr>
          <w:rFonts w:ascii="Times New Roman" w:hAnsi="Times New Roman"/>
          <w:color w:val="000000"/>
          <w:sz w:val="24"/>
        </w:rPr>
        <w:t>a</w:t>
      </w:r>
      <w:r w:rsidRPr="00B131CA">
        <w:rPr>
          <w:rFonts w:ascii="Times New Roman" w:eastAsia="Times New Roman" w:hAnsi="Times New Roman" w:cs="Times New Roman"/>
          <w:color w:val="000000"/>
          <w:sz w:val="24"/>
          <w:szCs w:val="24"/>
        </w:rPr>
        <w:t>) i</w:t>
      </w:r>
      <w:r w:rsidR="00BF5CDA" w:rsidRPr="00B131CA">
        <w:rPr>
          <w:rFonts w:ascii="Times New Roman" w:eastAsia="Times New Roman" w:hAnsi="Times New Roman" w:cs="Times New Roman"/>
          <w:color w:val="000000"/>
          <w:sz w:val="24"/>
          <w:szCs w:val="24"/>
        </w:rPr>
        <w:t>s of sufficient intensity and quality, and based on the most rigorous research available so that participants achieve substantial learning gains</w:t>
      </w:r>
      <w:r w:rsidRPr="00B131CA">
        <w:rPr>
          <w:rFonts w:ascii="Times New Roman" w:eastAsia="Times New Roman" w:hAnsi="Times New Roman" w:cs="Times New Roman"/>
          <w:color w:val="000000"/>
          <w:sz w:val="24"/>
          <w:szCs w:val="24"/>
        </w:rPr>
        <w:t xml:space="preserve"> </w:t>
      </w:r>
      <w:r w:rsidR="00BF5CDA" w:rsidRPr="00B131CA">
        <w:rPr>
          <w:rFonts w:ascii="Times New Roman" w:eastAsia="Times New Roman" w:hAnsi="Times New Roman" w:cs="Times New Roman"/>
          <w:color w:val="000000"/>
          <w:sz w:val="24"/>
          <w:szCs w:val="24"/>
        </w:rPr>
        <w:t>and</w:t>
      </w:r>
      <w:r w:rsidRPr="00B131CA">
        <w:rPr>
          <w:rFonts w:ascii="Times New Roman" w:eastAsia="Times New Roman" w:hAnsi="Times New Roman" w:cs="Times New Roman"/>
          <w:color w:val="000000"/>
          <w:sz w:val="24"/>
          <w:szCs w:val="24"/>
        </w:rPr>
        <w:t xml:space="preserve"> </w:t>
      </w:r>
    </w:p>
    <w:p w14:paraId="00000234" w14:textId="703D2C4B" w:rsidR="002F3C8D" w:rsidRPr="00B131CA" w:rsidRDefault="006D3ACA" w:rsidP="001C1593">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(b) u</w:t>
      </w:r>
      <w:r w:rsidR="00BF5CDA" w:rsidRPr="00B131CA">
        <w:rPr>
          <w:rFonts w:ascii="Times New Roman" w:eastAsia="Times New Roman" w:hAnsi="Times New Roman" w:cs="Times New Roman"/>
          <w:color w:val="000000"/>
          <w:sz w:val="24"/>
          <w:szCs w:val="24"/>
        </w:rPr>
        <w:t xml:space="preserve">ses instructional practices that include the essential components of reading </w:t>
      </w:r>
      <w:proofErr w:type="gramStart"/>
      <w:r w:rsidR="00BF5CDA" w:rsidRPr="00B131CA">
        <w:rPr>
          <w:rFonts w:ascii="Times New Roman" w:eastAsia="Times New Roman" w:hAnsi="Times New Roman" w:cs="Times New Roman"/>
          <w:color w:val="000000"/>
          <w:sz w:val="24"/>
          <w:szCs w:val="24"/>
        </w:rPr>
        <w:t>instruction;</w:t>
      </w:r>
      <w:proofErr w:type="gramEnd"/>
    </w:p>
    <w:p w14:paraId="00000235" w14:textId="29531CD9" w:rsidR="002F3C8D" w:rsidRPr="00B131CA" w:rsidRDefault="007A5666" w:rsidP="001C1593">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BF5CDA" w:rsidRPr="00B131CA">
        <w:rPr>
          <w:rFonts w:ascii="Times New Roman" w:eastAsia="Times New Roman" w:hAnsi="Times New Roman" w:cs="Times New Roman"/>
          <w:color w:val="000000"/>
          <w:sz w:val="24"/>
          <w:szCs w:val="24"/>
        </w:rPr>
        <w:t xml:space="preserve">Whether the eligible provider’s activities, including whether reading, writing, speaking, mathematics, and English language acquisition instruction delivered by the eligible provider, are based on the best practices derived from the most rigorous research available, including scientifically valid research and effective educational </w:t>
      </w:r>
      <w:proofErr w:type="gramStart"/>
      <w:r w:rsidR="00BF5CDA" w:rsidRPr="00B131CA">
        <w:rPr>
          <w:rFonts w:ascii="Times New Roman" w:eastAsia="Times New Roman" w:hAnsi="Times New Roman" w:cs="Times New Roman"/>
          <w:color w:val="000000"/>
          <w:sz w:val="24"/>
          <w:szCs w:val="24"/>
        </w:rPr>
        <w:t>practice;</w:t>
      </w:r>
      <w:proofErr w:type="gramEnd"/>
    </w:p>
    <w:p w14:paraId="00000236" w14:textId="748672D7" w:rsidR="002F3C8D" w:rsidRPr="00B131CA" w:rsidRDefault="007A5666" w:rsidP="001C1593">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00BF5CDA" w:rsidRPr="00B131CA">
        <w:rPr>
          <w:rFonts w:ascii="Times New Roman" w:eastAsia="Times New Roman" w:hAnsi="Times New Roman" w:cs="Times New Roman"/>
          <w:color w:val="000000"/>
          <w:sz w:val="24"/>
          <w:szCs w:val="24"/>
        </w:rPr>
        <w:t xml:space="preserve">Whether the eligible provider’s activities effectively use technology, services and delivery systems, including distance education, in a manner sufficient to increase the amount and quality of learning, and how such technology, services, and systems lead to improved </w:t>
      </w:r>
      <w:proofErr w:type="gramStart"/>
      <w:r w:rsidR="00BF5CDA" w:rsidRPr="00B131CA">
        <w:rPr>
          <w:rFonts w:ascii="Times New Roman" w:eastAsia="Times New Roman" w:hAnsi="Times New Roman" w:cs="Times New Roman"/>
          <w:color w:val="000000"/>
          <w:sz w:val="24"/>
          <w:szCs w:val="24"/>
        </w:rPr>
        <w:t>performance;</w:t>
      </w:r>
      <w:proofErr w:type="gramEnd"/>
    </w:p>
    <w:p w14:paraId="00000237" w14:textId="43E03379" w:rsidR="002F3C8D" w:rsidRPr="00B131CA" w:rsidRDefault="00BF5CDA" w:rsidP="001C1593">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B131CA">
        <w:rPr>
          <w:rFonts w:ascii="Times New Roman" w:eastAsia="Times New Roman" w:hAnsi="Times New Roman" w:cs="Times New Roman"/>
          <w:sz w:val="24"/>
          <w:szCs w:val="24"/>
        </w:rPr>
        <w:t xml:space="preserve">8. </w:t>
      </w:r>
      <w:r w:rsidR="00B47283">
        <w:rPr>
          <w:rFonts w:ascii="Times New Roman" w:eastAsia="Times New Roman" w:hAnsi="Times New Roman" w:cs="Times New Roman"/>
          <w:sz w:val="24"/>
          <w:szCs w:val="24"/>
        </w:rPr>
        <w:tab/>
      </w:r>
      <w:r w:rsidRPr="00B131CA">
        <w:rPr>
          <w:rFonts w:ascii="Times New Roman" w:eastAsia="Times New Roman" w:hAnsi="Times New Roman" w:cs="Times New Roman"/>
          <w:color w:val="000000"/>
          <w:sz w:val="24"/>
          <w:szCs w:val="24"/>
        </w:rPr>
        <w:t xml:space="preserve">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w:t>
      </w:r>
      <w:proofErr w:type="gramStart"/>
      <w:r w:rsidRPr="00B131CA">
        <w:rPr>
          <w:rFonts w:ascii="Times New Roman" w:eastAsia="Times New Roman" w:hAnsi="Times New Roman" w:cs="Times New Roman"/>
          <w:color w:val="000000"/>
          <w:sz w:val="24"/>
          <w:szCs w:val="24"/>
        </w:rPr>
        <w:t>citizenship;</w:t>
      </w:r>
      <w:proofErr w:type="gramEnd"/>
    </w:p>
    <w:p w14:paraId="00000238" w14:textId="7EB4E0B0" w:rsidR="002F3C8D" w:rsidRPr="00B131CA" w:rsidRDefault="00BF5CDA" w:rsidP="001C1593">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B131CA">
        <w:rPr>
          <w:rFonts w:ascii="Times New Roman" w:eastAsia="Times New Roman" w:hAnsi="Times New Roman" w:cs="Times New Roman"/>
          <w:sz w:val="24"/>
          <w:szCs w:val="24"/>
        </w:rPr>
        <w:t xml:space="preserve">9. </w:t>
      </w:r>
      <w:r w:rsidR="00F002E2">
        <w:rPr>
          <w:rFonts w:ascii="Times New Roman" w:eastAsia="Times New Roman" w:hAnsi="Times New Roman" w:cs="Times New Roman"/>
          <w:sz w:val="24"/>
          <w:szCs w:val="24"/>
        </w:rPr>
        <w:tab/>
      </w:r>
      <w:r w:rsidRPr="00B131CA">
        <w:rPr>
          <w:rFonts w:ascii="Times New Roman" w:eastAsia="Times New Roman" w:hAnsi="Times New Roman" w:cs="Times New Roman"/>
          <w:color w:val="000000"/>
          <w:sz w:val="24"/>
          <w:szCs w:val="24"/>
        </w:rPr>
        <w:t xml:space="preserve">Whether the eligible provider’s activities are delivered by well-trained instructors, counselors, and administrators who meet any minimum qualifications established by the state, where applicable, and who have access to high-quality professional development, including through electronic </w:t>
      </w:r>
      <w:proofErr w:type="gramStart"/>
      <w:r w:rsidRPr="00B131CA">
        <w:rPr>
          <w:rFonts w:ascii="Times New Roman" w:eastAsia="Times New Roman" w:hAnsi="Times New Roman" w:cs="Times New Roman"/>
          <w:color w:val="000000"/>
          <w:sz w:val="24"/>
          <w:szCs w:val="24"/>
        </w:rPr>
        <w:t>means;</w:t>
      </w:r>
      <w:proofErr w:type="gramEnd"/>
    </w:p>
    <w:p w14:paraId="00000239" w14:textId="77777777" w:rsidR="002F3C8D" w:rsidRPr="00B131CA" w:rsidRDefault="00BF5CDA" w:rsidP="001C1593">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B131CA">
        <w:rPr>
          <w:rFonts w:ascii="Times New Roman" w:eastAsia="Times New Roman" w:hAnsi="Times New Roman" w:cs="Times New Roman"/>
          <w:sz w:val="24"/>
          <w:szCs w:val="24"/>
        </w:rPr>
        <w:t xml:space="preserve">10. </w:t>
      </w:r>
      <w:r w:rsidRPr="00B131CA">
        <w:rPr>
          <w:rFonts w:ascii="Times New Roman" w:eastAsia="Times New Roman" w:hAnsi="Times New Roman" w:cs="Times New Roman"/>
          <w:color w:val="000000"/>
          <w:sz w:val="24"/>
          <w:szCs w:val="24"/>
        </w:rPr>
        <w:t xml:space="preserve">Whether the eligible provider coordinates with other available education, training, and social service resources in the community, such as by establishing strong links with elementary schools and secondary schools, postsecondary educational institutions, institutions of higher education, local WDBs, </w:t>
      </w:r>
      <w:r w:rsidRPr="00B131CA">
        <w:rPr>
          <w:rFonts w:ascii="Times New Roman" w:eastAsia="Times New Roman" w:hAnsi="Times New Roman" w:cs="Times New Roman"/>
          <w:sz w:val="24"/>
          <w:szCs w:val="24"/>
        </w:rPr>
        <w:t>o</w:t>
      </w:r>
      <w:r w:rsidRPr="00B131CA">
        <w:rPr>
          <w:rFonts w:ascii="Times New Roman" w:eastAsia="Times New Roman" w:hAnsi="Times New Roman" w:cs="Times New Roman"/>
          <w:color w:val="000000"/>
          <w:sz w:val="24"/>
          <w:szCs w:val="24"/>
        </w:rPr>
        <w:t>ne-</w:t>
      </w:r>
      <w:r w:rsidRPr="00B131CA">
        <w:rPr>
          <w:rFonts w:ascii="Times New Roman" w:eastAsia="Times New Roman" w:hAnsi="Times New Roman" w:cs="Times New Roman"/>
          <w:sz w:val="24"/>
          <w:szCs w:val="24"/>
        </w:rPr>
        <w:t>s</w:t>
      </w:r>
      <w:r w:rsidRPr="00B131CA">
        <w:rPr>
          <w:rFonts w:ascii="Times New Roman" w:eastAsia="Times New Roman" w:hAnsi="Times New Roman" w:cs="Times New Roman"/>
          <w:color w:val="000000"/>
          <w:sz w:val="24"/>
          <w:szCs w:val="24"/>
        </w:rPr>
        <w:t xml:space="preserve">top </w:t>
      </w:r>
      <w:r w:rsidRPr="00B131CA">
        <w:rPr>
          <w:rFonts w:ascii="Times New Roman" w:eastAsia="Times New Roman" w:hAnsi="Times New Roman" w:cs="Times New Roman"/>
          <w:sz w:val="24"/>
          <w:szCs w:val="24"/>
        </w:rPr>
        <w:t>c</w:t>
      </w:r>
      <w:r w:rsidRPr="00B131CA">
        <w:rPr>
          <w:rFonts w:ascii="Times New Roman" w:eastAsia="Times New Roman" w:hAnsi="Times New Roman" w:cs="Times New Roman"/>
          <w:color w:val="000000"/>
          <w:sz w:val="24"/>
          <w:szCs w:val="24"/>
        </w:rPr>
        <w:t>enters, job training programs, and social service agencies, business, industry, labor organizations, community-based organizations, nonprofit organizations, and intermediaries, in the development of career pathways;</w:t>
      </w:r>
    </w:p>
    <w:p w14:paraId="0000023A" w14:textId="77777777" w:rsidR="002F3C8D" w:rsidRPr="00B131CA" w:rsidRDefault="00BF5CDA" w:rsidP="001C1593">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B131CA">
        <w:rPr>
          <w:rFonts w:ascii="Times New Roman" w:eastAsia="Times New Roman" w:hAnsi="Times New Roman" w:cs="Times New Roman"/>
          <w:sz w:val="24"/>
          <w:szCs w:val="24"/>
        </w:rPr>
        <w:t xml:space="preserve">11. </w:t>
      </w:r>
      <w:r w:rsidRPr="00B131CA">
        <w:rPr>
          <w:rFonts w:ascii="Times New Roman" w:eastAsia="Times New Roman" w:hAnsi="Times New Roman" w:cs="Times New Roman"/>
          <w:color w:val="000000"/>
          <w:sz w:val="24"/>
          <w:szCs w:val="24"/>
        </w:rPr>
        <w:t xml:space="preserve">Whether the eligible provider’s activities offer the flexible schedules and coordination with federal, state, and local support services (such as </w:t>
      </w:r>
      <w:proofErr w:type="gramStart"/>
      <w:r w:rsidRPr="00B131CA">
        <w:rPr>
          <w:rFonts w:ascii="Times New Roman" w:eastAsia="Times New Roman" w:hAnsi="Times New Roman" w:cs="Times New Roman"/>
          <w:color w:val="000000"/>
          <w:sz w:val="24"/>
          <w:szCs w:val="24"/>
        </w:rPr>
        <w:t>child care</w:t>
      </w:r>
      <w:proofErr w:type="gramEnd"/>
      <w:r w:rsidRPr="00B131CA">
        <w:rPr>
          <w:rFonts w:ascii="Times New Roman" w:eastAsia="Times New Roman" w:hAnsi="Times New Roman" w:cs="Times New Roman"/>
          <w:color w:val="000000"/>
          <w:sz w:val="24"/>
          <w:szCs w:val="24"/>
        </w:rPr>
        <w:t>, transportation, mental health services, and career planning) that are necessary to enable individuals, including individuals with disabilities or other special needs, to attend and complete programs; </w:t>
      </w:r>
    </w:p>
    <w:p w14:paraId="0000023B" w14:textId="77777777" w:rsidR="002F3C8D" w:rsidRPr="00B131CA" w:rsidRDefault="00BF5CDA" w:rsidP="001C1593">
      <w:pPr>
        <w:pBdr>
          <w:top w:val="nil"/>
          <w:left w:val="nil"/>
          <w:bottom w:val="nil"/>
          <w:right w:val="nil"/>
          <w:between w:val="nil"/>
        </w:pBdr>
        <w:spacing w:after="0" w:line="240" w:lineRule="auto"/>
        <w:ind w:left="1440" w:hanging="360"/>
        <w:rPr>
          <w:rFonts w:ascii="Times New Roman" w:eastAsia="Times New Roman" w:hAnsi="Times New Roman" w:cs="Times New Roman"/>
          <w:color w:val="000000"/>
          <w:sz w:val="24"/>
          <w:szCs w:val="24"/>
        </w:rPr>
      </w:pPr>
      <w:r w:rsidRPr="00B131CA">
        <w:rPr>
          <w:rFonts w:ascii="Times New Roman" w:eastAsia="Times New Roman" w:hAnsi="Times New Roman" w:cs="Times New Roman"/>
          <w:sz w:val="24"/>
          <w:szCs w:val="24"/>
        </w:rPr>
        <w:t xml:space="preserve">12. </w:t>
      </w:r>
      <w:r w:rsidRPr="00B131CA">
        <w:rPr>
          <w:rFonts w:ascii="Times New Roman" w:eastAsia="Times New Roman" w:hAnsi="Times New Roman" w:cs="Times New Roman"/>
          <w:color w:val="000000"/>
          <w:sz w:val="24"/>
          <w:szCs w:val="24"/>
        </w:rPr>
        <w:t>Whether the eligible provider maintains a high-quality information management system that has the capacity to report measurable participant outcomes (consistent with section 116) and to monitor program performance; and </w:t>
      </w:r>
    </w:p>
    <w:p w14:paraId="0000023C" w14:textId="77777777" w:rsidR="002F3C8D" w:rsidRPr="00B131CA" w:rsidRDefault="00BF5CDA" w:rsidP="001C1593">
      <w:pPr>
        <w:pBdr>
          <w:top w:val="nil"/>
          <w:left w:val="nil"/>
          <w:bottom w:val="nil"/>
          <w:right w:val="nil"/>
          <w:between w:val="nil"/>
        </w:pBdr>
        <w:spacing w:line="240" w:lineRule="auto"/>
        <w:ind w:left="1440" w:hanging="360"/>
        <w:rPr>
          <w:rFonts w:ascii="Times New Roman" w:eastAsia="Times New Roman" w:hAnsi="Times New Roman" w:cs="Times New Roman"/>
          <w:color w:val="000000"/>
          <w:sz w:val="24"/>
          <w:szCs w:val="24"/>
        </w:rPr>
      </w:pPr>
      <w:r w:rsidRPr="00B131CA">
        <w:rPr>
          <w:rFonts w:ascii="Times New Roman" w:eastAsia="Times New Roman" w:hAnsi="Times New Roman" w:cs="Times New Roman"/>
          <w:sz w:val="24"/>
          <w:szCs w:val="24"/>
        </w:rPr>
        <w:t xml:space="preserve">13. </w:t>
      </w:r>
      <w:r w:rsidRPr="00B131CA">
        <w:rPr>
          <w:rFonts w:ascii="Times New Roman" w:eastAsia="Times New Roman" w:hAnsi="Times New Roman" w:cs="Times New Roman"/>
          <w:color w:val="000000"/>
          <w:sz w:val="24"/>
          <w:szCs w:val="24"/>
        </w:rPr>
        <w:t>Whether the local area in which the eligible provider is located has a demonstrated need for additional English language acquisition programs and civics education programs. </w:t>
      </w:r>
    </w:p>
    <w:p w14:paraId="0000023D" w14:textId="5D9138D9" w:rsidR="002F3C8D" w:rsidRPr="00F002E2" w:rsidRDefault="00BF5CDA" w:rsidP="008D03B8">
      <w:pPr>
        <w:pStyle w:val="Heading4"/>
        <w:rPr>
          <w:rFonts w:eastAsia="Times New Roman" w:cs="Times New Roman"/>
          <w:i/>
          <w:szCs w:val="24"/>
        </w:rPr>
      </w:pPr>
      <w:bookmarkStart w:id="56" w:name="_Toc174088867"/>
      <w:r w:rsidRPr="006656E6">
        <w:t>Continuation Applications</w:t>
      </w:r>
      <w:bookmarkEnd w:id="56"/>
    </w:p>
    <w:p w14:paraId="0000023E" w14:textId="2176425B" w:rsidR="008059BB"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Leading into the second and third year</w:t>
      </w:r>
      <w:r w:rsidR="006E61E8">
        <w:rPr>
          <w:rFonts w:ascii="Times New Roman" w:eastAsia="Times New Roman" w:hAnsi="Times New Roman" w:cs="Times New Roman"/>
          <w:color w:val="000000"/>
          <w:sz w:val="24"/>
          <w:szCs w:val="24"/>
        </w:rPr>
        <w:t>s</w:t>
      </w:r>
      <w:r w:rsidRPr="00B131CA">
        <w:rPr>
          <w:rFonts w:ascii="Times New Roman" w:eastAsia="Times New Roman" w:hAnsi="Times New Roman" w:cs="Times New Roman"/>
          <w:color w:val="000000"/>
          <w:sz w:val="24"/>
          <w:szCs w:val="24"/>
        </w:rPr>
        <w:t xml:space="preserve"> of a three-year cycle, providers are required to submit to the </w:t>
      </w:r>
      <w:r w:rsidR="006E61E8">
        <w:rPr>
          <w:rFonts w:ascii="Times New Roman" w:eastAsia="Times New Roman" w:hAnsi="Times New Roman" w:cs="Times New Roman"/>
          <w:color w:val="000000"/>
          <w:sz w:val="24"/>
          <w:szCs w:val="24"/>
        </w:rPr>
        <w:t>VDOE</w:t>
      </w:r>
      <w:r w:rsidRPr="00B131CA">
        <w:rPr>
          <w:rFonts w:ascii="Times New Roman" w:eastAsia="Times New Roman" w:hAnsi="Times New Roman" w:cs="Times New Roman"/>
          <w:color w:val="000000"/>
          <w:sz w:val="24"/>
          <w:szCs w:val="24"/>
        </w:rPr>
        <w:t xml:space="preserve"> a continuation application with a proposed budget based on the current federal </w:t>
      </w:r>
      <w:r w:rsidRPr="00B131CA">
        <w:rPr>
          <w:rFonts w:ascii="Times New Roman" w:eastAsia="Times New Roman" w:hAnsi="Times New Roman" w:cs="Times New Roman"/>
          <w:color w:val="000000"/>
          <w:sz w:val="24"/>
          <w:szCs w:val="24"/>
        </w:rPr>
        <w:lastRenderedPageBreak/>
        <w:t>allocation. The requirements of the application are published in the winter of the program year and due to the VDOE in the spring. These continuation applications provide updates to the state on provider performance and service and proposed plans to meet emerging needs and opportunities. Continuation applications are not evaluated by the LWDBs or outside grant reviewers. These applications require the resubmission of federal and state certifications and assurances.</w:t>
      </w:r>
      <w:r w:rsidR="008059BB">
        <w:rPr>
          <w:rFonts w:ascii="Times New Roman" w:eastAsia="Times New Roman" w:hAnsi="Times New Roman" w:cs="Times New Roman"/>
          <w:color w:val="000000"/>
          <w:sz w:val="24"/>
          <w:szCs w:val="24"/>
        </w:rPr>
        <w:br w:type="page"/>
      </w:r>
    </w:p>
    <w:p w14:paraId="0000023F" w14:textId="04EE0549" w:rsidR="002F3C8D" w:rsidRPr="006656E6" w:rsidRDefault="00BF5CDA" w:rsidP="008D03B8">
      <w:pPr>
        <w:pStyle w:val="Heading4"/>
        <w:rPr>
          <w:i/>
        </w:rPr>
      </w:pPr>
      <w:bookmarkStart w:id="57" w:name="_Toc174088868"/>
      <w:r w:rsidRPr="006656E6">
        <w:lastRenderedPageBreak/>
        <w:t>State Priorities</w:t>
      </w:r>
      <w:bookmarkEnd w:id="57"/>
      <w:r w:rsidRPr="006656E6">
        <w:t xml:space="preserve"> </w:t>
      </w:r>
    </w:p>
    <w:p w14:paraId="00000240" w14:textId="098C72BF" w:rsidR="002F3C8D" w:rsidRPr="00B131CA" w:rsidRDefault="00BF5CDA">
      <w:pPr>
        <w:spacing w:after="12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These priorities were stated in the </w:t>
      </w:r>
      <w:hyperlink r:id="rId129" w:history="1">
        <w:r w:rsidR="0019296C" w:rsidRPr="008D03B8">
          <w:rPr>
            <w:rStyle w:val="Hyperlink"/>
            <w:rFonts w:ascii="Times New Roman" w:eastAsia="Times New Roman" w:hAnsi="Times New Roman" w:cs="Times New Roman"/>
            <w:i/>
            <w:iCs/>
            <w:sz w:val="24"/>
            <w:szCs w:val="24"/>
          </w:rPr>
          <w:t>2024-202</w:t>
        </w:r>
        <w:r w:rsidR="00F3500B" w:rsidRPr="008D03B8">
          <w:rPr>
            <w:rStyle w:val="Hyperlink"/>
            <w:rFonts w:ascii="Times New Roman" w:eastAsia="Times New Roman" w:hAnsi="Times New Roman" w:cs="Times New Roman"/>
            <w:i/>
            <w:iCs/>
            <w:sz w:val="24"/>
            <w:szCs w:val="24"/>
          </w:rPr>
          <w:t>7</w:t>
        </w:r>
        <w:r w:rsidR="0019296C" w:rsidRPr="008D03B8">
          <w:rPr>
            <w:rStyle w:val="Hyperlink"/>
            <w:rFonts w:ascii="Times New Roman" w:eastAsia="Times New Roman" w:hAnsi="Times New Roman" w:cs="Times New Roman"/>
            <w:i/>
            <w:iCs/>
            <w:sz w:val="24"/>
            <w:szCs w:val="24"/>
          </w:rPr>
          <w:t xml:space="preserve"> WIOA</w:t>
        </w:r>
        <w:r w:rsidR="00FD7A3F" w:rsidRPr="008D03B8">
          <w:rPr>
            <w:rStyle w:val="Hyperlink"/>
            <w:rFonts w:ascii="Times New Roman" w:eastAsia="Times New Roman" w:hAnsi="Times New Roman" w:cs="Times New Roman"/>
            <w:i/>
            <w:iCs/>
            <w:sz w:val="24"/>
            <w:szCs w:val="24"/>
          </w:rPr>
          <w:t xml:space="preserve"> </w:t>
        </w:r>
        <w:r w:rsidR="008D03B8" w:rsidRPr="008D03B8">
          <w:rPr>
            <w:rStyle w:val="Hyperlink"/>
            <w:rFonts w:ascii="Times New Roman" w:eastAsia="Times New Roman" w:hAnsi="Times New Roman" w:cs="Times New Roman"/>
            <w:i/>
            <w:iCs/>
            <w:sz w:val="24"/>
            <w:szCs w:val="24"/>
          </w:rPr>
          <w:t xml:space="preserve">Virginia </w:t>
        </w:r>
        <w:r w:rsidRPr="008D03B8">
          <w:rPr>
            <w:rStyle w:val="Hyperlink"/>
            <w:rFonts w:ascii="Times New Roman" w:eastAsia="Times New Roman" w:hAnsi="Times New Roman" w:cs="Times New Roman"/>
            <w:i/>
            <w:iCs/>
            <w:sz w:val="24"/>
            <w:szCs w:val="24"/>
          </w:rPr>
          <w:t>Combined State Plan</w:t>
        </w:r>
      </w:hyperlink>
      <w:r w:rsidR="0019296C">
        <w:rPr>
          <w:rFonts w:ascii="Times New Roman" w:eastAsia="Times New Roman" w:hAnsi="Times New Roman" w:cs="Times New Roman"/>
          <w:sz w:val="24"/>
          <w:szCs w:val="24"/>
        </w:rPr>
        <w:t xml:space="preserve"> </w:t>
      </w:r>
      <w:r w:rsidR="008D03B8">
        <w:rPr>
          <w:rFonts w:ascii="Times New Roman" w:eastAsia="Times New Roman" w:hAnsi="Times New Roman" w:cs="Times New Roman"/>
          <w:sz w:val="24"/>
          <w:szCs w:val="24"/>
        </w:rPr>
        <w:t xml:space="preserve">(pages 244-254) </w:t>
      </w:r>
      <w:r w:rsidR="0019296C">
        <w:rPr>
          <w:rFonts w:ascii="Times New Roman" w:eastAsia="Times New Roman" w:hAnsi="Times New Roman" w:cs="Times New Roman"/>
          <w:sz w:val="24"/>
          <w:szCs w:val="24"/>
        </w:rPr>
        <w:t>and apply to the 2024-25 and 2025-26 continuation years of the current grant cycle</w:t>
      </w:r>
      <w:r w:rsidRPr="00B131CA">
        <w:rPr>
          <w:rFonts w:ascii="Times New Roman" w:eastAsia="Times New Roman" w:hAnsi="Times New Roman" w:cs="Times New Roman"/>
          <w:sz w:val="24"/>
          <w:szCs w:val="24"/>
        </w:rPr>
        <w:t xml:space="preserve">. </w:t>
      </w:r>
    </w:p>
    <w:p w14:paraId="751CBF01" w14:textId="2808F8E3" w:rsidR="0019296C" w:rsidRPr="00647ECF" w:rsidRDefault="0019296C" w:rsidP="00022694">
      <w:pPr>
        <w:pStyle w:val="xxxxxxmsonormal"/>
        <w:numPr>
          <w:ilvl w:val="0"/>
          <w:numId w:val="49"/>
        </w:numPr>
        <w:shd w:val="clear" w:color="auto" w:fill="FFFFFF"/>
        <w:spacing w:before="0" w:beforeAutospacing="0" w:afterLines="100" w:after="240" w:afterAutospacing="0"/>
        <w:textAlignment w:val="baseline"/>
        <w:rPr>
          <w:b/>
          <w:bCs/>
          <w:color w:val="000000"/>
          <w:sz w:val="23"/>
          <w:szCs w:val="23"/>
        </w:rPr>
      </w:pPr>
      <w:r w:rsidRPr="00647ECF">
        <w:rPr>
          <w:b/>
          <w:bCs/>
          <w:color w:val="000000"/>
          <w:sz w:val="23"/>
          <w:szCs w:val="23"/>
          <w:bdr w:val="none" w:sz="0" w:space="0" w:color="auto" w:frame="1"/>
        </w:rPr>
        <w:t xml:space="preserve">Improving service and instruction for individuals with disabilities. </w:t>
      </w:r>
      <w:r w:rsidRPr="00647ECF">
        <w:rPr>
          <w:color w:val="000000"/>
          <w:sz w:val="23"/>
          <w:szCs w:val="23"/>
          <w:bdr w:val="none" w:sz="0" w:space="0" w:color="auto" w:frame="1"/>
        </w:rPr>
        <w:t>All provider staff members should be aware of how to greet and serve all individuals from “welcome.” This includes accessible websites; front desk interactions; test accommodations upon disclosure of a disability; reasonable accommodations, assistive technology, and universal design</w:t>
      </w:r>
      <w:r>
        <w:rPr>
          <w:color w:val="000000"/>
          <w:sz w:val="23"/>
          <w:szCs w:val="23"/>
          <w:bdr w:val="none" w:sz="0" w:space="0" w:color="auto" w:frame="1"/>
        </w:rPr>
        <w:t xml:space="preserve"> for learning</w:t>
      </w:r>
      <w:r w:rsidRPr="00647ECF">
        <w:rPr>
          <w:color w:val="000000"/>
          <w:sz w:val="23"/>
          <w:szCs w:val="23"/>
          <w:bdr w:val="none" w:sz="0" w:space="0" w:color="auto" w:frame="1"/>
        </w:rPr>
        <w:t xml:space="preserve"> practices for instruction and participation; and information referrals for services from other agencies and accommodation requests. </w:t>
      </w:r>
    </w:p>
    <w:p w14:paraId="6AD878BC" w14:textId="77777777" w:rsidR="0019296C" w:rsidRPr="00647ECF" w:rsidRDefault="0019296C" w:rsidP="00022694">
      <w:pPr>
        <w:pStyle w:val="xxxxxxmsonormal"/>
        <w:numPr>
          <w:ilvl w:val="0"/>
          <w:numId w:val="49"/>
        </w:numPr>
        <w:shd w:val="clear" w:color="auto" w:fill="FFFFFF"/>
        <w:spacing w:before="0" w:beforeAutospacing="0" w:afterLines="100" w:after="240" w:afterAutospacing="0"/>
        <w:textAlignment w:val="baseline"/>
        <w:rPr>
          <w:b/>
          <w:bCs/>
          <w:color w:val="000000"/>
          <w:sz w:val="23"/>
          <w:szCs w:val="23"/>
        </w:rPr>
      </w:pPr>
      <w:r w:rsidRPr="00647ECF">
        <w:rPr>
          <w:b/>
          <w:bCs/>
          <w:color w:val="000000"/>
          <w:sz w:val="23"/>
          <w:szCs w:val="23"/>
          <w:bdr w:val="none" w:sz="0" w:space="0" w:color="auto" w:frame="1"/>
        </w:rPr>
        <w:t xml:space="preserve">Incorporating the science of reading into instruction, including research-based practices on adult English language learning. </w:t>
      </w:r>
      <w:r w:rsidRPr="00647ECF">
        <w:rPr>
          <w:bCs/>
          <w:color w:val="000000"/>
          <w:sz w:val="23"/>
          <w:szCs w:val="23"/>
          <w:bdr w:val="none" w:sz="0" w:space="0" w:color="auto" w:frame="1"/>
        </w:rPr>
        <w:t>Professional development and ongoing staff support to incorporate the science of reading should be evident for instructors in all content areas. Providers should also have evidence of consideration of this research during curriculum reviews, formative assessment selections, and purchasing decisions. Programs are encouraged to consider how literacy instruction is taught throughout the curriculum, including in occupational training instruction.</w:t>
      </w:r>
    </w:p>
    <w:p w14:paraId="0D9CA27C" w14:textId="77777777" w:rsidR="0019296C" w:rsidRPr="00647ECF" w:rsidRDefault="0019296C" w:rsidP="00022694">
      <w:pPr>
        <w:pStyle w:val="xxxxxxmsonormal"/>
        <w:numPr>
          <w:ilvl w:val="0"/>
          <w:numId w:val="49"/>
        </w:numPr>
        <w:shd w:val="clear" w:color="auto" w:fill="FFFFFF"/>
        <w:spacing w:before="0" w:beforeAutospacing="0" w:afterLines="100" w:after="240" w:afterAutospacing="0"/>
        <w:textAlignment w:val="baseline"/>
        <w:rPr>
          <w:b/>
          <w:bCs/>
          <w:color w:val="000000"/>
          <w:sz w:val="23"/>
          <w:szCs w:val="23"/>
        </w:rPr>
      </w:pPr>
      <w:r w:rsidRPr="00647ECF">
        <w:rPr>
          <w:b/>
          <w:bCs/>
          <w:color w:val="000000"/>
          <w:sz w:val="23"/>
          <w:szCs w:val="23"/>
          <w:bdr w:val="none" w:sz="0" w:space="0" w:color="auto" w:frame="1"/>
        </w:rPr>
        <w:t xml:space="preserve">Implementing standards-based instruction, civics education, and workforce preparation activities in instruction at all levels for all students. </w:t>
      </w:r>
      <w:r w:rsidRPr="00647ECF">
        <w:rPr>
          <w:bCs/>
          <w:color w:val="000000"/>
          <w:sz w:val="23"/>
          <w:szCs w:val="23"/>
          <w:bdr w:val="none" w:sz="0" w:space="0" w:color="auto" w:frame="1"/>
        </w:rPr>
        <w:t>Providers must ensure that all instruction reflects the College and Career Readiness Standards (CCRS) and, as appropriate, the English Language Proficiency Standards (ELPS). All students should be receiving workforce preparation activities, including in digital skills, and civics education to prepare students for work and civic participation.</w:t>
      </w:r>
    </w:p>
    <w:p w14:paraId="4D122EF6" w14:textId="77777777" w:rsidR="0019296C" w:rsidRPr="00647ECF" w:rsidRDefault="0019296C" w:rsidP="00022694">
      <w:pPr>
        <w:pStyle w:val="xxxxxxmsonormal"/>
        <w:numPr>
          <w:ilvl w:val="0"/>
          <w:numId w:val="49"/>
        </w:numPr>
        <w:shd w:val="clear" w:color="auto" w:fill="FFFFFF"/>
        <w:spacing w:before="0" w:beforeAutospacing="0" w:afterLines="100" w:after="240" w:afterAutospacing="0"/>
        <w:textAlignment w:val="baseline"/>
        <w:rPr>
          <w:b/>
          <w:bCs/>
          <w:color w:val="000000"/>
          <w:sz w:val="23"/>
          <w:szCs w:val="23"/>
        </w:rPr>
      </w:pPr>
      <w:r w:rsidRPr="00647ECF">
        <w:rPr>
          <w:b/>
          <w:bCs/>
          <w:color w:val="000000"/>
          <w:sz w:val="23"/>
          <w:szCs w:val="23"/>
          <w:bdr w:val="none" w:sz="0" w:space="0" w:color="auto" w:frame="1"/>
        </w:rPr>
        <w:t xml:space="preserve">Utilizing the functionality of the new data system for program improvement. </w:t>
      </w:r>
      <w:r w:rsidRPr="00647ECF">
        <w:rPr>
          <w:bCs/>
          <w:color w:val="000000"/>
          <w:sz w:val="23"/>
          <w:szCs w:val="23"/>
          <w:bdr w:val="none" w:sz="0" w:space="0" w:color="auto" w:frame="1"/>
        </w:rPr>
        <w:t>Providers must participate in intensive training and technical assistance during PY2024-2026 to ensure administrators, support staff, and instructors become fully aware of the functionality and features of the LACES data system to support student management, decision-making, local monitoring, and program improvement.</w:t>
      </w:r>
    </w:p>
    <w:p w14:paraId="4DA06AE2" w14:textId="77777777" w:rsidR="0019296C" w:rsidRPr="00647ECF" w:rsidRDefault="0019296C" w:rsidP="00022694">
      <w:pPr>
        <w:pStyle w:val="xxxxxxmsonormal"/>
        <w:numPr>
          <w:ilvl w:val="0"/>
          <w:numId w:val="49"/>
        </w:numPr>
        <w:shd w:val="clear" w:color="auto" w:fill="FFFFFF"/>
        <w:spacing w:before="0" w:beforeAutospacing="0" w:afterLines="120" w:after="288" w:afterAutospacing="0"/>
        <w:textAlignment w:val="baseline"/>
        <w:rPr>
          <w:sz w:val="23"/>
          <w:szCs w:val="23"/>
        </w:rPr>
      </w:pPr>
      <w:r w:rsidRPr="00647ECF">
        <w:rPr>
          <w:b/>
          <w:bCs/>
          <w:sz w:val="23"/>
          <w:szCs w:val="23"/>
          <w:bdr w:val="none" w:sz="0" w:space="0" w:color="auto" w:frame="1"/>
        </w:rPr>
        <w:t xml:space="preserve">Enhancing the delivery of career pathway programming and supports. </w:t>
      </w:r>
      <w:r w:rsidRPr="00647ECF">
        <w:rPr>
          <w:sz w:val="23"/>
          <w:szCs w:val="23"/>
        </w:rPr>
        <w:t>All funded providers must offer at least one integrated education and training (IET) cohort per program year, preferably several to accommodate student interest and ability. IET cohorts must lead to a recognized postsecondary credential in an occupation that is in high demand in their region. Robust programming should support adult career coaching, supportive services, and be offered in alignment with other local stakeholders, including employers. Providers must report program data responsive to the Virginia Board of Workforce Development’s efforts.</w:t>
      </w:r>
    </w:p>
    <w:p w14:paraId="00000247" w14:textId="74FCB0CA" w:rsidR="002F3C8D" w:rsidRPr="008B0FDB" w:rsidRDefault="00BF5CDA" w:rsidP="004A0493">
      <w:pPr>
        <w:pStyle w:val="Heading3"/>
      </w:pPr>
      <w:bookmarkStart w:id="58" w:name="_Toc174088869"/>
      <w:r w:rsidRPr="008B0FDB">
        <w:t>Cultivating Regional Cooperation and Coordination</w:t>
      </w:r>
      <w:bookmarkEnd w:id="58"/>
      <w:r w:rsidRPr="008B0FDB">
        <w:t> </w:t>
      </w:r>
    </w:p>
    <w:p w14:paraId="00000248" w14:textId="77777777"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00DD7">
        <w:rPr>
          <w:rFonts w:ascii="Times New Roman" w:hAnsi="Times New Roman"/>
          <w:color w:val="000000"/>
          <w:sz w:val="24"/>
        </w:rPr>
        <w:t>A main goal of WIOA is to</w:t>
      </w:r>
      <w:r w:rsidRPr="00B131CA">
        <w:rPr>
          <w:rFonts w:ascii="Times New Roman" w:eastAsia="Times New Roman" w:hAnsi="Times New Roman" w:cs="Times New Roman"/>
          <w:color w:val="000000"/>
          <w:sz w:val="24"/>
          <w:szCs w:val="24"/>
        </w:rPr>
        <w:t xml:space="preserve"> encourage the alignment of the workforce development efforts it directly funds and to encourage collaboration with other state and local partners to offer coordinated services and a career pathways approach to workforce development. </w:t>
      </w:r>
      <w:proofErr w:type="gramStart"/>
      <w:r w:rsidRPr="00B131CA">
        <w:rPr>
          <w:rFonts w:ascii="Times New Roman" w:eastAsia="Times New Roman" w:hAnsi="Times New Roman" w:cs="Times New Roman"/>
          <w:color w:val="000000"/>
          <w:sz w:val="24"/>
          <w:szCs w:val="24"/>
        </w:rPr>
        <w:t>In order to</w:t>
      </w:r>
      <w:proofErr w:type="gramEnd"/>
      <w:r w:rsidRPr="00B131CA">
        <w:rPr>
          <w:rFonts w:ascii="Times New Roman" w:eastAsia="Times New Roman" w:hAnsi="Times New Roman" w:cs="Times New Roman"/>
          <w:color w:val="000000"/>
          <w:sz w:val="24"/>
          <w:szCs w:val="24"/>
        </w:rPr>
        <w:t xml:space="preserve"> realize this vision, adult education programs must be embedded within networks of service providers. This section presents information on the responsibilities of the regional program manager to manage the involvement of each member of the consortium in their regions, and for </w:t>
      </w:r>
      <w:r w:rsidRPr="00B131CA">
        <w:rPr>
          <w:rFonts w:ascii="Times New Roman" w:eastAsia="Times New Roman" w:hAnsi="Times New Roman" w:cs="Times New Roman"/>
          <w:color w:val="000000"/>
          <w:sz w:val="24"/>
          <w:szCs w:val="24"/>
        </w:rPr>
        <w:lastRenderedPageBreak/>
        <w:t>all program managers to establish and cultivate partnerships that will contribute to their programming and service to learners.</w:t>
      </w:r>
    </w:p>
    <w:p w14:paraId="00000249" w14:textId="0F5DD66E" w:rsidR="002F3C8D" w:rsidRPr="00F002E2" w:rsidRDefault="00BF5CDA" w:rsidP="008D03B8">
      <w:pPr>
        <w:pStyle w:val="Heading4"/>
        <w:rPr>
          <w:rFonts w:eastAsia="Times New Roman" w:cs="Times New Roman"/>
          <w:i/>
          <w:szCs w:val="24"/>
        </w:rPr>
      </w:pPr>
      <w:bookmarkStart w:id="59" w:name="_Toc174088870"/>
      <w:r w:rsidRPr="00A00DD7">
        <w:t xml:space="preserve">Regional </w:t>
      </w:r>
      <w:r w:rsidRPr="00F002E2">
        <w:rPr>
          <w:rFonts w:eastAsia="Times New Roman" w:cs="Times New Roman"/>
          <w:szCs w:val="24"/>
        </w:rPr>
        <w:t>Memorandum</w:t>
      </w:r>
      <w:r w:rsidRPr="00A00DD7">
        <w:t xml:space="preserve"> of Understanding</w:t>
      </w:r>
      <w:bookmarkEnd w:id="59"/>
    </w:p>
    <w:p w14:paraId="0000024A" w14:textId="11DB44BA"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VDOE transitioned to a regional adult education delivery system in 2012 to improve the quality and performance of program delivery. The regions correspond to the Virginia Planning Districts to reflect the characteristics of local economies and resources and build on established workforce partnerships. Providers </w:t>
      </w:r>
      <w:r w:rsidRPr="00B131CA">
        <w:rPr>
          <w:rFonts w:ascii="Times New Roman" w:eastAsia="Times New Roman" w:hAnsi="Times New Roman" w:cs="Times New Roman"/>
          <w:sz w:val="24"/>
          <w:szCs w:val="24"/>
        </w:rPr>
        <w:t xml:space="preserve">of </w:t>
      </w:r>
      <w:r w:rsidRPr="00B131CA">
        <w:rPr>
          <w:rFonts w:ascii="Times New Roman" w:eastAsia="Times New Roman" w:hAnsi="Times New Roman" w:cs="Times New Roman"/>
          <w:color w:val="000000"/>
          <w:sz w:val="24"/>
          <w:szCs w:val="24"/>
        </w:rPr>
        <w:t xml:space="preserve">adult education in each of </w:t>
      </w:r>
      <w:r w:rsidRPr="00B131CA">
        <w:rPr>
          <w:rFonts w:ascii="Times New Roman" w:eastAsia="Times New Roman" w:hAnsi="Times New Roman" w:cs="Times New Roman"/>
          <w:sz w:val="24"/>
          <w:szCs w:val="24"/>
        </w:rPr>
        <w:t xml:space="preserve">Virginia’s </w:t>
      </w:r>
      <w:r w:rsidRPr="00B131CA">
        <w:rPr>
          <w:rFonts w:ascii="Times New Roman" w:eastAsia="Times New Roman" w:hAnsi="Times New Roman" w:cs="Times New Roman"/>
          <w:color w:val="000000"/>
          <w:sz w:val="24"/>
          <w:szCs w:val="24"/>
        </w:rPr>
        <w:t xml:space="preserve">22 adult education regions must coordinate with all the </w:t>
      </w:r>
      <w:r w:rsidR="000059F7" w:rsidRPr="00B131CA">
        <w:rPr>
          <w:rFonts w:ascii="Times New Roman" w:eastAsia="Times New Roman" w:hAnsi="Times New Roman" w:cs="Times New Roman"/>
          <w:color w:val="000000"/>
          <w:sz w:val="24"/>
          <w:szCs w:val="24"/>
        </w:rPr>
        <w:t>public-school</w:t>
      </w:r>
      <w:r w:rsidRPr="00B131CA">
        <w:rPr>
          <w:rFonts w:ascii="Times New Roman" w:eastAsia="Times New Roman" w:hAnsi="Times New Roman" w:cs="Times New Roman"/>
          <w:color w:val="000000"/>
          <w:sz w:val="24"/>
          <w:szCs w:val="24"/>
        </w:rPr>
        <w:t xml:space="preserve"> divisions in the region and are strongly encouraged to coordinate with the local community college(s) and other institutions of higher education as well. </w:t>
      </w:r>
    </w:p>
    <w:p w14:paraId="0000024B" w14:textId="0886F1AA"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Currently all regional programs fit the definition of a consortium (see Glossary of Terms) and are operating with a regional Memorandum of Understanding (MOU) that defines each member’s roles and responsibilities. Because competitive awards are issued for a three-year period, it is expedient to design the MOUs to cover the same period, although it is not required</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color w:val="000000"/>
          <w:sz w:val="24"/>
          <w:szCs w:val="24"/>
        </w:rPr>
        <w:t xml:space="preserve"> </w:t>
      </w:r>
      <w:r w:rsidR="000355E9">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MOUs may be updated as necessary. This section provides key areas to include in the discussions that inform the MOU, and if necessary, to include in the MOU document. </w:t>
      </w:r>
    </w:p>
    <w:p w14:paraId="0000024C" w14:textId="4C4A9B7C" w:rsidR="002F3C8D" w:rsidRPr="00B131CA" w:rsidRDefault="00BF5CDA" w:rsidP="00A00D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0AE3">
        <w:rPr>
          <w:rFonts w:ascii="Times New Roman" w:eastAsia="Times New Roman" w:hAnsi="Times New Roman" w:cs="Times New Roman"/>
          <w:b/>
          <w:bCs/>
          <w:color w:val="000000"/>
          <w:sz w:val="24"/>
          <w:szCs w:val="24"/>
        </w:rPr>
        <w:t>Responsibilities of regional partners.</w:t>
      </w:r>
      <w:r w:rsidRPr="00B131CA">
        <w:rPr>
          <w:rFonts w:ascii="Times New Roman" w:eastAsia="Times New Roman" w:hAnsi="Times New Roman" w:cs="Times New Roman"/>
          <w:color w:val="000000"/>
          <w:sz w:val="24"/>
          <w:szCs w:val="24"/>
        </w:rPr>
        <w:t xml:space="preserve"> </w:t>
      </w:r>
      <w:r w:rsidR="000355E9">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 xml:space="preserve">MOUs should spell out what each member is responsible for providing to the consortium and what </w:t>
      </w:r>
      <w:r w:rsidRPr="00B131CA">
        <w:rPr>
          <w:rFonts w:ascii="Times New Roman" w:eastAsia="Times New Roman" w:hAnsi="Times New Roman" w:cs="Times New Roman"/>
          <w:sz w:val="24"/>
          <w:szCs w:val="24"/>
        </w:rPr>
        <w:t xml:space="preserve">each member may </w:t>
      </w:r>
      <w:r w:rsidRPr="00B131CA">
        <w:rPr>
          <w:rFonts w:ascii="Times New Roman" w:eastAsia="Times New Roman" w:hAnsi="Times New Roman" w:cs="Times New Roman"/>
          <w:color w:val="000000"/>
          <w:sz w:val="24"/>
          <w:szCs w:val="24"/>
        </w:rPr>
        <w:t>expect from their participation. The services provided by the regional program manager and any regional staff should be clearly stated. Any employment-related expectations for consortium member employees, such as which entity manages Human Resource issues including annual evaluations and teacher observations, should be clearly stated. Expectations for local monitoring, performance accountability, and fiscal management should be stated</w:t>
      </w:r>
      <w:r w:rsidRPr="00B131CA">
        <w:rPr>
          <w:rFonts w:ascii="Times New Roman" w:eastAsia="Times New Roman" w:hAnsi="Times New Roman" w:cs="Times New Roman"/>
          <w:sz w:val="24"/>
          <w:szCs w:val="24"/>
        </w:rPr>
        <w:t xml:space="preserve"> in the MOU.</w:t>
      </w:r>
      <w:r w:rsidRPr="00B131CA">
        <w:rPr>
          <w:rFonts w:ascii="Times New Roman" w:eastAsia="Times New Roman" w:hAnsi="Times New Roman" w:cs="Times New Roman"/>
          <w:color w:val="000000"/>
          <w:sz w:val="24"/>
          <w:szCs w:val="24"/>
        </w:rPr>
        <w:t> </w:t>
      </w:r>
    </w:p>
    <w:p w14:paraId="0000024D" w14:textId="77777777" w:rsidR="002F3C8D" w:rsidRPr="00B131CA" w:rsidRDefault="00BF5CDA" w:rsidP="00A00DD7">
      <w:pPr>
        <w:pBdr>
          <w:top w:val="nil"/>
          <w:left w:val="nil"/>
          <w:bottom w:val="nil"/>
          <w:right w:val="nil"/>
          <w:between w:val="nil"/>
        </w:pBdr>
        <w:spacing w:before="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Consortium members also provide valuable services to the adult education program that can be articulated in the MOU including: </w:t>
      </w:r>
    </w:p>
    <w:p w14:paraId="0000024E" w14:textId="666FCC90" w:rsidR="002F3C8D" w:rsidRPr="00B131CA" w:rsidRDefault="00A0556C" w:rsidP="00022694">
      <w:pPr>
        <w:numPr>
          <w:ilvl w:val="0"/>
          <w:numId w:val="2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w:t>
      </w:r>
      <w:r w:rsidR="00BF5CDA" w:rsidRPr="00B131CA">
        <w:rPr>
          <w:rFonts w:ascii="Times New Roman" w:eastAsia="Times New Roman" w:hAnsi="Times New Roman" w:cs="Times New Roman"/>
          <w:color w:val="000000"/>
          <w:sz w:val="24"/>
          <w:szCs w:val="24"/>
        </w:rPr>
        <w:t xml:space="preserve">mplifying and disseminating outreach and recruitment messages in the </w:t>
      </w:r>
      <w:proofErr w:type="gramStart"/>
      <w:r w:rsidR="00BF5CDA" w:rsidRPr="00B131CA">
        <w:rPr>
          <w:rFonts w:ascii="Times New Roman" w:eastAsia="Times New Roman" w:hAnsi="Times New Roman" w:cs="Times New Roman"/>
          <w:color w:val="000000"/>
          <w:sz w:val="24"/>
          <w:szCs w:val="24"/>
        </w:rPr>
        <w:t>community</w:t>
      </w:r>
      <w:r w:rsidR="00A458BA">
        <w:rPr>
          <w:rFonts w:ascii="Times New Roman" w:eastAsia="Times New Roman" w:hAnsi="Times New Roman" w:cs="Times New Roman"/>
          <w:color w:val="000000"/>
          <w:sz w:val="24"/>
          <w:szCs w:val="24"/>
        </w:rPr>
        <w:t>;</w:t>
      </w:r>
      <w:proofErr w:type="gramEnd"/>
    </w:p>
    <w:p w14:paraId="0000024F" w14:textId="67B647A9" w:rsidR="002F3C8D" w:rsidRPr="00B131CA" w:rsidRDefault="00A0556C" w:rsidP="00022694">
      <w:pPr>
        <w:numPr>
          <w:ilvl w:val="0"/>
          <w:numId w:val="2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w:t>
      </w:r>
      <w:r w:rsidR="00BF5CDA" w:rsidRPr="00B131CA">
        <w:rPr>
          <w:rFonts w:ascii="Times New Roman" w:eastAsia="Times New Roman" w:hAnsi="Times New Roman" w:cs="Times New Roman"/>
          <w:color w:val="000000"/>
          <w:sz w:val="24"/>
          <w:szCs w:val="24"/>
        </w:rPr>
        <w:t>oordinating technology support</w:t>
      </w:r>
      <w:r w:rsidR="00A458BA">
        <w:rPr>
          <w:rFonts w:ascii="Times New Roman" w:eastAsia="Times New Roman" w:hAnsi="Times New Roman" w:cs="Times New Roman"/>
          <w:color w:val="000000"/>
          <w:sz w:val="24"/>
          <w:szCs w:val="24"/>
        </w:rPr>
        <w:t xml:space="preserve">s for families in the </w:t>
      </w:r>
      <w:proofErr w:type="gramStart"/>
      <w:r w:rsidR="00A458BA">
        <w:rPr>
          <w:rFonts w:ascii="Times New Roman" w:eastAsia="Times New Roman" w:hAnsi="Times New Roman" w:cs="Times New Roman"/>
          <w:color w:val="000000"/>
          <w:sz w:val="24"/>
          <w:szCs w:val="24"/>
        </w:rPr>
        <w:t>community;</w:t>
      </w:r>
      <w:proofErr w:type="gramEnd"/>
      <w:r w:rsidR="00BF5CDA" w:rsidRPr="00B131CA">
        <w:rPr>
          <w:rFonts w:ascii="Times New Roman" w:eastAsia="Times New Roman" w:hAnsi="Times New Roman" w:cs="Times New Roman"/>
          <w:color w:val="000000"/>
          <w:sz w:val="24"/>
          <w:szCs w:val="24"/>
        </w:rPr>
        <w:t> </w:t>
      </w:r>
    </w:p>
    <w:p w14:paraId="00000250" w14:textId="2EAF9624" w:rsidR="002F3C8D" w:rsidRPr="00B131CA" w:rsidRDefault="00A0556C" w:rsidP="00022694">
      <w:pPr>
        <w:numPr>
          <w:ilvl w:val="0"/>
          <w:numId w:val="2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i</w:t>
      </w:r>
      <w:r w:rsidR="00BF5CDA" w:rsidRPr="00B131CA">
        <w:rPr>
          <w:rFonts w:ascii="Times New Roman" w:eastAsia="Times New Roman" w:hAnsi="Times New Roman" w:cs="Times New Roman"/>
          <w:color w:val="000000"/>
          <w:sz w:val="24"/>
          <w:szCs w:val="24"/>
        </w:rPr>
        <w:t>ncluding an adult education program representative on local co</w:t>
      </w:r>
      <w:r w:rsidR="00A458BA">
        <w:rPr>
          <w:rFonts w:ascii="Times New Roman" w:eastAsia="Times New Roman" w:hAnsi="Times New Roman" w:cs="Times New Roman"/>
          <w:color w:val="000000"/>
          <w:sz w:val="24"/>
          <w:szCs w:val="24"/>
        </w:rPr>
        <w:t xml:space="preserve">uncils and planning </w:t>
      </w:r>
      <w:proofErr w:type="gramStart"/>
      <w:r w:rsidR="00A458BA">
        <w:rPr>
          <w:rFonts w:ascii="Times New Roman" w:eastAsia="Times New Roman" w:hAnsi="Times New Roman" w:cs="Times New Roman"/>
          <w:color w:val="000000"/>
          <w:sz w:val="24"/>
          <w:szCs w:val="24"/>
        </w:rPr>
        <w:t>initiatives;</w:t>
      </w:r>
      <w:proofErr w:type="gramEnd"/>
    </w:p>
    <w:p w14:paraId="00000251" w14:textId="6D748563" w:rsidR="002F3C8D" w:rsidRPr="00B131CA" w:rsidRDefault="00A0556C" w:rsidP="00022694">
      <w:pPr>
        <w:numPr>
          <w:ilvl w:val="0"/>
          <w:numId w:val="2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w:t>
      </w:r>
      <w:r w:rsidR="00BF5CDA" w:rsidRPr="00B131CA">
        <w:rPr>
          <w:rFonts w:ascii="Times New Roman" w:eastAsia="Times New Roman" w:hAnsi="Times New Roman" w:cs="Times New Roman"/>
          <w:color w:val="000000"/>
          <w:sz w:val="24"/>
          <w:szCs w:val="24"/>
        </w:rPr>
        <w:t>oordinating career and technical education and integrated educa</w:t>
      </w:r>
      <w:r w:rsidR="00A458BA">
        <w:rPr>
          <w:rFonts w:ascii="Times New Roman" w:eastAsia="Times New Roman" w:hAnsi="Times New Roman" w:cs="Times New Roman"/>
          <w:color w:val="000000"/>
          <w:sz w:val="24"/>
          <w:szCs w:val="24"/>
        </w:rPr>
        <w:t xml:space="preserve">tion and training </w:t>
      </w:r>
      <w:proofErr w:type="gramStart"/>
      <w:r w:rsidR="00A458BA">
        <w:rPr>
          <w:rFonts w:ascii="Times New Roman" w:eastAsia="Times New Roman" w:hAnsi="Times New Roman" w:cs="Times New Roman"/>
          <w:color w:val="000000"/>
          <w:sz w:val="24"/>
          <w:szCs w:val="24"/>
        </w:rPr>
        <w:t>opportunities;</w:t>
      </w:r>
      <w:proofErr w:type="gramEnd"/>
    </w:p>
    <w:p w14:paraId="00000252" w14:textId="1A672694" w:rsidR="002F3C8D" w:rsidRPr="00B131CA" w:rsidRDefault="00A0556C" w:rsidP="00022694">
      <w:pPr>
        <w:numPr>
          <w:ilvl w:val="0"/>
          <w:numId w:val="2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w:t>
      </w:r>
      <w:r w:rsidR="00BF5CDA" w:rsidRPr="00B131CA">
        <w:rPr>
          <w:rFonts w:ascii="Times New Roman" w:eastAsia="Times New Roman" w:hAnsi="Times New Roman" w:cs="Times New Roman"/>
          <w:color w:val="000000"/>
          <w:sz w:val="24"/>
          <w:szCs w:val="24"/>
        </w:rPr>
        <w:t>oordinating early childhood education and adult education</w:t>
      </w:r>
      <w:r w:rsidR="00A458BA">
        <w:rPr>
          <w:rFonts w:ascii="Times New Roman" w:eastAsia="Times New Roman" w:hAnsi="Times New Roman" w:cs="Times New Roman"/>
          <w:color w:val="000000"/>
          <w:sz w:val="24"/>
          <w:szCs w:val="24"/>
        </w:rPr>
        <w:t xml:space="preserve"> and family literacy activities;</w:t>
      </w:r>
      <w:r w:rsidR="00BF5CDA" w:rsidRPr="00B131CA">
        <w:rPr>
          <w:rFonts w:ascii="Times New Roman" w:eastAsia="Times New Roman" w:hAnsi="Times New Roman" w:cs="Times New Roman"/>
          <w:color w:val="000000"/>
          <w:sz w:val="24"/>
          <w:szCs w:val="24"/>
        </w:rPr>
        <w:t xml:space="preserve"> or</w:t>
      </w:r>
    </w:p>
    <w:p w14:paraId="00000253" w14:textId="7AE0F369" w:rsidR="002F3C8D" w:rsidRPr="00B131CA" w:rsidRDefault="00A0556C" w:rsidP="00022694">
      <w:pPr>
        <w:numPr>
          <w:ilvl w:val="0"/>
          <w:numId w:val="24"/>
        </w:numPr>
        <w:pBdr>
          <w:top w:val="nil"/>
          <w:left w:val="nil"/>
          <w:bottom w:val="nil"/>
          <w:right w:val="nil"/>
          <w:between w:val="nil"/>
        </w:pBdr>
        <w:spacing w:after="15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w:t>
      </w:r>
      <w:r w:rsidR="00BF5CDA" w:rsidRPr="00B131CA">
        <w:rPr>
          <w:rFonts w:ascii="Times New Roman" w:eastAsia="Times New Roman" w:hAnsi="Times New Roman" w:cs="Times New Roman"/>
          <w:color w:val="000000"/>
          <w:sz w:val="24"/>
          <w:szCs w:val="24"/>
        </w:rPr>
        <w:t xml:space="preserve">roviding fiscal services for lottery-funded </w:t>
      </w:r>
      <w:proofErr w:type="gramStart"/>
      <w:r w:rsidR="00BF5CDA" w:rsidRPr="00B131CA">
        <w:rPr>
          <w:rFonts w:ascii="Times New Roman" w:eastAsia="Times New Roman" w:hAnsi="Times New Roman" w:cs="Times New Roman"/>
          <w:color w:val="000000"/>
          <w:sz w:val="24"/>
          <w:szCs w:val="24"/>
        </w:rPr>
        <w:t>grants, if</w:t>
      </w:r>
      <w:proofErr w:type="gramEnd"/>
      <w:r w:rsidR="00BF5CDA" w:rsidRPr="00B131CA">
        <w:rPr>
          <w:rFonts w:ascii="Times New Roman" w:eastAsia="Times New Roman" w:hAnsi="Times New Roman" w:cs="Times New Roman"/>
          <w:color w:val="000000"/>
          <w:sz w:val="24"/>
          <w:szCs w:val="24"/>
        </w:rPr>
        <w:t xml:space="preserve"> the fiscal agent is not a school division.</w:t>
      </w:r>
    </w:p>
    <w:p w14:paraId="00000255" w14:textId="247B75AC" w:rsidR="002F3C8D" w:rsidRPr="00B131CA" w:rsidRDefault="00BF5CDA" w:rsidP="00A00DD7">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4D1086">
        <w:rPr>
          <w:rFonts w:ascii="Times New Roman" w:eastAsia="Times New Roman" w:hAnsi="Times New Roman" w:cs="Times New Roman"/>
          <w:b/>
          <w:bCs/>
          <w:color w:val="000000"/>
          <w:sz w:val="24"/>
          <w:szCs w:val="24"/>
        </w:rPr>
        <w:t>Amount of match/fiscal contribution.</w:t>
      </w:r>
      <w:r w:rsidRPr="00B131CA">
        <w:rPr>
          <w:rFonts w:ascii="Times New Roman" w:eastAsia="Times New Roman" w:hAnsi="Times New Roman" w:cs="Times New Roman"/>
          <w:color w:val="000000"/>
          <w:sz w:val="24"/>
          <w:szCs w:val="24"/>
        </w:rPr>
        <w:t xml:space="preserve"> Contribution of matching funds, whether cash or in-kind, as well as how they will be provided to the fiscal agent (invoiced, services provided at no-cost, etc.) should be included in the MOU to ensure transparency and commitment. </w:t>
      </w:r>
      <w:r w:rsidR="00323011">
        <w:rPr>
          <w:rFonts w:ascii="Times New Roman" w:eastAsia="Times New Roman" w:hAnsi="Times New Roman" w:cs="Times New Roman"/>
          <w:color w:val="000000"/>
          <w:sz w:val="24"/>
          <w:szCs w:val="24"/>
        </w:rPr>
        <w:t>How unexpended funds are to be handled within the consortium and on what timeline should be made clear.</w:t>
      </w:r>
      <w:r w:rsidR="00323011"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In-kind contributions should be supported by documentation of fair market </w:t>
      </w:r>
      <w:r w:rsidR="00323011" w:rsidRPr="00B131CA">
        <w:rPr>
          <w:rFonts w:ascii="Times New Roman" w:eastAsia="Times New Roman" w:hAnsi="Times New Roman" w:cs="Times New Roman"/>
          <w:color w:val="000000"/>
          <w:sz w:val="24"/>
          <w:szCs w:val="24"/>
        </w:rPr>
        <w:t>value and</w:t>
      </w:r>
      <w:r w:rsidR="001D00E0">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evaluated frequently (doing so to be current with the </w:t>
      </w:r>
      <w:proofErr w:type="gramStart"/>
      <w:r w:rsidRPr="00B131CA">
        <w:rPr>
          <w:rFonts w:ascii="Times New Roman" w:eastAsia="Times New Roman" w:hAnsi="Times New Roman" w:cs="Times New Roman"/>
          <w:color w:val="000000"/>
          <w:sz w:val="24"/>
          <w:szCs w:val="24"/>
        </w:rPr>
        <w:t>time period</w:t>
      </w:r>
      <w:proofErr w:type="gramEnd"/>
      <w:r w:rsidRPr="00B131CA">
        <w:rPr>
          <w:rFonts w:ascii="Times New Roman" w:eastAsia="Times New Roman" w:hAnsi="Times New Roman" w:cs="Times New Roman"/>
          <w:color w:val="000000"/>
          <w:sz w:val="24"/>
          <w:szCs w:val="24"/>
        </w:rPr>
        <w:t xml:space="preserve"> of the MOU would suffice). See more </w:t>
      </w:r>
      <w:r w:rsidRPr="00B131CA">
        <w:rPr>
          <w:rFonts w:ascii="Times New Roman" w:eastAsia="Times New Roman" w:hAnsi="Times New Roman" w:cs="Times New Roman"/>
          <w:color w:val="000000"/>
          <w:sz w:val="24"/>
          <w:szCs w:val="24"/>
        </w:rPr>
        <w:lastRenderedPageBreak/>
        <w:t xml:space="preserve">about in-kind match contributions in the Uniform Guidance </w:t>
      </w:r>
      <w:hyperlink r:id="rId130" w:anchor="seqnum200.306">
        <w:r w:rsidRPr="000A6ACE">
          <w:rPr>
            <w:rFonts w:ascii="Times New Roman" w:eastAsia="Times New Roman" w:hAnsi="Times New Roman" w:cs="Times New Roman"/>
            <w:color w:val="0000FF"/>
            <w:sz w:val="24"/>
            <w:szCs w:val="24"/>
            <w:u w:val="single"/>
          </w:rPr>
          <w:t>Sec. 200.306(b)</w:t>
        </w:r>
      </w:hyperlink>
      <w:r w:rsidRPr="00B131CA">
        <w:rPr>
          <w:rFonts w:ascii="Times New Roman" w:eastAsia="Times New Roman" w:hAnsi="Times New Roman" w:cs="Times New Roman"/>
          <w:color w:val="000000"/>
          <w:sz w:val="24"/>
          <w:szCs w:val="24"/>
        </w:rPr>
        <w:t>.</w:t>
      </w:r>
      <w:r w:rsidR="001D00E0">
        <w:rPr>
          <w:rFonts w:ascii="Times New Roman" w:eastAsia="Times New Roman" w:hAnsi="Times New Roman" w:cs="Times New Roman"/>
          <w:color w:val="000000"/>
          <w:sz w:val="24"/>
          <w:szCs w:val="24"/>
        </w:rPr>
        <w:t xml:space="preserve"> </w:t>
      </w:r>
      <w:hyperlink r:id="rId131" w:history="1">
        <w:r w:rsidR="001D00E0" w:rsidRPr="001D00E0">
          <w:rPr>
            <w:rStyle w:val="Hyperlink"/>
            <w:rFonts w:ascii="Times New Roman" w:eastAsia="Times New Roman" w:hAnsi="Times New Roman" w:cs="Times New Roman"/>
            <w:i/>
            <w:iCs/>
            <w:sz w:val="24"/>
            <w:szCs w:val="24"/>
          </w:rPr>
          <w:t>Celebrating the Generosity of Community Support for Adult Learners</w:t>
        </w:r>
      </w:hyperlink>
      <w:r w:rsidR="001D00E0">
        <w:rPr>
          <w:rFonts w:ascii="Times New Roman" w:eastAsia="Times New Roman" w:hAnsi="Times New Roman" w:cs="Times New Roman"/>
          <w:color w:val="000000"/>
          <w:sz w:val="24"/>
          <w:szCs w:val="24"/>
        </w:rPr>
        <w:t xml:space="preserve"> revealed the above and beyond support provided by partners in PY2023-24.</w:t>
      </w:r>
    </w:p>
    <w:p w14:paraId="00000256" w14:textId="69931242" w:rsidR="002F3C8D" w:rsidRPr="00B131CA" w:rsidRDefault="00BF5CDA" w:rsidP="00A00DD7">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4D1086">
        <w:rPr>
          <w:rFonts w:ascii="Times New Roman" w:eastAsia="Times New Roman" w:hAnsi="Times New Roman" w:cs="Times New Roman"/>
          <w:b/>
          <w:bCs/>
          <w:color w:val="000000"/>
          <w:sz w:val="24"/>
          <w:szCs w:val="24"/>
        </w:rPr>
        <w:t>Ensuring equitable service coverage across the region.</w:t>
      </w:r>
      <w:r w:rsidRPr="00A00DD7">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Although the fiscal agent has the responsibility to manage the grant funds, programming schedules, and performance across the region, the consortium members should be engaged in decision making about ensuring equitable service across the region. This may mean that sparsely populated areas do not have in-person classes scheduled</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color w:val="000000"/>
          <w:sz w:val="24"/>
          <w:szCs w:val="24"/>
        </w:rPr>
        <w:t xml:space="preserve"> but service to those residents </w:t>
      </w:r>
      <w:r w:rsidRPr="00B131CA">
        <w:rPr>
          <w:rFonts w:ascii="Times New Roman" w:eastAsia="Times New Roman" w:hAnsi="Times New Roman" w:cs="Times New Roman"/>
          <w:sz w:val="24"/>
          <w:szCs w:val="24"/>
        </w:rPr>
        <w:t xml:space="preserve">may </w:t>
      </w:r>
      <w:r w:rsidRPr="00B131CA">
        <w:rPr>
          <w:rFonts w:ascii="Times New Roman" w:eastAsia="Times New Roman" w:hAnsi="Times New Roman" w:cs="Times New Roman"/>
          <w:color w:val="000000"/>
          <w:sz w:val="24"/>
          <w:szCs w:val="24"/>
        </w:rPr>
        <w:t>be provided elsewhere</w:t>
      </w:r>
      <w:r w:rsidR="007F753C">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through distance education</w:t>
      </w:r>
      <w:r w:rsidR="007F753C">
        <w:rPr>
          <w:rFonts w:ascii="Times New Roman" w:eastAsia="Times New Roman" w:hAnsi="Times New Roman" w:cs="Times New Roman"/>
          <w:color w:val="000000"/>
          <w:sz w:val="24"/>
          <w:szCs w:val="24"/>
        </w:rPr>
        <w:t>, or regional and cross-regional offerings</w:t>
      </w:r>
      <w:r w:rsidRPr="00B131CA">
        <w:rPr>
          <w:rFonts w:ascii="Times New Roman" w:eastAsia="Times New Roman" w:hAnsi="Times New Roman" w:cs="Times New Roman"/>
          <w:color w:val="000000"/>
          <w:sz w:val="24"/>
          <w:szCs w:val="24"/>
        </w:rPr>
        <w:t>. </w:t>
      </w:r>
    </w:p>
    <w:p w14:paraId="00000257" w14:textId="396C80E3" w:rsidR="002F3C8D" w:rsidRPr="00B131CA" w:rsidRDefault="00BF5CDA" w:rsidP="00A00DD7">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CA5734">
        <w:rPr>
          <w:rFonts w:ascii="Times New Roman" w:eastAsia="Times New Roman" w:hAnsi="Times New Roman" w:cs="Times New Roman"/>
          <w:b/>
          <w:bCs/>
          <w:color w:val="000000"/>
          <w:sz w:val="24"/>
          <w:szCs w:val="24"/>
        </w:rPr>
        <w:t>Advisory Councils.</w:t>
      </w:r>
      <w:r w:rsidRPr="00B131CA">
        <w:rPr>
          <w:rFonts w:ascii="Times New Roman" w:eastAsia="Times New Roman" w:hAnsi="Times New Roman" w:cs="Times New Roman"/>
          <w:color w:val="000000"/>
          <w:sz w:val="24"/>
          <w:szCs w:val="24"/>
        </w:rPr>
        <w:t xml:space="preserve"> Having a regional advisory council with representatives </w:t>
      </w:r>
      <w:r w:rsidRPr="00B131CA">
        <w:rPr>
          <w:rFonts w:ascii="Times New Roman" w:eastAsia="Times New Roman" w:hAnsi="Times New Roman" w:cs="Times New Roman"/>
          <w:sz w:val="24"/>
          <w:szCs w:val="24"/>
        </w:rPr>
        <w:t>from</w:t>
      </w:r>
      <w:r w:rsidRPr="00B131CA">
        <w:rPr>
          <w:rFonts w:ascii="Times New Roman" w:eastAsia="Times New Roman" w:hAnsi="Times New Roman" w:cs="Times New Roman"/>
          <w:color w:val="000000"/>
          <w:sz w:val="24"/>
          <w:szCs w:val="24"/>
        </w:rPr>
        <w:t xml:space="preserve"> the consortium</w:t>
      </w:r>
      <w:r w:rsidR="005924E9">
        <w:rPr>
          <w:rFonts w:ascii="Times New Roman" w:eastAsia="Times New Roman" w:hAnsi="Times New Roman" w:cs="Times New Roman"/>
          <w:color w:val="000000"/>
          <w:sz w:val="24"/>
          <w:szCs w:val="24"/>
        </w:rPr>
        <w:t>, involved correctional institutions and reentry councils,</w:t>
      </w:r>
      <w:r w:rsidRPr="00B131CA">
        <w:rPr>
          <w:rFonts w:ascii="Times New Roman" w:eastAsia="Times New Roman" w:hAnsi="Times New Roman" w:cs="Times New Roman"/>
          <w:color w:val="000000"/>
          <w:sz w:val="24"/>
          <w:szCs w:val="24"/>
        </w:rPr>
        <w:t xml:space="preserve"> plus other key stakeholders in the community is critical to sustaining regional cooperation and coordination</w:t>
      </w:r>
      <w:r w:rsidR="007F753C">
        <w:rPr>
          <w:rFonts w:ascii="Times New Roman" w:eastAsia="Times New Roman" w:hAnsi="Times New Roman" w:cs="Times New Roman"/>
          <w:color w:val="000000"/>
          <w:sz w:val="24"/>
          <w:szCs w:val="24"/>
        </w:rPr>
        <w:t xml:space="preserve"> of career pathway efforts</w:t>
      </w:r>
      <w:r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sz w:val="24"/>
          <w:szCs w:val="24"/>
        </w:rPr>
        <w:t>Those</w:t>
      </w:r>
      <w:r w:rsidRPr="00B131CA">
        <w:rPr>
          <w:rFonts w:ascii="Times New Roman" w:eastAsia="Times New Roman" w:hAnsi="Times New Roman" w:cs="Times New Roman"/>
          <w:color w:val="000000"/>
          <w:sz w:val="24"/>
          <w:szCs w:val="24"/>
        </w:rPr>
        <w:t xml:space="preserve"> who will serve on the council should be named </w:t>
      </w:r>
      <w:r w:rsidR="007F753C">
        <w:rPr>
          <w:rFonts w:ascii="Times New Roman" w:eastAsia="Times New Roman" w:hAnsi="Times New Roman" w:cs="Times New Roman"/>
          <w:color w:val="000000"/>
          <w:sz w:val="24"/>
          <w:szCs w:val="24"/>
        </w:rPr>
        <w:t xml:space="preserve">in the MOU </w:t>
      </w:r>
      <w:r w:rsidRPr="00B131CA">
        <w:rPr>
          <w:rFonts w:ascii="Times New Roman" w:eastAsia="Times New Roman" w:hAnsi="Times New Roman" w:cs="Times New Roman"/>
          <w:color w:val="000000"/>
          <w:sz w:val="24"/>
          <w:szCs w:val="24"/>
        </w:rPr>
        <w:t xml:space="preserve">along with the number of formal meetings planned per year. Consider inviting educational and employer allies and a student </w:t>
      </w:r>
      <w:r w:rsidRPr="00B131CA">
        <w:rPr>
          <w:rFonts w:ascii="Times New Roman" w:eastAsia="Times New Roman" w:hAnsi="Times New Roman" w:cs="Times New Roman"/>
          <w:sz w:val="24"/>
          <w:szCs w:val="24"/>
        </w:rPr>
        <w:t>or alumni representative</w:t>
      </w:r>
      <w:r w:rsidRPr="00B131CA">
        <w:rPr>
          <w:rFonts w:ascii="Times New Roman" w:eastAsia="Times New Roman" w:hAnsi="Times New Roman" w:cs="Times New Roman"/>
          <w:color w:val="000000"/>
          <w:sz w:val="24"/>
          <w:szCs w:val="24"/>
        </w:rPr>
        <w:t xml:space="preserve"> to serve on your advisory council as well. </w:t>
      </w:r>
    </w:p>
    <w:p w14:paraId="00000258" w14:textId="1C7C64AB" w:rsidR="002F3C8D" w:rsidRPr="00A00DD7" w:rsidRDefault="00BF5CDA" w:rsidP="008D03B8">
      <w:pPr>
        <w:pStyle w:val="Heading4"/>
        <w:rPr>
          <w:i/>
        </w:rPr>
      </w:pPr>
      <w:bookmarkStart w:id="60" w:name="_Toc174088871"/>
      <w:r w:rsidRPr="00A00DD7">
        <w:t>Community Partners and Collaborators</w:t>
      </w:r>
      <w:bookmarkEnd w:id="60"/>
    </w:p>
    <w:p w14:paraId="00000259" w14:textId="07AF26BF"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There are many other entities in communities across the Commonwealth that work to advance adults’ education and training opportunities. A significant part of the job of being a program manager is to establish</w:t>
      </w:r>
      <w:r w:rsidR="007F753C">
        <w:rPr>
          <w:rFonts w:ascii="Times New Roman" w:eastAsia="Times New Roman" w:hAnsi="Times New Roman" w:cs="Times New Roman"/>
          <w:color w:val="000000"/>
          <w:sz w:val="24"/>
          <w:szCs w:val="24"/>
        </w:rPr>
        <w:t xml:space="preserve"> and maintain</w:t>
      </w:r>
      <w:r w:rsidRPr="00B131CA">
        <w:rPr>
          <w:rFonts w:ascii="Times New Roman" w:eastAsia="Times New Roman" w:hAnsi="Times New Roman" w:cs="Times New Roman"/>
          <w:color w:val="000000"/>
          <w:sz w:val="24"/>
          <w:szCs w:val="24"/>
        </w:rPr>
        <w:t xml:space="preserve"> professional relationships with contacts in these types of entities in the community. </w:t>
      </w:r>
    </w:p>
    <w:p w14:paraId="0000025A" w14:textId="4A306530"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w:t>
      </w:r>
      <w:hyperlink r:id="rId132">
        <w:r w:rsidRPr="000A6ACE">
          <w:rPr>
            <w:rFonts w:ascii="Times New Roman" w:eastAsia="Times New Roman" w:hAnsi="Times New Roman" w:cs="Times New Roman"/>
            <w:color w:val="0000FF"/>
            <w:sz w:val="24"/>
            <w:szCs w:val="24"/>
            <w:u w:val="single"/>
          </w:rPr>
          <w:t>Virginia Literacy Foundation</w:t>
        </w:r>
      </w:hyperlink>
      <w:r w:rsidRPr="00B131CA">
        <w:rPr>
          <w:rFonts w:ascii="Times New Roman" w:eastAsia="Times New Roman" w:hAnsi="Times New Roman" w:cs="Times New Roman"/>
          <w:color w:val="000000"/>
          <w:sz w:val="24"/>
          <w:szCs w:val="24"/>
        </w:rPr>
        <w:t xml:space="preserve"> (VLF) is a special partner to VDOE’s adult education programs with a similar mission: “to promote literacy across the lifespan for all Virginians.” The VLF supports community-based literacy organizations (CBLOs) through small two-year grants, tutor training, technical assistance, and resources. Many of these CBLOs are closely associated with a regional adult education program, dually enrolling students and/or working with an established referral pipeline. Some CBLOs are recipients of IELCE grants from</w:t>
      </w:r>
      <w:r w:rsidR="00BB4410">
        <w:rPr>
          <w:rFonts w:ascii="Times New Roman" w:eastAsia="Times New Roman" w:hAnsi="Times New Roman" w:cs="Times New Roman"/>
          <w:color w:val="000000"/>
          <w:sz w:val="24"/>
          <w:szCs w:val="24"/>
        </w:rPr>
        <w:t xml:space="preserve"> the</w:t>
      </w:r>
      <w:r w:rsidRPr="00B131CA">
        <w:rPr>
          <w:rFonts w:ascii="Times New Roman" w:eastAsia="Times New Roman" w:hAnsi="Times New Roman" w:cs="Times New Roman"/>
          <w:color w:val="000000"/>
          <w:sz w:val="24"/>
          <w:szCs w:val="24"/>
        </w:rPr>
        <w:t xml:space="preserve"> VDOE. </w:t>
      </w:r>
      <w:r w:rsidRPr="00B131CA">
        <w:rPr>
          <w:rFonts w:ascii="Times New Roman" w:eastAsia="Times New Roman" w:hAnsi="Times New Roman" w:cs="Times New Roman"/>
          <w:sz w:val="24"/>
          <w:szCs w:val="24"/>
        </w:rPr>
        <w:t>P</w:t>
      </w:r>
      <w:r w:rsidRPr="00B131CA">
        <w:rPr>
          <w:rFonts w:ascii="Times New Roman" w:eastAsia="Times New Roman" w:hAnsi="Times New Roman" w:cs="Times New Roman"/>
          <w:color w:val="000000"/>
          <w:sz w:val="24"/>
          <w:szCs w:val="24"/>
        </w:rPr>
        <w:t xml:space="preserve">artnering with CBLOs to </w:t>
      </w:r>
      <w:r w:rsidR="007F753C">
        <w:rPr>
          <w:rFonts w:ascii="Times New Roman" w:eastAsia="Times New Roman" w:hAnsi="Times New Roman" w:cs="Times New Roman"/>
          <w:color w:val="000000"/>
          <w:sz w:val="24"/>
          <w:szCs w:val="24"/>
        </w:rPr>
        <w:t>engage</w:t>
      </w:r>
      <w:r w:rsidRPr="00B131CA">
        <w:rPr>
          <w:rFonts w:ascii="Times New Roman" w:eastAsia="Times New Roman" w:hAnsi="Times New Roman" w:cs="Times New Roman"/>
          <w:color w:val="000000"/>
          <w:sz w:val="24"/>
          <w:szCs w:val="24"/>
        </w:rPr>
        <w:t xml:space="preserve"> </w:t>
      </w:r>
      <w:r w:rsidR="00A60CDC">
        <w:rPr>
          <w:rFonts w:ascii="Times New Roman" w:eastAsia="Times New Roman" w:hAnsi="Times New Roman" w:cs="Times New Roman"/>
          <w:color w:val="000000"/>
          <w:sz w:val="24"/>
          <w:szCs w:val="24"/>
        </w:rPr>
        <w:t xml:space="preserve">volunteer </w:t>
      </w:r>
      <w:r w:rsidRPr="00B131CA">
        <w:rPr>
          <w:rFonts w:ascii="Times New Roman" w:eastAsia="Times New Roman" w:hAnsi="Times New Roman" w:cs="Times New Roman"/>
          <w:color w:val="000000"/>
          <w:sz w:val="24"/>
          <w:szCs w:val="24"/>
        </w:rPr>
        <w:t xml:space="preserve">tutors for supplemental instruction in classes or additional small group sessions can be an effective way to </w:t>
      </w:r>
      <w:r w:rsidR="001C78FF">
        <w:rPr>
          <w:rFonts w:ascii="Times New Roman" w:eastAsia="Times New Roman" w:hAnsi="Times New Roman" w:cs="Times New Roman"/>
          <w:sz w:val="24"/>
          <w:szCs w:val="24"/>
        </w:rPr>
        <w:t>assist students to persist and reach their goals</w:t>
      </w:r>
      <w:r w:rsidRPr="00B131CA">
        <w:rPr>
          <w:rFonts w:ascii="Times New Roman" w:eastAsia="Times New Roman" w:hAnsi="Times New Roman" w:cs="Times New Roman"/>
          <w:color w:val="000000"/>
          <w:sz w:val="24"/>
          <w:szCs w:val="24"/>
        </w:rPr>
        <w:t>. Literacy tutors are welcome to engage in the professional development and training provided by the VALRC</w:t>
      </w:r>
      <w:r w:rsidR="000355E9">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and many programs include local tutors in professional development offered regionally. </w:t>
      </w:r>
    </w:p>
    <w:p w14:paraId="0000025B" w14:textId="77777777" w:rsidR="002F3C8D" w:rsidRPr="00B131CA" w:rsidRDefault="00BF5CD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Also look to involve partners such as:</w:t>
      </w:r>
    </w:p>
    <w:p w14:paraId="0000025C" w14:textId="66BAC519" w:rsidR="002F3C8D" w:rsidRPr="00B131CA" w:rsidRDefault="00141E90"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w:t>
      </w:r>
      <w:r w:rsidR="00BF5CDA" w:rsidRPr="00B131CA">
        <w:rPr>
          <w:rFonts w:ascii="Times New Roman" w:eastAsia="Times New Roman" w:hAnsi="Times New Roman" w:cs="Times New Roman"/>
          <w:color w:val="000000"/>
          <w:sz w:val="24"/>
          <w:szCs w:val="24"/>
        </w:rPr>
        <w:t>ommunity colleges</w:t>
      </w:r>
    </w:p>
    <w:p w14:paraId="0000025D" w14:textId="2628389C" w:rsidR="002F3C8D" w:rsidRPr="00B131CA" w:rsidRDefault="007E22CE"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w:t>
      </w:r>
      <w:r w:rsidR="00BF5CDA" w:rsidRPr="00B131CA">
        <w:rPr>
          <w:rFonts w:ascii="Times New Roman" w:eastAsia="Times New Roman" w:hAnsi="Times New Roman" w:cs="Times New Roman"/>
          <w:color w:val="000000"/>
          <w:sz w:val="24"/>
          <w:szCs w:val="24"/>
        </w:rPr>
        <w:t>ommunity health centers and providers</w:t>
      </w:r>
    </w:p>
    <w:p w14:paraId="0000025E" w14:textId="77777777" w:rsidR="002F3C8D" w:rsidRPr="00B131CA" w:rsidRDefault="00BF5CDA"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Department of Social Security offices</w:t>
      </w:r>
    </w:p>
    <w:p w14:paraId="0000025F" w14:textId="70107B0E" w:rsidR="002F3C8D" w:rsidRPr="00B131CA" w:rsidRDefault="00141E90"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w:t>
      </w:r>
      <w:r w:rsidR="00BF5CDA" w:rsidRPr="00B131CA">
        <w:rPr>
          <w:rFonts w:ascii="Times New Roman" w:eastAsia="Times New Roman" w:hAnsi="Times New Roman" w:cs="Times New Roman"/>
          <w:color w:val="000000"/>
          <w:sz w:val="24"/>
          <w:szCs w:val="24"/>
        </w:rPr>
        <w:t>mployers and workforce recruiters</w:t>
      </w:r>
    </w:p>
    <w:p w14:paraId="00000260" w14:textId="434DC5BE" w:rsidR="002F3C8D" w:rsidRPr="00B131CA" w:rsidRDefault="00141E90"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f</w:t>
      </w:r>
      <w:r w:rsidR="00BF5CDA" w:rsidRPr="00B131CA">
        <w:rPr>
          <w:rFonts w:ascii="Times New Roman" w:eastAsia="Times New Roman" w:hAnsi="Times New Roman" w:cs="Times New Roman"/>
          <w:color w:val="000000"/>
          <w:sz w:val="24"/>
          <w:szCs w:val="24"/>
        </w:rPr>
        <w:t>aith-based and interfaith community improvement entities</w:t>
      </w:r>
    </w:p>
    <w:p w14:paraId="05D06FFA" w14:textId="5BC92BD8" w:rsidR="001C78FF" w:rsidRDefault="001C78FF"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food banks and food distribution centers</w:t>
      </w:r>
    </w:p>
    <w:p w14:paraId="00000261" w14:textId="56E76311" w:rsidR="002F3C8D" w:rsidRPr="00B131CA" w:rsidRDefault="00BF5CDA"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Head Start and early childhood education </w:t>
      </w:r>
      <w:proofErr w:type="gramStart"/>
      <w:r w:rsidRPr="00B131CA">
        <w:rPr>
          <w:rFonts w:ascii="Times New Roman" w:eastAsia="Times New Roman" w:hAnsi="Times New Roman" w:cs="Times New Roman"/>
          <w:color w:val="000000"/>
          <w:sz w:val="24"/>
          <w:szCs w:val="24"/>
        </w:rPr>
        <w:t>providers</w:t>
      </w:r>
      <w:proofErr w:type="gramEnd"/>
    </w:p>
    <w:p w14:paraId="00000262" w14:textId="56A44090" w:rsidR="002F3C8D" w:rsidRPr="00B131CA" w:rsidRDefault="00141E90"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l</w:t>
      </w:r>
      <w:r w:rsidR="00BF5CDA" w:rsidRPr="00B131CA">
        <w:rPr>
          <w:rFonts w:ascii="Times New Roman" w:eastAsia="Times New Roman" w:hAnsi="Times New Roman" w:cs="Times New Roman"/>
          <w:color w:val="000000"/>
          <w:sz w:val="24"/>
          <w:szCs w:val="24"/>
        </w:rPr>
        <w:t>ibraries</w:t>
      </w:r>
    </w:p>
    <w:p w14:paraId="00000263" w14:textId="04240AD4" w:rsidR="002F3C8D" w:rsidRPr="00B131CA" w:rsidRDefault="00141E90"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l</w:t>
      </w:r>
      <w:r w:rsidR="00BF5CDA" w:rsidRPr="00B131CA">
        <w:rPr>
          <w:rFonts w:ascii="Times New Roman" w:eastAsia="Times New Roman" w:hAnsi="Times New Roman" w:cs="Times New Roman"/>
          <w:color w:val="000000"/>
          <w:sz w:val="24"/>
          <w:szCs w:val="24"/>
        </w:rPr>
        <w:t>ocal foundations and funders</w:t>
      </w:r>
    </w:p>
    <w:p w14:paraId="00000264" w14:textId="764DB80A" w:rsidR="002F3C8D" w:rsidRPr="00B131CA" w:rsidRDefault="00141E90"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l</w:t>
      </w:r>
      <w:r w:rsidR="00BF5CDA" w:rsidRPr="00B131CA">
        <w:rPr>
          <w:rFonts w:ascii="Times New Roman" w:eastAsia="Times New Roman" w:hAnsi="Times New Roman" w:cs="Times New Roman"/>
          <w:color w:val="000000"/>
          <w:sz w:val="24"/>
          <w:szCs w:val="24"/>
        </w:rPr>
        <w:t>ocal professional service clubs and associations</w:t>
      </w:r>
    </w:p>
    <w:p w14:paraId="00000265" w14:textId="1E9A4EC5" w:rsidR="002F3C8D" w:rsidRPr="00B131CA" w:rsidRDefault="00141E90"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lastRenderedPageBreak/>
        <w:t>l</w:t>
      </w:r>
      <w:r w:rsidR="00BF5CDA" w:rsidRPr="00B131CA">
        <w:rPr>
          <w:rFonts w:ascii="Times New Roman" w:eastAsia="Times New Roman" w:hAnsi="Times New Roman" w:cs="Times New Roman"/>
          <w:color w:val="000000"/>
          <w:sz w:val="24"/>
          <w:szCs w:val="24"/>
        </w:rPr>
        <w:t>ocal, unaffiliated literacy volunteer groups</w:t>
      </w:r>
    </w:p>
    <w:p w14:paraId="00000266" w14:textId="20CCAE37" w:rsidR="002F3C8D" w:rsidRPr="00B131CA" w:rsidRDefault="00141E90" w:rsidP="00F057C2">
      <w:pPr>
        <w:numPr>
          <w:ilvl w:val="0"/>
          <w:numId w:val="13"/>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w:t>
      </w:r>
      <w:r w:rsidR="00BF5CDA" w:rsidRPr="00B131CA">
        <w:rPr>
          <w:rFonts w:ascii="Times New Roman" w:eastAsia="Times New Roman" w:hAnsi="Times New Roman" w:cs="Times New Roman"/>
          <w:color w:val="000000"/>
          <w:sz w:val="24"/>
          <w:szCs w:val="24"/>
        </w:rPr>
        <w:t>rivate sector services, such as banks and credit unions</w:t>
      </w:r>
    </w:p>
    <w:p w14:paraId="00000267" w14:textId="2312C363" w:rsidR="002F3C8D" w:rsidRPr="000D6000" w:rsidRDefault="00141E90" w:rsidP="00F057C2">
      <w:pPr>
        <w:numPr>
          <w:ilvl w:val="0"/>
          <w:numId w:val="13"/>
        </w:numPr>
        <w:pBdr>
          <w:top w:val="nil"/>
          <w:left w:val="nil"/>
          <w:bottom w:val="nil"/>
          <w:right w:val="nil"/>
          <w:between w:val="nil"/>
        </w:pBdr>
        <w:spacing w:after="0" w:line="240" w:lineRule="auto"/>
        <w:ind w:left="1080"/>
        <w:rPr>
          <w:rFonts w:ascii="Times New Roman" w:hAnsi="Times New Roman"/>
          <w:color w:val="000000"/>
          <w:sz w:val="24"/>
        </w:rPr>
      </w:pPr>
      <w:r w:rsidRPr="00B131CA">
        <w:rPr>
          <w:rFonts w:ascii="Times New Roman" w:eastAsia="Times New Roman" w:hAnsi="Times New Roman" w:cs="Times New Roman"/>
          <w:color w:val="000000"/>
          <w:sz w:val="24"/>
          <w:szCs w:val="24"/>
        </w:rPr>
        <w:t>p</w:t>
      </w:r>
      <w:r w:rsidR="00BF5CDA" w:rsidRPr="00B131CA">
        <w:rPr>
          <w:rFonts w:ascii="Times New Roman" w:eastAsia="Times New Roman" w:hAnsi="Times New Roman" w:cs="Times New Roman"/>
          <w:color w:val="000000"/>
          <w:sz w:val="24"/>
          <w:szCs w:val="24"/>
        </w:rPr>
        <w:t>robation and parole offices and reentry councils</w:t>
      </w:r>
    </w:p>
    <w:p w14:paraId="21DE696F" w14:textId="13E51871" w:rsidR="001C78FF" w:rsidRPr="00A00DD7" w:rsidRDefault="001C78FF" w:rsidP="00F057C2">
      <w:pPr>
        <w:numPr>
          <w:ilvl w:val="0"/>
          <w:numId w:val="13"/>
        </w:numPr>
        <w:pBdr>
          <w:top w:val="nil"/>
          <w:left w:val="nil"/>
          <w:bottom w:val="nil"/>
          <w:right w:val="nil"/>
          <w:between w:val="nil"/>
        </w:pBdr>
        <w:spacing w:after="0" w:line="240" w:lineRule="auto"/>
        <w:ind w:left="1080"/>
        <w:rPr>
          <w:rFonts w:ascii="Times New Roman" w:hAnsi="Times New Roman"/>
          <w:color w:val="000000"/>
          <w:sz w:val="24"/>
        </w:rPr>
      </w:pPr>
      <w:r>
        <w:rPr>
          <w:rFonts w:ascii="Times New Roman" w:eastAsia="Times New Roman" w:hAnsi="Times New Roman" w:cs="Times New Roman"/>
          <w:color w:val="000000"/>
          <w:sz w:val="24"/>
          <w:szCs w:val="24"/>
        </w:rPr>
        <w:t>public housing authorities</w:t>
      </w:r>
    </w:p>
    <w:p w14:paraId="00000268" w14:textId="3EAD0E07" w:rsidR="002F3C8D" w:rsidRPr="00B131CA" w:rsidRDefault="00141E90" w:rsidP="00F057C2">
      <w:pPr>
        <w:numPr>
          <w:ilvl w:val="0"/>
          <w:numId w:val="13"/>
        </w:numPr>
        <w:pBdr>
          <w:top w:val="nil"/>
          <w:left w:val="nil"/>
          <w:bottom w:val="nil"/>
          <w:right w:val="nil"/>
          <w:between w:val="nil"/>
        </w:pBdr>
        <w:spacing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r</w:t>
      </w:r>
      <w:r w:rsidR="00BF5CDA" w:rsidRPr="00B131CA">
        <w:rPr>
          <w:rFonts w:ascii="Times New Roman" w:eastAsia="Times New Roman" w:hAnsi="Times New Roman" w:cs="Times New Roman"/>
          <w:color w:val="000000"/>
          <w:sz w:val="24"/>
          <w:szCs w:val="24"/>
        </w:rPr>
        <w:t xml:space="preserve">efugee resettlement </w:t>
      </w:r>
      <w:proofErr w:type="gramStart"/>
      <w:r w:rsidR="00BF5CDA" w:rsidRPr="00B131CA">
        <w:rPr>
          <w:rFonts w:ascii="Times New Roman" w:eastAsia="Times New Roman" w:hAnsi="Times New Roman" w:cs="Times New Roman"/>
          <w:color w:val="000000"/>
          <w:sz w:val="24"/>
          <w:szCs w:val="24"/>
        </w:rPr>
        <w:t>agencies</w:t>
      </w:r>
      <w:proofErr w:type="gramEnd"/>
      <w:r w:rsidR="00BF5CDA" w:rsidRPr="00B131CA">
        <w:rPr>
          <w:rFonts w:ascii="Times New Roman" w:eastAsia="Times New Roman" w:hAnsi="Times New Roman" w:cs="Times New Roman"/>
          <w:color w:val="000000"/>
          <w:sz w:val="24"/>
          <w:szCs w:val="24"/>
        </w:rPr>
        <w:t> </w:t>
      </w:r>
    </w:p>
    <w:p w14:paraId="166C4647" w14:textId="0E03E4F1" w:rsidR="00E92425" w:rsidRPr="00866E2C" w:rsidRDefault="00BF5CDA" w:rsidP="00866E2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00DD7">
        <w:rPr>
          <w:rFonts w:ascii="Times New Roman" w:hAnsi="Times New Roman"/>
          <w:color w:val="000000"/>
          <w:sz w:val="24"/>
        </w:rPr>
        <w:t>What can partners do for your program and students?</w:t>
      </w:r>
      <w:r w:rsidR="00273AC7">
        <w:rPr>
          <w:rFonts w:ascii="Times New Roman" w:hAnsi="Times New Roman"/>
          <w:color w:val="000000"/>
          <w:sz w:val="24"/>
        </w:rPr>
        <w:t xml:space="preserve"> </w:t>
      </w:r>
      <w:r w:rsidRPr="00B131CA">
        <w:rPr>
          <w:rFonts w:ascii="Times New Roman" w:eastAsia="Times New Roman" w:hAnsi="Times New Roman" w:cs="Times New Roman"/>
          <w:color w:val="000000"/>
          <w:sz w:val="24"/>
          <w:szCs w:val="24"/>
        </w:rPr>
        <w:t xml:space="preserve">Cultivating partnership and community networks takes time and patience, but when service providers find ways to meet mutual goals through shared clients and efforts, both organizations </w:t>
      </w:r>
      <w:r w:rsidR="001555FA" w:rsidRPr="00B131CA">
        <w:rPr>
          <w:rFonts w:ascii="Times New Roman" w:eastAsia="Times New Roman" w:hAnsi="Times New Roman" w:cs="Times New Roman"/>
          <w:color w:val="000000"/>
          <w:sz w:val="24"/>
          <w:szCs w:val="24"/>
        </w:rPr>
        <w:t>benefit,</w:t>
      </w:r>
      <w:r w:rsidRPr="00B131CA">
        <w:rPr>
          <w:rFonts w:ascii="Times New Roman" w:eastAsia="Times New Roman" w:hAnsi="Times New Roman" w:cs="Times New Roman"/>
          <w:color w:val="000000"/>
          <w:sz w:val="24"/>
          <w:szCs w:val="24"/>
        </w:rPr>
        <w:t xml:space="preserve"> and client services are </w:t>
      </w:r>
      <w:r w:rsidR="007F753C" w:rsidRPr="00B131CA">
        <w:rPr>
          <w:rFonts w:ascii="Times New Roman" w:eastAsia="Times New Roman" w:hAnsi="Times New Roman" w:cs="Times New Roman"/>
          <w:color w:val="000000"/>
          <w:sz w:val="24"/>
          <w:szCs w:val="24"/>
        </w:rPr>
        <w:t>en</w:t>
      </w:r>
      <w:r w:rsidR="007F753C">
        <w:rPr>
          <w:rFonts w:ascii="Times New Roman" w:eastAsia="Times New Roman" w:hAnsi="Times New Roman" w:cs="Times New Roman"/>
          <w:color w:val="000000"/>
          <w:sz w:val="24"/>
          <w:szCs w:val="24"/>
        </w:rPr>
        <w:t>riched</w:t>
      </w:r>
      <w:r w:rsidRPr="00B131CA">
        <w:rPr>
          <w:rFonts w:ascii="Times New Roman" w:eastAsia="Times New Roman" w:hAnsi="Times New Roman" w:cs="Times New Roman"/>
          <w:color w:val="000000"/>
          <w:sz w:val="24"/>
          <w:szCs w:val="24"/>
        </w:rPr>
        <w:t>. Some specific avenues to pursue with all community-based partners include: </w:t>
      </w:r>
    </w:p>
    <w:p w14:paraId="0000026B" w14:textId="1BB46A7D" w:rsidR="002F3C8D" w:rsidRPr="00B131CA" w:rsidRDefault="00242589" w:rsidP="00F057C2">
      <w:pPr>
        <w:numPr>
          <w:ilvl w:val="0"/>
          <w:numId w:val="15"/>
        </w:numPr>
        <w:pBdr>
          <w:top w:val="nil"/>
          <w:left w:val="nil"/>
          <w:bottom w:val="nil"/>
          <w:right w:val="nil"/>
          <w:between w:val="nil"/>
        </w:pBdr>
        <w:tabs>
          <w:tab w:val="left" w:pos="1080"/>
        </w:tabs>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b</w:t>
      </w:r>
      <w:r w:rsidR="00BF5CDA" w:rsidRPr="00B131CA">
        <w:rPr>
          <w:rFonts w:ascii="Times New Roman" w:eastAsia="Times New Roman" w:hAnsi="Times New Roman" w:cs="Times New Roman"/>
          <w:color w:val="000000"/>
          <w:sz w:val="24"/>
          <w:szCs w:val="24"/>
        </w:rPr>
        <w:t>oost</w:t>
      </w:r>
      <w:r w:rsidR="00A74D65">
        <w:rPr>
          <w:rFonts w:ascii="Times New Roman" w:eastAsia="Times New Roman" w:hAnsi="Times New Roman" w:cs="Times New Roman"/>
          <w:color w:val="000000"/>
          <w:sz w:val="24"/>
          <w:szCs w:val="24"/>
        </w:rPr>
        <w:t>ing</w:t>
      </w:r>
      <w:r w:rsidR="00BF5CDA" w:rsidRPr="007144D4">
        <w:rPr>
          <w:rFonts w:ascii="Times New Roman" w:hAnsi="Times New Roman"/>
          <w:color w:val="000000"/>
          <w:sz w:val="24"/>
        </w:rPr>
        <w:t xml:space="preserve"> outreach and </w:t>
      </w:r>
      <w:r w:rsidR="00BF5CDA" w:rsidRPr="00B131CA">
        <w:rPr>
          <w:rFonts w:ascii="Times New Roman" w:eastAsia="Times New Roman" w:hAnsi="Times New Roman" w:cs="Times New Roman"/>
          <w:color w:val="000000"/>
          <w:sz w:val="24"/>
          <w:szCs w:val="24"/>
        </w:rPr>
        <w:t>in</w:t>
      </w:r>
      <w:r w:rsidR="00291C3E" w:rsidRPr="00B131CA">
        <w:rPr>
          <w:rFonts w:ascii="Times New Roman" w:eastAsia="Times New Roman" w:hAnsi="Times New Roman" w:cs="Times New Roman"/>
          <w:color w:val="000000"/>
          <w:sz w:val="24"/>
          <w:szCs w:val="24"/>
        </w:rPr>
        <w:t>-</w:t>
      </w:r>
      <w:r w:rsidR="00BF5CDA" w:rsidRPr="00B131CA">
        <w:rPr>
          <w:rFonts w:ascii="Times New Roman" w:eastAsia="Times New Roman" w:hAnsi="Times New Roman" w:cs="Times New Roman"/>
          <w:color w:val="000000"/>
          <w:sz w:val="24"/>
          <w:szCs w:val="24"/>
        </w:rPr>
        <w:t>reach. Community-based partners can amplify your outreach by sharing your message about your programming and offerings. They also may have communication channels</w:t>
      </w:r>
      <w:r w:rsidR="006B0195">
        <w:rPr>
          <w:rFonts w:ascii="Times New Roman" w:eastAsia="Times New Roman" w:hAnsi="Times New Roman" w:cs="Times New Roman"/>
          <w:color w:val="000000"/>
          <w:sz w:val="24"/>
          <w:szCs w:val="24"/>
        </w:rPr>
        <w:t>, including native language websites, radio stations, and faith-based institutions</w:t>
      </w:r>
      <w:r w:rsidR="00724E06">
        <w:rPr>
          <w:rFonts w:ascii="Times New Roman" w:eastAsia="Times New Roman" w:hAnsi="Times New Roman" w:cs="Times New Roman"/>
          <w:color w:val="000000"/>
          <w:sz w:val="24"/>
          <w:szCs w:val="24"/>
        </w:rPr>
        <w:t>,</w:t>
      </w:r>
      <w:r w:rsidR="00BF5CDA" w:rsidRPr="00B131CA">
        <w:rPr>
          <w:rFonts w:ascii="Times New Roman" w:eastAsia="Times New Roman" w:hAnsi="Times New Roman" w:cs="Times New Roman"/>
          <w:color w:val="000000"/>
          <w:sz w:val="24"/>
          <w:szCs w:val="24"/>
        </w:rPr>
        <w:t xml:space="preserve"> that reach into specific populations (in</w:t>
      </w:r>
      <w:r w:rsidR="00291C3E" w:rsidRPr="00B131CA">
        <w:rPr>
          <w:rFonts w:ascii="Times New Roman" w:eastAsia="Times New Roman" w:hAnsi="Times New Roman" w:cs="Times New Roman"/>
          <w:color w:val="000000"/>
          <w:sz w:val="24"/>
          <w:szCs w:val="24"/>
        </w:rPr>
        <w:t>-</w:t>
      </w:r>
      <w:r w:rsidR="00BF5CDA" w:rsidRPr="00B131CA">
        <w:rPr>
          <w:rFonts w:ascii="Times New Roman" w:eastAsia="Times New Roman" w:hAnsi="Times New Roman" w:cs="Times New Roman"/>
          <w:color w:val="000000"/>
          <w:sz w:val="24"/>
          <w:szCs w:val="24"/>
        </w:rPr>
        <w:t>reach) as a trusted messenger, offering new way</w:t>
      </w:r>
      <w:r w:rsidR="006B0195">
        <w:rPr>
          <w:rFonts w:ascii="Times New Roman" w:eastAsia="Times New Roman" w:hAnsi="Times New Roman" w:cs="Times New Roman"/>
          <w:color w:val="000000"/>
          <w:sz w:val="24"/>
          <w:szCs w:val="24"/>
        </w:rPr>
        <w:t>s</w:t>
      </w:r>
      <w:r w:rsidR="00BF5CDA" w:rsidRPr="00B131CA">
        <w:rPr>
          <w:rFonts w:ascii="Times New Roman" w:eastAsia="Times New Roman" w:hAnsi="Times New Roman" w:cs="Times New Roman"/>
          <w:color w:val="000000"/>
          <w:sz w:val="24"/>
          <w:szCs w:val="24"/>
        </w:rPr>
        <w:t xml:space="preserve"> to engage </w:t>
      </w:r>
      <w:r w:rsidR="006B0195">
        <w:rPr>
          <w:rFonts w:ascii="Times New Roman" w:eastAsia="Times New Roman" w:hAnsi="Times New Roman" w:cs="Times New Roman"/>
          <w:color w:val="000000"/>
          <w:sz w:val="24"/>
          <w:szCs w:val="24"/>
        </w:rPr>
        <w:t>communities</w:t>
      </w:r>
      <w:r w:rsidR="00BF5CDA" w:rsidRPr="00B131CA">
        <w:rPr>
          <w:rFonts w:ascii="Times New Roman" w:eastAsia="Times New Roman" w:hAnsi="Times New Roman" w:cs="Times New Roman"/>
          <w:color w:val="000000"/>
          <w:sz w:val="24"/>
          <w:szCs w:val="24"/>
        </w:rPr>
        <w:t>.</w:t>
      </w:r>
    </w:p>
    <w:p w14:paraId="0000026C" w14:textId="514C35C8" w:rsidR="002F3C8D" w:rsidRPr="00B131CA" w:rsidRDefault="00242589" w:rsidP="00F057C2">
      <w:pPr>
        <w:numPr>
          <w:ilvl w:val="0"/>
          <w:numId w:val="15"/>
        </w:numPr>
        <w:pBdr>
          <w:top w:val="nil"/>
          <w:left w:val="nil"/>
          <w:bottom w:val="nil"/>
          <w:right w:val="nil"/>
          <w:between w:val="nil"/>
        </w:pBdr>
        <w:tabs>
          <w:tab w:val="left" w:pos="1080"/>
        </w:tabs>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w:t>
      </w:r>
      <w:r w:rsidR="00BF5CDA" w:rsidRPr="00B131CA">
        <w:rPr>
          <w:rFonts w:ascii="Times New Roman" w:eastAsia="Times New Roman" w:hAnsi="Times New Roman" w:cs="Times New Roman"/>
          <w:color w:val="000000"/>
          <w:sz w:val="24"/>
          <w:szCs w:val="24"/>
        </w:rPr>
        <w:t>nrich</w:t>
      </w:r>
      <w:r w:rsidR="00A74D65">
        <w:rPr>
          <w:rFonts w:ascii="Times New Roman" w:eastAsia="Times New Roman" w:hAnsi="Times New Roman" w:cs="Times New Roman"/>
          <w:color w:val="000000"/>
          <w:sz w:val="24"/>
          <w:szCs w:val="24"/>
        </w:rPr>
        <w:t>ing</w:t>
      </w:r>
      <w:r w:rsidR="00BF5CDA" w:rsidRPr="007144D4">
        <w:rPr>
          <w:rFonts w:ascii="Times New Roman" w:hAnsi="Times New Roman"/>
          <w:color w:val="000000"/>
          <w:sz w:val="24"/>
        </w:rPr>
        <w:t xml:space="preserve"> instruction and engagement.</w:t>
      </w:r>
      <w:r w:rsidR="00BF5CDA" w:rsidRPr="00B131CA">
        <w:rPr>
          <w:rFonts w:ascii="Times New Roman" w:eastAsia="Times New Roman" w:hAnsi="Times New Roman" w:cs="Times New Roman"/>
          <w:color w:val="000000"/>
          <w:sz w:val="24"/>
          <w:szCs w:val="24"/>
        </w:rPr>
        <w:t xml:space="preserve"> Partners can add experiences and expertise to your instructional programming so students can benefit from the exposure to new ideas. Partners may be able to join programming as guest speakers or presenters, host on-site visits or field trips, or provide materials to use in the classroom. </w:t>
      </w:r>
    </w:p>
    <w:p w14:paraId="0000026D" w14:textId="7CC9ECE8" w:rsidR="002F3C8D" w:rsidRPr="00B131CA" w:rsidRDefault="00242589" w:rsidP="00F057C2">
      <w:pPr>
        <w:numPr>
          <w:ilvl w:val="0"/>
          <w:numId w:val="15"/>
        </w:numPr>
        <w:pBdr>
          <w:top w:val="nil"/>
          <w:left w:val="nil"/>
          <w:bottom w:val="nil"/>
          <w:right w:val="nil"/>
          <w:between w:val="nil"/>
        </w:pBdr>
        <w:tabs>
          <w:tab w:val="left" w:pos="1080"/>
        </w:tabs>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w:t>
      </w:r>
      <w:r w:rsidR="00A74D65">
        <w:rPr>
          <w:rFonts w:ascii="Times New Roman" w:eastAsia="Times New Roman" w:hAnsi="Times New Roman" w:cs="Times New Roman"/>
          <w:color w:val="000000"/>
          <w:sz w:val="24"/>
          <w:szCs w:val="24"/>
        </w:rPr>
        <w:t>roviding</w:t>
      </w:r>
      <w:r w:rsidR="00BF5CDA" w:rsidRPr="007144D4">
        <w:rPr>
          <w:rFonts w:ascii="Times New Roman" w:hAnsi="Times New Roman"/>
          <w:color w:val="000000"/>
          <w:sz w:val="24"/>
        </w:rPr>
        <w:t xml:space="preserve"> support</w:t>
      </w:r>
      <w:r w:rsidR="007F753C">
        <w:rPr>
          <w:rFonts w:ascii="Times New Roman" w:hAnsi="Times New Roman"/>
          <w:color w:val="000000"/>
          <w:sz w:val="24"/>
        </w:rPr>
        <w:t>ive</w:t>
      </w:r>
      <w:r w:rsidR="00BF5CDA" w:rsidRPr="007144D4">
        <w:rPr>
          <w:rFonts w:ascii="Times New Roman" w:hAnsi="Times New Roman"/>
          <w:color w:val="000000"/>
          <w:sz w:val="24"/>
        </w:rPr>
        <w:t xml:space="preserve"> services.</w:t>
      </w:r>
      <w:r w:rsidR="00BF5CDA" w:rsidRPr="00B131CA">
        <w:rPr>
          <w:rFonts w:ascii="Times New Roman" w:eastAsia="Times New Roman" w:hAnsi="Times New Roman" w:cs="Times New Roman"/>
          <w:color w:val="000000"/>
          <w:sz w:val="24"/>
          <w:szCs w:val="24"/>
        </w:rPr>
        <w:t xml:space="preserve"> Service providers and funders in the community may be able to provide benefits and incentives for students – items such as gas cards, gift cards, stipends, professional clothes, scholarships, technology equipment, and more. Identifying what students need to be successful in education</w:t>
      </w:r>
      <w:r w:rsidR="007F753C">
        <w:rPr>
          <w:rFonts w:ascii="Times New Roman" w:eastAsia="Times New Roman" w:hAnsi="Times New Roman" w:cs="Times New Roman"/>
          <w:color w:val="000000"/>
          <w:sz w:val="24"/>
          <w:szCs w:val="24"/>
        </w:rPr>
        <w:t>, training,</w:t>
      </w:r>
      <w:r w:rsidR="00BF5CDA" w:rsidRPr="00B131CA">
        <w:rPr>
          <w:rFonts w:ascii="Times New Roman" w:eastAsia="Times New Roman" w:hAnsi="Times New Roman" w:cs="Times New Roman"/>
          <w:color w:val="000000"/>
          <w:sz w:val="24"/>
          <w:szCs w:val="24"/>
        </w:rPr>
        <w:t xml:space="preserve"> and employment can help partners rally around specific sponsorship.</w:t>
      </w:r>
    </w:p>
    <w:p w14:paraId="0000026E" w14:textId="300873F3" w:rsidR="002F3C8D" w:rsidRPr="00B131CA" w:rsidRDefault="00242589" w:rsidP="00F057C2">
      <w:pPr>
        <w:numPr>
          <w:ilvl w:val="0"/>
          <w:numId w:val="15"/>
        </w:numPr>
        <w:pBdr>
          <w:top w:val="nil"/>
          <w:left w:val="nil"/>
          <w:bottom w:val="nil"/>
          <w:right w:val="nil"/>
          <w:between w:val="nil"/>
        </w:pBdr>
        <w:tabs>
          <w:tab w:val="left" w:pos="1080"/>
        </w:tabs>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w:t>
      </w:r>
      <w:r w:rsidR="00BF5CDA" w:rsidRPr="00B131CA">
        <w:rPr>
          <w:rFonts w:ascii="Times New Roman" w:eastAsia="Times New Roman" w:hAnsi="Times New Roman" w:cs="Times New Roman"/>
          <w:color w:val="000000"/>
          <w:sz w:val="24"/>
          <w:szCs w:val="24"/>
        </w:rPr>
        <w:t>onnect</w:t>
      </w:r>
      <w:r w:rsidR="00A74D65">
        <w:rPr>
          <w:rFonts w:ascii="Times New Roman" w:eastAsia="Times New Roman" w:hAnsi="Times New Roman" w:cs="Times New Roman"/>
          <w:color w:val="000000"/>
          <w:sz w:val="24"/>
          <w:szCs w:val="24"/>
        </w:rPr>
        <w:t>ing</w:t>
      </w:r>
      <w:r w:rsidR="00BF5CDA" w:rsidRPr="007144D4">
        <w:rPr>
          <w:rFonts w:ascii="Times New Roman" w:hAnsi="Times New Roman"/>
          <w:color w:val="000000"/>
          <w:sz w:val="24"/>
        </w:rPr>
        <w:t xml:space="preserve"> to community and civic activities.</w:t>
      </w:r>
      <w:r w:rsidR="00BF5CDA" w:rsidRPr="00B131CA">
        <w:rPr>
          <w:rFonts w:ascii="Times New Roman" w:eastAsia="Times New Roman" w:hAnsi="Times New Roman" w:cs="Times New Roman"/>
          <w:color w:val="000000"/>
          <w:sz w:val="24"/>
          <w:szCs w:val="24"/>
        </w:rPr>
        <w:t xml:space="preserve"> Community service providers can assist students and their families to get involved in civic life in the community. This is especially important to incorporate into programming for new immigrants, but community-focused</w:t>
      </w:r>
      <w:r w:rsidR="00E92425">
        <w:rPr>
          <w:rFonts w:ascii="Times New Roman" w:eastAsia="Times New Roman" w:hAnsi="Times New Roman" w:cs="Times New Roman"/>
          <w:color w:val="000000"/>
          <w:sz w:val="24"/>
          <w:szCs w:val="24"/>
        </w:rPr>
        <w:t>,</w:t>
      </w:r>
      <w:r w:rsidR="00BF5CDA" w:rsidRPr="00B131CA">
        <w:rPr>
          <w:rFonts w:ascii="Times New Roman" w:eastAsia="Times New Roman" w:hAnsi="Times New Roman" w:cs="Times New Roman"/>
          <w:color w:val="000000"/>
          <w:sz w:val="24"/>
          <w:szCs w:val="24"/>
        </w:rPr>
        <w:t xml:space="preserve"> problem-based learning is a well-established approach to any adult education</w:t>
      </w:r>
      <w:r w:rsidR="00E92425">
        <w:rPr>
          <w:rFonts w:ascii="Times New Roman" w:eastAsia="Times New Roman" w:hAnsi="Times New Roman" w:cs="Times New Roman"/>
          <w:color w:val="000000"/>
          <w:sz w:val="24"/>
          <w:szCs w:val="24"/>
        </w:rPr>
        <w:t xml:space="preserve"> program design</w:t>
      </w:r>
      <w:r w:rsidR="00BF5CDA" w:rsidRPr="00B131CA">
        <w:rPr>
          <w:rFonts w:ascii="Times New Roman" w:eastAsia="Times New Roman" w:hAnsi="Times New Roman" w:cs="Times New Roman"/>
          <w:color w:val="000000"/>
          <w:sz w:val="24"/>
          <w:szCs w:val="24"/>
        </w:rPr>
        <w:t xml:space="preserve"> and builds student leadership for all students. Interfaith community activities for community improvement, voter registration drives, community clean-up days, food drives – </w:t>
      </w:r>
      <w:proofErr w:type="gramStart"/>
      <w:r w:rsidR="00BF5CDA" w:rsidRPr="00B131CA">
        <w:rPr>
          <w:rFonts w:ascii="Times New Roman" w:eastAsia="Times New Roman" w:hAnsi="Times New Roman" w:cs="Times New Roman"/>
          <w:color w:val="000000"/>
          <w:sz w:val="24"/>
          <w:szCs w:val="24"/>
        </w:rPr>
        <w:t>all of</w:t>
      </w:r>
      <w:proofErr w:type="gramEnd"/>
      <w:r w:rsidR="00BF5CDA" w:rsidRPr="00B131CA">
        <w:rPr>
          <w:rFonts w:ascii="Times New Roman" w:eastAsia="Times New Roman" w:hAnsi="Times New Roman" w:cs="Times New Roman"/>
          <w:color w:val="000000"/>
          <w:sz w:val="24"/>
          <w:szCs w:val="24"/>
        </w:rPr>
        <w:t xml:space="preserve"> these activities involve students in broader community improvement efforts and can lead to opportunities to build their confidence and apply their skills. </w:t>
      </w:r>
    </w:p>
    <w:p w14:paraId="0000026F" w14:textId="359B7515" w:rsidR="002F3C8D" w:rsidRPr="00B131CA" w:rsidRDefault="00242589" w:rsidP="00F057C2">
      <w:pPr>
        <w:numPr>
          <w:ilvl w:val="0"/>
          <w:numId w:val="15"/>
        </w:numPr>
        <w:pBdr>
          <w:top w:val="nil"/>
          <w:left w:val="nil"/>
          <w:bottom w:val="nil"/>
          <w:right w:val="nil"/>
          <w:between w:val="nil"/>
        </w:pBdr>
        <w:tabs>
          <w:tab w:val="left" w:pos="1080"/>
        </w:tabs>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w:t>
      </w:r>
      <w:r w:rsidR="00BF5CDA" w:rsidRPr="00B131CA">
        <w:rPr>
          <w:rFonts w:ascii="Times New Roman" w:eastAsia="Times New Roman" w:hAnsi="Times New Roman" w:cs="Times New Roman"/>
          <w:color w:val="000000"/>
          <w:sz w:val="24"/>
          <w:szCs w:val="24"/>
        </w:rPr>
        <w:t>ponsor</w:t>
      </w:r>
      <w:r w:rsidR="00A74D65">
        <w:rPr>
          <w:rFonts w:ascii="Times New Roman" w:eastAsia="Times New Roman" w:hAnsi="Times New Roman" w:cs="Times New Roman"/>
          <w:color w:val="000000"/>
          <w:sz w:val="24"/>
          <w:szCs w:val="24"/>
        </w:rPr>
        <w:t>ing</w:t>
      </w:r>
      <w:r w:rsidR="00BF5CDA" w:rsidRPr="007144D4">
        <w:rPr>
          <w:rFonts w:ascii="Times New Roman" w:hAnsi="Times New Roman"/>
          <w:color w:val="000000"/>
          <w:sz w:val="24"/>
        </w:rPr>
        <w:t xml:space="preserve"> work-based learning experiences.</w:t>
      </w:r>
      <w:r w:rsidR="00BF5CDA" w:rsidRPr="00B131CA">
        <w:rPr>
          <w:rFonts w:ascii="Times New Roman" w:eastAsia="Times New Roman" w:hAnsi="Times New Roman" w:cs="Times New Roman"/>
          <w:color w:val="000000"/>
          <w:sz w:val="24"/>
          <w:szCs w:val="24"/>
        </w:rPr>
        <w:t xml:space="preserve"> Employers and </w:t>
      </w:r>
      <w:r w:rsidR="00BF5CDA" w:rsidRPr="00B131CA">
        <w:rPr>
          <w:rFonts w:ascii="Times New Roman" w:eastAsia="Times New Roman" w:hAnsi="Times New Roman" w:cs="Times New Roman"/>
          <w:sz w:val="24"/>
          <w:szCs w:val="24"/>
        </w:rPr>
        <w:t>nonprofits</w:t>
      </w:r>
      <w:r w:rsidR="00BF5CDA" w:rsidRPr="00B131CA">
        <w:rPr>
          <w:rFonts w:ascii="Times New Roman" w:eastAsia="Times New Roman" w:hAnsi="Times New Roman" w:cs="Times New Roman"/>
          <w:color w:val="000000"/>
          <w:sz w:val="24"/>
          <w:szCs w:val="24"/>
        </w:rPr>
        <w:t xml:space="preserve"> can offer students work-based learning experiences. These can vary from single day visits to work sites</w:t>
      </w:r>
      <w:r w:rsidR="00152282">
        <w:rPr>
          <w:rFonts w:ascii="Times New Roman" w:eastAsia="Times New Roman" w:hAnsi="Times New Roman" w:cs="Times New Roman"/>
          <w:color w:val="000000"/>
          <w:sz w:val="24"/>
          <w:szCs w:val="24"/>
        </w:rPr>
        <w:t xml:space="preserve"> and job shadowing</w:t>
      </w:r>
      <w:r w:rsidR="00BF5CDA" w:rsidRPr="00B131CA">
        <w:rPr>
          <w:rFonts w:ascii="Times New Roman" w:eastAsia="Times New Roman" w:hAnsi="Times New Roman" w:cs="Times New Roman"/>
          <w:color w:val="000000"/>
          <w:sz w:val="24"/>
          <w:szCs w:val="24"/>
        </w:rPr>
        <w:t xml:space="preserve"> to formal internships. Employers with high rates of growth and need for employees or employers in relatively unknown fields may be candidates to provide these experiences to increase awareness of the career opportunities in their </w:t>
      </w:r>
      <w:r w:rsidR="001C78FF">
        <w:rPr>
          <w:rFonts w:ascii="Times New Roman" w:eastAsia="Times New Roman" w:hAnsi="Times New Roman" w:cs="Times New Roman"/>
          <w:color w:val="000000"/>
          <w:sz w:val="24"/>
          <w:szCs w:val="24"/>
        </w:rPr>
        <w:t>sector</w:t>
      </w:r>
      <w:r w:rsidR="00BF5CDA" w:rsidRPr="00B131CA">
        <w:rPr>
          <w:rFonts w:ascii="Times New Roman" w:eastAsia="Times New Roman" w:hAnsi="Times New Roman" w:cs="Times New Roman"/>
          <w:color w:val="000000"/>
          <w:sz w:val="24"/>
          <w:szCs w:val="24"/>
        </w:rPr>
        <w:t>. </w:t>
      </w:r>
    </w:p>
    <w:p w14:paraId="00000270" w14:textId="77777777" w:rsidR="002F3C8D" w:rsidRPr="005C5E03" w:rsidRDefault="002F3C8D" w:rsidP="004C3706">
      <w:pPr>
        <w:pStyle w:val="Heading2"/>
        <w:sectPr w:rsidR="002F3C8D" w:rsidRPr="005C5E03" w:rsidSect="000E656A">
          <w:pgSz w:w="12240" w:h="15840"/>
          <w:pgMar w:top="1440" w:right="1440" w:bottom="1440" w:left="1440" w:header="720" w:footer="720" w:gutter="0"/>
          <w:pgNumType w:chapStyle="2"/>
          <w:cols w:space="720"/>
        </w:sectPr>
      </w:pPr>
    </w:p>
    <w:p w14:paraId="00000271" w14:textId="785BE513" w:rsidR="002F3C8D" w:rsidRPr="00AB56C4" w:rsidRDefault="00BF5CDA" w:rsidP="004C3706">
      <w:pPr>
        <w:pStyle w:val="Heading2"/>
      </w:pPr>
      <w:bookmarkStart w:id="61" w:name="_Toc174088872"/>
      <w:r w:rsidRPr="00AB56C4">
        <w:lastRenderedPageBreak/>
        <w:t>PERFORMANCE ACCOUNTABILITY</w:t>
      </w:r>
      <w:bookmarkEnd w:id="61"/>
    </w:p>
    <w:p w14:paraId="00000272" w14:textId="03172A07" w:rsidR="002F3C8D" w:rsidRPr="00D14FF2" w:rsidRDefault="00BF5CDA" w:rsidP="004A0493">
      <w:pPr>
        <w:pStyle w:val="Heading3"/>
      </w:pPr>
      <w:bookmarkStart w:id="62" w:name="_Toc174088873"/>
      <w:r w:rsidRPr="00D14FF2">
        <w:t>Being a Data and Assessment Leader</w:t>
      </w:r>
      <w:bookmarkEnd w:id="62"/>
    </w:p>
    <w:p w14:paraId="531FFF60" w14:textId="6F274654" w:rsidR="003B05B8" w:rsidRDefault="00BF5CDA">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Performance accountability is as critical a task for program managers as fiscal accountability. Performance accountability shows the state office, your local partners, future funders, and prospective students that your program is worth the investment of their dollars and their time. This section does not address every step that is required, serve as a training manual for the state data reporting system, or cover the primary indicators of performance for WIOA. Rather, this section paints a broad picture through guided questions of the responsibilities that are encompassed in the program manager’s role as a data and assessment leader. </w:t>
      </w:r>
      <w:r w:rsidR="00DE0C24">
        <w:rPr>
          <w:rFonts w:ascii="Times New Roman" w:eastAsia="Times New Roman" w:hAnsi="Times New Roman" w:cs="Times New Roman"/>
          <w:sz w:val="24"/>
          <w:szCs w:val="24"/>
        </w:rPr>
        <w:t xml:space="preserve">Reminder that </w:t>
      </w:r>
      <w:r w:rsidR="00DE0C24">
        <w:rPr>
          <w:rFonts w:ascii="Times New Roman" w:eastAsia="Times New Roman" w:hAnsi="Times New Roman" w:cs="Times New Roman"/>
          <w:color w:val="000000"/>
          <w:sz w:val="24"/>
          <w:szCs w:val="24"/>
        </w:rPr>
        <w:t>PY2024-2025 will be a transition year for Virginia to implement the new National Reporting System (NRS) allowance for alternative placement for select enrollment paths. This information is available separately as it is still evolving.</w:t>
      </w:r>
    </w:p>
    <w:p w14:paraId="00000273" w14:textId="37A6817B" w:rsidR="002F3C8D" w:rsidRPr="00B131CA" w:rsidRDefault="00881B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April 2024, the VDOE transitioned to the LACES by </w:t>
      </w:r>
      <w:proofErr w:type="spellStart"/>
      <w:r>
        <w:rPr>
          <w:rFonts w:ascii="Times New Roman" w:eastAsia="Times New Roman" w:hAnsi="Times New Roman" w:cs="Times New Roman"/>
          <w:sz w:val="24"/>
          <w:szCs w:val="24"/>
        </w:rPr>
        <w:t>LiteracyPro</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database</w:t>
      </w:r>
      <w:proofErr w:type="gramEnd"/>
      <w:r>
        <w:rPr>
          <w:rFonts w:ascii="Times New Roman" w:eastAsia="Times New Roman" w:hAnsi="Times New Roman" w:cs="Times New Roman"/>
          <w:sz w:val="24"/>
          <w:szCs w:val="24"/>
        </w:rPr>
        <w:t xml:space="preserve"> and it became the official state management information system (MIS). The transition continues to involve a significant amount of training and engagement and, therefore, is listed as a state priority for the remainder of the grant cycle. </w:t>
      </w:r>
      <w:r w:rsidR="00BF5CDA" w:rsidRPr="00B131CA">
        <w:rPr>
          <w:rFonts w:ascii="Times New Roman" w:eastAsia="Times New Roman" w:hAnsi="Times New Roman" w:cs="Times New Roman"/>
          <w:sz w:val="24"/>
          <w:szCs w:val="24"/>
        </w:rPr>
        <w:t xml:space="preserve">The state office, along with </w:t>
      </w:r>
      <w:r>
        <w:rPr>
          <w:rFonts w:ascii="Times New Roman" w:eastAsia="Times New Roman" w:hAnsi="Times New Roman" w:cs="Times New Roman"/>
          <w:sz w:val="24"/>
          <w:szCs w:val="24"/>
        </w:rPr>
        <w:t xml:space="preserve">the LACES by </w:t>
      </w:r>
      <w:proofErr w:type="spellStart"/>
      <w:r>
        <w:rPr>
          <w:rFonts w:ascii="Times New Roman" w:eastAsia="Times New Roman" w:hAnsi="Times New Roman" w:cs="Times New Roman"/>
          <w:sz w:val="24"/>
          <w:szCs w:val="24"/>
        </w:rPr>
        <w:t>LiteracyPro</w:t>
      </w:r>
      <w:proofErr w:type="spellEnd"/>
      <w:r>
        <w:rPr>
          <w:rFonts w:ascii="Times New Roman" w:eastAsia="Times New Roman" w:hAnsi="Times New Roman" w:cs="Times New Roman"/>
          <w:sz w:val="24"/>
          <w:szCs w:val="24"/>
        </w:rPr>
        <w:t xml:space="preserve"> team and </w:t>
      </w:r>
      <w:r w:rsidR="00BF5CDA" w:rsidRPr="00B131CA">
        <w:rPr>
          <w:rFonts w:ascii="Times New Roman" w:eastAsia="Times New Roman" w:hAnsi="Times New Roman" w:cs="Times New Roman"/>
          <w:sz w:val="24"/>
          <w:szCs w:val="24"/>
        </w:rPr>
        <w:t>the VALRC, offers data trainings and policy updates in a variety of formats throughout the year</w:t>
      </w:r>
      <w:r w:rsidR="00C21E95">
        <w:rPr>
          <w:rFonts w:ascii="Times New Roman" w:eastAsia="Times New Roman" w:hAnsi="Times New Roman" w:cs="Times New Roman"/>
          <w:sz w:val="24"/>
          <w:szCs w:val="24"/>
        </w:rPr>
        <w:t>. I</w:t>
      </w:r>
      <w:r w:rsidR="00BF5CDA" w:rsidRPr="00B131CA">
        <w:rPr>
          <w:rFonts w:ascii="Times New Roman" w:eastAsia="Times New Roman" w:hAnsi="Times New Roman" w:cs="Times New Roman"/>
          <w:sz w:val="24"/>
          <w:szCs w:val="24"/>
        </w:rPr>
        <w:t xml:space="preserve">t is critical that program managers stay </w:t>
      </w:r>
      <w:r w:rsidR="00C21E95">
        <w:rPr>
          <w:rFonts w:ascii="Times New Roman" w:eastAsia="Times New Roman" w:hAnsi="Times New Roman" w:cs="Times New Roman"/>
          <w:sz w:val="24"/>
          <w:szCs w:val="24"/>
        </w:rPr>
        <w:t>current</w:t>
      </w:r>
      <w:r w:rsidR="00BF5CDA" w:rsidRPr="00B131CA">
        <w:rPr>
          <w:rFonts w:ascii="Times New Roman" w:eastAsia="Times New Roman" w:hAnsi="Times New Roman" w:cs="Times New Roman"/>
          <w:sz w:val="24"/>
          <w:szCs w:val="24"/>
        </w:rPr>
        <w:t xml:space="preserve"> with </w:t>
      </w:r>
      <w:r w:rsidR="00C21E95">
        <w:rPr>
          <w:rFonts w:ascii="Times New Roman" w:eastAsia="Times New Roman" w:hAnsi="Times New Roman" w:cs="Times New Roman"/>
          <w:sz w:val="24"/>
          <w:szCs w:val="24"/>
        </w:rPr>
        <w:t xml:space="preserve">state </w:t>
      </w:r>
      <w:r w:rsidR="00BF5CDA" w:rsidRPr="00B131CA">
        <w:rPr>
          <w:rFonts w:ascii="Times New Roman" w:eastAsia="Times New Roman" w:hAnsi="Times New Roman" w:cs="Times New Roman"/>
          <w:sz w:val="24"/>
          <w:szCs w:val="24"/>
        </w:rPr>
        <w:t xml:space="preserve">data policies. </w:t>
      </w:r>
      <w:r w:rsidR="003B05B8" w:rsidRPr="00715AF8">
        <w:rPr>
          <w:rFonts w:ascii="Times New Roman" w:eastAsia="Times New Roman" w:hAnsi="Times New Roman" w:cs="Times New Roman"/>
          <w:sz w:val="24"/>
          <w:szCs w:val="24"/>
        </w:rPr>
        <w:t xml:space="preserve">New managers may find </w:t>
      </w:r>
      <w:r w:rsidR="00C21E95">
        <w:rPr>
          <w:rFonts w:ascii="Times New Roman" w:eastAsia="Times New Roman" w:hAnsi="Times New Roman" w:cs="Times New Roman"/>
          <w:sz w:val="24"/>
          <w:szCs w:val="24"/>
        </w:rPr>
        <w:t xml:space="preserve">it </w:t>
      </w:r>
      <w:r w:rsidR="003B05B8" w:rsidRPr="00715AF8">
        <w:rPr>
          <w:rFonts w:ascii="Times New Roman" w:eastAsia="Times New Roman" w:hAnsi="Times New Roman" w:cs="Times New Roman"/>
          <w:sz w:val="24"/>
          <w:szCs w:val="24"/>
        </w:rPr>
        <w:t xml:space="preserve">useful </w:t>
      </w:r>
      <w:r w:rsidR="00C21E95">
        <w:rPr>
          <w:rFonts w:ascii="Times New Roman" w:eastAsia="Times New Roman" w:hAnsi="Times New Roman" w:cs="Times New Roman"/>
          <w:sz w:val="24"/>
          <w:szCs w:val="24"/>
        </w:rPr>
        <w:t xml:space="preserve">to review </w:t>
      </w:r>
      <w:r w:rsidR="003B05B8" w:rsidRPr="00715AF8">
        <w:rPr>
          <w:rFonts w:ascii="Times New Roman" w:eastAsia="Times New Roman" w:hAnsi="Times New Roman" w:cs="Times New Roman"/>
          <w:sz w:val="24"/>
          <w:szCs w:val="24"/>
        </w:rPr>
        <w:t xml:space="preserve">the NRS technical assistance </w:t>
      </w:r>
      <w:r w:rsidR="00DE0C24">
        <w:rPr>
          <w:rFonts w:ascii="Times New Roman" w:eastAsia="Times New Roman" w:hAnsi="Times New Roman" w:cs="Times New Roman"/>
          <w:sz w:val="24"/>
          <w:szCs w:val="24"/>
        </w:rPr>
        <w:t>resource</w:t>
      </w:r>
      <w:r w:rsidR="003B05B8" w:rsidRPr="00715AF8">
        <w:rPr>
          <w:rFonts w:ascii="Times New Roman" w:eastAsia="Times New Roman" w:hAnsi="Times New Roman" w:cs="Times New Roman"/>
          <w:sz w:val="24"/>
          <w:szCs w:val="24"/>
        </w:rPr>
        <w:t xml:space="preserve">: </w:t>
      </w:r>
      <w:hyperlink r:id="rId133" w:history="1">
        <w:r w:rsidR="003B05B8" w:rsidRPr="00715AF8">
          <w:rPr>
            <w:rStyle w:val="Hyperlink"/>
            <w:rFonts w:ascii="Times New Roman" w:hAnsi="Times New Roman" w:cs="Times New Roman"/>
            <w:i/>
            <w:sz w:val="24"/>
            <w:szCs w:val="24"/>
          </w:rPr>
          <w:t>The First 90 Days: A Checklist for New NRS Data Leaders</w:t>
        </w:r>
      </w:hyperlink>
      <w:r w:rsidR="003B05B8" w:rsidRPr="00715AF8">
        <w:rPr>
          <w:rFonts w:ascii="Times New Roman" w:hAnsi="Times New Roman" w:cs="Times New Roman"/>
          <w:i/>
          <w:sz w:val="24"/>
          <w:szCs w:val="24"/>
        </w:rPr>
        <w:t xml:space="preserve">. </w:t>
      </w:r>
      <w:r w:rsidR="003B05B8" w:rsidRPr="00715AF8">
        <w:rPr>
          <w:rFonts w:ascii="Times New Roman" w:hAnsi="Times New Roman" w:cs="Times New Roman"/>
          <w:sz w:val="24"/>
          <w:szCs w:val="24"/>
        </w:rPr>
        <w:t xml:space="preserve">This checklist is designed to help </w:t>
      </w:r>
      <w:r w:rsidR="003B05B8" w:rsidRPr="00715AF8">
        <w:rPr>
          <w:rFonts w:ascii="Times New Roman" w:eastAsia="Times New Roman" w:hAnsi="Times New Roman" w:cs="Times New Roman"/>
          <w:sz w:val="24"/>
          <w:szCs w:val="24"/>
        </w:rPr>
        <w:t xml:space="preserve">new NRS data leaders develop a strategic plan for the first 90 days in their role. It highlights key tasks that will help individuals establish themselves as </w:t>
      </w:r>
      <w:r w:rsidR="004A015C">
        <w:rPr>
          <w:rFonts w:ascii="Times New Roman" w:eastAsia="Times New Roman" w:hAnsi="Times New Roman" w:cs="Times New Roman"/>
          <w:sz w:val="24"/>
          <w:szCs w:val="24"/>
        </w:rPr>
        <w:t xml:space="preserve">NRS </w:t>
      </w:r>
      <w:r w:rsidR="003B05B8" w:rsidRPr="00715AF8">
        <w:rPr>
          <w:rFonts w:ascii="Times New Roman" w:eastAsia="Times New Roman" w:hAnsi="Times New Roman" w:cs="Times New Roman"/>
          <w:sz w:val="24"/>
          <w:szCs w:val="24"/>
        </w:rPr>
        <w:t xml:space="preserve">data leaders and create a plan to </w:t>
      </w:r>
      <w:r w:rsidR="004A015C">
        <w:rPr>
          <w:rFonts w:ascii="Times New Roman" w:eastAsia="Times New Roman" w:hAnsi="Times New Roman" w:cs="Times New Roman"/>
          <w:sz w:val="24"/>
          <w:szCs w:val="24"/>
        </w:rPr>
        <w:t>assume</w:t>
      </w:r>
      <w:r w:rsidR="004A015C" w:rsidRPr="00715AF8">
        <w:rPr>
          <w:rFonts w:ascii="Times New Roman" w:eastAsia="Times New Roman" w:hAnsi="Times New Roman" w:cs="Times New Roman"/>
          <w:sz w:val="24"/>
          <w:szCs w:val="24"/>
        </w:rPr>
        <w:t xml:space="preserve"> </w:t>
      </w:r>
      <w:r w:rsidR="003B05B8" w:rsidRPr="00715AF8">
        <w:rPr>
          <w:rFonts w:ascii="Times New Roman" w:eastAsia="Times New Roman" w:hAnsi="Times New Roman" w:cs="Times New Roman"/>
          <w:sz w:val="24"/>
          <w:szCs w:val="24"/>
        </w:rPr>
        <w:t xml:space="preserve">their new </w:t>
      </w:r>
      <w:r w:rsidR="004A015C">
        <w:rPr>
          <w:rFonts w:ascii="Times New Roman" w:eastAsia="Times New Roman" w:hAnsi="Times New Roman" w:cs="Times New Roman"/>
          <w:sz w:val="24"/>
          <w:szCs w:val="24"/>
        </w:rPr>
        <w:t>responsibilities</w:t>
      </w:r>
      <w:r w:rsidR="003B05B8" w:rsidRPr="00715AF8">
        <w:rPr>
          <w:rFonts w:ascii="Times New Roman" w:eastAsia="Times New Roman" w:hAnsi="Times New Roman" w:cs="Times New Roman"/>
          <w:sz w:val="24"/>
          <w:szCs w:val="24"/>
        </w:rPr>
        <w:t>.</w:t>
      </w:r>
    </w:p>
    <w:p w14:paraId="00000274" w14:textId="4DB45603" w:rsidR="002F3C8D" w:rsidRPr="00A00DD7" w:rsidRDefault="00BF5CDA" w:rsidP="008D03B8">
      <w:pPr>
        <w:pStyle w:val="Heading4"/>
        <w:rPr>
          <w:i/>
        </w:rPr>
      </w:pPr>
      <w:bookmarkStart w:id="63" w:name="_Toc174088874"/>
      <w:r w:rsidRPr="00A00DD7">
        <w:t>Managing Data Collection and Entry</w:t>
      </w:r>
      <w:bookmarkEnd w:id="63"/>
    </w:p>
    <w:p w14:paraId="00000275" w14:textId="25BDF994" w:rsidR="002F3C8D" w:rsidRPr="00B131CA" w:rsidRDefault="00BF5CDA">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Data collection begins with an interaction with each prospective student. Establishing protocols and expectations for front-line staff on how to register students </w:t>
      </w:r>
      <w:r w:rsidR="00881B3B" w:rsidRPr="00B131CA">
        <w:rPr>
          <w:rFonts w:ascii="Times New Roman" w:eastAsia="Times New Roman" w:hAnsi="Times New Roman" w:cs="Times New Roman"/>
          <w:sz w:val="24"/>
          <w:szCs w:val="24"/>
        </w:rPr>
        <w:t>is the first step to ensuring high-quality data</w:t>
      </w:r>
      <w:r w:rsidR="00881B3B">
        <w:rPr>
          <w:rFonts w:ascii="Times New Roman" w:eastAsia="Times New Roman" w:hAnsi="Times New Roman" w:cs="Times New Roman"/>
          <w:sz w:val="24"/>
          <w:szCs w:val="24"/>
        </w:rPr>
        <w:t>. This process begins</w:t>
      </w:r>
      <w:r w:rsidR="00881B3B"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by</w:t>
      </w:r>
      <w:r w:rsidR="00881B3B">
        <w:rPr>
          <w:rFonts w:ascii="Times New Roman" w:eastAsia="Times New Roman" w:hAnsi="Times New Roman" w:cs="Times New Roman"/>
          <w:sz w:val="24"/>
          <w:szCs w:val="24"/>
        </w:rPr>
        <w:t xml:space="preserve"> having students</w:t>
      </w:r>
      <w:r w:rsidRPr="00B131CA">
        <w:rPr>
          <w:rFonts w:ascii="Times New Roman" w:eastAsia="Times New Roman" w:hAnsi="Times New Roman" w:cs="Times New Roman"/>
          <w:sz w:val="24"/>
          <w:szCs w:val="24"/>
        </w:rPr>
        <w:t xml:space="preserve"> </w:t>
      </w:r>
      <w:proofErr w:type="gramStart"/>
      <w:r w:rsidRPr="00B131CA">
        <w:rPr>
          <w:rFonts w:ascii="Times New Roman" w:eastAsia="Times New Roman" w:hAnsi="Times New Roman" w:cs="Times New Roman"/>
          <w:sz w:val="24"/>
          <w:szCs w:val="24"/>
        </w:rPr>
        <w:t xml:space="preserve">submit </w:t>
      </w:r>
      <w:r w:rsidR="00881B3B">
        <w:rPr>
          <w:rFonts w:ascii="Times New Roman" w:eastAsia="Times New Roman" w:hAnsi="Times New Roman" w:cs="Times New Roman"/>
          <w:sz w:val="24"/>
          <w:szCs w:val="24"/>
        </w:rPr>
        <w:t>an application</w:t>
      </w:r>
      <w:proofErr w:type="gramEnd"/>
      <w:r w:rsidR="00881B3B">
        <w:rPr>
          <w:rFonts w:ascii="Times New Roman" w:eastAsia="Times New Roman" w:hAnsi="Times New Roman" w:cs="Times New Roman"/>
          <w:sz w:val="24"/>
          <w:szCs w:val="24"/>
        </w:rPr>
        <w:t xml:space="preserve"> through the Virginia Student Profile online or on paper as </w:t>
      </w:r>
      <w:r w:rsidRPr="00B131CA">
        <w:rPr>
          <w:rFonts w:ascii="Times New Roman" w:eastAsia="Times New Roman" w:hAnsi="Times New Roman" w:cs="Times New Roman"/>
          <w:sz w:val="24"/>
          <w:szCs w:val="24"/>
        </w:rPr>
        <w:t>the Adult Student Profile Document (ASPD</w:t>
      </w:r>
      <w:r w:rsidR="00C53473" w:rsidRPr="00B131CA">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 xml:space="preserve"> </w:t>
      </w:r>
    </w:p>
    <w:p w14:paraId="00000276" w14:textId="30E5B01A" w:rsidR="002F3C8D" w:rsidRPr="00B131CA" w:rsidRDefault="00BF5CDA">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The information </w:t>
      </w:r>
      <w:r w:rsidR="00881B3B">
        <w:rPr>
          <w:rFonts w:ascii="Times New Roman" w:eastAsia="Times New Roman" w:hAnsi="Times New Roman" w:cs="Times New Roman"/>
          <w:sz w:val="24"/>
          <w:szCs w:val="24"/>
        </w:rPr>
        <w:t>captured at intake</w:t>
      </w:r>
      <w:r w:rsidRPr="00B131CA">
        <w:rPr>
          <w:rFonts w:ascii="Times New Roman" w:eastAsia="Times New Roman" w:hAnsi="Times New Roman" w:cs="Times New Roman"/>
          <w:sz w:val="24"/>
          <w:szCs w:val="24"/>
        </w:rPr>
        <w:t xml:space="preserve"> is personally identifiable information (PII) that </w:t>
      </w:r>
      <w:r w:rsidR="004A015C">
        <w:rPr>
          <w:rFonts w:ascii="Times New Roman" w:eastAsia="Times New Roman" w:hAnsi="Times New Roman" w:cs="Times New Roman"/>
          <w:sz w:val="24"/>
          <w:szCs w:val="24"/>
        </w:rPr>
        <w:t xml:space="preserve">is sensitive and </w:t>
      </w:r>
      <w:r w:rsidRPr="00B131CA">
        <w:rPr>
          <w:rFonts w:ascii="Times New Roman" w:eastAsia="Times New Roman" w:hAnsi="Times New Roman" w:cs="Times New Roman"/>
          <w:sz w:val="24"/>
          <w:szCs w:val="24"/>
        </w:rPr>
        <w:t xml:space="preserve">must be treated </w:t>
      </w:r>
      <w:r w:rsidR="004A015C">
        <w:rPr>
          <w:rFonts w:ascii="Times New Roman" w:eastAsia="Times New Roman" w:hAnsi="Times New Roman" w:cs="Times New Roman"/>
          <w:sz w:val="24"/>
          <w:szCs w:val="24"/>
        </w:rPr>
        <w:t>in accordance with local provide</w:t>
      </w:r>
      <w:r w:rsidR="00DE0C24">
        <w:rPr>
          <w:rFonts w:ascii="Times New Roman" w:eastAsia="Times New Roman" w:hAnsi="Times New Roman" w:cs="Times New Roman"/>
          <w:sz w:val="24"/>
          <w:szCs w:val="24"/>
        </w:rPr>
        <w:t>r</w:t>
      </w:r>
      <w:r w:rsidR="004A015C">
        <w:rPr>
          <w:rFonts w:ascii="Times New Roman" w:eastAsia="Times New Roman" w:hAnsi="Times New Roman" w:cs="Times New Roman"/>
          <w:sz w:val="24"/>
          <w:szCs w:val="24"/>
        </w:rPr>
        <w:t xml:space="preserve"> security standards and procedures</w:t>
      </w:r>
      <w:r w:rsidRPr="00B131CA">
        <w:rPr>
          <w:rFonts w:ascii="Times New Roman" w:eastAsia="Times New Roman" w:hAnsi="Times New Roman" w:cs="Times New Roman"/>
          <w:sz w:val="24"/>
          <w:szCs w:val="24"/>
        </w:rPr>
        <w:t xml:space="preserve">. Providers must have protocols in place to safeguard the confidentiality of this information during registration, in storage, and </w:t>
      </w:r>
      <w:r w:rsidR="004A015C">
        <w:rPr>
          <w:rFonts w:ascii="Times New Roman" w:eastAsia="Times New Roman" w:hAnsi="Times New Roman" w:cs="Times New Roman"/>
          <w:sz w:val="24"/>
          <w:szCs w:val="24"/>
        </w:rPr>
        <w:t>while being transported (if required)</w:t>
      </w:r>
      <w:r w:rsidRPr="00B131CA">
        <w:rPr>
          <w:rFonts w:ascii="Times New Roman" w:eastAsia="Times New Roman" w:hAnsi="Times New Roman" w:cs="Times New Roman"/>
          <w:sz w:val="24"/>
          <w:szCs w:val="24"/>
        </w:rPr>
        <w:t>. Guidelines for lockable storage</w:t>
      </w:r>
      <w:r w:rsidR="004A015C">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secure transfer</w:t>
      </w:r>
      <w:r w:rsidR="004A015C">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 xml:space="preserve"> and protocols for staff should be </w:t>
      </w:r>
      <w:r w:rsidR="004A015C">
        <w:rPr>
          <w:rFonts w:ascii="Times New Roman" w:eastAsia="Times New Roman" w:hAnsi="Times New Roman" w:cs="Times New Roman"/>
          <w:sz w:val="24"/>
          <w:szCs w:val="24"/>
        </w:rPr>
        <w:t>disseminated to staff</w:t>
      </w:r>
      <w:r w:rsidR="004A015C"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and the </w:t>
      </w:r>
      <w:r w:rsidR="004A015C">
        <w:rPr>
          <w:rFonts w:ascii="Times New Roman" w:eastAsia="Times New Roman" w:hAnsi="Times New Roman" w:cs="Times New Roman"/>
          <w:sz w:val="24"/>
          <w:szCs w:val="24"/>
        </w:rPr>
        <w:t>compliance with procedures</w:t>
      </w:r>
      <w:r w:rsidR="004A015C"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should be monitored regularly.</w:t>
      </w:r>
    </w:p>
    <w:p w14:paraId="00000277" w14:textId="32E85F8A" w:rsidR="002F3C8D" w:rsidRDefault="00BF5CDA">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All instructors should be familiar with their responsibilities in relation to the current </w:t>
      </w:r>
      <w:hyperlink r:id="rId134">
        <w:r w:rsidRPr="00233A9A">
          <w:rPr>
            <w:rFonts w:ascii="Times New Roman" w:eastAsia="Times New Roman" w:hAnsi="Times New Roman" w:cs="Times New Roman"/>
            <w:i/>
            <w:color w:val="0000FF"/>
            <w:sz w:val="24"/>
            <w:szCs w:val="24"/>
            <w:u w:val="single"/>
          </w:rPr>
          <w:t>Assessment and Distance Education Policy for Virginia Adult Education and Literacy Programs</w:t>
        </w:r>
      </w:hyperlink>
      <w:r w:rsidRPr="00B131CA">
        <w:rPr>
          <w:rFonts w:ascii="Times New Roman" w:eastAsia="Times New Roman" w:hAnsi="Times New Roman" w:cs="Times New Roman"/>
          <w:sz w:val="24"/>
          <w:szCs w:val="24"/>
        </w:rPr>
        <w:t>, which is renewed each program year. The policy describes the steps pro</w:t>
      </w:r>
      <w:r w:rsidR="003A337D">
        <w:rPr>
          <w:rFonts w:ascii="Times New Roman" w:eastAsia="Times New Roman" w:hAnsi="Times New Roman" w:cs="Times New Roman"/>
          <w:sz w:val="24"/>
          <w:szCs w:val="24"/>
        </w:rPr>
        <w:t>viders</w:t>
      </w:r>
      <w:r w:rsidRPr="00B131CA">
        <w:rPr>
          <w:rFonts w:ascii="Times New Roman" w:eastAsia="Times New Roman" w:hAnsi="Times New Roman" w:cs="Times New Roman"/>
          <w:sz w:val="24"/>
          <w:szCs w:val="24"/>
        </w:rPr>
        <w:t xml:space="preserve"> must take to ensure valid and reliable assessments are administered to students and recorded in the state MIS</w:t>
      </w:r>
      <w:r w:rsidR="003A337D">
        <w:rPr>
          <w:rFonts w:ascii="Times New Roman" w:eastAsia="Times New Roman" w:hAnsi="Times New Roman" w:cs="Times New Roman"/>
          <w:sz w:val="24"/>
          <w:szCs w:val="24"/>
        </w:rPr>
        <w:t>, including the requirement that all staff administering assessments must be certified to do so.</w:t>
      </w:r>
      <w:r w:rsidRPr="00B131CA">
        <w:rPr>
          <w:rFonts w:ascii="Times New Roman" w:eastAsia="Times New Roman" w:hAnsi="Times New Roman" w:cs="Times New Roman"/>
          <w:sz w:val="24"/>
          <w:szCs w:val="24"/>
        </w:rPr>
        <w:t xml:space="preserve"> Whether pre- </w:t>
      </w:r>
      <w:r w:rsidRPr="00B131CA">
        <w:rPr>
          <w:rFonts w:ascii="Times New Roman" w:eastAsia="Times New Roman" w:hAnsi="Times New Roman" w:cs="Times New Roman"/>
          <w:sz w:val="24"/>
          <w:szCs w:val="24"/>
        </w:rPr>
        <w:lastRenderedPageBreak/>
        <w:t>and post-tests are administered in a central location, remotely, or in the classroom, instructors should understand and follow the processes and the expectations established in your program</w:t>
      </w:r>
      <w:r w:rsidR="003A337D">
        <w:rPr>
          <w:rFonts w:ascii="Times New Roman" w:eastAsia="Times New Roman" w:hAnsi="Times New Roman" w:cs="Times New Roman"/>
          <w:sz w:val="24"/>
          <w:szCs w:val="24"/>
        </w:rPr>
        <w:t xml:space="preserve"> and by the test publisher(s)</w:t>
      </w:r>
      <w:r w:rsidRPr="00B131CA">
        <w:rPr>
          <w:rFonts w:ascii="Times New Roman" w:eastAsia="Times New Roman" w:hAnsi="Times New Roman" w:cs="Times New Roman"/>
          <w:sz w:val="24"/>
          <w:szCs w:val="24"/>
        </w:rPr>
        <w:t xml:space="preserve">. </w:t>
      </w:r>
    </w:p>
    <w:p w14:paraId="2D6A596C" w14:textId="4BF19E29" w:rsidR="00881B3B" w:rsidRPr="00B131CA" w:rsidRDefault="00881B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Entering data as soon as possible (test scores, enrollment, goal achievement, etc.) is a best practice for ensuring high-quality data. The LACES database has several </w:t>
      </w:r>
      <w:r w:rsidR="005A1FF4">
        <w:rPr>
          <w:rFonts w:ascii="Times New Roman" w:eastAsia="Times New Roman" w:hAnsi="Times New Roman" w:cs="Times New Roman"/>
          <w:sz w:val="24"/>
          <w:szCs w:val="24"/>
        </w:rPr>
        <w:t>features that assist pro</w:t>
      </w:r>
      <w:r w:rsidR="00DE0C24">
        <w:rPr>
          <w:rFonts w:ascii="Times New Roman" w:eastAsia="Times New Roman" w:hAnsi="Times New Roman" w:cs="Times New Roman"/>
          <w:sz w:val="24"/>
          <w:szCs w:val="24"/>
        </w:rPr>
        <w:t>viders</w:t>
      </w:r>
      <w:r w:rsidR="005A1FF4">
        <w:rPr>
          <w:rFonts w:ascii="Times New Roman" w:eastAsia="Times New Roman" w:hAnsi="Times New Roman" w:cs="Times New Roman"/>
          <w:sz w:val="24"/>
          <w:szCs w:val="24"/>
        </w:rPr>
        <w:t xml:space="preserve"> such as nightly integrations of some assessment data and diagnostic reports that identify data gaps. The </w:t>
      </w:r>
      <w:hyperlink r:id="rId135" w:history="1">
        <w:r w:rsidR="005A1FF4" w:rsidRPr="00EB14D5">
          <w:rPr>
            <w:rStyle w:val="Hyperlink"/>
            <w:rFonts w:ascii="Times New Roman" w:eastAsia="Times New Roman" w:hAnsi="Times New Roman" w:cs="Times New Roman"/>
            <w:sz w:val="24"/>
            <w:szCs w:val="24"/>
          </w:rPr>
          <w:t>VDOE Data Entry Guidance</w:t>
        </w:r>
      </w:hyperlink>
      <w:r w:rsidR="005A1FF4">
        <w:rPr>
          <w:rFonts w:ascii="Times New Roman" w:eastAsia="Times New Roman" w:hAnsi="Times New Roman" w:cs="Times New Roman"/>
          <w:sz w:val="24"/>
          <w:szCs w:val="24"/>
        </w:rPr>
        <w:t xml:space="preserve"> requires that programs establish a monthly schedule </w:t>
      </w:r>
      <w:r w:rsidR="00DE0C24">
        <w:rPr>
          <w:rFonts w:ascii="Times New Roman" w:eastAsia="Times New Roman" w:hAnsi="Times New Roman" w:cs="Times New Roman"/>
          <w:sz w:val="24"/>
          <w:szCs w:val="24"/>
        </w:rPr>
        <w:t xml:space="preserve">to </w:t>
      </w:r>
      <w:r w:rsidR="005A1FF4">
        <w:rPr>
          <w:rFonts w:ascii="Times New Roman" w:eastAsia="Times New Roman" w:hAnsi="Times New Roman" w:cs="Times New Roman"/>
          <w:sz w:val="24"/>
          <w:szCs w:val="24"/>
        </w:rPr>
        <w:t>validat</w:t>
      </w:r>
      <w:r w:rsidR="00DE0C24">
        <w:rPr>
          <w:rFonts w:ascii="Times New Roman" w:eastAsia="Times New Roman" w:hAnsi="Times New Roman" w:cs="Times New Roman"/>
          <w:sz w:val="24"/>
          <w:szCs w:val="24"/>
        </w:rPr>
        <w:t>e</w:t>
      </w:r>
      <w:r w:rsidR="005A1FF4">
        <w:rPr>
          <w:rFonts w:ascii="Times New Roman" w:eastAsia="Times New Roman" w:hAnsi="Times New Roman" w:cs="Times New Roman"/>
          <w:sz w:val="24"/>
          <w:szCs w:val="24"/>
        </w:rPr>
        <w:t xml:space="preserve"> that all student activity data is entered by the 20</w:t>
      </w:r>
      <w:r w:rsidR="005A1FF4" w:rsidRPr="005009D5">
        <w:rPr>
          <w:rFonts w:ascii="Times New Roman" w:eastAsia="Times New Roman" w:hAnsi="Times New Roman" w:cs="Times New Roman"/>
          <w:sz w:val="24"/>
          <w:szCs w:val="24"/>
          <w:vertAlign w:val="superscript"/>
        </w:rPr>
        <w:t>th</w:t>
      </w:r>
      <w:r w:rsidR="005A1FF4">
        <w:rPr>
          <w:rFonts w:ascii="Times New Roman" w:eastAsia="Times New Roman" w:hAnsi="Times New Roman" w:cs="Times New Roman"/>
          <w:sz w:val="24"/>
          <w:szCs w:val="24"/>
        </w:rPr>
        <w:t xml:space="preserve"> of the following month. </w:t>
      </w:r>
    </w:p>
    <w:p w14:paraId="0000027C" w14:textId="77777777" w:rsidR="002F3C8D" w:rsidRPr="006B0195" w:rsidRDefault="00BF5CDA" w:rsidP="008D03B8">
      <w:pPr>
        <w:pStyle w:val="Heading4"/>
      </w:pPr>
      <w:bookmarkStart w:id="64" w:name="_Toc174088875"/>
      <w:r w:rsidRPr="006B0195">
        <w:t>Managing the Data Flow and Reporting</w:t>
      </w:r>
      <w:bookmarkEnd w:id="64"/>
    </w:p>
    <w:p w14:paraId="0000027D" w14:textId="09441ED5" w:rsidR="002F3C8D" w:rsidRPr="00B131CA" w:rsidRDefault="00BF5CDA">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How do </w:t>
      </w:r>
      <w:r w:rsidR="005A1FF4">
        <w:rPr>
          <w:rFonts w:ascii="Times New Roman" w:eastAsia="Times New Roman" w:hAnsi="Times New Roman" w:cs="Times New Roman"/>
          <w:sz w:val="24"/>
          <w:szCs w:val="24"/>
        </w:rPr>
        <w:t>student intake record</w:t>
      </w:r>
      <w:r w:rsidR="005A1FF4" w:rsidRPr="00B131CA">
        <w:rPr>
          <w:rFonts w:ascii="Times New Roman" w:eastAsia="Times New Roman" w:hAnsi="Times New Roman" w:cs="Times New Roman"/>
          <w:sz w:val="24"/>
          <w:szCs w:val="24"/>
        </w:rPr>
        <w:t>s</w:t>
      </w:r>
      <w:r w:rsidRPr="00B131CA">
        <w:rPr>
          <w:rFonts w:ascii="Times New Roman" w:eastAsia="Times New Roman" w:hAnsi="Times New Roman" w:cs="Times New Roman"/>
          <w:sz w:val="24"/>
          <w:szCs w:val="24"/>
        </w:rPr>
        <w:t>, attendance hours, test results, and other data “flow” in your program? Answering the following questions can reveal that flow and expose processes that may need strengthening</w:t>
      </w:r>
      <w:r w:rsidR="00A74D65">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 xml:space="preserve"> </w:t>
      </w:r>
    </w:p>
    <w:p w14:paraId="0000027E" w14:textId="77777777" w:rsidR="002F3C8D" w:rsidRPr="00B131CA" w:rsidRDefault="00BF5CDA" w:rsidP="00022694">
      <w:pPr>
        <w:numPr>
          <w:ilvl w:val="0"/>
          <w:numId w:val="31"/>
        </w:numPr>
        <w:spacing w:after="0"/>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What is the secure process by which sensitive data are collected or reported from satellite sites to the central office? </w:t>
      </w:r>
    </w:p>
    <w:p w14:paraId="0000027F" w14:textId="77777777" w:rsidR="002F3C8D" w:rsidRPr="00B131CA" w:rsidRDefault="00BF5CDA" w:rsidP="00022694">
      <w:pPr>
        <w:numPr>
          <w:ilvl w:val="0"/>
          <w:numId w:val="31"/>
        </w:numPr>
        <w:spacing w:after="0"/>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What is the schedule to ensure the central office staff enters attendance and testing data according to the required timelines?</w:t>
      </w:r>
    </w:p>
    <w:p w14:paraId="00000280" w14:textId="77777777" w:rsidR="002F3C8D" w:rsidRPr="00B131CA" w:rsidRDefault="00BF5CDA" w:rsidP="00022694">
      <w:pPr>
        <w:numPr>
          <w:ilvl w:val="0"/>
          <w:numId w:val="31"/>
        </w:numPr>
        <w:spacing w:after="0"/>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What data policies and procedures are established by the fiscal agent of the regional office and any local agencies? </w:t>
      </w:r>
    </w:p>
    <w:p w14:paraId="00000281" w14:textId="0A1182B4" w:rsidR="002F3C8D" w:rsidRPr="00B131CA" w:rsidRDefault="00BF5CDA" w:rsidP="00022694">
      <w:pPr>
        <w:numPr>
          <w:ilvl w:val="0"/>
          <w:numId w:val="31"/>
        </w:numPr>
        <w:spacing w:after="0"/>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What are the internal controls that ensure the data reported by teachers and local programs to the central office staff are </w:t>
      </w:r>
      <w:r w:rsidR="005A1FF4">
        <w:rPr>
          <w:rFonts w:ascii="Times New Roman" w:eastAsia="Times New Roman" w:hAnsi="Times New Roman" w:cs="Times New Roman"/>
          <w:sz w:val="24"/>
          <w:szCs w:val="24"/>
        </w:rPr>
        <w:t xml:space="preserve">reviewed to determine that they are </w:t>
      </w:r>
      <w:r w:rsidRPr="00B131CA">
        <w:rPr>
          <w:rFonts w:ascii="Times New Roman" w:eastAsia="Times New Roman" w:hAnsi="Times New Roman" w:cs="Times New Roman"/>
          <w:sz w:val="24"/>
          <w:szCs w:val="24"/>
        </w:rPr>
        <w:t xml:space="preserve">accurate and complete? </w:t>
      </w:r>
    </w:p>
    <w:p w14:paraId="00000282" w14:textId="77777777" w:rsidR="002F3C8D" w:rsidRPr="00B131CA" w:rsidRDefault="00BF5CDA" w:rsidP="00022694">
      <w:pPr>
        <w:numPr>
          <w:ilvl w:val="0"/>
          <w:numId w:val="31"/>
        </w:numPr>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What are the internal controls that ensure that the data reported by the regional or program office to the state MIS are accurate and complete? </w:t>
      </w:r>
    </w:p>
    <w:p w14:paraId="00000283" w14:textId="58B398A1" w:rsidR="002F3C8D" w:rsidRPr="00B131CA" w:rsidRDefault="00BF5CDA">
      <w:pPr>
        <w:rPr>
          <w:rFonts w:ascii="Times New Roman" w:eastAsia="Times New Roman" w:hAnsi="Times New Roman" w:cs="Times New Roman"/>
          <w:sz w:val="24"/>
          <w:szCs w:val="24"/>
        </w:rPr>
      </w:pPr>
      <w:proofErr w:type="gramStart"/>
      <w:r w:rsidRPr="00B131CA">
        <w:rPr>
          <w:rFonts w:ascii="Times New Roman" w:eastAsia="Times New Roman" w:hAnsi="Times New Roman" w:cs="Times New Roman"/>
          <w:sz w:val="24"/>
          <w:szCs w:val="24"/>
        </w:rPr>
        <w:t>Similar to</w:t>
      </w:r>
      <w:proofErr w:type="gramEnd"/>
      <w:r w:rsidRPr="00B131CA">
        <w:rPr>
          <w:rFonts w:ascii="Times New Roman" w:eastAsia="Times New Roman" w:hAnsi="Times New Roman" w:cs="Times New Roman"/>
          <w:sz w:val="24"/>
          <w:szCs w:val="24"/>
        </w:rPr>
        <w:t xml:space="preserve"> the co</w:t>
      </w:r>
      <w:r w:rsidR="00C64D5E">
        <w:rPr>
          <w:rFonts w:ascii="Times New Roman" w:eastAsia="Times New Roman" w:hAnsi="Times New Roman" w:cs="Times New Roman"/>
          <w:sz w:val="24"/>
          <w:szCs w:val="24"/>
        </w:rPr>
        <w:t>ncept of internal controls (</w:t>
      </w:r>
      <w:r w:rsidRPr="00B131CA">
        <w:rPr>
          <w:rFonts w:ascii="Times New Roman" w:eastAsia="Times New Roman" w:hAnsi="Times New Roman" w:cs="Times New Roman"/>
          <w:sz w:val="24"/>
          <w:szCs w:val="24"/>
        </w:rPr>
        <w:t>section</w:t>
      </w:r>
      <w:r w:rsidR="004B1D12">
        <w:rPr>
          <w:rFonts w:ascii="Times New Roman" w:eastAsia="Times New Roman" w:hAnsi="Times New Roman" w:cs="Times New Roman"/>
          <w:sz w:val="24"/>
          <w:szCs w:val="24"/>
        </w:rPr>
        <w:t xml:space="preserve"> Overview of Federal and State Regulations, subsection: Federal Legislation and Regulations)</w:t>
      </w:r>
      <w:r w:rsidRPr="00B131CA">
        <w:rPr>
          <w:rFonts w:ascii="Times New Roman" w:eastAsia="Times New Roman" w:hAnsi="Times New Roman" w:cs="Times New Roman"/>
          <w:sz w:val="24"/>
          <w:szCs w:val="24"/>
        </w:rPr>
        <w:t xml:space="preserve"> for fiscal reporting, a segregation of duties </w:t>
      </w:r>
      <w:r w:rsidR="000355E9">
        <w:rPr>
          <w:rFonts w:ascii="Times New Roman" w:eastAsia="Times New Roman" w:hAnsi="Times New Roman" w:cs="Times New Roman"/>
          <w:sz w:val="24"/>
          <w:szCs w:val="24"/>
        </w:rPr>
        <w:t xml:space="preserve">should be established </w:t>
      </w:r>
      <w:r w:rsidRPr="00B131CA">
        <w:rPr>
          <w:rFonts w:ascii="Times New Roman" w:eastAsia="Times New Roman" w:hAnsi="Times New Roman" w:cs="Times New Roman"/>
          <w:sz w:val="24"/>
          <w:szCs w:val="24"/>
        </w:rPr>
        <w:t xml:space="preserve">so that the data entered into the state MIS is checked against source data by at least </w:t>
      </w:r>
      <w:r w:rsidR="003E1F58">
        <w:rPr>
          <w:rFonts w:ascii="Times New Roman" w:eastAsia="Times New Roman" w:hAnsi="Times New Roman" w:cs="Times New Roman"/>
          <w:sz w:val="24"/>
          <w:szCs w:val="24"/>
        </w:rPr>
        <w:t>two people</w:t>
      </w:r>
      <w:r w:rsidRPr="00B131CA">
        <w:rPr>
          <w:rFonts w:ascii="Times New Roman" w:eastAsia="Times New Roman" w:hAnsi="Times New Roman" w:cs="Times New Roman"/>
          <w:sz w:val="24"/>
          <w:szCs w:val="24"/>
        </w:rPr>
        <w:t xml:space="preserve"> before submission or certification of completeness. Articulating this process and </w:t>
      </w:r>
      <w:r w:rsidR="005A1FF4">
        <w:rPr>
          <w:rFonts w:ascii="Times New Roman" w:eastAsia="Times New Roman" w:hAnsi="Times New Roman" w:cs="Times New Roman"/>
          <w:sz w:val="24"/>
          <w:szCs w:val="24"/>
        </w:rPr>
        <w:t xml:space="preserve">establishing </w:t>
      </w:r>
      <w:r w:rsidRPr="00B131CA">
        <w:rPr>
          <w:rFonts w:ascii="Times New Roman" w:eastAsia="Times New Roman" w:hAnsi="Times New Roman" w:cs="Times New Roman"/>
          <w:sz w:val="24"/>
          <w:szCs w:val="24"/>
        </w:rPr>
        <w:t xml:space="preserve">regular monitoring for accuracy will reinforce roles and responsibilities in ensuring that your program maintains and reports high-quality, accurate data while maintaining the confidentiality of students’ PII. </w:t>
      </w:r>
    </w:p>
    <w:p w14:paraId="00000284" w14:textId="4DB1DD11" w:rsidR="002F3C8D" w:rsidRPr="00A00DD7" w:rsidRDefault="00BF5CDA" w:rsidP="008D03B8">
      <w:pPr>
        <w:pStyle w:val="Heading4"/>
        <w:rPr>
          <w:i/>
        </w:rPr>
      </w:pPr>
      <w:bookmarkStart w:id="65" w:name="_Toc174088876"/>
      <w:r w:rsidRPr="00A00DD7">
        <w:t>Using Data for Decision Making</w:t>
      </w:r>
      <w:bookmarkEnd w:id="65"/>
    </w:p>
    <w:p w14:paraId="00000285" w14:textId="3A9E79EE" w:rsidR="002F3C8D" w:rsidRPr="00B131CA" w:rsidRDefault="00BF5CDA">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As your program collects, compiles, and enters data into the state MIS, you can begin to see patterns that can help inform programming decisions and inquiries</w:t>
      </w:r>
      <w:r w:rsidR="00A74D65">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 xml:space="preserve"> </w:t>
      </w:r>
    </w:p>
    <w:p w14:paraId="00000286" w14:textId="77777777" w:rsidR="002F3C8D" w:rsidRPr="00B131CA" w:rsidRDefault="00BF5CDA" w:rsidP="00F057C2">
      <w:pPr>
        <w:numPr>
          <w:ilvl w:val="0"/>
          <w:numId w:val="14"/>
        </w:numPr>
        <w:spacing w:after="0"/>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Which classes or sites are fully </w:t>
      </w:r>
      <w:proofErr w:type="gramStart"/>
      <w:r w:rsidRPr="00B131CA">
        <w:rPr>
          <w:rFonts w:ascii="Times New Roman" w:eastAsia="Times New Roman" w:hAnsi="Times New Roman" w:cs="Times New Roman"/>
          <w:sz w:val="24"/>
          <w:szCs w:val="24"/>
        </w:rPr>
        <w:t>enrolled</w:t>
      </w:r>
      <w:proofErr w:type="gramEnd"/>
      <w:r w:rsidRPr="00B131CA">
        <w:rPr>
          <w:rFonts w:ascii="Times New Roman" w:eastAsia="Times New Roman" w:hAnsi="Times New Roman" w:cs="Times New Roman"/>
          <w:sz w:val="24"/>
          <w:szCs w:val="24"/>
        </w:rPr>
        <w:t xml:space="preserve"> and which are not? </w:t>
      </w:r>
    </w:p>
    <w:p w14:paraId="00000287" w14:textId="63A09C70" w:rsidR="002F3C8D" w:rsidRPr="00B131CA" w:rsidRDefault="00BF5CDA" w:rsidP="00F057C2">
      <w:pPr>
        <w:numPr>
          <w:ilvl w:val="0"/>
          <w:numId w:val="14"/>
        </w:numPr>
        <w:spacing w:after="0"/>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Are there community changes, such as an influx of English language learners or a business </w:t>
      </w:r>
      <w:r w:rsidR="00233A9A" w:rsidRPr="00B131CA">
        <w:rPr>
          <w:rFonts w:ascii="Times New Roman" w:eastAsia="Times New Roman" w:hAnsi="Times New Roman" w:cs="Times New Roman"/>
          <w:sz w:val="24"/>
          <w:szCs w:val="24"/>
        </w:rPr>
        <w:t>closure that</w:t>
      </w:r>
      <w:r w:rsidRPr="00B131CA">
        <w:rPr>
          <w:rFonts w:ascii="Times New Roman" w:eastAsia="Times New Roman" w:hAnsi="Times New Roman" w:cs="Times New Roman"/>
          <w:sz w:val="24"/>
          <w:szCs w:val="24"/>
        </w:rPr>
        <w:t xml:space="preserve"> might suggest a class should be added in a new location?</w:t>
      </w:r>
    </w:p>
    <w:p w14:paraId="00000288" w14:textId="31708731" w:rsidR="002F3C8D" w:rsidRPr="00B131CA" w:rsidRDefault="00BF5CDA" w:rsidP="00F057C2">
      <w:pPr>
        <w:numPr>
          <w:ilvl w:val="0"/>
          <w:numId w:val="14"/>
        </w:numPr>
        <w:spacing w:after="0"/>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Is the proportion of ABE, ASE, and E</w:t>
      </w:r>
      <w:r w:rsidR="008D03B8">
        <w:rPr>
          <w:rFonts w:ascii="Times New Roman" w:eastAsia="Times New Roman" w:hAnsi="Times New Roman" w:cs="Times New Roman"/>
          <w:sz w:val="24"/>
          <w:szCs w:val="24"/>
        </w:rPr>
        <w:t>LA</w:t>
      </w:r>
      <w:r w:rsidRPr="00B131CA">
        <w:rPr>
          <w:rFonts w:ascii="Times New Roman" w:eastAsia="Times New Roman" w:hAnsi="Times New Roman" w:cs="Times New Roman"/>
          <w:sz w:val="24"/>
          <w:szCs w:val="24"/>
        </w:rPr>
        <w:t xml:space="preserve"> students similar or different from the previous year? </w:t>
      </w:r>
    </w:p>
    <w:p w14:paraId="00000289" w14:textId="49EAB723" w:rsidR="002F3C8D" w:rsidRDefault="00BF5CDA" w:rsidP="00F057C2">
      <w:pPr>
        <w:numPr>
          <w:ilvl w:val="0"/>
          <w:numId w:val="14"/>
        </w:numPr>
        <w:spacing w:after="0"/>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lastRenderedPageBreak/>
        <w:t xml:space="preserve">Are students making gains at similar rates across classes and sites and across student subpopulations? </w:t>
      </w:r>
    </w:p>
    <w:p w14:paraId="4C809859" w14:textId="07AB6E42" w:rsidR="003A337D" w:rsidRPr="00B131CA" w:rsidRDefault="003A337D" w:rsidP="00F057C2">
      <w:pPr>
        <w:numPr>
          <w:ilvl w:val="0"/>
          <w:numId w:val="14"/>
        </w:num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Are IET students completing and credentialing at similar</w:t>
      </w:r>
      <w:r w:rsidR="00846D31">
        <w:rPr>
          <w:rFonts w:ascii="Times New Roman" w:eastAsia="Times New Roman" w:hAnsi="Times New Roman" w:cs="Times New Roman"/>
          <w:sz w:val="24"/>
          <w:szCs w:val="24"/>
        </w:rPr>
        <w:t xml:space="preserve"> rates across the various sector options and classes?</w:t>
      </w:r>
    </w:p>
    <w:p w14:paraId="0000028A" w14:textId="77777777" w:rsidR="002F3C8D" w:rsidRPr="00B131CA" w:rsidRDefault="00BF5CDA" w:rsidP="00F057C2">
      <w:pPr>
        <w:numPr>
          <w:ilvl w:val="0"/>
          <w:numId w:val="14"/>
        </w:numPr>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Are retention and persistence patterns similar across classes and sites and across student subpopulations? </w:t>
      </w:r>
    </w:p>
    <w:p w14:paraId="0000028B" w14:textId="71B6592A" w:rsidR="002F3C8D" w:rsidRPr="00B131CA" w:rsidRDefault="00BF5CDA">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Investigating questions like </w:t>
      </w:r>
      <w:r w:rsidR="007B19D8" w:rsidRPr="00B131CA">
        <w:rPr>
          <w:rFonts w:ascii="Times New Roman" w:eastAsia="Times New Roman" w:hAnsi="Times New Roman" w:cs="Times New Roman"/>
          <w:sz w:val="24"/>
          <w:szCs w:val="24"/>
        </w:rPr>
        <w:t>th</w:t>
      </w:r>
      <w:r w:rsidR="007B19D8">
        <w:rPr>
          <w:rFonts w:ascii="Times New Roman" w:eastAsia="Times New Roman" w:hAnsi="Times New Roman" w:cs="Times New Roman"/>
          <w:sz w:val="24"/>
          <w:szCs w:val="24"/>
        </w:rPr>
        <w:t xml:space="preserve">ese </w:t>
      </w:r>
      <w:r w:rsidRPr="00B131CA">
        <w:rPr>
          <w:rFonts w:ascii="Times New Roman" w:eastAsia="Times New Roman" w:hAnsi="Times New Roman" w:cs="Times New Roman"/>
          <w:sz w:val="24"/>
          <w:szCs w:val="24"/>
        </w:rPr>
        <w:t xml:space="preserve">with your staff can lead to conversations about resources, community-level changes, programming challenges, and </w:t>
      </w:r>
      <w:r w:rsidR="007B19D8">
        <w:rPr>
          <w:rFonts w:ascii="Times New Roman" w:eastAsia="Times New Roman" w:hAnsi="Times New Roman" w:cs="Times New Roman"/>
          <w:sz w:val="24"/>
          <w:szCs w:val="24"/>
        </w:rPr>
        <w:t>other issues</w:t>
      </w:r>
      <w:r w:rsidR="007B19D8"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that may be impacting staff efforts. Having these conversations frequently during the year allows for course corrections and resource management. Other questions may come from watching single data points such as enrollment, secondary credentials earned, or attendance hours. Communicating these types of data points can be done as reminders that can keep staff focused on key metrics. As milestones are met, use the opportunity to celebrate successes with your staff, students, and community. </w:t>
      </w:r>
    </w:p>
    <w:p w14:paraId="0000028C" w14:textId="34BAD8FC" w:rsidR="002F3C8D" w:rsidRPr="003814EC" w:rsidRDefault="00BF5CDA" w:rsidP="008D03B8">
      <w:pPr>
        <w:pStyle w:val="Heading4"/>
        <w:rPr>
          <w:i/>
        </w:rPr>
      </w:pPr>
      <w:bookmarkStart w:id="66" w:name="_Toc174088877"/>
      <w:r w:rsidRPr="003814EC">
        <w:t>Meeting Performance Targets</w:t>
      </w:r>
      <w:bookmarkEnd w:id="66"/>
    </w:p>
    <w:p w14:paraId="0000028D" w14:textId="44FF22A4" w:rsidR="002F3C8D" w:rsidRPr="00B131CA" w:rsidRDefault="00BF5CDA">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Targets for the primary indicators of performance are negotiated between the state office and the federal Office of Adult Education every two years as a component of the </w:t>
      </w:r>
      <w:r w:rsidR="00A866A5">
        <w:rPr>
          <w:rFonts w:ascii="Times New Roman" w:eastAsia="Times New Roman" w:hAnsi="Times New Roman" w:cs="Times New Roman"/>
          <w:sz w:val="24"/>
          <w:szCs w:val="24"/>
        </w:rPr>
        <w:t xml:space="preserve">Combined State Plan </w:t>
      </w:r>
      <w:r w:rsidRPr="00B131CA">
        <w:rPr>
          <w:rFonts w:ascii="Times New Roman" w:eastAsia="Times New Roman" w:hAnsi="Times New Roman" w:cs="Times New Roman"/>
          <w:sz w:val="24"/>
          <w:szCs w:val="24"/>
        </w:rPr>
        <w:t xml:space="preserve">submission process. The VDOE sets these and other milestone targets for providers </w:t>
      </w:r>
      <w:proofErr w:type="gramStart"/>
      <w:r w:rsidRPr="00B131CA">
        <w:rPr>
          <w:rFonts w:ascii="Times New Roman" w:eastAsia="Times New Roman" w:hAnsi="Times New Roman" w:cs="Times New Roman"/>
          <w:sz w:val="24"/>
          <w:szCs w:val="24"/>
        </w:rPr>
        <w:t>in order for</w:t>
      </w:r>
      <w:proofErr w:type="gramEnd"/>
      <w:r w:rsidRPr="00B131CA">
        <w:rPr>
          <w:rFonts w:ascii="Times New Roman" w:eastAsia="Times New Roman" w:hAnsi="Times New Roman" w:cs="Times New Roman"/>
          <w:sz w:val="24"/>
          <w:szCs w:val="24"/>
        </w:rPr>
        <w:t xml:space="preserve"> the state to meet overall performance. Providers see their performance toward the targets on the annual </w:t>
      </w:r>
      <w:r w:rsidR="005009D5">
        <w:rPr>
          <w:rFonts w:ascii="Times New Roman" w:eastAsia="Times New Roman" w:hAnsi="Times New Roman" w:cs="Times New Roman"/>
          <w:sz w:val="24"/>
          <w:szCs w:val="24"/>
        </w:rPr>
        <w:t>Report Cards</w:t>
      </w:r>
      <w:r w:rsidRPr="00B131CA">
        <w:rPr>
          <w:rFonts w:ascii="Times New Roman" w:eastAsia="Times New Roman" w:hAnsi="Times New Roman" w:cs="Times New Roman"/>
          <w:sz w:val="24"/>
          <w:szCs w:val="24"/>
        </w:rPr>
        <w:t xml:space="preserve"> </w:t>
      </w:r>
      <w:r w:rsidR="00A866A5">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section</w:t>
      </w:r>
      <w:r w:rsidR="00664B2C">
        <w:rPr>
          <w:rFonts w:ascii="Times New Roman" w:eastAsia="Times New Roman" w:hAnsi="Times New Roman" w:cs="Times New Roman"/>
          <w:sz w:val="24"/>
          <w:szCs w:val="24"/>
        </w:rPr>
        <w:t xml:space="preserve"> Program Improvement, subsection: Participating in the State Monitoring and Evaluation Process</w:t>
      </w:r>
      <w:r w:rsidR="00A866A5">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 xml:space="preserve">, </w:t>
      </w:r>
      <w:r w:rsidR="005A1FF4">
        <w:rPr>
          <w:rFonts w:ascii="Times New Roman" w:eastAsia="Times New Roman" w:hAnsi="Times New Roman" w:cs="Times New Roman"/>
          <w:sz w:val="24"/>
          <w:szCs w:val="24"/>
        </w:rPr>
        <w:t>on which</w:t>
      </w:r>
      <w:r w:rsidRPr="00B131CA">
        <w:rPr>
          <w:rFonts w:ascii="Times New Roman" w:eastAsia="Times New Roman" w:hAnsi="Times New Roman" w:cs="Times New Roman"/>
          <w:sz w:val="24"/>
          <w:szCs w:val="24"/>
        </w:rPr>
        <w:t xml:space="preserve"> regional or local performance is presented as a percentage of the state target. </w:t>
      </w:r>
      <w:r w:rsidR="00F92D2D" w:rsidRPr="00B131CA">
        <w:rPr>
          <w:rFonts w:ascii="Times New Roman" w:eastAsia="Times New Roman" w:hAnsi="Times New Roman" w:cs="Times New Roman"/>
          <w:sz w:val="24"/>
          <w:szCs w:val="24"/>
        </w:rPr>
        <w:t>The m</w:t>
      </w:r>
      <w:r w:rsidRPr="00B131CA">
        <w:rPr>
          <w:rFonts w:ascii="Times New Roman" w:eastAsia="Times New Roman" w:hAnsi="Times New Roman" w:cs="Times New Roman"/>
          <w:sz w:val="24"/>
          <w:szCs w:val="24"/>
        </w:rPr>
        <w:t xml:space="preserve">eeting </w:t>
      </w:r>
      <w:r w:rsidR="00F92D2D" w:rsidRPr="00B131CA">
        <w:rPr>
          <w:rFonts w:ascii="Times New Roman" w:eastAsia="Times New Roman" w:hAnsi="Times New Roman" w:cs="Times New Roman"/>
          <w:sz w:val="24"/>
          <w:szCs w:val="24"/>
        </w:rPr>
        <w:t>of</w:t>
      </w:r>
      <w:r w:rsidRPr="00B131CA">
        <w:rPr>
          <w:rFonts w:ascii="Times New Roman" w:eastAsia="Times New Roman" w:hAnsi="Times New Roman" w:cs="Times New Roman"/>
          <w:sz w:val="24"/>
          <w:szCs w:val="24"/>
        </w:rPr>
        <w:t xml:space="preserve"> targets is impacted by strategic program design as well as careful data management.</w:t>
      </w:r>
    </w:p>
    <w:p w14:paraId="0000028E" w14:textId="100BB443" w:rsidR="002F3C8D" w:rsidRPr="00B131CA" w:rsidRDefault="00BF5CDA" w:rsidP="003814EC">
      <w:pPr>
        <w:rPr>
          <w:rFonts w:ascii="Times New Roman" w:eastAsia="Times New Roman" w:hAnsi="Times New Roman" w:cs="Times New Roman"/>
          <w:sz w:val="24"/>
          <w:szCs w:val="24"/>
        </w:rPr>
      </w:pPr>
      <w:r w:rsidRPr="003814EC">
        <w:rPr>
          <w:rFonts w:ascii="Times New Roman" w:hAnsi="Times New Roman"/>
          <w:sz w:val="24"/>
        </w:rPr>
        <w:t>Enrollment targets</w:t>
      </w:r>
      <w:r w:rsidRPr="00B131CA">
        <w:rPr>
          <w:rFonts w:ascii="Times New Roman" w:eastAsia="Times New Roman" w:hAnsi="Times New Roman" w:cs="Times New Roman"/>
          <w:sz w:val="24"/>
          <w:szCs w:val="24"/>
        </w:rPr>
        <w:t xml:space="preserve"> for regional programs are established by the state office as part of the grant competition every three years. American Community Survey data is analyzed for educational attainment at the local level. Enrollment targets reflect three percent of the number of adults (over 18 years of age) in the region without a high school diploma or equivalent; this formula mirrors how the state’s enrollment target is set by the U.S. Department of Education. IELCE programs propose an enrollment target in their grant application</w:t>
      </w:r>
      <w:r w:rsidR="005A1FF4">
        <w:rPr>
          <w:rFonts w:ascii="Times New Roman" w:eastAsia="Times New Roman" w:hAnsi="Times New Roman" w:cs="Times New Roman"/>
          <w:sz w:val="24"/>
          <w:szCs w:val="24"/>
        </w:rPr>
        <w:t>, corresponding to one of the funding levels published in the application package</w:t>
      </w:r>
      <w:r w:rsidRPr="00B131CA">
        <w:rPr>
          <w:rFonts w:ascii="Times New Roman" w:eastAsia="Times New Roman" w:hAnsi="Times New Roman" w:cs="Times New Roman"/>
          <w:sz w:val="24"/>
          <w:szCs w:val="24"/>
        </w:rPr>
        <w:t>.</w:t>
      </w:r>
    </w:p>
    <w:p w14:paraId="0000028F" w14:textId="00971CDF" w:rsidR="002F3C8D" w:rsidRPr="00B131CA" w:rsidRDefault="00BF5CDA" w:rsidP="003814EC">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Regions that do not include a dense, urban area often struggle to reach their enrollment target. Working with other local service providers as recruitment partners can help identify potential students within the community and support services available to address participation barriers such as transportation and </w:t>
      </w:r>
      <w:proofErr w:type="gramStart"/>
      <w:r w:rsidRPr="00B131CA">
        <w:rPr>
          <w:rFonts w:ascii="Times New Roman" w:eastAsia="Times New Roman" w:hAnsi="Times New Roman" w:cs="Times New Roman"/>
          <w:sz w:val="24"/>
          <w:szCs w:val="24"/>
        </w:rPr>
        <w:t>child care</w:t>
      </w:r>
      <w:proofErr w:type="gramEnd"/>
      <w:r w:rsidRPr="00B131CA">
        <w:rPr>
          <w:rFonts w:ascii="Times New Roman" w:eastAsia="Times New Roman" w:hAnsi="Times New Roman" w:cs="Times New Roman"/>
          <w:sz w:val="24"/>
          <w:szCs w:val="24"/>
        </w:rPr>
        <w:t>. See suggestions for outreach in the</w:t>
      </w:r>
      <w:r w:rsidR="00C557E5">
        <w:rPr>
          <w:rFonts w:ascii="Times New Roman" w:eastAsia="Times New Roman" w:hAnsi="Times New Roman" w:cs="Times New Roman"/>
          <w:sz w:val="24"/>
          <w:szCs w:val="24"/>
        </w:rPr>
        <w:t xml:space="preserve"> </w:t>
      </w:r>
      <w:r w:rsidR="00C557E5" w:rsidRPr="003814EC">
        <w:rPr>
          <w:rFonts w:ascii="Times New Roman" w:hAnsi="Times New Roman"/>
          <w:sz w:val="24"/>
        </w:rPr>
        <w:t xml:space="preserve">section </w:t>
      </w:r>
      <w:r w:rsidR="00C557E5">
        <w:rPr>
          <w:rFonts w:ascii="Times New Roman" w:eastAsia="Times New Roman" w:hAnsi="Times New Roman" w:cs="Times New Roman"/>
          <w:sz w:val="24"/>
          <w:szCs w:val="24"/>
        </w:rPr>
        <w:t>Program Management and Delivery, subsection: Growing and Sustaining Your Program</w:t>
      </w:r>
      <w:r w:rsidRPr="00B131CA">
        <w:rPr>
          <w:rFonts w:ascii="Times New Roman" w:eastAsia="Times New Roman" w:hAnsi="Times New Roman" w:cs="Times New Roman"/>
          <w:sz w:val="24"/>
          <w:szCs w:val="24"/>
        </w:rPr>
        <w:t>.</w:t>
      </w:r>
    </w:p>
    <w:p w14:paraId="0AA2BA94" w14:textId="5729AB87" w:rsidR="00AD2FF5" w:rsidRDefault="00BF5CDA" w:rsidP="003814EC">
      <w:pPr>
        <w:rPr>
          <w:rFonts w:ascii="Times New Roman" w:eastAsia="Times New Roman" w:hAnsi="Times New Roman" w:cs="Times New Roman"/>
          <w:sz w:val="24"/>
          <w:szCs w:val="24"/>
        </w:rPr>
      </w:pPr>
      <w:r w:rsidRPr="003814EC">
        <w:rPr>
          <w:rFonts w:ascii="Times New Roman" w:hAnsi="Times New Roman"/>
          <w:sz w:val="24"/>
        </w:rPr>
        <w:t>Measurable skill gains</w:t>
      </w:r>
      <w:r w:rsidRPr="00B131CA">
        <w:rPr>
          <w:rFonts w:ascii="Times New Roman" w:eastAsia="Times New Roman" w:hAnsi="Times New Roman" w:cs="Times New Roman"/>
          <w:sz w:val="24"/>
          <w:szCs w:val="24"/>
        </w:rPr>
        <w:t xml:space="preserve"> (MSG) performance includes </w:t>
      </w:r>
      <w:r w:rsidR="005D13B0" w:rsidRPr="00B131CA">
        <w:rPr>
          <w:rFonts w:ascii="Times New Roman" w:eastAsia="Times New Roman" w:hAnsi="Times New Roman" w:cs="Times New Roman"/>
          <w:sz w:val="24"/>
          <w:szCs w:val="24"/>
        </w:rPr>
        <w:t>f</w:t>
      </w:r>
      <w:r w:rsidR="005D13B0">
        <w:rPr>
          <w:rFonts w:ascii="Times New Roman" w:eastAsia="Times New Roman" w:hAnsi="Times New Roman" w:cs="Times New Roman"/>
          <w:sz w:val="24"/>
          <w:szCs w:val="24"/>
        </w:rPr>
        <w:t>ive</w:t>
      </w:r>
      <w:r w:rsidR="005D13B0"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types of gains</w:t>
      </w:r>
      <w:r w:rsidR="005D13B0">
        <w:rPr>
          <w:rFonts w:ascii="Times New Roman" w:eastAsia="Times New Roman" w:hAnsi="Times New Roman" w:cs="Times New Roman"/>
          <w:sz w:val="24"/>
          <w:szCs w:val="24"/>
        </w:rPr>
        <w:t>. Th</w:t>
      </w:r>
      <w:r w:rsidR="004B54C5">
        <w:rPr>
          <w:rFonts w:ascii="Times New Roman" w:eastAsia="Times New Roman" w:hAnsi="Times New Roman" w:cs="Times New Roman"/>
          <w:sz w:val="24"/>
          <w:szCs w:val="24"/>
        </w:rPr>
        <w:t>e first two types are available to all adult education participants</w:t>
      </w:r>
      <w:r w:rsidR="00E55DE5">
        <w:rPr>
          <w:rFonts w:ascii="Times New Roman" w:eastAsia="Times New Roman" w:hAnsi="Times New Roman" w:cs="Times New Roman"/>
          <w:sz w:val="24"/>
          <w:szCs w:val="24"/>
        </w:rPr>
        <w:t>;</w:t>
      </w:r>
      <w:r w:rsidR="004B54C5">
        <w:rPr>
          <w:rFonts w:ascii="Times New Roman" w:eastAsia="Times New Roman" w:hAnsi="Times New Roman" w:cs="Times New Roman"/>
          <w:sz w:val="24"/>
          <w:szCs w:val="24"/>
        </w:rPr>
        <w:t xml:space="preserve"> types th</w:t>
      </w:r>
      <w:r w:rsidR="005D13B0">
        <w:rPr>
          <w:rFonts w:ascii="Times New Roman" w:eastAsia="Times New Roman" w:hAnsi="Times New Roman" w:cs="Times New Roman"/>
          <w:sz w:val="24"/>
          <w:szCs w:val="24"/>
        </w:rPr>
        <w:t>ree</w:t>
      </w:r>
      <w:r w:rsidR="004B54C5">
        <w:rPr>
          <w:rFonts w:ascii="Times New Roman" w:eastAsia="Times New Roman" w:hAnsi="Times New Roman" w:cs="Times New Roman"/>
          <w:sz w:val="24"/>
          <w:szCs w:val="24"/>
        </w:rPr>
        <w:t>, four, and five</w:t>
      </w:r>
      <w:r w:rsidR="005D13B0">
        <w:rPr>
          <w:rFonts w:ascii="Times New Roman" w:eastAsia="Times New Roman" w:hAnsi="Times New Roman" w:cs="Times New Roman"/>
          <w:sz w:val="24"/>
          <w:szCs w:val="24"/>
        </w:rPr>
        <w:t xml:space="preserve"> are available </w:t>
      </w:r>
      <w:r w:rsidR="00E55DE5">
        <w:rPr>
          <w:rFonts w:ascii="Times New Roman" w:eastAsia="Times New Roman" w:hAnsi="Times New Roman" w:cs="Times New Roman"/>
          <w:sz w:val="24"/>
          <w:szCs w:val="24"/>
        </w:rPr>
        <w:t xml:space="preserve">only </w:t>
      </w:r>
      <w:r w:rsidR="005D13B0">
        <w:rPr>
          <w:rFonts w:ascii="Times New Roman" w:eastAsia="Times New Roman" w:hAnsi="Times New Roman" w:cs="Times New Roman"/>
          <w:sz w:val="24"/>
          <w:szCs w:val="24"/>
        </w:rPr>
        <w:t xml:space="preserve">to participants in workplace adult education and literacy and IET classes. The five MSG </w:t>
      </w:r>
      <w:r w:rsidR="004B54C5">
        <w:rPr>
          <w:rFonts w:ascii="Times New Roman" w:eastAsia="Times New Roman" w:hAnsi="Times New Roman" w:cs="Times New Roman"/>
          <w:sz w:val="24"/>
          <w:szCs w:val="24"/>
        </w:rPr>
        <w:t xml:space="preserve">types </w:t>
      </w:r>
      <w:r w:rsidR="005D13B0">
        <w:rPr>
          <w:rFonts w:ascii="Times New Roman" w:eastAsia="Times New Roman" w:hAnsi="Times New Roman" w:cs="Times New Roman"/>
          <w:sz w:val="24"/>
          <w:szCs w:val="24"/>
        </w:rPr>
        <w:t>are:</w:t>
      </w:r>
    </w:p>
    <w:p w14:paraId="585B122B" w14:textId="78E015A5" w:rsidR="00AD2FF5" w:rsidRDefault="00AD2FF5" w:rsidP="00022694">
      <w:pPr>
        <w:pStyle w:val="ListParagraph"/>
        <w:numPr>
          <w:ilvl w:val="0"/>
          <w:numId w:val="47"/>
        </w:numPr>
        <w:rPr>
          <w:rFonts w:ascii="Times New Roman" w:eastAsia="Times New Roman" w:hAnsi="Times New Roman" w:cs="Times New Roman"/>
          <w:sz w:val="24"/>
          <w:szCs w:val="24"/>
        </w:rPr>
      </w:pPr>
      <w:r w:rsidRPr="00AD2FF5">
        <w:rPr>
          <w:rFonts w:ascii="Times New Roman" w:eastAsia="Times New Roman" w:hAnsi="Times New Roman" w:cs="Times New Roman"/>
          <w:sz w:val="24"/>
          <w:szCs w:val="24"/>
        </w:rPr>
        <w:t xml:space="preserve">Educational functioning level gains earned through </w:t>
      </w:r>
      <w:r w:rsidR="008E5F96" w:rsidRPr="00AD2FF5">
        <w:rPr>
          <w:rFonts w:ascii="Times New Roman" w:eastAsia="Times New Roman" w:hAnsi="Times New Roman" w:cs="Times New Roman"/>
          <w:sz w:val="24"/>
          <w:szCs w:val="24"/>
        </w:rPr>
        <w:t>pr</w:t>
      </w:r>
      <w:r w:rsidR="00A76911">
        <w:rPr>
          <w:rFonts w:ascii="Times New Roman" w:eastAsia="Times New Roman" w:hAnsi="Times New Roman" w:cs="Times New Roman"/>
          <w:sz w:val="24"/>
          <w:szCs w:val="24"/>
        </w:rPr>
        <w:t>e- and post-</w:t>
      </w:r>
      <w:r w:rsidR="008E5F96" w:rsidRPr="00AD2FF5">
        <w:rPr>
          <w:rFonts w:ascii="Times New Roman" w:eastAsia="Times New Roman" w:hAnsi="Times New Roman" w:cs="Times New Roman"/>
          <w:sz w:val="24"/>
          <w:szCs w:val="24"/>
        </w:rPr>
        <w:t>test</w:t>
      </w:r>
      <w:r w:rsidR="008E5F96">
        <w:rPr>
          <w:rFonts w:ascii="Times New Roman" w:eastAsia="Times New Roman" w:hAnsi="Times New Roman" w:cs="Times New Roman"/>
          <w:sz w:val="24"/>
          <w:szCs w:val="24"/>
        </w:rPr>
        <w:t xml:space="preserve"> scores</w:t>
      </w:r>
      <w:r w:rsidR="002D1D71">
        <w:rPr>
          <w:rFonts w:ascii="Times New Roman" w:eastAsia="Times New Roman" w:hAnsi="Times New Roman" w:cs="Times New Roman"/>
          <w:sz w:val="24"/>
          <w:szCs w:val="24"/>
        </w:rPr>
        <w:t xml:space="preserve"> (1a)</w:t>
      </w:r>
      <w:r w:rsidR="00BF5CDA" w:rsidRPr="00AD2FF5">
        <w:rPr>
          <w:rFonts w:ascii="Times New Roman" w:eastAsia="Times New Roman" w:hAnsi="Times New Roman" w:cs="Times New Roman"/>
          <w:sz w:val="24"/>
          <w:szCs w:val="24"/>
        </w:rPr>
        <w:t xml:space="preserve">, transition from the diagnostic to assessment phase in the National External Diploma </w:t>
      </w:r>
      <w:r w:rsidR="00BF5CDA" w:rsidRPr="00AD2FF5">
        <w:rPr>
          <w:rFonts w:ascii="Times New Roman" w:eastAsia="Times New Roman" w:hAnsi="Times New Roman" w:cs="Times New Roman"/>
          <w:sz w:val="24"/>
          <w:szCs w:val="24"/>
        </w:rPr>
        <w:lastRenderedPageBreak/>
        <w:t>Program</w:t>
      </w:r>
      <w:r w:rsidR="002D1D71">
        <w:rPr>
          <w:rFonts w:ascii="Times New Roman" w:eastAsia="Times New Roman" w:hAnsi="Times New Roman" w:cs="Times New Roman"/>
          <w:sz w:val="24"/>
          <w:szCs w:val="24"/>
        </w:rPr>
        <w:t xml:space="preserve"> (1b)</w:t>
      </w:r>
      <w:r w:rsidR="00BF5CDA" w:rsidRPr="00AD2FF5">
        <w:rPr>
          <w:rFonts w:ascii="Times New Roman" w:eastAsia="Times New Roman" w:hAnsi="Times New Roman" w:cs="Times New Roman"/>
          <w:sz w:val="24"/>
          <w:szCs w:val="24"/>
        </w:rPr>
        <w:t>, transition into postsecondary education</w:t>
      </w:r>
      <w:r w:rsidR="002D1D71">
        <w:rPr>
          <w:rFonts w:ascii="Times New Roman" w:eastAsia="Times New Roman" w:hAnsi="Times New Roman" w:cs="Times New Roman"/>
          <w:sz w:val="24"/>
          <w:szCs w:val="24"/>
        </w:rPr>
        <w:t xml:space="preserve"> and training (1c), or passing of a subtest of a high school equivalency test (1d)</w:t>
      </w:r>
      <w:r w:rsidR="00BF5CDA" w:rsidRPr="00AD2FF5">
        <w:rPr>
          <w:rFonts w:ascii="Times New Roman" w:eastAsia="Times New Roman" w:hAnsi="Times New Roman" w:cs="Times New Roman"/>
          <w:sz w:val="24"/>
          <w:szCs w:val="24"/>
        </w:rPr>
        <w:t xml:space="preserve"> </w:t>
      </w:r>
    </w:p>
    <w:p w14:paraId="17E24C0C" w14:textId="2EE6A214" w:rsidR="00AD2FF5" w:rsidRDefault="002D7821" w:rsidP="00022694">
      <w:pPr>
        <w:pStyle w:val="ListParagraph"/>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Attainment </w:t>
      </w:r>
      <w:r w:rsidR="00AD2FF5">
        <w:rPr>
          <w:rFonts w:ascii="Times New Roman" w:eastAsia="Times New Roman" w:hAnsi="Times New Roman" w:cs="Times New Roman"/>
          <w:sz w:val="24"/>
          <w:szCs w:val="24"/>
        </w:rPr>
        <w:t>of a secondary credential</w:t>
      </w:r>
    </w:p>
    <w:p w14:paraId="20CE110C" w14:textId="0A2B5C0E" w:rsidR="00AD2FF5" w:rsidRDefault="00AD2FF5" w:rsidP="00022694">
      <w:pPr>
        <w:pStyle w:val="ListParagraph"/>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Postsecondary transcript or report card for sufficient credit hours and satisfactory academic progress</w:t>
      </w:r>
    </w:p>
    <w:p w14:paraId="3C77386A" w14:textId="1E876630" w:rsidR="00AD2FF5" w:rsidRDefault="00AD2FF5" w:rsidP="00022694">
      <w:pPr>
        <w:pStyle w:val="ListParagraph"/>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 or better progress report toward established milestones</w:t>
      </w:r>
    </w:p>
    <w:p w14:paraId="4B67FE01" w14:textId="371B8E61" w:rsidR="00AD2FF5" w:rsidRDefault="00AD2FF5" w:rsidP="00022694">
      <w:pPr>
        <w:pStyle w:val="ListParagraph"/>
        <w:numPr>
          <w:ilvl w:val="0"/>
          <w:numId w:val="4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Passing a technical or occupational knowledge-based exam</w:t>
      </w:r>
      <w:r w:rsidR="002258F2">
        <w:rPr>
          <w:rFonts w:ascii="Times New Roman" w:eastAsia="Times New Roman" w:hAnsi="Times New Roman" w:cs="Times New Roman"/>
          <w:sz w:val="24"/>
          <w:szCs w:val="24"/>
        </w:rPr>
        <w:t xml:space="preserve"> or established benchmark</w:t>
      </w:r>
    </w:p>
    <w:p w14:paraId="00000290" w14:textId="4FDA0352" w:rsidR="002F3C8D" w:rsidRPr="00AD2FF5" w:rsidRDefault="00BF5CDA" w:rsidP="00AD2FF5">
      <w:pPr>
        <w:rPr>
          <w:rFonts w:ascii="Times New Roman" w:eastAsia="Times New Roman" w:hAnsi="Times New Roman" w:cs="Times New Roman"/>
          <w:sz w:val="24"/>
          <w:szCs w:val="24"/>
        </w:rPr>
      </w:pPr>
      <w:r w:rsidRPr="00AD2FF5">
        <w:rPr>
          <w:rFonts w:ascii="Times New Roman" w:eastAsia="Times New Roman" w:hAnsi="Times New Roman" w:cs="Times New Roman"/>
          <w:sz w:val="24"/>
          <w:szCs w:val="24"/>
        </w:rPr>
        <w:t xml:space="preserve">Each gain type requires program managers and data specialists to establish tracking and reporting systems to ensure that the gain is reported and documented properly. </w:t>
      </w:r>
      <w:r w:rsidR="008E5F96">
        <w:rPr>
          <w:rFonts w:ascii="Times New Roman" w:eastAsia="Times New Roman" w:hAnsi="Times New Roman" w:cs="Times New Roman"/>
          <w:sz w:val="24"/>
          <w:szCs w:val="24"/>
        </w:rPr>
        <w:t xml:space="preserve">The </w:t>
      </w:r>
      <w:r w:rsidR="002258F2">
        <w:rPr>
          <w:rFonts w:ascii="Times New Roman" w:eastAsia="Times New Roman" w:hAnsi="Times New Roman" w:cs="Times New Roman"/>
          <w:sz w:val="24"/>
          <w:szCs w:val="24"/>
        </w:rPr>
        <w:t xml:space="preserve">IET Planning Tools </w:t>
      </w:r>
      <w:r w:rsidR="007C53B8">
        <w:rPr>
          <w:rFonts w:ascii="Times New Roman" w:eastAsia="Times New Roman" w:hAnsi="Times New Roman" w:cs="Times New Roman"/>
          <w:sz w:val="24"/>
          <w:szCs w:val="24"/>
        </w:rPr>
        <w:t xml:space="preserve">(available on the </w:t>
      </w:r>
      <w:hyperlink r:id="rId136" w:history="1">
        <w:r w:rsidR="007C53B8" w:rsidRPr="007C53B8">
          <w:rPr>
            <w:rStyle w:val="Hyperlink"/>
            <w:rFonts w:ascii="Times New Roman" w:eastAsia="Times New Roman" w:hAnsi="Times New Roman" w:cs="Times New Roman"/>
            <w:sz w:val="24"/>
            <w:szCs w:val="24"/>
          </w:rPr>
          <w:t>Professional Development</w:t>
        </w:r>
      </w:hyperlink>
      <w:r w:rsidR="007C53B8">
        <w:rPr>
          <w:rFonts w:ascii="Times New Roman" w:eastAsia="Times New Roman" w:hAnsi="Times New Roman" w:cs="Times New Roman"/>
          <w:sz w:val="24"/>
          <w:szCs w:val="24"/>
        </w:rPr>
        <w:t xml:space="preserve"> page) </w:t>
      </w:r>
      <w:r w:rsidR="002258F2">
        <w:rPr>
          <w:rFonts w:ascii="Times New Roman" w:eastAsia="Times New Roman" w:hAnsi="Times New Roman" w:cs="Times New Roman"/>
          <w:sz w:val="24"/>
          <w:szCs w:val="24"/>
        </w:rPr>
        <w:t xml:space="preserve">should indicate any planned types 3, 4, and 5 MSGs so the VDOE staff can </w:t>
      </w:r>
      <w:r w:rsidR="003B05B8">
        <w:rPr>
          <w:rFonts w:ascii="Times New Roman" w:eastAsia="Times New Roman" w:hAnsi="Times New Roman" w:cs="Times New Roman"/>
          <w:sz w:val="24"/>
          <w:szCs w:val="24"/>
        </w:rPr>
        <w:t>provide technical assistance</w:t>
      </w:r>
      <w:r w:rsidR="002258F2">
        <w:rPr>
          <w:rFonts w:ascii="Times New Roman" w:eastAsia="Times New Roman" w:hAnsi="Times New Roman" w:cs="Times New Roman"/>
          <w:sz w:val="24"/>
          <w:szCs w:val="24"/>
        </w:rPr>
        <w:t xml:space="preserve"> if necessary.</w:t>
      </w:r>
    </w:p>
    <w:p w14:paraId="00000291" w14:textId="3F7BB2B5" w:rsidR="002F3C8D" w:rsidRPr="00B131CA" w:rsidRDefault="00CF216C" w:rsidP="003814EC">
      <w:pPr>
        <w:rPr>
          <w:rFonts w:ascii="Times New Roman" w:eastAsia="Times New Roman" w:hAnsi="Times New Roman" w:cs="Times New Roman"/>
          <w:sz w:val="24"/>
          <w:szCs w:val="24"/>
        </w:rPr>
      </w:pPr>
      <w:r>
        <w:rPr>
          <w:rFonts w:ascii="Times New Roman" w:eastAsia="Times New Roman" w:hAnsi="Times New Roman" w:cs="Times New Roman"/>
          <w:sz w:val="24"/>
          <w:szCs w:val="24"/>
        </w:rPr>
        <w:t>Type 1</w:t>
      </w:r>
      <w:r w:rsidR="002D1D71">
        <w:rPr>
          <w:rFonts w:ascii="Times New Roman" w:eastAsia="Times New Roman" w:hAnsi="Times New Roman" w:cs="Times New Roman"/>
          <w:sz w:val="24"/>
          <w:szCs w:val="24"/>
        </w:rPr>
        <w:t>a</w:t>
      </w:r>
      <w:r>
        <w:rPr>
          <w:rFonts w:ascii="Times New Roman" w:eastAsia="Times New Roman" w:hAnsi="Times New Roman" w:cs="Times New Roman"/>
          <w:sz w:val="24"/>
          <w:szCs w:val="24"/>
        </w:rPr>
        <w:t>, ed</w:t>
      </w:r>
      <w:r w:rsidRPr="00AD2FF5">
        <w:rPr>
          <w:rFonts w:ascii="Times New Roman" w:eastAsia="Times New Roman" w:hAnsi="Times New Roman" w:cs="Times New Roman"/>
          <w:sz w:val="24"/>
          <w:szCs w:val="24"/>
        </w:rPr>
        <w:t>ucational functioning level gains earned through pr</w:t>
      </w:r>
      <w:r>
        <w:rPr>
          <w:rFonts w:ascii="Times New Roman" w:eastAsia="Times New Roman" w:hAnsi="Times New Roman" w:cs="Times New Roman"/>
          <w:sz w:val="24"/>
          <w:szCs w:val="24"/>
        </w:rPr>
        <w:t>e- and post-</w:t>
      </w:r>
      <w:r w:rsidRPr="00AD2FF5">
        <w:rPr>
          <w:rFonts w:ascii="Times New Roman" w:eastAsia="Times New Roman" w:hAnsi="Times New Roman" w:cs="Times New Roman"/>
          <w:sz w:val="24"/>
          <w:szCs w:val="24"/>
        </w:rPr>
        <w:t>test</w:t>
      </w:r>
      <w:r>
        <w:rPr>
          <w:rFonts w:ascii="Times New Roman" w:eastAsia="Times New Roman" w:hAnsi="Times New Roman" w:cs="Times New Roman"/>
          <w:sz w:val="24"/>
          <w:szCs w:val="24"/>
        </w:rPr>
        <w:t xml:space="preserve">s scores, </w:t>
      </w:r>
      <w:r w:rsidR="00BF5CDA" w:rsidRPr="00B131CA">
        <w:rPr>
          <w:rFonts w:ascii="Times New Roman" w:eastAsia="Times New Roman" w:hAnsi="Times New Roman" w:cs="Times New Roman"/>
          <w:sz w:val="24"/>
          <w:szCs w:val="24"/>
        </w:rPr>
        <w:t xml:space="preserve">is the most commonly achieved MSG in adult education, and the </w:t>
      </w:r>
      <w:hyperlink r:id="rId137">
        <w:r w:rsidR="00BF5CDA" w:rsidRPr="00B131CA">
          <w:rPr>
            <w:rFonts w:ascii="Times New Roman" w:eastAsia="Times New Roman" w:hAnsi="Times New Roman" w:cs="Times New Roman"/>
            <w:i/>
            <w:color w:val="0000FF"/>
            <w:sz w:val="24"/>
            <w:szCs w:val="24"/>
            <w:highlight w:val="white"/>
            <w:u w:val="single"/>
          </w:rPr>
          <w:t>Assessment and Distance Education Policy</w:t>
        </w:r>
      </w:hyperlink>
      <w:r w:rsidR="00BF5CDA" w:rsidRPr="00B131CA">
        <w:rPr>
          <w:rFonts w:ascii="Times New Roman" w:eastAsia="Times New Roman" w:hAnsi="Times New Roman" w:cs="Times New Roman"/>
          <w:color w:val="0000FF"/>
          <w:sz w:val="24"/>
          <w:szCs w:val="24"/>
        </w:rPr>
        <w:t xml:space="preserve"> </w:t>
      </w:r>
      <w:r w:rsidR="00BF5CDA" w:rsidRPr="00B131CA">
        <w:rPr>
          <w:rFonts w:ascii="Times New Roman" w:eastAsia="Times New Roman" w:hAnsi="Times New Roman" w:cs="Times New Roman"/>
          <w:sz w:val="24"/>
          <w:szCs w:val="24"/>
        </w:rPr>
        <w:t>sets an expected percentage of students in each program who will meet the milestone of completing a post</w:t>
      </w:r>
      <w:r w:rsidR="00C533B7">
        <w:rPr>
          <w:rFonts w:ascii="Times New Roman" w:eastAsia="Times New Roman" w:hAnsi="Times New Roman" w:cs="Times New Roman"/>
          <w:sz w:val="24"/>
          <w:szCs w:val="24"/>
        </w:rPr>
        <w:t>-</w:t>
      </w:r>
      <w:r w:rsidR="00BF5CDA" w:rsidRPr="00B131CA">
        <w:rPr>
          <w:rFonts w:ascii="Times New Roman" w:eastAsia="Times New Roman" w:hAnsi="Times New Roman" w:cs="Times New Roman"/>
          <w:sz w:val="24"/>
          <w:szCs w:val="24"/>
        </w:rPr>
        <w:t xml:space="preserve">test. For </w:t>
      </w:r>
      <w:r w:rsidR="008A41E3">
        <w:rPr>
          <w:rFonts w:ascii="Times New Roman" w:eastAsia="Times New Roman" w:hAnsi="Times New Roman" w:cs="Times New Roman"/>
          <w:sz w:val="24"/>
          <w:szCs w:val="24"/>
        </w:rPr>
        <w:t>PY</w:t>
      </w:r>
      <w:r w:rsidR="00BF5CDA" w:rsidRPr="00B131CA">
        <w:rPr>
          <w:rFonts w:ascii="Times New Roman" w:eastAsia="Times New Roman" w:hAnsi="Times New Roman" w:cs="Times New Roman"/>
          <w:sz w:val="24"/>
          <w:szCs w:val="24"/>
        </w:rPr>
        <w:t>202</w:t>
      </w:r>
      <w:r w:rsidR="002D1D71">
        <w:rPr>
          <w:rFonts w:ascii="Times New Roman" w:eastAsia="Times New Roman" w:hAnsi="Times New Roman" w:cs="Times New Roman"/>
          <w:sz w:val="24"/>
          <w:szCs w:val="24"/>
        </w:rPr>
        <w:t>4</w:t>
      </w:r>
      <w:r w:rsidR="00BF5CDA" w:rsidRPr="00B131CA">
        <w:rPr>
          <w:rFonts w:ascii="Times New Roman" w:eastAsia="Times New Roman" w:hAnsi="Times New Roman" w:cs="Times New Roman"/>
          <w:sz w:val="24"/>
          <w:szCs w:val="24"/>
        </w:rPr>
        <w:t>-202</w:t>
      </w:r>
      <w:r w:rsidR="002D1D71">
        <w:rPr>
          <w:rFonts w:ascii="Times New Roman" w:eastAsia="Times New Roman" w:hAnsi="Times New Roman" w:cs="Times New Roman"/>
          <w:sz w:val="24"/>
          <w:szCs w:val="24"/>
        </w:rPr>
        <w:t>5</w:t>
      </w:r>
      <w:r w:rsidR="00BF5CDA" w:rsidRPr="00B131CA">
        <w:rPr>
          <w:rFonts w:ascii="Times New Roman" w:eastAsia="Times New Roman" w:hAnsi="Times New Roman" w:cs="Times New Roman"/>
          <w:sz w:val="24"/>
          <w:szCs w:val="24"/>
        </w:rPr>
        <w:t>, the expected post</w:t>
      </w:r>
      <w:r w:rsidR="00330923">
        <w:rPr>
          <w:rFonts w:ascii="Times New Roman" w:eastAsia="Times New Roman" w:hAnsi="Times New Roman" w:cs="Times New Roman"/>
          <w:sz w:val="24"/>
          <w:szCs w:val="24"/>
        </w:rPr>
        <w:t>-</w:t>
      </w:r>
      <w:r w:rsidR="00BF5CDA" w:rsidRPr="00B131CA">
        <w:rPr>
          <w:rFonts w:ascii="Times New Roman" w:eastAsia="Times New Roman" w:hAnsi="Times New Roman" w:cs="Times New Roman"/>
          <w:sz w:val="24"/>
          <w:szCs w:val="24"/>
        </w:rPr>
        <w:t>test rate is 60 percent</w:t>
      </w:r>
      <w:r w:rsidR="002D1D71">
        <w:rPr>
          <w:rFonts w:ascii="Times New Roman" w:eastAsia="Times New Roman" w:hAnsi="Times New Roman" w:cs="Times New Roman"/>
          <w:sz w:val="24"/>
          <w:szCs w:val="24"/>
        </w:rPr>
        <w:t xml:space="preserve"> for students not placed with alternative placement</w:t>
      </w:r>
      <w:r w:rsidR="00BF5CDA" w:rsidRPr="00B131CA">
        <w:rPr>
          <w:rFonts w:ascii="Times New Roman" w:eastAsia="Times New Roman" w:hAnsi="Times New Roman" w:cs="Times New Roman"/>
          <w:sz w:val="24"/>
          <w:szCs w:val="24"/>
        </w:rPr>
        <w:t>. Meeting this rate requires a close tracking of students’ accrual of attendance hours and alerting teachers and assessors when students will become eligible for post</w:t>
      </w:r>
      <w:r w:rsidR="00C42EDB" w:rsidRPr="00B131CA">
        <w:rPr>
          <w:rFonts w:ascii="Times New Roman" w:eastAsia="Times New Roman" w:hAnsi="Times New Roman" w:cs="Times New Roman"/>
          <w:sz w:val="24"/>
          <w:szCs w:val="24"/>
        </w:rPr>
        <w:t>-</w:t>
      </w:r>
      <w:r w:rsidR="00BF5CDA" w:rsidRPr="00B131CA">
        <w:rPr>
          <w:rFonts w:ascii="Times New Roman" w:eastAsia="Times New Roman" w:hAnsi="Times New Roman" w:cs="Times New Roman"/>
          <w:sz w:val="24"/>
          <w:szCs w:val="24"/>
        </w:rPr>
        <w:t xml:space="preserve">testing so that plans for administering assessments can be made. </w:t>
      </w:r>
      <w:r w:rsidR="005009D5">
        <w:rPr>
          <w:rFonts w:ascii="Times New Roman" w:eastAsia="Times New Roman" w:hAnsi="Times New Roman" w:cs="Times New Roman"/>
          <w:sz w:val="24"/>
          <w:szCs w:val="24"/>
        </w:rPr>
        <w:t xml:space="preserve">PY2024-2025 will be a “hold harmless” year for this indicator on the provider Report Cards as Virginia transitions to the new NRS allowances for alternative placement. </w:t>
      </w:r>
    </w:p>
    <w:p w14:paraId="00000292" w14:textId="07839C1B" w:rsidR="002F3C8D" w:rsidRPr="00B131CA" w:rsidRDefault="00BF5CDA" w:rsidP="003814EC">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Post</w:t>
      </w:r>
      <w:r w:rsidR="00C42EDB" w:rsidRPr="00B131CA">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exit</w:t>
      </w:r>
      <w:r w:rsidRPr="003814EC">
        <w:rPr>
          <w:rFonts w:ascii="Times New Roman" w:hAnsi="Times New Roman"/>
          <w:sz w:val="24"/>
        </w:rPr>
        <w:t xml:space="preserve"> indicators</w:t>
      </w:r>
      <w:r w:rsidRPr="00B131CA">
        <w:rPr>
          <w:rFonts w:ascii="Times New Roman" w:eastAsia="Times New Roman" w:hAnsi="Times New Roman" w:cs="Times New Roman"/>
          <w:sz w:val="24"/>
          <w:szCs w:val="24"/>
        </w:rPr>
        <w:t xml:space="preserve"> include three employment-related measures and a credential attainment measure. The employment measures </w:t>
      </w:r>
      <w:proofErr w:type="gramStart"/>
      <w:r w:rsidRPr="00B131CA">
        <w:rPr>
          <w:rFonts w:ascii="Times New Roman" w:eastAsia="Times New Roman" w:hAnsi="Times New Roman" w:cs="Times New Roman"/>
          <w:sz w:val="24"/>
          <w:szCs w:val="24"/>
        </w:rPr>
        <w:t>are:</w:t>
      </w:r>
      <w:proofErr w:type="gramEnd"/>
      <w:r w:rsidRPr="00B131CA">
        <w:rPr>
          <w:rFonts w:ascii="Times New Roman" w:eastAsia="Times New Roman" w:hAnsi="Times New Roman" w:cs="Times New Roman"/>
          <w:sz w:val="24"/>
          <w:szCs w:val="24"/>
        </w:rPr>
        <w:t xml:space="preserve"> employment in the second quarter after exit, employment in the </w:t>
      </w:r>
      <w:r w:rsidR="002D1D71">
        <w:rPr>
          <w:rFonts w:ascii="Times New Roman" w:eastAsia="Times New Roman" w:hAnsi="Times New Roman" w:cs="Times New Roman"/>
          <w:sz w:val="24"/>
          <w:szCs w:val="24"/>
        </w:rPr>
        <w:t>fourth</w:t>
      </w:r>
      <w:r w:rsidRPr="00B131CA">
        <w:rPr>
          <w:rFonts w:ascii="Times New Roman" w:eastAsia="Times New Roman" w:hAnsi="Times New Roman" w:cs="Times New Roman"/>
          <w:sz w:val="24"/>
          <w:szCs w:val="24"/>
        </w:rPr>
        <w:t xml:space="preserve"> quarter after exit, and median earnings in the second quarter. These data are collected through data matches conducted by the state office with the Virginia Employment Commission (VEC) for individuals employed in Virginia and with the State Wage Interchange System (SWIS) for individuals employed outside of Virginia. These data matches are conducted based on an individual’s Social Security number (SSN). For this reason, programs should provide multiple opportunities for students to disclose their SSN so that their record can be included in the data match. </w:t>
      </w:r>
    </w:p>
    <w:p w14:paraId="00000293" w14:textId="77777777" w:rsidR="002F3C8D" w:rsidRPr="00B131CA" w:rsidRDefault="00BF5CDA" w:rsidP="003814EC">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The credential attainment indicator includes two types of credentials: </w:t>
      </w:r>
    </w:p>
    <w:p w14:paraId="00000294" w14:textId="5F085CD2" w:rsidR="002F3C8D" w:rsidRPr="00B131CA" w:rsidRDefault="00BF5CDA" w:rsidP="003814EC">
      <w:pPr>
        <w:spacing w:after="0"/>
        <w:ind w:left="144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1) </w:t>
      </w:r>
      <w:r w:rsidRPr="00B131CA">
        <w:rPr>
          <w:rFonts w:ascii="Times New Roman" w:eastAsia="Times New Roman" w:hAnsi="Times New Roman" w:cs="Times New Roman"/>
          <w:sz w:val="24"/>
          <w:szCs w:val="24"/>
        </w:rPr>
        <w:tab/>
      </w:r>
      <w:r w:rsidR="009B7FD7" w:rsidRPr="00B131CA">
        <w:rPr>
          <w:rFonts w:ascii="Times New Roman" w:eastAsia="Times New Roman" w:hAnsi="Times New Roman" w:cs="Times New Roman"/>
          <w:sz w:val="24"/>
          <w:szCs w:val="24"/>
        </w:rPr>
        <w:t>A</w:t>
      </w:r>
      <w:r w:rsidRPr="00B131CA">
        <w:rPr>
          <w:rFonts w:ascii="Times New Roman" w:eastAsia="Times New Roman" w:hAnsi="Times New Roman" w:cs="Times New Roman"/>
          <w:sz w:val="24"/>
          <w:szCs w:val="24"/>
        </w:rPr>
        <w:t xml:space="preserve"> secondary school diploma or recognized equivalent during participation or within one year after exit from the program. The receipt of a secondary </w:t>
      </w:r>
      <w:r w:rsidR="006E3372">
        <w:rPr>
          <w:rFonts w:ascii="Times New Roman" w:eastAsia="Times New Roman" w:hAnsi="Times New Roman" w:cs="Times New Roman"/>
          <w:sz w:val="24"/>
          <w:szCs w:val="24"/>
        </w:rPr>
        <w:t>credential</w:t>
      </w:r>
      <w:r w:rsidR="006E3372"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is counted in this measure </w:t>
      </w:r>
      <w:r w:rsidR="00E55DE5" w:rsidRPr="00B131CA">
        <w:rPr>
          <w:rFonts w:ascii="Times New Roman" w:eastAsia="Times New Roman" w:hAnsi="Times New Roman" w:cs="Times New Roman"/>
          <w:sz w:val="24"/>
          <w:szCs w:val="24"/>
        </w:rPr>
        <w:t xml:space="preserve">only </w:t>
      </w:r>
      <w:r w:rsidRPr="00B131CA">
        <w:rPr>
          <w:rFonts w:ascii="Times New Roman" w:eastAsia="Times New Roman" w:hAnsi="Times New Roman" w:cs="Times New Roman"/>
          <w:sz w:val="24"/>
          <w:szCs w:val="24"/>
        </w:rPr>
        <w:t xml:space="preserve">if the participant also enters postsecondary education or </w:t>
      </w:r>
      <w:proofErr w:type="gramStart"/>
      <w:r w:rsidRPr="00B131CA">
        <w:rPr>
          <w:rFonts w:ascii="Times New Roman" w:eastAsia="Times New Roman" w:hAnsi="Times New Roman" w:cs="Times New Roman"/>
          <w:sz w:val="24"/>
          <w:szCs w:val="24"/>
        </w:rPr>
        <w:t>training, or</w:t>
      </w:r>
      <w:proofErr w:type="gramEnd"/>
      <w:r w:rsidRPr="00B131CA">
        <w:rPr>
          <w:rFonts w:ascii="Times New Roman" w:eastAsia="Times New Roman" w:hAnsi="Times New Roman" w:cs="Times New Roman"/>
          <w:sz w:val="24"/>
          <w:szCs w:val="24"/>
        </w:rPr>
        <w:t xml:space="preserve"> </w:t>
      </w:r>
      <w:r w:rsidR="002D7821">
        <w:rPr>
          <w:rFonts w:ascii="Times New Roman" w:eastAsia="Times New Roman" w:hAnsi="Times New Roman" w:cs="Times New Roman"/>
          <w:sz w:val="24"/>
          <w:szCs w:val="24"/>
        </w:rPr>
        <w:t>is employed</w:t>
      </w:r>
      <w:r w:rsidR="002D7821"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within one year after exit. </w:t>
      </w:r>
    </w:p>
    <w:p w14:paraId="00000295" w14:textId="61AAF47A" w:rsidR="002F3C8D" w:rsidRPr="00B131CA" w:rsidRDefault="00BF5CDA" w:rsidP="003814EC">
      <w:pPr>
        <w:ind w:left="144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2) </w:t>
      </w:r>
      <w:r w:rsidRPr="00B131CA">
        <w:rPr>
          <w:rFonts w:ascii="Times New Roman" w:eastAsia="Times New Roman" w:hAnsi="Times New Roman" w:cs="Times New Roman"/>
          <w:sz w:val="24"/>
          <w:szCs w:val="24"/>
        </w:rPr>
        <w:tab/>
      </w:r>
      <w:r w:rsidR="009B7FD7" w:rsidRPr="00B131CA">
        <w:rPr>
          <w:rFonts w:ascii="Times New Roman" w:eastAsia="Times New Roman" w:hAnsi="Times New Roman" w:cs="Times New Roman"/>
          <w:sz w:val="24"/>
          <w:szCs w:val="24"/>
        </w:rPr>
        <w:t>A</w:t>
      </w:r>
      <w:r w:rsidRPr="00B131CA">
        <w:rPr>
          <w:rFonts w:ascii="Times New Roman" w:eastAsia="Times New Roman" w:hAnsi="Times New Roman" w:cs="Times New Roman"/>
          <w:sz w:val="24"/>
          <w:szCs w:val="24"/>
        </w:rPr>
        <w:t xml:space="preserve"> recognized postsecondary credential earned during participation or within one year after exit from the program. </w:t>
      </w:r>
    </w:p>
    <w:p w14:paraId="7603EAC6" w14:textId="163881E6" w:rsidR="00880E8D" w:rsidRPr="00210F55" w:rsidRDefault="00BF5CDA" w:rsidP="00880E8D">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These data are collected through data matches conducted by the state office with the Virginia Community College System (VCCS) and the National Student Clearinghouse. Programs can supplement the data matches with documentation and reporting on credentials earned in programs not covered in these two data matches. For example, if a student earns a recognized </w:t>
      </w:r>
      <w:r w:rsidRPr="00B131CA">
        <w:rPr>
          <w:rFonts w:ascii="Times New Roman" w:eastAsia="Times New Roman" w:hAnsi="Times New Roman" w:cs="Times New Roman"/>
          <w:sz w:val="24"/>
          <w:szCs w:val="24"/>
        </w:rPr>
        <w:lastRenderedPageBreak/>
        <w:t xml:space="preserve">postsecondary credential in a training program that is not affiliated with an institute of higher education, that credential is eligible to be reported in the student’s record and documented in the student’s file at the program. </w:t>
      </w:r>
      <w:r w:rsidR="002D1D71">
        <w:rPr>
          <w:rFonts w:ascii="Times New Roman" w:eastAsia="Times New Roman" w:hAnsi="Times New Roman" w:cs="Times New Roman"/>
          <w:sz w:val="24"/>
          <w:szCs w:val="24"/>
        </w:rPr>
        <w:t>Supplemental information should be uploaded into the student’s record in LACES.</w:t>
      </w:r>
    </w:p>
    <w:p w14:paraId="00000297" w14:textId="7F72738C" w:rsidR="002F3C8D" w:rsidRPr="00F002E2" w:rsidRDefault="00BF5CDA" w:rsidP="008D03B8">
      <w:pPr>
        <w:pStyle w:val="Heading4"/>
        <w:rPr>
          <w:rFonts w:eastAsia="Times New Roman" w:cs="Times New Roman"/>
          <w:i/>
          <w:szCs w:val="24"/>
        </w:rPr>
      </w:pPr>
      <w:bookmarkStart w:id="67" w:name="_Toc174088878"/>
      <w:r w:rsidRPr="00932B32">
        <w:t>Communicating Your Data</w:t>
      </w:r>
      <w:bookmarkEnd w:id="67"/>
      <w:r w:rsidRPr="00F002E2">
        <w:rPr>
          <w:rFonts w:eastAsia="Times New Roman" w:cs="Times New Roman"/>
          <w:szCs w:val="24"/>
        </w:rPr>
        <w:t xml:space="preserve"> </w:t>
      </w:r>
    </w:p>
    <w:p w14:paraId="00000298" w14:textId="5F4F6C4D" w:rsidR="002F3C8D" w:rsidRPr="00B131CA" w:rsidRDefault="00BF5CDA">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How do you communicate the value of your program to potential partners and students? The ultimate successes of your </w:t>
      </w:r>
      <w:r w:rsidR="007C53B8">
        <w:rPr>
          <w:rFonts w:ascii="Times New Roman" w:eastAsia="Times New Roman" w:hAnsi="Times New Roman" w:cs="Times New Roman"/>
          <w:sz w:val="24"/>
          <w:szCs w:val="24"/>
        </w:rPr>
        <w:t>students</w:t>
      </w:r>
      <w:r w:rsidR="007C53B8"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are the long-term impacts such as stable employment, increased income, achievement of citizenship, increased civic involvement, and greater assistance and role modeling for their children’s education. Impact measures like these develop over years and are not necessarily part of the annual accountability cycle, but they are important to capture to demonstrate your program’s value. This section presents some guiding questions to consider how to communicate both types of data.</w:t>
      </w:r>
    </w:p>
    <w:p w14:paraId="0000029A" w14:textId="28DED0B8" w:rsidR="002F3C8D" w:rsidRPr="00B131CA" w:rsidRDefault="00BF5CDA" w:rsidP="00932B32">
      <w:pPr>
        <w:spacing w:after="0"/>
        <w:rPr>
          <w:rFonts w:ascii="Times New Roman" w:eastAsia="Times New Roman" w:hAnsi="Times New Roman" w:cs="Times New Roman"/>
          <w:sz w:val="24"/>
          <w:szCs w:val="24"/>
        </w:rPr>
      </w:pPr>
      <w:r w:rsidRPr="00A96001">
        <w:rPr>
          <w:rFonts w:ascii="Times New Roman" w:eastAsia="Times New Roman" w:hAnsi="Times New Roman" w:cs="Times New Roman"/>
          <w:b/>
          <w:bCs/>
          <w:sz w:val="24"/>
          <w:szCs w:val="24"/>
        </w:rPr>
        <w:t>How can you use data to recruit and motivate students?</w:t>
      </w:r>
      <w:r w:rsidRPr="00932B32">
        <w:rPr>
          <w:rFonts w:ascii="Times New Roman" w:hAnsi="Times New Roman"/>
          <w:sz w:val="24"/>
        </w:rPr>
        <w:t xml:space="preserve"> </w:t>
      </w:r>
      <w:r w:rsidRPr="00B131CA">
        <w:rPr>
          <w:rFonts w:ascii="Times New Roman" w:eastAsia="Times New Roman" w:hAnsi="Times New Roman" w:cs="Times New Roman"/>
          <w:sz w:val="24"/>
          <w:szCs w:val="24"/>
        </w:rPr>
        <w:t>Can you articulate to potential students the average number of hours required to reach a goal or the percentage of students who earn their secondary credential? How many postsecondary credentials were earned and how many postsecondary transitions were made by students in your program? Do you know the average pay scale and the job opportunities for workers with credentials they can earn in your program? Using student experience data such as this can motivate new students to persist to reach their goals.</w:t>
      </w:r>
      <w:r w:rsidR="00E03623">
        <w:rPr>
          <w:rFonts w:ascii="Times New Roman" w:eastAsia="Times New Roman" w:hAnsi="Times New Roman" w:cs="Times New Roman"/>
          <w:sz w:val="24"/>
          <w:szCs w:val="24"/>
        </w:rPr>
        <w:t xml:space="preserve"> Consider having students record short videos to speak directly to their achievements that can be shared at orientation events for incoming students. </w:t>
      </w:r>
    </w:p>
    <w:p w14:paraId="0000029B" w14:textId="77777777" w:rsidR="002F3C8D" w:rsidRPr="00932B32" w:rsidRDefault="002F3C8D" w:rsidP="00932B32">
      <w:pPr>
        <w:spacing w:after="0"/>
        <w:rPr>
          <w:rFonts w:ascii="Times New Roman" w:hAnsi="Times New Roman"/>
          <w:sz w:val="24"/>
        </w:rPr>
      </w:pPr>
    </w:p>
    <w:p w14:paraId="0000029D" w14:textId="2C6A8C2B" w:rsidR="002F3C8D" w:rsidRPr="00B131CA" w:rsidRDefault="00BF5CDA" w:rsidP="00932B32">
      <w:pPr>
        <w:spacing w:after="200"/>
        <w:rPr>
          <w:rFonts w:ascii="Times New Roman" w:eastAsia="Times New Roman" w:hAnsi="Times New Roman" w:cs="Times New Roman"/>
          <w:sz w:val="24"/>
          <w:szCs w:val="24"/>
        </w:rPr>
      </w:pPr>
      <w:r w:rsidRPr="00A96001">
        <w:rPr>
          <w:rFonts w:ascii="Times New Roman" w:eastAsia="Times New Roman" w:hAnsi="Times New Roman" w:cs="Times New Roman"/>
          <w:b/>
          <w:bCs/>
          <w:sz w:val="24"/>
          <w:szCs w:val="24"/>
        </w:rPr>
        <w:t>How can you use your data for outreach to partners and potential funders?</w:t>
      </w:r>
      <w:r w:rsidRPr="00932B32">
        <w:rPr>
          <w:rFonts w:ascii="Times New Roman" w:hAnsi="Times New Roman"/>
          <w:sz w:val="24"/>
        </w:rPr>
        <w:t xml:space="preserve"> </w:t>
      </w:r>
      <w:r w:rsidRPr="00B131CA">
        <w:rPr>
          <w:rFonts w:ascii="Times New Roman" w:eastAsia="Times New Roman" w:hAnsi="Times New Roman" w:cs="Times New Roman"/>
          <w:sz w:val="24"/>
          <w:szCs w:val="24"/>
        </w:rPr>
        <w:t xml:space="preserve">Consider framing your messaging around student goal attainment to focus on the impact your program has had on students’ lives and the health of the community. The post-exit indicator data (employment, earnings, and credentials earned) that </w:t>
      </w:r>
      <w:r w:rsidR="008E5F96">
        <w:rPr>
          <w:rFonts w:ascii="Times New Roman" w:eastAsia="Times New Roman" w:hAnsi="Times New Roman" w:cs="Times New Roman"/>
          <w:sz w:val="24"/>
          <w:szCs w:val="24"/>
        </w:rPr>
        <w:t>are</w:t>
      </w:r>
      <w:r w:rsidR="008E5F96"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collected and reported as part of WIOA provides a window into the impact, but only within a one-year timeframe. How can you create opportunities for students to stay in touch and share their stories of longer-term impact? Are students and graduates willing to speak directly to partners and potential funders? Can you collect student responses to questions your partners and potential funders have for students? If your partners are assisting with recruitment, what data points would motivate their clients and contribute to their accountability reports? </w:t>
      </w:r>
    </w:p>
    <w:p w14:paraId="0000029F" w14:textId="004D609D" w:rsidR="000F66B0" w:rsidRDefault="00BF5CDA" w:rsidP="00932B32">
      <w:pPr>
        <w:spacing w:after="200"/>
        <w:rPr>
          <w:rFonts w:ascii="Times New Roman" w:eastAsia="Times New Roman" w:hAnsi="Times New Roman" w:cs="Times New Roman"/>
          <w:sz w:val="24"/>
          <w:szCs w:val="24"/>
        </w:rPr>
      </w:pPr>
      <w:r w:rsidRPr="00915DAC">
        <w:rPr>
          <w:rFonts w:ascii="Times New Roman" w:eastAsia="Times New Roman" w:hAnsi="Times New Roman" w:cs="Times New Roman"/>
          <w:b/>
          <w:bCs/>
          <w:sz w:val="24"/>
          <w:szCs w:val="24"/>
        </w:rPr>
        <w:t>How can you present your program’s impact?</w:t>
      </w:r>
      <w:r w:rsidRPr="00932B32">
        <w:rPr>
          <w:rFonts w:ascii="Times New Roman" w:hAnsi="Times New Roman"/>
          <w:sz w:val="24"/>
        </w:rPr>
        <w:t xml:space="preserve">  </w:t>
      </w:r>
      <w:r w:rsidRPr="00B131CA">
        <w:rPr>
          <w:rFonts w:ascii="Times New Roman" w:eastAsia="Times New Roman" w:hAnsi="Times New Roman" w:cs="Times New Roman"/>
          <w:sz w:val="24"/>
          <w:szCs w:val="24"/>
        </w:rPr>
        <w:t xml:space="preserve">How the data is conveyed is important. Clear graphics may convey your meaning more directly than narrative reports. The VDOE and </w:t>
      </w:r>
      <w:r w:rsidR="008E5F96">
        <w:rPr>
          <w:rFonts w:ascii="Times New Roman" w:eastAsia="Times New Roman" w:hAnsi="Times New Roman" w:cs="Times New Roman"/>
          <w:sz w:val="24"/>
          <w:szCs w:val="24"/>
        </w:rPr>
        <w:t xml:space="preserve">the </w:t>
      </w:r>
      <w:r w:rsidRPr="00B131CA">
        <w:rPr>
          <w:rFonts w:ascii="Times New Roman" w:eastAsia="Times New Roman" w:hAnsi="Times New Roman" w:cs="Times New Roman"/>
          <w:sz w:val="24"/>
          <w:szCs w:val="24"/>
        </w:rPr>
        <w:t>VALRC often share data points and templates, such as the VDOE fact sheets</w:t>
      </w:r>
      <w:r w:rsidR="00E03623">
        <w:rPr>
          <w:rFonts w:ascii="Times New Roman" w:eastAsia="Times New Roman" w:hAnsi="Times New Roman" w:cs="Times New Roman"/>
          <w:sz w:val="24"/>
          <w:szCs w:val="24"/>
        </w:rPr>
        <w:t xml:space="preserve"> and infographics</w:t>
      </w:r>
      <w:r w:rsidRPr="00B131CA">
        <w:rPr>
          <w:rFonts w:ascii="Times New Roman" w:eastAsia="Times New Roman" w:hAnsi="Times New Roman" w:cs="Times New Roman"/>
          <w:sz w:val="24"/>
          <w:szCs w:val="24"/>
        </w:rPr>
        <w:t xml:space="preserve"> (see the adult education </w:t>
      </w:r>
      <w:hyperlink r:id="rId138">
        <w:r w:rsidRPr="00233A9A">
          <w:rPr>
            <w:rFonts w:ascii="Times New Roman" w:eastAsia="Times New Roman" w:hAnsi="Times New Roman" w:cs="Times New Roman"/>
            <w:color w:val="0000FF"/>
            <w:sz w:val="24"/>
            <w:szCs w:val="24"/>
            <w:u w:val="single"/>
          </w:rPr>
          <w:t>homepag</w:t>
        </w:r>
        <w:r w:rsidRPr="00B131CA">
          <w:rPr>
            <w:rFonts w:ascii="Times New Roman" w:eastAsia="Times New Roman" w:hAnsi="Times New Roman" w:cs="Times New Roman"/>
            <w:color w:val="0563C1"/>
            <w:sz w:val="24"/>
            <w:szCs w:val="24"/>
            <w:u w:val="single"/>
          </w:rPr>
          <w:t>e</w:t>
        </w:r>
      </w:hyperlink>
      <w:r w:rsidRPr="00B131CA">
        <w:rPr>
          <w:rFonts w:ascii="Times New Roman" w:eastAsia="Times New Roman" w:hAnsi="Times New Roman" w:cs="Times New Roman"/>
          <w:sz w:val="24"/>
          <w:szCs w:val="24"/>
        </w:rPr>
        <w:t xml:space="preserve">) or annual data presentations (see the </w:t>
      </w:r>
      <w:r w:rsidR="00356996">
        <w:rPr>
          <w:rFonts w:ascii="Times New Roman" w:eastAsia="Times New Roman" w:hAnsi="Times New Roman" w:cs="Times New Roman"/>
          <w:sz w:val="24"/>
          <w:szCs w:val="24"/>
        </w:rPr>
        <w:t xml:space="preserve">VDOE </w:t>
      </w:r>
      <w:r w:rsidRPr="00B131CA">
        <w:rPr>
          <w:rFonts w:ascii="Times New Roman" w:eastAsia="Times New Roman" w:hAnsi="Times New Roman" w:cs="Times New Roman"/>
          <w:sz w:val="24"/>
          <w:szCs w:val="24"/>
        </w:rPr>
        <w:t xml:space="preserve">professional development </w:t>
      </w:r>
      <w:hyperlink r:id="rId139">
        <w:r w:rsidRPr="00233A9A">
          <w:rPr>
            <w:rFonts w:ascii="Times New Roman" w:eastAsia="Times New Roman" w:hAnsi="Times New Roman" w:cs="Times New Roman"/>
            <w:color w:val="0000FF"/>
            <w:sz w:val="24"/>
            <w:szCs w:val="24"/>
            <w:u w:val="single"/>
          </w:rPr>
          <w:t>webpage</w:t>
        </w:r>
      </w:hyperlink>
      <w:r w:rsidRPr="00B131CA">
        <w:rPr>
          <w:rFonts w:ascii="Times New Roman" w:eastAsia="Times New Roman" w:hAnsi="Times New Roman" w:cs="Times New Roman"/>
          <w:sz w:val="24"/>
          <w:szCs w:val="24"/>
        </w:rPr>
        <w:t>) that can be recreated and customized with your program’s data.</w:t>
      </w:r>
      <w:r w:rsidR="002258F2">
        <w:rPr>
          <w:rFonts w:ascii="Times New Roman" w:eastAsia="Times New Roman" w:hAnsi="Times New Roman" w:cs="Times New Roman"/>
          <w:sz w:val="24"/>
          <w:szCs w:val="24"/>
        </w:rPr>
        <w:t xml:space="preserve"> Updates to these fact sheets are planned for</w:t>
      </w:r>
      <w:r w:rsidR="008E5F96">
        <w:rPr>
          <w:rFonts w:ascii="Times New Roman" w:eastAsia="Times New Roman" w:hAnsi="Times New Roman" w:cs="Times New Roman"/>
          <w:sz w:val="24"/>
          <w:szCs w:val="24"/>
        </w:rPr>
        <w:t>,</w:t>
      </w:r>
      <w:r w:rsidR="002258F2">
        <w:rPr>
          <w:rFonts w:ascii="Times New Roman" w:eastAsia="Times New Roman" w:hAnsi="Times New Roman" w:cs="Times New Roman"/>
          <w:sz w:val="24"/>
          <w:szCs w:val="24"/>
        </w:rPr>
        <w:t xml:space="preserve"> at minimum</w:t>
      </w:r>
      <w:r w:rsidR="008E5F96">
        <w:rPr>
          <w:rFonts w:ascii="Times New Roman" w:eastAsia="Times New Roman" w:hAnsi="Times New Roman" w:cs="Times New Roman"/>
          <w:sz w:val="24"/>
          <w:szCs w:val="24"/>
        </w:rPr>
        <w:t>,</w:t>
      </w:r>
      <w:r w:rsidR="002258F2">
        <w:rPr>
          <w:rFonts w:ascii="Times New Roman" w:eastAsia="Times New Roman" w:hAnsi="Times New Roman" w:cs="Times New Roman"/>
          <w:sz w:val="24"/>
          <w:szCs w:val="24"/>
        </w:rPr>
        <w:t xml:space="preserve"> e</w:t>
      </w:r>
      <w:r w:rsidR="008E5F96">
        <w:rPr>
          <w:rFonts w:ascii="Times New Roman" w:eastAsia="Times New Roman" w:hAnsi="Times New Roman" w:cs="Times New Roman"/>
          <w:sz w:val="24"/>
          <w:szCs w:val="24"/>
        </w:rPr>
        <w:t>very</w:t>
      </w:r>
      <w:r w:rsidR="002258F2">
        <w:rPr>
          <w:rFonts w:ascii="Times New Roman" w:eastAsia="Times New Roman" w:hAnsi="Times New Roman" w:cs="Times New Roman"/>
          <w:sz w:val="24"/>
          <w:szCs w:val="24"/>
        </w:rPr>
        <w:t xml:space="preserve"> two years.</w:t>
      </w:r>
      <w:r w:rsidR="003E269C">
        <w:rPr>
          <w:rFonts w:ascii="Times New Roman" w:eastAsia="Times New Roman" w:hAnsi="Times New Roman" w:cs="Times New Roman"/>
          <w:sz w:val="24"/>
          <w:szCs w:val="24"/>
        </w:rPr>
        <w:t xml:space="preserve"> See also a video recording on how to communicate your data, </w:t>
      </w:r>
      <w:hyperlink r:id="rId140" w:history="1">
        <w:r w:rsidR="003E269C" w:rsidRPr="003E269C">
          <w:rPr>
            <w:rStyle w:val="Hyperlink"/>
            <w:rFonts w:ascii="Times New Roman" w:eastAsia="Times New Roman" w:hAnsi="Times New Roman" w:cs="Times New Roman"/>
            <w:i/>
            <w:sz w:val="24"/>
            <w:szCs w:val="24"/>
          </w:rPr>
          <w:t>Know Your Numbers: What Story Does Your HSE Data Tell?</w:t>
        </w:r>
      </w:hyperlink>
      <w:r w:rsidR="003E269C" w:rsidRPr="003E269C">
        <w:rPr>
          <w:rFonts w:ascii="Times New Roman" w:eastAsia="Times New Roman" w:hAnsi="Times New Roman" w:cs="Times New Roman"/>
          <w:sz w:val="24"/>
          <w:szCs w:val="24"/>
        </w:rPr>
        <w:t xml:space="preserve"> </w:t>
      </w:r>
      <w:r w:rsidR="000F66B0">
        <w:rPr>
          <w:rFonts w:ascii="Times New Roman" w:eastAsia="Times New Roman" w:hAnsi="Times New Roman" w:cs="Times New Roman"/>
          <w:sz w:val="24"/>
          <w:szCs w:val="24"/>
        </w:rPr>
        <w:br w:type="page"/>
      </w:r>
    </w:p>
    <w:p w14:paraId="57C4FE26" w14:textId="77777777" w:rsidR="002F3C8D" w:rsidRPr="00B131CA" w:rsidRDefault="002F3C8D" w:rsidP="00932B32">
      <w:pPr>
        <w:spacing w:after="200"/>
        <w:rPr>
          <w:rFonts w:ascii="Times New Roman" w:eastAsia="Times New Roman" w:hAnsi="Times New Roman" w:cs="Times New Roman"/>
          <w:sz w:val="24"/>
          <w:szCs w:val="24"/>
        </w:rPr>
      </w:pPr>
    </w:p>
    <w:p w14:paraId="000002A0" w14:textId="21C63B16" w:rsidR="002F3C8D" w:rsidRPr="00932B32" w:rsidRDefault="00BF5CDA" w:rsidP="008D03B8">
      <w:pPr>
        <w:pStyle w:val="Heading4"/>
        <w:rPr>
          <w:i/>
          <w:color w:val="2E75B5"/>
        </w:rPr>
      </w:pPr>
      <w:bookmarkStart w:id="68" w:name="_Toc174088879"/>
      <w:r w:rsidRPr="00932B32">
        <w:t>Where to Find Key Data Concepts</w:t>
      </w:r>
      <w:bookmarkEnd w:id="68"/>
      <w:r w:rsidRPr="00932B32">
        <w:rPr>
          <w:color w:val="2E75B5"/>
        </w:rPr>
        <w:t xml:space="preserve"> </w:t>
      </w:r>
    </w:p>
    <w:p w14:paraId="000002A1" w14:textId="179EA2ED" w:rsidR="002F3C8D" w:rsidRPr="00B131CA" w:rsidRDefault="00BF5CDA">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Information about data responsibilities and key concepts may be found in </w:t>
      </w:r>
      <w:proofErr w:type="gramStart"/>
      <w:r w:rsidRPr="00B131CA">
        <w:rPr>
          <w:rFonts w:ascii="Times New Roman" w:eastAsia="Times New Roman" w:hAnsi="Times New Roman" w:cs="Times New Roman"/>
          <w:sz w:val="24"/>
          <w:szCs w:val="24"/>
        </w:rPr>
        <w:t>a number of</w:t>
      </w:r>
      <w:proofErr w:type="gramEnd"/>
      <w:r w:rsidRPr="00B131CA">
        <w:rPr>
          <w:rFonts w:ascii="Times New Roman" w:eastAsia="Times New Roman" w:hAnsi="Times New Roman" w:cs="Times New Roman"/>
          <w:sz w:val="24"/>
          <w:szCs w:val="24"/>
        </w:rPr>
        <w:t xml:space="preserve"> published policy documents. This list presents a crosswalk of some of the most common sub-topics and where they can be found in those source documents</w:t>
      </w:r>
      <w:r w:rsidR="006B0351">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 xml:space="preserve"> </w:t>
      </w:r>
    </w:p>
    <w:p w14:paraId="000002A2" w14:textId="17596834" w:rsidR="002F3C8D" w:rsidRDefault="00BF5CDA" w:rsidP="00022694">
      <w:pPr>
        <w:pStyle w:val="ListParagraph"/>
        <w:numPr>
          <w:ilvl w:val="0"/>
          <w:numId w:val="39"/>
        </w:numPr>
        <w:rPr>
          <w:rFonts w:ascii="Times New Roman" w:eastAsia="Times New Roman" w:hAnsi="Times New Roman" w:cs="Times New Roman"/>
          <w:sz w:val="24"/>
          <w:szCs w:val="24"/>
        </w:rPr>
      </w:pPr>
      <w:r w:rsidRPr="00915DAC">
        <w:rPr>
          <w:rFonts w:ascii="Times New Roman" w:eastAsia="Times New Roman" w:hAnsi="Times New Roman" w:cs="Times New Roman"/>
          <w:sz w:val="24"/>
          <w:szCs w:val="24"/>
        </w:rPr>
        <w:t xml:space="preserve">The </w:t>
      </w:r>
      <w:hyperlink r:id="rId141">
        <w:r w:rsidRPr="00233A9A">
          <w:rPr>
            <w:rFonts w:ascii="Times New Roman" w:eastAsia="Times New Roman" w:hAnsi="Times New Roman" w:cs="Times New Roman"/>
            <w:color w:val="0000FF"/>
            <w:sz w:val="24"/>
            <w:szCs w:val="24"/>
            <w:u w:val="single"/>
          </w:rPr>
          <w:t>Data Dictionary</w:t>
        </w:r>
      </w:hyperlink>
      <w:r w:rsidRPr="00915DAC">
        <w:rPr>
          <w:rFonts w:ascii="Times New Roman" w:eastAsia="Times New Roman" w:hAnsi="Times New Roman" w:cs="Times New Roman"/>
          <w:sz w:val="24"/>
          <w:szCs w:val="24"/>
        </w:rPr>
        <w:t xml:space="preserve"> defines terms related to reporting. </w:t>
      </w:r>
    </w:p>
    <w:p w14:paraId="74C1F21A" w14:textId="22AC0F3F" w:rsidR="0012070B" w:rsidRPr="00915DAC" w:rsidRDefault="00B73E9E" w:rsidP="00022694">
      <w:pPr>
        <w:pStyle w:val="ListParagraph"/>
        <w:numPr>
          <w:ilvl w:val="0"/>
          <w:numId w:val="39"/>
        </w:numPr>
        <w:rPr>
          <w:rFonts w:ascii="Times New Roman" w:eastAsia="Times New Roman" w:hAnsi="Times New Roman" w:cs="Times New Roman"/>
          <w:sz w:val="24"/>
          <w:szCs w:val="24"/>
        </w:rPr>
      </w:pPr>
      <w:hyperlink r:id="rId142" w:history="1">
        <w:r w:rsidR="0012070B" w:rsidRPr="00880E8D">
          <w:rPr>
            <w:rStyle w:val="Hyperlink"/>
            <w:rFonts w:ascii="Times New Roman" w:eastAsia="Times New Roman" w:hAnsi="Times New Roman" w:cs="Times New Roman"/>
            <w:sz w:val="24"/>
            <w:szCs w:val="24"/>
          </w:rPr>
          <w:t>Data Entry Guidance</w:t>
        </w:r>
      </w:hyperlink>
      <w:r w:rsidR="0012070B" w:rsidRPr="00880E8D">
        <w:rPr>
          <w:rFonts w:ascii="Times New Roman" w:eastAsia="Times New Roman" w:hAnsi="Times New Roman" w:cs="Times New Roman"/>
          <w:sz w:val="24"/>
          <w:szCs w:val="24"/>
        </w:rPr>
        <w:t xml:space="preserve"> p</w:t>
      </w:r>
      <w:r w:rsidR="0012070B">
        <w:rPr>
          <w:rFonts w:ascii="Times New Roman" w:eastAsia="Times New Roman" w:hAnsi="Times New Roman" w:cs="Times New Roman"/>
          <w:sz w:val="24"/>
          <w:szCs w:val="24"/>
        </w:rPr>
        <w:t xml:space="preserve">rovides key concepts and expectations. </w:t>
      </w:r>
    </w:p>
    <w:p w14:paraId="000002A3" w14:textId="18010B85" w:rsidR="002F3C8D" w:rsidRPr="00915DAC" w:rsidRDefault="00BF5CDA" w:rsidP="00022694">
      <w:pPr>
        <w:pStyle w:val="ListParagraph"/>
        <w:numPr>
          <w:ilvl w:val="0"/>
          <w:numId w:val="39"/>
        </w:numPr>
        <w:rPr>
          <w:rFonts w:ascii="Times New Roman" w:eastAsia="Times New Roman" w:hAnsi="Times New Roman" w:cs="Times New Roman"/>
          <w:sz w:val="24"/>
          <w:szCs w:val="24"/>
        </w:rPr>
      </w:pPr>
      <w:r w:rsidRPr="00915DAC">
        <w:rPr>
          <w:rFonts w:ascii="Times New Roman" w:eastAsia="Times New Roman" w:hAnsi="Times New Roman" w:cs="Times New Roman"/>
          <w:sz w:val="24"/>
          <w:szCs w:val="24"/>
        </w:rPr>
        <w:t xml:space="preserve">The </w:t>
      </w:r>
      <w:hyperlink r:id="rId143">
        <w:r w:rsidRPr="00475864">
          <w:rPr>
            <w:rFonts w:ascii="Times New Roman" w:eastAsia="Times New Roman" w:hAnsi="Times New Roman" w:cs="Times New Roman"/>
            <w:i/>
            <w:color w:val="0000FF"/>
            <w:sz w:val="24"/>
            <w:szCs w:val="24"/>
            <w:highlight w:val="white"/>
            <w:u w:val="single"/>
          </w:rPr>
          <w:t>Assessment and Distance Education Policy for Virginia Adult Education and Literacy Programs</w:t>
        </w:r>
      </w:hyperlink>
      <w:r w:rsidRPr="00915DAC">
        <w:rPr>
          <w:rFonts w:ascii="Times New Roman" w:eastAsia="Times New Roman" w:hAnsi="Times New Roman" w:cs="Times New Roman"/>
          <w:sz w:val="24"/>
          <w:szCs w:val="24"/>
        </w:rPr>
        <w:t xml:space="preserve">, published each year by July 1, includes assessment and distance education policies and assessment publisher guidelines. </w:t>
      </w:r>
    </w:p>
    <w:p w14:paraId="000002A4" w14:textId="7B23AAC1" w:rsidR="002F3C8D" w:rsidRPr="00915DAC" w:rsidRDefault="00B73E9E" w:rsidP="00022694">
      <w:pPr>
        <w:pStyle w:val="ListParagraph"/>
        <w:numPr>
          <w:ilvl w:val="0"/>
          <w:numId w:val="39"/>
        </w:numPr>
        <w:rPr>
          <w:rFonts w:ascii="Times New Roman" w:eastAsia="Times New Roman" w:hAnsi="Times New Roman" w:cs="Times New Roman"/>
          <w:sz w:val="24"/>
          <w:szCs w:val="24"/>
        </w:rPr>
      </w:pPr>
      <w:hyperlink r:id="rId144">
        <w:r w:rsidR="00BF5CDA" w:rsidRPr="00233A9A">
          <w:rPr>
            <w:rFonts w:ascii="Times New Roman" w:eastAsia="Times New Roman" w:hAnsi="Times New Roman" w:cs="Times New Roman"/>
            <w:color w:val="0000FF"/>
            <w:sz w:val="24"/>
            <w:szCs w:val="24"/>
            <w:u w:val="single"/>
          </w:rPr>
          <w:t>Director’s Memos</w:t>
        </w:r>
      </w:hyperlink>
      <w:r w:rsidR="00BF5CDA" w:rsidRPr="00915DAC">
        <w:rPr>
          <w:rFonts w:ascii="Times New Roman" w:eastAsia="Times New Roman" w:hAnsi="Times New Roman" w:cs="Times New Roman"/>
          <w:sz w:val="24"/>
          <w:szCs w:val="24"/>
        </w:rPr>
        <w:t xml:space="preserve"> contain mid-year updates to data and assessment policies. </w:t>
      </w:r>
    </w:p>
    <w:p w14:paraId="000002A5" w14:textId="089505B3" w:rsidR="002F3C8D" w:rsidRPr="00915DAC" w:rsidRDefault="00BF5CDA" w:rsidP="00022694">
      <w:pPr>
        <w:pStyle w:val="ListParagraph"/>
        <w:numPr>
          <w:ilvl w:val="0"/>
          <w:numId w:val="39"/>
        </w:numPr>
        <w:rPr>
          <w:rFonts w:ascii="Times New Roman" w:eastAsia="Times New Roman" w:hAnsi="Times New Roman" w:cs="Times New Roman"/>
          <w:sz w:val="24"/>
          <w:szCs w:val="24"/>
        </w:rPr>
      </w:pPr>
      <w:r w:rsidRPr="00915DAC">
        <w:rPr>
          <w:rFonts w:ascii="Times New Roman" w:eastAsia="Times New Roman" w:hAnsi="Times New Roman" w:cs="Times New Roman"/>
          <w:sz w:val="24"/>
          <w:szCs w:val="24"/>
        </w:rPr>
        <w:t xml:space="preserve">The </w:t>
      </w:r>
      <w:hyperlink r:id="rId145" w:history="1">
        <w:r w:rsidR="005009D5" w:rsidRPr="008D03B8">
          <w:rPr>
            <w:rStyle w:val="Hyperlink"/>
            <w:rFonts w:ascii="Times New Roman" w:eastAsia="Times New Roman" w:hAnsi="Times New Roman" w:cs="Times New Roman"/>
            <w:i/>
            <w:iCs/>
            <w:sz w:val="24"/>
            <w:szCs w:val="24"/>
          </w:rPr>
          <w:t xml:space="preserve">WIOA </w:t>
        </w:r>
        <w:r w:rsidR="008D03B8" w:rsidRPr="008D03B8">
          <w:rPr>
            <w:rStyle w:val="Hyperlink"/>
            <w:rFonts w:ascii="Times New Roman" w:eastAsia="Times New Roman" w:hAnsi="Times New Roman" w:cs="Times New Roman"/>
            <w:i/>
            <w:iCs/>
            <w:sz w:val="24"/>
            <w:szCs w:val="24"/>
          </w:rPr>
          <w:t xml:space="preserve">Virginia </w:t>
        </w:r>
        <w:r w:rsidR="005009D5" w:rsidRPr="008D03B8">
          <w:rPr>
            <w:rStyle w:val="Hyperlink"/>
            <w:rFonts w:ascii="Times New Roman" w:eastAsia="Times New Roman" w:hAnsi="Times New Roman" w:cs="Times New Roman"/>
            <w:i/>
            <w:iCs/>
            <w:sz w:val="24"/>
            <w:szCs w:val="24"/>
          </w:rPr>
          <w:t>Combined State Plan</w:t>
        </w:r>
      </w:hyperlink>
      <w:r w:rsidRPr="00915DAC">
        <w:rPr>
          <w:rFonts w:ascii="Times New Roman" w:eastAsia="Times New Roman" w:hAnsi="Times New Roman" w:cs="Times New Roman"/>
          <w:sz w:val="24"/>
          <w:szCs w:val="24"/>
        </w:rPr>
        <w:t xml:space="preserve"> publishes the negotiated performance targets for the primary indicators of performance; the negotiated targets for program years 202</w:t>
      </w:r>
      <w:r w:rsidR="00E03623">
        <w:rPr>
          <w:rFonts w:ascii="Times New Roman" w:eastAsia="Times New Roman" w:hAnsi="Times New Roman" w:cs="Times New Roman"/>
          <w:sz w:val="24"/>
          <w:szCs w:val="24"/>
        </w:rPr>
        <w:t>4</w:t>
      </w:r>
      <w:r w:rsidRPr="00915DAC">
        <w:rPr>
          <w:rFonts w:ascii="Times New Roman" w:eastAsia="Times New Roman" w:hAnsi="Times New Roman" w:cs="Times New Roman"/>
          <w:sz w:val="24"/>
          <w:szCs w:val="24"/>
        </w:rPr>
        <w:t>-202</w:t>
      </w:r>
      <w:r w:rsidR="00E03623">
        <w:rPr>
          <w:rFonts w:ascii="Times New Roman" w:eastAsia="Times New Roman" w:hAnsi="Times New Roman" w:cs="Times New Roman"/>
          <w:sz w:val="24"/>
          <w:szCs w:val="24"/>
        </w:rPr>
        <w:t>5</w:t>
      </w:r>
      <w:r w:rsidRPr="00915DAC">
        <w:rPr>
          <w:rFonts w:ascii="Times New Roman" w:eastAsia="Times New Roman" w:hAnsi="Times New Roman" w:cs="Times New Roman"/>
          <w:sz w:val="24"/>
          <w:szCs w:val="24"/>
        </w:rPr>
        <w:t xml:space="preserve"> and 202</w:t>
      </w:r>
      <w:r w:rsidR="00E03623">
        <w:rPr>
          <w:rFonts w:ascii="Times New Roman" w:eastAsia="Times New Roman" w:hAnsi="Times New Roman" w:cs="Times New Roman"/>
          <w:sz w:val="24"/>
          <w:szCs w:val="24"/>
        </w:rPr>
        <w:t>5</w:t>
      </w:r>
      <w:r w:rsidRPr="00915DAC">
        <w:rPr>
          <w:rFonts w:ascii="Times New Roman" w:eastAsia="Times New Roman" w:hAnsi="Times New Roman" w:cs="Times New Roman"/>
          <w:sz w:val="24"/>
          <w:szCs w:val="24"/>
        </w:rPr>
        <w:t>-202</w:t>
      </w:r>
      <w:r w:rsidR="00E03623">
        <w:rPr>
          <w:rFonts w:ascii="Times New Roman" w:eastAsia="Times New Roman" w:hAnsi="Times New Roman" w:cs="Times New Roman"/>
          <w:sz w:val="24"/>
          <w:szCs w:val="24"/>
        </w:rPr>
        <w:t>6</w:t>
      </w:r>
      <w:r w:rsidRPr="00915DAC">
        <w:rPr>
          <w:rFonts w:ascii="Times New Roman" w:eastAsia="Times New Roman" w:hAnsi="Times New Roman" w:cs="Times New Roman"/>
          <w:sz w:val="24"/>
          <w:szCs w:val="24"/>
        </w:rPr>
        <w:t xml:space="preserve"> are in the following table.</w:t>
      </w:r>
      <w:r w:rsidR="00475864">
        <w:rPr>
          <w:rFonts w:ascii="Times New Roman" w:eastAsia="Times New Roman" w:hAnsi="Times New Roman" w:cs="Times New Roman"/>
          <w:sz w:val="24"/>
          <w:szCs w:val="24"/>
        </w:rPr>
        <w:t xml:space="preserve"> Each Plan must also be modified every two years. </w:t>
      </w:r>
    </w:p>
    <w:p w14:paraId="000002AC" w14:textId="4AC063FE" w:rsidR="002F3C8D" w:rsidRPr="00932B32" w:rsidRDefault="00BF5CDA">
      <w:pPr>
        <w:rPr>
          <w:rFonts w:ascii="Times New Roman" w:hAnsi="Times New Roman"/>
          <w:b/>
          <w:sz w:val="24"/>
          <w:highlight w:val="yellow"/>
        </w:rPr>
      </w:pPr>
      <w:r w:rsidRPr="00932B32">
        <w:rPr>
          <w:rFonts w:ascii="Times New Roman" w:hAnsi="Times New Roman"/>
          <w:b/>
          <w:sz w:val="24"/>
        </w:rPr>
        <w:t xml:space="preserve">Table </w:t>
      </w:r>
      <w:r w:rsidR="00815F6B" w:rsidRPr="00E034E9">
        <w:rPr>
          <w:rFonts w:ascii="Times New Roman" w:eastAsia="Times New Roman" w:hAnsi="Times New Roman" w:cs="Times New Roman"/>
          <w:b/>
          <w:bCs/>
          <w:sz w:val="24"/>
          <w:szCs w:val="24"/>
        </w:rPr>
        <w:t>5.1 Negotiated Performance Targets</w:t>
      </w:r>
      <w:r w:rsidR="00815F6B" w:rsidRPr="00E034E9">
        <w:rPr>
          <w:rFonts w:ascii="Times New Roman" w:eastAsia="Times New Roman" w:hAnsi="Times New Roman" w:cs="Times New Roman"/>
          <w:b/>
          <w:bCs/>
          <w:sz w:val="24"/>
          <w:szCs w:val="24"/>
          <w:highlight w:val="yellow"/>
        </w:rPr>
        <w:t xml:space="preserve"> </w:t>
      </w:r>
    </w:p>
    <w:tbl>
      <w:tblPr>
        <w:tblStyle w:val="a1"/>
        <w:tblW w:w="972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20" w:firstRow="1" w:lastRow="0" w:firstColumn="0" w:lastColumn="0" w:noHBand="0" w:noVBand="1"/>
        <w:tblCaption w:val="Negotiated Performance Targets "/>
      </w:tblPr>
      <w:tblGrid>
        <w:gridCol w:w="4335"/>
        <w:gridCol w:w="2565"/>
        <w:gridCol w:w="2820"/>
      </w:tblGrid>
      <w:tr w:rsidR="00751082" w:rsidRPr="00B95156" w14:paraId="633C8B7B" w14:textId="77777777" w:rsidTr="00C07935">
        <w:trPr>
          <w:trHeight w:val="842"/>
          <w:tblHeader/>
        </w:trPr>
        <w:tc>
          <w:tcPr>
            <w:tcW w:w="4335" w:type="dxa"/>
            <w:shd w:val="clear" w:color="auto" w:fill="B4C6E7" w:themeFill="accent1" w:themeFillTint="66"/>
            <w:tcMar>
              <w:top w:w="0" w:type="dxa"/>
              <w:left w:w="108" w:type="dxa"/>
              <w:bottom w:w="0" w:type="dxa"/>
              <w:right w:w="108" w:type="dxa"/>
            </w:tcMar>
            <w:vAlign w:val="center"/>
          </w:tcPr>
          <w:p w14:paraId="000002AD" w14:textId="51C8E130" w:rsidR="002F3C8D" w:rsidRPr="007144D4" w:rsidRDefault="002F3C8D" w:rsidP="007144D4">
            <w:pPr>
              <w:rPr>
                <w:rFonts w:ascii="Times New Roman" w:hAnsi="Times New Roman" w:cs="Times New Roman"/>
                <w:b/>
                <w:sz w:val="24"/>
              </w:rPr>
            </w:pPr>
          </w:p>
          <w:p w14:paraId="000002AE" w14:textId="77777777" w:rsidR="002F3C8D" w:rsidRPr="007144D4" w:rsidRDefault="00BF5CDA" w:rsidP="007144D4">
            <w:pPr>
              <w:rPr>
                <w:rFonts w:ascii="Times New Roman" w:hAnsi="Times New Roman" w:cs="Times New Roman"/>
                <w:b/>
                <w:sz w:val="24"/>
              </w:rPr>
            </w:pPr>
            <w:r w:rsidRPr="007144D4">
              <w:rPr>
                <w:rFonts w:ascii="Times New Roman" w:hAnsi="Times New Roman" w:cs="Times New Roman"/>
                <w:b/>
                <w:sz w:val="24"/>
              </w:rPr>
              <w:t>Primary Indicator of Performance</w:t>
            </w:r>
          </w:p>
        </w:tc>
        <w:tc>
          <w:tcPr>
            <w:tcW w:w="2565" w:type="dxa"/>
            <w:shd w:val="clear" w:color="auto" w:fill="B4C6E7" w:themeFill="accent1" w:themeFillTint="66"/>
            <w:tcMar>
              <w:top w:w="0" w:type="dxa"/>
              <w:left w:w="108" w:type="dxa"/>
              <w:bottom w:w="0" w:type="dxa"/>
              <w:right w:w="108" w:type="dxa"/>
            </w:tcMar>
            <w:vAlign w:val="center"/>
          </w:tcPr>
          <w:p w14:paraId="000002B0" w14:textId="7BEE1D14" w:rsidR="002F3C8D" w:rsidRPr="007144D4" w:rsidRDefault="00BF5CDA" w:rsidP="007144D4">
            <w:pPr>
              <w:jc w:val="center"/>
              <w:rPr>
                <w:rFonts w:ascii="Times New Roman" w:hAnsi="Times New Roman" w:cs="Times New Roman"/>
                <w:b/>
                <w:sz w:val="24"/>
              </w:rPr>
            </w:pPr>
            <w:r w:rsidRPr="007144D4">
              <w:rPr>
                <w:rFonts w:ascii="Times New Roman" w:hAnsi="Times New Roman" w:cs="Times New Roman"/>
                <w:b/>
                <w:sz w:val="24"/>
              </w:rPr>
              <w:t>Final Negotiated</w:t>
            </w:r>
          </w:p>
          <w:p w14:paraId="000002B1" w14:textId="1AC84273" w:rsidR="002F3C8D" w:rsidRPr="007144D4" w:rsidRDefault="00BF5CDA" w:rsidP="007144D4">
            <w:pPr>
              <w:jc w:val="center"/>
              <w:rPr>
                <w:rFonts w:ascii="Times New Roman" w:hAnsi="Times New Roman" w:cs="Times New Roman"/>
                <w:b/>
                <w:sz w:val="24"/>
              </w:rPr>
            </w:pPr>
            <w:r w:rsidRPr="007144D4">
              <w:rPr>
                <w:rFonts w:ascii="Times New Roman" w:hAnsi="Times New Roman" w:cs="Times New Roman"/>
                <w:b/>
                <w:sz w:val="24"/>
              </w:rPr>
              <w:t xml:space="preserve">PY </w:t>
            </w:r>
            <w:r w:rsidR="00113D3A">
              <w:rPr>
                <w:rFonts w:ascii="Times New Roman" w:hAnsi="Times New Roman" w:cs="Times New Roman"/>
                <w:b/>
                <w:sz w:val="24"/>
              </w:rPr>
              <w:t>202</w:t>
            </w:r>
            <w:r w:rsidR="001B6E27">
              <w:rPr>
                <w:rFonts w:ascii="Times New Roman" w:hAnsi="Times New Roman" w:cs="Times New Roman"/>
                <w:b/>
                <w:sz w:val="24"/>
              </w:rPr>
              <w:t>4</w:t>
            </w:r>
            <w:r w:rsidR="00113D3A">
              <w:rPr>
                <w:rFonts w:ascii="Times New Roman" w:hAnsi="Times New Roman" w:cs="Times New Roman"/>
                <w:b/>
                <w:sz w:val="24"/>
              </w:rPr>
              <w:t>-202</w:t>
            </w:r>
            <w:r w:rsidR="001B6E27">
              <w:rPr>
                <w:rFonts w:ascii="Times New Roman" w:hAnsi="Times New Roman" w:cs="Times New Roman"/>
                <w:b/>
                <w:sz w:val="24"/>
              </w:rPr>
              <w:t>5</w:t>
            </w:r>
          </w:p>
        </w:tc>
        <w:tc>
          <w:tcPr>
            <w:tcW w:w="2820" w:type="dxa"/>
            <w:shd w:val="clear" w:color="auto" w:fill="B4C6E7" w:themeFill="accent1" w:themeFillTint="66"/>
            <w:tcMar>
              <w:top w:w="0" w:type="dxa"/>
              <w:left w:w="108" w:type="dxa"/>
              <w:bottom w:w="0" w:type="dxa"/>
              <w:right w:w="108" w:type="dxa"/>
            </w:tcMar>
            <w:vAlign w:val="center"/>
          </w:tcPr>
          <w:p w14:paraId="000002B2" w14:textId="78DE7715" w:rsidR="002F3C8D" w:rsidRPr="007144D4" w:rsidRDefault="00BF5CDA" w:rsidP="007144D4">
            <w:pPr>
              <w:jc w:val="center"/>
              <w:rPr>
                <w:rFonts w:ascii="Times New Roman" w:hAnsi="Times New Roman" w:cs="Times New Roman"/>
                <w:b/>
                <w:sz w:val="24"/>
              </w:rPr>
            </w:pPr>
            <w:r w:rsidRPr="007144D4">
              <w:rPr>
                <w:rFonts w:ascii="Times New Roman" w:hAnsi="Times New Roman" w:cs="Times New Roman"/>
                <w:b/>
                <w:sz w:val="24"/>
              </w:rPr>
              <w:t>Final Negotiated</w:t>
            </w:r>
          </w:p>
          <w:p w14:paraId="000002B3" w14:textId="06D6069D" w:rsidR="002F3C8D" w:rsidRPr="007144D4" w:rsidRDefault="00BF5CDA" w:rsidP="007144D4">
            <w:pPr>
              <w:jc w:val="center"/>
              <w:rPr>
                <w:rFonts w:ascii="Times New Roman" w:hAnsi="Times New Roman" w:cs="Times New Roman"/>
                <w:b/>
                <w:sz w:val="24"/>
              </w:rPr>
            </w:pPr>
            <w:r w:rsidRPr="007144D4">
              <w:rPr>
                <w:rFonts w:ascii="Times New Roman" w:hAnsi="Times New Roman" w:cs="Times New Roman"/>
                <w:b/>
                <w:sz w:val="24"/>
              </w:rPr>
              <w:t xml:space="preserve">PY </w:t>
            </w:r>
            <w:r w:rsidR="00113D3A">
              <w:rPr>
                <w:rFonts w:ascii="Times New Roman" w:hAnsi="Times New Roman" w:cs="Times New Roman"/>
                <w:b/>
                <w:sz w:val="24"/>
              </w:rPr>
              <w:t>202</w:t>
            </w:r>
            <w:r w:rsidR="001B6E27">
              <w:rPr>
                <w:rFonts w:ascii="Times New Roman" w:hAnsi="Times New Roman" w:cs="Times New Roman"/>
                <w:b/>
                <w:sz w:val="24"/>
              </w:rPr>
              <w:t>5</w:t>
            </w:r>
            <w:r w:rsidR="00113D3A">
              <w:rPr>
                <w:rFonts w:ascii="Times New Roman" w:hAnsi="Times New Roman" w:cs="Times New Roman"/>
                <w:b/>
                <w:sz w:val="24"/>
              </w:rPr>
              <w:t>-202</w:t>
            </w:r>
            <w:r w:rsidR="001B6E27">
              <w:rPr>
                <w:rFonts w:ascii="Times New Roman" w:hAnsi="Times New Roman" w:cs="Times New Roman"/>
                <w:b/>
                <w:sz w:val="24"/>
              </w:rPr>
              <w:t>6</w:t>
            </w:r>
          </w:p>
        </w:tc>
      </w:tr>
      <w:tr w:rsidR="002F3C8D" w:rsidRPr="00B131CA" w14:paraId="7132F05B" w14:textId="77777777" w:rsidTr="00C07935">
        <w:trPr>
          <w:trHeight w:val="556"/>
        </w:trPr>
        <w:tc>
          <w:tcPr>
            <w:tcW w:w="4335" w:type="dxa"/>
            <w:shd w:val="clear" w:color="auto" w:fill="F2F2F2"/>
            <w:tcMar>
              <w:top w:w="0" w:type="dxa"/>
              <w:left w:w="108" w:type="dxa"/>
              <w:bottom w:w="0" w:type="dxa"/>
              <w:right w:w="108" w:type="dxa"/>
            </w:tcMar>
            <w:vAlign w:val="center"/>
          </w:tcPr>
          <w:p w14:paraId="000002B8" w14:textId="77777777" w:rsidR="002F3C8D" w:rsidRPr="00B131CA" w:rsidRDefault="00BF5CDA">
            <w:p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color w:val="212121"/>
                <w:sz w:val="24"/>
                <w:szCs w:val="24"/>
              </w:rPr>
              <w:t>Measurable Skill Gains</w:t>
            </w:r>
          </w:p>
        </w:tc>
        <w:tc>
          <w:tcPr>
            <w:tcW w:w="2565" w:type="dxa"/>
            <w:tcMar>
              <w:top w:w="0" w:type="dxa"/>
              <w:left w:w="108" w:type="dxa"/>
              <w:bottom w:w="0" w:type="dxa"/>
              <w:right w:w="108" w:type="dxa"/>
            </w:tcMar>
            <w:vAlign w:val="center"/>
          </w:tcPr>
          <w:p w14:paraId="000002BA" w14:textId="70AF161B" w:rsidR="002F3C8D" w:rsidRPr="00B131CA" w:rsidRDefault="001B6E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tc>
        <w:tc>
          <w:tcPr>
            <w:tcW w:w="2820" w:type="dxa"/>
            <w:tcMar>
              <w:top w:w="0" w:type="dxa"/>
              <w:left w:w="108" w:type="dxa"/>
              <w:bottom w:w="0" w:type="dxa"/>
              <w:right w:w="108" w:type="dxa"/>
            </w:tcMar>
            <w:vAlign w:val="center"/>
          </w:tcPr>
          <w:p w14:paraId="000002BB" w14:textId="5A41C920" w:rsidR="002F3C8D" w:rsidRPr="00B131CA" w:rsidRDefault="001B6E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2F3C8D" w:rsidRPr="00B131CA" w14:paraId="4A3BB60A" w14:textId="77777777" w:rsidTr="00C07935">
        <w:trPr>
          <w:trHeight w:val="601"/>
        </w:trPr>
        <w:tc>
          <w:tcPr>
            <w:tcW w:w="4335" w:type="dxa"/>
            <w:shd w:val="clear" w:color="auto" w:fill="F2F2F2"/>
            <w:tcMar>
              <w:top w:w="0" w:type="dxa"/>
              <w:left w:w="108" w:type="dxa"/>
              <w:bottom w:w="0" w:type="dxa"/>
              <w:right w:w="108" w:type="dxa"/>
            </w:tcMar>
            <w:vAlign w:val="center"/>
          </w:tcPr>
          <w:p w14:paraId="000002BC" w14:textId="77777777" w:rsidR="002F3C8D" w:rsidRPr="00B131CA" w:rsidRDefault="00BF5CDA">
            <w:p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color w:val="212121"/>
                <w:sz w:val="24"/>
                <w:szCs w:val="24"/>
              </w:rPr>
              <w:t>Employment (2</w:t>
            </w:r>
            <w:r w:rsidRPr="00B131CA">
              <w:rPr>
                <w:rFonts w:ascii="Times New Roman" w:eastAsia="Times New Roman" w:hAnsi="Times New Roman" w:cs="Times New Roman"/>
                <w:color w:val="212121"/>
                <w:sz w:val="24"/>
                <w:szCs w:val="24"/>
                <w:vertAlign w:val="superscript"/>
              </w:rPr>
              <w:t>nd</w:t>
            </w:r>
            <w:r w:rsidRPr="00B131CA">
              <w:rPr>
                <w:rFonts w:ascii="Times New Roman" w:eastAsia="Times New Roman" w:hAnsi="Times New Roman" w:cs="Times New Roman"/>
                <w:color w:val="212121"/>
                <w:sz w:val="24"/>
                <w:szCs w:val="24"/>
              </w:rPr>
              <w:t xml:space="preserve"> Quarter After Exit)</w:t>
            </w:r>
          </w:p>
        </w:tc>
        <w:tc>
          <w:tcPr>
            <w:tcW w:w="2565" w:type="dxa"/>
            <w:tcMar>
              <w:top w:w="0" w:type="dxa"/>
              <w:left w:w="108" w:type="dxa"/>
              <w:bottom w:w="0" w:type="dxa"/>
              <w:right w:w="108" w:type="dxa"/>
            </w:tcMar>
            <w:vAlign w:val="center"/>
          </w:tcPr>
          <w:p w14:paraId="000002BE" w14:textId="4D8443C5" w:rsidR="002F3C8D" w:rsidRPr="00B131CA" w:rsidRDefault="001B6E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820" w:type="dxa"/>
            <w:tcMar>
              <w:top w:w="0" w:type="dxa"/>
              <w:left w:w="108" w:type="dxa"/>
              <w:bottom w:w="0" w:type="dxa"/>
              <w:right w:w="108" w:type="dxa"/>
            </w:tcMar>
            <w:vAlign w:val="center"/>
          </w:tcPr>
          <w:p w14:paraId="000002BF" w14:textId="3D77395E" w:rsidR="002F3C8D" w:rsidRPr="00B131CA" w:rsidRDefault="001B6E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r>
      <w:tr w:rsidR="002F3C8D" w:rsidRPr="00B131CA" w14:paraId="6FC37585" w14:textId="77777777" w:rsidTr="00C07935">
        <w:trPr>
          <w:trHeight w:val="520"/>
        </w:trPr>
        <w:tc>
          <w:tcPr>
            <w:tcW w:w="4335" w:type="dxa"/>
            <w:shd w:val="clear" w:color="auto" w:fill="F2F2F2"/>
            <w:tcMar>
              <w:top w:w="0" w:type="dxa"/>
              <w:left w:w="108" w:type="dxa"/>
              <w:bottom w:w="0" w:type="dxa"/>
              <w:right w:w="108" w:type="dxa"/>
            </w:tcMar>
            <w:vAlign w:val="center"/>
          </w:tcPr>
          <w:p w14:paraId="000002C0" w14:textId="77777777" w:rsidR="002F3C8D" w:rsidRPr="00B131CA" w:rsidRDefault="00BF5CDA">
            <w:p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color w:val="212121"/>
                <w:sz w:val="24"/>
                <w:szCs w:val="24"/>
              </w:rPr>
              <w:t>Employment (4</w:t>
            </w:r>
            <w:r w:rsidRPr="00B131CA">
              <w:rPr>
                <w:rFonts w:ascii="Times New Roman" w:eastAsia="Times New Roman" w:hAnsi="Times New Roman" w:cs="Times New Roman"/>
                <w:color w:val="212121"/>
                <w:sz w:val="24"/>
                <w:szCs w:val="24"/>
                <w:vertAlign w:val="superscript"/>
              </w:rPr>
              <w:t>th</w:t>
            </w:r>
            <w:r w:rsidRPr="00B131CA">
              <w:rPr>
                <w:rFonts w:ascii="Times New Roman" w:eastAsia="Times New Roman" w:hAnsi="Times New Roman" w:cs="Times New Roman"/>
                <w:color w:val="212121"/>
                <w:sz w:val="24"/>
                <w:szCs w:val="24"/>
              </w:rPr>
              <w:t xml:space="preserve"> Quarter After Exit)</w:t>
            </w:r>
          </w:p>
        </w:tc>
        <w:tc>
          <w:tcPr>
            <w:tcW w:w="2565" w:type="dxa"/>
            <w:tcMar>
              <w:top w:w="0" w:type="dxa"/>
              <w:left w:w="108" w:type="dxa"/>
              <w:bottom w:w="0" w:type="dxa"/>
              <w:right w:w="108" w:type="dxa"/>
            </w:tcMar>
            <w:vAlign w:val="center"/>
          </w:tcPr>
          <w:p w14:paraId="000002C2" w14:textId="43A6E78A" w:rsidR="002F3C8D" w:rsidRPr="00B131CA" w:rsidRDefault="001B6E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tc>
        <w:tc>
          <w:tcPr>
            <w:tcW w:w="2820" w:type="dxa"/>
            <w:tcMar>
              <w:top w:w="0" w:type="dxa"/>
              <w:left w:w="108" w:type="dxa"/>
              <w:bottom w:w="0" w:type="dxa"/>
              <w:right w:w="108" w:type="dxa"/>
            </w:tcMar>
            <w:vAlign w:val="center"/>
          </w:tcPr>
          <w:p w14:paraId="000002C3" w14:textId="4047E5DE" w:rsidR="002F3C8D" w:rsidRPr="00B131CA" w:rsidRDefault="00DD06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2F3C8D" w:rsidRPr="00B131CA" w14:paraId="388071FE" w14:textId="77777777" w:rsidTr="00C07935">
        <w:trPr>
          <w:trHeight w:val="700"/>
        </w:trPr>
        <w:tc>
          <w:tcPr>
            <w:tcW w:w="4335" w:type="dxa"/>
            <w:shd w:val="clear" w:color="auto" w:fill="F2F2F2"/>
            <w:tcMar>
              <w:top w:w="0" w:type="dxa"/>
              <w:left w:w="108" w:type="dxa"/>
              <w:bottom w:w="0" w:type="dxa"/>
              <w:right w:w="108" w:type="dxa"/>
            </w:tcMar>
            <w:vAlign w:val="center"/>
          </w:tcPr>
          <w:p w14:paraId="000002C4" w14:textId="77777777" w:rsidR="002F3C8D" w:rsidRPr="00B131CA" w:rsidRDefault="00BF5CDA">
            <w:p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color w:val="212121"/>
                <w:sz w:val="24"/>
                <w:szCs w:val="24"/>
              </w:rPr>
              <w:t>Median Earnings (2</w:t>
            </w:r>
            <w:r w:rsidRPr="00B131CA">
              <w:rPr>
                <w:rFonts w:ascii="Times New Roman" w:eastAsia="Times New Roman" w:hAnsi="Times New Roman" w:cs="Times New Roman"/>
                <w:color w:val="212121"/>
                <w:sz w:val="24"/>
                <w:szCs w:val="24"/>
                <w:vertAlign w:val="superscript"/>
              </w:rPr>
              <w:t>nd</w:t>
            </w:r>
            <w:r w:rsidRPr="00B131CA">
              <w:rPr>
                <w:rFonts w:ascii="Times New Roman" w:eastAsia="Times New Roman" w:hAnsi="Times New Roman" w:cs="Times New Roman"/>
                <w:color w:val="212121"/>
                <w:sz w:val="24"/>
                <w:szCs w:val="24"/>
              </w:rPr>
              <w:t xml:space="preserve"> Quarter After Exit)</w:t>
            </w:r>
          </w:p>
        </w:tc>
        <w:tc>
          <w:tcPr>
            <w:tcW w:w="2565" w:type="dxa"/>
            <w:tcMar>
              <w:top w:w="0" w:type="dxa"/>
              <w:left w:w="108" w:type="dxa"/>
              <w:bottom w:w="0" w:type="dxa"/>
              <w:right w:w="108" w:type="dxa"/>
            </w:tcMar>
            <w:vAlign w:val="center"/>
          </w:tcPr>
          <w:p w14:paraId="000002C6" w14:textId="797102C0" w:rsidR="002F3C8D" w:rsidRPr="00B131CA" w:rsidRDefault="00DD06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c>
          <w:tcPr>
            <w:tcW w:w="2820" w:type="dxa"/>
            <w:tcMar>
              <w:top w:w="0" w:type="dxa"/>
              <w:left w:w="108" w:type="dxa"/>
              <w:bottom w:w="0" w:type="dxa"/>
              <w:right w:w="108" w:type="dxa"/>
            </w:tcMar>
            <w:vAlign w:val="center"/>
          </w:tcPr>
          <w:p w14:paraId="000002C7" w14:textId="29B99EAB" w:rsidR="002F3C8D" w:rsidRPr="00B131CA" w:rsidRDefault="00DD06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$7,150</w:t>
            </w:r>
          </w:p>
        </w:tc>
      </w:tr>
      <w:tr w:rsidR="002F3C8D" w:rsidRPr="00B131CA" w14:paraId="32A1EEB9" w14:textId="77777777" w:rsidTr="00C07935">
        <w:trPr>
          <w:trHeight w:val="592"/>
        </w:trPr>
        <w:tc>
          <w:tcPr>
            <w:tcW w:w="4335" w:type="dxa"/>
            <w:shd w:val="clear" w:color="auto" w:fill="F2F2F2"/>
            <w:tcMar>
              <w:top w:w="0" w:type="dxa"/>
              <w:left w:w="108" w:type="dxa"/>
              <w:bottom w:w="0" w:type="dxa"/>
              <w:right w:w="108" w:type="dxa"/>
            </w:tcMar>
            <w:vAlign w:val="center"/>
          </w:tcPr>
          <w:p w14:paraId="000002C8" w14:textId="77777777" w:rsidR="002F3C8D" w:rsidRPr="00B131CA" w:rsidRDefault="00BF5CDA">
            <w:p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color w:val="212121"/>
                <w:sz w:val="24"/>
                <w:szCs w:val="24"/>
              </w:rPr>
              <w:t>Credential Attainment Rate</w:t>
            </w:r>
          </w:p>
        </w:tc>
        <w:tc>
          <w:tcPr>
            <w:tcW w:w="2565" w:type="dxa"/>
            <w:tcMar>
              <w:top w:w="0" w:type="dxa"/>
              <w:left w:w="108" w:type="dxa"/>
              <w:bottom w:w="0" w:type="dxa"/>
              <w:right w:w="108" w:type="dxa"/>
            </w:tcMar>
            <w:vAlign w:val="center"/>
          </w:tcPr>
          <w:p w14:paraId="000002CA" w14:textId="04BBB95A" w:rsidR="002F3C8D" w:rsidRPr="00B131CA" w:rsidRDefault="00DD06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p>
        </w:tc>
        <w:tc>
          <w:tcPr>
            <w:tcW w:w="2820" w:type="dxa"/>
            <w:tcMar>
              <w:top w:w="0" w:type="dxa"/>
              <w:left w:w="108" w:type="dxa"/>
              <w:bottom w:w="0" w:type="dxa"/>
              <w:right w:w="108" w:type="dxa"/>
            </w:tcMar>
            <w:vAlign w:val="center"/>
          </w:tcPr>
          <w:p w14:paraId="000002CB" w14:textId="1D9B6C1C" w:rsidR="002F3C8D" w:rsidRPr="00B131CA" w:rsidRDefault="00DD06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w:t>
            </w:r>
          </w:p>
        </w:tc>
      </w:tr>
      <w:tr w:rsidR="00CD3B25" w:rsidRPr="00B131CA" w14:paraId="3B02A17C" w14:textId="77777777" w:rsidTr="00C07935">
        <w:trPr>
          <w:trHeight w:val="592"/>
        </w:trPr>
        <w:tc>
          <w:tcPr>
            <w:tcW w:w="4335" w:type="dxa"/>
            <w:shd w:val="clear" w:color="auto" w:fill="F2F2F2"/>
            <w:tcMar>
              <w:top w:w="0" w:type="dxa"/>
              <w:left w:w="108" w:type="dxa"/>
              <w:bottom w:w="0" w:type="dxa"/>
              <w:right w:w="108" w:type="dxa"/>
            </w:tcMar>
            <w:vAlign w:val="center"/>
          </w:tcPr>
          <w:p w14:paraId="08C055EE" w14:textId="1F11DFA3" w:rsidR="00CD3B25" w:rsidRPr="00B131CA" w:rsidRDefault="00CD3B25">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Effectiveness in Serving Employers</w:t>
            </w:r>
          </w:p>
        </w:tc>
        <w:tc>
          <w:tcPr>
            <w:tcW w:w="2565" w:type="dxa"/>
            <w:tcMar>
              <w:top w:w="0" w:type="dxa"/>
              <w:left w:w="108" w:type="dxa"/>
              <w:bottom w:w="0" w:type="dxa"/>
              <w:right w:w="108" w:type="dxa"/>
            </w:tcMar>
            <w:vAlign w:val="center"/>
          </w:tcPr>
          <w:p w14:paraId="55AD418F" w14:textId="7FE3D424" w:rsidR="00CD3B25" w:rsidRPr="00B131CA" w:rsidRDefault="005009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TBD</w:t>
            </w:r>
          </w:p>
        </w:tc>
        <w:tc>
          <w:tcPr>
            <w:tcW w:w="2820" w:type="dxa"/>
            <w:tcMar>
              <w:top w:w="0" w:type="dxa"/>
              <w:left w:w="108" w:type="dxa"/>
              <w:bottom w:w="0" w:type="dxa"/>
              <w:right w:w="108" w:type="dxa"/>
            </w:tcMar>
            <w:vAlign w:val="center"/>
          </w:tcPr>
          <w:p w14:paraId="72B8EA55" w14:textId="5373C7C8" w:rsidR="00CD3B25" w:rsidRPr="00B131CA" w:rsidRDefault="005009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TBD</w:t>
            </w:r>
          </w:p>
        </w:tc>
      </w:tr>
    </w:tbl>
    <w:p w14:paraId="000002CC" w14:textId="79A7CB5F" w:rsidR="002F3C8D" w:rsidRDefault="002F3C8D">
      <w:pPr>
        <w:rPr>
          <w:rFonts w:ascii="Times New Roman" w:eastAsia="Times New Roman" w:hAnsi="Times New Roman" w:cs="Times New Roman"/>
          <w:sz w:val="24"/>
          <w:szCs w:val="24"/>
        </w:rPr>
      </w:pPr>
    </w:p>
    <w:p w14:paraId="5F2EC133" w14:textId="77777777" w:rsidR="003E269C" w:rsidRPr="00B131CA" w:rsidRDefault="003E269C">
      <w:pPr>
        <w:rPr>
          <w:rFonts w:ascii="Times New Roman" w:eastAsia="Times New Roman" w:hAnsi="Times New Roman" w:cs="Times New Roman"/>
          <w:sz w:val="24"/>
          <w:szCs w:val="24"/>
        </w:rPr>
      </w:pPr>
    </w:p>
    <w:p w14:paraId="42659CAA" w14:textId="77777777" w:rsidR="00613475" w:rsidRPr="005C5E03" w:rsidRDefault="00613475" w:rsidP="00CC55FE">
      <w:pPr>
        <w:pStyle w:val="Heading2"/>
        <w:numPr>
          <w:ilvl w:val="0"/>
          <w:numId w:val="0"/>
        </w:numPr>
        <w:ind w:left="1080" w:hanging="720"/>
        <w:sectPr w:rsidR="00613475" w:rsidRPr="005C5E03" w:rsidSect="000E656A">
          <w:footerReference w:type="default" r:id="rId146"/>
          <w:pgSz w:w="12240" w:h="15840"/>
          <w:pgMar w:top="1440" w:right="1440" w:bottom="1440" w:left="1440" w:header="720" w:footer="720" w:gutter="0"/>
          <w:pgNumType w:start="1" w:chapStyle="2"/>
          <w:cols w:space="720"/>
        </w:sectPr>
      </w:pPr>
    </w:p>
    <w:p w14:paraId="000002CE" w14:textId="37CBA296" w:rsidR="002F3C8D" w:rsidRPr="00AB56C4" w:rsidRDefault="00BF5CDA" w:rsidP="004C3706">
      <w:pPr>
        <w:pStyle w:val="Heading2"/>
      </w:pPr>
      <w:bookmarkStart w:id="69" w:name="_Toc174088880"/>
      <w:r w:rsidRPr="00AB56C4">
        <w:lastRenderedPageBreak/>
        <w:t>PROGRAM IMPROVEMENT</w:t>
      </w:r>
      <w:bookmarkEnd w:id="69"/>
    </w:p>
    <w:p w14:paraId="000002CF" w14:textId="71C8EA08" w:rsidR="002F3C8D" w:rsidRPr="00EA2D5D" w:rsidRDefault="00BF5CDA" w:rsidP="004A0493">
      <w:pPr>
        <w:pStyle w:val="Heading3"/>
      </w:pPr>
      <w:bookmarkStart w:id="70" w:name="_Toc174088881"/>
      <w:r w:rsidRPr="00EA2D5D">
        <w:t>Participating in the State Monitoring and Evaluation Process</w:t>
      </w:r>
      <w:bookmarkEnd w:id="70"/>
      <w:r w:rsidRPr="00EA2D5D">
        <w:t> </w:t>
      </w:r>
    </w:p>
    <w:p w14:paraId="000002D0" w14:textId="59E0FCE2"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Funded adult education providers are required to cooperate fully with monitoring and evaluation activities sponsored by the state Office of</w:t>
      </w:r>
      <w:r w:rsidR="002E3423">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Adult Education. This requirement is iterated in both the </w:t>
      </w:r>
      <w:r w:rsidRPr="00B131CA">
        <w:rPr>
          <w:rFonts w:ascii="Times New Roman" w:eastAsia="Times New Roman" w:hAnsi="Times New Roman" w:cs="Times New Roman"/>
          <w:i/>
          <w:color w:val="000000"/>
          <w:sz w:val="24"/>
          <w:szCs w:val="24"/>
        </w:rPr>
        <w:t xml:space="preserve">Virginia Department of Education, Office of Adult Education Statement of Assurances </w:t>
      </w:r>
      <w:r w:rsidRPr="00B131CA">
        <w:rPr>
          <w:rFonts w:ascii="Times New Roman" w:eastAsia="Times New Roman" w:hAnsi="Times New Roman" w:cs="Times New Roman"/>
          <w:color w:val="000000"/>
          <w:sz w:val="24"/>
          <w:szCs w:val="24"/>
        </w:rPr>
        <w:t xml:space="preserve">and Attachment A </w:t>
      </w:r>
      <w:r w:rsidRPr="00B131CA">
        <w:rPr>
          <w:rFonts w:ascii="Times New Roman" w:eastAsia="Times New Roman" w:hAnsi="Times New Roman" w:cs="Times New Roman"/>
          <w:i/>
          <w:color w:val="000000"/>
          <w:sz w:val="24"/>
          <w:szCs w:val="24"/>
        </w:rPr>
        <w:t>Terms and Conditions</w:t>
      </w:r>
      <w:r w:rsidRPr="00B131CA">
        <w:rPr>
          <w:rFonts w:ascii="Times New Roman" w:eastAsia="Times New Roman" w:hAnsi="Times New Roman" w:cs="Times New Roman"/>
          <w:color w:val="000000"/>
          <w:sz w:val="24"/>
          <w:szCs w:val="24"/>
        </w:rPr>
        <w:t xml:space="preserve"> received with each </w:t>
      </w:r>
      <w:r w:rsidRPr="00B131CA">
        <w:rPr>
          <w:rFonts w:ascii="Times New Roman" w:eastAsia="Times New Roman" w:hAnsi="Times New Roman" w:cs="Times New Roman"/>
          <w:sz w:val="24"/>
          <w:szCs w:val="24"/>
        </w:rPr>
        <w:t>g</w:t>
      </w:r>
      <w:r w:rsidRPr="00B131CA">
        <w:rPr>
          <w:rFonts w:ascii="Times New Roman" w:eastAsia="Times New Roman" w:hAnsi="Times New Roman" w:cs="Times New Roman"/>
          <w:color w:val="000000"/>
          <w:sz w:val="24"/>
          <w:szCs w:val="24"/>
        </w:rPr>
        <w:t xml:space="preserve">rant </w:t>
      </w:r>
      <w:r w:rsidRPr="00B131CA">
        <w:rPr>
          <w:rFonts w:ascii="Times New Roman" w:eastAsia="Times New Roman" w:hAnsi="Times New Roman" w:cs="Times New Roman"/>
          <w:sz w:val="24"/>
          <w:szCs w:val="24"/>
        </w:rPr>
        <w:t>a</w:t>
      </w:r>
      <w:r w:rsidRPr="00B131CA">
        <w:rPr>
          <w:rFonts w:ascii="Times New Roman" w:eastAsia="Times New Roman" w:hAnsi="Times New Roman" w:cs="Times New Roman"/>
          <w:color w:val="000000"/>
          <w:sz w:val="24"/>
          <w:szCs w:val="24"/>
        </w:rPr>
        <w:t xml:space="preserve">ward </w:t>
      </w:r>
      <w:r w:rsidRPr="00B131CA">
        <w:rPr>
          <w:rFonts w:ascii="Times New Roman" w:eastAsia="Times New Roman" w:hAnsi="Times New Roman" w:cs="Times New Roman"/>
          <w:sz w:val="24"/>
          <w:szCs w:val="24"/>
        </w:rPr>
        <w:t>n</w:t>
      </w:r>
      <w:r w:rsidR="00A866A5">
        <w:rPr>
          <w:rFonts w:ascii="Times New Roman" w:eastAsia="Times New Roman" w:hAnsi="Times New Roman" w:cs="Times New Roman"/>
          <w:color w:val="000000"/>
          <w:sz w:val="24"/>
          <w:szCs w:val="24"/>
        </w:rPr>
        <w:t>otification (</w:t>
      </w:r>
      <w:r w:rsidR="007B1249" w:rsidRPr="00932B32">
        <w:rPr>
          <w:rFonts w:ascii="Times New Roman" w:hAnsi="Times New Roman"/>
          <w:color w:val="000000"/>
          <w:sz w:val="24"/>
        </w:rPr>
        <w:t xml:space="preserve">section </w:t>
      </w:r>
      <w:r w:rsidR="007B1249">
        <w:rPr>
          <w:rFonts w:ascii="Times New Roman" w:eastAsia="Times New Roman" w:hAnsi="Times New Roman" w:cs="Times New Roman"/>
          <w:color w:val="000000"/>
          <w:sz w:val="24"/>
          <w:szCs w:val="24"/>
        </w:rPr>
        <w:t>Overview of Federal and State Regulations, subsection: State Code and Regulations</w:t>
      </w:r>
      <w:r w:rsidR="00A866A5">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Regular monitoring of providers is a key responsibility of the VDOE as the administrator of the AEFLA funds. </w:t>
      </w:r>
    </w:p>
    <w:p w14:paraId="000002D1"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Monitoring protocols have been established to support programs in implementing a variety of activities and policies that improve access to, and quality of, adult education services.</w:t>
      </w:r>
    </w:p>
    <w:p w14:paraId="000002D2" w14:textId="721F4DC6" w:rsidR="002F3C8D" w:rsidRPr="00F002E2" w:rsidRDefault="00BF5CDA" w:rsidP="008D03B8">
      <w:pPr>
        <w:pStyle w:val="Heading4"/>
        <w:rPr>
          <w:rFonts w:eastAsia="Times New Roman" w:cs="Times New Roman"/>
          <w:i/>
          <w:szCs w:val="24"/>
        </w:rPr>
      </w:pPr>
      <w:bookmarkStart w:id="71" w:name="_Toc174088882"/>
      <w:r w:rsidRPr="00932B32">
        <w:t>Program Self-Assessment</w:t>
      </w:r>
      <w:bookmarkEnd w:id="71"/>
    </w:p>
    <w:p w14:paraId="000002D3" w14:textId="603A6BA4"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annual program monitoring cycle begins with each adult education provider completing a </w:t>
      </w:r>
      <w:r w:rsidRPr="00B131CA">
        <w:rPr>
          <w:rFonts w:ascii="Times New Roman" w:eastAsia="Times New Roman" w:hAnsi="Times New Roman" w:cs="Times New Roman"/>
          <w:color w:val="202124"/>
          <w:sz w:val="24"/>
          <w:szCs w:val="24"/>
        </w:rPr>
        <w:t xml:space="preserve">Program Self-Assessment Survey. The Survey is designed to help providers document their leadership and management processes and assist the Virginia Adult Learning Resource Center (VALRC) and state office staff to plan technical assistance. Providers are asked to </w:t>
      </w:r>
      <w:r w:rsidR="00BC1B65" w:rsidRPr="00B131CA">
        <w:rPr>
          <w:rFonts w:ascii="Times New Roman" w:eastAsia="Times New Roman" w:hAnsi="Times New Roman" w:cs="Times New Roman"/>
          <w:color w:val="202124"/>
          <w:sz w:val="24"/>
          <w:szCs w:val="24"/>
        </w:rPr>
        <w:t xml:space="preserve">assess </w:t>
      </w:r>
      <w:proofErr w:type="gramStart"/>
      <w:r w:rsidR="00BC1B65">
        <w:rPr>
          <w:rFonts w:ascii="Times New Roman" w:eastAsia="Times New Roman" w:hAnsi="Times New Roman" w:cs="Times New Roman"/>
          <w:color w:val="202124"/>
          <w:sz w:val="24"/>
          <w:szCs w:val="24"/>
        </w:rPr>
        <w:t>whether</w:t>
      </w:r>
      <w:r w:rsidR="00A455B5">
        <w:rPr>
          <w:rFonts w:ascii="Times New Roman" w:eastAsia="Times New Roman" w:hAnsi="Times New Roman" w:cs="Times New Roman"/>
          <w:color w:val="202124"/>
          <w:sz w:val="24"/>
          <w:szCs w:val="24"/>
        </w:rPr>
        <w:t xml:space="preserve"> or not</w:t>
      </w:r>
      <w:proofErr w:type="gramEnd"/>
      <w:r w:rsidR="00A455B5">
        <w:rPr>
          <w:rFonts w:ascii="Times New Roman" w:eastAsia="Times New Roman" w:hAnsi="Times New Roman" w:cs="Times New Roman"/>
          <w:color w:val="202124"/>
          <w:sz w:val="24"/>
          <w:szCs w:val="24"/>
        </w:rPr>
        <w:t xml:space="preserve"> </w:t>
      </w:r>
      <w:r w:rsidRPr="00B131CA">
        <w:rPr>
          <w:rFonts w:ascii="Times New Roman" w:eastAsia="Times New Roman" w:hAnsi="Times New Roman" w:cs="Times New Roman"/>
          <w:color w:val="202124"/>
          <w:sz w:val="24"/>
          <w:szCs w:val="24"/>
        </w:rPr>
        <w:t xml:space="preserve">the program is meeting certain criteria in a variety of programmatic categories. Areas of assessment include program quality, </w:t>
      </w:r>
      <w:r w:rsidR="0067264F">
        <w:rPr>
          <w:rFonts w:ascii="Times New Roman" w:eastAsia="Times New Roman" w:hAnsi="Times New Roman" w:cs="Times New Roman"/>
          <w:color w:val="202124"/>
          <w:sz w:val="24"/>
          <w:szCs w:val="24"/>
        </w:rPr>
        <w:t xml:space="preserve">data management, </w:t>
      </w:r>
      <w:r w:rsidRPr="00B131CA">
        <w:rPr>
          <w:rFonts w:ascii="Times New Roman" w:eastAsia="Times New Roman" w:hAnsi="Times New Roman" w:cs="Times New Roman"/>
          <w:color w:val="202124"/>
          <w:sz w:val="24"/>
          <w:szCs w:val="24"/>
        </w:rPr>
        <w:t xml:space="preserve">fiscal management, integrated </w:t>
      </w:r>
      <w:proofErr w:type="gramStart"/>
      <w:r w:rsidRPr="00B131CA">
        <w:rPr>
          <w:rFonts w:ascii="Times New Roman" w:eastAsia="Times New Roman" w:hAnsi="Times New Roman" w:cs="Times New Roman"/>
          <w:color w:val="202124"/>
          <w:sz w:val="24"/>
          <w:szCs w:val="24"/>
        </w:rPr>
        <w:t>education</w:t>
      </w:r>
      <w:proofErr w:type="gramEnd"/>
      <w:r w:rsidRPr="00B131CA">
        <w:rPr>
          <w:rFonts w:ascii="Times New Roman" w:eastAsia="Times New Roman" w:hAnsi="Times New Roman" w:cs="Times New Roman"/>
          <w:color w:val="202124"/>
          <w:sz w:val="24"/>
          <w:szCs w:val="24"/>
        </w:rPr>
        <w:t xml:space="preserve"> and training (IET), compliance with state and federal regulations</w:t>
      </w:r>
      <w:r w:rsidR="0067264F">
        <w:rPr>
          <w:rFonts w:ascii="Times New Roman" w:eastAsia="Times New Roman" w:hAnsi="Times New Roman" w:cs="Times New Roman"/>
          <w:color w:val="202124"/>
          <w:sz w:val="24"/>
          <w:szCs w:val="24"/>
        </w:rPr>
        <w:t>, and regional administration for regional program managers</w:t>
      </w:r>
      <w:r w:rsidRPr="00B131CA">
        <w:rPr>
          <w:rFonts w:ascii="Times New Roman" w:eastAsia="Times New Roman" w:hAnsi="Times New Roman" w:cs="Times New Roman"/>
          <w:color w:val="202124"/>
          <w:sz w:val="24"/>
          <w:szCs w:val="24"/>
        </w:rPr>
        <w:t>.</w:t>
      </w:r>
    </w:p>
    <w:p w14:paraId="000002D4" w14:textId="4F85AC59" w:rsidR="002F3C8D" w:rsidRPr="00B131CA" w:rsidRDefault="00BF5CDA">
      <w:pPr>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The Survey also allows for providers to describe their technical assistance needs as they relate to each question on the survey. This information, along with the Survey data on program performance, forms the basis of discussion for </w:t>
      </w:r>
      <w:r w:rsidR="00A46FD8">
        <w:rPr>
          <w:rFonts w:ascii="Times New Roman" w:eastAsia="Times New Roman" w:hAnsi="Times New Roman" w:cs="Times New Roman"/>
          <w:sz w:val="24"/>
          <w:szCs w:val="24"/>
        </w:rPr>
        <w:t>annual</w:t>
      </w:r>
      <w:r w:rsidR="00A46FD8"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technical assistance calls between </w:t>
      </w:r>
      <w:r w:rsidR="00A46FD8">
        <w:rPr>
          <w:rFonts w:ascii="Times New Roman" w:eastAsia="Times New Roman" w:hAnsi="Times New Roman" w:cs="Times New Roman"/>
          <w:sz w:val="24"/>
          <w:szCs w:val="24"/>
        </w:rPr>
        <w:t xml:space="preserve">the </w:t>
      </w:r>
      <w:r w:rsidRPr="00B131CA">
        <w:rPr>
          <w:rFonts w:ascii="Times New Roman" w:eastAsia="Times New Roman" w:hAnsi="Times New Roman" w:cs="Times New Roman"/>
          <w:sz w:val="24"/>
          <w:szCs w:val="24"/>
        </w:rPr>
        <w:t>VDOE and each funded provider. </w:t>
      </w:r>
    </w:p>
    <w:p w14:paraId="000002D5" w14:textId="3C4EFD66" w:rsidR="002F3C8D" w:rsidRDefault="00BF5CDA" w:rsidP="008D03B8">
      <w:pPr>
        <w:pStyle w:val="Heading4"/>
      </w:pPr>
      <w:bookmarkStart w:id="72" w:name="_Toc174088883"/>
      <w:r w:rsidRPr="00932B32">
        <w:t>Program Identification</w:t>
      </w:r>
      <w:bookmarkEnd w:id="72"/>
      <w:r w:rsidRPr="00932B32">
        <w:t>  </w:t>
      </w:r>
    </w:p>
    <w:p w14:paraId="4EF21BF3" w14:textId="7C900041" w:rsidR="008D2B53" w:rsidRPr="00B131CA" w:rsidRDefault="008D2B53" w:rsidP="008D2B53">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identification of pr</w:t>
      </w:r>
      <w:r w:rsidR="00725E6F">
        <w:rPr>
          <w:rFonts w:ascii="Times New Roman" w:eastAsia="Times New Roman" w:hAnsi="Times New Roman" w:cs="Times New Roman"/>
          <w:color w:val="000000"/>
          <w:sz w:val="24"/>
          <w:szCs w:val="24"/>
        </w:rPr>
        <w:t>oviders</w:t>
      </w:r>
      <w:r w:rsidRPr="00B131CA">
        <w:rPr>
          <w:rFonts w:ascii="Times New Roman" w:eastAsia="Times New Roman" w:hAnsi="Times New Roman" w:cs="Times New Roman"/>
          <w:color w:val="000000"/>
          <w:sz w:val="24"/>
          <w:szCs w:val="24"/>
        </w:rPr>
        <w:t xml:space="preserve"> to receive a federal program monitoring review is determined by</w:t>
      </w:r>
      <w:r>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a risk analysis that is applied to local and regional adult education </w:t>
      </w:r>
      <w:r w:rsidR="00725E6F">
        <w:rPr>
          <w:rFonts w:ascii="Times New Roman" w:eastAsia="Times New Roman" w:hAnsi="Times New Roman" w:cs="Times New Roman"/>
          <w:color w:val="000000"/>
          <w:sz w:val="24"/>
          <w:szCs w:val="24"/>
        </w:rPr>
        <w:t>providers</w:t>
      </w:r>
      <w:r w:rsidRPr="00B131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risk </w:t>
      </w:r>
      <w:r w:rsidRPr="00B131CA">
        <w:rPr>
          <w:rFonts w:ascii="Times New Roman" w:eastAsia="Times New Roman" w:hAnsi="Times New Roman" w:cs="Times New Roman"/>
          <w:color w:val="000000"/>
          <w:sz w:val="24"/>
          <w:szCs w:val="24"/>
        </w:rPr>
        <w:t>analysis is based on indicators that reflect pro</w:t>
      </w:r>
      <w:r w:rsidR="00725E6F">
        <w:rPr>
          <w:rFonts w:ascii="Times New Roman" w:eastAsia="Times New Roman" w:hAnsi="Times New Roman" w:cs="Times New Roman"/>
          <w:color w:val="000000"/>
          <w:sz w:val="24"/>
          <w:szCs w:val="24"/>
        </w:rPr>
        <w:t>vider</w:t>
      </w:r>
      <w:r w:rsidRPr="00B131CA">
        <w:rPr>
          <w:rFonts w:ascii="Times New Roman" w:eastAsia="Times New Roman" w:hAnsi="Times New Roman" w:cs="Times New Roman"/>
          <w:color w:val="000000"/>
          <w:sz w:val="24"/>
          <w:szCs w:val="24"/>
        </w:rPr>
        <w:t>s’ student enrollment</w:t>
      </w:r>
      <w:r>
        <w:rPr>
          <w:rFonts w:ascii="Times New Roman" w:eastAsia="Times New Roman" w:hAnsi="Times New Roman" w:cs="Times New Roman"/>
          <w:color w:val="000000"/>
          <w:sz w:val="24"/>
          <w:szCs w:val="24"/>
        </w:rPr>
        <w:t>s</w:t>
      </w:r>
      <w:r w:rsidRPr="00B131CA">
        <w:rPr>
          <w:rFonts w:ascii="Times New Roman" w:eastAsia="Times New Roman" w:hAnsi="Times New Roman" w:cs="Times New Roman"/>
          <w:color w:val="000000"/>
          <w:sz w:val="24"/>
          <w:szCs w:val="24"/>
        </w:rPr>
        <w:t xml:space="preserve">, attainment of specified performance measures, </w:t>
      </w:r>
      <w:r>
        <w:rPr>
          <w:rFonts w:ascii="Times New Roman" w:eastAsia="Times New Roman" w:hAnsi="Times New Roman" w:cs="Times New Roman"/>
          <w:color w:val="000000"/>
          <w:sz w:val="24"/>
          <w:szCs w:val="24"/>
        </w:rPr>
        <w:t>follow-up measures</w:t>
      </w:r>
      <w:r w:rsidRPr="00B131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w:t>
      </w:r>
      <w:r w:rsidRPr="00B131CA">
        <w:rPr>
          <w:rFonts w:ascii="Times New Roman" w:eastAsia="Times New Roman" w:hAnsi="Times New Roman" w:cs="Times New Roman"/>
          <w:color w:val="000000"/>
          <w:sz w:val="24"/>
          <w:szCs w:val="24"/>
        </w:rPr>
        <w:t xml:space="preserve"> the percentage of funds expended in the previous fiscal year. The risk being assessed is to the VDOE as </w:t>
      </w:r>
      <w:r>
        <w:rPr>
          <w:rFonts w:ascii="Times New Roman" w:eastAsia="Times New Roman" w:hAnsi="Times New Roman" w:cs="Times New Roman"/>
          <w:color w:val="000000"/>
          <w:sz w:val="24"/>
          <w:szCs w:val="24"/>
        </w:rPr>
        <w:t>the administrator</w:t>
      </w:r>
      <w:r w:rsidRPr="00B131CA">
        <w:rPr>
          <w:rFonts w:ascii="Times New Roman" w:eastAsia="Times New Roman" w:hAnsi="Times New Roman" w:cs="Times New Roman"/>
          <w:color w:val="000000"/>
          <w:sz w:val="24"/>
          <w:szCs w:val="24"/>
        </w:rPr>
        <w:t xml:space="preserve"> of AEFLA funds. For example, when a program is unable to meet the MSG target set for the state, the risk is higher that the entire state will not meet the target. </w:t>
      </w:r>
    </w:p>
    <w:p w14:paraId="392718BD" w14:textId="7150184A" w:rsidR="008D2B53" w:rsidRDefault="00A70F7A" w:rsidP="008D2B53">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the transition to the new state management information system (MIS), LACES by Literacy Pro, pro</w:t>
      </w:r>
      <w:r w:rsidR="00544B29">
        <w:rPr>
          <w:rFonts w:ascii="Times New Roman" w:eastAsia="Times New Roman" w:hAnsi="Times New Roman" w:cs="Times New Roman"/>
          <w:color w:val="000000"/>
          <w:sz w:val="24"/>
          <w:szCs w:val="24"/>
        </w:rPr>
        <w:t>viders</w:t>
      </w:r>
      <w:r>
        <w:rPr>
          <w:rFonts w:ascii="Times New Roman" w:eastAsia="Times New Roman" w:hAnsi="Times New Roman" w:cs="Times New Roman"/>
          <w:color w:val="000000"/>
          <w:sz w:val="24"/>
          <w:szCs w:val="24"/>
        </w:rPr>
        <w:t xml:space="preserve"> will receive a LACES-generated Report Card </w:t>
      </w:r>
      <w:r w:rsidR="00C07CB6">
        <w:rPr>
          <w:rFonts w:ascii="Times New Roman" w:eastAsia="Times New Roman" w:hAnsi="Times New Roman" w:cs="Times New Roman"/>
          <w:color w:val="000000"/>
          <w:sz w:val="24"/>
          <w:szCs w:val="24"/>
        </w:rPr>
        <w:t>in place</w:t>
      </w:r>
      <w:r>
        <w:rPr>
          <w:rFonts w:ascii="Times New Roman" w:eastAsia="Times New Roman" w:hAnsi="Times New Roman" w:cs="Times New Roman"/>
          <w:color w:val="000000"/>
          <w:sz w:val="24"/>
          <w:szCs w:val="24"/>
        </w:rPr>
        <w:t xml:space="preserve"> of a risk rubric in November. Like the risk rubric, the Report Card re</w:t>
      </w:r>
      <w:r w:rsidR="008D2B53" w:rsidRPr="00B131CA">
        <w:rPr>
          <w:rFonts w:ascii="Times New Roman" w:eastAsia="Times New Roman" w:hAnsi="Times New Roman" w:cs="Times New Roman"/>
          <w:color w:val="000000"/>
          <w:sz w:val="24"/>
          <w:szCs w:val="24"/>
        </w:rPr>
        <w:t>flect</w:t>
      </w:r>
      <w:r>
        <w:rPr>
          <w:rFonts w:ascii="Times New Roman" w:eastAsia="Times New Roman" w:hAnsi="Times New Roman" w:cs="Times New Roman"/>
          <w:color w:val="000000"/>
          <w:sz w:val="24"/>
          <w:szCs w:val="24"/>
        </w:rPr>
        <w:t>s</w:t>
      </w:r>
      <w:r w:rsidR="008D2B53" w:rsidRPr="00B131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program</w:t>
      </w:r>
      <w:r w:rsidR="008D2B53" w:rsidRPr="00B131CA">
        <w:rPr>
          <w:rFonts w:ascii="Times New Roman" w:eastAsia="Times New Roman" w:hAnsi="Times New Roman" w:cs="Times New Roman"/>
          <w:color w:val="000000"/>
          <w:sz w:val="24"/>
          <w:szCs w:val="24"/>
        </w:rPr>
        <w:t xml:space="preserve"> performance in the previous program year.</w:t>
      </w:r>
      <w:r w:rsidR="008D2B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Since this is a transition year, the 2024-2025 Report Card will not contain a grade or score. </w:t>
      </w:r>
    </w:p>
    <w:p w14:paraId="20582C26" w14:textId="27310796" w:rsidR="00A70F7A" w:rsidRPr="00B131CA" w:rsidRDefault="00A70F7A" w:rsidP="00A70F7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lastRenderedPageBreak/>
        <w:t xml:space="preserve">The combination of </w:t>
      </w:r>
      <w:r>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pro</w:t>
      </w:r>
      <w:r w:rsidR="00544B29">
        <w:rPr>
          <w:rFonts w:ascii="Times New Roman" w:eastAsia="Times New Roman" w:hAnsi="Times New Roman" w:cs="Times New Roman"/>
          <w:color w:val="000000"/>
          <w:sz w:val="24"/>
          <w:szCs w:val="24"/>
        </w:rPr>
        <w:t>vider</w:t>
      </w:r>
      <w:r w:rsidRPr="00B131CA">
        <w:rPr>
          <w:rFonts w:ascii="Times New Roman" w:eastAsia="Times New Roman" w:hAnsi="Times New Roman" w:cs="Times New Roman"/>
          <w:color w:val="000000"/>
          <w:sz w:val="24"/>
          <w:szCs w:val="24"/>
        </w:rPr>
        <w:t xml:space="preserve"> risk </w:t>
      </w:r>
      <w:r>
        <w:rPr>
          <w:rFonts w:ascii="Times New Roman" w:eastAsia="Times New Roman" w:hAnsi="Times New Roman" w:cs="Times New Roman"/>
          <w:color w:val="000000"/>
          <w:sz w:val="24"/>
          <w:szCs w:val="24"/>
        </w:rPr>
        <w:t xml:space="preserve">analysis </w:t>
      </w:r>
      <w:r w:rsidRPr="00B131CA">
        <w:rPr>
          <w:rFonts w:ascii="Times New Roman" w:eastAsia="Times New Roman" w:hAnsi="Times New Roman" w:cs="Times New Roman"/>
          <w:color w:val="000000"/>
          <w:sz w:val="24"/>
          <w:szCs w:val="24"/>
        </w:rPr>
        <w:t>and a rotation system, which ensures that all pro</w:t>
      </w:r>
      <w:r w:rsidR="00544B29">
        <w:rPr>
          <w:rFonts w:ascii="Times New Roman" w:eastAsia="Times New Roman" w:hAnsi="Times New Roman" w:cs="Times New Roman"/>
          <w:color w:val="000000"/>
          <w:sz w:val="24"/>
          <w:szCs w:val="24"/>
        </w:rPr>
        <w:t>viders</w:t>
      </w:r>
      <w:r w:rsidRPr="00B131CA">
        <w:rPr>
          <w:rFonts w:ascii="Times New Roman" w:eastAsia="Times New Roman" w:hAnsi="Times New Roman" w:cs="Times New Roman"/>
          <w:color w:val="000000"/>
          <w:sz w:val="24"/>
          <w:szCs w:val="24"/>
        </w:rPr>
        <w:t xml:space="preserve"> receive site visits, is used to identify pro</w:t>
      </w:r>
      <w:r w:rsidR="00544B29">
        <w:rPr>
          <w:rFonts w:ascii="Times New Roman" w:eastAsia="Times New Roman" w:hAnsi="Times New Roman" w:cs="Times New Roman"/>
          <w:color w:val="000000"/>
          <w:sz w:val="24"/>
          <w:szCs w:val="24"/>
        </w:rPr>
        <w:t>viders</w:t>
      </w:r>
      <w:r w:rsidRPr="00B131CA">
        <w:rPr>
          <w:rFonts w:ascii="Times New Roman" w:eastAsia="Times New Roman" w:hAnsi="Times New Roman" w:cs="Times New Roman"/>
          <w:color w:val="000000"/>
          <w:sz w:val="24"/>
          <w:szCs w:val="24"/>
        </w:rPr>
        <w:t xml:space="preserve"> to receive site visits within an annual cycle and to produce an annual monitoring schedule.</w:t>
      </w:r>
    </w:p>
    <w:p w14:paraId="000002D8" w14:textId="7FEFC288" w:rsidR="002F3C8D" w:rsidRPr="00932B32" w:rsidRDefault="00BF5CDA" w:rsidP="008D03B8">
      <w:pPr>
        <w:pStyle w:val="Heading4"/>
        <w:rPr>
          <w:i/>
        </w:rPr>
      </w:pPr>
      <w:bookmarkStart w:id="73" w:name="_Toc174088884"/>
      <w:r w:rsidRPr="00932B32">
        <w:t>Site Visits</w:t>
      </w:r>
      <w:bookmarkEnd w:id="73"/>
    </w:p>
    <w:p w14:paraId="000002D9" w14:textId="1E594020"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VDOE plans and implements </w:t>
      </w:r>
      <w:r w:rsidRPr="00B131CA">
        <w:rPr>
          <w:rFonts w:ascii="Times New Roman" w:eastAsia="Times New Roman" w:hAnsi="Times New Roman" w:cs="Times New Roman"/>
          <w:sz w:val="24"/>
          <w:szCs w:val="24"/>
        </w:rPr>
        <w:t xml:space="preserve">virtual and in-person </w:t>
      </w:r>
      <w:r w:rsidRPr="00B131CA">
        <w:rPr>
          <w:rFonts w:ascii="Times New Roman" w:eastAsia="Times New Roman" w:hAnsi="Times New Roman" w:cs="Times New Roman"/>
          <w:color w:val="000000"/>
          <w:sz w:val="24"/>
          <w:szCs w:val="24"/>
        </w:rPr>
        <w:t xml:space="preserve">site monitoring and </w:t>
      </w:r>
      <w:r w:rsidRPr="00B131CA">
        <w:rPr>
          <w:rFonts w:ascii="Times New Roman" w:eastAsia="Times New Roman" w:hAnsi="Times New Roman" w:cs="Times New Roman"/>
          <w:sz w:val="24"/>
          <w:szCs w:val="24"/>
        </w:rPr>
        <w:t>targeted</w:t>
      </w:r>
      <w:r w:rsidRPr="00B131CA">
        <w:rPr>
          <w:rFonts w:ascii="Times New Roman" w:eastAsia="Times New Roman" w:hAnsi="Times New Roman" w:cs="Times New Roman"/>
          <w:color w:val="000000"/>
          <w:sz w:val="24"/>
          <w:szCs w:val="24"/>
        </w:rPr>
        <w:t xml:space="preserve"> visits, leads monitoring teams, prepares monitoring reports for local and regional programs, and ensures that Corrective Action Plans (CAPs) are closed in a timely </w:t>
      </w:r>
      <w:r w:rsidR="0067264F">
        <w:rPr>
          <w:rFonts w:ascii="Times New Roman" w:eastAsia="Times New Roman" w:hAnsi="Times New Roman" w:cs="Times New Roman"/>
          <w:color w:val="000000"/>
          <w:sz w:val="24"/>
          <w:szCs w:val="24"/>
        </w:rPr>
        <w:t>manner</w:t>
      </w:r>
      <w:r w:rsidRPr="00B131CA">
        <w:rPr>
          <w:rFonts w:ascii="Times New Roman" w:eastAsia="Times New Roman" w:hAnsi="Times New Roman" w:cs="Times New Roman"/>
          <w:color w:val="000000"/>
          <w:sz w:val="24"/>
          <w:szCs w:val="24"/>
        </w:rPr>
        <w:t>. </w:t>
      </w:r>
    </w:p>
    <w:p w14:paraId="000002DA" w14:textId="67314C82"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goals of monitoring site visits are to:</w:t>
      </w:r>
    </w:p>
    <w:p w14:paraId="000002DB" w14:textId="6951012C" w:rsidR="002F3C8D" w:rsidRPr="00B131CA" w:rsidRDefault="00437667" w:rsidP="00F057C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w:t>
      </w:r>
      <w:r w:rsidR="00BF5CDA" w:rsidRPr="00B131CA">
        <w:rPr>
          <w:rFonts w:ascii="Times New Roman" w:eastAsia="Times New Roman" w:hAnsi="Times New Roman" w:cs="Times New Roman"/>
          <w:color w:val="000000"/>
          <w:sz w:val="24"/>
          <w:szCs w:val="24"/>
        </w:rPr>
        <w:t>nsure that pro</w:t>
      </w:r>
      <w:r w:rsidR="00544B29">
        <w:rPr>
          <w:rFonts w:ascii="Times New Roman" w:eastAsia="Times New Roman" w:hAnsi="Times New Roman" w:cs="Times New Roman"/>
          <w:color w:val="000000"/>
          <w:sz w:val="24"/>
          <w:szCs w:val="24"/>
        </w:rPr>
        <w:t>viders</w:t>
      </w:r>
      <w:r w:rsidR="00BF5CDA" w:rsidRPr="00B131CA">
        <w:rPr>
          <w:rFonts w:ascii="Times New Roman" w:eastAsia="Times New Roman" w:hAnsi="Times New Roman" w:cs="Times New Roman"/>
          <w:color w:val="000000"/>
          <w:sz w:val="24"/>
          <w:szCs w:val="24"/>
        </w:rPr>
        <w:t xml:space="preserve"> meet</w:t>
      </w:r>
      <w:r w:rsidR="006B0351">
        <w:rPr>
          <w:rFonts w:ascii="Times New Roman" w:eastAsia="Times New Roman" w:hAnsi="Times New Roman" w:cs="Times New Roman"/>
          <w:color w:val="000000"/>
          <w:sz w:val="24"/>
          <w:szCs w:val="24"/>
        </w:rPr>
        <w:t xml:space="preserve"> federal and state </w:t>
      </w:r>
      <w:proofErr w:type="gramStart"/>
      <w:r w:rsidR="006B0351">
        <w:rPr>
          <w:rFonts w:ascii="Times New Roman" w:eastAsia="Times New Roman" w:hAnsi="Times New Roman" w:cs="Times New Roman"/>
          <w:color w:val="000000"/>
          <w:sz w:val="24"/>
          <w:szCs w:val="24"/>
        </w:rPr>
        <w:t>requirements;</w:t>
      </w:r>
      <w:proofErr w:type="gramEnd"/>
    </w:p>
    <w:p w14:paraId="000002DC" w14:textId="26E9E752" w:rsidR="002F3C8D" w:rsidRPr="00B131CA" w:rsidRDefault="00437667" w:rsidP="00F057C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i</w:t>
      </w:r>
      <w:r w:rsidR="00BF5CDA" w:rsidRPr="00B131CA">
        <w:rPr>
          <w:rFonts w:ascii="Times New Roman" w:eastAsia="Times New Roman" w:hAnsi="Times New Roman" w:cs="Times New Roman"/>
          <w:color w:val="000000"/>
          <w:sz w:val="24"/>
          <w:szCs w:val="24"/>
        </w:rPr>
        <w:t>mprove the quality of state and federally fu</w:t>
      </w:r>
      <w:r w:rsidR="006B0351">
        <w:rPr>
          <w:rFonts w:ascii="Times New Roman" w:eastAsia="Times New Roman" w:hAnsi="Times New Roman" w:cs="Times New Roman"/>
          <w:color w:val="000000"/>
          <w:sz w:val="24"/>
          <w:szCs w:val="24"/>
        </w:rPr>
        <w:t xml:space="preserve">nded adult education </w:t>
      </w:r>
      <w:proofErr w:type="gramStart"/>
      <w:r w:rsidR="006B0351">
        <w:rPr>
          <w:rFonts w:ascii="Times New Roman" w:eastAsia="Times New Roman" w:hAnsi="Times New Roman" w:cs="Times New Roman"/>
          <w:color w:val="000000"/>
          <w:sz w:val="24"/>
          <w:szCs w:val="24"/>
        </w:rPr>
        <w:t>activities;</w:t>
      </w:r>
      <w:proofErr w:type="gramEnd"/>
    </w:p>
    <w:p w14:paraId="000002DD" w14:textId="162D4EB8" w:rsidR="002F3C8D" w:rsidRPr="00B131CA" w:rsidRDefault="000D5B92" w:rsidP="00F057C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w:t>
      </w:r>
      <w:r w:rsidR="00BF5CDA" w:rsidRPr="00B131CA">
        <w:rPr>
          <w:rFonts w:ascii="Times New Roman" w:eastAsia="Times New Roman" w:hAnsi="Times New Roman" w:cs="Times New Roman"/>
          <w:color w:val="000000"/>
          <w:sz w:val="24"/>
          <w:szCs w:val="24"/>
        </w:rPr>
        <w:t xml:space="preserve"> in identifying </w:t>
      </w:r>
      <w:r w:rsidR="006B0351">
        <w:rPr>
          <w:rFonts w:ascii="Times New Roman" w:eastAsia="Times New Roman" w:hAnsi="Times New Roman" w:cs="Times New Roman"/>
          <w:color w:val="000000"/>
          <w:sz w:val="24"/>
          <w:szCs w:val="24"/>
        </w:rPr>
        <w:t>and resolving compliance issues;</w:t>
      </w:r>
      <w:r w:rsidR="00BF5CDA" w:rsidRPr="00B131CA">
        <w:rPr>
          <w:rFonts w:ascii="Times New Roman" w:eastAsia="Times New Roman" w:hAnsi="Times New Roman" w:cs="Times New Roman"/>
          <w:color w:val="000000"/>
          <w:sz w:val="24"/>
          <w:szCs w:val="24"/>
        </w:rPr>
        <w:t xml:space="preserve"> and</w:t>
      </w:r>
    </w:p>
    <w:p w14:paraId="000002DE" w14:textId="3336FB77" w:rsidR="002F3C8D" w:rsidRPr="00B131CA" w:rsidRDefault="00437667" w:rsidP="00F057C2">
      <w:pPr>
        <w:numPr>
          <w:ilvl w:val="0"/>
          <w:numId w:val="16"/>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w:t>
      </w:r>
      <w:r w:rsidR="00BF5CDA" w:rsidRPr="00B131CA">
        <w:rPr>
          <w:rFonts w:ascii="Times New Roman" w:eastAsia="Times New Roman" w:hAnsi="Times New Roman" w:cs="Times New Roman"/>
          <w:color w:val="000000"/>
          <w:sz w:val="24"/>
          <w:szCs w:val="24"/>
        </w:rPr>
        <w:t>nsure the accuracy, validity, and reliability of data collection and data reporting and the adherence to required policies and procedures for program accountability.</w:t>
      </w:r>
    </w:p>
    <w:p w14:paraId="000002DF" w14:textId="60FDE0AB"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In-person site visits usually take place over three consecutive days in the spring and involve a team of state staff plus a peer program manager</w:t>
      </w:r>
      <w:r w:rsidR="00D31728">
        <w:rPr>
          <w:rFonts w:ascii="Times New Roman" w:eastAsia="Times New Roman" w:hAnsi="Times New Roman" w:cs="Times New Roman"/>
          <w:color w:val="000000"/>
          <w:sz w:val="24"/>
          <w:szCs w:val="24"/>
        </w:rPr>
        <w:t xml:space="preserve"> </w:t>
      </w:r>
      <w:r w:rsidR="00A729EF">
        <w:rPr>
          <w:rFonts w:ascii="Times New Roman" w:eastAsia="Times New Roman" w:hAnsi="Times New Roman" w:cs="Times New Roman"/>
          <w:color w:val="000000"/>
          <w:sz w:val="24"/>
          <w:szCs w:val="24"/>
        </w:rPr>
        <w:t>and/</w:t>
      </w:r>
      <w:r w:rsidR="00D31728">
        <w:rPr>
          <w:rFonts w:ascii="Times New Roman" w:eastAsia="Times New Roman" w:hAnsi="Times New Roman" w:cs="Times New Roman"/>
          <w:color w:val="000000"/>
          <w:sz w:val="24"/>
          <w:szCs w:val="24"/>
        </w:rPr>
        <w:t xml:space="preserve">or </w:t>
      </w:r>
      <w:r w:rsidR="00A729EF">
        <w:rPr>
          <w:rFonts w:ascii="Times New Roman" w:eastAsia="Times New Roman" w:hAnsi="Times New Roman" w:cs="Times New Roman"/>
          <w:color w:val="000000"/>
          <w:sz w:val="24"/>
          <w:szCs w:val="24"/>
        </w:rPr>
        <w:t>a VALRC staff member</w:t>
      </w:r>
      <w:r w:rsidRPr="00B131CA">
        <w:rPr>
          <w:rFonts w:ascii="Times New Roman" w:eastAsia="Times New Roman" w:hAnsi="Times New Roman" w:cs="Times New Roman"/>
          <w:color w:val="000000"/>
          <w:sz w:val="24"/>
          <w:szCs w:val="24"/>
        </w:rPr>
        <w:t>. Peer reviewers are chosen from programs not receiving a site visit in the current year, and preferably, from the same type of fiscal agent (school division, community college, CBLO). </w:t>
      </w:r>
    </w:p>
    <w:p w14:paraId="000002E0" w14:textId="0FA278FB"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Virtual site visits may be spread out over a two</w:t>
      </w:r>
      <w:r w:rsidR="00E563AE" w:rsidRPr="00B131CA">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week period and take place at any time of the year. </w:t>
      </w:r>
      <w:r w:rsidR="00E55DE5">
        <w:rPr>
          <w:rFonts w:ascii="Times New Roman" w:eastAsia="Times New Roman" w:hAnsi="Times New Roman" w:cs="Times New Roman"/>
          <w:color w:val="000000"/>
          <w:sz w:val="24"/>
          <w:szCs w:val="24"/>
        </w:rPr>
        <w:t xml:space="preserve">A modified site-visit </w:t>
      </w:r>
      <w:r w:rsidRPr="00B131CA">
        <w:rPr>
          <w:rFonts w:ascii="Times New Roman" w:eastAsia="Times New Roman" w:hAnsi="Times New Roman" w:cs="Times New Roman"/>
          <w:color w:val="000000"/>
          <w:sz w:val="24"/>
          <w:szCs w:val="24"/>
        </w:rPr>
        <w:t xml:space="preserve">protocol is used for </w:t>
      </w:r>
      <w:r w:rsidR="00E55DE5">
        <w:rPr>
          <w:rFonts w:ascii="Times New Roman" w:eastAsia="Times New Roman" w:hAnsi="Times New Roman" w:cs="Times New Roman"/>
          <w:color w:val="000000"/>
          <w:sz w:val="24"/>
          <w:szCs w:val="24"/>
        </w:rPr>
        <w:t xml:space="preserve">virtual </w:t>
      </w:r>
      <w:r w:rsidR="00662DF9">
        <w:rPr>
          <w:rFonts w:ascii="Times New Roman" w:eastAsia="Times New Roman" w:hAnsi="Times New Roman" w:cs="Times New Roman"/>
          <w:color w:val="000000"/>
          <w:sz w:val="24"/>
          <w:szCs w:val="24"/>
        </w:rPr>
        <w:t>program monitoring</w:t>
      </w:r>
      <w:r w:rsidR="00CF216C">
        <w:rPr>
          <w:rFonts w:ascii="Times New Roman" w:eastAsia="Times New Roman" w:hAnsi="Times New Roman" w:cs="Times New Roman"/>
          <w:color w:val="000000"/>
          <w:sz w:val="24"/>
          <w:szCs w:val="24"/>
        </w:rPr>
        <w:t xml:space="preserve">. </w:t>
      </w:r>
      <w:r w:rsidR="00662DF9">
        <w:rPr>
          <w:rFonts w:ascii="Times New Roman" w:eastAsia="Times New Roman" w:hAnsi="Times New Roman" w:cs="Times New Roman"/>
          <w:color w:val="000000"/>
          <w:sz w:val="24"/>
          <w:szCs w:val="24"/>
        </w:rPr>
        <w:t xml:space="preserve">The modified protocol focuses on data management and regional administration </w:t>
      </w:r>
      <w:r w:rsidR="00CF216C">
        <w:rPr>
          <w:rFonts w:ascii="Times New Roman" w:eastAsia="Times New Roman" w:hAnsi="Times New Roman" w:cs="Times New Roman"/>
          <w:color w:val="000000"/>
          <w:sz w:val="24"/>
          <w:szCs w:val="24"/>
        </w:rPr>
        <w:t>for AEFLA-</w:t>
      </w:r>
      <w:r w:rsidR="00662DF9">
        <w:rPr>
          <w:rFonts w:ascii="Times New Roman" w:eastAsia="Times New Roman" w:hAnsi="Times New Roman" w:cs="Times New Roman"/>
          <w:color w:val="000000"/>
          <w:sz w:val="24"/>
          <w:szCs w:val="24"/>
        </w:rPr>
        <w:t>funded programs</w:t>
      </w:r>
      <w:r w:rsidR="009F6522">
        <w:rPr>
          <w:rFonts w:ascii="Times New Roman" w:eastAsia="Times New Roman" w:hAnsi="Times New Roman" w:cs="Times New Roman"/>
          <w:color w:val="000000"/>
          <w:sz w:val="24"/>
          <w:szCs w:val="24"/>
        </w:rPr>
        <w:t xml:space="preserve">. </w:t>
      </w:r>
      <w:r w:rsidR="00662DF9">
        <w:rPr>
          <w:rFonts w:ascii="Times New Roman" w:eastAsia="Times New Roman" w:hAnsi="Times New Roman" w:cs="Times New Roman"/>
          <w:color w:val="000000"/>
          <w:sz w:val="24"/>
          <w:szCs w:val="24"/>
        </w:rPr>
        <w:t>The protocol for IELCE pro</w:t>
      </w:r>
      <w:r w:rsidR="00544B29">
        <w:rPr>
          <w:rFonts w:ascii="Times New Roman" w:eastAsia="Times New Roman" w:hAnsi="Times New Roman" w:cs="Times New Roman"/>
          <w:color w:val="000000"/>
          <w:sz w:val="24"/>
          <w:szCs w:val="24"/>
        </w:rPr>
        <w:t>vider</w:t>
      </w:r>
      <w:r w:rsidR="00662DF9">
        <w:rPr>
          <w:rFonts w:ascii="Times New Roman" w:eastAsia="Times New Roman" w:hAnsi="Times New Roman" w:cs="Times New Roman"/>
          <w:color w:val="000000"/>
          <w:sz w:val="24"/>
          <w:szCs w:val="24"/>
        </w:rPr>
        <w:t xml:space="preserve"> </w:t>
      </w:r>
      <w:r w:rsidR="00062BD1">
        <w:rPr>
          <w:rFonts w:ascii="Times New Roman" w:eastAsia="Times New Roman" w:hAnsi="Times New Roman" w:cs="Times New Roman"/>
          <w:color w:val="000000"/>
          <w:sz w:val="24"/>
          <w:szCs w:val="24"/>
        </w:rPr>
        <w:t>(</w:t>
      </w:r>
      <w:r w:rsidR="00CF216C">
        <w:rPr>
          <w:rFonts w:ascii="Times New Roman" w:eastAsia="Times New Roman" w:hAnsi="Times New Roman" w:cs="Times New Roman"/>
          <w:color w:val="000000"/>
          <w:sz w:val="24"/>
          <w:szCs w:val="24"/>
        </w:rPr>
        <w:t>S</w:t>
      </w:r>
      <w:r w:rsidR="00062BD1">
        <w:rPr>
          <w:rFonts w:ascii="Times New Roman" w:eastAsia="Times New Roman" w:hAnsi="Times New Roman" w:cs="Times New Roman"/>
          <w:color w:val="000000"/>
          <w:sz w:val="24"/>
          <w:szCs w:val="24"/>
        </w:rPr>
        <w:t xml:space="preserve">ec. 243 funds) </w:t>
      </w:r>
      <w:r w:rsidR="00662DF9">
        <w:rPr>
          <w:rFonts w:ascii="Times New Roman" w:eastAsia="Times New Roman" w:hAnsi="Times New Roman" w:cs="Times New Roman"/>
          <w:color w:val="000000"/>
          <w:sz w:val="24"/>
          <w:szCs w:val="24"/>
        </w:rPr>
        <w:t xml:space="preserve">monitoring </w:t>
      </w:r>
      <w:r w:rsidR="000D5B92">
        <w:rPr>
          <w:rFonts w:ascii="Times New Roman" w:eastAsia="Times New Roman" w:hAnsi="Times New Roman" w:cs="Times New Roman"/>
          <w:color w:val="000000"/>
          <w:sz w:val="24"/>
          <w:szCs w:val="24"/>
        </w:rPr>
        <w:t xml:space="preserve">includes all components of the site-visit protocol </w:t>
      </w:r>
      <w:proofErr w:type="gramStart"/>
      <w:r w:rsidR="000D5B92">
        <w:rPr>
          <w:rFonts w:ascii="Times New Roman" w:eastAsia="Times New Roman" w:hAnsi="Times New Roman" w:cs="Times New Roman"/>
          <w:color w:val="000000"/>
          <w:sz w:val="24"/>
          <w:szCs w:val="24"/>
        </w:rPr>
        <w:t>with the exception of</w:t>
      </w:r>
      <w:proofErr w:type="gramEnd"/>
      <w:r w:rsidR="000D5B92">
        <w:rPr>
          <w:rFonts w:ascii="Times New Roman" w:eastAsia="Times New Roman" w:hAnsi="Times New Roman" w:cs="Times New Roman"/>
          <w:color w:val="000000"/>
          <w:sz w:val="24"/>
          <w:szCs w:val="24"/>
        </w:rPr>
        <w:t xml:space="preserve"> Regional Administration</w:t>
      </w:r>
      <w:r w:rsidR="00544B29">
        <w:rPr>
          <w:rFonts w:ascii="Times New Roman" w:eastAsia="Times New Roman" w:hAnsi="Times New Roman" w:cs="Times New Roman"/>
          <w:color w:val="000000"/>
          <w:sz w:val="24"/>
          <w:szCs w:val="24"/>
        </w:rPr>
        <w:t xml:space="preserve"> module</w:t>
      </w:r>
      <w:r w:rsidR="00062BD1">
        <w:rPr>
          <w:rFonts w:ascii="Times New Roman" w:eastAsia="Times New Roman" w:hAnsi="Times New Roman" w:cs="Times New Roman"/>
          <w:color w:val="000000"/>
          <w:sz w:val="24"/>
          <w:szCs w:val="24"/>
        </w:rPr>
        <w:t xml:space="preserve">. </w:t>
      </w:r>
    </w:p>
    <w:p w14:paraId="000002E1" w14:textId="772A2890"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Targeted monitoring visits, both in-person and virtual, are conducted on an as-needed basis and can occur at any time</w:t>
      </w:r>
      <w:r w:rsidR="0067264F">
        <w:rPr>
          <w:rFonts w:ascii="Times New Roman" w:eastAsia="Times New Roman" w:hAnsi="Times New Roman" w:cs="Times New Roman"/>
          <w:color w:val="000000"/>
          <w:sz w:val="24"/>
          <w:szCs w:val="24"/>
        </w:rPr>
        <w:t xml:space="preserve"> throughout the year</w:t>
      </w:r>
      <w:r w:rsidRPr="00B131CA">
        <w:rPr>
          <w:rFonts w:ascii="Times New Roman" w:eastAsia="Times New Roman" w:hAnsi="Times New Roman" w:cs="Times New Roman"/>
          <w:color w:val="000000"/>
          <w:sz w:val="24"/>
          <w:szCs w:val="24"/>
        </w:rPr>
        <w:t>. </w:t>
      </w:r>
      <w:r w:rsidR="00CC3DBD">
        <w:rPr>
          <w:rFonts w:ascii="Times New Roman" w:eastAsia="Times New Roman" w:hAnsi="Times New Roman" w:cs="Times New Roman"/>
          <w:color w:val="000000"/>
          <w:sz w:val="24"/>
          <w:szCs w:val="24"/>
        </w:rPr>
        <w:t>Selected</w:t>
      </w:r>
      <w:r w:rsidR="00A455B5">
        <w:rPr>
          <w:rFonts w:ascii="Times New Roman" w:eastAsia="Times New Roman" w:hAnsi="Times New Roman" w:cs="Times New Roman"/>
          <w:color w:val="000000"/>
          <w:sz w:val="24"/>
          <w:szCs w:val="24"/>
        </w:rPr>
        <w:t xml:space="preserve"> components from the site-visit protocol will be used for targeted monitoring visits. </w:t>
      </w:r>
      <w:r w:rsidRPr="00B131CA">
        <w:rPr>
          <w:rFonts w:ascii="Times New Roman" w:eastAsia="Times New Roman" w:hAnsi="Times New Roman" w:cs="Times New Roman"/>
          <w:color w:val="000000"/>
          <w:sz w:val="24"/>
          <w:szCs w:val="24"/>
        </w:rPr>
        <w:t>Scheduling for targeted monitoring site visits is determined based on staff availability and the estimated time needed to resolve the issue(s) in question</w:t>
      </w:r>
      <w:r w:rsidR="005A7DB8">
        <w:rPr>
          <w:rFonts w:ascii="Times New Roman" w:eastAsia="Times New Roman" w:hAnsi="Times New Roman" w:cs="Times New Roman"/>
          <w:color w:val="000000"/>
          <w:sz w:val="24"/>
          <w:szCs w:val="24"/>
        </w:rPr>
        <w:t>; therefore, t</w:t>
      </w:r>
      <w:r w:rsidRPr="00B131CA">
        <w:rPr>
          <w:rFonts w:ascii="Times New Roman" w:eastAsia="Times New Roman" w:hAnsi="Times New Roman" w:cs="Times New Roman"/>
          <w:color w:val="000000"/>
          <w:sz w:val="24"/>
          <w:szCs w:val="24"/>
        </w:rPr>
        <w:t>argeted site visits will</w:t>
      </w:r>
      <w:r w:rsidR="0012070B">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vary in length. </w:t>
      </w:r>
      <w:r w:rsidR="005A7DB8">
        <w:rPr>
          <w:rFonts w:ascii="Times New Roman" w:eastAsia="Times New Roman" w:hAnsi="Times New Roman" w:cs="Times New Roman"/>
          <w:color w:val="000000"/>
          <w:sz w:val="24"/>
          <w:szCs w:val="24"/>
        </w:rPr>
        <w:t>Depending on the issue(s), a peer reviewer may be recruited to participate. A t</w:t>
      </w:r>
      <w:r w:rsidR="00A455B5">
        <w:rPr>
          <w:rFonts w:ascii="Times New Roman" w:eastAsia="Times New Roman" w:hAnsi="Times New Roman" w:cs="Times New Roman"/>
          <w:color w:val="000000"/>
          <w:sz w:val="24"/>
          <w:szCs w:val="24"/>
        </w:rPr>
        <w:t>argeted monitoring visit do</w:t>
      </w:r>
      <w:r w:rsidR="005A7DB8">
        <w:rPr>
          <w:rFonts w:ascii="Times New Roman" w:eastAsia="Times New Roman" w:hAnsi="Times New Roman" w:cs="Times New Roman"/>
          <w:color w:val="000000"/>
          <w:sz w:val="24"/>
          <w:szCs w:val="24"/>
        </w:rPr>
        <w:t>es</w:t>
      </w:r>
      <w:r w:rsidR="00A455B5">
        <w:rPr>
          <w:rFonts w:ascii="Times New Roman" w:eastAsia="Times New Roman" w:hAnsi="Times New Roman" w:cs="Times New Roman"/>
          <w:color w:val="000000"/>
          <w:sz w:val="24"/>
          <w:szCs w:val="24"/>
        </w:rPr>
        <w:t xml:space="preserve"> not exempt </w:t>
      </w:r>
      <w:r w:rsidR="00CC3DBD">
        <w:rPr>
          <w:rFonts w:ascii="Times New Roman" w:eastAsia="Times New Roman" w:hAnsi="Times New Roman" w:cs="Times New Roman"/>
          <w:color w:val="000000"/>
          <w:sz w:val="24"/>
          <w:szCs w:val="24"/>
        </w:rPr>
        <w:t>a pro</w:t>
      </w:r>
      <w:r w:rsidR="00544B29">
        <w:rPr>
          <w:rFonts w:ascii="Times New Roman" w:eastAsia="Times New Roman" w:hAnsi="Times New Roman" w:cs="Times New Roman"/>
          <w:color w:val="000000"/>
          <w:sz w:val="24"/>
          <w:szCs w:val="24"/>
        </w:rPr>
        <w:t>vider</w:t>
      </w:r>
      <w:r w:rsidR="00CC3DBD">
        <w:rPr>
          <w:rFonts w:ascii="Times New Roman" w:eastAsia="Times New Roman" w:hAnsi="Times New Roman" w:cs="Times New Roman"/>
          <w:color w:val="000000"/>
          <w:sz w:val="24"/>
          <w:szCs w:val="24"/>
        </w:rPr>
        <w:t xml:space="preserve"> </w:t>
      </w:r>
      <w:r w:rsidR="00A455B5">
        <w:rPr>
          <w:rFonts w:ascii="Times New Roman" w:eastAsia="Times New Roman" w:hAnsi="Times New Roman" w:cs="Times New Roman"/>
          <w:color w:val="000000"/>
          <w:sz w:val="24"/>
          <w:szCs w:val="24"/>
        </w:rPr>
        <w:t xml:space="preserve">from a full in-person site visit. </w:t>
      </w:r>
    </w:p>
    <w:p w14:paraId="000002E2" w14:textId="753B08C9" w:rsidR="002F3C8D" w:rsidRPr="00F002E2" w:rsidRDefault="00BF5CDA" w:rsidP="008D03B8">
      <w:pPr>
        <w:pStyle w:val="Heading4"/>
        <w:rPr>
          <w:rFonts w:eastAsia="Times New Roman" w:cs="Times New Roman"/>
          <w:i/>
          <w:szCs w:val="24"/>
        </w:rPr>
      </w:pPr>
      <w:bookmarkStart w:id="74" w:name="_Toc174088885"/>
      <w:r w:rsidRPr="00932B32">
        <w:t>Program Manager Responsibilities for Site Visits</w:t>
      </w:r>
      <w:bookmarkEnd w:id="74"/>
    </w:p>
    <w:p w14:paraId="000002E3" w14:textId="390D2628"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regional or local program manager is responsible for the ensuring that the following site-visit monitoring and eval</w:t>
      </w:r>
      <w:r w:rsidR="006B0351">
        <w:rPr>
          <w:rFonts w:ascii="Times New Roman" w:eastAsia="Times New Roman" w:hAnsi="Times New Roman" w:cs="Times New Roman"/>
          <w:color w:val="000000"/>
          <w:sz w:val="24"/>
          <w:szCs w:val="24"/>
        </w:rPr>
        <w:t>uation responsibilities are met:</w:t>
      </w:r>
      <w:r w:rsidRPr="00B131CA">
        <w:rPr>
          <w:rFonts w:ascii="Times New Roman" w:eastAsia="Times New Roman" w:hAnsi="Times New Roman" w:cs="Times New Roman"/>
          <w:color w:val="000000"/>
          <w:sz w:val="24"/>
          <w:szCs w:val="24"/>
        </w:rPr>
        <w:t> </w:t>
      </w:r>
    </w:p>
    <w:p w14:paraId="000002E4" w14:textId="74B208D6" w:rsidR="002F3C8D" w:rsidRPr="00B131CA" w:rsidRDefault="00BF5CDA" w:rsidP="00F057C2">
      <w:pPr>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Completing the Site-Visit Preliminary Information Form </w:t>
      </w:r>
    </w:p>
    <w:p w14:paraId="000002E5" w14:textId="4AF42F15" w:rsidR="002F3C8D" w:rsidRPr="00B131CA" w:rsidRDefault="00BF5CDA" w:rsidP="00F057C2">
      <w:pPr>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Using the Site-Visit Protocol to collect and organize materials for </w:t>
      </w:r>
      <w:proofErr w:type="gramStart"/>
      <w:r w:rsidRPr="00B131CA">
        <w:rPr>
          <w:rFonts w:ascii="Times New Roman" w:eastAsia="Times New Roman" w:hAnsi="Times New Roman" w:cs="Times New Roman"/>
          <w:color w:val="000000"/>
          <w:sz w:val="24"/>
          <w:szCs w:val="24"/>
        </w:rPr>
        <w:t>review</w:t>
      </w:r>
      <w:proofErr w:type="gramEnd"/>
    </w:p>
    <w:p w14:paraId="000002E6" w14:textId="276325F5" w:rsidR="002F3C8D" w:rsidRPr="00B131CA" w:rsidRDefault="00BF5CDA" w:rsidP="00F057C2">
      <w:pPr>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Ensuring staff participation in the monitoring process</w:t>
      </w:r>
    </w:p>
    <w:p w14:paraId="000002E7" w14:textId="21B3F568" w:rsidR="002F3C8D" w:rsidRPr="00B131CA" w:rsidRDefault="00BF5CDA" w:rsidP="00F057C2">
      <w:pPr>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Providing site</w:t>
      </w:r>
      <w:r w:rsidR="00CC3DBD">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 xml:space="preserve">visit workspace (for on-site visits) that can ensure privacy and </w:t>
      </w:r>
      <w:proofErr w:type="gramStart"/>
      <w:r w:rsidRPr="00B131CA">
        <w:rPr>
          <w:rFonts w:ascii="Times New Roman" w:eastAsia="Times New Roman" w:hAnsi="Times New Roman" w:cs="Times New Roman"/>
          <w:color w:val="000000"/>
          <w:sz w:val="24"/>
          <w:szCs w:val="24"/>
        </w:rPr>
        <w:t>security</w:t>
      </w:r>
      <w:proofErr w:type="gramEnd"/>
      <w:r w:rsidRPr="00B131CA">
        <w:rPr>
          <w:rFonts w:ascii="Times New Roman" w:eastAsia="Times New Roman" w:hAnsi="Times New Roman" w:cs="Times New Roman"/>
          <w:color w:val="000000"/>
          <w:sz w:val="24"/>
          <w:szCs w:val="24"/>
        </w:rPr>
        <w:t> </w:t>
      </w:r>
    </w:p>
    <w:p w14:paraId="000002E8" w14:textId="26D414F8" w:rsidR="002F3C8D" w:rsidRPr="00B131CA" w:rsidRDefault="00BF5CDA" w:rsidP="00F057C2">
      <w:pPr>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Ensuring the availability of staff for the </w:t>
      </w:r>
      <w:r w:rsidR="006B0351">
        <w:rPr>
          <w:rFonts w:ascii="Times New Roman" w:eastAsia="Times New Roman" w:hAnsi="Times New Roman" w:cs="Times New Roman"/>
          <w:color w:val="000000"/>
          <w:sz w:val="24"/>
          <w:szCs w:val="24"/>
        </w:rPr>
        <w:t>d</w:t>
      </w:r>
      <w:r w:rsidRPr="00B131CA">
        <w:rPr>
          <w:rFonts w:ascii="Times New Roman" w:eastAsia="Times New Roman" w:hAnsi="Times New Roman" w:cs="Times New Roman"/>
          <w:color w:val="000000"/>
          <w:sz w:val="24"/>
          <w:szCs w:val="24"/>
        </w:rPr>
        <w:t xml:space="preserve">ata </w:t>
      </w:r>
      <w:r w:rsidR="006B0351">
        <w:rPr>
          <w:rFonts w:ascii="Times New Roman" w:eastAsia="Times New Roman" w:hAnsi="Times New Roman" w:cs="Times New Roman"/>
          <w:color w:val="000000"/>
          <w:sz w:val="24"/>
          <w:szCs w:val="24"/>
        </w:rPr>
        <w:t>d</w:t>
      </w:r>
      <w:r w:rsidRPr="00B131CA">
        <w:rPr>
          <w:rFonts w:ascii="Times New Roman" w:eastAsia="Times New Roman" w:hAnsi="Times New Roman" w:cs="Times New Roman"/>
          <w:color w:val="000000"/>
          <w:sz w:val="24"/>
          <w:szCs w:val="24"/>
        </w:rPr>
        <w:t>emonstration </w:t>
      </w:r>
    </w:p>
    <w:p w14:paraId="000002E9" w14:textId="77777777" w:rsidR="002F3C8D" w:rsidRPr="00B131CA" w:rsidRDefault="00BF5CDA" w:rsidP="00F057C2">
      <w:pPr>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Arranging and scheduling staff interviews </w:t>
      </w:r>
    </w:p>
    <w:p w14:paraId="000002EA" w14:textId="77777777" w:rsidR="002F3C8D" w:rsidRPr="00B131CA" w:rsidRDefault="00BF5CDA" w:rsidP="00F057C2">
      <w:pPr>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Establishing and scheduling teacher and student focus groups </w:t>
      </w:r>
    </w:p>
    <w:p w14:paraId="000002EB" w14:textId="77777777" w:rsidR="002F3C8D" w:rsidRPr="00B131CA" w:rsidRDefault="00BF5CDA" w:rsidP="00F057C2">
      <w:pPr>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lastRenderedPageBreak/>
        <w:t>Scheduling classroom observations </w:t>
      </w:r>
    </w:p>
    <w:p w14:paraId="000002EC" w14:textId="4C8BA492" w:rsidR="002F3C8D" w:rsidRDefault="00BF5CDA" w:rsidP="00F057C2">
      <w:pPr>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Scheduling</w:t>
      </w:r>
      <w:r w:rsidR="00CC3DBD">
        <w:rPr>
          <w:rFonts w:ascii="Times New Roman" w:eastAsia="Times New Roman" w:hAnsi="Times New Roman" w:cs="Times New Roman"/>
          <w:color w:val="000000"/>
          <w:sz w:val="24"/>
          <w:szCs w:val="24"/>
        </w:rPr>
        <w:t xml:space="preserve"> an</w:t>
      </w:r>
      <w:r w:rsidRPr="00B131CA">
        <w:rPr>
          <w:rFonts w:ascii="Times New Roman" w:eastAsia="Times New Roman" w:hAnsi="Times New Roman" w:cs="Times New Roman"/>
          <w:color w:val="000000"/>
          <w:sz w:val="24"/>
          <w:szCs w:val="24"/>
        </w:rPr>
        <w:t xml:space="preserve"> interview with Local Workforce Development Board Director</w:t>
      </w:r>
      <w:r w:rsidR="00013874">
        <w:rPr>
          <w:rFonts w:ascii="Times New Roman" w:eastAsia="Times New Roman" w:hAnsi="Times New Roman" w:cs="Times New Roman"/>
          <w:color w:val="000000"/>
          <w:sz w:val="24"/>
          <w:szCs w:val="24"/>
        </w:rPr>
        <w:t xml:space="preserve"> (LWDB)</w:t>
      </w:r>
      <w:r w:rsidRPr="00B131CA">
        <w:rPr>
          <w:rFonts w:ascii="Times New Roman" w:eastAsia="Times New Roman" w:hAnsi="Times New Roman" w:cs="Times New Roman"/>
          <w:color w:val="000000"/>
          <w:sz w:val="24"/>
          <w:szCs w:val="24"/>
        </w:rPr>
        <w:t xml:space="preserve"> or representative, or Career Works Center Operator </w:t>
      </w:r>
    </w:p>
    <w:p w14:paraId="3FBC863D" w14:textId="2BBC10CA" w:rsidR="00CC3DBD" w:rsidRPr="00B131CA" w:rsidRDefault="00CC3DBD" w:rsidP="00F057C2">
      <w:pPr>
        <w:numPr>
          <w:ilvl w:val="0"/>
          <w:numId w:val="17"/>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Scheduling an interview with </w:t>
      </w:r>
      <w:r w:rsidR="00520F22">
        <w:rPr>
          <w:rFonts w:ascii="Times New Roman" w:eastAsia="Times New Roman" w:hAnsi="Times New Roman" w:cs="Times New Roman"/>
          <w:color w:val="000000"/>
          <w:sz w:val="24"/>
          <w:szCs w:val="24"/>
        </w:rPr>
        <w:t xml:space="preserve">a representative from </w:t>
      </w:r>
      <w:proofErr w:type="gramStart"/>
      <w:r w:rsidR="00520F22">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 IET</w:t>
      </w:r>
      <w:proofErr w:type="gramEnd"/>
      <w:r>
        <w:rPr>
          <w:rFonts w:ascii="Times New Roman" w:eastAsia="Times New Roman" w:hAnsi="Times New Roman" w:cs="Times New Roman"/>
          <w:color w:val="000000"/>
          <w:sz w:val="24"/>
          <w:szCs w:val="24"/>
        </w:rPr>
        <w:t xml:space="preserve"> train</w:t>
      </w:r>
      <w:r w:rsidR="00520F22">
        <w:rPr>
          <w:rFonts w:ascii="Times New Roman" w:eastAsia="Times New Roman" w:hAnsi="Times New Roman" w:cs="Times New Roman"/>
          <w:color w:val="000000"/>
          <w:sz w:val="24"/>
          <w:szCs w:val="24"/>
        </w:rPr>
        <w:t>ing provider</w:t>
      </w:r>
      <w:r>
        <w:rPr>
          <w:rFonts w:ascii="Times New Roman" w:eastAsia="Times New Roman" w:hAnsi="Times New Roman" w:cs="Times New Roman"/>
          <w:color w:val="000000"/>
          <w:sz w:val="24"/>
          <w:szCs w:val="24"/>
        </w:rPr>
        <w:t xml:space="preserve">  </w:t>
      </w:r>
    </w:p>
    <w:p w14:paraId="000002ED" w14:textId="77777777" w:rsidR="002F3C8D" w:rsidRPr="00932B32" w:rsidRDefault="00BF5CDA" w:rsidP="00F057C2">
      <w:pPr>
        <w:numPr>
          <w:ilvl w:val="0"/>
          <w:numId w:val="17"/>
        </w:numPr>
        <w:pBdr>
          <w:top w:val="nil"/>
          <w:left w:val="nil"/>
          <w:bottom w:val="nil"/>
          <w:right w:val="nil"/>
          <w:between w:val="nil"/>
        </w:pBdr>
        <w:spacing w:line="240" w:lineRule="auto"/>
        <w:ind w:left="1080"/>
        <w:rPr>
          <w:rFonts w:ascii="Times New Roman" w:hAnsi="Times New Roman"/>
          <w:sz w:val="24"/>
        </w:rPr>
      </w:pPr>
      <w:r w:rsidRPr="00B131CA">
        <w:rPr>
          <w:rFonts w:ascii="Times New Roman" w:eastAsia="Times New Roman" w:hAnsi="Times New Roman" w:cs="Times New Roman"/>
          <w:sz w:val="24"/>
          <w:szCs w:val="24"/>
        </w:rPr>
        <w:t>Scheduling the participation of the school district superintendent or community college president or representative and designated program staff in an exit interview</w:t>
      </w:r>
    </w:p>
    <w:p w14:paraId="000002EE" w14:textId="0B8DAECC" w:rsidR="002F3C8D" w:rsidRDefault="00BF5CDA">
      <w:pPr>
        <w:pBdr>
          <w:top w:val="nil"/>
          <w:left w:val="nil"/>
          <w:bottom w:val="nil"/>
          <w:right w:val="nil"/>
          <w:between w:val="nil"/>
        </w:pBdr>
        <w:spacing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To see more detailed descriptions of the responsibilities below and the components of a monitoring cycle, refer to the </w:t>
      </w:r>
      <w:hyperlink r:id="rId147">
        <w:r w:rsidRPr="00B131CA">
          <w:rPr>
            <w:rFonts w:ascii="Times New Roman" w:eastAsia="Times New Roman" w:hAnsi="Times New Roman" w:cs="Times New Roman"/>
            <w:color w:val="0000FF"/>
            <w:sz w:val="24"/>
            <w:szCs w:val="24"/>
            <w:u w:val="single"/>
          </w:rPr>
          <w:t>Site-Visit Information</w:t>
        </w:r>
      </w:hyperlink>
      <w:r w:rsidRPr="00932B32">
        <w:rPr>
          <w:rFonts w:ascii="Times New Roman" w:hAnsi="Times New Roman"/>
          <w:sz w:val="24"/>
        </w:rPr>
        <w:t> </w:t>
      </w:r>
      <w:r w:rsidRPr="00B131CA">
        <w:rPr>
          <w:rFonts w:ascii="Times New Roman" w:eastAsia="Times New Roman" w:hAnsi="Times New Roman" w:cs="Times New Roman"/>
          <w:sz w:val="24"/>
          <w:szCs w:val="24"/>
        </w:rPr>
        <w:t>document located on the VDOE Adult Education Data, Monitoring &amp; Evaluation webpage. </w:t>
      </w:r>
    </w:p>
    <w:p w14:paraId="6025775F" w14:textId="68DCE781" w:rsidR="00291470" w:rsidRDefault="00055436" w:rsidP="008D03B8">
      <w:pPr>
        <w:pStyle w:val="Heading4"/>
        <w:rPr>
          <w:rFonts w:eastAsia="Times New Roman"/>
        </w:rPr>
      </w:pPr>
      <w:bookmarkStart w:id="75" w:name="_Toc174088886"/>
      <w:r>
        <w:rPr>
          <w:rFonts w:eastAsia="Times New Roman"/>
        </w:rPr>
        <w:t xml:space="preserve">Program Improvement </w:t>
      </w:r>
      <w:r w:rsidR="00520F22">
        <w:rPr>
          <w:rFonts w:eastAsia="Times New Roman"/>
        </w:rPr>
        <w:t>Cohort</w:t>
      </w:r>
      <w:bookmarkEnd w:id="75"/>
    </w:p>
    <w:p w14:paraId="353ACEC8" w14:textId="4A71CCFB" w:rsidR="00055436" w:rsidRDefault="00291470">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monitoring activity was added in PY2023-2024 and is</w:t>
      </w:r>
      <w:r w:rsidR="00520F22">
        <w:rPr>
          <w:rFonts w:ascii="Times New Roman" w:eastAsia="Times New Roman" w:hAnsi="Times New Roman" w:cs="Times New Roman"/>
          <w:sz w:val="24"/>
          <w:szCs w:val="24"/>
        </w:rPr>
        <w:t xml:space="preserve"> different from</w:t>
      </w:r>
      <w:r>
        <w:rPr>
          <w:rFonts w:ascii="Times New Roman" w:eastAsia="Times New Roman" w:hAnsi="Times New Roman" w:cs="Times New Roman"/>
          <w:sz w:val="24"/>
          <w:szCs w:val="24"/>
        </w:rPr>
        <w:t xml:space="preserve"> </w:t>
      </w:r>
      <w:r w:rsidR="00520F2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continuous improvement plan (see Evaluation Efforts below). </w:t>
      </w:r>
      <w:r w:rsidR="00E00DBF">
        <w:rPr>
          <w:rFonts w:ascii="Times New Roman" w:eastAsia="Times New Roman" w:hAnsi="Times New Roman" w:cs="Times New Roman"/>
          <w:sz w:val="24"/>
          <w:szCs w:val="24"/>
        </w:rPr>
        <w:t>Th</w:t>
      </w:r>
      <w:r w:rsidR="008D14AA">
        <w:rPr>
          <w:rFonts w:ascii="Times New Roman" w:eastAsia="Times New Roman" w:hAnsi="Times New Roman" w:cs="Times New Roman"/>
          <w:sz w:val="24"/>
          <w:szCs w:val="24"/>
        </w:rPr>
        <w:t>is activity begins with the</w:t>
      </w:r>
      <w:r w:rsidR="00E00DBF">
        <w:rPr>
          <w:rFonts w:ascii="Times New Roman" w:eastAsia="Times New Roman" w:hAnsi="Times New Roman" w:cs="Times New Roman"/>
          <w:sz w:val="24"/>
          <w:szCs w:val="24"/>
        </w:rPr>
        <w:t xml:space="preserve"> identification</w:t>
      </w:r>
      <w:r w:rsidR="008D03B8">
        <w:rPr>
          <w:rFonts w:ascii="Times New Roman" w:eastAsia="Times New Roman" w:hAnsi="Times New Roman" w:cs="Times New Roman"/>
          <w:sz w:val="24"/>
          <w:szCs w:val="24"/>
        </w:rPr>
        <w:t xml:space="preserve"> by the VDOE</w:t>
      </w:r>
      <w:r w:rsidR="00E00DBF">
        <w:rPr>
          <w:rFonts w:ascii="Times New Roman" w:eastAsia="Times New Roman" w:hAnsi="Times New Roman" w:cs="Times New Roman"/>
          <w:sz w:val="24"/>
          <w:szCs w:val="24"/>
        </w:rPr>
        <w:t xml:space="preserve"> of </w:t>
      </w:r>
      <w:r w:rsidR="00520F22">
        <w:rPr>
          <w:rFonts w:ascii="Times New Roman" w:eastAsia="Times New Roman" w:hAnsi="Times New Roman" w:cs="Times New Roman"/>
          <w:sz w:val="24"/>
          <w:szCs w:val="24"/>
        </w:rPr>
        <w:t xml:space="preserve">a cohort of </w:t>
      </w:r>
      <w:r w:rsidR="00E00DBF">
        <w:rPr>
          <w:rFonts w:ascii="Times New Roman" w:eastAsia="Times New Roman" w:hAnsi="Times New Roman" w:cs="Times New Roman"/>
          <w:sz w:val="24"/>
          <w:szCs w:val="24"/>
        </w:rPr>
        <w:t>pro</w:t>
      </w:r>
      <w:r w:rsidR="00520F22">
        <w:rPr>
          <w:rFonts w:ascii="Times New Roman" w:eastAsia="Times New Roman" w:hAnsi="Times New Roman" w:cs="Times New Roman"/>
          <w:sz w:val="24"/>
          <w:szCs w:val="24"/>
        </w:rPr>
        <w:t xml:space="preserve">viders with similar challenges </w:t>
      </w:r>
      <w:r w:rsidR="008D14AA">
        <w:rPr>
          <w:rFonts w:ascii="Times New Roman" w:eastAsia="Times New Roman" w:hAnsi="Times New Roman" w:cs="Times New Roman"/>
          <w:sz w:val="24"/>
          <w:szCs w:val="24"/>
        </w:rPr>
        <w:t>and is</w:t>
      </w:r>
      <w:r w:rsidR="00520F22">
        <w:rPr>
          <w:rFonts w:ascii="Times New Roman" w:eastAsia="Times New Roman" w:hAnsi="Times New Roman" w:cs="Times New Roman"/>
          <w:sz w:val="24"/>
          <w:szCs w:val="24"/>
        </w:rPr>
        <w:t xml:space="preserve"> supported</w:t>
      </w:r>
      <w:r w:rsidR="00E00DBF">
        <w:rPr>
          <w:rFonts w:ascii="Times New Roman" w:eastAsia="Times New Roman" w:hAnsi="Times New Roman" w:cs="Times New Roman"/>
          <w:sz w:val="24"/>
          <w:szCs w:val="24"/>
        </w:rPr>
        <w:t xml:space="preserve"> to develop and implement program improvement plan</w:t>
      </w:r>
      <w:r w:rsidR="00520F22">
        <w:rPr>
          <w:rFonts w:ascii="Times New Roman" w:eastAsia="Times New Roman" w:hAnsi="Times New Roman" w:cs="Times New Roman"/>
          <w:sz w:val="24"/>
          <w:szCs w:val="24"/>
        </w:rPr>
        <w:t>s</w:t>
      </w:r>
      <w:r w:rsidR="00E00DBF">
        <w:rPr>
          <w:rFonts w:ascii="Times New Roman" w:eastAsia="Times New Roman" w:hAnsi="Times New Roman" w:cs="Times New Roman"/>
          <w:sz w:val="24"/>
          <w:szCs w:val="24"/>
        </w:rPr>
        <w:t xml:space="preserve"> based</w:t>
      </w:r>
      <w:r w:rsidR="008D14AA">
        <w:rPr>
          <w:rFonts w:ascii="Times New Roman" w:eastAsia="Times New Roman" w:hAnsi="Times New Roman" w:cs="Times New Roman"/>
          <w:sz w:val="24"/>
          <w:szCs w:val="24"/>
        </w:rPr>
        <w:t xml:space="preserve"> on a shared need</w:t>
      </w:r>
      <w:r w:rsidR="00E00DBF">
        <w:rPr>
          <w:rFonts w:ascii="Times New Roman" w:eastAsia="Times New Roman" w:hAnsi="Times New Roman" w:cs="Times New Roman"/>
          <w:sz w:val="24"/>
          <w:szCs w:val="24"/>
        </w:rPr>
        <w:t xml:space="preserve">. </w:t>
      </w:r>
      <w:r w:rsidR="008D14AA">
        <w:rPr>
          <w:rFonts w:ascii="Times New Roman" w:eastAsia="Times New Roman" w:hAnsi="Times New Roman" w:cs="Times New Roman"/>
          <w:sz w:val="24"/>
          <w:szCs w:val="24"/>
        </w:rPr>
        <w:t>This activity is expected to take a calendar year.</w:t>
      </w:r>
      <w:r w:rsidR="00E00DBF">
        <w:rPr>
          <w:rFonts w:ascii="Times New Roman" w:eastAsia="Times New Roman" w:hAnsi="Times New Roman" w:cs="Times New Roman"/>
          <w:sz w:val="24"/>
          <w:szCs w:val="24"/>
        </w:rPr>
        <w:t xml:space="preserve"> Pro</w:t>
      </w:r>
      <w:r w:rsidR="008D14AA">
        <w:rPr>
          <w:rFonts w:ascii="Times New Roman" w:eastAsia="Times New Roman" w:hAnsi="Times New Roman" w:cs="Times New Roman"/>
          <w:sz w:val="24"/>
          <w:szCs w:val="24"/>
        </w:rPr>
        <w:t>viders</w:t>
      </w:r>
      <w:r w:rsidR="00E00DBF">
        <w:rPr>
          <w:rFonts w:ascii="Times New Roman" w:eastAsia="Times New Roman" w:hAnsi="Times New Roman" w:cs="Times New Roman"/>
          <w:sz w:val="24"/>
          <w:szCs w:val="24"/>
        </w:rPr>
        <w:t xml:space="preserve"> may be identified to participate in this activity </w:t>
      </w:r>
      <w:r w:rsidR="008D14AA">
        <w:rPr>
          <w:rFonts w:ascii="Times New Roman" w:eastAsia="Times New Roman" w:hAnsi="Times New Roman" w:cs="Times New Roman"/>
          <w:sz w:val="24"/>
          <w:szCs w:val="24"/>
        </w:rPr>
        <w:t>at any time</w:t>
      </w:r>
      <w:r w:rsidR="00E00DBF">
        <w:rPr>
          <w:rFonts w:ascii="Times New Roman" w:eastAsia="Times New Roman" w:hAnsi="Times New Roman" w:cs="Times New Roman"/>
          <w:sz w:val="24"/>
          <w:szCs w:val="24"/>
        </w:rPr>
        <w:t xml:space="preserve"> in the </w:t>
      </w:r>
      <w:r w:rsidR="008D14AA">
        <w:rPr>
          <w:rFonts w:ascii="Times New Roman" w:eastAsia="Times New Roman" w:hAnsi="Times New Roman" w:cs="Times New Roman"/>
          <w:sz w:val="24"/>
          <w:szCs w:val="24"/>
        </w:rPr>
        <w:t xml:space="preserve">monitoring </w:t>
      </w:r>
      <w:r w:rsidR="00E00DBF">
        <w:rPr>
          <w:rFonts w:ascii="Times New Roman" w:eastAsia="Times New Roman" w:hAnsi="Times New Roman" w:cs="Times New Roman"/>
          <w:sz w:val="24"/>
          <w:szCs w:val="24"/>
        </w:rPr>
        <w:t>rotation</w:t>
      </w:r>
      <w:r w:rsidR="00C36BE9">
        <w:rPr>
          <w:rFonts w:ascii="Times New Roman" w:eastAsia="Times New Roman" w:hAnsi="Times New Roman" w:cs="Times New Roman"/>
          <w:sz w:val="24"/>
          <w:szCs w:val="24"/>
        </w:rPr>
        <w:t xml:space="preserve"> cycle</w:t>
      </w:r>
      <w:r w:rsidR="00E00DBF">
        <w:rPr>
          <w:rFonts w:ascii="Times New Roman" w:eastAsia="Times New Roman" w:hAnsi="Times New Roman" w:cs="Times New Roman"/>
          <w:sz w:val="24"/>
          <w:szCs w:val="24"/>
        </w:rPr>
        <w:t xml:space="preserve">. </w:t>
      </w:r>
    </w:p>
    <w:p w14:paraId="000002EF" w14:textId="76D1E0D0" w:rsidR="002F3C8D" w:rsidRPr="00932B32" w:rsidRDefault="00BF5CDA" w:rsidP="008D03B8">
      <w:pPr>
        <w:pStyle w:val="Heading4"/>
        <w:rPr>
          <w:i/>
        </w:rPr>
      </w:pPr>
      <w:bookmarkStart w:id="76" w:name="_Toc174088887"/>
      <w:r w:rsidRPr="00932B32">
        <w:t>Annual Monitoring Cycle</w:t>
      </w:r>
      <w:bookmarkEnd w:id="76"/>
    </w:p>
    <w:p w14:paraId="000002F0" w14:textId="1D6EE7FB" w:rsidR="002F3C8D" w:rsidRPr="00932B32" w:rsidRDefault="00BF5CDA">
      <w:pPr>
        <w:pBdr>
          <w:top w:val="nil"/>
          <w:left w:val="nil"/>
          <w:bottom w:val="nil"/>
          <w:right w:val="nil"/>
          <w:between w:val="nil"/>
        </w:pBdr>
        <w:spacing w:after="200" w:line="240" w:lineRule="auto"/>
        <w:rPr>
          <w:rFonts w:ascii="Times New Roman" w:hAnsi="Times New Roman"/>
          <w:sz w:val="24"/>
        </w:rPr>
      </w:pPr>
      <w:r w:rsidRPr="00B131CA">
        <w:rPr>
          <w:rFonts w:ascii="Times New Roman" w:eastAsia="Times New Roman" w:hAnsi="Times New Roman" w:cs="Times New Roman"/>
          <w:color w:val="000000"/>
          <w:sz w:val="24"/>
          <w:szCs w:val="24"/>
        </w:rPr>
        <w:t>The annual program monitoring cycle</w:t>
      </w:r>
      <w:r w:rsidR="005A7DB8">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follows an established set of occurrences that provides continuity and consistency of approach. Providers’ awareness of this yearly timeline can facilitate the coordination of local oversight and monitoring efforts with state-level monitoring activities. </w:t>
      </w:r>
    </w:p>
    <w:p w14:paraId="000002F1" w14:textId="0763CBA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table below shows the general timeline of activities that comprises a local or regional program’s participation in the VDOE annual adult education program monitoring cycle. </w:t>
      </w:r>
    </w:p>
    <w:p w14:paraId="000002F2" w14:textId="3F243F9C" w:rsidR="002F3C8D" w:rsidRPr="00C2630E" w:rsidRDefault="00BF5CDA">
      <w:pPr>
        <w:pBdr>
          <w:top w:val="nil"/>
          <w:left w:val="nil"/>
          <w:bottom w:val="nil"/>
          <w:right w:val="nil"/>
          <w:between w:val="nil"/>
        </w:pBdr>
        <w:spacing w:after="200" w:line="240" w:lineRule="auto"/>
        <w:rPr>
          <w:rFonts w:ascii="Times New Roman" w:eastAsia="Times New Roman" w:hAnsi="Times New Roman" w:cs="Times New Roman"/>
          <w:b/>
          <w:bCs/>
          <w:sz w:val="24"/>
          <w:szCs w:val="24"/>
        </w:rPr>
      </w:pPr>
      <w:r w:rsidRPr="00C2630E">
        <w:rPr>
          <w:rFonts w:ascii="Times New Roman" w:eastAsia="Times New Roman" w:hAnsi="Times New Roman" w:cs="Times New Roman"/>
          <w:b/>
          <w:bCs/>
          <w:sz w:val="24"/>
          <w:szCs w:val="24"/>
        </w:rPr>
        <w:t>Table</w:t>
      </w:r>
      <w:r w:rsidR="00D82E43" w:rsidRPr="00C2630E">
        <w:rPr>
          <w:rFonts w:ascii="Times New Roman" w:eastAsia="Times New Roman" w:hAnsi="Times New Roman" w:cs="Times New Roman"/>
          <w:b/>
          <w:bCs/>
          <w:sz w:val="24"/>
          <w:szCs w:val="24"/>
        </w:rPr>
        <w:t xml:space="preserve"> 6.1 Timeline for Participation in VDOE Adult Education Program Monitoring Cycle</w:t>
      </w:r>
    </w:p>
    <w:tbl>
      <w:tblPr>
        <w:tblStyle w:val="a2"/>
        <w:tblW w:w="9350" w:type="dxa"/>
        <w:tblInd w:w="-5" w:type="dxa"/>
        <w:tblLayout w:type="fixed"/>
        <w:tblLook w:val="0420" w:firstRow="1" w:lastRow="0" w:firstColumn="0" w:lastColumn="0" w:noHBand="0" w:noVBand="1"/>
        <w:tblCaption w:val="Timeline for Participation in VDOE Adult Education Program Monitoring Cycle"/>
      </w:tblPr>
      <w:tblGrid>
        <w:gridCol w:w="2480"/>
        <w:gridCol w:w="6870"/>
      </w:tblGrid>
      <w:tr w:rsidR="00B95156" w:rsidRPr="00B95156" w14:paraId="094FF3B2" w14:textId="77777777" w:rsidTr="002C0F5C">
        <w:trPr>
          <w:trHeight w:val="341"/>
          <w:tblHeader/>
        </w:trPr>
        <w:tc>
          <w:tcPr>
            <w:tcW w:w="24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bottom"/>
          </w:tcPr>
          <w:p w14:paraId="000002F3" w14:textId="77777777" w:rsidR="002F3C8D" w:rsidRPr="007144D4" w:rsidRDefault="00BF5CDA" w:rsidP="002C0F5C">
            <w:pPr>
              <w:spacing w:after="0"/>
              <w:rPr>
                <w:rFonts w:ascii="Times New Roman" w:hAnsi="Times New Roman" w:cs="Times New Roman"/>
                <w:b/>
                <w:sz w:val="24"/>
              </w:rPr>
            </w:pPr>
            <w:r w:rsidRPr="007144D4">
              <w:rPr>
                <w:rFonts w:ascii="Times New Roman" w:hAnsi="Times New Roman" w:cs="Times New Roman"/>
                <w:b/>
                <w:sz w:val="24"/>
              </w:rPr>
              <w:t>Date</w:t>
            </w:r>
          </w:p>
        </w:tc>
        <w:tc>
          <w:tcPr>
            <w:tcW w:w="687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top w:w="0" w:type="dxa"/>
              <w:left w:w="108" w:type="dxa"/>
              <w:bottom w:w="0" w:type="dxa"/>
              <w:right w:w="108" w:type="dxa"/>
            </w:tcMar>
            <w:vAlign w:val="bottom"/>
          </w:tcPr>
          <w:p w14:paraId="000002F4" w14:textId="77777777" w:rsidR="002F3C8D" w:rsidRPr="007144D4" w:rsidRDefault="00BF5CDA" w:rsidP="002C0F5C">
            <w:pPr>
              <w:spacing w:after="0"/>
              <w:rPr>
                <w:rFonts w:ascii="Times New Roman" w:hAnsi="Times New Roman" w:cs="Times New Roman"/>
                <w:b/>
                <w:sz w:val="24"/>
              </w:rPr>
            </w:pPr>
            <w:r w:rsidRPr="007144D4">
              <w:rPr>
                <w:rFonts w:ascii="Times New Roman" w:hAnsi="Times New Roman" w:cs="Times New Roman"/>
                <w:b/>
                <w:sz w:val="24"/>
              </w:rPr>
              <w:t>Activity</w:t>
            </w:r>
          </w:p>
        </w:tc>
      </w:tr>
      <w:tr w:rsidR="002F3C8D" w:rsidRPr="00B131CA" w14:paraId="73E9A074" w14:textId="77777777" w:rsidTr="007144D4">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7" w14:textId="461285E1"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September</w:t>
            </w:r>
            <w:r w:rsidR="006B0351">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w:t>
            </w:r>
            <w:r w:rsidR="006B0351">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October</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8" w14:textId="129D185F"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Complete and submit the Program Self-Assessment</w:t>
            </w:r>
            <w:r w:rsidR="008A41E3">
              <w:rPr>
                <w:rFonts w:ascii="Times New Roman" w:eastAsia="Times New Roman" w:hAnsi="Times New Roman" w:cs="Times New Roman"/>
                <w:color w:val="000000"/>
                <w:sz w:val="24"/>
                <w:szCs w:val="24"/>
              </w:rPr>
              <w:t xml:space="preserve"> (online survey)</w:t>
            </w:r>
          </w:p>
        </w:tc>
      </w:tr>
      <w:tr w:rsidR="002F3C8D" w:rsidRPr="00B131CA" w14:paraId="64BD7F0B" w14:textId="77777777" w:rsidTr="007144D4">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9" w14:textId="14E32819"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November</w:t>
            </w:r>
            <w:r w:rsidR="008A41E3">
              <w:rPr>
                <w:rFonts w:ascii="Times New Roman" w:eastAsia="Times New Roman" w:hAnsi="Times New Roman" w:cs="Times New Roman"/>
                <w:color w:val="000000"/>
                <w:sz w:val="24"/>
                <w:szCs w:val="24"/>
              </w:rPr>
              <w:t xml:space="preserve"> - December</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A" w14:textId="66046560"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Receive Pro</w:t>
            </w:r>
            <w:r w:rsidR="00544B29">
              <w:rPr>
                <w:rFonts w:ascii="Times New Roman" w:eastAsia="Times New Roman" w:hAnsi="Times New Roman" w:cs="Times New Roman"/>
                <w:color w:val="000000"/>
                <w:sz w:val="24"/>
                <w:szCs w:val="24"/>
              </w:rPr>
              <w:t>vider</w:t>
            </w:r>
            <w:r w:rsidRPr="00B131CA">
              <w:rPr>
                <w:rFonts w:ascii="Times New Roman" w:eastAsia="Times New Roman" w:hAnsi="Times New Roman" w:cs="Times New Roman"/>
                <w:color w:val="000000"/>
                <w:sz w:val="24"/>
                <w:szCs w:val="24"/>
              </w:rPr>
              <w:t xml:space="preserve"> </w:t>
            </w:r>
            <w:r w:rsidR="000D5B92">
              <w:rPr>
                <w:rFonts w:ascii="Times New Roman" w:eastAsia="Times New Roman" w:hAnsi="Times New Roman" w:cs="Times New Roman"/>
                <w:color w:val="000000"/>
                <w:sz w:val="24"/>
                <w:szCs w:val="24"/>
              </w:rPr>
              <w:t>Report Card</w:t>
            </w:r>
          </w:p>
        </w:tc>
      </w:tr>
      <w:tr w:rsidR="002F3C8D" w:rsidRPr="00B131CA" w14:paraId="54BFC168" w14:textId="77777777" w:rsidTr="007144D4">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B" w14:textId="78B81C86"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January</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C" w14:textId="77777777"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Participate with VDOE in technical assistance calls </w:t>
            </w:r>
          </w:p>
        </w:tc>
      </w:tr>
      <w:tr w:rsidR="002F3C8D" w:rsidRPr="00B131CA" w14:paraId="5B6B88A6" w14:textId="77777777" w:rsidTr="007144D4">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D" w14:textId="77777777"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February</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E" w14:textId="35E1AA26"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Receive, if identified, notification of upcoming site visit </w:t>
            </w:r>
          </w:p>
        </w:tc>
      </w:tr>
      <w:tr w:rsidR="002F3C8D" w:rsidRPr="00B131CA" w14:paraId="4766284A" w14:textId="77777777" w:rsidTr="007144D4">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FF" w14:textId="061B4D28"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March</w:t>
            </w:r>
            <w:r w:rsidR="006B0351">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w:t>
            </w:r>
            <w:r w:rsidR="006B0351">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May</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0" w14:textId="6DEFDEBC"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Participate, if identified, in </w:t>
            </w:r>
            <w:r w:rsidR="00CC3DBD">
              <w:rPr>
                <w:rFonts w:ascii="Times New Roman" w:eastAsia="Times New Roman" w:hAnsi="Times New Roman" w:cs="Times New Roman"/>
                <w:color w:val="000000"/>
                <w:sz w:val="24"/>
                <w:szCs w:val="24"/>
              </w:rPr>
              <w:t xml:space="preserve">full </w:t>
            </w:r>
            <w:r w:rsidRPr="00B131CA">
              <w:rPr>
                <w:rFonts w:ascii="Times New Roman" w:eastAsia="Times New Roman" w:hAnsi="Times New Roman" w:cs="Times New Roman"/>
                <w:color w:val="000000"/>
                <w:sz w:val="24"/>
                <w:szCs w:val="24"/>
              </w:rPr>
              <w:t>on-site and/or virtual monitoring visit</w:t>
            </w:r>
          </w:p>
        </w:tc>
      </w:tr>
      <w:tr w:rsidR="002F3C8D" w:rsidRPr="00B131CA" w14:paraId="35246C82" w14:textId="77777777" w:rsidTr="007144D4">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1" w14:textId="421370B9"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May</w:t>
            </w:r>
            <w:r w:rsidR="006B0351">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w:t>
            </w:r>
            <w:r w:rsidR="006B0351">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July</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2" w14:textId="77777777"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Receive Report of Findings (ROF)</w:t>
            </w:r>
          </w:p>
        </w:tc>
      </w:tr>
      <w:tr w:rsidR="002F3C8D" w:rsidRPr="00B131CA" w14:paraId="516397F5" w14:textId="77777777" w:rsidTr="007144D4">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3" w14:textId="77777777"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August</w:t>
            </w:r>
          </w:p>
        </w:tc>
        <w:tc>
          <w:tcPr>
            <w:tcW w:w="6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04" w14:textId="77777777" w:rsidR="002F3C8D" w:rsidRPr="00B131CA" w:rsidRDefault="00BF5CDA" w:rsidP="008D03B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Review and respond to corrective action plans (ongoing)</w:t>
            </w:r>
          </w:p>
        </w:tc>
      </w:tr>
    </w:tbl>
    <w:p w14:paraId="00000306" w14:textId="698041E3" w:rsidR="002F3C8D" w:rsidRPr="00932B32" w:rsidRDefault="00BF5CDA" w:rsidP="008D03B8">
      <w:pPr>
        <w:pStyle w:val="Heading4"/>
        <w:rPr>
          <w:i/>
        </w:rPr>
      </w:pPr>
      <w:bookmarkStart w:id="77" w:name="_Toc174088888"/>
      <w:r w:rsidRPr="00932B32">
        <w:t>Report of Findings and Corrective Action</w:t>
      </w:r>
      <w:bookmarkEnd w:id="77"/>
    </w:p>
    <w:p w14:paraId="0000030C" w14:textId="041C6CCC" w:rsidR="002F3C8D" w:rsidRPr="00B131CA" w:rsidRDefault="00BF5CDA" w:rsidP="00F45EE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VDOE staff will develop a </w:t>
      </w:r>
      <w:r w:rsidR="001A68A5">
        <w:rPr>
          <w:rFonts w:ascii="Times New Roman" w:eastAsia="Times New Roman" w:hAnsi="Times New Roman" w:cs="Times New Roman"/>
          <w:color w:val="000000"/>
          <w:sz w:val="24"/>
          <w:szCs w:val="24"/>
        </w:rPr>
        <w:t>Report of Findings (ROF)</w:t>
      </w:r>
      <w:r w:rsidRPr="00B131CA">
        <w:rPr>
          <w:rFonts w:ascii="Times New Roman" w:eastAsia="Times New Roman" w:hAnsi="Times New Roman" w:cs="Times New Roman"/>
          <w:color w:val="000000"/>
          <w:sz w:val="24"/>
          <w:szCs w:val="24"/>
        </w:rPr>
        <w:t xml:space="preserve"> based on the findings of the site visit. The ROF</w:t>
      </w:r>
      <w:r w:rsidR="001A68A5">
        <w:rPr>
          <w:rFonts w:ascii="Times New Roman" w:eastAsia="Times New Roman" w:hAnsi="Times New Roman" w:cs="Times New Roman"/>
          <w:color w:val="000000"/>
          <w:sz w:val="24"/>
          <w:szCs w:val="24"/>
        </w:rPr>
        <w:t xml:space="preserve"> is</w:t>
      </w:r>
      <w:r w:rsidR="00C53473">
        <w:rPr>
          <w:rFonts w:ascii="Times New Roman" w:eastAsia="Times New Roman" w:hAnsi="Times New Roman" w:cs="Times New Roman"/>
          <w:color w:val="000000"/>
          <w:sz w:val="24"/>
          <w:szCs w:val="24"/>
        </w:rPr>
        <w:t xml:space="preserve"> </w:t>
      </w:r>
      <w:r w:rsidR="00D31728">
        <w:rPr>
          <w:rFonts w:ascii="Times New Roman" w:eastAsia="Times New Roman" w:hAnsi="Times New Roman" w:cs="Times New Roman"/>
          <w:color w:val="000000"/>
          <w:sz w:val="24"/>
          <w:szCs w:val="24"/>
        </w:rPr>
        <w:t xml:space="preserve">sent to the </w:t>
      </w:r>
      <w:r w:rsidR="00D31728" w:rsidRPr="00B131CA">
        <w:rPr>
          <w:rFonts w:ascii="Times New Roman" w:eastAsia="Times New Roman" w:hAnsi="Times New Roman" w:cs="Times New Roman"/>
          <w:color w:val="000000"/>
          <w:sz w:val="24"/>
          <w:szCs w:val="24"/>
        </w:rPr>
        <w:t>school division superintendent, community college president, or executive director</w:t>
      </w:r>
      <w:r w:rsidR="001A68A5">
        <w:rPr>
          <w:rFonts w:ascii="Times New Roman" w:eastAsia="Times New Roman" w:hAnsi="Times New Roman" w:cs="Times New Roman"/>
          <w:color w:val="000000"/>
          <w:sz w:val="24"/>
          <w:szCs w:val="24"/>
        </w:rPr>
        <w:t xml:space="preserve"> and</w:t>
      </w:r>
      <w:r w:rsidR="00D31728">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may contain corrective action items. If so, the pro</w:t>
      </w:r>
      <w:r w:rsidR="00544B29">
        <w:rPr>
          <w:rFonts w:ascii="Times New Roman" w:eastAsia="Times New Roman" w:hAnsi="Times New Roman" w:cs="Times New Roman"/>
          <w:color w:val="000000"/>
          <w:sz w:val="24"/>
          <w:szCs w:val="24"/>
        </w:rPr>
        <w:t>vider</w:t>
      </w:r>
      <w:r w:rsidRPr="00B131CA">
        <w:rPr>
          <w:rFonts w:ascii="Times New Roman" w:eastAsia="Times New Roman" w:hAnsi="Times New Roman" w:cs="Times New Roman"/>
          <w:color w:val="000000"/>
          <w:sz w:val="24"/>
          <w:szCs w:val="24"/>
        </w:rPr>
        <w:t xml:space="preserve"> will be required to address these items by established deadline(s). Corrective action deadlines will vary depending on the nature of the action required. While </w:t>
      </w:r>
      <w:r w:rsidR="00BB4410">
        <w:rPr>
          <w:rFonts w:ascii="Times New Roman" w:eastAsia="Times New Roman" w:hAnsi="Times New Roman" w:cs="Times New Roman"/>
          <w:color w:val="000000"/>
          <w:sz w:val="24"/>
          <w:szCs w:val="24"/>
        </w:rPr>
        <w:t xml:space="preserve">the </w:t>
      </w:r>
      <w:r w:rsidRPr="00B131CA">
        <w:rPr>
          <w:rFonts w:ascii="Times New Roman" w:eastAsia="Times New Roman" w:hAnsi="Times New Roman" w:cs="Times New Roman"/>
          <w:color w:val="000000"/>
          <w:sz w:val="24"/>
          <w:szCs w:val="24"/>
        </w:rPr>
        <w:t>VDOE will work with pro</w:t>
      </w:r>
      <w:r w:rsidR="00544B29">
        <w:rPr>
          <w:rFonts w:ascii="Times New Roman" w:eastAsia="Times New Roman" w:hAnsi="Times New Roman" w:cs="Times New Roman"/>
          <w:color w:val="000000"/>
          <w:sz w:val="24"/>
          <w:szCs w:val="24"/>
        </w:rPr>
        <w:t>viders</w:t>
      </w:r>
      <w:r w:rsidRPr="00B131CA">
        <w:rPr>
          <w:rFonts w:ascii="Times New Roman" w:eastAsia="Times New Roman" w:hAnsi="Times New Roman" w:cs="Times New Roman"/>
          <w:color w:val="000000"/>
          <w:sz w:val="24"/>
          <w:szCs w:val="24"/>
        </w:rPr>
        <w:t xml:space="preserve"> to address corrective </w:t>
      </w:r>
      <w:r w:rsidRPr="00B131CA">
        <w:rPr>
          <w:rFonts w:ascii="Times New Roman" w:eastAsia="Times New Roman" w:hAnsi="Times New Roman" w:cs="Times New Roman"/>
          <w:color w:val="000000"/>
          <w:sz w:val="24"/>
          <w:szCs w:val="24"/>
        </w:rPr>
        <w:lastRenderedPageBreak/>
        <w:t>action items, the responsibility of effecting change rests with the pro</w:t>
      </w:r>
      <w:r w:rsidR="00544B29">
        <w:rPr>
          <w:rFonts w:ascii="Times New Roman" w:eastAsia="Times New Roman" w:hAnsi="Times New Roman" w:cs="Times New Roman"/>
          <w:color w:val="000000"/>
          <w:sz w:val="24"/>
          <w:szCs w:val="24"/>
        </w:rPr>
        <w:t>vider</w:t>
      </w:r>
      <w:r w:rsidRPr="00B131CA">
        <w:rPr>
          <w:rFonts w:ascii="Times New Roman" w:eastAsia="Times New Roman" w:hAnsi="Times New Roman" w:cs="Times New Roman"/>
          <w:color w:val="000000"/>
          <w:sz w:val="24"/>
          <w:szCs w:val="24"/>
        </w:rPr>
        <w:t>. For more detailed information about completing CAPs, see the</w:t>
      </w:r>
      <w:r w:rsidR="00273469">
        <w:rPr>
          <w:rFonts w:ascii="Times New Roman" w:eastAsia="Times New Roman" w:hAnsi="Times New Roman" w:cs="Times New Roman"/>
          <w:color w:val="000000"/>
          <w:sz w:val="24"/>
          <w:szCs w:val="24"/>
        </w:rPr>
        <w:t xml:space="preserve"> </w:t>
      </w:r>
      <w:r w:rsidR="00273469">
        <w:rPr>
          <w:rFonts w:ascii="Times New Roman" w:eastAsia="Times New Roman" w:hAnsi="Times New Roman" w:cs="Times New Roman"/>
          <w:i/>
          <w:color w:val="000000"/>
          <w:sz w:val="24"/>
          <w:szCs w:val="24"/>
        </w:rPr>
        <w:t xml:space="preserve">Completing a Corrective Action Plan </w:t>
      </w:r>
      <w:r w:rsidRPr="00B131CA">
        <w:rPr>
          <w:rFonts w:ascii="Times New Roman" w:eastAsia="Times New Roman" w:hAnsi="Times New Roman" w:cs="Times New Roman"/>
          <w:color w:val="000000"/>
          <w:sz w:val="24"/>
          <w:szCs w:val="24"/>
        </w:rPr>
        <w:t xml:space="preserve">document located on the VDOE Adult Education </w:t>
      </w:r>
      <w:hyperlink r:id="rId148" w:history="1">
        <w:r w:rsidRPr="0081729C">
          <w:rPr>
            <w:rStyle w:val="Hyperlink"/>
            <w:rFonts w:ascii="Times New Roman" w:eastAsia="Times New Roman" w:hAnsi="Times New Roman" w:cs="Times New Roman"/>
            <w:sz w:val="24"/>
            <w:szCs w:val="24"/>
          </w:rPr>
          <w:t>Data, Monitoring &amp; Evaluation webpage</w:t>
        </w:r>
      </w:hyperlink>
      <w:r w:rsidRPr="00B131CA">
        <w:rPr>
          <w:rFonts w:ascii="Times New Roman" w:eastAsia="Times New Roman" w:hAnsi="Times New Roman" w:cs="Times New Roman"/>
          <w:color w:val="000000"/>
          <w:sz w:val="24"/>
          <w:szCs w:val="24"/>
        </w:rPr>
        <w:t>. </w:t>
      </w:r>
    </w:p>
    <w:p w14:paraId="0000030D" w14:textId="77777777" w:rsidR="002F3C8D" w:rsidRPr="00B131CA" w:rsidRDefault="00BF5CDA">
      <w:pPr>
        <w:pBdr>
          <w:top w:val="nil"/>
          <w:left w:val="nil"/>
          <w:bottom w:val="nil"/>
          <w:right w:val="nil"/>
          <w:between w:val="nil"/>
        </w:pBdr>
        <w:spacing w:before="40" w:after="12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When the corrective actions for all findings on the CAP have been completed and approved, the VDOE issues a </w:t>
      </w:r>
      <w:r w:rsidRPr="00B131CA">
        <w:rPr>
          <w:rFonts w:ascii="Times New Roman" w:eastAsia="Times New Roman" w:hAnsi="Times New Roman" w:cs="Times New Roman"/>
          <w:i/>
          <w:color w:val="000000"/>
          <w:sz w:val="24"/>
          <w:szCs w:val="24"/>
        </w:rPr>
        <w:t>Letter of Closure</w:t>
      </w:r>
      <w:r w:rsidRPr="00B131CA">
        <w:rPr>
          <w:rFonts w:ascii="Times New Roman" w:eastAsia="Times New Roman" w:hAnsi="Times New Roman" w:cs="Times New Roman"/>
          <w:color w:val="000000"/>
          <w:sz w:val="24"/>
          <w:szCs w:val="24"/>
        </w:rPr>
        <w:t xml:space="preserve"> to the school division superintendent, community college president, or executive director with a copy to the program manager.</w:t>
      </w:r>
    </w:p>
    <w:p w14:paraId="0000030E" w14:textId="2B1AAF97" w:rsidR="002F3C8D" w:rsidRPr="00F002E2" w:rsidRDefault="00BF5CDA" w:rsidP="008D03B8">
      <w:pPr>
        <w:pStyle w:val="Heading4"/>
        <w:rPr>
          <w:rFonts w:eastAsia="Times New Roman" w:cs="Times New Roman"/>
          <w:i/>
          <w:szCs w:val="24"/>
        </w:rPr>
      </w:pPr>
      <w:bookmarkStart w:id="78" w:name="_Toc174088889"/>
      <w:r w:rsidRPr="00932B32">
        <w:t>Evaluation Efforts</w:t>
      </w:r>
      <w:bookmarkEnd w:id="78"/>
    </w:p>
    <w:p w14:paraId="59E435AA" w14:textId="42C65968" w:rsidR="00627020" w:rsidRDefault="00627020">
      <w:pPr>
        <w:pBdr>
          <w:top w:val="nil"/>
          <w:left w:val="nil"/>
          <w:bottom w:val="nil"/>
          <w:right w:val="nil"/>
          <w:between w:val="nil"/>
        </w:pBd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are programs evaluating their effectiveness?</w:t>
      </w:r>
      <w:r w:rsidR="00DC25ED">
        <w:rPr>
          <w:rFonts w:ascii="Times New Roman" w:eastAsia="Times New Roman" w:hAnsi="Times New Roman" w:cs="Times New Roman"/>
          <w:sz w:val="24"/>
          <w:szCs w:val="24"/>
        </w:rPr>
        <w:t xml:space="preserve"> </w:t>
      </w:r>
      <w:r w:rsidR="001D629D">
        <w:rPr>
          <w:rFonts w:ascii="Times New Roman" w:eastAsia="Times New Roman" w:hAnsi="Times New Roman" w:cs="Times New Roman"/>
          <w:sz w:val="24"/>
          <w:szCs w:val="24"/>
        </w:rPr>
        <w:t>Does your program have a continuous improvement plan? A continuous improvement plan allows the program to focus</w:t>
      </w:r>
      <w:r w:rsidR="00DC25ED">
        <w:rPr>
          <w:rFonts w:ascii="Times New Roman" w:eastAsia="Times New Roman" w:hAnsi="Times New Roman" w:cs="Times New Roman"/>
          <w:sz w:val="24"/>
          <w:szCs w:val="24"/>
        </w:rPr>
        <w:t xml:space="preserve"> on the factors that affect performance</w:t>
      </w:r>
      <w:r w:rsidR="001D629D">
        <w:rPr>
          <w:rFonts w:ascii="Times New Roman" w:eastAsia="Times New Roman" w:hAnsi="Times New Roman" w:cs="Times New Roman"/>
          <w:sz w:val="24"/>
          <w:szCs w:val="24"/>
        </w:rPr>
        <w:t xml:space="preserve"> outcomes and prioritize what matters most for improvement. </w:t>
      </w:r>
      <w:r w:rsidR="00B26375">
        <w:rPr>
          <w:rFonts w:ascii="Times New Roman" w:eastAsia="Times New Roman" w:hAnsi="Times New Roman" w:cs="Times New Roman"/>
          <w:sz w:val="24"/>
          <w:szCs w:val="24"/>
        </w:rPr>
        <w:t>Consider who should be</w:t>
      </w:r>
      <w:r w:rsidR="00072169">
        <w:rPr>
          <w:rFonts w:ascii="Times New Roman" w:eastAsia="Times New Roman" w:hAnsi="Times New Roman" w:cs="Times New Roman"/>
          <w:sz w:val="24"/>
          <w:szCs w:val="24"/>
        </w:rPr>
        <w:t xml:space="preserve"> involved in implementing and evaluating the continuous improvement plan</w:t>
      </w:r>
      <w:r w:rsidR="00B26375">
        <w:rPr>
          <w:rFonts w:ascii="Times New Roman" w:eastAsia="Times New Roman" w:hAnsi="Times New Roman" w:cs="Times New Roman"/>
          <w:sz w:val="24"/>
          <w:szCs w:val="24"/>
        </w:rPr>
        <w:t>.</w:t>
      </w:r>
      <w:r w:rsidR="00072169">
        <w:rPr>
          <w:rFonts w:ascii="Times New Roman" w:eastAsia="Times New Roman" w:hAnsi="Times New Roman" w:cs="Times New Roman"/>
          <w:sz w:val="24"/>
          <w:szCs w:val="24"/>
        </w:rPr>
        <w:t xml:space="preserve"> </w:t>
      </w:r>
      <w:r w:rsidR="00B26375">
        <w:rPr>
          <w:rFonts w:ascii="Times New Roman" w:eastAsia="Times New Roman" w:hAnsi="Times New Roman" w:cs="Times New Roman"/>
          <w:sz w:val="24"/>
          <w:szCs w:val="24"/>
        </w:rPr>
        <w:t>At a minimum, programs should include their leadership team, staff, specialists, teachers, students, and stakeholders.</w:t>
      </w:r>
      <w:r w:rsidR="00BC4D22">
        <w:rPr>
          <w:rFonts w:ascii="Times New Roman" w:eastAsia="Times New Roman" w:hAnsi="Times New Roman" w:cs="Times New Roman"/>
          <w:sz w:val="24"/>
          <w:szCs w:val="24"/>
        </w:rPr>
        <w:t xml:space="preserve"> </w:t>
      </w:r>
      <w:r w:rsidR="00B26375">
        <w:rPr>
          <w:rFonts w:ascii="Times New Roman" w:eastAsia="Times New Roman" w:hAnsi="Times New Roman" w:cs="Times New Roman"/>
          <w:sz w:val="24"/>
          <w:szCs w:val="24"/>
        </w:rPr>
        <w:t>Also consider how</w:t>
      </w:r>
      <w:r w:rsidR="00072169">
        <w:rPr>
          <w:rFonts w:ascii="Times New Roman" w:eastAsia="Times New Roman" w:hAnsi="Times New Roman" w:cs="Times New Roman"/>
          <w:sz w:val="24"/>
          <w:szCs w:val="24"/>
        </w:rPr>
        <w:t xml:space="preserve"> often data and processes </w:t>
      </w:r>
      <w:r w:rsidR="00B26375">
        <w:rPr>
          <w:rFonts w:ascii="Times New Roman" w:eastAsia="Times New Roman" w:hAnsi="Times New Roman" w:cs="Times New Roman"/>
          <w:sz w:val="24"/>
          <w:szCs w:val="24"/>
        </w:rPr>
        <w:t xml:space="preserve">are </w:t>
      </w:r>
      <w:r w:rsidR="00072169">
        <w:rPr>
          <w:rFonts w:ascii="Times New Roman" w:eastAsia="Times New Roman" w:hAnsi="Times New Roman" w:cs="Times New Roman"/>
          <w:sz w:val="24"/>
          <w:szCs w:val="24"/>
        </w:rPr>
        <w:t>assessed and analyzed to determine improved outcomes</w:t>
      </w:r>
      <w:r w:rsidR="00B26375">
        <w:rPr>
          <w:rFonts w:ascii="Times New Roman" w:eastAsia="Times New Roman" w:hAnsi="Times New Roman" w:cs="Times New Roman"/>
          <w:sz w:val="24"/>
          <w:szCs w:val="24"/>
        </w:rPr>
        <w:t xml:space="preserve">. </w:t>
      </w:r>
      <w:r w:rsidR="00BC4D22">
        <w:rPr>
          <w:rFonts w:ascii="Times New Roman" w:eastAsia="Times New Roman" w:hAnsi="Times New Roman" w:cs="Times New Roman"/>
          <w:sz w:val="24"/>
          <w:szCs w:val="24"/>
        </w:rPr>
        <w:t xml:space="preserve">Have you assigned responsibilities and target completion dates? </w:t>
      </w:r>
      <w:r w:rsidR="00B26375">
        <w:rPr>
          <w:rFonts w:ascii="Times New Roman" w:eastAsia="Times New Roman" w:hAnsi="Times New Roman" w:cs="Times New Roman"/>
          <w:sz w:val="24"/>
          <w:szCs w:val="24"/>
        </w:rPr>
        <w:t xml:space="preserve">Are programs </w:t>
      </w:r>
      <w:proofErr w:type="gramStart"/>
      <w:r w:rsidR="00B26375">
        <w:rPr>
          <w:rFonts w:ascii="Times New Roman" w:eastAsia="Times New Roman" w:hAnsi="Times New Roman" w:cs="Times New Roman"/>
          <w:sz w:val="24"/>
          <w:szCs w:val="24"/>
        </w:rPr>
        <w:t>making adjustments</w:t>
      </w:r>
      <w:proofErr w:type="gramEnd"/>
      <w:r w:rsidR="00B26375">
        <w:rPr>
          <w:rFonts w:ascii="Times New Roman" w:eastAsia="Times New Roman" w:hAnsi="Times New Roman" w:cs="Times New Roman"/>
          <w:sz w:val="24"/>
          <w:szCs w:val="24"/>
        </w:rPr>
        <w:t xml:space="preserve"> if desired outcomes are not met? Continuous improvement </w:t>
      </w:r>
      <w:r w:rsidR="00DE78C5">
        <w:rPr>
          <w:rFonts w:ascii="Times New Roman" w:eastAsia="Times New Roman" w:hAnsi="Times New Roman" w:cs="Times New Roman"/>
          <w:sz w:val="24"/>
          <w:szCs w:val="24"/>
        </w:rPr>
        <w:t>plans are important for program growth and success.</w:t>
      </w:r>
    </w:p>
    <w:p w14:paraId="0000030F" w14:textId="530DF7B1"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Customer satisfaction feedback is important to any service provider in any sector. In human services, such as education, it can provide insight into how clients or students are experiencing the programming you offer. How can your program provide opportunities for current and former students to provide anonymous feedback? Providers located at community colleges may be able to adopt and adapt an existing student survey mechanism. Providers at school divisions or CBLOs may need to create ways for students to provide anonymous feedback and establish a process for collecting, analyzing, and responding to that feedback. Student leadership activities, such as student councils, focus groups, and/or a student representative on advisory committees, can also provide valuable student input into programming decisions and the interpretation of survey results. Soliciting and responding to student feedback is an important component of continuous improvement.</w:t>
      </w:r>
    </w:p>
    <w:p w14:paraId="00000310" w14:textId="20FD55B2"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Businesses and postsecondary education and training programs are also the customers of adult education. How well prepared are your students for advancement into employment or further education or training? Surveys of business customer satisfaction with the workforce system in general are conducted by the business services teams of the local wo</w:t>
      </w:r>
      <w:r w:rsidR="00095505">
        <w:rPr>
          <w:rFonts w:ascii="Times New Roman" w:eastAsia="Times New Roman" w:hAnsi="Times New Roman" w:cs="Times New Roman"/>
          <w:sz w:val="24"/>
          <w:szCs w:val="24"/>
        </w:rPr>
        <w:t>rkforce development boards (</w:t>
      </w:r>
      <w:r w:rsidRPr="00B131CA">
        <w:rPr>
          <w:rFonts w:ascii="Times New Roman" w:eastAsia="Times New Roman" w:hAnsi="Times New Roman" w:cs="Times New Roman"/>
          <w:sz w:val="24"/>
          <w:szCs w:val="24"/>
        </w:rPr>
        <w:t>section</w:t>
      </w:r>
      <w:r w:rsidR="00B45395">
        <w:rPr>
          <w:rFonts w:ascii="Times New Roman" w:eastAsia="Times New Roman" w:hAnsi="Times New Roman" w:cs="Times New Roman"/>
          <w:sz w:val="24"/>
          <w:szCs w:val="24"/>
        </w:rPr>
        <w:t xml:space="preserve"> Alignment with WIOA Partners, subsection: Cross-Agency Projects</w:t>
      </w:r>
      <w:r w:rsidRPr="00B131CA">
        <w:rPr>
          <w:rFonts w:ascii="Times New Roman" w:eastAsia="Times New Roman" w:hAnsi="Times New Roman" w:cs="Times New Roman"/>
          <w:sz w:val="24"/>
          <w:szCs w:val="24"/>
        </w:rPr>
        <w:t xml:space="preserve">). Participating on these teams provides the opportunity to inform the survey and the interpretation of the results. Staying in touch with the local community college deans of workforce programs or </w:t>
      </w:r>
      <w:proofErr w:type="gramStart"/>
      <w:r w:rsidRPr="00B131CA">
        <w:rPr>
          <w:rFonts w:ascii="Times New Roman" w:eastAsia="Times New Roman" w:hAnsi="Times New Roman" w:cs="Times New Roman"/>
          <w:sz w:val="24"/>
          <w:szCs w:val="24"/>
        </w:rPr>
        <w:t>particular occupational</w:t>
      </w:r>
      <w:proofErr w:type="gramEnd"/>
      <w:r w:rsidRPr="00B131CA">
        <w:rPr>
          <w:rFonts w:ascii="Times New Roman" w:eastAsia="Times New Roman" w:hAnsi="Times New Roman" w:cs="Times New Roman"/>
          <w:sz w:val="24"/>
          <w:szCs w:val="24"/>
        </w:rPr>
        <w:t xml:space="preserve"> disciplines will allow opportunities for feedback on how well prepared your students are to enter and succeed in their courses. </w:t>
      </w:r>
    </w:p>
    <w:p w14:paraId="00000311" w14:textId="690939D2"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VDOE participates in state and national evaluations of adult education and requests that providers do so as well when called upon to submit information. Under WIOA, the U.S. Department of Education la</w:t>
      </w:r>
      <w:r w:rsidR="006B0351">
        <w:rPr>
          <w:rFonts w:ascii="Times New Roman" w:eastAsia="Times New Roman" w:hAnsi="Times New Roman" w:cs="Times New Roman"/>
          <w:color w:val="000000"/>
          <w:sz w:val="24"/>
          <w:szCs w:val="24"/>
        </w:rPr>
        <w:t>unched two national evaluations:</w:t>
      </w:r>
      <w:r w:rsidRPr="00B131CA">
        <w:rPr>
          <w:rFonts w:ascii="Times New Roman" w:eastAsia="Times New Roman" w:hAnsi="Times New Roman" w:cs="Times New Roman"/>
          <w:color w:val="000000"/>
          <w:sz w:val="24"/>
          <w:szCs w:val="24"/>
        </w:rPr>
        <w:t> </w:t>
      </w:r>
    </w:p>
    <w:p w14:paraId="00000312" w14:textId="13014591" w:rsidR="002F3C8D" w:rsidRPr="00662FAC" w:rsidRDefault="00BF5CDA" w:rsidP="00022694">
      <w:pPr>
        <w:pStyle w:val="ListParagraph"/>
        <w:numPr>
          <w:ilvl w:val="0"/>
          <w:numId w:val="40"/>
        </w:num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662FAC">
        <w:rPr>
          <w:rFonts w:ascii="Times New Roman" w:eastAsia="Times New Roman" w:hAnsi="Times New Roman" w:cs="Times New Roman"/>
          <w:color w:val="000000"/>
          <w:sz w:val="24"/>
          <w:szCs w:val="24"/>
        </w:rPr>
        <w:t xml:space="preserve">The </w:t>
      </w:r>
      <w:hyperlink r:id="rId149">
        <w:r w:rsidRPr="00662FAC">
          <w:rPr>
            <w:rFonts w:ascii="Times New Roman" w:eastAsia="Times New Roman" w:hAnsi="Times New Roman" w:cs="Times New Roman"/>
            <w:i/>
            <w:color w:val="0000FF"/>
            <w:sz w:val="24"/>
            <w:szCs w:val="24"/>
            <w:u w:val="single"/>
          </w:rPr>
          <w:t>National Study of the Implementation of Adult Education Under the Workforce Innovation and Opportunity Act</w:t>
        </w:r>
      </w:hyperlink>
      <w:r w:rsidRPr="00662FAC">
        <w:rPr>
          <w:rFonts w:ascii="Times New Roman" w:eastAsia="Times New Roman" w:hAnsi="Times New Roman" w:cs="Times New Roman"/>
          <w:color w:val="000000"/>
          <w:sz w:val="24"/>
          <w:szCs w:val="24"/>
          <w:highlight w:val="white"/>
        </w:rPr>
        <w:t xml:space="preserve"> collect</w:t>
      </w:r>
      <w:r w:rsidR="00544B29">
        <w:rPr>
          <w:rFonts w:ascii="Times New Roman" w:eastAsia="Times New Roman" w:hAnsi="Times New Roman" w:cs="Times New Roman"/>
          <w:color w:val="000000"/>
          <w:sz w:val="24"/>
          <w:szCs w:val="24"/>
          <w:highlight w:val="white"/>
        </w:rPr>
        <w:t>ed</w:t>
      </w:r>
      <w:r w:rsidRPr="00662FAC">
        <w:rPr>
          <w:rFonts w:ascii="Times New Roman" w:eastAsia="Times New Roman" w:hAnsi="Times New Roman" w:cs="Times New Roman"/>
          <w:color w:val="000000"/>
          <w:sz w:val="24"/>
          <w:szCs w:val="24"/>
          <w:highlight w:val="white"/>
        </w:rPr>
        <w:t> data on how states and local adult education pro</w:t>
      </w:r>
      <w:r w:rsidR="00544B29">
        <w:rPr>
          <w:rFonts w:ascii="Times New Roman" w:eastAsia="Times New Roman" w:hAnsi="Times New Roman" w:cs="Times New Roman"/>
          <w:color w:val="000000"/>
          <w:sz w:val="24"/>
          <w:szCs w:val="24"/>
          <w:highlight w:val="white"/>
        </w:rPr>
        <w:t>viders</w:t>
      </w:r>
      <w:r w:rsidRPr="00662FAC">
        <w:rPr>
          <w:rFonts w:ascii="Times New Roman" w:eastAsia="Times New Roman" w:hAnsi="Times New Roman" w:cs="Times New Roman"/>
          <w:color w:val="000000"/>
          <w:sz w:val="24"/>
          <w:szCs w:val="24"/>
          <w:highlight w:val="white"/>
        </w:rPr>
        <w:t xml:space="preserve"> are providing AEFLA services under WIOA. The study </w:t>
      </w:r>
      <w:r w:rsidRPr="00662FAC">
        <w:rPr>
          <w:rFonts w:ascii="Times New Roman" w:eastAsia="Times New Roman" w:hAnsi="Times New Roman" w:cs="Times New Roman"/>
          <w:color w:val="000000"/>
          <w:sz w:val="24"/>
          <w:szCs w:val="24"/>
          <w:highlight w:val="white"/>
        </w:rPr>
        <w:lastRenderedPageBreak/>
        <w:t>include</w:t>
      </w:r>
      <w:r w:rsidR="00544B29">
        <w:rPr>
          <w:rFonts w:ascii="Times New Roman" w:eastAsia="Times New Roman" w:hAnsi="Times New Roman" w:cs="Times New Roman"/>
          <w:color w:val="000000"/>
          <w:sz w:val="24"/>
          <w:szCs w:val="24"/>
          <w:highlight w:val="white"/>
        </w:rPr>
        <w:t>d</w:t>
      </w:r>
      <w:r w:rsidRPr="00662FAC">
        <w:rPr>
          <w:rFonts w:ascii="Times New Roman" w:eastAsia="Times New Roman" w:hAnsi="Times New Roman" w:cs="Times New Roman"/>
          <w:color w:val="000000"/>
          <w:sz w:val="24"/>
          <w:szCs w:val="24"/>
          <w:highlight w:val="white"/>
        </w:rPr>
        <w:t xml:space="preserve"> an analysis of state-level administrative data on adult education, a survey of </w:t>
      </w:r>
      <w:r w:rsidR="004C2EFF">
        <w:rPr>
          <w:rFonts w:ascii="Times New Roman" w:eastAsia="Times New Roman" w:hAnsi="Times New Roman" w:cs="Times New Roman"/>
          <w:color w:val="000000"/>
          <w:sz w:val="24"/>
          <w:szCs w:val="24"/>
          <w:highlight w:val="white"/>
        </w:rPr>
        <w:t>s</w:t>
      </w:r>
      <w:r w:rsidR="004C2EFF" w:rsidRPr="00662FAC">
        <w:rPr>
          <w:rFonts w:ascii="Times New Roman" w:eastAsia="Times New Roman" w:hAnsi="Times New Roman" w:cs="Times New Roman"/>
          <w:color w:val="000000"/>
          <w:sz w:val="24"/>
          <w:szCs w:val="24"/>
          <w:highlight w:val="white"/>
        </w:rPr>
        <w:t xml:space="preserve">tate </w:t>
      </w:r>
      <w:r w:rsidRPr="00662FAC">
        <w:rPr>
          <w:rFonts w:ascii="Times New Roman" w:eastAsia="Times New Roman" w:hAnsi="Times New Roman" w:cs="Times New Roman"/>
          <w:color w:val="000000"/>
          <w:sz w:val="24"/>
          <w:szCs w:val="24"/>
          <w:highlight w:val="white"/>
        </w:rPr>
        <w:t xml:space="preserve">directors of adult education, and a survey of the approximately 2,200 </w:t>
      </w:r>
      <w:proofErr w:type="gramStart"/>
      <w:r w:rsidRPr="00662FAC">
        <w:rPr>
          <w:rFonts w:ascii="Times New Roman" w:eastAsia="Times New Roman" w:hAnsi="Times New Roman" w:cs="Times New Roman"/>
          <w:color w:val="000000"/>
          <w:sz w:val="24"/>
          <w:szCs w:val="24"/>
          <w:highlight w:val="white"/>
        </w:rPr>
        <w:t>federally-funded</w:t>
      </w:r>
      <w:proofErr w:type="gramEnd"/>
      <w:r w:rsidRPr="00662FAC">
        <w:rPr>
          <w:rFonts w:ascii="Times New Roman" w:eastAsia="Times New Roman" w:hAnsi="Times New Roman" w:cs="Times New Roman"/>
          <w:color w:val="000000"/>
          <w:sz w:val="24"/>
          <w:szCs w:val="24"/>
          <w:highlight w:val="white"/>
        </w:rPr>
        <w:t xml:space="preserve"> adult education programs. Providers in Virginia responded to the survey in the fall of 2019. Results of this study </w:t>
      </w:r>
      <w:r w:rsidR="003C6678">
        <w:rPr>
          <w:rFonts w:ascii="Times New Roman" w:eastAsia="Times New Roman" w:hAnsi="Times New Roman" w:cs="Times New Roman"/>
          <w:color w:val="000000"/>
          <w:sz w:val="24"/>
          <w:szCs w:val="24"/>
          <w:highlight w:val="white"/>
        </w:rPr>
        <w:t>are</w:t>
      </w:r>
      <w:r w:rsidRPr="00662FAC">
        <w:rPr>
          <w:rFonts w:ascii="Times New Roman" w:eastAsia="Times New Roman" w:hAnsi="Times New Roman" w:cs="Times New Roman"/>
          <w:color w:val="000000"/>
          <w:sz w:val="24"/>
          <w:szCs w:val="24"/>
          <w:highlight w:val="white"/>
        </w:rPr>
        <w:t xml:space="preserve"> the first such national data since 2003.</w:t>
      </w:r>
    </w:p>
    <w:p w14:paraId="00000313" w14:textId="6F465669" w:rsidR="002F3C8D" w:rsidRPr="00662FAC" w:rsidRDefault="00BF5CDA" w:rsidP="00022694">
      <w:pPr>
        <w:pStyle w:val="ListParagraph"/>
        <w:numPr>
          <w:ilvl w:val="0"/>
          <w:numId w:val="40"/>
        </w:num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662FAC">
        <w:rPr>
          <w:rFonts w:ascii="Times New Roman" w:eastAsia="Times New Roman" w:hAnsi="Times New Roman" w:cs="Times New Roman"/>
          <w:color w:val="000000"/>
          <w:sz w:val="24"/>
          <w:szCs w:val="24"/>
        </w:rPr>
        <w:t xml:space="preserve">The study entitled </w:t>
      </w:r>
      <w:hyperlink r:id="rId150">
        <w:r w:rsidRPr="00662FAC">
          <w:rPr>
            <w:rFonts w:ascii="Times New Roman" w:eastAsia="Times New Roman" w:hAnsi="Times New Roman" w:cs="Times New Roman"/>
            <w:i/>
            <w:color w:val="0000FF"/>
            <w:sz w:val="24"/>
            <w:szCs w:val="24"/>
            <w:u w:val="single"/>
          </w:rPr>
          <w:t>Assessing Evidence of Effectiveness in Adult Education</w:t>
        </w:r>
      </w:hyperlink>
      <w:r w:rsidRPr="00662FAC">
        <w:rPr>
          <w:rFonts w:ascii="Times New Roman" w:eastAsia="Times New Roman" w:hAnsi="Times New Roman" w:cs="Times New Roman"/>
          <w:color w:val="000000"/>
          <w:sz w:val="24"/>
          <w:szCs w:val="24"/>
        </w:rPr>
        <w:t xml:space="preserve"> </w:t>
      </w:r>
      <w:r w:rsidR="00FE0341">
        <w:rPr>
          <w:rFonts w:ascii="Times New Roman" w:eastAsia="Times New Roman" w:hAnsi="Times New Roman" w:cs="Times New Roman"/>
          <w:color w:val="000000"/>
          <w:sz w:val="24"/>
          <w:szCs w:val="24"/>
        </w:rPr>
        <w:t xml:space="preserve">is </w:t>
      </w:r>
      <w:r w:rsidRPr="00932B32">
        <w:rPr>
          <w:rFonts w:ascii="Times New Roman" w:hAnsi="Times New Roman"/>
          <w:sz w:val="24"/>
          <w:highlight w:val="white"/>
        </w:rPr>
        <w:t>examin</w:t>
      </w:r>
      <w:r w:rsidR="00FE0341">
        <w:rPr>
          <w:rFonts w:ascii="Times New Roman" w:hAnsi="Times New Roman"/>
          <w:sz w:val="24"/>
          <w:highlight w:val="white"/>
        </w:rPr>
        <w:t>ing</w:t>
      </w:r>
      <w:r w:rsidRPr="00932B32">
        <w:rPr>
          <w:rFonts w:ascii="Times New Roman" w:hAnsi="Times New Roman"/>
          <w:sz w:val="24"/>
          <w:highlight w:val="white"/>
        </w:rPr>
        <w:t xml:space="preserve"> the </w:t>
      </w:r>
      <w:r w:rsidRPr="00662FAC">
        <w:rPr>
          <w:rFonts w:ascii="Times New Roman" w:eastAsia="Times New Roman" w:hAnsi="Times New Roman" w:cs="Times New Roman"/>
          <w:color w:val="000000"/>
          <w:sz w:val="24"/>
          <w:szCs w:val="24"/>
          <w:highlight w:val="white"/>
        </w:rPr>
        <w:t xml:space="preserve">effectiveness of specific adult education practices. The first phase of this project </w:t>
      </w:r>
      <w:r w:rsidR="00FE0341">
        <w:rPr>
          <w:rFonts w:ascii="Times New Roman" w:eastAsia="Times New Roman" w:hAnsi="Times New Roman" w:cs="Times New Roman"/>
          <w:color w:val="000000"/>
          <w:sz w:val="24"/>
          <w:szCs w:val="24"/>
          <w:highlight w:val="white"/>
        </w:rPr>
        <w:t>wa</w:t>
      </w:r>
      <w:r w:rsidRPr="00662FAC">
        <w:rPr>
          <w:rFonts w:ascii="Times New Roman" w:eastAsia="Times New Roman" w:hAnsi="Times New Roman" w:cs="Times New Roman"/>
          <w:color w:val="000000"/>
          <w:sz w:val="24"/>
          <w:szCs w:val="24"/>
          <w:highlight w:val="white"/>
        </w:rPr>
        <w:t>s a design study t</w:t>
      </w:r>
      <w:r w:rsidR="00FE0341">
        <w:rPr>
          <w:rFonts w:ascii="Times New Roman" w:eastAsia="Times New Roman" w:hAnsi="Times New Roman" w:cs="Times New Roman"/>
          <w:color w:val="000000"/>
          <w:sz w:val="24"/>
          <w:szCs w:val="24"/>
          <w:highlight w:val="white"/>
        </w:rPr>
        <w:t xml:space="preserve">o </w:t>
      </w:r>
      <w:r w:rsidRPr="00662FAC">
        <w:rPr>
          <w:rFonts w:ascii="Times New Roman" w:eastAsia="Times New Roman" w:hAnsi="Times New Roman" w:cs="Times New Roman"/>
          <w:color w:val="000000"/>
          <w:sz w:val="24"/>
          <w:szCs w:val="24"/>
          <w:highlight w:val="white"/>
        </w:rPr>
        <w:t xml:space="preserve">review the research on effective strategies in adult education; identify and prioritize practices, approaches, or strategies for evaluation; and design evaluations to provide evidence on the effects of these interventions. The U.S. Department of Education </w:t>
      </w:r>
      <w:r w:rsidR="00FE0341">
        <w:rPr>
          <w:rFonts w:ascii="Times New Roman" w:eastAsia="Times New Roman" w:hAnsi="Times New Roman" w:cs="Times New Roman"/>
          <w:color w:val="000000"/>
          <w:sz w:val="24"/>
          <w:szCs w:val="24"/>
          <w:highlight w:val="white"/>
        </w:rPr>
        <w:t>is</w:t>
      </w:r>
      <w:r w:rsidR="00FE0341" w:rsidRPr="00662FAC">
        <w:rPr>
          <w:rFonts w:ascii="Times New Roman" w:eastAsia="Times New Roman" w:hAnsi="Times New Roman" w:cs="Times New Roman"/>
          <w:color w:val="000000"/>
          <w:sz w:val="24"/>
          <w:szCs w:val="24"/>
          <w:highlight w:val="white"/>
        </w:rPr>
        <w:t xml:space="preserve"> </w:t>
      </w:r>
      <w:r w:rsidRPr="00662FAC">
        <w:rPr>
          <w:rFonts w:ascii="Times New Roman" w:eastAsia="Times New Roman" w:hAnsi="Times New Roman" w:cs="Times New Roman"/>
          <w:color w:val="000000"/>
          <w:sz w:val="24"/>
          <w:szCs w:val="24"/>
          <w:highlight w:val="white"/>
        </w:rPr>
        <w:t>conduct</w:t>
      </w:r>
      <w:r w:rsidR="00FE0341">
        <w:rPr>
          <w:rFonts w:ascii="Times New Roman" w:eastAsia="Times New Roman" w:hAnsi="Times New Roman" w:cs="Times New Roman"/>
          <w:color w:val="000000"/>
          <w:sz w:val="24"/>
          <w:szCs w:val="24"/>
          <w:highlight w:val="white"/>
        </w:rPr>
        <w:t>ing</w:t>
      </w:r>
      <w:r w:rsidRPr="00662FAC">
        <w:rPr>
          <w:rFonts w:ascii="Times New Roman" w:eastAsia="Times New Roman" w:hAnsi="Times New Roman" w:cs="Times New Roman"/>
          <w:color w:val="000000"/>
          <w:sz w:val="24"/>
          <w:szCs w:val="24"/>
          <w:highlight w:val="white"/>
        </w:rPr>
        <w:t xml:space="preserve"> </w:t>
      </w:r>
      <w:r w:rsidR="00FE0341">
        <w:rPr>
          <w:rFonts w:ascii="Times New Roman" w:eastAsia="Times New Roman" w:hAnsi="Times New Roman" w:cs="Times New Roman"/>
          <w:color w:val="000000"/>
          <w:sz w:val="24"/>
          <w:szCs w:val="24"/>
          <w:highlight w:val="white"/>
        </w:rPr>
        <w:t xml:space="preserve">an </w:t>
      </w:r>
      <w:r w:rsidRPr="00662FAC">
        <w:rPr>
          <w:rFonts w:ascii="Times New Roman" w:eastAsia="Times New Roman" w:hAnsi="Times New Roman" w:cs="Times New Roman"/>
          <w:color w:val="000000"/>
          <w:sz w:val="24"/>
          <w:szCs w:val="24"/>
          <w:highlight w:val="white"/>
        </w:rPr>
        <w:t xml:space="preserve">evaluations </w:t>
      </w:r>
      <w:r w:rsidR="00FE0341">
        <w:rPr>
          <w:rFonts w:ascii="Times New Roman" w:eastAsia="Times New Roman" w:hAnsi="Times New Roman" w:cs="Times New Roman"/>
          <w:color w:val="000000"/>
          <w:sz w:val="24"/>
          <w:szCs w:val="24"/>
          <w:highlight w:val="white"/>
        </w:rPr>
        <w:t xml:space="preserve">of career navigators in the current </w:t>
      </w:r>
      <w:r w:rsidRPr="00662FAC">
        <w:rPr>
          <w:rFonts w:ascii="Times New Roman" w:eastAsia="Times New Roman" w:hAnsi="Times New Roman" w:cs="Times New Roman"/>
          <w:color w:val="000000"/>
          <w:sz w:val="24"/>
          <w:szCs w:val="24"/>
          <w:highlight w:val="white"/>
        </w:rPr>
        <w:t>phase of the study. </w:t>
      </w:r>
    </w:p>
    <w:p w14:paraId="00000314" w14:textId="1641C2CA"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highlight w:val="white"/>
        </w:rPr>
        <w:t>Responding to both state and federal evaluations of adult education programming and the delivery of adult education services is essential to the success of these evaluation efforts. All program managers should embrace these efforts and understand that participation is a core responsibility of their position. </w:t>
      </w:r>
    </w:p>
    <w:p w14:paraId="1EC5D187" w14:textId="77777777" w:rsidR="008A2E1D" w:rsidRDefault="008A2E1D" w:rsidP="004C3706">
      <w:pPr>
        <w:pStyle w:val="Heading2"/>
        <w:sectPr w:rsidR="008A2E1D" w:rsidSect="000E656A">
          <w:footerReference w:type="default" r:id="rId151"/>
          <w:pgSz w:w="12240" w:h="15840"/>
          <w:pgMar w:top="1440" w:right="1440" w:bottom="1440" w:left="1440" w:header="720" w:footer="720" w:gutter="0"/>
          <w:pgNumType w:start="1" w:chapStyle="2"/>
          <w:cols w:space="720"/>
        </w:sectPr>
      </w:pPr>
    </w:p>
    <w:p w14:paraId="00000316" w14:textId="5DD1065F" w:rsidR="002F3C8D" w:rsidRPr="00AB56C4" w:rsidRDefault="00BF5CDA" w:rsidP="004C3706">
      <w:pPr>
        <w:pStyle w:val="Heading2"/>
        <w:rPr>
          <w:szCs w:val="40"/>
        </w:rPr>
      </w:pPr>
      <w:bookmarkStart w:id="79" w:name="_Toc174088890"/>
      <w:r w:rsidRPr="00AB56C4">
        <w:lastRenderedPageBreak/>
        <w:t>ALIGNMENT WITH WIOA PARTNERS</w:t>
      </w:r>
      <w:bookmarkEnd w:id="79"/>
    </w:p>
    <w:p w14:paraId="00000317" w14:textId="534C42DD" w:rsidR="002F3C8D" w:rsidRPr="00EA2D5D" w:rsidRDefault="00BF5CDA" w:rsidP="004A0493">
      <w:pPr>
        <w:pStyle w:val="Heading3"/>
      </w:pPr>
      <w:bookmarkStart w:id="80" w:name="_Toc174088891"/>
      <w:r w:rsidRPr="00EA2D5D">
        <w:t>WIOA Combined State Plan for the Commonwealth of Virginia 202</w:t>
      </w:r>
      <w:r w:rsidR="00907BCB">
        <w:t>4</w:t>
      </w:r>
      <w:r w:rsidRPr="00EA2D5D">
        <w:t>-202</w:t>
      </w:r>
      <w:r w:rsidR="00560EC4">
        <w:t>7</w:t>
      </w:r>
      <w:bookmarkEnd w:id="80"/>
    </w:p>
    <w:p w14:paraId="00000318" w14:textId="77777777" w:rsidR="002F3C8D" w:rsidRPr="00B131CA" w:rsidRDefault="00BF5CD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Governor of each state is required to submit to the federal departments of Education and Labor a combined or unified state plan every four years. This puts forth the vision and strategies the state agencies will use to implement WIOA through the workforce development system. States submit updates to the Plan in the second of each four years. Plans must be available for public comment before submission. </w:t>
      </w:r>
    </w:p>
    <w:p w14:paraId="682B1201" w14:textId="604EA99D" w:rsidR="0091041D" w:rsidRDefault="00BF5CDA" w:rsidP="0091041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Virginia submits a combined state plan, which includes additional agency partners beyond the core WIOA title programs. The vision </w:t>
      </w:r>
      <w:r w:rsidR="00665D28">
        <w:rPr>
          <w:rFonts w:ascii="Times New Roman" w:eastAsia="Times New Roman" w:hAnsi="Times New Roman" w:cs="Times New Roman"/>
          <w:color w:val="000000"/>
          <w:sz w:val="24"/>
          <w:szCs w:val="24"/>
        </w:rPr>
        <w:t xml:space="preserve">and goals </w:t>
      </w:r>
      <w:r w:rsidRPr="00B131CA">
        <w:rPr>
          <w:rFonts w:ascii="Times New Roman" w:eastAsia="Times New Roman" w:hAnsi="Times New Roman" w:cs="Times New Roman"/>
          <w:color w:val="000000"/>
          <w:sz w:val="24"/>
          <w:szCs w:val="24"/>
        </w:rPr>
        <w:t xml:space="preserve">for the </w:t>
      </w:r>
      <w:hyperlink r:id="rId152" w:history="1">
        <w:r w:rsidR="0091041D" w:rsidRPr="008D03B8">
          <w:rPr>
            <w:rStyle w:val="Hyperlink"/>
            <w:rFonts w:ascii="Times New Roman" w:eastAsia="Times New Roman" w:hAnsi="Times New Roman" w:cs="Times New Roman"/>
            <w:i/>
            <w:sz w:val="24"/>
            <w:szCs w:val="24"/>
          </w:rPr>
          <w:t>WIOA</w:t>
        </w:r>
        <w:r w:rsidR="008D03B8" w:rsidRPr="008D03B8">
          <w:rPr>
            <w:rStyle w:val="Hyperlink"/>
            <w:rFonts w:ascii="Times New Roman" w:eastAsia="Times New Roman" w:hAnsi="Times New Roman" w:cs="Times New Roman"/>
            <w:i/>
            <w:sz w:val="24"/>
            <w:szCs w:val="24"/>
          </w:rPr>
          <w:t xml:space="preserve"> Virginia</w:t>
        </w:r>
        <w:r w:rsidR="0091041D" w:rsidRPr="008D03B8">
          <w:rPr>
            <w:rStyle w:val="Hyperlink"/>
            <w:rFonts w:ascii="Times New Roman" w:eastAsia="Times New Roman" w:hAnsi="Times New Roman" w:cs="Times New Roman"/>
            <w:i/>
            <w:sz w:val="24"/>
            <w:szCs w:val="24"/>
          </w:rPr>
          <w:t xml:space="preserve"> Combined State Plan</w:t>
        </w:r>
      </w:hyperlink>
      <w:r w:rsidR="0091041D" w:rsidRPr="008D03B8">
        <w:rPr>
          <w:rFonts w:ascii="Times New Roman" w:eastAsia="Times New Roman" w:hAnsi="Times New Roman" w:cs="Times New Roman"/>
          <w:i/>
          <w:sz w:val="24"/>
          <w:szCs w:val="24"/>
        </w:rPr>
        <w:t xml:space="preserve"> </w:t>
      </w:r>
      <w:r w:rsidR="00665D28">
        <w:rPr>
          <w:rFonts w:ascii="Times New Roman" w:eastAsia="Times New Roman" w:hAnsi="Times New Roman" w:cs="Times New Roman"/>
          <w:color w:val="000000"/>
          <w:sz w:val="24"/>
          <w:szCs w:val="24"/>
        </w:rPr>
        <w:t xml:space="preserve">are: </w:t>
      </w:r>
    </w:p>
    <w:p w14:paraId="6E8432E6" w14:textId="5B1C0B13" w:rsidR="00665D28" w:rsidRPr="0091041D" w:rsidRDefault="00665D28" w:rsidP="0091041D">
      <w:pPr>
        <w:shd w:val="clear" w:color="auto" w:fill="FFFFFF"/>
        <w:spacing w:before="100" w:beforeAutospacing="1" w:after="100" w:afterAutospacing="1" w:line="240" w:lineRule="auto"/>
        <w:ind w:left="720"/>
        <w:rPr>
          <w:rFonts w:ascii="Times New Roman" w:eastAsia="Times New Roman" w:hAnsi="Times New Roman" w:cs="Times New Roman"/>
          <w:color w:val="1B1B1B"/>
          <w:sz w:val="24"/>
          <w:szCs w:val="24"/>
        </w:rPr>
      </w:pPr>
      <w:r w:rsidRPr="0091041D">
        <w:rPr>
          <w:rFonts w:ascii="Times New Roman" w:eastAsia="Times New Roman" w:hAnsi="Times New Roman" w:cs="Times New Roman"/>
          <w:b/>
          <w:bCs/>
          <w:color w:val="1B1B1B"/>
          <w:sz w:val="24"/>
          <w:szCs w:val="24"/>
        </w:rPr>
        <w:t>Vision</w:t>
      </w:r>
      <w:r w:rsidR="0091041D">
        <w:rPr>
          <w:rFonts w:ascii="Times New Roman" w:eastAsia="Times New Roman" w:hAnsi="Times New Roman" w:cs="Times New Roman"/>
          <w:b/>
          <w:bCs/>
          <w:color w:val="1B1B1B"/>
          <w:sz w:val="24"/>
          <w:szCs w:val="24"/>
        </w:rPr>
        <w:t xml:space="preserve">: </w:t>
      </w:r>
      <w:r w:rsidRPr="0091041D">
        <w:rPr>
          <w:rFonts w:ascii="Times New Roman" w:eastAsia="Times New Roman" w:hAnsi="Times New Roman" w:cs="Times New Roman"/>
          <w:color w:val="1B1B1B"/>
          <w:sz w:val="24"/>
          <w:szCs w:val="24"/>
        </w:rPr>
        <w:t>Virginia’s nation leading workforce ecosystem will equip Virginians with the skills they need and enable employers to attract, grow, and retain them – ensuring the future of a thriving Commonwealth. In parallel with the stand-up of Virginia Works, we will accelerate the coordination, enhancement, and future-readiness of the Commonwealth’s many workforce programs and stakeholders across the government and broader ecosystem through a formal process.</w:t>
      </w:r>
    </w:p>
    <w:p w14:paraId="3E09ECBE" w14:textId="4456FF7B" w:rsidR="0091041D" w:rsidRPr="0091041D" w:rsidRDefault="00665D28" w:rsidP="0091041D">
      <w:pPr>
        <w:shd w:val="clear" w:color="auto" w:fill="FFFFFF"/>
        <w:spacing w:before="100" w:beforeAutospacing="1" w:after="100" w:afterAutospacing="1" w:line="240" w:lineRule="auto"/>
        <w:ind w:left="720"/>
        <w:rPr>
          <w:rFonts w:ascii="Times New Roman" w:eastAsia="Times New Roman" w:hAnsi="Times New Roman" w:cs="Times New Roman"/>
          <w:color w:val="1B1B1B"/>
          <w:sz w:val="24"/>
          <w:szCs w:val="24"/>
        </w:rPr>
      </w:pPr>
      <w:r w:rsidRPr="0091041D">
        <w:rPr>
          <w:rFonts w:ascii="Times New Roman" w:eastAsia="Times New Roman" w:hAnsi="Times New Roman" w:cs="Times New Roman"/>
          <w:b/>
          <w:bCs/>
          <w:color w:val="1B1B1B"/>
          <w:sz w:val="24"/>
          <w:szCs w:val="24"/>
        </w:rPr>
        <w:t>Goals</w:t>
      </w:r>
      <w:r w:rsidR="0091041D">
        <w:rPr>
          <w:rFonts w:ascii="Times New Roman" w:eastAsia="Times New Roman" w:hAnsi="Times New Roman" w:cs="Times New Roman"/>
          <w:b/>
          <w:bCs/>
          <w:color w:val="1B1B1B"/>
          <w:sz w:val="24"/>
          <w:szCs w:val="24"/>
        </w:rPr>
        <w:t>:</w:t>
      </w:r>
      <w:r w:rsidRPr="0091041D">
        <w:rPr>
          <w:rFonts w:ascii="Times New Roman" w:eastAsia="Times New Roman" w:hAnsi="Times New Roman" w:cs="Times New Roman"/>
          <w:b/>
          <w:bCs/>
          <w:color w:val="1B1B1B"/>
          <w:sz w:val="24"/>
          <w:szCs w:val="24"/>
        </w:rPr>
        <w:t> </w:t>
      </w:r>
    </w:p>
    <w:p w14:paraId="2F3E1579" w14:textId="5893FD81" w:rsidR="00665D28" w:rsidRPr="0091041D" w:rsidRDefault="00665D28" w:rsidP="00022694">
      <w:pPr>
        <w:pStyle w:val="ListParagraph"/>
        <w:numPr>
          <w:ilvl w:val="0"/>
          <w:numId w:val="50"/>
        </w:numPr>
        <w:shd w:val="clear" w:color="auto" w:fill="FFFFFF"/>
        <w:spacing w:before="100" w:beforeAutospacing="1" w:after="100" w:afterAutospacing="1" w:line="240" w:lineRule="auto"/>
        <w:ind w:left="1530" w:hanging="450"/>
        <w:rPr>
          <w:rFonts w:ascii="Times New Roman" w:eastAsia="Times New Roman" w:hAnsi="Times New Roman" w:cs="Times New Roman"/>
          <w:color w:val="1B1B1B"/>
          <w:sz w:val="24"/>
          <w:szCs w:val="24"/>
        </w:rPr>
      </w:pPr>
      <w:r w:rsidRPr="0091041D">
        <w:rPr>
          <w:rFonts w:ascii="Times New Roman" w:eastAsia="Times New Roman" w:hAnsi="Times New Roman" w:cs="Times New Roman"/>
          <w:color w:val="1B1B1B"/>
          <w:sz w:val="24"/>
          <w:szCs w:val="24"/>
        </w:rPr>
        <w:t>Prepare Virginia’s workers for current and future career pathways that provide competitive wages.</w:t>
      </w:r>
    </w:p>
    <w:p w14:paraId="7BCA8C3C" w14:textId="40712650" w:rsidR="00665D28" w:rsidRPr="0091041D" w:rsidRDefault="00665D28" w:rsidP="00022694">
      <w:pPr>
        <w:pStyle w:val="ListParagraph"/>
        <w:numPr>
          <w:ilvl w:val="0"/>
          <w:numId w:val="50"/>
        </w:numPr>
        <w:shd w:val="clear" w:color="auto" w:fill="FFFFFF"/>
        <w:spacing w:before="100" w:beforeAutospacing="1" w:after="100" w:afterAutospacing="1" w:line="240" w:lineRule="auto"/>
        <w:ind w:left="1530" w:hanging="450"/>
        <w:rPr>
          <w:rFonts w:ascii="Times New Roman" w:eastAsia="Times New Roman" w:hAnsi="Times New Roman" w:cs="Times New Roman"/>
          <w:color w:val="1B1B1B"/>
          <w:sz w:val="24"/>
          <w:szCs w:val="24"/>
        </w:rPr>
      </w:pPr>
      <w:r w:rsidRPr="0091041D">
        <w:rPr>
          <w:rFonts w:ascii="Times New Roman" w:eastAsia="Times New Roman" w:hAnsi="Times New Roman" w:cs="Times New Roman"/>
          <w:color w:val="1B1B1B"/>
          <w:sz w:val="24"/>
          <w:szCs w:val="24"/>
        </w:rPr>
        <w:t>Deliver workforce services that support business growth in Virginia’s leading-edge economy.</w:t>
      </w:r>
    </w:p>
    <w:p w14:paraId="2472CC5D" w14:textId="4FD7ACD8" w:rsidR="00665D28" w:rsidRPr="0091041D" w:rsidRDefault="00665D28" w:rsidP="00022694">
      <w:pPr>
        <w:pStyle w:val="ListParagraph"/>
        <w:numPr>
          <w:ilvl w:val="0"/>
          <w:numId w:val="50"/>
        </w:numPr>
        <w:shd w:val="clear" w:color="auto" w:fill="FFFFFF"/>
        <w:spacing w:before="100" w:beforeAutospacing="1" w:after="100" w:afterAutospacing="1" w:line="240" w:lineRule="auto"/>
        <w:ind w:left="1530" w:hanging="450"/>
        <w:rPr>
          <w:rFonts w:ascii="Times New Roman" w:eastAsia="Times New Roman" w:hAnsi="Times New Roman" w:cs="Times New Roman"/>
          <w:color w:val="1B1B1B"/>
          <w:sz w:val="24"/>
          <w:szCs w:val="24"/>
        </w:rPr>
      </w:pPr>
      <w:r w:rsidRPr="0091041D">
        <w:rPr>
          <w:rFonts w:ascii="Times New Roman" w:eastAsia="Times New Roman" w:hAnsi="Times New Roman" w:cs="Times New Roman"/>
          <w:color w:val="1B1B1B"/>
          <w:sz w:val="24"/>
          <w:szCs w:val="24"/>
        </w:rPr>
        <w:t>Provide outreach and recruitment services that increase awareness and access to Virginia’s workforce development ecosystem.</w:t>
      </w:r>
    </w:p>
    <w:p w14:paraId="6316DB48" w14:textId="200EB5E2" w:rsidR="00665D28" w:rsidRPr="0091041D" w:rsidRDefault="00665D28" w:rsidP="00022694">
      <w:pPr>
        <w:pStyle w:val="ListParagraph"/>
        <w:numPr>
          <w:ilvl w:val="0"/>
          <w:numId w:val="50"/>
        </w:numPr>
        <w:shd w:val="clear" w:color="auto" w:fill="FFFFFF"/>
        <w:spacing w:before="100" w:beforeAutospacing="1" w:after="100" w:afterAutospacing="1" w:line="240" w:lineRule="auto"/>
        <w:ind w:left="1530" w:hanging="450"/>
        <w:rPr>
          <w:rFonts w:ascii="Times New Roman" w:eastAsia="Times New Roman" w:hAnsi="Times New Roman" w:cs="Times New Roman"/>
          <w:color w:val="1B1B1B"/>
          <w:sz w:val="24"/>
          <w:szCs w:val="24"/>
        </w:rPr>
      </w:pPr>
      <w:r w:rsidRPr="0091041D">
        <w:rPr>
          <w:rFonts w:ascii="Times New Roman" w:eastAsia="Times New Roman" w:hAnsi="Times New Roman" w:cs="Times New Roman"/>
          <w:color w:val="1B1B1B"/>
          <w:sz w:val="24"/>
          <w:szCs w:val="24"/>
        </w:rPr>
        <w:t>Reduce workforce system barriers through dynamic collaboration, coordination, and communication with Virginia Works as the hub-and-spoke model.</w:t>
      </w:r>
    </w:p>
    <w:p w14:paraId="7EE74EA4" w14:textId="77777777" w:rsidR="00665D28" w:rsidRPr="0091041D" w:rsidRDefault="00665D28" w:rsidP="0091041D">
      <w:pPr>
        <w:shd w:val="clear" w:color="auto" w:fill="FFFFFF"/>
        <w:spacing w:before="100" w:beforeAutospacing="1" w:after="100" w:afterAutospacing="1" w:line="240" w:lineRule="auto"/>
        <w:ind w:left="720"/>
        <w:rPr>
          <w:rFonts w:ascii="Times New Roman" w:eastAsia="Times New Roman" w:hAnsi="Times New Roman" w:cs="Times New Roman"/>
          <w:color w:val="1B1B1B"/>
          <w:sz w:val="24"/>
          <w:szCs w:val="24"/>
        </w:rPr>
      </w:pPr>
      <w:r w:rsidRPr="0091041D">
        <w:rPr>
          <w:rFonts w:ascii="Times New Roman" w:eastAsia="Times New Roman" w:hAnsi="Times New Roman" w:cs="Times New Roman"/>
          <w:color w:val="1B1B1B"/>
          <w:sz w:val="24"/>
          <w:szCs w:val="24"/>
        </w:rPr>
        <w:t>Virginia’s workforce development ecosystem is committed to providing all Virginians with opportunities to receive top-notch education and training for in-demand jobs. The creation of Virginia Works will allow the Commonwealth to provide better services and training, measure and optimize our programs, and create more high-paying jobs. This effort will accelerate Virginia’s economic growth and keep Virginia as the best place to live, work, and raise a family.</w:t>
      </w:r>
    </w:p>
    <w:p w14:paraId="0AC0E297" w14:textId="77777777" w:rsidR="00665D28" w:rsidRPr="0091041D" w:rsidRDefault="00665D28" w:rsidP="0091041D">
      <w:pPr>
        <w:shd w:val="clear" w:color="auto" w:fill="FFFFFF"/>
        <w:spacing w:before="100" w:beforeAutospacing="1" w:after="100" w:afterAutospacing="1" w:line="240" w:lineRule="auto"/>
        <w:ind w:left="720"/>
        <w:rPr>
          <w:rFonts w:ascii="Times New Roman" w:eastAsia="Times New Roman" w:hAnsi="Times New Roman" w:cs="Times New Roman"/>
          <w:color w:val="1B1B1B"/>
          <w:sz w:val="24"/>
          <w:szCs w:val="24"/>
        </w:rPr>
      </w:pPr>
      <w:r w:rsidRPr="0091041D">
        <w:rPr>
          <w:rFonts w:ascii="Times New Roman" w:eastAsia="Times New Roman" w:hAnsi="Times New Roman" w:cs="Times New Roman"/>
          <w:color w:val="1B1B1B"/>
          <w:sz w:val="24"/>
          <w:szCs w:val="24"/>
        </w:rPr>
        <w:t xml:space="preserve">To achieve our goal of preparing Virginia’s workers for current and future career pathways that provide competitive wages, Virginia will ensure that all programs are meeting participants where they are. The ability to leverage federal infrastructure investments will enhance our strategies to improve access to digital services that can reach wider audiences than ever before. We will collaborate across the ecosystem to reduce barriers to access and opportunity for all Virginians, including individuals with barriers to employment, veterans, unemployed workers, and youth. Starting July 1, 2024, </w:t>
      </w:r>
      <w:r w:rsidRPr="0091041D">
        <w:rPr>
          <w:rFonts w:ascii="Times New Roman" w:eastAsia="Times New Roman" w:hAnsi="Times New Roman" w:cs="Times New Roman"/>
          <w:color w:val="1B1B1B"/>
          <w:sz w:val="24"/>
          <w:szCs w:val="24"/>
        </w:rPr>
        <w:lastRenderedPageBreak/>
        <w:t>each local department of social services will be required by Virginia law to enter into a written agreement with their LWDB for the purposes of coordinating workforce development services to TANF and SNAP participants (HB992). We anticipate this increased coordination will improve service delivery to the Virginians who need these services the most.</w:t>
      </w:r>
    </w:p>
    <w:p w14:paraId="0000031F" w14:textId="77777777" w:rsidR="002F3C8D" w:rsidRPr="00B131CA" w:rsidRDefault="00BF5CDA" w:rsidP="00932B32">
      <w:pPr>
        <w:pBdr>
          <w:top w:val="nil"/>
          <w:left w:val="nil"/>
          <w:bottom w:val="nil"/>
          <w:right w:val="nil"/>
          <w:between w:val="nil"/>
        </w:pBdr>
        <w:spacing w:before="200" w:line="240" w:lineRule="auto"/>
        <w:ind w:left="360" w:hanging="36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Partner agencies and programs included in the Virginia Combined State Plan are:</w:t>
      </w:r>
    </w:p>
    <w:p w14:paraId="00000320" w14:textId="6F6469A7" w:rsidR="002F3C8D" w:rsidRPr="00B131CA" w:rsidRDefault="00BF5CDA" w:rsidP="00022694">
      <w:pPr>
        <w:numPr>
          <w:ilvl w:val="0"/>
          <w:numId w:val="19"/>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Adult, Dislocated Worker, and Youth program</w:t>
      </w:r>
      <w:r w:rsidR="000C7ED9">
        <w:rPr>
          <w:rFonts w:ascii="Times New Roman" w:eastAsia="Times New Roman" w:hAnsi="Times New Roman" w:cs="Times New Roman"/>
          <w:color w:val="000000"/>
          <w:sz w:val="24"/>
          <w:szCs w:val="24"/>
        </w:rPr>
        <w:t>s</w:t>
      </w:r>
      <w:r w:rsidRPr="00B131CA">
        <w:rPr>
          <w:rFonts w:ascii="Times New Roman" w:eastAsia="Times New Roman" w:hAnsi="Times New Roman" w:cs="Times New Roman"/>
          <w:color w:val="000000"/>
          <w:sz w:val="24"/>
          <w:szCs w:val="24"/>
        </w:rPr>
        <w:t xml:space="preserve"> authorized under Title I-B of </w:t>
      </w:r>
      <w:proofErr w:type="gramStart"/>
      <w:r w:rsidRPr="00B131CA">
        <w:rPr>
          <w:rFonts w:ascii="Times New Roman" w:eastAsia="Times New Roman" w:hAnsi="Times New Roman" w:cs="Times New Roman"/>
          <w:color w:val="000000"/>
          <w:sz w:val="24"/>
          <w:szCs w:val="24"/>
        </w:rPr>
        <w:t>WIOA</w:t>
      </w:r>
      <w:proofErr w:type="gramEnd"/>
      <w:r w:rsidR="000C7ED9">
        <w:rPr>
          <w:rFonts w:ascii="Times New Roman" w:eastAsia="Times New Roman" w:hAnsi="Times New Roman" w:cs="Times New Roman"/>
          <w:color w:val="000000"/>
          <w:sz w:val="24"/>
          <w:szCs w:val="24"/>
        </w:rPr>
        <w:t xml:space="preserve"> and</w:t>
      </w:r>
      <w:r w:rsidRPr="00B131CA">
        <w:rPr>
          <w:rFonts w:ascii="Times New Roman" w:eastAsia="Times New Roman" w:hAnsi="Times New Roman" w:cs="Times New Roman"/>
          <w:color w:val="000000"/>
          <w:sz w:val="24"/>
          <w:szCs w:val="24"/>
        </w:rPr>
        <w:t xml:space="preserve"> </w:t>
      </w:r>
      <w:r w:rsidR="000C7ED9">
        <w:rPr>
          <w:rFonts w:ascii="Times New Roman" w:eastAsia="Times New Roman" w:hAnsi="Times New Roman" w:cs="Times New Roman"/>
          <w:color w:val="000000"/>
          <w:sz w:val="24"/>
          <w:szCs w:val="24"/>
        </w:rPr>
        <w:t>t</w:t>
      </w:r>
      <w:r w:rsidR="000C7ED9" w:rsidRPr="00B131CA">
        <w:rPr>
          <w:rFonts w:ascii="Times New Roman" w:eastAsia="Times New Roman" w:hAnsi="Times New Roman" w:cs="Times New Roman"/>
          <w:color w:val="000000"/>
          <w:sz w:val="24"/>
          <w:szCs w:val="24"/>
        </w:rPr>
        <w:t>he Wagner-Peyser Employment Services program authorized under Title III of WIOA</w:t>
      </w:r>
      <w:r w:rsidRPr="00B131CA">
        <w:rPr>
          <w:rFonts w:ascii="Times New Roman" w:eastAsia="Times New Roman" w:hAnsi="Times New Roman" w:cs="Times New Roman"/>
          <w:color w:val="000000"/>
          <w:sz w:val="24"/>
          <w:szCs w:val="24"/>
        </w:rPr>
        <w:t xml:space="preserve"> </w:t>
      </w:r>
      <w:r w:rsidR="00C72817">
        <w:rPr>
          <w:rFonts w:ascii="Times New Roman" w:eastAsia="Times New Roman" w:hAnsi="Times New Roman" w:cs="Times New Roman"/>
          <w:color w:val="000000"/>
          <w:sz w:val="24"/>
          <w:szCs w:val="24"/>
        </w:rPr>
        <w:t>a</w:t>
      </w:r>
      <w:r w:rsidR="00C72817" w:rsidRPr="00B131CA">
        <w:rPr>
          <w:rFonts w:ascii="Times New Roman" w:eastAsia="Times New Roman" w:hAnsi="Times New Roman" w:cs="Times New Roman"/>
          <w:color w:val="000000"/>
          <w:sz w:val="24"/>
          <w:szCs w:val="24"/>
        </w:rPr>
        <w:t xml:space="preserve">dministered </w:t>
      </w:r>
      <w:r w:rsidRPr="00B131CA">
        <w:rPr>
          <w:rFonts w:ascii="Times New Roman" w:eastAsia="Times New Roman" w:hAnsi="Times New Roman" w:cs="Times New Roman"/>
          <w:color w:val="000000"/>
          <w:sz w:val="24"/>
          <w:szCs w:val="24"/>
        </w:rPr>
        <w:t xml:space="preserve">by the Virginia </w:t>
      </w:r>
      <w:r w:rsidR="000C7ED9">
        <w:rPr>
          <w:rFonts w:ascii="Times New Roman" w:eastAsia="Times New Roman" w:hAnsi="Times New Roman" w:cs="Times New Roman"/>
          <w:color w:val="000000"/>
          <w:sz w:val="24"/>
          <w:szCs w:val="24"/>
        </w:rPr>
        <w:t>Works agency</w:t>
      </w:r>
    </w:p>
    <w:p w14:paraId="00000321" w14:textId="77777777" w:rsidR="002F3C8D" w:rsidRPr="00B131CA" w:rsidRDefault="00BF5CDA" w:rsidP="00022694">
      <w:pPr>
        <w:numPr>
          <w:ilvl w:val="0"/>
          <w:numId w:val="19"/>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Adult Education and Family Literacy program authorized under Title II of WIOA and administered by the Virginia Department of Education (VDOE)</w:t>
      </w:r>
    </w:p>
    <w:p w14:paraId="00000323" w14:textId="77777777" w:rsidR="002F3C8D" w:rsidRDefault="00BF5CDA" w:rsidP="00022694">
      <w:pPr>
        <w:numPr>
          <w:ilvl w:val="0"/>
          <w:numId w:val="19"/>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The Vocational Rehabilitation programs authorized under Title IV of WIOA and administered by the Department for Aging and Rehabilitative Services (DARS) and the Department for the Blind and Visually Impaired (DBVI)</w:t>
      </w:r>
    </w:p>
    <w:p w14:paraId="46E2FCFA" w14:textId="03CCED65" w:rsidR="000C7ED9" w:rsidRPr="00B131CA" w:rsidRDefault="000C7ED9" w:rsidP="00022694">
      <w:pPr>
        <w:numPr>
          <w:ilvl w:val="0"/>
          <w:numId w:val="19"/>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Senio</w:t>
      </w:r>
      <w:r w:rsidR="00665D28">
        <w:rPr>
          <w:rFonts w:ascii="Times New Roman" w:eastAsia="Times New Roman" w:hAnsi="Times New Roman" w:cs="Times New Roman"/>
          <w:color w:val="000000"/>
          <w:sz w:val="24"/>
          <w:szCs w:val="24"/>
        </w:rPr>
        <w:t>r Community Service Employment Program (DARS)</w:t>
      </w:r>
    </w:p>
    <w:p w14:paraId="00000324" w14:textId="51866601" w:rsidR="002F3C8D" w:rsidRPr="00B131CA" w:rsidRDefault="00BF5CDA" w:rsidP="00022694">
      <w:pPr>
        <w:numPr>
          <w:ilvl w:val="0"/>
          <w:numId w:val="19"/>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Career and technical education programs authorized under </w:t>
      </w:r>
      <w:r w:rsidR="00D26E58" w:rsidRPr="00D26E58">
        <w:rPr>
          <w:rFonts w:ascii="Times New Roman" w:eastAsia="Times New Roman" w:hAnsi="Times New Roman" w:cs="Times New Roman"/>
          <w:color w:val="000000"/>
          <w:sz w:val="24"/>
          <w:szCs w:val="24"/>
        </w:rPr>
        <w:t>The Carl D. Perkins Career and Technical Education Act, as amended by the Strengthening Career and Technical Education for the 21st Century Act in 2018 (Perkins V</w:t>
      </w:r>
      <w:r w:rsidR="00D26E58">
        <w:rPr>
          <w:rFonts w:ascii="Times New Roman" w:eastAsia="Times New Roman" w:hAnsi="Times New Roman" w:cs="Times New Roman"/>
          <w:color w:val="000000"/>
          <w:sz w:val="24"/>
          <w:szCs w:val="24"/>
        </w:rPr>
        <w:t>)</w:t>
      </w:r>
      <w:r w:rsidR="002A2724">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w:t>
      </w:r>
      <w:r w:rsidR="00D26E58">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VDOE</w:t>
      </w:r>
      <w:r w:rsidR="00D26E58">
        <w:rPr>
          <w:rFonts w:ascii="Times New Roman" w:eastAsia="Times New Roman" w:hAnsi="Times New Roman" w:cs="Times New Roman"/>
          <w:color w:val="000000"/>
          <w:sz w:val="24"/>
          <w:szCs w:val="24"/>
        </w:rPr>
        <w:t>)</w:t>
      </w:r>
    </w:p>
    <w:p w14:paraId="00000325" w14:textId="71758B41" w:rsidR="002F3C8D" w:rsidRPr="00B131CA" w:rsidRDefault="00BF5CDA" w:rsidP="00022694">
      <w:pPr>
        <w:numPr>
          <w:ilvl w:val="0"/>
          <w:numId w:val="19"/>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Temporary Assistance for Needy Families Program (TANF) and Supplemental Nutrition Assistance Program Employment and Training (SNAP E&amp;T)</w:t>
      </w:r>
      <w:r w:rsidR="002A2724">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administered by the Virginia Department of Social Services (VDSS)</w:t>
      </w:r>
    </w:p>
    <w:p w14:paraId="00000326" w14:textId="2057F59D" w:rsidR="002F3C8D" w:rsidRPr="00B131CA" w:rsidRDefault="00BF5CDA" w:rsidP="00022694">
      <w:pPr>
        <w:numPr>
          <w:ilvl w:val="0"/>
          <w:numId w:val="19"/>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Trade Adjustment Assistance for Workers program</w:t>
      </w:r>
      <w:r w:rsidR="00D26E58">
        <w:rPr>
          <w:rFonts w:ascii="Times New Roman" w:eastAsia="Times New Roman" w:hAnsi="Times New Roman" w:cs="Times New Roman"/>
          <w:color w:val="000000"/>
          <w:sz w:val="24"/>
          <w:szCs w:val="24"/>
        </w:rPr>
        <w:t xml:space="preserve"> (</w:t>
      </w:r>
      <w:r w:rsidR="000C7ED9">
        <w:rPr>
          <w:rFonts w:ascii="Times New Roman" w:eastAsia="Times New Roman" w:hAnsi="Times New Roman" w:cs="Times New Roman"/>
          <w:color w:val="000000"/>
          <w:sz w:val="24"/>
          <w:szCs w:val="24"/>
        </w:rPr>
        <w:t>Virginia Works</w:t>
      </w:r>
      <w:r w:rsidR="00D26E58">
        <w:rPr>
          <w:rFonts w:ascii="Times New Roman" w:eastAsia="Times New Roman" w:hAnsi="Times New Roman" w:cs="Times New Roman"/>
          <w:color w:val="000000"/>
          <w:sz w:val="24"/>
          <w:szCs w:val="24"/>
        </w:rPr>
        <w:t>)</w:t>
      </w:r>
    </w:p>
    <w:p w14:paraId="00000327" w14:textId="697641BA" w:rsidR="002F3C8D" w:rsidRPr="00B131CA" w:rsidRDefault="00BF5CDA" w:rsidP="00022694">
      <w:pPr>
        <w:numPr>
          <w:ilvl w:val="0"/>
          <w:numId w:val="19"/>
        </w:numPr>
        <w:pBdr>
          <w:top w:val="nil"/>
          <w:left w:val="nil"/>
          <w:bottom w:val="nil"/>
          <w:right w:val="nil"/>
          <w:between w:val="nil"/>
        </w:pBdr>
        <w:spacing w:after="0" w:line="240" w:lineRule="auto"/>
        <w:ind w:left="1440"/>
        <w:contextualSpacing/>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Jobs for Veterans State Grant program</w:t>
      </w:r>
      <w:r w:rsidR="00D26E58">
        <w:rPr>
          <w:rFonts w:ascii="Times New Roman" w:eastAsia="Times New Roman" w:hAnsi="Times New Roman" w:cs="Times New Roman"/>
          <w:color w:val="000000"/>
          <w:sz w:val="24"/>
          <w:szCs w:val="24"/>
        </w:rPr>
        <w:t xml:space="preserve"> (</w:t>
      </w:r>
      <w:r w:rsidR="000C7ED9">
        <w:rPr>
          <w:rFonts w:ascii="Times New Roman" w:eastAsia="Times New Roman" w:hAnsi="Times New Roman" w:cs="Times New Roman"/>
          <w:color w:val="000000"/>
          <w:sz w:val="24"/>
          <w:szCs w:val="24"/>
        </w:rPr>
        <w:t>Virginia Works</w:t>
      </w:r>
      <w:r w:rsidR="00D26E58">
        <w:rPr>
          <w:rFonts w:ascii="Times New Roman" w:eastAsia="Times New Roman" w:hAnsi="Times New Roman" w:cs="Times New Roman"/>
          <w:color w:val="000000"/>
          <w:sz w:val="24"/>
          <w:szCs w:val="24"/>
        </w:rPr>
        <w:t>)</w:t>
      </w:r>
    </w:p>
    <w:p w14:paraId="40290F9E" w14:textId="7A36219A" w:rsidR="0091041D" w:rsidRDefault="00BF5CDA" w:rsidP="00022694">
      <w:pPr>
        <w:numPr>
          <w:ilvl w:val="0"/>
          <w:numId w:val="19"/>
        </w:numPr>
        <w:pBdr>
          <w:top w:val="nil"/>
          <w:left w:val="nil"/>
          <w:bottom w:val="nil"/>
          <w:right w:val="nil"/>
          <w:between w:val="nil"/>
        </w:pBdr>
        <w:spacing w:before="200" w:after="200" w:line="240" w:lineRule="auto"/>
        <w:ind w:left="1440"/>
        <w:contextualSpacing/>
        <w:rPr>
          <w:rFonts w:ascii="Times New Roman" w:eastAsia="Times New Roman" w:hAnsi="Times New Roman" w:cs="Times New Roman"/>
          <w:color w:val="000000"/>
          <w:sz w:val="24"/>
          <w:szCs w:val="24"/>
        </w:rPr>
      </w:pPr>
      <w:r w:rsidRPr="0091041D">
        <w:rPr>
          <w:rFonts w:ascii="Times New Roman" w:eastAsia="Times New Roman" w:hAnsi="Times New Roman" w:cs="Times New Roman"/>
          <w:color w:val="000000"/>
          <w:sz w:val="24"/>
          <w:szCs w:val="24"/>
        </w:rPr>
        <w:t xml:space="preserve">Unemployment Insurance program </w:t>
      </w:r>
      <w:r w:rsidR="00D26E58" w:rsidRPr="0091041D">
        <w:rPr>
          <w:rFonts w:ascii="Times New Roman" w:eastAsia="Times New Roman" w:hAnsi="Times New Roman" w:cs="Times New Roman"/>
          <w:color w:val="000000"/>
          <w:sz w:val="24"/>
          <w:szCs w:val="24"/>
        </w:rPr>
        <w:t>(</w:t>
      </w:r>
      <w:r w:rsidRPr="0091041D">
        <w:rPr>
          <w:rFonts w:ascii="Times New Roman" w:eastAsia="Times New Roman" w:hAnsi="Times New Roman" w:cs="Times New Roman"/>
          <w:color w:val="000000"/>
          <w:sz w:val="24"/>
          <w:szCs w:val="24"/>
        </w:rPr>
        <w:t>V</w:t>
      </w:r>
      <w:r w:rsidR="000C7ED9" w:rsidRPr="0091041D">
        <w:rPr>
          <w:rFonts w:ascii="Times New Roman" w:eastAsia="Times New Roman" w:hAnsi="Times New Roman" w:cs="Times New Roman"/>
          <w:color w:val="000000"/>
          <w:sz w:val="24"/>
          <w:szCs w:val="24"/>
        </w:rPr>
        <w:t xml:space="preserve">irginia </w:t>
      </w:r>
      <w:r w:rsidRPr="0091041D">
        <w:rPr>
          <w:rFonts w:ascii="Times New Roman" w:eastAsia="Times New Roman" w:hAnsi="Times New Roman" w:cs="Times New Roman"/>
          <w:color w:val="000000"/>
          <w:sz w:val="24"/>
          <w:szCs w:val="24"/>
        </w:rPr>
        <w:t>E</w:t>
      </w:r>
      <w:r w:rsidR="000C7ED9" w:rsidRPr="0091041D">
        <w:rPr>
          <w:rFonts w:ascii="Times New Roman" w:eastAsia="Times New Roman" w:hAnsi="Times New Roman" w:cs="Times New Roman"/>
          <w:color w:val="000000"/>
          <w:sz w:val="24"/>
          <w:szCs w:val="24"/>
        </w:rPr>
        <w:t xml:space="preserve">mployment </w:t>
      </w:r>
      <w:r w:rsidRPr="0091041D">
        <w:rPr>
          <w:rFonts w:ascii="Times New Roman" w:eastAsia="Times New Roman" w:hAnsi="Times New Roman" w:cs="Times New Roman"/>
          <w:color w:val="000000"/>
          <w:sz w:val="24"/>
          <w:szCs w:val="24"/>
        </w:rPr>
        <w:t>C</w:t>
      </w:r>
      <w:r w:rsidR="000C7ED9" w:rsidRPr="0091041D">
        <w:rPr>
          <w:rFonts w:ascii="Times New Roman" w:eastAsia="Times New Roman" w:hAnsi="Times New Roman" w:cs="Times New Roman"/>
          <w:color w:val="000000"/>
          <w:sz w:val="24"/>
          <w:szCs w:val="24"/>
        </w:rPr>
        <w:t>ommission</w:t>
      </w:r>
      <w:r w:rsidR="00D26E58" w:rsidRPr="0091041D">
        <w:rPr>
          <w:rFonts w:ascii="Times New Roman" w:eastAsia="Times New Roman" w:hAnsi="Times New Roman" w:cs="Times New Roman"/>
          <w:color w:val="000000"/>
          <w:sz w:val="24"/>
          <w:szCs w:val="24"/>
        </w:rPr>
        <w:t>)</w:t>
      </w:r>
    </w:p>
    <w:p w14:paraId="6216B96F" w14:textId="5BA536CB" w:rsidR="0091041D" w:rsidRPr="0091041D" w:rsidRDefault="00BF5CDA" w:rsidP="00022694">
      <w:pPr>
        <w:numPr>
          <w:ilvl w:val="0"/>
          <w:numId w:val="19"/>
        </w:numPr>
        <w:pBdr>
          <w:top w:val="nil"/>
          <w:left w:val="nil"/>
          <w:bottom w:val="nil"/>
          <w:right w:val="nil"/>
          <w:between w:val="nil"/>
        </w:pBdr>
        <w:spacing w:before="200" w:after="200" w:line="240" w:lineRule="auto"/>
        <w:ind w:left="1440"/>
        <w:contextualSpacing/>
        <w:rPr>
          <w:rFonts w:ascii="Times New Roman" w:eastAsia="Times New Roman" w:hAnsi="Times New Roman" w:cs="Times New Roman"/>
          <w:color w:val="000000"/>
          <w:sz w:val="24"/>
          <w:szCs w:val="24"/>
        </w:rPr>
      </w:pPr>
      <w:r w:rsidRPr="0091041D">
        <w:rPr>
          <w:rFonts w:ascii="Times New Roman" w:eastAsia="Times New Roman" w:hAnsi="Times New Roman" w:cs="Times New Roman"/>
          <w:color w:val="000000"/>
          <w:sz w:val="24"/>
          <w:szCs w:val="24"/>
        </w:rPr>
        <w:t>Registered Apprenticeship</w:t>
      </w:r>
      <w:r w:rsidR="000C7ED9" w:rsidRPr="0091041D">
        <w:rPr>
          <w:rFonts w:ascii="Times New Roman" w:eastAsia="Times New Roman" w:hAnsi="Times New Roman" w:cs="Times New Roman"/>
          <w:color w:val="000000"/>
          <w:sz w:val="24"/>
          <w:szCs w:val="24"/>
        </w:rPr>
        <w:t xml:space="preserve"> (Virginia Works</w:t>
      </w:r>
      <w:r w:rsidR="0091041D">
        <w:rPr>
          <w:rFonts w:ascii="Times New Roman" w:eastAsia="Times New Roman" w:hAnsi="Times New Roman" w:cs="Times New Roman"/>
          <w:color w:val="000000"/>
          <w:sz w:val="24"/>
          <w:szCs w:val="24"/>
        </w:rPr>
        <w:t>)</w:t>
      </w:r>
    </w:p>
    <w:p w14:paraId="2EB0F582" w14:textId="77777777" w:rsidR="0091041D" w:rsidRDefault="0091041D" w:rsidP="0091041D">
      <w:pPr>
        <w:pBdr>
          <w:top w:val="nil"/>
          <w:left w:val="nil"/>
          <w:bottom w:val="nil"/>
          <w:right w:val="nil"/>
          <w:between w:val="nil"/>
        </w:pBdr>
        <w:spacing w:before="200" w:after="200" w:line="240" w:lineRule="auto"/>
        <w:rPr>
          <w:rFonts w:ascii="Times New Roman" w:eastAsia="Times New Roman" w:hAnsi="Times New Roman" w:cs="Times New Roman"/>
          <w:color w:val="000000"/>
          <w:sz w:val="24"/>
          <w:szCs w:val="24"/>
        </w:rPr>
      </w:pPr>
    </w:p>
    <w:p w14:paraId="0000032A" w14:textId="4554B5E3" w:rsidR="002F3C8D" w:rsidRPr="000C7ED9" w:rsidRDefault="00BF5CDA" w:rsidP="0091041D">
      <w:pPr>
        <w:pBdr>
          <w:top w:val="nil"/>
          <w:left w:val="nil"/>
          <w:bottom w:val="nil"/>
          <w:right w:val="nil"/>
          <w:between w:val="nil"/>
        </w:pBdr>
        <w:spacing w:before="200" w:after="200" w:line="240" w:lineRule="auto"/>
        <w:rPr>
          <w:rFonts w:ascii="Times New Roman" w:eastAsia="Times New Roman" w:hAnsi="Times New Roman" w:cs="Times New Roman"/>
          <w:color w:val="000000"/>
          <w:sz w:val="24"/>
          <w:szCs w:val="24"/>
        </w:rPr>
      </w:pPr>
      <w:r w:rsidRPr="000C7ED9">
        <w:rPr>
          <w:rFonts w:ascii="Times New Roman" w:eastAsia="Times New Roman" w:hAnsi="Times New Roman" w:cs="Times New Roman"/>
          <w:color w:val="000000"/>
          <w:sz w:val="24"/>
          <w:szCs w:val="24"/>
        </w:rPr>
        <w:t xml:space="preserve">The implementation by these partner programs of the strategies and the goals and objectives that support them is guided by the </w:t>
      </w:r>
      <w:r w:rsidR="004C2EFF" w:rsidRPr="000C7ED9">
        <w:rPr>
          <w:rFonts w:ascii="Times New Roman" w:eastAsia="Times New Roman" w:hAnsi="Times New Roman" w:cs="Times New Roman"/>
          <w:color w:val="000000"/>
          <w:sz w:val="24"/>
          <w:szCs w:val="24"/>
        </w:rPr>
        <w:t xml:space="preserve">Virginia </w:t>
      </w:r>
      <w:r w:rsidR="00F45EE6">
        <w:rPr>
          <w:rFonts w:ascii="Times New Roman" w:eastAsia="Times New Roman" w:hAnsi="Times New Roman" w:cs="Times New Roman"/>
          <w:color w:val="000000"/>
          <w:sz w:val="24"/>
          <w:szCs w:val="24"/>
        </w:rPr>
        <w:t xml:space="preserve">Board of </w:t>
      </w:r>
      <w:r w:rsidRPr="000C7ED9">
        <w:rPr>
          <w:rFonts w:ascii="Times New Roman" w:eastAsia="Times New Roman" w:hAnsi="Times New Roman" w:cs="Times New Roman"/>
          <w:color w:val="000000"/>
          <w:sz w:val="24"/>
          <w:szCs w:val="24"/>
        </w:rPr>
        <w:t>Workforce Development, which provides advice</w:t>
      </w:r>
      <w:r w:rsidR="00CC74D9" w:rsidRPr="000C7ED9">
        <w:rPr>
          <w:rFonts w:ascii="Times New Roman" w:eastAsia="Times New Roman" w:hAnsi="Times New Roman" w:cs="Times New Roman"/>
          <w:color w:val="000000"/>
          <w:sz w:val="24"/>
          <w:szCs w:val="24"/>
        </w:rPr>
        <w:t xml:space="preserve"> </w:t>
      </w:r>
      <w:r w:rsidRPr="000C7ED9">
        <w:rPr>
          <w:rFonts w:ascii="Times New Roman" w:eastAsia="Times New Roman" w:hAnsi="Times New Roman" w:cs="Times New Roman"/>
          <w:color w:val="000000"/>
          <w:sz w:val="24"/>
          <w:szCs w:val="24"/>
        </w:rPr>
        <w:t xml:space="preserve">and counsel to the Governor’s workforce efforts and guidance to the programs covered in the Combined State Plan. The Secretary of Education is designated </w:t>
      </w:r>
      <w:r w:rsidR="002258F2" w:rsidRPr="000C7ED9">
        <w:rPr>
          <w:rFonts w:ascii="Times New Roman" w:eastAsia="Times New Roman" w:hAnsi="Times New Roman" w:cs="Times New Roman"/>
          <w:color w:val="000000"/>
          <w:sz w:val="24"/>
          <w:szCs w:val="24"/>
        </w:rPr>
        <w:t xml:space="preserve">as </w:t>
      </w:r>
      <w:r w:rsidRPr="000C7ED9">
        <w:rPr>
          <w:rFonts w:ascii="Times New Roman" w:eastAsia="Times New Roman" w:hAnsi="Times New Roman" w:cs="Times New Roman"/>
          <w:color w:val="000000"/>
          <w:sz w:val="24"/>
          <w:szCs w:val="24"/>
        </w:rPr>
        <w:t xml:space="preserve">the unique representative for title II on the Board. </w:t>
      </w:r>
      <w:hyperlink r:id="rId153" w:history="1">
        <w:r w:rsidRPr="00360DA4">
          <w:rPr>
            <w:rStyle w:val="Hyperlink"/>
            <w:rFonts w:ascii="Times New Roman" w:eastAsia="Times New Roman" w:hAnsi="Times New Roman" w:cs="Times New Roman"/>
            <w:sz w:val="24"/>
            <w:szCs w:val="24"/>
          </w:rPr>
          <w:t>Meetings</w:t>
        </w:r>
      </w:hyperlink>
      <w:r w:rsidRPr="000C7ED9">
        <w:rPr>
          <w:rFonts w:ascii="Times New Roman" w:eastAsia="Times New Roman" w:hAnsi="Times New Roman" w:cs="Times New Roman"/>
          <w:color w:val="000000"/>
          <w:sz w:val="24"/>
          <w:szCs w:val="24"/>
        </w:rPr>
        <w:t xml:space="preserve"> of the </w:t>
      </w:r>
      <w:r w:rsidR="004C2EFF" w:rsidRPr="000C7ED9">
        <w:rPr>
          <w:rFonts w:ascii="Times New Roman" w:eastAsia="Times New Roman" w:hAnsi="Times New Roman" w:cs="Times New Roman"/>
          <w:color w:val="000000"/>
          <w:sz w:val="24"/>
          <w:szCs w:val="24"/>
        </w:rPr>
        <w:t xml:space="preserve">Virginia </w:t>
      </w:r>
      <w:r w:rsidRPr="000C7ED9">
        <w:rPr>
          <w:rFonts w:ascii="Times New Roman" w:eastAsia="Times New Roman" w:hAnsi="Times New Roman" w:cs="Times New Roman"/>
          <w:color w:val="000000"/>
          <w:sz w:val="24"/>
          <w:szCs w:val="24"/>
        </w:rPr>
        <w:t>Workforce Development Board are open to the public and often showcase economic research and forecasting that is of interest to all partners.</w:t>
      </w:r>
    </w:p>
    <w:p w14:paraId="2AD899B8" w14:textId="3F8294EF" w:rsidR="007A5666" w:rsidRPr="000F66B0" w:rsidRDefault="00BF5CDA" w:rsidP="000F66B0">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strategic goals of the Combined State Plan in turn drive the local workforce development board’s (LWDB) strategic plans (“local plans”), which are submitted every two years to the </w:t>
      </w:r>
      <w:r w:rsidR="00BD6DD2">
        <w:rPr>
          <w:rFonts w:ascii="Times New Roman" w:eastAsia="Times New Roman" w:hAnsi="Times New Roman" w:cs="Times New Roman"/>
          <w:color w:val="000000"/>
          <w:sz w:val="24"/>
          <w:szCs w:val="24"/>
        </w:rPr>
        <w:t>WIOA</w:t>
      </w:r>
      <w:r w:rsidRPr="00B131CA">
        <w:rPr>
          <w:rFonts w:ascii="Times New Roman" w:eastAsia="Times New Roman" w:hAnsi="Times New Roman" w:cs="Times New Roman"/>
          <w:color w:val="000000"/>
          <w:sz w:val="24"/>
          <w:szCs w:val="24"/>
        </w:rPr>
        <w:t xml:space="preserve"> title I administrator as required by WIOA (title I, Sec. 107(d)(11)(A)). These local plans shape the work of the regional workforce efforts, including the occupational focus of career pathway and training investments by the partners. Adult education providers are asked to align their work with the strategies of the local plan, including the </w:t>
      </w:r>
      <w:r w:rsidR="00F45EE6" w:rsidRPr="0091041D">
        <w:rPr>
          <w:rFonts w:ascii="Times New Roman" w:eastAsia="Times New Roman" w:hAnsi="Times New Roman" w:cs="Times New Roman"/>
          <w:color w:val="000000"/>
          <w:sz w:val="24"/>
          <w:szCs w:val="24"/>
        </w:rPr>
        <w:t>sector</w:t>
      </w:r>
      <w:r w:rsidRPr="0091041D">
        <w:rPr>
          <w:rFonts w:ascii="Times New Roman" w:eastAsia="Times New Roman" w:hAnsi="Times New Roman" w:cs="Times New Roman"/>
          <w:color w:val="000000"/>
          <w:sz w:val="24"/>
          <w:szCs w:val="24"/>
        </w:rPr>
        <w:t xml:space="preserve"> focus</w:t>
      </w:r>
      <w:r w:rsidRPr="00B131CA">
        <w:rPr>
          <w:rFonts w:ascii="Times New Roman" w:eastAsia="Times New Roman" w:hAnsi="Times New Roman" w:cs="Times New Roman"/>
          <w:color w:val="000000"/>
          <w:sz w:val="24"/>
          <w:szCs w:val="24"/>
        </w:rPr>
        <w:t xml:space="preserve"> of their career pathways work and IET cohorts. During the competitive application phase, adult education applications are reviewed by representatives of the LWDBs for such alignment.</w:t>
      </w:r>
    </w:p>
    <w:p w14:paraId="0000033F" w14:textId="533A4B1B" w:rsidR="002F3C8D" w:rsidRPr="00EA2D5D" w:rsidRDefault="00BF5CDA" w:rsidP="004A0493">
      <w:pPr>
        <w:pStyle w:val="Heading3"/>
      </w:pPr>
      <w:bookmarkStart w:id="81" w:name="_Toc174088892"/>
      <w:r w:rsidRPr="00EA2D5D">
        <w:lastRenderedPageBreak/>
        <w:t xml:space="preserve">One-Stop, or Career Works, Center </w:t>
      </w:r>
      <w:r w:rsidRPr="00B75BF8">
        <w:t>Responsibilities</w:t>
      </w:r>
      <w:bookmarkEnd w:id="81"/>
    </w:p>
    <w:p w14:paraId="00000340" w14:textId="39E992F6"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Adult education providers are a vital part of the integrated workforce development system through their </w:t>
      </w:r>
      <w:r w:rsidR="00BD6DD2">
        <w:rPr>
          <w:rFonts w:ascii="Times New Roman" w:eastAsia="Times New Roman" w:hAnsi="Times New Roman" w:cs="Times New Roman"/>
          <w:color w:val="000000"/>
          <w:sz w:val="24"/>
          <w:szCs w:val="24"/>
        </w:rPr>
        <w:t xml:space="preserve">community programming as well as their </w:t>
      </w:r>
      <w:r w:rsidRPr="00B131CA">
        <w:rPr>
          <w:rFonts w:ascii="Times New Roman" w:eastAsia="Times New Roman" w:hAnsi="Times New Roman" w:cs="Times New Roman"/>
          <w:color w:val="000000"/>
          <w:sz w:val="24"/>
          <w:szCs w:val="24"/>
        </w:rPr>
        <w:t xml:space="preserve">presence and services in the </w:t>
      </w:r>
      <w:hyperlink r:id="rId154">
        <w:r w:rsidRPr="00233A9A">
          <w:rPr>
            <w:rFonts w:ascii="Times New Roman" w:eastAsia="Times New Roman" w:hAnsi="Times New Roman" w:cs="Times New Roman"/>
            <w:color w:val="0000FF"/>
            <w:sz w:val="24"/>
            <w:szCs w:val="24"/>
            <w:u w:val="single"/>
          </w:rPr>
          <w:t>Virginia Career Works Centers</w:t>
        </w:r>
      </w:hyperlink>
      <w:r w:rsidR="00BD6DD2">
        <w:rPr>
          <w:rFonts w:ascii="Times New Roman" w:eastAsia="Times New Roman" w:hAnsi="Times New Roman" w:cs="Times New Roman"/>
          <w:color w:val="000000"/>
          <w:sz w:val="24"/>
          <w:szCs w:val="24"/>
        </w:rPr>
        <w:t>.</w:t>
      </w:r>
      <w:r w:rsidRPr="00B131CA">
        <w:rPr>
          <w:rFonts w:ascii="Times New Roman" w:eastAsia="Times New Roman" w:hAnsi="Times New Roman" w:cs="Times New Roman"/>
          <w:color w:val="000000"/>
          <w:sz w:val="24"/>
          <w:szCs w:val="24"/>
        </w:rPr>
        <w:t xml:space="preserve"> These Centers are administered regionally by local workforce development boards (LWDB) with a mandate to connect employers with prospective employees through education and training providers and a network of professional partners. (These Centers are called American Job Centers by the U.S. departments of </w:t>
      </w:r>
      <w:r w:rsidRPr="00B131CA">
        <w:rPr>
          <w:rFonts w:ascii="Times New Roman" w:eastAsia="Times New Roman" w:hAnsi="Times New Roman" w:cs="Times New Roman"/>
          <w:sz w:val="24"/>
          <w:szCs w:val="24"/>
        </w:rPr>
        <w:t>E</w:t>
      </w:r>
      <w:r w:rsidRPr="00B131CA">
        <w:rPr>
          <w:rFonts w:ascii="Times New Roman" w:eastAsia="Times New Roman" w:hAnsi="Times New Roman" w:cs="Times New Roman"/>
          <w:color w:val="000000"/>
          <w:sz w:val="24"/>
          <w:szCs w:val="24"/>
        </w:rPr>
        <w:t xml:space="preserve">ducation and </w:t>
      </w:r>
      <w:r w:rsidRPr="00B131CA">
        <w:rPr>
          <w:rFonts w:ascii="Times New Roman" w:eastAsia="Times New Roman" w:hAnsi="Times New Roman" w:cs="Times New Roman"/>
          <w:sz w:val="24"/>
          <w:szCs w:val="24"/>
        </w:rPr>
        <w:t>L</w:t>
      </w:r>
      <w:r w:rsidRPr="00B131CA">
        <w:rPr>
          <w:rFonts w:ascii="Times New Roman" w:eastAsia="Times New Roman" w:hAnsi="Times New Roman" w:cs="Times New Roman"/>
          <w:color w:val="000000"/>
          <w:sz w:val="24"/>
          <w:szCs w:val="24"/>
        </w:rPr>
        <w:t xml:space="preserve">abor.) Some adult education region’s geography corresponds exactly to that of its workforce area, whereas </w:t>
      </w:r>
      <w:r w:rsidR="00BD6DD2">
        <w:rPr>
          <w:rFonts w:ascii="Times New Roman" w:eastAsia="Times New Roman" w:hAnsi="Times New Roman" w:cs="Times New Roman"/>
          <w:color w:val="000000"/>
          <w:sz w:val="24"/>
          <w:szCs w:val="24"/>
        </w:rPr>
        <w:t>other</w:t>
      </w:r>
      <w:r w:rsidRPr="00B131CA">
        <w:rPr>
          <w:rFonts w:ascii="Times New Roman" w:eastAsia="Times New Roman" w:hAnsi="Times New Roman" w:cs="Times New Roman"/>
          <w:color w:val="000000"/>
          <w:sz w:val="24"/>
          <w:szCs w:val="24"/>
        </w:rPr>
        <w:t xml:space="preserve"> regions share a workforce area. </w:t>
      </w:r>
    </w:p>
    <w:p w14:paraId="00000341"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All adult education providers are mandated partners within the Virginia workforce development system and the Career Works Centers. As such, providers are responsible for aligning career pathway programming through collaborative relationships with the local comprehensive Career Works Center(s) and partner organizations. Regional adult education programs must also contribute to the financial management of the infrastructure costs of each comprehensive Center in their region. These can be either cash or in-kind contributions or both. </w:t>
      </w:r>
    </w:p>
    <w:p w14:paraId="00000342" w14:textId="77777777" w:rsidR="002F3C8D" w:rsidRPr="00B131CA" w:rsidRDefault="00BF5CDA" w:rsidP="00932B3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Regional program managers must ensure that, as part of their relationship with the Career Works Center(s) in their region, adult education providers fulfill the following five key federal responsibilities:</w:t>
      </w:r>
    </w:p>
    <w:p w14:paraId="00000343" w14:textId="77777777" w:rsidR="002F3C8D" w:rsidRPr="00B131CA" w:rsidRDefault="00BF5CDA" w:rsidP="00022694">
      <w:pPr>
        <w:numPr>
          <w:ilvl w:val="0"/>
          <w:numId w:val="20"/>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Provide access through the Career Works Center system to adult education and literacy activities either in person at the Center or through direct access such as through virtual or remote connections from the Center to the adult education </w:t>
      </w:r>
      <w:proofErr w:type="gramStart"/>
      <w:r w:rsidRPr="00B131CA">
        <w:rPr>
          <w:rFonts w:ascii="Times New Roman" w:eastAsia="Times New Roman" w:hAnsi="Times New Roman" w:cs="Times New Roman"/>
          <w:color w:val="000000"/>
          <w:sz w:val="24"/>
          <w:szCs w:val="24"/>
        </w:rPr>
        <w:t>location;</w:t>
      </w:r>
      <w:proofErr w:type="gramEnd"/>
    </w:p>
    <w:p w14:paraId="00000344" w14:textId="62B61C50" w:rsidR="002F3C8D" w:rsidRPr="00B131CA" w:rsidRDefault="00BF5CDA" w:rsidP="00022694">
      <w:pPr>
        <w:numPr>
          <w:ilvl w:val="0"/>
          <w:numId w:val="20"/>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Contribute to the infrastructure costs for the Career Works Centers, in accordance with the methods agreed upon by the local workforce development board</w:t>
      </w:r>
      <w:r w:rsidR="00013874">
        <w:rPr>
          <w:rFonts w:ascii="Times New Roman" w:eastAsia="Times New Roman" w:hAnsi="Times New Roman" w:cs="Times New Roman"/>
          <w:color w:val="000000"/>
          <w:sz w:val="24"/>
          <w:szCs w:val="24"/>
        </w:rPr>
        <w:t xml:space="preserve"> (LWDB)</w:t>
      </w:r>
      <w:r w:rsidRPr="00B131CA">
        <w:rPr>
          <w:rFonts w:ascii="Times New Roman" w:eastAsia="Times New Roman" w:hAnsi="Times New Roman" w:cs="Times New Roman"/>
          <w:color w:val="000000"/>
          <w:sz w:val="24"/>
          <w:szCs w:val="24"/>
        </w:rPr>
        <w:t xml:space="preserve"> and described in the memorandum of understanding (MOU</w:t>
      </w:r>
      <w:proofErr w:type="gramStart"/>
      <w:r w:rsidRPr="00B131CA">
        <w:rPr>
          <w:rFonts w:ascii="Times New Roman" w:eastAsia="Times New Roman" w:hAnsi="Times New Roman" w:cs="Times New Roman"/>
          <w:color w:val="000000"/>
          <w:sz w:val="24"/>
          <w:szCs w:val="24"/>
        </w:rPr>
        <w:t>);</w:t>
      </w:r>
      <w:proofErr w:type="gramEnd"/>
    </w:p>
    <w:p w14:paraId="00000345" w14:textId="77777777" w:rsidR="002F3C8D" w:rsidRPr="00B131CA" w:rsidRDefault="00BF5CDA" w:rsidP="00022694">
      <w:pPr>
        <w:numPr>
          <w:ilvl w:val="0"/>
          <w:numId w:val="20"/>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Enter into </w:t>
      </w:r>
      <w:r w:rsidRPr="00B131CA">
        <w:rPr>
          <w:rFonts w:ascii="Times New Roman" w:eastAsia="Times New Roman" w:hAnsi="Times New Roman" w:cs="Times New Roman"/>
          <w:sz w:val="24"/>
          <w:szCs w:val="24"/>
        </w:rPr>
        <w:t xml:space="preserve">an </w:t>
      </w:r>
      <w:r w:rsidRPr="00B131CA">
        <w:rPr>
          <w:rFonts w:ascii="Times New Roman" w:eastAsia="Times New Roman" w:hAnsi="Times New Roman" w:cs="Times New Roman"/>
          <w:color w:val="000000"/>
          <w:sz w:val="24"/>
          <w:szCs w:val="24"/>
        </w:rPr>
        <w:t xml:space="preserve">MOU with the </w:t>
      </w:r>
      <w:r w:rsidRPr="00B131CA">
        <w:rPr>
          <w:rFonts w:ascii="Times New Roman" w:eastAsia="Times New Roman" w:hAnsi="Times New Roman" w:cs="Times New Roman"/>
          <w:sz w:val="24"/>
          <w:szCs w:val="24"/>
        </w:rPr>
        <w:t>LWDB</w:t>
      </w:r>
      <w:r w:rsidRPr="00B131CA">
        <w:rPr>
          <w:rFonts w:ascii="Times New Roman" w:eastAsia="Times New Roman" w:hAnsi="Times New Roman" w:cs="Times New Roman"/>
          <w:color w:val="000000"/>
          <w:sz w:val="24"/>
          <w:szCs w:val="24"/>
        </w:rPr>
        <w:t xml:space="preserve"> that articulates all partners’ responsibilities and fiscal </w:t>
      </w:r>
      <w:proofErr w:type="gramStart"/>
      <w:r w:rsidRPr="00B131CA">
        <w:rPr>
          <w:rFonts w:ascii="Times New Roman" w:eastAsia="Times New Roman" w:hAnsi="Times New Roman" w:cs="Times New Roman"/>
          <w:color w:val="000000"/>
          <w:sz w:val="24"/>
          <w:szCs w:val="24"/>
        </w:rPr>
        <w:t>contributions;</w:t>
      </w:r>
      <w:proofErr w:type="gramEnd"/>
      <w:r w:rsidRPr="00B131CA">
        <w:rPr>
          <w:rFonts w:ascii="Times New Roman" w:eastAsia="Times New Roman" w:hAnsi="Times New Roman" w:cs="Times New Roman"/>
          <w:color w:val="000000"/>
          <w:sz w:val="24"/>
          <w:szCs w:val="24"/>
        </w:rPr>
        <w:t> </w:t>
      </w:r>
    </w:p>
    <w:p w14:paraId="00000346" w14:textId="77777777" w:rsidR="002F3C8D" w:rsidRPr="00B131CA" w:rsidRDefault="00BF5CDA" w:rsidP="00022694">
      <w:pPr>
        <w:numPr>
          <w:ilvl w:val="0"/>
          <w:numId w:val="20"/>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Participate in the operation of the Career Works Centers consistent with the terms of the MOU, such as serving on committees, contributing to the development of the LWDB plan, and representing the Center in the community; and</w:t>
      </w:r>
    </w:p>
    <w:p w14:paraId="00000347" w14:textId="77777777" w:rsidR="002F3C8D" w:rsidRPr="00B131CA" w:rsidRDefault="00BF5CDA" w:rsidP="00022694">
      <w:pPr>
        <w:numPr>
          <w:ilvl w:val="0"/>
          <w:numId w:val="20"/>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Provide representation to the LWDB, which in some cases may be coordinated with other adult education regional programs. </w:t>
      </w:r>
    </w:p>
    <w:p w14:paraId="00000348" w14:textId="79F55575" w:rsidR="002F3C8D" w:rsidRPr="00B131CA" w:rsidRDefault="00BF5CDA">
      <w:pPr>
        <w:pBdr>
          <w:top w:val="nil"/>
          <w:left w:val="nil"/>
          <w:bottom w:val="nil"/>
          <w:right w:val="nil"/>
          <w:between w:val="nil"/>
        </w:pBdr>
        <w:spacing w:before="200"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These responsibilities should be articulated in the annual joint MOU that governs the contributing partners to the Career Works Center, which must include an Infrastructure Cost Agreement (IFA). Infrastructure costs are, by definition, non-personnel costs and can be either cash or in-kind contributions or both. All grant recipients must propose in their budget and report annually, by object code and line item, the amount of federal funding and in-kind support contributed to the IFA. Such funds are to be charged to the </w:t>
      </w:r>
      <w:proofErr w:type="gramStart"/>
      <w:r w:rsidRPr="00B131CA">
        <w:rPr>
          <w:rFonts w:ascii="Times New Roman" w:eastAsia="Times New Roman" w:hAnsi="Times New Roman" w:cs="Times New Roman"/>
          <w:color w:val="000000"/>
          <w:sz w:val="24"/>
          <w:szCs w:val="24"/>
        </w:rPr>
        <w:t>Administrative</w:t>
      </w:r>
      <w:proofErr w:type="gramEnd"/>
      <w:r w:rsidRPr="00B131CA">
        <w:rPr>
          <w:rFonts w:ascii="Times New Roman" w:eastAsia="Times New Roman" w:hAnsi="Times New Roman" w:cs="Times New Roman"/>
          <w:color w:val="000000"/>
          <w:sz w:val="24"/>
          <w:szCs w:val="24"/>
        </w:rPr>
        <w:t xml:space="preserve"> component of the federal budget</w:t>
      </w:r>
      <w:r w:rsidR="002258F2">
        <w:rPr>
          <w:rFonts w:ascii="Times New Roman" w:eastAsia="Times New Roman" w:hAnsi="Times New Roman" w:cs="Times New Roman"/>
          <w:color w:val="000000"/>
          <w:sz w:val="24"/>
          <w:szCs w:val="24"/>
        </w:rPr>
        <w:t xml:space="preserve"> unless they are in support of </w:t>
      </w:r>
      <w:r w:rsidR="003E269C">
        <w:rPr>
          <w:rFonts w:ascii="Times New Roman" w:eastAsia="Times New Roman" w:hAnsi="Times New Roman" w:cs="Times New Roman"/>
          <w:color w:val="000000"/>
          <w:sz w:val="24"/>
          <w:szCs w:val="24"/>
        </w:rPr>
        <w:t>direct services</w:t>
      </w:r>
      <w:r w:rsidR="002258F2">
        <w:rPr>
          <w:rFonts w:ascii="Times New Roman" w:eastAsia="Times New Roman" w:hAnsi="Times New Roman" w:cs="Times New Roman"/>
          <w:color w:val="000000"/>
          <w:sz w:val="24"/>
          <w:szCs w:val="24"/>
        </w:rPr>
        <w:t>, such as a rental fee for a classroom space</w:t>
      </w:r>
      <w:r w:rsidRPr="00B131CA">
        <w:rPr>
          <w:rFonts w:ascii="Times New Roman" w:eastAsia="Times New Roman" w:hAnsi="Times New Roman" w:cs="Times New Roman"/>
          <w:color w:val="000000"/>
          <w:sz w:val="24"/>
          <w:szCs w:val="24"/>
        </w:rPr>
        <w:t>.</w:t>
      </w:r>
    </w:p>
    <w:p w14:paraId="0000034B" w14:textId="7777777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While each region negotiates these MOUs and IFAs separately, there are common elements to consider. These documents are to be: </w:t>
      </w:r>
    </w:p>
    <w:p w14:paraId="0000034C" w14:textId="217C03B8" w:rsidR="002F3C8D" w:rsidRPr="00B131CA" w:rsidRDefault="00C42EDB" w:rsidP="00022694">
      <w:pPr>
        <w:numPr>
          <w:ilvl w:val="0"/>
          <w:numId w:val="21"/>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lastRenderedPageBreak/>
        <w:t>a</w:t>
      </w:r>
      <w:r w:rsidR="00BF5CDA" w:rsidRPr="00B131CA">
        <w:rPr>
          <w:rFonts w:ascii="Times New Roman" w:eastAsia="Times New Roman" w:hAnsi="Times New Roman" w:cs="Times New Roman"/>
          <w:color w:val="000000"/>
          <w:sz w:val="24"/>
          <w:szCs w:val="24"/>
        </w:rPr>
        <w:t xml:space="preserve"> product of local discussion and negotiation among all partners to ensure successful integration and implementation of partner </w:t>
      </w:r>
      <w:proofErr w:type="gramStart"/>
      <w:r w:rsidR="00BF5CDA" w:rsidRPr="00B131CA">
        <w:rPr>
          <w:rFonts w:ascii="Times New Roman" w:eastAsia="Times New Roman" w:hAnsi="Times New Roman" w:cs="Times New Roman"/>
          <w:color w:val="000000"/>
          <w:sz w:val="24"/>
          <w:szCs w:val="24"/>
        </w:rPr>
        <w:t>programs;</w:t>
      </w:r>
      <w:proofErr w:type="gramEnd"/>
    </w:p>
    <w:p w14:paraId="0000034D" w14:textId="2DA76676" w:rsidR="002F3C8D" w:rsidRPr="00B131CA" w:rsidRDefault="00C42EDB" w:rsidP="00022694">
      <w:pPr>
        <w:numPr>
          <w:ilvl w:val="0"/>
          <w:numId w:val="21"/>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u</w:t>
      </w:r>
      <w:r w:rsidR="00BF5CDA" w:rsidRPr="00B131CA">
        <w:rPr>
          <w:rFonts w:ascii="Times New Roman" w:eastAsia="Times New Roman" w:hAnsi="Times New Roman" w:cs="Times New Roman"/>
          <w:color w:val="000000"/>
          <w:sz w:val="24"/>
          <w:szCs w:val="24"/>
        </w:rPr>
        <w:t>sed to establish the roles and responsibilities of the Local WDB, the chief elected official, and the Career Works Center partners; and</w:t>
      </w:r>
    </w:p>
    <w:p w14:paraId="0000034E" w14:textId="0A1294B0" w:rsidR="002F3C8D" w:rsidRPr="00B131CA" w:rsidRDefault="00C42EDB" w:rsidP="00022694">
      <w:pPr>
        <w:numPr>
          <w:ilvl w:val="0"/>
          <w:numId w:val="21"/>
        </w:numPr>
        <w:pBdr>
          <w:top w:val="nil"/>
          <w:left w:val="nil"/>
          <w:bottom w:val="nil"/>
          <w:right w:val="nil"/>
          <w:between w:val="nil"/>
        </w:pBdr>
        <w:spacing w:after="200" w:line="240" w:lineRule="auto"/>
        <w:ind w:left="1440"/>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i</w:t>
      </w:r>
      <w:r w:rsidR="00BF5CDA" w:rsidRPr="00B131CA">
        <w:rPr>
          <w:rFonts w:ascii="Times New Roman" w:eastAsia="Times New Roman" w:hAnsi="Times New Roman" w:cs="Times New Roman"/>
          <w:color w:val="000000"/>
          <w:sz w:val="24"/>
          <w:szCs w:val="24"/>
        </w:rPr>
        <w:t>nclude the amount of funds contributed from each partner. </w:t>
      </w:r>
    </w:p>
    <w:p w14:paraId="0000034F" w14:textId="0255F502"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The funding provided by the partners to cover the operating costs, including infrastructure costs, of the one-stop delivery system must be based on the partner programs’ proportionate use of the system and the relative benefit received. For example, partners should not be asked to cover the costs of an office space they are not occupying or for the entirety of a public resource lab. See the federal guidance for more details and citations (U.S. Department of Education, Office of Career, Technical, and Adult Education, </w:t>
      </w:r>
      <w:hyperlink r:id="rId155">
        <w:r w:rsidRPr="00233A9A">
          <w:rPr>
            <w:rFonts w:ascii="Times New Roman" w:eastAsia="Times New Roman" w:hAnsi="Times New Roman" w:cs="Times New Roman"/>
            <w:color w:val="0000FF"/>
            <w:sz w:val="24"/>
            <w:szCs w:val="24"/>
            <w:u w:val="single"/>
          </w:rPr>
          <w:t>Program Memo 17-3</w:t>
        </w:r>
      </w:hyperlink>
      <w:r w:rsidRPr="00B131CA">
        <w:rPr>
          <w:rFonts w:ascii="Times New Roman" w:eastAsia="Times New Roman" w:hAnsi="Times New Roman" w:cs="Times New Roman"/>
          <w:color w:val="000000"/>
          <w:sz w:val="24"/>
          <w:szCs w:val="24"/>
        </w:rPr>
        <w:t>). Should a program manager need assistance in negotiating the program’s contribution, involve the state office as early as possible. </w:t>
      </w:r>
      <w:r w:rsidR="002258F2">
        <w:rPr>
          <w:rFonts w:ascii="Times New Roman" w:eastAsia="Times New Roman" w:hAnsi="Times New Roman" w:cs="Times New Roman"/>
          <w:color w:val="000000"/>
          <w:sz w:val="24"/>
          <w:szCs w:val="24"/>
        </w:rPr>
        <w:t xml:space="preserve">Be aware that should the local area fail to reach agreement </w:t>
      </w:r>
      <w:r w:rsidR="00F7242D">
        <w:rPr>
          <w:rFonts w:ascii="Times New Roman" w:eastAsia="Times New Roman" w:hAnsi="Times New Roman" w:cs="Times New Roman"/>
          <w:color w:val="000000"/>
          <w:sz w:val="24"/>
          <w:szCs w:val="24"/>
        </w:rPr>
        <w:t>for</w:t>
      </w:r>
      <w:r w:rsidR="002258F2">
        <w:rPr>
          <w:rFonts w:ascii="Times New Roman" w:eastAsia="Times New Roman" w:hAnsi="Times New Roman" w:cs="Times New Roman"/>
          <w:color w:val="000000"/>
          <w:sz w:val="24"/>
          <w:szCs w:val="24"/>
        </w:rPr>
        <w:t xml:space="preserve"> an MOU, the process reverts to the Governor’s office </w:t>
      </w:r>
      <w:r w:rsidR="00F7242D">
        <w:rPr>
          <w:rFonts w:ascii="Times New Roman" w:eastAsia="Times New Roman" w:hAnsi="Times New Roman" w:cs="Times New Roman"/>
          <w:color w:val="000000"/>
          <w:sz w:val="24"/>
          <w:szCs w:val="24"/>
        </w:rPr>
        <w:t>for</w:t>
      </w:r>
      <w:r w:rsidR="002258F2">
        <w:rPr>
          <w:rFonts w:ascii="Times New Roman" w:eastAsia="Times New Roman" w:hAnsi="Times New Roman" w:cs="Times New Roman"/>
          <w:color w:val="000000"/>
          <w:sz w:val="24"/>
          <w:szCs w:val="24"/>
        </w:rPr>
        <w:t xml:space="preserve"> what is called the “state funding mechanism.” Should this occur, partners and the Governor’s office representative would be guided by the Virginia Board of Workforce Development </w:t>
      </w:r>
      <w:hyperlink r:id="rId156" w:history="1">
        <w:r w:rsidR="002258F2" w:rsidRPr="002258F2">
          <w:rPr>
            <w:rStyle w:val="Hyperlink"/>
            <w:rFonts w:ascii="Times New Roman" w:eastAsia="Times New Roman" w:hAnsi="Times New Roman" w:cs="Times New Roman"/>
            <w:sz w:val="24"/>
            <w:szCs w:val="24"/>
          </w:rPr>
          <w:t>Policy #20-01</w:t>
        </w:r>
      </w:hyperlink>
      <w:r w:rsidR="002258F2">
        <w:rPr>
          <w:rFonts w:ascii="Times New Roman" w:eastAsia="Times New Roman" w:hAnsi="Times New Roman" w:cs="Times New Roman"/>
          <w:color w:val="000000"/>
          <w:sz w:val="24"/>
          <w:szCs w:val="24"/>
        </w:rPr>
        <w:t>.</w:t>
      </w:r>
    </w:p>
    <w:p w14:paraId="00000351" w14:textId="0C1A84C7"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 xml:space="preserve">Serving as a partner in the workforce development system enriches adult education by providing access to recruiting venues, partners who can contribute to student </w:t>
      </w:r>
      <w:r w:rsidR="000C7ED9">
        <w:rPr>
          <w:rFonts w:ascii="Times New Roman" w:eastAsia="Times New Roman" w:hAnsi="Times New Roman" w:cs="Times New Roman"/>
          <w:color w:val="000000"/>
          <w:sz w:val="24"/>
          <w:szCs w:val="24"/>
        </w:rPr>
        <w:t xml:space="preserve">supportive and training </w:t>
      </w:r>
      <w:r w:rsidRPr="00B131CA">
        <w:rPr>
          <w:rFonts w:ascii="Times New Roman" w:eastAsia="Times New Roman" w:hAnsi="Times New Roman" w:cs="Times New Roman"/>
          <w:color w:val="000000"/>
          <w:sz w:val="24"/>
          <w:szCs w:val="24"/>
        </w:rPr>
        <w:t>services, expertise such as job placement and work experiences for students, and relationships with local and regional employers. Through the focus on career pathways and integrated education and training models in the Combined State Plan, adult education providers will continue to have opportunities to collaborate with workforce development partners to expand offerings to students.</w:t>
      </w:r>
    </w:p>
    <w:p w14:paraId="00000352" w14:textId="5A43E82C" w:rsidR="002F3C8D" w:rsidRPr="00EA2D5D" w:rsidRDefault="00BF5CDA" w:rsidP="004A0493">
      <w:pPr>
        <w:pStyle w:val="Heading3"/>
      </w:pPr>
      <w:bookmarkStart w:id="82" w:name="_Toc174088893"/>
      <w:r w:rsidRPr="00EA2D5D">
        <w:t>Cross-Agency Projects</w:t>
      </w:r>
      <w:bookmarkEnd w:id="82"/>
    </w:p>
    <w:p w14:paraId="00000353" w14:textId="5873517A" w:rsidR="002F3C8D" w:rsidRPr="00B131CA" w:rsidRDefault="00BF5CDA">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sidRPr="00B131CA">
        <w:rPr>
          <w:rFonts w:ascii="Times New Roman" w:eastAsia="Times New Roman" w:hAnsi="Times New Roman" w:cs="Times New Roman"/>
          <w:color w:val="000000"/>
          <w:sz w:val="24"/>
          <w:szCs w:val="24"/>
        </w:rPr>
        <w:t>Through the collaboration fostered by the Combined State Plan, several cross-agency projects and activities are under</w:t>
      </w:r>
      <w:r w:rsidR="00575486" w:rsidRPr="00B131CA">
        <w:rPr>
          <w:rFonts w:ascii="Times New Roman" w:eastAsia="Times New Roman" w:hAnsi="Times New Roman" w:cs="Times New Roman"/>
          <w:color w:val="000000"/>
          <w:sz w:val="24"/>
          <w:szCs w:val="24"/>
        </w:rPr>
        <w:t xml:space="preserve"> </w:t>
      </w:r>
      <w:r w:rsidRPr="00B131CA">
        <w:rPr>
          <w:rFonts w:ascii="Times New Roman" w:eastAsia="Times New Roman" w:hAnsi="Times New Roman" w:cs="Times New Roman"/>
          <w:color w:val="000000"/>
          <w:sz w:val="24"/>
          <w:szCs w:val="24"/>
        </w:rPr>
        <w:t>way that provide opportunities for workforce development system practitioners to receive training and tools that support the implementation of the Combined State Plan’s priorities. </w:t>
      </w:r>
      <w:proofErr w:type="gramStart"/>
      <w:r w:rsidRPr="00B131CA">
        <w:rPr>
          <w:rFonts w:ascii="Times New Roman" w:eastAsia="Times New Roman" w:hAnsi="Times New Roman" w:cs="Times New Roman"/>
          <w:color w:val="000000"/>
          <w:sz w:val="24"/>
          <w:szCs w:val="24"/>
        </w:rPr>
        <w:t>As a core partner, adult education</w:t>
      </w:r>
      <w:proofErr w:type="gramEnd"/>
      <w:r w:rsidRPr="00B131CA">
        <w:rPr>
          <w:rFonts w:ascii="Times New Roman" w:eastAsia="Times New Roman" w:hAnsi="Times New Roman" w:cs="Times New Roman"/>
          <w:color w:val="000000"/>
          <w:sz w:val="24"/>
          <w:szCs w:val="24"/>
        </w:rPr>
        <w:t xml:space="preserve"> is represented in these projects. Regional and local program managers should be familiar with expectations for their own participation and that of members of their teams.</w:t>
      </w:r>
    </w:p>
    <w:p w14:paraId="0000035C" w14:textId="46518540" w:rsidR="002F3C8D" w:rsidRPr="00B131CA" w:rsidRDefault="00BF5CDA" w:rsidP="006519A6">
      <w:pPr>
        <w:spacing w:after="150"/>
        <w:rPr>
          <w:rFonts w:ascii="Times New Roman" w:eastAsia="Times New Roman" w:hAnsi="Times New Roman" w:cs="Times New Roman"/>
          <w:sz w:val="24"/>
          <w:szCs w:val="24"/>
        </w:rPr>
      </w:pPr>
      <w:r w:rsidRPr="00A866A5">
        <w:rPr>
          <w:rFonts w:ascii="Times New Roman" w:hAnsi="Times New Roman"/>
          <w:b/>
          <w:sz w:val="24"/>
        </w:rPr>
        <w:t>Business Services Teams</w:t>
      </w:r>
      <w:r w:rsidR="00A866A5">
        <w:rPr>
          <w:rFonts w:ascii="Times New Roman" w:hAnsi="Times New Roman"/>
          <w:b/>
          <w:sz w:val="24"/>
        </w:rPr>
        <w:t xml:space="preserve">. </w:t>
      </w:r>
      <w:r w:rsidRPr="00B131CA">
        <w:rPr>
          <w:rFonts w:ascii="Times New Roman" w:eastAsia="Times New Roman" w:hAnsi="Times New Roman" w:cs="Times New Roman"/>
          <w:sz w:val="24"/>
          <w:szCs w:val="24"/>
        </w:rPr>
        <w:t xml:space="preserve">The LWDBs coordinate regional Business Services Teams that are designed to meet the recruitment and workforce training needs of employers and to speak in a unified voice for </w:t>
      </w:r>
      <w:proofErr w:type="gramStart"/>
      <w:r w:rsidRPr="00B131CA">
        <w:rPr>
          <w:rFonts w:ascii="Times New Roman" w:eastAsia="Times New Roman" w:hAnsi="Times New Roman" w:cs="Times New Roman"/>
          <w:sz w:val="24"/>
          <w:szCs w:val="24"/>
        </w:rPr>
        <w:t>all of</w:t>
      </w:r>
      <w:proofErr w:type="gramEnd"/>
      <w:r w:rsidRPr="00B131CA">
        <w:rPr>
          <w:rFonts w:ascii="Times New Roman" w:eastAsia="Times New Roman" w:hAnsi="Times New Roman" w:cs="Times New Roman"/>
          <w:sz w:val="24"/>
          <w:szCs w:val="24"/>
        </w:rPr>
        <w:t xml:space="preserve"> the Virginia Career Works partners in each region. Adult education participation on the </w:t>
      </w:r>
      <w:r w:rsidR="003E1F58">
        <w:rPr>
          <w:rFonts w:ascii="Times New Roman" w:eastAsia="Times New Roman" w:hAnsi="Times New Roman" w:cs="Times New Roman"/>
          <w:sz w:val="24"/>
          <w:szCs w:val="24"/>
        </w:rPr>
        <w:t>t</w:t>
      </w:r>
      <w:r w:rsidR="003E1F58" w:rsidRPr="00B131CA">
        <w:rPr>
          <w:rFonts w:ascii="Times New Roman" w:eastAsia="Times New Roman" w:hAnsi="Times New Roman" w:cs="Times New Roman"/>
          <w:sz w:val="24"/>
          <w:szCs w:val="24"/>
        </w:rPr>
        <w:t xml:space="preserve">eams </w:t>
      </w:r>
      <w:r w:rsidRPr="00B131CA">
        <w:rPr>
          <w:rFonts w:ascii="Times New Roman" w:eastAsia="Times New Roman" w:hAnsi="Times New Roman" w:cs="Times New Roman"/>
          <w:sz w:val="24"/>
          <w:szCs w:val="24"/>
        </w:rPr>
        <w:t xml:space="preserve">is critical to ensure that the education and training opportunities available through AEFLA funding are represented to area businesses and that employment opportunities are communicated to and through adult education programs to students. Speaking in a unified voice to local employers has been and continues to be a Combined State Plan priority. Coordinating outreach from the workforce development system as well as listening tours for the WIOA partners has yielded a more coherent message about the Virginia Career Works partner services available to businesses. </w:t>
      </w:r>
    </w:p>
    <w:p w14:paraId="7DFAC41F" w14:textId="63A3C10E" w:rsidR="008A2E1D" w:rsidRPr="00A866A5" w:rsidRDefault="00BF5CDA" w:rsidP="00A866A5">
      <w:pPr>
        <w:spacing w:after="0"/>
        <w:rPr>
          <w:rFonts w:ascii="Times New Roman" w:hAnsi="Times New Roman" w:cs="Times New Roman"/>
          <w:b/>
          <w:bCs/>
          <w:color w:val="000000"/>
          <w:sz w:val="24"/>
        </w:rPr>
        <w:sectPr w:rsidR="008A2E1D" w:rsidRPr="00A866A5" w:rsidSect="000E656A">
          <w:footerReference w:type="default" r:id="rId157"/>
          <w:pgSz w:w="12240" w:h="15840"/>
          <w:pgMar w:top="1440" w:right="1440" w:bottom="1440" w:left="1440" w:header="720" w:footer="720" w:gutter="0"/>
          <w:pgNumType w:start="1" w:chapStyle="2"/>
          <w:cols w:space="720"/>
        </w:sectPr>
      </w:pPr>
      <w:r w:rsidRPr="00A866A5">
        <w:rPr>
          <w:rFonts w:ascii="Times New Roman" w:hAnsi="Times New Roman"/>
          <w:b/>
          <w:sz w:val="24"/>
        </w:rPr>
        <w:lastRenderedPageBreak/>
        <w:t>Accessibility Task</w:t>
      </w:r>
      <w:r w:rsidR="003E269C">
        <w:rPr>
          <w:rFonts w:ascii="Times New Roman" w:hAnsi="Times New Roman"/>
          <w:b/>
          <w:sz w:val="24"/>
        </w:rPr>
        <w:t xml:space="preserve"> F</w:t>
      </w:r>
      <w:r w:rsidRPr="00A866A5">
        <w:rPr>
          <w:rFonts w:ascii="Times New Roman" w:hAnsi="Times New Roman"/>
          <w:b/>
          <w:sz w:val="24"/>
        </w:rPr>
        <w:t>orce and Training</w:t>
      </w:r>
      <w:r w:rsidR="00A866A5">
        <w:rPr>
          <w:rFonts w:ascii="Times New Roman" w:hAnsi="Times New Roman"/>
          <w:b/>
          <w:sz w:val="24"/>
        </w:rPr>
        <w:t xml:space="preserve">. </w:t>
      </w:r>
      <w:r w:rsidRPr="00A866A5">
        <w:rPr>
          <w:rFonts w:ascii="Times New Roman" w:hAnsi="Times New Roman" w:cs="Times New Roman"/>
          <w:sz w:val="24"/>
        </w:rPr>
        <w:t>Grounded in the Combined State Plan, a cross-agency task</w:t>
      </w:r>
      <w:r w:rsidR="003E269C">
        <w:rPr>
          <w:rFonts w:ascii="Times New Roman" w:hAnsi="Times New Roman" w:cs="Times New Roman"/>
          <w:sz w:val="24"/>
        </w:rPr>
        <w:t xml:space="preserve"> </w:t>
      </w:r>
      <w:r w:rsidRPr="00A866A5">
        <w:rPr>
          <w:rFonts w:ascii="Times New Roman" w:hAnsi="Times New Roman" w:cs="Times New Roman"/>
          <w:sz w:val="24"/>
        </w:rPr>
        <w:t>force leads efforts to ensure programmatic and physical accessibility of Virginia Career Works Centers and partners’ services offered through the Centers. A cross-agency team conducts monitoring visits to the Centers to fulfill the statutory requirement to certify Centers as accessible. In addition, the taskforce develops and hosts cross-agency training opportunities on issues of accessibility and customer-centered service design and communication</w:t>
      </w:r>
      <w:r w:rsidR="00BD7FD9">
        <w:rPr>
          <w:rFonts w:ascii="Times New Roman" w:hAnsi="Times New Roman" w:cs="Times New Roman"/>
          <w:sz w:val="24"/>
        </w:rPr>
        <w:t xml:space="preserve"> The </w:t>
      </w:r>
      <w:r w:rsidR="00BD7FD9" w:rsidRPr="00BD7FD9">
        <w:rPr>
          <w:rFonts w:ascii="Times New Roman" w:hAnsi="Times New Roman" w:cs="Times New Roman"/>
          <w:i/>
          <w:iCs/>
          <w:sz w:val="24"/>
        </w:rPr>
        <w:t>Windmills</w:t>
      </w:r>
      <w:r w:rsidR="00BD7FD9">
        <w:rPr>
          <w:rFonts w:ascii="Times New Roman" w:hAnsi="Times New Roman" w:cs="Times New Roman"/>
          <w:sz w:val="24"/>
        </w:rPr>
        <w:t xml:space="preserve"> training that has been made available through the U.S. Department of Education to DARS is offered to all workforce development practitioners</w:t>
      </w:r>
      <w:r w:rsidRPr="00A866A5">
        <w:rPr>
          <w:rFonts w:ascii="Times New Roman" w:hAnsi="Times New Roman" w:cs="Times New Roman"/>
          <w:sz w:val="24"/>
        </w:rPr>
        <w:t> </w:t>
      </w:r>
      <w:r w:rsidR="00BD7FD9">
        <w:rPr>
          <w:rFonts w:ascii="Times New Roman" w:hAnsi="Times New Roman" w:cs="Times New Roman"/>
          <w:sz w:val="24"/>
        </w:rPr>
        <w:t xml:space="preserve">to learn more about serving adults with disabilities; these training events are offered at no cost to practitioners and promoted on the VALRC </w:t>
      </w:r>
      <w:hyperlink r:id="rId158" w:history="1">
        <w:r w:rsidR="00BD7FD9" w:rsidRPr="00BD7FD9">
          <w:rPr>
            <w:rStyle w:val="Hyperlink"/>
            <w:rFonts w:ascii="Times New Roman" w:hAnsi="Times New Roman" w:cs="Times New Roman"/>
            <w:sz w:val="24"/>
          </w:rPr>
          <w:t>Events</w:t>
        </w:r>
      </w:hyperlink>
      <w:r w:rsidR="00BD7FD9">
        <w:rPr>
          <w:rFonts w:ascii="Times New Roman" w:hAnsi="Times New Roman" w:cs="Times New Roman"/>
          <w:sz w:val="24"/>
        </w:rPr>
        <w:t xml:space="preserve"> page as well as the </w:t>
      </w:r>
      <w:hyperlink r:id="rId159" w:history="1">
        <w:r w:rsidR="00BD7FD9" w:rsidRPr="00BD7FD9">
          <w:rPr>
            <w:rStyle w:val="Hyperlink"/>
            <w:rFonts w:ascii="Times New Roman" w:hAnsi="Times New Roman" w:cs="Times New Roman"/>
            <w:sz w:val="24"/>
          </w:rPr>
          <w:t>Serving Adults with Disabilities</w:t>
        </w:r>
      </w:hyperlink>
      <w:r w:rsidR="00BD7FD9">
        <w:rPr>
          <w:rFonts w:ascii="Times New Roman" w:hAnsi="Times New Roman" w:cs="Times New Roman"/>
          <w:sz w:val="24"/>
        </w:rPr>
        <w:t xml:space="preserve"> resource page. </w:t>
      </w:r>
    </w:p>
    <w:p w14:paraId="00000360" w14:textId="6A4B927B" w:rsidR="002F3C8D" w:rsidRPr="00AB56C4" w:rsidRDefault="00BF5CDA" w:rsidP="004C3706">
      <w:pPr>
        <w:pStyle w:val="Heading2"/>
        <w:jc w:val="left"/>
      </w:pPr>
      <w:bookmarkStart w:id="83" w:name="_Toc174088894"/>
      <w:r w:rsidRPr="00AB56C4">
        <w:lastRenderedPageBreak/>
        <w:t>GLOSSARY OF TERMS</w:t>
      </w:r>
      <w:bookmarkEnd w:id="83"/>
    </w:p>
    <w:p w14:paraId="00000361"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Adult Basic Education (ABE)</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 A program of academic instruction and education services below the secondary level that increases an individual's ability to read, write, and speak in English and perform mathematics necessary to attain a secondary school diploma or its recognized equivalent, transition to postsecondary education or training, and obtain employment. </w:t>
      </w:r>
    </w:p>
    <w:p w14:paraId="00000362"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Adult Education</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 Academic instruction and education services below the postsecondary level that increase an individual’s ability to</w:t>
      </w:r>
    </w:p>
    <w:p w14:paraId="00000363" w14:textId="77777777" w:rsidR="002F3C8D" w:rsidRPr="00B131CA" w:rsidRDefault="00BF5CDA" w:rsidP="00022694">
      <w:pPr>
        <w:numPr>
          <w:ilvl w:val="0"/>
          <w:numId w:val="25"/>
        </w:num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read, write, and speak English and perform mathematics or other activities necessary for the attainment of a secondary school diploma or its recognized </w:t>
      </w:r>
      <w:proofErr w:type="gramStart"/>
      <w:r w:rsidRPr="00B131CA">
        <w:rPr>
          <w:rFonts w:ascii="Times New Roman" w:eastAsia="Times New Roman" w:hAnsi="Times New Roman" w:cs="Times New Roman"/>
          <w:sz w:val="24"/>
          <w:szCs w:val="24"/>
        </w:rPr>
        <w:t>equivalent;</w:t>
      </w:r>
      <w:proofErr w:type="gramEnd"/>
      <w:r w:rsidRPr="00B131CA">
        <w:rPr>
          <w:rFonts w:ascii="Times New Roman" w:eastAsia="Times New Roman" w:hAnsi="Times New Roman" w:cs="Times New Roman"/>
          <w:sz w:val="24"/>
          <w:szCs w:val="24"/>
        </w:rPr>
        <w:t xml:space="preserve"> </w:t>
      </w:r>
    </w:p>
    <w:p w14:paraId="00000364" w14:textId="77777777" w:rsidR="002F3C8D" w:rsidRPr="00B131CA" w:rsidRDefault="00BF5CDA" w:rsidP="00022694">
      <w:pPr>
        <w:numPr>
          <w:ilvl w:val="0"/>
          <w:numId w:val="25"/>
        </w:num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transition to postsecondary education and training; and</w:t>
      </w:r>
    </w:p>
    <w:p w14:paraId="00000365" w14:textId="77777777" w:rsidR="002F3C8D" w:rsidRPr="00B131CA" w:rsidRDefault="00BF5CDA" w:rsidP="00022694">
      <w:pPr>
        <w:numPr>
          <w:ilvl w:val="0"/>
          <w:numId w:val="25"/>
        </w:numPr>
        <w:spacing w:after="12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obtain employment.</w:t>
      </w:r>
    </w:p>
    <w:p w14:paraId="00000366"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Adult Education and Literacy Activities</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 Programs, activities, and services that include:</w:t>
      </w:r>
    </w:p>
    <w:p w14:paraId="00000367" w14:textId="77777777" w:rsidR="002F3C8D" w:rsidRPr="00B131CA" w:rsidRDefault="00BF5CDA">
      <w:pPr>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(a) </w:t>
      </w:r>
      <w:r w:rsidRPr="00B131CA">
        <w:rPr>
          <w:rFonts w:ascii="Times New Roman" w:eastAsia="Times New Roman" w:hAnsi="Times New Roman" w:cs="Times New Roman"/>
          <w:sz w:val="24"/>
          <w:szCs w:val="24"/>
        </w:rPr>
        <w:tab/>
        <w:t>adult education,</w:t>
      </w:r>
    </w:p>
    <w:p w14:paraId="00000368" w14:textId="77777777" w:rsidR="002F3C8D" w:rsidRPr="00B131CA" w:rsidRDefault="00BF5CDA">
      <w:pPr>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(b) </w:t>
      </w:r>
      <w:r w:rsidRPr="00B131CA">
        <w:rPr>
          <w:rFonts w:ascii="Times New Roman" w:eastAsia="Times New Roman" w:hAnsi="Times New Roman" w:cs="Times New Roman"/>
          <w:sz w:val="24"/>
          <w:szCs w:val="24"/>
        </w:rPr>
        <w:tab/>
        <w:t>literacy,</w:t>
      </w:r>
    </w:p>
    <w:p w14:paraId="00000369" w14:textId="77777777" w:rsidR="002F3C8D" w:rsidRPr="00B131CA" w:rsidRDefault="00BF5CDA">
      <w:pPr>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(c) </w:t>
      </w:r>
      <w:r w:rsidRPr="00B131CA">
        <w:rPr>
          <w:rFonts w:ascii="Times New Roman" w:eastAsia="Times New Roman" w:hAnsi="Times New Roman" w:cs="Times New Roman"/>
          <w:sz w:val="24"/>
          <w:szCs w:val="24"/>
        </w:rPr>
        <w:tab/>
        <w:t>workplace adult education and literacy activities,</w:t>
      </w:r>
    </w:p>
    <w:p w14:paraId="0000036A" w14:textId="77777777" w:rsidR="002F3C8D" w:rsidRPr="00B131CA" w:rsidRDefault="00BF5CDA">
      <w:pPr>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(d) </w:t>
      </w:r>
      <w:r w:rsidRPr="00B131CA">
        <w:rPr>
          <w:rFonts w:ascii="Times New Roman" w:eastAsia="Times New Roman" w:hAnsi="Times New Roman" w:cs="Times New Roman"/>
          <w:sz w:val="24"/>
          <w:szCs w:val="24"/>
        </w:rPr>
        <w:tab/>
        <w:t>family literacy activities,</w:t>
      </w:r>
    </w:p>
    <w:p w14:paraId="0000036B" w14:textId="77777777" w:rsidR="002F3C8D" w:rsidRPr="00B131CA" w:rsidRDefault="00BF5CDA">
      <w:pPr>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(e) </w:t>
      </w:r>
      <w:r w:rsidRPr="00B131CA">
        <w:rPr>
          <w:rFonts w:ascii="Times New Roman" w:eastAsia="Times New Roman" w:hAnsi="Times New Roman" w:cs="Times New Roman"/>
          <w:sz w:val="24"/>
          <w:szCs w:val="24"/>
        </w:rPr>
        <w:tab/>
        <w:t>English language acquisition activities,</w:t>
      </w:r>
    </w:p>
    <w:p w14:paraId="0000036C" w14:textId="2C76D555" w:rsidR="002F3C8D" w:rsidRPr="00B131CA" w:rsidRDefault="00BF5CDA">
      <w:pPr>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(f) </w:t>
      </w:r>
      <w:r w:rsidRPr="00B131CA">
        <w:rPr>
          <w:rFonts w:ascii="Times New Roman" w:eastAsia="Times New Roman" w:hAnsi="Times New Roman" w:cs="Times New Roman"/>
          <w:sz w:val="24"/>
          <w:szCs w:val="24"/>
        </w:rPr>
        <w:tab/>
        <w:t>integrated English literacy and civics education</w:t>
      </w:r>
      <w:r w:rsidR="002A2ACC">
        <w:rPr>
          <w:rFonts w:ascii="Times New Roman" w:eastAsia="Times New Roman" w:hAnsi="Times New Roman" w:cs="Times New Roman"/>
          <w:sz w:val="24"/>
          <w:szCs w:val="24"/>
        </w:rPr>
        <w:t xml:space="preserve"> (IELCE)</w:t>
      </w:r>
      <w:r w:rsidRPr="00B131CA">
        <w:rPr>
          <w:rFonts w:ascii="Times New Roman" w:eastAsia="Times New Roman" w:hAnsi="Times New Roman" w:cs="Times New Roman"/>
          <w:sz w:val="24"/>
          <w:szCs w:val="24"/>
        </w:rPr>
        <w:t>,</w:t>
      </w:r>
    </w:p>
    <w:p w14:paraId="0000036D" w14:textId="77777777" w:rsidR="002F3C8D" w:rsidRPr="00B131CA" w:rsidRDefault="00BF5CDA">
      <w:pPr>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(g) </w:t>
      </w:r>
      <w:r w:rsidRPr="00B131CA">
        <w:rPr>
          <w:rFonts w:ascii="Times New Roman" w:eastAsia="Times New Roman" w:hAnsi="Times New Roman" w:cs="Times New Roman"/>
          <w:sz w:val="24"/>
          <w:szCs w:val="24"/>
        </w:rPr>
        <w:tab/>
        <w:t>workforce preparation activities, or</w:t>
      </w:r>
    </w:p>
    <w:p w14:paraId="0000036E" w14:textId="5BBC8838" w:rsidR="002F3C8D" w:rsidRPr="00B131CA" w:rsidRDefault="00BF5CDA">
      <w:pPr>
        <w:tabs>
          <w:tab w:val="center" w:pos="5040"/>
        </w:tabs>
        <w:spacing w:after="12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(h) </w:t>
      </w:r>
      <w:r w:rsidRPr="00B131CA">
        <w:rPr>
          <w:rFonts w:ascii="Times New Roman" w:eastAsia="Times New Roman" w:hAnsi="Times New Roman" w:cs="Times New Roman"/>
          <w:sz w:val="24"/>
          <w:szCs w:val="24"/>
        </w:rPr>
        <w:tab/>
        <w:t>integrated education and training</w:t>
      </w:r>
      <w:r w:rsidR="002A2ACC">
        <w:rPr>
          <w:rFonts w:ascii="Times New Roman" w:eastAsia="Times New Roman" w:hAnsi="Times New Roman" w:cs="Times New Roman"/>
          <w:sz w:val="24"/>
          <w:szCs w:val="24"/>
        </w:rPr>
        <w:t xml:space="preserve"> (IET)</w:t>
      </w:r>
      <w:r w:rsidRPr="00B131CA">
        <w:rPr>
          <w:rFonts w:ascii="Times New Roman" w:eastAsia="Times New Roman" w:hAnsi="Times New Roman" w:cs="Times New Roman"/>
          <w:sz w:val="24"/>
          <w:szCs w:val="24"/>
        </w:rPr>
        <w:t>.</w:t>
      </w:r>
    </w:p>
    <w:p w14:paraId="0000036F" w14:textId="6AD257FB" w:rsidR="002F3C8D" w:rsidRPr="00B131CA" w:rsidRDefault="00BF5CDA">
      <w:pPr>
        <w:tabs>
          <w:tab w:val="center" w:pos="5040"/>
        </w:tabs>
        <w:spacing w:after="120" w:line="240" w:lineRule="auto"/>
        <w:rPr>
          <w:rFonts w:ascii="Times New Roman" w:eastAsia="Times New Roman" w:hAnsi="Times New Roman" w:cs="Times New Roman"/>
          <w:sz w:val="24"/>
          <w:szCs w:val="24"/>
        </w:rPr>
      </w:pPr>
      <w:r w:rsidRPr="00932B32">
        <w:rPr>
          <w:rFonts w:ascii="Times New Roman" w:hAnsi="Times New Roman"/>
          <w:i/>
          <w:sz w:val="24"/>
        </w:rPr>
        <w:t>Adult High School Diploma</w:t>
      </w:r>
      <w:r w:rsidRPr="00B131CA">
        <w:rPr>
          <w:rFonts w:ascii="Times New Roman" w:eastAsia="Times New Roman" w:hAnsi="Times New Roman" w:cs="Times New Roman"/>
          <w:i/>
          <w:sz w:val="24"/>
          <w:szCs w:val="24"/>
        </w:rPr>
        <w:t xml:space="preserve"> —</w:t>
      </w:r>
      <w:r w:rsidRPr="00932B32">
        <w:rPr>
          <w:rFonts w:ascii="Times New Roman" w:hAnsi="Times New Roman"/>
          <w:i/>
          <w:sz w:val="24"/>
        </w:rPr>
        <w:t xml:space="preserve"> </w:t>
      </w:r>
      <w:r w:rsidRPr="00B131CA">
        <w:rPr>
          <w:rFonts w:ascii="Times New Roman" w:eastAsia="Times New Roman" w:hAnsi="Times New Roman" w:cs="Times New Roman"/>
          <w:sz w:val="24"/>
          <w:szCs w:val="24"/>
        </w:rPr>
        <w:t xml:space="preserve">In Virginia, an adult high school diploma can be earned in multiple ways. One option is for the adult student to complete </w:t>
      </w:r>
      <w:proofErr w:type="gramStart"/>
      <w:r w:rsidRPr="00B131CA">
        <w:rPr>
          <w:rFonts w:ascii="Times New Roman" w:eastAsia="Times New Roman" w:hAnsi="Times New Roman" w:cs="Times New Roman"/>
          <w:sz w:val="24"/>
          <w:szCs w:val="24"/>
        </w:rPr>
        <w:t>all of</w:t>
      </w:r>
      <w:proofErr w:type="gramEnd"/>
      <w:r w:rsidRPr="00B131CA">
        <w:rPr>
          <w:rFonts w:ascii="Times New Roman" w:eastAsia="Times New Roman" w:hAnsi="Times New Roman" w:cs="Times New Roman"/>
          <w:sz w:val="24"/>
          <w:szCs w:val="24"/>
        </w:rPr>
        <w:t xml:space="preserve"> the course requirements that were in place at the time they entered the ninth grade, with the exception of health and physical education. Certain requirements for specific assessments may be waived if the assessments are no longer administered to students in Virginia public schools. A second option is the General Achievement Adult High School Diploma (GAAHSD), which is intended to provide a diploma option for individuals who are at least 18 years of age, not enrolled in public education, and not subject to the compulsory attendance requirements of §22.1-254 of the </w:t>
      </w:r>
      <w:r w:rsidRPr="00932B32">
        <w:rPr>
          <w:rFonts w:ascii="Times New Roman" w:hAnsi="Times New Roman"/>
          <w:i/>
          <w:sz w:val="24"/>
        </w:rPr>
        <w:t>Code of Virginia</w:t>
      </w:r>
      <w:r w:rsidRPr="00B131CA">
        <w:rPr>
          <w:rFonts w:ascii="Times New Roman" w:eastAsia="Times New Roman" w:hAnsi="Times New Roman" w:cs="Times New Roman"/>
          <w:sz w:val="24"/>
          <w:szCs w:val="24"/>
        </w:rPr>
        <w:t>. A third option is the National External Diploma Program (NEDP), a competency-based, applied performance assessment system leading to an Adult High School Diploma. Specific requirements for Board-approved adult high school diploma options can be found on the</w:t>
      </w:r>
      <w:hyperlink r:id="rId160">
        <w:r w:rsidRPr="00B131CA">
          <w:rPr>
            <w:rFonts w:ascii="Times New Roman" w:eastAsia="Times New Roman" w:hAnsi="Times New Roman" w:cs="Times New Roman"/>
            <w:color w:val="CC4125"/>
            <w:sz w:val="24"/>
            <w:szCs w:val="24"/>
          </w:rPr>
          <w:t xml:space="preserve"> </w:t>
        </w:r>
      </w:hyperlink>
      <w:hyperlink r:id="rId161">
        <w:r w:rsidRPr="00233A9A">
          <w:rPr>
            <w:rFonts w:ascii="Times New Roman" w:eastAsia="Times New Roman" w:hAnsi="Times New Roman" w:cs="Times New Roman"/>
            <w:color w:val="0000FF"/>
            <w:sz w:val="24"/>
            <w:szCs w:val="24"/>
            <w:u w:val="single"/>
          </w:rPr>
          <w:t>Adult Secondary Completion Options</w:t>
        </w:r>
      </w:hyperlink>
      <w:r w:rsidRPr="00B131CA">
        <w:rPr>
          <w:rFonts w:ascii="Times New Roman" w:eastAsia="Times New Roman" w:hAnsi="Times New Roman" w:cs="Times New Roman"/>
          <w:color w:val="CC4125"/>
          <w:sz w:val="24"/>
          <w:szCs w:val="24"/>
        </w:rPr>
        <w:t xml:space="preserve"> </w:t>
      </w:r>
      <w:r w:rsidRPr="00B131CA">
        <w:rPr>
          <w:rFonts w:ascii="Times New Roman" w:eastAsia="Times New Roman" w:hAnsi="Times New Roman" w:cs="Times New Roman"/>
          <w:sz w:val="24"/>
          <w:szCs w:val="24"/>
        </w:rPr>
        <w:t>page.</w:t>
      </w:r>
    </w:p>
    <w:p w14:paraId="00000370"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Adult Secondary Education (ASE)</w:t>
      </w:r>
      <w:r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i/>
          <w:sz w:val="24"/>
          <w:szCs w:val="24"/>
        </w:rPr>
        <w:t>—</w:t>
      </w:r>
      <w:r w:rsidRPr="00B131CA">
        <w:rPr>
          <w:rFonts w:ascii="Times New Roman" w:eastAsia="Times New Roman" w:hAnsi="Times New Roman" w:cs="Times New Roman"/>
          <w:sz w:val="24"/>
          <w:szCs w:val="24"/>
        </w:rPr>
        <w:t xml:space="preserve"> A program of academic instruction and education services at the secondary level that increases an individual's ability to read, write, and perform mathematics necessary to attain a secondary school diploma or its recognized equivalent, transition to postsecondary education or training, and obtain employment. </w:t>
      </w:r>
    </w:p>
    <w:p w14:paraId="00000371" w14:textId="67E23D57" w:rsidR="002F3C8D" w:rsidRPr="00B131CA" w:rsidRDefault="00BF5CDA">
      <w:pPr>
        <w:spacing w:after="12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 </w:t>
      </w:r>
      <w:r w:rsidRPr="00932B32">
        <w:rPr>
          <w:rFonts w:ascii="Times New Roman" w:hAnsi="Times New Roman"/>
          <w:i/>
          <w:sz w:val="24"/>
        </w:rPr>
        <w:t xml:space="preserve">Adult Student Profile Document (ASPD) </w:t>
      </w:r>
      <w:r w:rsidRPr="00B131CA">
        <w:rPr>
          <w:rFonts w:ascii="Times New Roman" w:eastAsia="Times New Roman" w:hAnsi="Times New Roman" w:cs="Times New Roman"/>
          <w:sz w:val="24"/>
          <w:szCs w:val="24"/>
        </w:rPr>
        <w:t xml:space="preserve">— The state-approved intake form </w:t>
      </w:r>
      <w:r w:rsidR="00693532">
        <w:rPr>
          <w:rFonts w:ascii="Times New Roman" w:eastAsia="Times New Roman" w:hAnsi="Times New Roman" w:cs="Times New Roman"/>
          <w:sz w:val="24"/>
          <w:szCs w:val="24"/>
        </w:rPr>
        <w:t xml:space="preserve">that corresponds to the Virginia Student Portal </w:t>
      </w:r>
      <w:r w:rsidRPr="00B131CA">
        <w:rPr>
          <w:rFonts w:ascii="Times New Roman" w:eastAsia="Times New Roman" w:hAnsi="Times New Roman" w:cs="Times New Roman"/>
          <w:sz w:val="24"/>
          <w:szCs w:val="24"/>
        </w:rPr>
        <w:t>for adult education</w:t>
      </w:r>
      <w:r w:rsidR="00693532">
        <w:rPr>
          <w:rFonts w:ascii="Times New Roman" w:eastAsia="Times New Roman" w:hAnsi="Times New Roman" w:cs="Times New Roman"/>
          <w:sz w:val="24"/>
          <w:szCs w:val="24"/>
        </w:rPr>
        <w:t xml:space="preserve"> student intake; all providers</w:t>
      </w:r>
      <w:r w:rsidRPr="00B131CA">
        <w:rPr>
          <w:rFonts w:ascii="Times New Roman" w:eastAsia="Times New Roman" w:hAnsi="Times New Roman" w:cs="Times New Roman"/>
          <w:sz w:val="24"/>
          <w:szCs w:val="24"/>
        </w:rPr>
        <w:t xml:space="preserve"> funded under title II</w:t>
      </w:r>
      <w:r w:rsidR="00693532">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must use</w:t>
      </w:r>
      <w:r w:rsidR="00693532">
        <w:rPr>
          <w:rFonts w:ascii="Times New Roman" w:eastAsia="Times New Roman" w:hAnsi="Times New Roman" w:cs="Times New Roman"/>
          <w:sz w:val="24"/>
          <w:szCs w:val="24"/>
        </w:rPr>
        <w:t xml:space="preserve"> either the Portal or the ASPD to create a student record in the LACES database</w:t>
      </w:r>
      <w:r w:rsidRPr="00B131CA">
        <w:rPr>
          <w:rFonts w:ascii="Times New Roman" w:eastAsia="Times New Roman" w:hAnsi="Times New Roman" w:cs="Times New Roman"/>
          <w:sz w:val="24"/>
          <w:szCs w:val="24"/>
        </w:rPr>
        <w:t xml:space="preserve">. </w:t>
      </w:r>
    </w:p>
    <w:p w14:paraId="00000372" w14:textId="40923695"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Barriers to Employment</w:t>
      </w:r>
      <w:r w:rsidRPr="00932B32">
        <w:rPr>
          <w:rFonts w:ascii="Times New Roman" w:hAnsi="Times New Roman"/>
          <w:i/>
          <w:color w:val="7030A0"/>
          <w:sz w:val="24"/>
        </w:rPr>
        <w:t xml:space="preserve"> </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A barrier to employment affects placement of the participant in unsubsidized employment and is disclosed by the participant at the time of program entry. </w:t>
      </w:r>
      <w:r w:rsidRPr="00B131CA">
        <w:rPr>
          <w:rFonts w:ascii="Times New Roman" w:eastAsia="Times New Roman" w:hAnsi="Times New Roman" w:cs="Times New Roman"/>
          <w:sz w:val="24"/>
          <w:szCs w:val="24"/>
        </w:rPr>
        <w:lastRenderedPageBreak/>
        <w:t xml:space="preserve">Participants may disclose more than one barrier to employment and identify them on the ASPD. Programs should report all barriers to employment categories disclosed by the participant and identified below. Each category has a definition listed in the </w:t>
      </w:r>
      <w:hyperlink r:id="rId162">
        <w:r w:rsidRPr="00B131CA">
          <w:rPr>
            <w:rFonts w:ascii="Times New Roman" w:eastAsia="Times New Roman" w:hAnsi="Times New Roman" w:cs="Times New Roman"/>
            <w:color w:val="0000FF"/>
            <w:sz w:val="24"/>
            <w:szCs w:val="24"/>
            <w:u w:val="single"/>
          </w:rPr>
          <w:t>Data Dictionary for Adult Education</w:t>
        </w:r>
      </w:hyperlink>
      <w:r w:rsidRPr="00B131CA">
        <w:rPr>
          <w:rFonts w:ascii="Times New Roman" w:eastAsia="Times New Roman" w:hAnsi="Times New Roman" w:cs="Times New Roman"/>
          <w:sz w:val="24"/>
          <w:szCs w:val="24"/>
        </w:rPr>
        <w:t>.</w:t>
      </w:r>
    </w:p>
    <w:p w14:paraId="00000373" w14:textId="544A6383" w:rsidR="002F3C8D" w:rsidRPr="00B131CA" w:rsidRDefault="00BF5CDA" w:rsidP="006519A6">
      <w:pPr>
        <w:tabs>
          <w:tab w:val="left" w:pos="1170"/>
        </w:tabs>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1.</w:t>
      </w:r>
      <w:r w:rsidRPr="00B131CA">
        <w:rPr>
          <w:rFonts w:ascii="Times New Roman" w:eastAsia="Times New Roman" w:hAnsi="Times New Roman" w:cs="Times New Roman"/>
          <w:sz w:val="24"/>
          <w:szCs w:val="24"/>
        </w:rPr>
        <w:tab/>
        <w:t>Displaced Homemaker</w:t>
      </w:r>
      <w:r w:rsidR="00123558">
        <w:rPr>
          <w:rFonts w:ascii="Times New Roman" w:eastAsia="Times New Roman" w:hAnsi="Times New Roman" w:cs="Times New Roman"/>
          <w:sz w:val="24"/>
          <w:szCs w:val="24"/>
        </w:rPr>
        <w:t>.</w:t>
      </w:r>
    </w:p>
    <w:p w14:paraId="00000374" w14:textId="60AB5AF7" w:rsidR="002F3C8D" w:rsidRPr="00B131CA" w:rsidRDefault="00BF5CDA" w:rsidP="006519A6">
      <w:pPr>
        <w:tabs>
          <w:tab w:val="left" w:pos="1170"/>
        </w:tabs>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2.</w:t>
      </w:r>
      <w:r w:rsidRPr="00B131CA">
        <w:rPr>
          <w:rFonts w:ascii="Times New Roman" w:eastAsia="Times New Roman" w:hAnsi="Times New Roman" w:cs="Times New Roman"/>
          <w:sz w:val="24"/>
          <w:szCs w:val="24"/>
        </w:rPr>
        <w:tab/>
        <w:t>English Language Learner, Low Literacy Level, Cultural Barriers</w:t>
      </w:r>
      <w:r w:rsidR="00123558">
        <w:rPr>
          <w:rFonts w:ascii="Times New Roman" w:eastAsia="Times New Roman" w:hAnsi="Times New Roman" w:cs="Times New Roman"/>
          <w:sz w:val="24"/>
          <w:szCs w:val="24"/>
        </w:rPr>
        <w:t>.</w:t>
      </w:r>
    </w:p>
    <w:p w14:paraId="00000375" w14:textId="66C5FE17" w:rsidR="002F3C8D" w:rsidRPr="00B131CA" w:rsidRDefault="00BF5CDA" w:rsidP="006519A6">
      <w:pPr>
        <w:tabs>
          <w:tab w:val="left" w:pos="1170"/>
        </w:tabs>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3.</w:t>
      </w:r>
      <w:r w:rsidRPr="00B131CA">
        <w:rPr>
          <w:rFonts w:ascii="Times New Roman" w:eastAsia="Times New Roman" w:hAnsi="Times New Roman" w:cs="Times New Roman"/>
          <w:sz w:val="24"/>
          <w:szCs w:val="24"/>
        </w:rPr>
        <w:tab/>
        <w:t>Exhausting Temporary Assistance for Needy Families (TANF) within Two Years</w:t>
      </w:r>
      <w:r w:rsidR="00123558">
        <w:rPr>
          <w:rFonts w:ascii="Times New Roman" w:eastAsia="Times New Roman" w:hAnsi="Times New Roman" w:cs="Times New Roman"/>
          <w:sz w:val="24"/>
          <w:szCs w:val="24"/>
        </w:rPr>
        <w:t>.</w:t>
      </w:r>
    </w:p>
    <w:p w14:paraId="00000376" w14:textId="7477D4B7" w:rsidR="002F3C8D" w:rsidRPr="00B131CA" w:rsidRDefault="00BF5CDA" w:rsidP="006519A6">
      <w:pPr>
        <w:tabs>
          <w:tab w:val="left" w:pos="1170"/>
        </w:tabs>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4.</w:t>
      </w:r>
      <w:r w:rsidRPr="00B131CA">
        <w:rPr>
          <w:rFonts w:ascii="Times New Roman" w:eastAsia="Times New Roman" w:hAnsi="Times New Roman" w:cs="Times New Roman"/>
          <w:sz w:val="24"/>
          <w:szCs w:val="24"/>
        </w:rPr>
        <w:tab/>
        <w:t>Ex-Offender</w:t>
      </w:r>
      <w:r w:rsidR="00123558">
        <w:rPr>
          <w:rFonts w:ascii="Times New Roman" w:eastAsia="Times New Roman" w:hAnsi="Times New Roman" w:cs="Times New Roman"/>
          <w:sz w:val="24"/>
          <w:szCs w:val="24"/>
        </w:rPr>
        <w:t>.</w:t>
      </w:r>
    </w:p>
    <w:p w14:paraId="00000377" w14:textId="2ACA79BF" w:rsidR="002F3C8D" w:rsidRPr="00B131CA" w:rsidRDefault="00BF5CDA" w:rsidP="006519A6">
      <w:pPr>
        <w:tabs>
          <w:tab w:val="left" w:pos="1170"/>
        </w:tabs>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5.</w:t>
      </w:r>
      <w:r w:rsidRPr="00B131CA">
        <w:rPr>
          <w:rFonts w:ascii="Times New Roman" w:eastAsia="Times New Roman" w:hAnsi="Times New Roman" w:cs="Times New Roman"/>
          <w:sz w:val="24"/>
          <w:szCs w:val="24"/>
        </w:rPr>
        <w:tab/>
        <w:t>Homeless</w:t>
      </w:r>
      <w:r w:rsidR="00123558">
        <w:rPr>
          <w:rFonts w:ascii="Times New Roman" w:eastAsia="Times New Roman" w:hAnsi="Times New Roman" w:cs="Times New Roman"/>
          <w:sz w:val="24"/>
          <w:szCs w:val="24"/>
        </w:rPr>
        <w:t>.</w:t>
      </w:r>
    </w:p>
    <w:p w14:paraId="00000378" w14:textId="19E27DB0" w:rsidR="002F3C8D" w:rsidRPr="00B131CA" w:rsidRDefault="00BF5CDA" w:rsidP="006519A6">
      <w:pPr>
        <w:tabs>
          <w:tab w:val="left" w:pos="1170"/>
        </w:tabs>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6.</w:t>
      </w:r>
      <w:r w:rsidRPr="00B131CA">
        <w:rPr>
          <w:rFonts w:ascii="Times New Roman" w:eastAsia="Times New Roman" w:hAnsi="Times New Roman" w:cs="Times New Roman"/>
          <w:sz w:val="24"/>
          <w:szCs w:val="24"/>
        </w:rPr>
        <w:tab/>
        <w:t>Long-Term Unemployed</w:t>
      </w:r>
      <w:r w:rsidR="00123558">
        <w:rPr>
          <w:rFonts w:ascii="Times New Roman" w:eastAsia="Times New Roman" w:hAnsi="Times New Roman" w:cs="Times New Roman"/>
          <w:sz w:val="24"/>
          <w:szCs w:val="24"/>
        </w:rPr>
        <w:t>.</w:t>
      </w:r>
    </w:p>
    <w:p w14:paraId="00000379" w14:textId="038B323D" w:rsidR="002F3C8D" w:rsidRPr="00B131CA" w:rsidRDefault="00BF5CDA" w:rsidP="006519A6">
      <w:pPr>
        <w:tabs>
          <w:tab w:val="left" w:pos="1170"/>
        </w:tabs>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7.</w:t>
      </w:r>
      <w:r w:rsidRPr="00B131CA">
        <w:rPr>
          <w:rFonts w:ascii="Times New Roman" w:eastAsia="Times New Roman" w:hAnsi="Times New Roman" w:cs="Times New Roman"/>
          <w:sz w:val="24"/>
          <w:szCs w:val="24"/>
        </w:rPr>
        <w:tab/>
        <w:t>Low-Income</w:t>
      </w:r>
      <w:r w:rsidR="00123558">
        <w:rPr>
          <w:rFonts w:ascii="Times New Roman" w:eastAsia="Times New Roman" w:hAnsi="Times New Roman" w:cs="Times New Roman"/>
          <w:sz w:val="24"/>
          <w:szCs w:val="24"/>
        </w:rPr>
        <w:t>.</w:t>
      </w:r>
    </w:p>
    <w:p w14:paraId="0000037A" w14:textId="39731C5E" w:rsidR="002F3C8D" w:rsidRPr="00B131CA" w:rsidRDefault="00BF5CDA" w:rsidP="006519A6">
      <w:pPr>
        <w:tabs>
          <w:tab w:val="left" w:pos="1170"/>
        </w:tabs>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8.</w:t>
      </w:r>
      <w:r w:rsidRPr="00B131CA">
        <w:rPr>
          <w:rFonts w:ascii="Times New Roman" w:eastAsia="Times New Roman" w:hAnsi="Times New Roman" w:cs="Times New Roman"/>
          <w:sz w:val="24"/>
          <w:szCs w:val="24"/>
        </w:rPr>
        <w:tab/>
        <w:t>Migrant or Seasonal Farmworker</w:t>
      </w:r>
      <w:r w:rsidR="00123558">
        <w:rPr>
          <w:rFonts w:ascii="Times New Roman" w:eastAsia="Times New Roman" w:hAnsi="Times New Roman" w:cs="Times New Roman"/>
          <w:sz w:val="24"/>
          <w:szCs w:val="24"/>
        </w:rPr>
        <w:t>.</w:t>
      </w:r>
    </w:p>
    <w:p w14:paraId="0000037B" w14:textId="1C4818BD" w:rsidR="002F3C8D" w:rsidRPr="00B131CA" w:rsidRDefault="00BF5CDA" w:rsidP="006519A6">
      <w:pPr>
        <w:tabs>
          <w:tab w:val="left" w:pos="1170"/>
        </w:tabs>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9.</w:t>
      </w:r>
      <w:r w:rsidRPr="00B131CA">
        <w:rPr>
          <w:rFonts w:ascii="Times New Roman" w:eastAsia="Times New Roman" w:hAnsi="Times New Roman" w:cs="Times New Roman"/>
          <w:sz w:val="24"/>
          <w:szCs w:val="24"/>
        </w:rPr>
        <w:tab/>
        <w:t>Individual with Disabilities</w:t>
      </w:r>
      <w:r w:rsidR="00123558">
        <w:rPr>
          <w:rFonts w:ascii="Times New Roman" w:eastAsia="Times New Roman" w:hAnsi="Times New Roman" w:cs="Times New Roman"/>
          <w:sz w:val="24"/>
          <w:szCs w:val="24"/>
        </w:rPr>
        <w:t>.</w:t>
      </w:r>
    </w:p>
    <w:p w14:paraId="0000037C" w14:textId="49F87A5F" w:rsidR="002F3C8D" w:rsidRPr="00B131CA" w:rsidRDefault="00BF5CDA" w:rsidP="006519A6">
      <w:pPr>
        <w:tabs>
          <w:tab w:val="left" w:pos="1170"/>
        </w:tabs>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10.</w:t>
      </w:r>
      <w:r w:rsidRPr="00B131CA">
        <w:rPr>
          <w:rFonts w:ascii="Times New Roman" w:eastAsia="Times New Roman" w:hAnsi="Times New Roman" w:cs="Times New Roman"/>
          <w:sz w:val="24"/>
          <w:szCs w:val="24"/>
        </w:rPr>
        <w:tab/>
        <w:t>Single Parent</w:t>
      </w:r>
      <w:r w:rsidR="00123558">
        <w:rPr>
          <w:rFonts w:ascii="Times New Roman" w:eastAsia="Times New Roman" w:hAnsi="Times New Roman" w:cs="Times New Roman"/>
          <w:sz w:val="24"/>
          <w:szCs w:val="24"/>
        </w:rPr>
        <w:t>.</w:t>
      </w:r>
    </w:p>
    <w:p w14:paraId="0000037D" w14:textId="31B78910" w:rsidR="002F3C8D" w:rsidRPr="00B131CA" w:rsidRDefault="00BF5CDA" w:rsidP="006519A6">
      <w:pPr>
        <w:tabs>
          <w:tab w:val="left" w:pos="1170"/>
        </w:tabs>
        <w:spacing w:after="12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11.</w:t>
      </w:r>
      <w:r w:rsidRPr="00B131CA">
        <w:rPr>
          <w:rFonts w:ascii="Times New Roman" w:eastAsia="Times New Roman" w:hAnsi="Times New Roman" w:cs="Times New Roman"/>
          <w:sz w:val="24"/>
          <w:szCs w:val="24"/>
        </w:rPr>
        <w:tab/>
        <w:t>Youth In or Has Aged Out of Foster Care</w:t>
      </w:r>
      <w:r w:rsidR="00123558">
        <w:rPr>
          <w:rFonts w:ascii="Times New Roman" w:eastAsia="Times New Roman" w:hAnsi="Times New Roman" w:cs="Times New Roman"/>
          <w:sz w:val="24"/>
          <w:szCs w:val="24"/>
        </w:rPr>
        <w:t>.</w:t>
      </w:r>
    </w:p>
    <w:p w14:paraId="0000037E"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Basic Skills Deficient</w:t>
      </w:r>
      <w:r w:rsidRPr="00B131CA">
        <w:rPr>
          <w:rFonts w:ascii="Times New Roman" w:eastAsia="Times New Roman" w:hAnsi="Times New Roman" w:cs="Times New Roman"/>
          <w:sz w:val="24"/>
          <w:szCs w:val="24"/>
        </w:rPr>
        <w:t xml:space="preserve"> — An individual who: </w:t>
      </w:r>
    </w:p>
    <w:p w14:paraId="0000037F" w14:textId="77777777" w:rsidR="002F3C8D" w:rsidRPr="00B131CA" w:rsidRDefault="00BF5CDA" w:rsidP="00022694">
      <w:pPr>
        <w:numPr>
          <w:ilvl w:val="0"/>
          <w:numId w:val="33"/>
        </w:num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is a youth whose English reading, writing, or computing skills are at or below the eighth-grade level on a generally accepted standardized test; or</w:t>
      </w:r>
    </w:p>
    <w:p w14:paraId="00000380" w14:textId="77777777" w:rsidR="002F3C8D" w:rsidRPr="00B131CA" w:rsidRDefault="00BF5CDA" w:rsidP="00022694">
      <w:pPr>
        <w:numPr>
          <w:ilvl w:val="0"/>
          <w:numId w:val="33"/>
        </w:numPr>
        <w:spacing w:after="12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is a youth or adult who is unable to compute or solve problems, or read, write, or speak English at a level necessary to function on the job, in the individual’s family, or in society.</w:t>
      </w:r>
    </w:p>
    <w:p w14:paraId="00000381" w14:textId="2EC45FC6"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Blended learning</w:t>
      </w:r>
      <w:r w:rsidRPr="00932B32">
        <w:rPr>
          <w:rFonts w:ascii="Times New Roman" w:hAnsi="Times New Roman"/>
          <w:sz w:val="24"/>
        </w:rPr>
        <w:t xml:space="preserve"> </w:t>
      </w:r>
      <w:r w:rsidRPr="00B131CA">
        <w:rPr>
          <w:rFonts w:ascii="Times New Roman" w:eastAsia="Times New Roman" w:hAnsi="Times New Roman" w:cs="Times New Roman"/>
          <w:sz w:val="24"/>
          <w:szCs w:val="24"/>
        </w:rPr>
        <w:t>— Blended learning refers to</w:t>
      </w:r>
      <w:r w:rsidR="001807B9">
        <w:rPr>
          <w:rFonts w:ascii="Times New Roman" w:eastAsia="Times New Roman" w:hAnsi="Times New Roman" w:cs="Times New Roman"/>
          <w:sz w:val="24"/>
          <w:szCs w:val="24"/>
        </w:rPr>
        <w:t xml:space="preserve"> a model in which instructors consider</w:t>
      </w:r>
      <w:r w:rsidRPr="00B131CA">
        <w:rPr>
          <w:rFonts w:ascii="Times New Roman" w:eastAsia="Times New Roman" w:hAnsi="Times New Roman" w:cs="Times New Roman"/>
          <w:sz w:val="24"/>
          <w:szCs w:val="24"/>
        </w:rPr>
        <w:t xml:space="preserve"> both in-class and online</w:t>
      </w:r>
      <w:r w:rsidR="001807B9">
        <w:rPr>
          <w:rFonts w:ascii="Times New Roman" w:eastAsia="Times New Roman" w:hAnsi="Times New Roman" w:cs="Times New Roman"/>
          <w:sz w:val="24"/>
          <w:szCs w:val="24"/>
        </w:rPr>
        <w:t>, or synchronous and asynchronous,</w:t>
      </w:r>
      <w:r w:rsidRPr="00B131CA">
        <w:rPr>
          <w:rFonts w:ascii="Times New Roman" w:eastAsia="Times New Roman" w:hAnsi="Times New Roman" w:cs="Times New Roman"/>
          <w:sz w:val="24"/>
          <w:szCs w:val="24"/>
        </w:rPr>
        <w:t xml:space="preserve"> instruction as part of a collective whole, </w:t>
      </w:r>
      <w:proofErr w:type="gramStart"/>
      <w:r w:rsidRPr="00B131CA">
        <w:rPr>
          <w:rFonts w:ascii="Times New Roman" w:eastAsia="Times New Roman" w:hAnsi="Times New Roman" w:cs="Times New Roman"/>
          <w:sz w:val="24"/>
          <w:szCs w:val="24"/>
        </w:rPr>
        <w:t>making adjustments to</w:t>
      </w:r>
      <w:proofErr w:type="gramEnd"/>
      <w:r w:rsidRPr="00B131CA">
        <w:rPr>
          <w:rFonts w:ascii="Times New Roman" w:eastAsia="Times New Roman" w:hAnsi="Times New Roman" w:cs="Times New Roman"/>
          <w:sz w:val="24"/>
          <w:szCs w:val="24"/>
        </w:rPr>
        <w:t xml:space="preserve"> </w:t>
      </w:r>
      <w:r w:rsidR="001807B9">
        <w:rPr>
          <w:rFonts w:ascii="Times New Roman" w:eastAsia="Times New Roman" w:hAnsi="Times New Roman" w:cs="Times New Roman"/>
          <w:sz w:val="24"/>
          <w:szCs w:val="24"/>
        </w:rPr>
        <w:t>synchronous</w:t>
      </w:r>
      <w:r w:rsidRPr="00B131CA">
        <w:rPr>
          <w:rFonts w:ascii="Times New Roman" w:eastAsia="Times New Roman" w:hAnsi="Times New Roman" w:cs="Times New Roman"/>
          <w:sz w:val="24"/>
          <w:szCs w:val="24"/>
        </w:rPr>
        <w:t xml:space="preserve"> teaching based on what the instructors see as they monitor student</w:t>
      </w:r>
      <w:r w:rsidR="008E6D01">
        <w:rPr>
          <w:rFonts w:ascii="Times New Roman" w:eastAsia="Times New Roman" w:hAnsi="Times New Roman" w:cs="Times New Roman"/>
          <w:sz w:val="24"/>
          <w:szCs w:val="24"/>
        </w:rPr>
        <w:t>’s asynchronous</w:t>
      </w:r>
      <w:r w:rsidRPr="00B131CA">
        <w:rPr>
          <w:rFonts w:ascii="Times New Roman" w:eastAsia="Times New Roman" w:hAnsi="Times New Roman" w:cs="Times New Roman"/>
          <w:sz w:val="24"/>
          <w:szCs w:val="24"/>
        </w:rPr>
        <w:t xml:space="preserve"> </w:t>
      </w:r>
      <w:r w:rsidR="008E6D01">
        <w:rPr>
          <w:rFonts w:ascii="Times New Roman" w:eastAsia="Times New Roman" w:hAnsi="Times New Roman" w:cs="Times New Roman"/>
          <w:sz w:val="24"/>
          <w:szCs w:val="24"/>
        </w:rPr>
        <w:t xml:space="preserve">online </w:t>
      </w:r>
      <w:r w:rsidRPr="00B131CA">
        <w:rPr>
          <w:rFonts w:ascii="Times New Roman" w:eastAsia="Times New Roman" w:hAnsi="Times New Roman" w:cs="Times New Roman"/>
          <w:sz w:val="24"/>
          <w:szCs w:val="24"/>
        </w:rPr>
        <w:t>work and alter online assignments based on what they observe in class.</w:t>
      </w:r>
      <w:r w:rsidR="001807B9">
        <w:rPr>
          <w:rFonts w:ascii="Times New Roman" w:eastAsia="Times New Roman" w:hAnsi="Times New Roman" w:cs="Times New Roman"/>
          <w:sz w:val="24"/>
          <w:szCs w:val="24"/>
        </w:rPr>
        <w:t xml:space="preserve"> In blended learning, t</w:t>
      </w:r>
      <w:r w:rsidR="001807B9" w:rsidRPr="001807B9">
        <w:rPr>
          <w:rFonts w:ascii="Times New Roman" w:eastAsia="Times New Roman" w:hAnsi="Times New Roman" w:cs="Times New Roman"/>
          <w:sz w:val="24"/>
          <w:szCs w:val="24"/>
        </w:rPr>
        <w:t>he content is tightly aligned across the in-person and online, or synchronous and asynchronous, instruction such that each component is critical to the experience.</w:t>
      </w:r>
    </w:p>
    <w:p w14:paraId="06A64F84" w14:textId="0F00F579" w:rsidR="000F66B0" w:rsidRDefault="000F66B0" w:rsidP="00932B32">
      <w:pPr>
        <w:spacing w:line="240" w:lineRule="auto"/>
        <w:rPr>
          <w:rFonts w:ascii="Times New Roman" w:hAnsi="Times New Roman"/>
          <w:i/>
          <w:sz w:val="24"/>
        </w:rPr>
      </w:pPr>
      <w:r>
        <w:rPr>
          <w:rFonts w:ascii="Times New Roman" w:hAnsi="Times New Roman"/>
          <w:i/>
          <w:sz w:val="24"/>
        </w:rPr>
        <w:t xml:space="preserve">Career Coach </w:t>
      </w:r>
      <w:r w:rsidRPr="000F66B0">
        <w:rPr>
          <w:rFonts w:ascii="Times New Roman" w:hAnsi="Times New Roman"/>
          <w:sz w:val="24"/>
        </w:rPr>
        <w:t xml:space="preserve">– A person who guides another in planning and managing their career and developing an array of options related to career goals (from the </w:t>
      </w:r>
      <w:r w:rsidRPr="00475864">
        <w:rPr>
          <w:rFonts w:ascii="Times New Roman" w:hAnsi="Times New Roman"/>
          <w:i/>
          <w:sz w:val="24"/>
        </w:rPr>
        <w:t>Facilitating Career Development Student Manual</w:t>
      </w:r>
      <w:r w:rsidRPr="000F66B0">
        <w:rPr>
          <w:rFonts w:ascii="Times New Roman" w:hAnsi="Times New Roman"/>
          <w:sz w:val="24"/>
        </w:rPr>
        <w:t>). A career coach working in an adult education or other workforce development service agency may be responsible for working with students to develop individual career and education plans, secure college or training program admissions and financial aid</w:t>
      </w:r>
      <w:r w:rsidR="00D85F84">
        <w:rPr>
          <w:rFonts w:ascii="Times New Roman" w:hAnsi="Times New Roman"/>
          <w:sz w:val="24"/>
        </w:rPr>
        <w:t>,</w:t>
      </w:r>
      <w:r w:rsidRPr="000F66B0">
        <w:rPr>
          <w:rFonts w:ascii="Times New Roman" w:hAnsi="Times New Roman"/>
          <w:sz w:val="24"/>
        </w:rPr>
        <w:t xml:space="preserve"> and acquire needed support services through human services agencies and community-based organizations. This position may also be known as a Career Navigator. </w:t>
      </w:r>
    </w:p>
    <w:p w14:paraId="00000382" w14:textId="086ADCD3" w:rsidR="002F3C8D" w:rsidRPr="00B131CA" w:rsidRDefault="00BF5CDA" w:rsidP="00932B32">
      <w:pPr>
        <w:spacing w:line="240" w:lineRule="auto"/>
        <w:rPr>
          <w:rFonts w:ascii="Times New Roman" w:eastAsia="Times New Roman" w:hAnsi="Times New Roman" w:cs="Times New Roman"/>
          <w:sz w:val="24"/>
          <w:szCs w:val="24"/>
        </w:rPr>
      </w:pPr>
      <w:r w:rsidRPr="00932B32">
        <w:rPr>
          <w:rFonts w:ascii="Times New Roman" w:hAnsi="Times New Roman"/>
          <w:i/>
          <w:sz w:val="24"/>
        </w:rPr>
        <w:t>Career Pathway</w:t>
      </w:r>
      <w:r w:rsidRPr="00B131CA">
        <w:rPr>
          <w:rFonts w:ascii="Times New Roman" w:eastAsia="Times New Roman" w:hAnsi="Times New Roman" w:cs="Times New Roman"/>
          <w:i/>
          <w:sz w:val="24"/>
          <w:szCs w:val="24"/>
        </w:rPr>
        <w:t xml:space="preserve"> —</w:t>
      </w:r>
      <w:r w:rsidRPr="00932B32">
        <w:rPr>
          <w:rFonts w:ascii="Times New Roman" w:hAnsi="Times New Roman"/>
          <w:i/>
          <w:sz w:val="24"/>
        </w:rPr>
        <w:t xml:space="preserve"> </w:t>
      </w:r>
      <w:r w:rsidRPr="00B131CA">
        <w:rPr>
          <w:rFonts w:ascii="Times New Roman" w:eastAsia="Times New Roman" w:hAnsi="Times New Roman" w:cs="Times New Roman"/>
          <w:sz w:val="24"/>
          <w:szCs w:val="24"/>
        </w:rPr>
        <w:t xml:space="preserve">A combination of rigorous and high-quality education, training, and other services that: </w:t>
      </w:r>
    </w:p>
    <w:p w14:paraId="00000383" w14:textId="77777777" w:rsidR="002F3C8D" w:rsidRPr="00B131CA" w:rsidRDefault="00BF5CDA" w:rsidP="00F057C2">
      <w:pPr>
        <w:numPr>
          <w:ilvl w:val="0"/>
          <w:numId w:val="18"/>
        </w:numPr>
        <w:spacing w:after="0" w:line="240" w:lineRule="auto"/>
        <w:contextualSpacing/>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aligns with the skill needs of industries in the local, regional, or state </w:t>
      </w:r>
      <w:proofErr w:type="gramStart"/>
      <w:r w:rsidRPr="00B131CA">
        <w:rPr>
          <w:rFonts w:ascii="Times New Roman" w:eastAsia="Times New Roman" w:hAnsi="Times New Roman" w:cs="Times New Roman"/>
          <w:sz w:val="24"/>
          <w:szCs w:val="24"/>
        </w:rPr>
        <w:t>economy;</w:t>
      </w:r>
      <w:proofErr w:type="gramEnd"/>
    </w:p>
    <w:p w14:paraId="00000384" w14:textId="77777777" w:rsidR="002F3C8D" w:rsidRPr="00B131CA" w:rsidRDefault="00BF5CDA" w:rsidP="00F057C2">
      <w:pPr>
        <w:numPr>
          <w:ilvl w:val="0"/>
          <w:numId w:val="18"/>
        </w:numPr>
        <w:spacing w:before="240" w:after="0" w:line="240" w:lineRule="auto"/>
        <w:contextualSpacing/>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prepares an individual to be successful in any of a full range of secondary or postsecondary education options, including apprenticeships registered under the National Apprenticeship Act (29 U.S.C. 50 et seq.</w:t>
      </w:r>
      <w:proofErr w:type="gramStart"/>
      <w:r w:rsidRPr="00B131CA">
        <w:rPr>
          <w:rFonts w:ascii="Times New Roman" w:eastAsia="Times New Roman" w:hAnsi="Times New Roman" w:cs="Times New Roman"/>
          <w:sz w:val="24"/>
          <w:szCs w:val="24"/>
        </w:rPr>
        <w:t>);</w:t>
      </w:r>
      <w:proofErr w:type="gramEnd"/>
    </w:p>
    <w:p w14:paraId="00000385" w14:textId="77777777" w:rsidR="002F3C8D" w:rsidRPr="00B131CA" w:rsidRDefault="00BF5CDA" w:rsidP="00F057C2">
      <w:pPr>
        <w:numPr>
          <w:ilvl w:val="0"/>
          <w:numId w:val="18"/>
        </w:numPr>
        <w:spacing w:before="240" w:after="0" w:line="240" w:lineRule="auto"/>
        <w:contextualSpacing/>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includes counseling to support an individual in achieving the individual’s education and career </w:t>
      </w:r>
      <w:proofErr w:type="gramStart"/>
      <w:r w:rsidRPr="00B131CA">
        <w:rPr>
          <w:rFonts w:ascii="Times New Roman" w:eastAsia="Times New Roman" w:hAnsi="Times New Roman" w:cs="Times New Roman"/>
          <w:sz w:val="24"/>
          <w:szCs w:val="24"/>
        </w:rPr>
        <w:t>goals;</w:t>
      </w:r>
      <w:proofErr w:type="gramEnd"/>
    </w:p>
    <w:p w14:paraId="00000386" w14:textId="77777777" w:rsidR="002F3C8D" w:rsidRPr="00B131CA" w:rsidRDefault="00BF5CDA" w:rsidP="00F057C2">
      <w:pPr>
        <w:numPr>
          <w:ilvl w:val="0"/>
          <w:numId w:val="18"/>
        </w:numPr>
        <w:spacing w:after="0" w:line="240" w:lineRule="auto"/>
        <w:contextualSpacing/>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lastRenderedPageBreak/>
        <w:t xml:space="preserve">includes, as appropriate, education offered concurrently with and in the same context as workforce preparation activities and training for a specific occupation or occupational </w:t>
      </w:r>
      <w:proofErr w:type="gramStart"/>
      <w:r w:rsidRPr="00B131CA">
        <w:rPr>
          <w:rFonts w:ascii="Times New Roman" w:eastAsia="Times New Roman" w:hAnsi="Times New Roman" w:cs="Times New Roman"/>
          <w:sz w:val="24"/>
          <w:szCs w:val="24"/>
        </w:rPr>
        <w:t>cluster;</w:t>
      </w:r>
      <w:proofErr w:type="gramEnd"/>
    </w:p>
    <w:p w14:paraId="00000387" w14:textId="77777777" w:rsidR="002F3C8D" w:rsidRPr="00B131CA" w:rsidRDefault="00BF5CDA" w:rsidP="00F057C2">
      <w:pPr>
        <w:numPr>
          <w:ilvl w:val="0"/>
          <w:numId w:val="18"/>
        </w:numPr>
        <w:spacing w:after="120" w:line="240" w:lineRule="auto"/>
        <w:contextualSpacing/>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organizes education, training, and other services to meet the particular needs of an individual in a manner that accelerates the educational and career advancement of the individual to the extent </w:t>
      </w:r>
      <w:proofErr w:type="gramStart"/>
      <w:r w:rsidRPr="00B131CA">
        <w:rPr>
          <w:rFonts w:ascii="Times New Roman" w:eastAsia="Times New Roman" w:hAnsi="Times New Roman" w:cs="Times New Roman"/>
          <w:sz w:val="24"/>
          <w:szCs w:val="24"/>
        </w:rPr>
        <w:t>practicable;</w:t>
      </w:r>
      <w:proofErr w:type="gramEnd"/>
    </w:p>
    <w:p w14:paraId="00000388" w14:textId="77777777" w:rsidR="002F3C8D" w:rsidRPr="00B131CA" w:rsidRDefault="00BF5CDA" w:rsidP="00F057C2">
      <w:pPr>
        <w:numPr>
          <w:ilvl w:val="0"/>
          <w:numId w:val="18"/>
        </w:numPr>
        <w:spacing w:after="120" w:line="240" w:lineRule="auto"/>
        <w:contextualSpacing/>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enables an individual to attain a secondary school diploma or its recognized equivalent, and at least one recognized postsecondary credential; and</w:t>
      </w:r>
    </w:p>
    <w:p w14:paraId="00000389" w14:textId="77777777" w:rsidR="002F3C8D" w:rsidRPr="00B131CA" w:rsidRDefault="00BF5CDA" w:rsidP="00F057C2">
      <w:pPr>
        <w:numPr>
          <w:ilvl w:val="0"/>
          <w:numId w:val="18"/>
        </w:numPr>
        <w:spacing w:line="240" w:lineRule="auto"/>
        <w:contextualSpacing/>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helps an individual enter or advance within a specific occupation or occupational cluster. </w:t>
      </w:r>
    </w:p>
    <w:p w14:paraId="2FE67281" w14:textId="77777777" w:rsidR="00072E20" w:rsidRDefault="00072E20" w:rsidP="00072E20">
      <w:pPr>
        <w:spacing w:before="120" w:after="0" w:line="240" w:lineRule="auto"/>
        <w:rPr>
          <w:rFonts w:ascii="Times New Roman" w:hAnsi="Times New Roman"/>
          <w:i/>
          <w:sz w:val="24"/>
        </w:rPr>
      </w:pPr>
    </w:p>
    <w:p w14:paraId="0000038B" w14:textId="1E0E913C" w:rsidR="002F3C8D" w:rsidRPr="00B131CA" w:rsidRDefault="00BF5CDA" w:rsidP="00072E20">
      <w:pPr>
        <w:spacing w:before="120"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Career Readiness Certificate (CRC) </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The Career Readiness Certificate is an assessment-based certificate issued at four levels:  Bronze, Silver, Gold, and Platinum. The level attained is based on scores earned on the WorkKeys competency tests in Applied Math, Workplace Documents, and Graphic Literacy to ascertain the employability skills of an individual. </w:t>
      </w:r>
    </w:p>
    <w:p w14:paraId="0000038C" w14:textId="2C5F2679"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Community-Based Literacy Organization (CBLO) </w:t>
      </w:r>
      <w:r w:rsidR="006A1920" w:rsidRPr="00B131CA">
        <w:rPr>
          <w:rFonts w:ascii="Times New Roman" w:eastAsia="Times New Roman" w:hAnsi="Times New Roman" w:cs="Times New Roman"/>
          <w:i/>
          <w:sz w:val="24"/>
          <w:szCs w:val="24"/>
        </w:rPr>
        <w:t>—</w:t>
      </w:r>
      <w:r w:rsidR="006A1920" w:rsidRPr="00932B32">
        <w:rPr>
          <w:rFonts w:ascii="Times New Roman" w:hAnsi="Times New Roman"/>
          <w:i/>
          <w:sz w:val="24"/>
        </w:rPr>
        <w:t xml:space="preserve"> </w:t>
      </w:r>
      <w:r w:rsidR="006A1920" w:rsidRPr="00B131CA">
        <w:rPr>
          <w:rFonts w:ascii="Times New Roman" w:eastAsia="Times New Roman" w:hAnsi="Times New Roman" w:cs="Times New Roman"/>
          <w:iCs/>
          <w:sz w:val="24"/>
          <w:szCs w:val="24"/>
        </w:rPr>
        <w:t>These</w:t>
      </w:r>
      <w:r w:rsidRPr="00B131CA">
        <w:rPr>
          <w:rFonts w:ascii="Times New Roman" w:eastAsia="Times New Roman" w:hAnsi="Times New Roman" w:cs="Times New Roman"/>
          <w:sz w:val="24"/>
          <w:szCs w:val="24"/>
        </w:rPr>
        <w:t xml:space="preserve"> local, private, not-for-profit</w:t>
      </w:r>
      <w:r w:rsidR="00693532">
        <w:rPr>
          <w:rFonts w:ascii="Times New Roman" w:eastAsia="Times New Roman" w:hAnsi="Times New Roman" w:cs="Times New Roman"/>
          <w:sz w:val="24"/>
          <w:szCs w:val="24"/>
        </w:rPr>
        <w:t xml:space="preserve">, or faith-based </w:t>
      </w:r>
      <w:r w:rsidRPr="00B131CA">
        <w:rPr>
          <w:rFonts w:ascii="Times New Roman" w:eastAsia="Times New Roman" w:hAnsi="Times New Roman" w:cs="Times New Roman"/>
          <w:sz w:val="24"/>
          <w:szCs w:val="24"/>
        </w:rPr>
        <w:t xml:space="preserve">organizations provide literacy instruction using volunteer tutors who often work one-on-one with learners. </w:t>
      </w:r>
    </w:p>
    <w:p w14:paraId="0000038D" w14:textId="42A4B59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Civics Education</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 </w:t>
      </w:r>
      <w:r w:rsidR="00F057C2">
        <w:rPr>
          <w:rFonts w:ascii="Times New Roman" w:eastAsia="Times New Roman" w:hAnsi="Times New Roman" w:cs="Times New Roman"/>
          <w:sz w:val="24"/>
          <w:szCs w:val="24"/>
        </w:rPr>
        <w:t xml:space="preserve">A </w:t>
      </w:r>
      <w:r w:rsidR="00F057C2" w:rsidRPr="00F057C2">
        <w:rPr>
          <w:rFonts w:ascii="Times New Roman" w:eastAsia="Times New Roman" w:hAnsi="Times New Roman" w:cs="Times New Roman"/>
          <w:sz w:val="24"/>
          <w:szCs w:val="24"/>
        </w:rPr>
        <w:t>key outcome of participation in adult education is that students are empowered to be more engaged in and informed about their roles as parents, employees, and community members. Civics education is a critical component of all levels and types of adult education, preparing students to engage in respectful dialogue, become knowledgeable about American history and civic structures, and understand the rights and responsibilities of citizenship and civic participation</w:t>
      </w:r>
      <w:r w:rsidRPr="00B131CA">
        <w:rPr>
          <w:rFonts w:ascii="Times New Roman" w:eastAsia="Times New Roman" w:hAnsi="Times New Roman" w:cs="Times New Roman"/>
          <w:sz w:val="24"/>
          <w:szCs w:val="24"/>
        </w:rPr>
        <w:t>.</w:t>
      </w:r>
    </w:p>
    <w:p w14:paraId="0000038E" w14:textId="037F007B" w:rsidR="002F3C8D" w:rsidRPr="00B131CA" w:rsidRDefault="00123558">
      <w:pPr>
        <w:spacing w:after="120" w:line="240" w:lineRule="auto"/>
        <w:rPr>
          <w:rFonts w:ascii="Times New Roman" w:eastAsia="Times New Roman" w:hAnsi="Times New Roman" w:cs="Times New Roman"/>
          <w:sz w:val="24"/>
          <w:szCs w:val="24"/>
        </w:rPr>
      </w:pPr>
      <w:r>
        <w:rPr>
          <w:rFonts w:ascii="Times New Roman" w:hAnsi="Times New Roman"/>
          <w:i/>
          <w:sz w:val="24"/>
        </w:rPr>
        <w:t>Co-E</w:t>
      </w:r>
      <w:r w:rsidR="00BF5CDA" w:rsidRPr="00932B32">
        <w:rPr>
          <w:rFonts w:ascii="Times New Roman" w:hAnsi="Times New Roman"/>
          <w:i/>
          <w:sz w:val="24"/>
        </w:rPr>
        <w:t>nrollment and Concurrent Enrollment</w:t>
      </w:r>
      <w:r w:rsidR="00BF5CDA" w:rsidRPr="00B131CA">
        <w:rPr>
          <w:rFonts w:ascii="Times New Roman" w:eastAsia="Times New Roman" w:hAnsi="Times New Roman" w:cs="Times New Roman"/>
          <w:sz w:val="24"/>
          <w:szCs w:val="24"/>
        </w:rPr>
        <w:t xml:space="preserve"> — Enrollment by an eligible individual in two or more of the six core programs administered under WIOA: the Adult, Dislocated Worker, and Youth programs (title I); Adult Education and Family Literacy Act programs (title II); Employment Service program (title III); and Vocational Rehabilitation program (title IV). Concurrent enrollment refers to an eligible individual’s participation or enrollment in multiple activities or programs that occur simultaneously, not sequentially, for the purpose of accelerating the attainment of educational and training outcomes.</w:t>
      </w:r>
    </w:p>
    <w:p w14:paraId="0000038F" w14:textId="4F6DEA62"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Combined State Plan </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Each state receiving WIOA funding must create a four-year unified or combined plan for core programs</w:t>
      </w:r>
      <w:r w:rsidR="00BB483B">
        <w:rPr>
          <w:rFonts w:ascii="Times New Roman" w:eastAsia="Times New Roman" w:hAnsi="Times New Roman" w:cs="Times New Roman"/>
          <w:sz w:val="24"/>
          <w:szCs w:val="24"/>
        </w:rPr>
        <w:t xml:space="preserve"> and other partners</w:t>
      </w:r>
      <w:r w:rsidRPr="00B131CA">
        <w:rPr>
          <w:rFonts w:ascii="Times New Roman" w:eastAsia="Times New Roman" w:hAnsi="Times New Roman" w:cs="Times New Roman"/>
          <w:sz w:val="24"/>
          <w:szCs w:val="24"/>
        </w:rPr>
        <w:t xml:space="preserve"> that outlines how services will be provided and expanded, particularly for eligible individuals </w:t>
      </w:r>
      <w:r w:rsidR="00BB483B">
        <w:rPr>
          <w:rFonts w:ascii="Times New Roman" w:eastAsia="Times New Roman" w:hAnsi="Times New Roman" w:cs="Times New Roman"/>
          <w:sz w:val="24"/>
          <w:szCs w:val="24"/>
        </w:rPr>
        <w:t>who face</w:t>
      </w:r>
      <w:r w:rsidRPr="00B131CA">
        <w:rPr>
          <w:rFonts w:ascii="Times New Roman" w:eastAsia="Times New Roman" w:hAnsi="Times New Roman" w:cs="Times New Roman"/>
          <w:sz w:val="24"/>
          <w:szCs w:val="24"/>
        </w:rPr>
        <w:t xml:space="preserve"> barriers to employment, and how the local workforce development board</w:t>
      </w:r>
      <w:r w:rsidR="00013874">
        <w:rPr>
          <w:rFonts w:ascii="Times New Roman" w:eastAsia="Times New Roman" w:hAnsi="Times New Roman" w:cs="Times New Roman"/>
          <w:sz w:val="24"/>
          <w:szCs w:val="24"/>
        </w:rPr>
        <w:t xml:space="preserve"> (LWDB)</w:t>
      </w:r>
      <w:r w:rsidRPr="00B131CA">
        <w:rPr>
          <w:rFonts w:ascii="Times New Roman" w:eastAsia="Times New Roman" w:hAnsi="Times New Roman" w:cs="Times New Roman"/>
          <w:sz w:val="24"/>
          <w:szCs w:val="24"/>
        </w:rPr>
        <w:t xml:space="preserve"> will facilitate co-enrollment of participants across core programs within a seamless workforce system.</w:t>
      </w:r>
    </w:p>
    <w:p w14:paraId="00000390" w14:textId="1A8AEBF1" w:rsidR="002F3C8D" w:rsidRPr="00B131CA" w:rsidRDefault="00BF5CDA">
      <w:pPr>
        <w:spacing w:after="120" w:line="240" w:lineRule="auto"/>
        <w:rPr>
          <w:rFonts w:ascii="Times New Roman" w:eastAsia="Times New Roman" w:hAnsi="Times New Roman" w:cs="Times New Roman"/>
          <w:color w:val="385623"/>
          <w:sz w:val="24"/>
          <w:szCs w:val="24"/>
        </w:rPr>
      </w:pPr>
      <w:r w:rsidRPr="00932B32">
        <w:rPr>
          <w:rFonts w:ascii="Times New Roman" w:hAnsi="Times New Roman"/>
          <w:i/>
          <w:sz w:val="24"/>
        </w:rPr>
        <w:t>Consortium</w:t>
      </w:r>
      <w:r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i/>
          <w:sz w:val="24"/>
          <w:szCs w:val="24"/>
        </w:rPr>
        <w:t>—</w:t>
      </w:r>
      <w:r w:rsidRPr="00B131CA">
        <w:rPr>
          <w:rFonts w:ascii="Times New Roman" w:eastAsia="Times New Roman" w:hAnsi="Times New Roman" w:cs="Times New Roman"/>
          <w:sz w:val="24"/>
          <w:szCs w:val="24"/>
        </w:rPr>
        <w:t xml:space="preserve"> A coalition of eligible providers that provide</w:t>
      </w:r>
      <w:r w:rsidR="004D7093">
        <w:rPr>
          <w:rFonts w:ascii="Times New Roman" w:eastAsia="Times New Roman" w:hAnsi="Times New Roman" w:cs="Times New Roman"/>
          <w:sz w:val="24"/>
          <w:szCs w:val="24"/>
        </w:rPr>
        <w:t>s</w:t>
      </w:r>
      <w:r w:rsidRPr="00B131CA">
        <w:rPr>
          <w:rFonts w:ascii="Times New Roman" w:eastAsia="Times New Roman" w:hAnsi="Times New Roman" w:cs="Times New Roman"/>
          <w:sz w:val="24"/>
          <w:szCs w:val="24"/>
        </w:rPr>
        <w:t xml:space="preserve"> adult education and literacy activities consistent with criteria identified und</w:t>
      </w:r>
      <w:r w:rsidR="005248CD">
        <w:rPr>
          <w:rFonts w:ascii="Times New Roman" w:eastAsia="Times New Roman" w:hAnsi="Times New Roman" w:cs="Times New Roman"/>
          <w:sz w:val="24"/>
          <w:szCs w:val="24"/>
        </w:rPr>
        <w:t>er AEFLA, t</w:t>
      </w:r>
      <w:r w:rsidRPr="00B131CA">
        <w:rPr>
          <w:rFonts w:ascii="Times New Roman" w:eastAsia="Times New Roman" w:hAnsi="Times New Roman" w:cs="Times New Roman"/>
          <w:sz w:val="24"/>
          <w:szCs w:val="24"/>
        </w:rPr>
        <w:t xml:space="preserve">itle II. A consortium applying for a grant must designate a fiscal agent. Included in the application must be a Memorandum of Agreement or Understanding (MOA or MOU) recognizing the fiscal agent and outlining the roles and responsibilities assumed by both the fiscal agent and the other eligible provider members of the consortium. Each member of the consortium must submit the required Demonstrated Effectiveness Tables as part of the application. </w:t>
      </w:r>
    </w:p>
    <w:p w14:paraId="00000391"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lastRenderedPageBreak/>
        <w:t>Correctional Institution</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Any prison; jail; reformatory; work farm; detention center; or halfway house, community-based rehabilitation center, or any other similar institution designed for the confinement or rehabilitation of criminal offenders.</w:t>
      </w:r>
    </w:p>
    <w:p w14:paraId="00000392"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Criminal Offende</w:t>
      </w:r>
      <w:r w:rsidRPr="00B131CA">
        <w:rPr>
          <w:rFonts w:ascii="Times New Roman" w:eastAsia="Times New Roman" w:hAnsi="Times New Roman" w:cs="Times New Roman"/>
          <w:i/>
          <w:sz w:val="24"/>
          <w:szCs w:val="24"/>
        </w:rPr>
        <w:t>r</w:t>
      </w:r>
      <w:r w:rsidRPr="00B131CA">
        <w:rPr>
          <w:rFonts w:ascii="Times New Roman" w:eastAsia="Times New Roman" w:hAnsi="Times New Roman" w:cs="Times New Roman"/>
          <w:sz w:val="24"/>
          <w:szCs w:val="24"/>
        </w:rPr>
        <w:t xml:space="preserve"> — Any individual who is charged with or convicted of any criminal offense.</w:t>
      </w:r>
    </w:p>
    <w:p w14:paraId="00000393"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Demonstrated Effectiveness</w:t>
      </w:r>
      <w:r w:rsidRPr="00B131CA">
        <w:rPr>
          <w:rFonts w:ascii="Times New Roman" w:eastAsia="Times New Roman" w:hAnsi="Times New Roman" w:cs="Times New Roman"/>
          <w:i/>
          <w:sz w:val="24"/>
          <w:szCs w:val="24"/>
        </w:rPr>
        <w:t xml:space="preserve"> — </w:t>
      </w:r>
      <w:r w:rsidRPr="00B131CA">
        <w:rPr>
          <w:rFonts w:ascii="Times New Roman" w:eastAsia="Times New Roman" w:hAnsi="Times New Roman" w:cs="Times New Roman"/>
          <w:sz w:val="24"/>
          <w:szCs w:val="24"/>
        </w:rPr>
        <w:t>An eligible provider must demonstrate effectiveness by providing performance data on its record of improving the skills of eligible individuals, particularly eligible individuals who have low levels of literacy, in the content domains of reading, writing, mathematics, English language acquisition, and other subject areas relevant to the services contained in the grant application package. An eligible provider must also provide information regarding its outcomes for participants related to employment, attainment of secondary school diploma or its recognized equivalent, and transition to postsecondary education and training. There are two ways in which an eligible provider may meet the requirements:</w:t>
      </w:r>
    </w:p>
    <w:p w14:paraId="00000394" w14:textId="77777777" w:rsidR="002F3C8D" w:rsidRPr="00B131CA" w:rsidRDefault="00BF5CDA" w:rsidP="006519A6">
      <w:pPr>
        <w:spacing w:after="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1.</w:t>
      </w:r>
      <w:r w:rsidRPr="00B131CA">
        <w:rPr>
          <w:rFonts w:ascii="Times New Roman" w:eastAsia="Times New Roman" w:hAnsi="Times New Roman" w:cs="Times New Roman"/>
          <w:sz w:val="24"/>
          <w:szCs w:val="24"/>
        </w:rPr>
        <w:tab/>
        <w:t>An eligible provider that has been funded under title II of WIOA must provide performance data required under section 116 to demonstrate past effectiveness.</w:t>
      </w:r>
    </w:p>
    <w:p w14:paraId="00000395" w14:textId="77777777" w:rsidR="002F3C8D" w:rsidRPr="00B131CA" w:rsidRDefault="00BF5CDA" w:rsidP="006519A6">
      <w:pPr>
        <w:spacing w:after="120" w:line="240" w:lineRule="auto"/>
        <w:ind w:left="720" w:hanging="36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2.</w:t>
      </w:r>
      <w:r w:rsidRPr="00B131CA">
        <w:rPr>
          <w:rFonts w:ascii="Times New Roman" w:eastAsia="Times New Roman" w:hAnsi="Times New Roman" w:cs="Times New Roman"/>
          <w:sz w:val="24"/>
          <w:szCs w:val="24"/>
        </w:rPr>
        <w:tab/>
        <w:t>An eligible provider that has not been previously funded under title II of the Act must provide performance data to demonstrate its past effectiveness in serving basic skills-deficient eligible individuals, including evidence of its success in achieving outcomes listed above.</w:t>
      </w:r>
    </w:p>
    <w:p w14:paraId="00000396" w14:textId="4CB42969" w:rsidR="002F3C8D" w:rsidRPr="00B131CA" w:rsidRDefault="00BF5CDA">
      <w:pPr>
        <w:spacing w:after="12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Only applications </w:t>
      </w:r>
      <w:r w:rsidR="004D7093">
        <w:rPr>
          <w:rFonts w:ascii="Times New Roman" w:eastAsia="Times New Roman" w:hAnsi="Times New Roman" w:cs="Times New Roman"/>
          <w:sz w:val="24"/>
          <w:szCs w:val="24"/>
        </w:rPr>
        <w:t>that</w:t>
      </w:r>
      <w:r w:rsidRPr="00B131CA">
        <w:rPr>
          <w:rFonts w:ascii="Times New Roman" w:eastAsia="Times New Roman" w:hAnsi="Times New Roman" w:cs="Times New Roman"/>
          <w:sz w:val="24"/>
          <w:szCs w:val="24"/>
        </w:rPr>
        <w:t xml:space="preserve"> provide documentation of demonstrated effectiveness that meets or exceeds the state-set performance levels in providing adult education and literacy activities will be evaluated for eligibility for AEFLA funds.</w:t>
      </w:r>
    </w:p>
    <w:p w14:paraId="00000397" w14:textId="0FE60E98" w:rsidR="002F3C8D"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Digital Literacy</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 Skills associated with using technology to enable users to find, evaluate, organize, create, and communicate information. Technology should be used to enhance teaching and learning, including the use of effective distance education technology and instructional software. See resources for </w:t>
      </w:r>
      <w:hyperlink r:id="rId163">
        <w:r w:rsidRPr="00B131CA">
          <w:rPr>
            <w:rFonts w:ascii="Times New Roman" w:eastAsia="Times New Roman" w:hAnsi="Times New Roman" w:cs="Times New Roman"/>
            <w:color w:val="0000FF"/>
            <w:sz w:val="24"/>
            <w:szCs w:val="24"/>
            <w:u w:val="single"/>
          </w:rPr>
          <w:t>distance education</w:t>
        </w:r>
      </w:hyperlink>
      <w:r w:rsidRPr="00B131CA">
        <w:rPr>
          <w:rFonts w:ascii="Times New Roman" w:eastAsia="Times New Roman" w:hAnsi="Times New Roman" w:cs="Times New Roman"/>
          <w:sz w:val="24"/>
          <w:szCs w:val="24"/>
        </w:rPr>
        <w:t>.</w:t>
      </w:r>
    </w:p>
    <w:p w14:paraId="07CA91E6" w14:textId="4421EF3F" w:rsidR="00D85F84" w:rsidRPr="00E964BA" w:rsidRDefault="00D85F8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Digital Navigator </w:t>
      </w:r>
      <w:r w:rsidRPr="00934D47">
        <w:rPr>
          <w:rFonts w:ascii="Times New Roman" w:eastAsia="Times New Roman" w:hAnsi="Times New Roman" w:cs="Times New Roman"/>
          <w:i/>
          <w:sz w:val="24"/>
          <w:szCs w:val="24"/>
        </w:rPr>
        <w:t xml:space="preserve">– </w:t>
      </w:r>
      <w:r w:rsidR="003C6678" w:rsidRPr="00934D47">
        <w:rPr>
          <w:rFonts w:ascii="Times New Roman" w:hAnsi="Times New Roman" w:cs="Times New Roman"/>
          <w:sz w:val="24"/>
          <w:szCs w:val="24"/>
          <w:shd w:val="clear" w:color="auto" w:fill="F9F9F9"/>
        </w:rPr>
        <w:t>Digital navigators are trusted guides who assist community members in internet adoption and the use of computing devices. Digital navigation services include ongoing assistance with affordable internet access, device acquisition, technical skills, and application support.</w:t>
      </w:r>
      <w:r w:rsidR="00E964BA" w:rsidRPr="00934D47">
        <w:rPr>
          <w:rFonts w:ascii="Times New Roman" w:eastAsia="Times New Roman" w:hAnsi="Times New Roman" w:cs="Times New Roman"/>
          <w:i/>
          <w:sz w:val="24"/>
          <w:szCs w:val="24"/>
        </w:rPr>
        <w:t xml:space="preserve"> </w:t>
      </w:r>
      <w:r w:rsidR="00107111" w:rsidRPr="00934D47">
        <w:rPr>
          <w:rFonts w:ascii="Times New Roman" w:eastAsia="Times New Roman" w:hAnsi="Times New Roman" w:cs="Times New Roman"/>
          <w:sz w:val="24"/>
          <w:szCs w:val="24"/>
        </w:rPr>
        <w:t xml:space="preserve">Navigators can also be helpful to instructors and staff as digital tools and platforms are implemented. </w:t>
      </w:r>
      <w:r w:rsidR="00E964BA" w:rsidRPr="00934D47">
        <w:rPr>
          <w:rFonts w:ascii="Times New Roman" w:eastAsia="Times New Roman" w:hAnsi="Times New Roman" w:cs="Times New Roman"/>
          <w:sz w:val="24"/>
          <w:szCs w:val="24"/>
        </w:rPr>
        <w:t>See more a</w:t>
      </w:r>
      <w:r w:rsidR="00E964BA">
        <w:rPr>
          <w:rFonts w:ascii="Times New Roman" w:eastAsia="Times New Roman" w:hAnsi="Times New Roman" w:cs="Times New Roman"/>
          <w:sz w:val="24"/>
          <w:szCs w:val="24"/>
        </w:rPr>
        <w:t xml:space="preserve">t </w:t>
      </w:r>
      <w:hyperlink r:id="rId164" w:history="1">
        <w:r w:rsidR="00E964BA" w:rsidRPr="008D0A56">
          <w:rPr>
            <w:rStyle w:val="Hyperlink"/>
            <w:rFonts w:ascii="Times New Roman" w:eastAsia="Times New Roman" w:hAnsi="Times New Roman" w:cs="Times New Roman"/>
            <w:sz w:val="24"/>
            <w:szCs w:val="24"/>
          </w:rPr>
          <w:t>https://www.digitalinclusion.org/</w:t>
        </w:r>
      </w:hyperlink>
      <w:r w:rsidR="00E964BA">
        <w:rPr>
          <w:rFonts w:ascii="Times New Roman" w:eastAsia="Times New Roman" w:hAnsi="Times New Roman" w:cs="Times New Roman"/>
          <w:sz w:val="24"/>
          <w:szCs w:val="24"/>
        </w:rPr>
        <w:t xml:space="preserve">. </w:t>
      </w:r>
    </w:p>
    <w:p w14:paraId="00000398" w14:textId="6760766D" w:rsidR="002F3C8D" w:rsidRPr="002E3423"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Director’s Memo </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An official communication from the Director of the VDOE Office of </w:t>
      </w:r>
      <w:r w:rsidR="002E3423">
        <w:rPr>
          <w:rFonts w:ascii="Times New Roman" w:eastAsia="Times New Roman" w:hAnsi="Times New Roman" w:cs="Times New Roman"/>
          <w:sz w:val="24"/>
          <w:szCs w:val="24"/>
        </w:rPr>
        <w:t>Adult Education</w:t>
      </w:r>
      <w:r w:rsidRPr="00B131CA">
        <w:rPr>
          <w:rFonts w:ascii="Times New Roman" w:eastAsia="Times New Roman" w:hAnsi="Times New Roman" w:cs="Times New Roman"/>
          <w:sz w:val="24"/>
          <w:szCs w:val="24"/>
        </w:rPr>
        <w:t xml:space="preserve"> to regional adult education program managers and IELCE program managers. These are archived on </w:t>
      </w:r>
      <w:r w:rsidR="00AE32D9">
        <w:rPr>
          <w:rFonts w:ascii="Times New Roman" w:eastAsia="Times New Roman" w:hAnsi="Times New Roman" w:cs="Times New Roman"/>
          <w:sz w:val="24"/>
          <w:szCs w:val="24"/>
        </w:rPr>
        <w:t xml:space="preserve">the </w:t>
      </w:r>
      <w:hyperlink r:id="rId165" w:history="1">
        <w:r w:rsidR="00AE32D9" w:rsidRPr="00AE32D9">
          <w:rPr>
            <w:rStyle w:val="Hyperlink"/>
            <w:rFonts w:ascii="Times New Roman" w:eastAsia="Times New Roman" w:hAnsi="Times New Roman" w:cs="Times New Roman"/>
            <w:sz w:val="24"/>
            <w:szCs w:val="24"/>
          </w:rPr>
          <w:t>Adult Education Resource webpage</w:t>
        </w:r>
      </w:hyperlink>
      <w:r w:rsidRPr="00B131CA">
        <w:rPr>
          <w:rFonts w:ascii="Times New Roman" w:eastAsia="Times New Roman" w:hAnsi="Times New Roman" w:cs="Times New Roman"/>
          <w:color w:val="7030A0"/>
          <w:sz w:val="24"/>
          <w:szCs w:val="24"/>
        </w:rPr>
        <w:t xml:space="preserve">. </w:t>
      </w:r>
    </w:p>
    <w:p w14:paraId="00000399" w14:textId="4EF18675" w:rsidR="002F3C8D" w:rsidRPr="00B131CA" w:rsidRDefault="00BF5CDA">
      <w:pPr>
        <w:spacing w:before="120" w:after="80"/>
        <w:rPr>
          <w:rFonts w:ascii="Times New Roman" w:eastAsia="Times New Roman" w:hAnsi="Times New Roman" w:cs="Times New Roman"/>
          <w:sz w:val="24"/>
          <w:szCs w:val="24"/>
        </w:rPr>
      </w:pPr>
      <w:r w:rsidRPr="00932B32">
        <w:rPr>
          <w:rFonts w:ascii="Times New Roman" w:hAnsi="Times New Roman"/>
          <w:i/>
          <w:sz w:val="24"/>
        </w:rPr>
        <w:t>Distance Education</w:t>
      </w:r>
      <w:r w:rsidRPr="00B131CA">
        <w:rPr>
          <w:rFonts w:ascii="Times New Roman" w:eastAsia="Times New Roman" w:hAnsi="Times New Roman" w:cs="Times New Roman"/>
          <w:sz w:val="24"/>
          <w:szCs w:val="24"/>
        </w:rPr>
        <w:t xml:space="preserve"> — Formal learning activity where students and instructors are separated by geography, time, or both and approved distance education curricula are employed for providing </w:t>
      </w:r>
      <w:proofErr w:type="gramStart"/>
      <w:r w:rsidRPr="00B131CA">
        <w:rPr>
          <w:rFonts w:ascii="Times New Roman" w:eastAsia="Times New Roman" w:hAnsi="Times New Roman" w:cs="Times New Roman"/>
          <w:sz w:val="24"/>
          <w:szCs w:val="24"/>
        </w:rPr>
        <w:t>the majority of</w:t>
      </w:r>
      <w:proofErr w:type="gramEnd"/>
      <w:r w:rsidRPr="00B131CA">
        <w:rPr>
          <w:rFonts w:ascii="Times New Roman" w:eastAsia="Times New Roman" w:hAnsi="Times New Roman" w:cs="Times New Roman"/>
          <w:sz w:val="24"/>
          <w:szCs w:val="24"/>
        </w:rPr>
        <w:t xml:space="preserve"> the instruction. Distance learning materials may be delivered through a variety of media, including but not limited to, print, audio recording, videotape, broadcasts, computer software, web-based programs, and other online technology. Teachers support distance learners through communication by mail, telephone, e-mail, or online technologies and software. For more information, see the</w:t>
      </w:r>
      <w:hyperlink r:id="rId166">
        <w:r w:rsidRPr="00B131CA">
          <w:rPr>
            <w:rFonts w:ascii="Times New Roman" w:eastAsia="Times New Roman" w:hAnsi="Times New Roman" w:cs="Times New Roman"/>
            <w:color w:val="1155CC"/>
            <w:sz w:val="24"/>
            <w:szCs w:val="24"/>
            <w:u w:val="single"/>
          </w:rPr>
          <w:t xml:space="preserve"> </w:t>
        </w:r>
        <w:r w:rsidRPr="00475864">
          <w:rPr>
            <w:rFonts w:ascii="Times New Roman" w:eastAsia="Times New Roman" w:hAnsi="Times New Roman" w:cs="Times New Roman"/>
            <w:i/>
            <w:color w:val="0000FF"/>
            <w:sz w:val="24"/>
            <w:szCs w:val="24"/>
            <w:u w:val="single"/>
          </w:rPr>
          <w:t>Assessment and Distance Education Policy for Virginia Adult Education and Literacy Programs</w:t>
        </w:r>
      </w:hyperlink>
      <w:r w:rsidRPr="00B131CA">
        <w:rPr>
          <w:rFonts w:ascii="Times New Roman" w:eastAsia="Times New Roman" w:hAnsi="Times New Roman" w:cs="Times New Roman"/>
          <w:sz w:val="24"/>
          <w:szCs w:val="24"/>
        </w:rPr>
        <w:t>.</w:t>
      </w:r>
    </w:p>
    <w:p w14:paraId="0000039A"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lastRenderedPageBreak/>
        <w:t xml:space="preserve">Distance Learners </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Students who receive </w:t>
      </w:r>
      <w:proofErr w:type="gramStart"/>
      <w:r w:rsidRPr="00B131CA">
        <w:rPr>
          <w:rFonts w:ascii="Times New Roman" w:eastAsia="Times New Roman" w:hAnsi="Times New Roman" w:cs="Times New Roman"/>
          <w:sz w:val="24"/>
          <w:szCs w:val="24"/>
        </w:rPr>
        <w:t>a majority of</w:t>
      </w:r>
      <w:proofErr w:type="gramEnd"/>
      <w:r w:rsidRPr="00B131CA">
        <w:rPr>
          <w:rFonts w:ascii="Times New Roman" w:eastAsia="Times New Roman" w:hAnsi="Times New Roman" w:cs="Times New Roman"/>
          <w:sz w:val="24"/>
          <w:szCs w:val="24"/>
        </w:rPr>
        <w:t xml:space="preserve"> their instruction through approved distance education services. A student is classified as a distance learner if the majority of the student’s hours earned in a program year are derived by their participation in distance learning activities.</w:t>
      </w:r>
    </w:p>
    <w:p w14:paraId="0000039B" w14:textId="1DC0379F"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Educational Functioning Levels (EFL)</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The National Reporting System (NRS) divides literacy instruction into six levels each for ABE and English as a second language (ESL). Each ABE literacy level has a description of basic reading, writing, numeracy, and functional and workplace skills that can be expected from a person functioning at each level. </w:t>
      </w:r>
      <w:r w:rsidR="004D7093">
        <w:rPr>
          <w:rFonts w:ascii="Times New Roman" w:eastAsia="Times New Roman" w:hAnsi="Times New Roman" w:cs="Times New Roman"/>
          <w:sz w:val="24"/>
          <w:szCs w:val="24"/>
        </w:rPr>
        <w:t xml:space="preserve">The </w:t>
      </w:r>
      <w:r w:rsidRPr="00B131CA">
        <w:rPr>
          <w:rFonts w:ascii="Times New Roman" w:eastAsia="Times New Roman" w:hAnsi="Times New Roman" w:cs="Times New Roman"/>
          <w:sz w:val="24"/>
          <w:szCs w:val="24"/>
        </w:rPr>
        <w:t>ESL literacy levels describe speaking and listening skills and basic reading, writing, and functional workplace skills that can be expected from a person functioning at each level. Test scores for pre- and post</w:t>
      </w:r>
      <w:r w:rsidR="002E5CCC">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 xml:space="preserve">testing are tied to the NRS EFLs for initial placement and for reporting advancement across levels. For information about descriptors for each EFL, see </w:t>
      </w:r>
      <w:r w:rsidR="00360DA4">
        <w:rPr>
          <w:rFonts w:ascii="Times New Roman" w:eastAsia="Times New Roman" w:hAnsi="Times New Roman" w:cs="Times New Roman"/>
          <w:sz w:val="24"/>
          <w:szCs w:val="24"/>
        </w:rPr>
        <w:t xml:space="preserve">the current </w:t>
      </w:r>
      <w:hyperlink r:id="rId167">
        <w:r w:rsidRPr="00360DA4">
          <w:rPr>
            <w:rFonts w:ascii="Times New Roman" w:eastAsia="Times New Roman" w:hAnsi="Times New Roman" w:cs="Times New Roman"/>
            <w:i/>
            <w:color w:val="0000FF"/>
            <w:sz w:val="24"/>
            <w:szCs w:val="24"/>
            <w:u w:val="single"/>
          </w:rPr>
          <w:t>NRS Technical Assistance Guidance for Performance Accountability under the Workforce Innovation and Opportunity Act</w:t>
        </w:r>
      </w:hyperlink>
      <w:r w:rsidR="00360DA4" w:rsidRPr="00360DA4">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 xml:space="preserve"> </w:t>
      </w:r>
    </w:p>
    <w:p w14:paraId="0000039C" w14:textId="77777777" w:rsidR="002F3C8D" w:rsidRPr="00932B32" w:rsidRDefault="00BF5CDA">
      <w:pPr>
        <w:spacing w:after="120" w:line="240" w:lineRule="auto"/>
        <w:rPr>
          <w:rFonts w:ascii="Times New Roman" w:hAnsi="Times New Roman"/>
          <w:b/>
          <w:i/>
          <w:sz w:val="24"/>
        </w:rPr>
      </w:pPr>
      <w:r w:rsidRPr="00655797">
        <w:rPr>
          <w:rFonts w:ascii="Times New Roman" w:hAnsi="Times New Roman"/>
          <w:i/>
          <w:sz w:val="24"/>
        </w:rPr>
        <w:t>Eligible Individual</w:t>
      </w:r>
      <w:r w:rsidRPr="00932B32">
        <w:rPr>
          <w:rFonts w:ascii="Times New Roman" w:hAnsi="Times New Roman"/>
          <w:b/>
          <w:i/>
          <w:sz w:val="24"/>
        </w:rPr>
        <w:t xml:space="preserve"> </w:t>
      </w:r>
      <w:r w:rsidRPr="00B131CA">
        <w:rPr>
          <w:rFonts w:ascii="Times New Roman" w:eastAsia="Times New Roman" w:hAnsi="Times New Roman" w:cs="Times New Roman"/>
          <w:sz w:val="24"/>
          <w:szCs w:val="24"/>
        </w:rPr>
        <w:t>— An eligible individual is one:</w:t>
      </w:r>
    </w:p>
    <w:p w14:paraId="0000039D" w14:textId="6CF8208C" w:rsidR="002F3C8D" w:rsidRPr="00B131CA" w:rsidRDefault="00BF5CDA" w:rsidP="006519A6">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B131CA">
        <w:rPr>
          <w:rFonts w:ascii="Times New Roman" w:eastAsia="Times New Roman" w:hAnsi="Times New Roman" w:cs="Times New Roman"/>
          <w:sz w:val="24"/>
          <w:szCs w:val="24"/>
        </w:rPr>
        <w:t xml:space="preserve">who has attained 16 years of </w:t>
      </w:r>
      <w:proofErr w:type="gramStart"/>
      <w:r w:rsidRPr="00B131CA">
        <w:rPr>
          <w:rFonts w:ascii="Times New Roman" w:eastAsia="Times New Roman" w:hAnsi="Times New Roman" w:cs="Times New Roman"/>
          <w:sz w:val="24"/>
          <w:szCs w:val="24"/>
        </w:rPr>
        <w:t>age;</w:t>
      </w:r>
      <w:proofErr w:type="gramEnd"/>
      <w:r w:rsidRPr="00B131CA">
        <w:rPr>
          <w:rFonts w:ascii="Times New Roman" w:eastAsia="Times New Roman" w:hAnsi="Times New Roman" w:cs="Times New Roman"/>
          <w:sz w:val="24"/>
          <w:szCs w:val="24"/>
        </w:rPr>
        <w:t xml:space="preserve"> </w:t>
      </w:r>
    </w:p>
    <w:p w14:paraId="2E01AE8C" w14:textId="0605996B" w:rsidR="00052AA9" w:rsidRPr="00B131CA" w:rsidRDefault="00BF5CDA" w:rsidP="006519A6">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B131CA">
        <w:rPr>
          <w:rFonts w:ascii="Times New Roman" w:eastAsia="Times New Roman" w:hAnsi="Times New Roman" w:cs="Times New Roman"/>
          <w:sz w:val="24"/>
          <w:szCs w:val="24"/>
        </w:rPr>
        <w:t>who is not enrolled or required to be enrolled in secondary school under state law; and</w:t>
      </w:r>
    </w:p>
    <w:p w14:paraId="3A9BE2B7" w14:textId="77777777" w:rsidR="002F3C8D" w:rsidRDefault="00BF5CDA" w:rsidP="006519A6">
      <w:pPr>
        <w:spacing w:after="12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B131CA">
        <w:rPr>
          <w:rFonts w:ascii="Times New Roman" w:eastAsia="Times New Roman" w:hAnsi="Times New Roman" w:cs="Times New Roman"/>
          <w:sz w:val="24"/>
          <w:szCs w:val="24"/>
        </w:rPr>
        <w:t xml:space="preserve">who </w:t>
      </w:r>
    </w:p>
    <w:p w14:paraId="27C524D9" w14:textId="63F2E868" w:rsidR="002F3C8D" w:rsidRDefault="00BF5CDA" w:rsidP="006519A6">
      <w:pPr>
        <w:spacing w:after="0" w:line="24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sidR="00052AA9" w:rsidRPr="00B131CA">
        <w:rPr>
          <w:rFonts w:ascii="Times New Roman" w:eastAsia="Times New Roman" w:hAnsi="Times New Roman" w:cs="Times New Roman"/>
          <w:sz w:val="24"/>
          <w:szCs w:val="24"/>
        </w:rPr>
        <w:t xml:space="preserve">) </w:t>
      </w:r>
      <w:proofErr w:type="gramStart"/>
      <w:r w:rsidRPr="00B131CA">
        <w:rPr>
          <w:rFonts w:ascii="Times New Roman" w:eastAsia="Times New Roman" w:hAnsi="Times New Roman" w:cs="Times New Roman"/>
          <w:sz w:val="24"/>
          <w:szCs w:val="24"/>
        </w:rPr>
        <w:t>is</w:t>
      </w:r>
      <w:proofErr w:type="gramEnd"/>
      <w:r w:rsidRPr="00B131CA">
        <w:rPr>
          <w:rFonts w:ascii="Times New Roman" w:eastAsia="Times New Roman" w:hAnsi="Times New Roman" w:cs="Times New Roman"/>
          <w:sz w:val="24"/>
          <w:szCs w:val="24"/>
        </w:rPr>
        <w:t xml:space="preserve"> basic skills deficient</w:t>
      </w:r>
      <w:r>
        <w:rPr>
          <w:rFonts w:ascii="Times New Roman" w:eastAsia="Times New Roman" w:hAnsi="Times New Roman" w:cs="Times New Roman"/>
          <w:sz w:val="24"/>
          <w:szCs w:val="24"/>
        </w:rPr>
        <w:t xml:space="preserve">; </w:t>
      </w:r>
    </w:p>
    <w:p w14:paraId="32FBB991" w14:textId="17573961" w:rsidR="002F3C8D" w:rsidRDefault="00BF5CDA" w:rsidP="006519A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052AA9"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does not have a secondary school diploma or its recognized equivalent, and has not achieved an equivalent level of education</w:t>
      </w:r>
      <w:r>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 xml:space="preserve"> or </w:t>
      </w:r>
    </w:p>
    <w:p w14:paraId="000003A2" w14:textId="084106B3" w:rsidR="002F3C8D" w:rsidRPr="00B131CA" w:rsidRDefault="00BF5CDA" w:rsidP="006519A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052AA9"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is an English language learner. </w:t>
      </w:r>
    </w:p>
    <w:p w14:paraId="000003A3" w14:textId="77777777" w:rsidR="002F3C8D" w:rsidRPr="00B131CA" w:rsidRDefault="00BF5CDA" w:rsidP="00A506D9">
      <w:pPr>
        <w:spacing w:before="240" w:after="120" w:line="240" w:lineRule="auto"/>
        <w:rPr>
          <w:rFonts w:ascii="Times New Roman" w:eastAsia="Times New Roman" w:hAnsi="Times New Roman" w:cs="Times New Roman"/>
          <w:sz w:val="24"/>
          <w:szCs w:val="24"/>
        </w:rPr>
      </w:pPr>
      <w:r w:rsidRPr="00655797">
        <w:rPr>
          <w:rFonts w:ascii="Times New Roman" w:hAnsi="Times New Roman"/>
          <w:i/>
          <w:sz w:val="24"/>
        </w:rPr>
        <w:t>Eligible Provider</w:t>
      </w:r>
      <w:r w:rsidRPr="00655797">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An organization that has demonstrated effectiveness in providing adult education and literacy activities is eligible to apply for a grant or contract. These organizations may include, but are not limited to:</w:t>
      </w:r>
    </w:p>
    <w:p w14:paraId="000003A4" w14:textId="043B4A05" w:rsidR="002F3C8D" w:rsidRPr="00B131CA" w:rsidRDefault="00BF5CDA" w:rsidP="006519A6">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Pr="00B131CA">
        <w:rPr>
          <w:rFonts w:ascii="Times New Roman" w:eastAsia="Times New Roman" w:hAnsi="Times New Roman" w:cs="Times New Roman"/>
          <w:sz w:val="24"/>
          <w:szCs w:val="24"/>
        </w:rPr>
        <w:t xml:space="preserve">local educational </w:t>
      </w:r>
      <w:proofErr w:type="gramStart"/>
      <w:r w:rsidRPr="00B131CA">
        <w:rPr>
          <w:rFonts w:ascii="Times New Roman" w:eastAsia="Times New Roman" w:hAnsi="Times New Roman" w:cs="Times New Roman"/>
          <w:sz w:val="24"/>
          <w:szCs w:val="24"/>
        </w:rPr>
        <w:t>agency;</w:t>
      </w:r>
      <w:proofErr w:type="gramEnd"/>
    </w:p>
    <w:p w14:paraId="000003A5" w14:textId="6E123AD0" w:rsidR="002F3C8D" w:rsidRPr="00B131CA" w:rsidRDefault="00BF5CDA" w:rsidP="006519A6">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sidRPr="00B131CA">
        <w:rPr>
          <w:rFonts w:ascii="Times New Roman" w:eastAsia="Times New Roman" w:hAnsi="Times New Roman" w:cs="Times New Roman"/>
          <w:sz w:val="24"/>
          <w:szCs w:val="24"/>
        </w:rPr>
        <w:t xml:space="preserve">community-based organization or faith-based </w:t>
      </w:r>
      <w:proofErr w:type="gramStart"/>
      <w:r w:rsidRPr="00B131CA">
        <w:rPr>
          <w:rFonts w:ascii="Times New Roman" w:eastAsia="Times New Roman" w:hAnsi="Times New Roman" w:cs="Times New Roman"/>
          <w:sz w:val="24"/>
          <w:szCs w:val="24"/>
        </w:rPr>
        <w:t>organization;</w:t>
      </w:r>
      <w:proofErr w:type="gramEnd"/>
    </w:p>
    <w:p w14:paraId="000003A6" w14:textId="4C6728A2" w:rsidR="002F3C8D" w:rsidRPr="00B131CA" w:rsidRDefault="00BF5CDA" w:rsidP="006519A6">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r>
      <w:r w:rsidRPr="00B131CA">
        <w:rPr>
          <w:rFonts w:ascii="Times New Roman" w:eastAsia="Times New Roman" w:hAnsi="Times New Roman" w:cs="Times New Roman"/>
          <w:sz w:val="24"/>
          <w:szCs w:val="24"/>
        </w:rPr>
        <w:t xml:space="preserve">volunteer literacy </w:t>
      </w:r>
      <w:proofErr w:type="gramStart"/>
      <w:r w:rsidRPr="00B131CA">
        <w:rPr>
          <w:rFonts w:ascii="Times New Roman" w:eastAsia="Times New Roman" w:hAnsi="Times New Roman" w:cs="Times New Roman"/>
          <w:sz w:val="24"/>
          <w:szCs w:val="24"/>
        </w:rPr>
        <w:t>organization;</w:t>
      </w:r>
      <w:proofErr w:type="gramEnd"/>
    </w:p>
    <w:p w14:paraId="000003A7" w14:textId="2C8EBE6C" w:rsidR="002F3C8D" w:rsidRPr="00B131CA" w:rsidRDefault="00BF5CDA" w:rsidP="006519A6">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r>
      <w:r w:rsidRPr="00B131CA">
        <w:rPr>
          <w:rFonts w:ascii="Times New Roman" w:eastAsia="Times New Roman" w:hAnsi="Times New Roman" w:cs="Times New Roman"/>
          <w:sz w:val="24"/>
          <w:szCs w:val="24"/>
        </w:rPr>
        <w:t xml:space="preserve">institution of higher </w:t>
      </w:r>
      <w:proofErr w:type="gramStart"/>
      <w:r w:rsidRPr="00B131CA">
        <w:rPr>
          <w:rFonts w:ascii="Times New Roman" w:eastAsia="Times New Roman" w:hAnsi="Times New Roman" w:cs="Times New Roman"/>
          <w:sz w:val="24"/>
          <w:szCs w:val="24"/>
        </w:rPr>
        <w:t>education;</w:t>
      </w:r>
      <w:proofErr w:type="gramEnd"/>
    </w:p>
    <w:p w14:paraId="000003A8" w14:textId="7B2BFA77" w:rsidR="002F3C8D" w:rsidRPr="00B131CA" w:rsidRDefault="00BF5CDA" w:rsidP="006519A6">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r>
      <w:r w:rsidRPr="00B131CA">
        <w:rPr>
          <w:rFonts w:ascii="Times New Roman" w:eastAsia="Times New Roman" w:hAnsi="Times New Roman" w:cs="Times New Roman"/>
          <w:sz w:val="24"/>
          <w:szCs w:val="24"/>
        </w:rPr>
        <w:t xml:space="preserve">public or private nonprofit </w:t>
      </w:r>
      <w:proofErr w:type="gramStart"/>
      <w:r w:rsidRPr="00B131CA">
        <w:rPr>
          <w:rFonts w:ascii="Times New Roman" w:eastAsia="Times New Roman" w:hAnsi="Times New Roman" w:cs="Times New Roman"/>
          <w:sz w:val="24"/>
          <w:szCs w:val="24"/>
        </w:rPr>
        <w:t>agency;</w:t>
      </w:r>
      <w:proofErr w:type="gramEnd"/>
    </w:p>
    <w:p w14:paraId="000003A9" w14:textId="6134A123" w:rsidR="002F3C8D" w:rsidRPr="00B131CA" w:rsidRDefault="00BF5CDA" w:rsidP="006519A6">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r>
      <w:proofErr w:type="gramStart"/>
      <w:r w:rsidRPr="00B131CA">
        <w:rPr>
          <w:rFonts w:ascii="Times New Roman" w:eastAsia="Times New Roman" w:hAnsi="Times New Roman" w:cs="Times New Roman"/>
          <w:sz w:val="24"/>
          <w:szCs w:val="24"/>
        </w:rPr>
        <w:t>library;</w:t>
      </w:r>
      <w:proofErr w:type="gramEnd"/>
    </w:p>
    <w:p w14:paraId="000003AA" w14:textId="3B16A9EF" w:rsidR="002F3C8D" w:rsidRPr="00B131CA" w:rsidRDefault="00BF5CDA" w:rsidP="006519A6">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ab/>
      </w:r>
      <w:r w:rsidRPr="00B131CA">
        <w:rPr>
          <w:rFonts w:ascii="Times New Roman" w:eastAsia="Times New Roman" w:hAnsi="Times New Roman" w:cs="Times New Roman"/>
          <w:sz w:val="24"/>
          <w:szCs w:val="24"/>
        </w:rPr>
        <w:t xml:space="preserve">public housing </w:t>
      </w:r>
      <w:proofErr w:type="gramStart"/>
      <w:r w:rsidRPr="00B131CA">
        <w:rPr>
          <w:rFonts w:ascii="Times New Roman" w:eastAsia="Times New Roman" w:hAnsi="Times New Roman" w:cs="Times New Roman"/>
          <w:sz w:val="24"/>
          <w:szCs w:val="24"/>
        </w:rPr>
        <w:t>authority;</w:t>
      </w:r>
      <w:proofErr w:type="gramEnd"/>
    </w:p>
    <w:p w14:paraId="000003AB" w14:textId="69EE77EE" w:rsidR="002F3C8D" w:rsidRPr="00B131CA" w:rsidRDefault="00BF5CDA" w:rsidP="006519A6">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Pr>
          <w:rFonts w:ascii="Times New Roman" w:eastAsia="Times New Roman" w:hAnsi="Times New Roman" w:cs="Times New Roman"/>
          <w:sz w:val="24"/>
          <w:szCs w:val="24"/>
        </w:rPr>
        <w:tab/>
      </w:r>
      <w:r w:rsidRPr="00B131CA">
        <w:rPr>
          <w:rFonts w:ascii="Times New Roman" w:eastAsia="Times New Roman" w:hAnsi="Times New Roman" w:cs="Times New Roman"/>
          <w:sz w:val="24"/>
          <w:szCs w:val="24"/>
        </w:rPr>
        <w:t>nonprofit institution that is not described in (</w:t>
      </w:r>
      <w:r>
        <w:rPr>
          <w:rFonts w:ascii="Times New Roman" w:eastAsia="Times New Roman" w:hAnsi="Times New Roman" w:cs="Times New Roman"/>
          <w:sz w:val="24"/>
          <w:szCs w:val="24"/>
        </w:rPr>
        <w:t>a</w:t>
      </w:r>
      <w:r w:rsidRPr="00B131CA">
        <w:rPr>
          <w:rFonts w:ascii="Times New Roman" w:eastAsia="Times New Roman" w:hAnsi="Times New Roman" w:cs="Times New Roman"/>
          <w:sz w:val="24"/>
          <w:szCs w:val="24"/>
        </w:rPr>
        <w:t>) through (</w:t>
      </w:r>
      <w:r>
        <w:rPr>
          <w:rFonts w:ascii="Times New Roman" w:eastAsia="Times New Roman" w:hAnsi="Times New Roman" w:cs="Times New Roman"/>
          <w:sz w:val="24"/>
          <w:szCs w:val="24"/>
        </w:rPr>
        <w:t>g</w:t>
      </w:r>
      <w:r w:rsidRPr="00B131CA">
        <w:rPr>
          <w:rFonts w:ascii="Times New Roman" w:eastAsia="Times New Roman" w:hAnsi="Times New Roman" w:cs="Times New Roman"/>
          <w:sz w:val="24"/>
          <w:szCs w:val="24"/>
        </w:rPr>
        <w:t xml:space="preserve">) and has the ability to provide adult education and literacy activities to eligible </w:t>
      </w:r>
      <w:proofErr w:type="gramStart"/>
      <w:r w:rsidRPr="00B131CA">
        <w:rPr>
          <w:rFonts w:ascii="Times New Roman" w:eastAsia="Times New Roman" w:hAnsi="Times New Roman" w:cs="Times New Roman"/>
          <w:sz w:val="24"/>
          <w:szCs w:val="24"/>
        </w:rPr>
        <w:t>individuals;</w:t>
      </w:r>
      <w:proofErr w:type="gramEnd"/>
      <w:r w:rsidRPr="00B131CA">
        <w:rPr>
          <w:rFonts w:ascii="Times New Roman" w:eastAsia="Times New Roman" w:hAnsi="Times New Roman" w:cs="Times New Roman"/>
          <w:sz w:val="24"/>
          <w:szCs w:val="24"/>
        </w:rPr>
        <w:t xml:space="preserve"> </w:t>
      </w:r>
    </w:p>
    <w:p w14:paraId="000003AC" w14:textId="36940E89" w:rsidR="002F3C8D" w:rsidRPr="00B131CA" w:rsidRDefault="00BF5CDA" w:rsidP="006519A6">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B131CA">
        <w:rPr>
          <w:rFonts w:ascii="Times New Roman" w:eastAsia="Times New Roman" w:hAnsi="Times New Roman" w:cs="Times New Roman"/>
          <w:sz w:val="24"/>
          <w:szCs w:val="24"/>
        </w:rPr>
        <w:t>consortium or coalition of the agencies, organizations, institutions, libraries, or authorities described in (</w:t>
      </w:r>
      <w:r>
        <w:rPr>
          <w:rFonts w:ascii="Times New Roman" w:eastAsia="Times New Roman" w:hAnsi="Times New Roman" w:cs="Times New Roman"/>
          <w:sz w:val="24"/>
          <w:szCs w:val="24"/>
        </w:rPr>
        <w:t>a</w:t>
      </w:r>
      <w:r w:rsidRPr="00B131CA">
        <w:rPr>
          <w:rFonts w:ascii="Times New Roman" w:eastAsia="Times New Roman" w:hAnsi="Times New Roman" w:cs="Times New Roman"/>
          <w:sz w:val="24"/>
          <w:szCs w:val="24"/>
        </w:rPr>
        <w:t>) through (</w:t>
      </w:r>
      <w:r>
        <w:rPr>
          <w:rFonts w:ascii="Times New Roman" w:eastAsia="Times New Roman" w:hAnsi="Times New Roman" w:cs="Times New Roman"/>
          <w:sz w:val="24"/>
          <w:szCs w:val="24"/>
        </w:rPr>
        <w:t>h</w:t>
      </w:r>
      <w:r w:rsidRPr="00B131CA">
        <w:rPr>
          <w:rFonts w:ascii="Times New Roman" w:eastAsia="Times New Roman" w:hAnsi="Times New Roman" w:cs="Times New Roman"/>
          <w:sz w:val="24"/>
          <w:szCs w:val="24"/>
        </w:rPr>
        <w:t>); and</w:t>
      </w:r>
    </w:p>
    <w:p w14:paraId="000003AD" w14:textId="056D6B47" w:rsidR="002F3C8D" w:rsidRPr="00B131CA" w:rsidRDefault="00BF5CDA" w:rsidP="006519A6">
      <w:pPr>
        <w:spacing w:after="12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r>
        <w:rPr>
          <w:rFonts w:ascii="Times New Roman" w:eastAsia="Times New Roman" w:hAnsi="Times New Roman" w:cs="Times New Roman"/>
          <w:sz w:val="24"/>
          <w:szCs w:val="24"/>
        </w:rPr>
        <w:tab/>
      </w:r>
      <w:r w:rsidRPr="00B131CA">
        <w:rPr>
          <w:rFonts w:ascii="Times New Roman" w:eastAsia="Times New Roman" w:hAnsi="Times New Roman" w:cs="Times New Roman"/>
          <w:sz w:val="24"/>
          <w:szCs w:val="24"/>
        </w:rPr>
        <w:t>partnership between an employer and an entity described in (</w:t>
      </w:r>
      <w:r>
        <w:rPr>
          <w:rFonts w:ascii="Times New Roman" w:eastAsia="Times New Roman" w:hAnsi="Times New Roman" w:cs="Times New Roman"/>
          <w:sz w:val="24"/>
          <w:szCs w:val="24"/>
        </w:rPr>
        <w:t>a</w:t>
      </w:r>
      <w:r w:rsidRPr="00B131CA">
        <w:rPr>
          <w:rFonts w:ascii="Times New Roman" w:eastAsia="Times New Roman" w:hAnsi="Times New Roman" w:cs="Times New Roman"/>
          <w:sz w:val="24"/>
          <w:szCs w:val="24"/>
        </w:rPr>
        <w:t>) through (</w:t>
      </w:r>
      <w:proofErr w:type="spellStart"/>
      <w:r>
        <w:rPr>
          <w:rFonts w:ascii="Times New Roman" w:eastAsia="Times New Roman" w:hAnsi="Times New Roman" w:cs="Times New Roman"/>
          <w:sz w:val="24"/>
          <w:szCs w:val="24"/>
        </w:rPr>
        <w:t>i</w:t>
      </w:r>
      <w:proofErr w:type="spellEnd"/>
      <w:r w:rsidRPr="00B131CA">
        <w:rPr>
          <w:rFonts w:ascii="Times New Roman" w:eastAsia="Times New Roman" w:hAnsi="Times New Roman" w:cs="Times New Roman"/>
          <w:sz w:val="24"/>
          <w:szCs w:val="24"/>
        </w:rPr>
        <w:t>).</w:t>
      </w:r>
    </w:p>
    <w:p w14:paraId="5480D5D0" w14:textId="7978C4F1" w:rsidR="00D85F84" w:rsidRPr="004F4F41" w:rsidRDefault="00D85F84">
      <w:pPr>
        <w:spacing w:after="120" w:line="240" w:lineRule="auto"/>
        <w:rPr>
          <w:rFonts w:ascii="Times New Roman" w:hAnsi="Times New Roman"/>
          <w:iCs/>
          <w:sz w:val="24"/>
        </w:rPr>
      </w:pPr>
      <w:r>
        <w:rPr>
          <w:rFonts w:ascii="Times New Roman" w:hAnsi="Times New Roman"/>
          <w:i/>
          <w:sz w:val="24"/>
        </w:rPr>
        <w:t>Eligible Training Provider</w:t>
      </w:r>
      <w:r w:rsidR="004F4F41">
        <w:rPr>
          <w:rFonts w:ascii="Times New Roman" w:hAnsi="Times New Roman"/>
          <w:i/>
          <w:sz w:val="24"/>
        </w:rPr>
        <w:t xml:space="preserve"> List</w:t>
      </w:r>
      <w:r>
        <w:rPr>
          <w:rFonts w:ascii="Times New Roman" w:hAnsi="Times New Roman"/>
          <w:i/>
          <w:sz w:val="24"/>
        </w:rPr>
        <w:t xml:space="preserve"> – </w:t>
      </w:r>
      <w:r w:rsidR="004F4F41" w:rsidRPr="004F4F41">
        <w:rPr>
          <w:rFonts w:ascii="Times New Roman" w:hAnsi="Times New Roman"/>
          <w:iCs/>
          <w:sz w:val="24"/>
        </w:rPr>
        <w:t xml:space="preserve">Eligible Training Provider and Programs List (ETPL) is a list of state approved Eligible Training Providers (ETP) and their state approved training programs. The ETPL is administered by the WIOA Title I Administrator in partnership with the Local Workforce Development Boards (LWDBs). A program of training services is one or more courses or classes, or a structured regimen that leads to a recognized post-secondary credential, secondary school diploma or its equivalent, employment, or measurable skill gain towards such a </w:t>
      </w:r>
      <w:r w:rsidR="004F4F41" w:rsidRPr="004F4F41">
        <w:rPr>
          <w:rFonts w:ascii="Times New Roman" w:hAnsi="Times New Roman"/>
          <w:iCs/>
          <w:sz w:val="24"/>
        </w:rPr>
        <w:lastRenderedPageBreak/>
        <w:t>credential or employment. An ETP is the only type of entity that can receive WIOA Title I-B funding for training services. An adult education provider may apply t</w:t>
      </w:r>
      <w:r w:rsidR="00BC1B65">
        <w:rPr>
          <w:rFonts w:ascii="Times New Roman" w:hAnsi="Times New Roman"/>
          <w:iCs/>
          <w:sz w:val="24"/>
        </w:rPr>
        <w:t>o</w:t>
      </w:r>
      <w:r w:rsidR="004F4F41" w:rsidRPr="004F4F41">
        <w:rPr>
          <w:rFonts w:ascii="Times New Roman" w:hAnsi="Times New Roman"/>
          <w:iCs/>
          <w:sz w:val="24"/>
        </w:rPr>
        <w:t xml:space="preserve"> be an ETP.</w:t>
      </w:r>
    </w:p>
    <w:p w14:paraId="000003AE" w14:textId="432744A2"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English as a Second Language (ESL)</w:t>
      </w:r>
      <w:r w:rsidRPr="00B131CA">
        <w:rPr>
          <w:rFonts w:ascii="Times New Roman" w:eastAsia="Times New Roman" w:hAnsi="Times New Roman" w:cs="Times New Roman"/>
          <w:sz w:val="24"/>
          <w:szCs w:val="24"/>
        </w:rPr>
        <w:t xml:space="preserve"> </w:t>
      </w:r>
      <w:r w:rsidR="0018720F">
        <w:rPr>
          <w:rFonts w:ascii="Times New Roman" w:eastAsia="Times New Roman" w:hAnsi="Times New Roman" w:cs="Times New Roman"/>
          <w:sz w:val="24"/>
          <w:szCs w:val="24"/>
        </w:rPr>
        <w:t xml:space="preserve">or </w:t>
      </w:r>
      <w:r w:rsidR="0018720F">
        <w:rPr>
          <w:rFonts w:ascii="Times New Roman" w:eastAsia="Times New Roman" w:hAnsi="Times New Roman" w:cs="Times New Roman"/>
          <w:i/>
          <w:sz w:val="24"/>
          <w:szCs w:val="24"/>
        </w:rPr>
        <w:t xml:space="preserve">English for Speakers of Other Languages (ESOL) </w:t>
      </w:r>
      <w:r w:rsidRPr="00B131CA">
        <w:rPr>
          <w:rFonts w:ascii="Times New Roman" w:eastAsia="Times New Roman" w:hAnsi="Times New Roman" w:cs="Times New Roman"/>
          <w:sz w:val="24"/>
          <w:szCs w:val="24"/>
        </w:rPr>
        <w:t>— Instruction designed for an adult whose educational functioning level is equivalent to a particular ESL English language proficiency level listed in the NRS educational functioning level table. (The acronym ESL is used only for NRS reporting of educational functioning levels.)</w:t>
      </w:r>
    </w:p>
    <w:p w14:paraId="000003AF"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English Language Acquisition (ELA) program</w:t>
      </w:r>
      <w:r w:rsidRPr="00B131CA">
        <w:rPr>
          <w:rFonts w:ascii="Times New Roman" w:eastAsia="Times New Roman" w:hAnsi="Times New Roman" w:cs="Times New Roman"/>
          <w:sz w:val="24"/>
          <w:szCs w:val="24"/>
        </w:rPr>
        <w:t xml:space="preserve"> — Instruction that is designed to help eligible individuals who are English language learners (ELL) achieve competence in reading, writing, speaking, and comprehension of the English language; that leads to the attainment of a secondary school diploma or its recognized equivalent, and transition to postsecondary education and training or employment.</w:t>
      </w:r>
    </w:p>
    <w:p w14:paraId="000003B0"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English Language Learner (ELL)</w:t>
      </w:r>
      <w:r w:rsidRPr="00B131CA">
        <w:rPr>
          <w:rFonts w:ascii="Times New Roman" w:eastAsia="Times New Roman" w:hAnsi="Times New Roman" w:cs="Times New Roman"/>
          <w:sz w:val="24"/>
          <w:szCs w:val="24"/>
        </w:rPr>
        <w:t xml:space="preserve"> — An eligible individual who has limited ability in reading, writing, speaking, or comprehending the English language, and </w:t>
      </w:r>
    </w:p>
    <w:p w14:paraId="000003B1" w14:textId="77777777" w:rsidR="002F3C8D" w:rsidRPr="00B131CA" w:rsidRDefault="00BF5CDA" w:rsidP="00022694">
      <w:pPr>
        <w:numPr>
          <w:ilvl w:val="0"/>
          <w:numId w:val="32"/>
        </w:num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whose native language is a language other than English; or </w:t>
      </w:r>
    </w:p>
    <w:p w14:paraId="000003B2" w14:textId="77777777" w:rsidR="002F3C8D" w:rsidRPr="00B131CA" w:rsidRDefault="00BF5CDA" w:rsidP="00022694">
      <w:pPr>
        <w:numPr>
          <w:ilvl w:val="0"/>
          <w:numId w:val="32"/>
        </w:numPr>
        <w:spacing w:after="12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who lives in a family or community environment where a language other than English is the dominant language.</w:t>
      </w:r>
    </w:p>
    <w:p w14:paraId="000003B3" w14:textId="77777777" w:rsidR="002F3C8D" w:rsidRPr="00B131CA" w:rsidRDefault="00BF5CDA">
      <w:pPr>
        <w:spacing w:after="120" w:line="240" w:lineRule="auto"/>
        <w:rPr>
          <w:rFonts w:ascii="Times New Roman" w:eastAsia="Times New Roman" w:hAnsi="Times New Roman" w:cs="Times New Roman"/>
          <w:i/>
          <w:sz w:val="24"/>
          <w:szCs w:val="24"/>
        </w:rPr>
      </w:pPr>
      <w:r w:rsidRPr="00932B32">
        <w:rPr>
          <w:rFonts w:ascii="Times New Roman" w:hAnsi="Times New Roman"/>
          <w:i/>
          <w:sz w:val="24"/>
        </w:rPr>
        <w:t>Family Literacy Activities</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Activities of sufficient intensity and quality to make sustainable improvements in the economic prospects for a family and that better enable parents or family members to support their children’s learning needs and that integrate </w:t>
      </w:r>
      <w:proofErr w:type="gramStart"/>
      <w:r w:rsidRPr="00B131CA">
        <w:rPr>
          <w:rFonts w:ascii="Times New Roman" w:eastAsia="Times New Roman" w:hAnsi="Times New Roman" w:cs="Times New Roman"/>
          <w:sz w:val="24"/>
          <w:szCs w:val="24"/>
        </w:rPr>
        <w:t>all of</w:t>
      </w:r>
      <w:proofErr w:type="gramEnd"/>
      <w:r w:rsidRPr="00B131CA">
        <w:rPr>
          <w:rFonts w:ascii="Times New Roman" w:eastAsia="Times New Roman" w:hAnsi="Times New Roman" w:cs="Times New Roman"/>
          <w:sz w:val="24"/>
          <w:szCs w:val="24"/>
        </w:rPr>
        <w:t xml:space="preserve"> the following activities:</w:t>
      </w:r>
    </w:p>
    <w:p w14:paraId="000003B4" w14:textId="6830F2B0" w:rsidR="002F3C8D" w:rsidRPr="00B131CA" w:rsidRDefault="00B86822" w:rsidP="00022694">
      <w:pPr>
        <w:numPr>
          <w:ilvl w:val="0"/>
          <w:numId w:val="29"/>
        </w:num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P</w:t>
      </w:r>
      <w:r w:rsidR="00BF5CDA" w:rsidRPr="00B131CA">
        <w:rPr>
          <w:rFonts w:ascii="Times New Roman" w:eastAsia="Times New Roman" w:hAnsi="Times New Roman" w:cs="Times New Roman"/>
          <w:sz w:val="24"/>
          <w:szCs w:val="24"/>
        </w:rPr>
        <w:t xml:space="preserve">arent or family adult education and literacy activities that lead to readiness for postsecondary education or training, career advancement, and economic </w:t>
      </w:r>
      <w:proofErr w:type="gramStart"/>
      <w:r w:rsidR="00BF5CDA" w:rsidRPr="00B131CA">
        <w:rPr>
          <w:rFonts w:ascii="Times New Roman" w:eastAsia="Times New Roman" w:hAnsi="Times New Roman" w:cs="Times New Roman"/>
          <w:sz w:val="24"/>
          <w:szCs w:val="24"/>
        </w:rPr>
        <w:t>self-sufficiency;</w:t>
      </w:r>
      <w:proofErr w:type="gramEnd"/>
    </w:p>
    <w:p w14:paraId="000003B5" w14:textId="38DB44BF" w:rsidR="002F3C8D" w:rsidRPr="00B131CA" w:rsidRDefault="00B86822" w:rsidP="00022694">
      <w:pPr>
        <w:numPr>
          <w:ilvl w:val="0"/>
          <w:numId w:val="29"/>
        </w:num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I</w:t>
      </w:r>
      <w:r w:rsidR="00BF5CDA" w:rsidRPr="00B131CA">
        <w:rPr>
          <w:rFonts w:ascii="Times New Roman" w:eastAsia="Times New Roman" w:hAnsi="Times New Roman" w:cs="Times New Roman"/>
          <w:sz w:val="24"/>
          <w:szCs w:val="24"/>
        </w:rPr>
        <w:t xml:space="preserve">nteractive literacy activities between parents or family members and their </w:t>
      </w:r>
      <w:proofErr w:type="gramStart"/>
      <w:r w:rsidR="00BF5CDA" w:rsidRPr="00B131CA">
        <w:rPr>
          <w:rFonts w:ascii="Times New Roman" w:eastAsia="Times New Roman" w:hAnsi="Times New Roman" w:cs="Times New Roman"/>
          <w:sz w:val="24"/>
          <w:szCs w:val="24"/>
        </w:rPr>
        <w:t>children;</w:t>
      </w:r>
      <w:proofErr w:type="gramEnd"/>
    </w:p>
    <w:p w14:paraId="000003B6" w14:textId="4EE92210" w:rsidR="002F3C8D" w:rsidRPr="00B131CA" w:rsidRDefault="00B86822" w:rsidP="00022694">
      <w:pPr>
        <w:numPr>
          <w:ilvl w:val="0"/>
          <w:numId w:val="29"/>
        </w:numPr>
        <w:spacing w:after="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T</w:t>
      </w:r>
      <w:r w:rsidR="00BF5CDA" w:rsidRPr="00B131CA">
        <w:rPr>
          <w:rFonts w:ascii="Times New Roman" w:eastAsia="Times New Roman" w:hAnsi="Times New Roman" w:cs="Times New Roman"/>
          <w:sz w:val="24"/>
          <w:szCs w:val="24"/>
        </w:rPr>
        <w:t>raining for parents or family members regarding how to be the primary teacher for their children and full partners in the education of their children; and</w:t>
      </w:r>
    </w:p>
    <w:p w14:paraId="000003B7" w14:textId="60CC8F03" w:rsidR="002F3C8D" w:rsidRPr="00B131CA" w:rsidRDefault="00B86822" w:rsidP="00022694">
      <w:pPr>
        <w:numPr>
          <w:ilvl w:val="0"/>
          <w:numId w:val="29"/>
        </w:numPr>
        <w:spacing w:after="12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A</w:t>
      </w:r>
      <w:r w:rsidR="00BF5CDA" w:rsidRPr="00B131CA">
        <w:rPr>
          <w:rFonts w:ascii="Times New Roman" w:eastAsia="Times New Roman" w:hAnsi="Times New Roman" w:cs="Times New Roman"/>
          <w:sz w:val="24"/>
          <w:szCs w:val="24"/>
        </w:rPr>
        <w:t>n age-appropriate education to prepare children for success in school and life experiences.</w:t>
      </w:r>
    </w:p>
    <w:p w14:paraId="000003B8" w14:textId="77777777" w:rsidR="002F3C8D" w:rsidRPr="00B131CA" w:rsidRDefault="00BF5CDA">
      <w:pPr>
        <w:spacing w:after="12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Providers offering family literacy activities must abide by the Special Rule in WIOA Sec. 231(d). </w:t>
      </w:r>
    </w:p>
    <w:p w14:paraId="000003B9" w14:textId="5287E46F"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Flipped Classroom</w:t>
      </w:r>
      <w:r w:rsidRPr="00B131CA">
        <w:rPr>
          <w:rFonts w:ascii="Times New Roman" w:eastAsia="Times New Roman" w:hAnsi="Times New Roman" w:cs="Times New Roman"/>
          <w:sz w:val="24"/>
          <w:szCs w:val="24"/>
        </w:rPr>
        <w:t xml:space="preserve"> — A blended learning model in which students learn the concepts first in their own </w:t>
      </w:r>
      <w:r w:rsidR="00107111">
        <w:rPr>
          <w:rFonts w:ascii="Times New Roman" w:eastAsia="Times New Roman" w:hAnsi="Times New Roman" w:cs="Times New Roman"/>
          <w:sz w:val="24"/>
          <w:szCs w:val="24"/>
        </w:rPr>
        <w:t xml:space="preserve">time and </w:t>
      </w:r>
      <w:r w:rsidRPr="00B131CA">
        <w:rPr>
          <w:rFonts w:ascii="Times New Roman" w:eastAsia="Times New Roman" w:hAnsi="Times New Roman" w:cs="Times New Roman"/>
          <w:sz w:val="24"/>
          <w:szCs w:val="24"/>
        </w:rPr>
        <w:t>space</w:t>
      </w:r>
      <w:r w:rsidR="00107111">
        <w:rPr>
          <w:rFonts w:ascii="Times New Roman" w:eastAsia="Times New Roman" w:hAnsi="Times New Roman" w:cs="Times New Roman"/>
          <w:sz w:val="24"/>
          <w:szCs w:val="24"/>
        </w:rPr>
        <w:t xml:space="preserve"> (asynchronously)</w:t>
      </w:r>
      <w:r w:rsidRPr="00B131CA">
        <w:rPr>
          <w:rFonts w:ascii="Times New Roman" w:eastAsia="Times New Roman" w:hAnsi="Times New Roman" w:cs="Times New Roman"/>
          <w:sz w:val="24"/>
          <w:szCs w:val="24"/>
        </w:rPr>
        <w:t>. Teachers then use the synchronous class time to discuss what the students learned and apply those concepts to the classroom activities.</w:t>
      </w:r>
    </w:p>
    <w:p w14:paraId="000003BA" w14:textId="0C1EFDE9"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GED Ready</w:t>
      </w:r>
      <w:r w:rsidRPr="00B131CA">
        <w:rPr>
          <w:rFonts w:ascii="Times New Roman" w:eastAsia="Times New Roman" w:hAnsi="Times New Roman" w:cs="Times New Roman"/>
          <w:sz w:val="24"/>
          <w:szCs w:val="24"/>
          <w:vertAlign w:val="superscript"/>
        </w:rPr>
        <w:t>®</w:t>
      </w:r>
      <w:r w:rsidRPr="00932B32">
        <w:rPr>
          <w:rFonts w:ascii="Times New Roman" w:hAnsi="Times New Roman"/>
          <w:i/>
          <w:sz w:val="24"/>
        </w:rPr>
        <w:t xml:space="preserve"> </w:t>
      </w:r>
      <w:r w:rsidRPr="00B131CA">
        <w:rPr>
          <w:rFonts w:ascii="Times New Roman" w:eastAsia="Times New Roman" w:hAnsi="Times New Roman" w:cs="Times New Roman"/>
          <w:sz w:val="24"/>
          <w:szCs w:val="24"/>
        </w:rPr>
        <w:t>— GED Ready</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is the official practice test for the 2014 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test series. It is half the length of the 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operational test. The score</w:t>
      </w:r>
      <w:r w:rsidR="002066E6">
        <w:rPr>
          <w:rFonts w:ascii="Times New Roman" w:eastAsia="Times New Roman" w:hAnsi="Times New Roman" w:cs="Times New Roman"/>
          <w:sz w:val="24"/>
          <w:szCs w:val="24"/>
        </w:rPr>
        <w:t>s</w:t>
      </w:r>
      <w:r w:rsidRPr="00B131CA">
        <w:rPr>
          <w:rFonts w:ascii="Times New Roman" w:eastAsia="Times New Roman" w:hAnsi="Times New Roman" w:cs="Times New Roman"/>
          <w:sz w:val="24"/>
          <w:szCs w:val="24"/>
        </w:rPr>
        <w:t xml:space="preserve"> earned on this test </w:t>
      </w:r>
      <w:r w:rsidR="002066E6">
        <w:rPr>
          <w:rFonts w:ascii="Times New Roman" w:eastAsia="Times New Roman" w:hAnsi="Times New Roman" w:cs="Times New Roman"/>
          <w:sz w:val="24"/>
          <w:szCs w:val="24"/>
        </w:rPr>
        <w:t>are</w:t>
      </w:r>
      <w:r w:rsidRPr="00B131CA">
        <w:rPr>
          <w:rFonts w:ascii="Times New Roman" w:eastAsia="Times New Roman" w:hAnsi="Times New Roman" w:cs="Times New Roman"/>
          <w:sz w:val="24"/>
          <w:szCs w:val="24"/>
        </w:rPr>
        <w:t xml:space="preserve"> good predictor</w:t>
      </w:r>
      <w:r w:rsidR="006825A6">
        <w:rPr>
          <w:rFonts w:ascii="Times New Roman" w:eastAsia="Times New Roman" w:hAnsi="Times New Roman" w:cs="Times New Roman"/>
          <w:sz w:val="24"/>
          <w:szCs w:val="24"/>
        </w:rPr>
        <w:t>s</w:t>
      </w:r>
      <w:r w:rsidRPr="00B131CA">
        <w:rPr>
          <w:rFonts w:ascii="Times New Roman" w:eastAsia="Times New Roman" w:hAnsi="Times New Roman" w:cs="Times New Roman"/>
          <w:sz w:val="24"/>
          <w:szCs w:val="24"/>
        </w:rPr>
        <w:t xml:space="preserve"> of scores earned on the 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operational test. GED Ready</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provides all students with a diagnostic report to help guide a personal study plan based on their performance on the practice test. </w:t>
      </w:r>
    </w:p>
    <w:p w14:paraId="000003BB" w14:textId="2653811B" w:rsidR="002F3C8D" w:rsidRPr="00B131CA" w:rsidRDefault="00BF5CDA">
      <w:pPr>
        <w:spacing w:after="120" w:line="240" w:lineRule="auto"/>
        <w:rPr>
          <w:rFonts w:ascii="Times New Roman" w:eastAsia="Times New Roman" w:hAnsi="Times New Roman" w:cs="Times New Roman"/>
          <w:color w:val="7030A0"/>
          <w:sz w:val="24"/>
          <w:szCs w:val="24"/>
        </w:rPr>
      </w:pPr>
      <w:r w:rsidRPr="00932B32">
        <w:rPr>
          <w:rFonts w:ascii="Times New Roman" w:hAnsi="Times New Roman"/>
          <w:i/>
          <w:sz w:val="24"/>
        </w:rPr>
        <w:t>GED</w:t>
      </w:r>
      <w:r w:rsidRPr="00B131CA">
        <w:rPr>
          <w:rFonts w:ascii="Times New Roman" w:eastAsia="Times New Roman" w:hAnsi="Times New Roman" w:cs="Times New Roman"/>
          <w:sz w:val="24"/>
          <w:szCs w:val="24"/>
          <w:vertAlign w:val="superscript"/>
        </w:rPr>
        <w:t>®</w:t>
      </w:r>
      <w:r w:rsidRPr="00932B32">
        <w:rPr>
          <w:rFonts w:ascii="Times New Roman" w:hAnsi="Times New Roman"/>
          <w:sz w:val="24"/>
        </w:rPr>
        <w:t xml:space="preserve"> </w:t>
      </w:r>
      <w:r w:rsidRPr="00932B32">
        <w:rPr>
          <w:rFonts w:ascii="Times New Roman" w:hAnsi="Times New Roman"/>
          <w:i/>
          <w:sz w:val="24"/>
        </w:rPr>
        <w:t xml:space="preserve">Test </w:t>
      </w:r>
      <w:r w:rsidRPr="00B131CA">
        <w:rPr>
          <w:rFonts w:ascii="Times New Roman" w:eastAsia="Times New Roman" w:hAnsi="Times New Roman" w:cs="Times New Roman"/>
          <w:sz w:val="24"/>
          <w:szCs w:val="24"/>
        </w:rPr>
        <w:t>— The 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test was developed so that adults who did not finish high school could demonstrate the attainment of abilities normally associated with the completion of a high school program of study. Adults must pass a battery of four tests to earn a 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certificate: Reasoning through Language Arts (RLA), Mathematical Reasoning, Science, and Social Studies. Currently, this is the only high school equivalency test approved</w:t>
      </w:r>
      <w:r w:rsidR="00AE32D9">
        <w:rPr>
          <w:rFonts w:ascii="Times New Roman" w:eastAsia="Times New Roman" w:hAnsi="Times New Roman" w:cs="Times New Roman"/>
          <w:sz w:val="24"/>
          <w:szCs w:val="24"/>
        </w:rPr>
        <w:t xml:space="preserve"> for administration in Virginia</w:t>
      </w:r>
      <w:r w:rsidRPr="00932B32">
        <w:rPr>
          <w:rFonts w:ascii="Times New Roman" w:hAnsi="Times New Roman"/>
          <w:color w:val="7030A0"/>
          <w:sz w:val="24"/>
        </w:rPr>
        <w:t>.</w:t>
      </w:r>
      <w:r w:rsidRPr="00B131CA">
        <w:rPr>
          <w:rFonts w:ascii="Times New Roman" w:eastAsia="Times New Roman" w:hAnsi="Times New Roman" w:cs="Times New Roman"/>
          <w:color w:val="7030A0"/>
          <w:sz w:val="24"/>
          <w:szCs w:val="24"/>
        </w:rPr>
        <w:t xml:space="preserve"> </w:t>
      </w:r>
    </w:p>
    <w:p w14:paraId="000003BC"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lastRenderedPageBreak/>
        <w:t>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w:t>
      </w:r>
      <w:r w:rsidRPr="00932B32">
        <w:rPr>
          <w:rFonts w:ascii="Times New Roman" w:hAnsi="Times New Roman"/>
          <w:i/>
          <w:sz w:val="24"/>
        </w:rPr>
        <w:t xml:space="preserve">Testing Service (GEDTS) </w:t>
      </w:r>
      <w:r w:rsidRPr="00B131CA">
        <w:rPr>
          <w:rFonts w:ascii="Times New Roman" w:eastAsia="Times New Roman" w:hAnsi="Times New Roman" w:cs="Times New Roman"/>
          <w:sz w:val="24"/>
          <w:szCs w:val="24"/>
        </w:rPr>
        <w:t>— 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Testing Service is a joint venture of the American Council on Education and Pearson VUE, the two organizations that produce and govern the GED</w:t>
      </w:r>
      <w:r w:rsidRPr="00B131CA">
        <w:rPr>
          <w:rFonts w:ascii="Times New Roman" w:eastAsia="Times New Roman" w:hAnsi="Times New Roman" w:cs="Times New Roman"/>
          <w:sz w:val="24"/>
          <w:szCs w:val="24"/>
          <w:vertAlign w:val="superscript"/>
        </w:rPr>
        <w:t>®</w:t>
      </w:r>
      <w:r w:rsidRPr="00B131CA">
        <w:rPr>
          <w:rFonts w:ascii="Times New Roman" w:eastAsia="Times New Roman" w:hAnsi="Times New Roman" w:cs="Times New Roman"/>
          <w:sz w:val="24"/>
          <w:szCs w:val="24"/>
        </w:rPr>
        <w:t xml:space="preserve"> test. </w:t>
      </w:r>
    </w:p>
    <w:p w14:paraId="000003BD" w14:textId="626C9363" w:rsidR="002F3C8D" w:rsidRPr="00B131CA" w:rsidRDefault="00BF5CDA">
      <w:pPr>
        <w:spacing w:after="120" w:line="240" w:lineRule="auto"/>
        <w:rPr>
          <w:rFonts w:ascii="Times New Roman" w:eastAsia="Times New Roman" w:hAnsi="Times New Roman" w:cs="Times New Roman"/>
          <w:color w:val="7030A0"/>
          <w:sz w:val="24"/>
          <w:szCs w:val="24"/>
        </w:rPr>
      </w:pPr>
      <w:r w:rsidRPr="00932B32">
        <w:rPr>
          <w:rFonts w:ascii="Times New Roman" w:hAnsi="Times New Roman"/>
          <w:i/>
          <w:sz w:val="24"/>
        </w:rPr>
        <w:t xml:space="preserve">General Adult Education (GAE) </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color w:val="7030A0"/>
          <w:sz w:val="24"/>
          <w:szCs w:val="24"/>
        </w:rPr>
        <w:t xml:space="preserve"> </w:t>
      </w:r>
      <w:r w:rsidR="00107111">
        <w:rPr>
          <w:rFonts w:ascii="Times New Roman" w:eastAsia="Times New Roman" w:hAnsi="Times New Roman" w:cs="Times New Roman"/>
          <w:sz w:val="24"/>
          <w:szCs w:val="24"/>
        </w:rPr>
        <w:t>A</w:t>
      </w:r>
      <w:r w:rsidRPr="00B131CA">
        <w:rPr>
          <w:rFonts w:ascii="Times New Roman" w:eastAsia="Times New Roman" w:hAnsi="Times New Roman" w:cs="Times New Roman"/>
          <w:sz w:val="24"/>
          <w:szCs w:val="24"/>
        </w:rPr>
        <w:t xml:space="preserve"> funding stream, along with SLCA</w:t>
      </w:r>
      <w:r w:rsidR="006825A6">
        <w:rPr>
          <w:rFonts w:ascii="Times New Roman" w:eastAsia="Times New Roman" w:hAnsi="Times New Roman" w:cs="Times New Roman"/>
          <w:sz w:val="24"/>
          <w:szCs w:val="24"/>
        </w:rPr>
        <w:t xml:space="preserve"> and </w:t>
      </w:r>
      <w:proofErr w:type="spellStart"/>
      <w:r w:rsidR="006825A6">
        <w:rPr>
          <w:rFonts w:ascii="Times New Roman" w:eastAsia="Times New Roman" w:hAnsi="Times New Roman" w:cs="Times New Roman"/>
          <w:sz w:val="24"/>
          <w:szCs w:val="24"/>
        </w:rPr>
        <w:t>PluggedIn</w:t>
      </w:r>
      <w:proofErr w:type="spellEnd"/>
      <w:r w:rsidR="006825A6">
        <w:rPr>
          <w:rFonts w:ascii="Times New Roman" w:eastAsia="Times New Roman" w:hAnsi="Times New Roman" w:cs="Times New Roman"/>
          <w:sz w:val="24"/>
          <w:szCs w:val="24"/>
        </w:rPr>
        <w:t xml:space="preserve"> VA</w:t>
      </w:r>
      <w:r w:rsidRPr="00B131CA">
        <w:rPr>
          <w:rFonts w:ascii="Times New Roman" w:eastAsia="Times New Roman" w:hAnsi="Times New Roman" w:cs="Times New Roman"/>
          <w:sz w:val="24"/>
          <w:szCs w:val="24"/>
        </w:rPr>
        <w:t xml:space="preserve">, that is awarded from the Virginia General Assembly budget </w:t>
      </w:r>
      <w:r w:rsidR="00107111">
        <w:rPr>
          <w:rFonts w:ascii="Times New Roman" w:eastAsia="Times New Roman" w:hAnsi="Times New Roman" w:cs="Times New Roman"/>
          <w:sz w:val="24"/>
          <w:szCs w:val="24"/>
        </w:rPr>
        <w:t>toward</w:t>
      </w:r>
      <w:r w:rsidRPr="00B131CA">
        <w:rPr>
          <w:rFonts w:ascii="Times New Roman" w:eastAsia="Times New Roman" w:hAnsi="Times New Roman" w:cs="Times New Roman"/>
          <w:sz w:val="24"/>
          <w:szCs w:val="24"/>
        </w:rPr>
        <w:t xml:space="preserve"> the required state match to the federal AEFLA award.</w:t>
      </w:r>
      <w:r w:rsidR="008C2C69"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The</w:t>
      </w:r>
      <w:r w:rsidR="006825A6">
        <w:rPr>
          <w:rFonts w:ascii="Times New Roman" w:eastAsia="Times New Roman" w:hAnsi="Times New Roman" w:cs="Times New Roman"/>
          <w:sz w:val="24"/>
          <w:szCs w:val="24"/>
        </w:rPr>
        <w:t xml:space="preserve"> GAE</w:t>
      </w:r>
      <w:r w:rsidRPr="00B131CA">
        <w:rPr>
          <w:rFonts w:ascii="Times New Roman" w:eastAsia="Times New Roman" w:hAnsi="Times New Roman" w:cs="Times New Roman"/>
          <w:sz w:val="24"/>
          <w:szCs w:val="24"/>
        </w:rPr>
        <w:t xml:space="preserve"> funds are awarded to each of the 22 adult education regions in conjunction with the adult education funds. There is not a separate competitive grant application for these funds. Because these funds are declared as match to the federal funds, the expenditures must follow the same regulations and allowable activities (Sec. 221(b)(2)). Unlike federal funds, state funds are awarded for a one-year grant period and cannot be recouped for reallocation. </w:t>
      </w:r>
    </w:p>
    <w:p w14:paraId="000003BE" w14:textId="41756F86" w:rsidR="002F3C8D"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High School Equivalency (HSE) </w:t>
      </w:r>
      <w:r w:rsidRPr="00B131CA">
        <w:rPr>
          <w:rFonts w:ascii="Times New Roman" w:eastAsia="Times New Roman" w:hAnsi="Times New Roman" w:cs="Times New Roman"/>
          <w:sz w:val="24"/>
          <w:szCs w:val="24"/>
        </w:rPr>
        <w:t>— The HSE is an option for individuals who did not graduate from high school to demonstrate the knowledge and skills which would have been acquired in the high school curriculum. Upon passing the HSE test, an equivalency credential is earned. In Virginia, the credential is called a certificate.</w:t>
      </w:r>
    </w:p>
    <w:p w14:paraId="6A53B143" w14:textId="64ED8824" w:rsidR="001807B9" w:rsidRPr="00113D3A" w:rsidRDefault="001807B9" w:rsidP="001807B9">
      <w:pPr>
        <w:spacing w:after="120" w:line="240" w:lineRule="auto"/>
        <w:rPr>
          <w:rFonts w:ascii="Times New Roman" w:eastAsia="Times New Roman" w:hAnsi="Times New Roman" w:cs="Times New Roman"/>
          <w:sz w:val="24"/>
          <w:szCs w:val="24"/>
        </w:rPr>
      </w:pPr>
      <w:r w:rsidRPr="009729C1">
        <w:rPr>
          <w:rFonts w:ascii="Times New Roman" w:eastAsia="Times New Roman" w:hAnsi="Times New Roman" w:cs="Times New Roman"/>
          <w:i/>
          <w:sz w:val="24"/>
          <w:szCs w:val="24"/>
        </w:rPr>
        <w:t xml:space="preserve">Hybrid </w:t>
      </w:r>
      <w:r>
        <w:rPr>
          <w:rFonts w:ascii="Times New Roman" w:eastAsia="Times New Roman" w:hAnsi="Times New Roman" w:cs="Times New Roman"/>
          <w:i/>
          <w:sz w:val="24"/>
          <w:szCs w:val="24"/>
        </w:rPr>
        <w:t>learning</w:t>
      </w:r>
      <w:r>
        <w:rPr>
          <w:rFonts w:ascii="Times New Roman" w:eastAsia="Times New Roman" w:hAnsi="Times New Roman" w:cs="Times New Roman"/>
          <w:b/>
          <w:sz w:val="24"/>
          <w:szCs w:val="24"/>
        </w:rPr>
        <w:t xml:space="preserve"> </w:t>
      </w:r>
      <w:r w:rsidRPr="00B131CA">
        <w:rPr>
          <w:rFonts w:ascii="Times New Roman" w:eastAsia="Times New Roman" w:hAnsi="Times New Roman" w:cs="Times New Roman"/>
          <w:sz w:val="24"/>
          <w:szCs w:val="24"/>
        </w:rPr>
        <w:t>—</w:t>
      </w:r>
      <w:r w:rsidRPr="001807B9">
        <w:rPr>
          <w:rFonts w:ascii="Times New Roman" w:eastAsia="Times New Roman" w:hAnsi="Times New Roman" w:cs="Times New Roman"/>
          <w:sz w:val="24"/>
          <w:szCs w:val="24"/>
        </w:rPr>
        <w:t xml:space="preserve"> Hybrid </w:t>
      </w:r>
      <w:r>
        <w:rPr>
          <w:rFonts w:ascii="Times New Roman" w:eastAsia="Times New Roman" w:hAnsi="Times New Roman" w:cs="Times New Roman"/>
          <w:sz w:val="24"/>
          <w:szCs w:val="24"/>
        </w:rPr>
        <w:t xml:space="preserve">learning </w:t>
      </w:r>
      <w:r w:rsidRPr="001807B9">
        <w:rPr>
          <w:rFonts w:ascii="Times New Roman" w:eastAsia="Times New Roman" w:hAnsi="Times New Roman" w:cs="Times New Roman"/>
          <w:sz w:val="24"/>
          <w:szCs w:val="24"/>
        </w:rPr>
        <w:t>models employ both an online curriculum product and in-class</w:t>
      </w:r>
      <w:r>
        <w:rPr>
          <w:rFonts w:ascii="Times New Roman" w:eastAsia="Times New Roman" w:hAnsi="Times New Roman" w:cs="Times New Roman"/>
          <w:sz w:val="24"/>
          <w:szCs w:val="24"/>
        </w:rPr>
        <w:t xml:space="preserve"> or synchronous</w:t>
      </w:r>
      <w:r w:rsidRPr="001807B9">
        <w:rPr>
          <w:rFonts w:ascii="Times New Roman" w:eastAsia="Times New Roman" w:hAnsi="Times New Roman" w:cs="Times New Roman"/>
          <w:sz w:val="24"/>
          <w:szCs w:val="24"/>
        </w:rPr>
        <w:t xml:space="preserve"> </w:t>
      </w:r>
      <w:r w:rsidRPr="00113D3A">
        <w:rPr>
          <w:rFonts w:ascii="Times New Roman" w:eastAsia="Times New Roman" w:hAnsi="Times New Roman" w:cs="Times New Roman"/>
          <w:sz w:val="24"/>
          <w:szCs w:val="24"/>
        </w:rPr>
        <w:t>teaching, but the assigned work that students complete online may</w:t>
      </w:r>
      <w:r w:rsidR="00F7242D" w:rsidRPr="00CD3B25">
        <w:rPr>
          <w:rFonts w:ascii="Times New Roman" w:eastAsia="Times New Roman" w:hAnsi="Times New Roman" w:cs="Times New Roman"/>
          <w:sz w:val="24"/>
          <w:szCs w:val="24"/>
        </w:rPr>
        <w:t xml:space="preserve"> or may</w:t>
      </w:r>
      <w:r w:rsidRPr="00113D3A">
        <w:rPr>
          <w:rFonts w:ascii="Times New Roman" w:eastAsia="Times New Roman" w:hAnsi="Times New Roman" w:cs="Times New Roman"/>
          <w:sz w:val="24"/>
          <w:szCs w:val="24"/>
        </w:rPr>
        <w:t xml:space="preserve"> not be directly aligned to what happens in the classroom.</w:t>
      </w:r>
    </w:p>
    <w:p w14:paraId="17EA36B6" w14:textId="7A5F2EA1" w:rsidR="004E5A8B" w:rsidRPr="00113D3A" w:rsidRDefault="004E5A8B" w:rsidP="004E5A8B">
      <w:pPr>
        <w:spacing w:after="120" w:line="240" w:lineRule="auto"/>
        <w:rPr>
          <w:rFonts w:ascii="Times New Roman" w:eastAsia="Times New Roman" w:hAnsi="Times New Roman" w:cs="Times New Roman"/>
          <w:sz w:val="24"/>
          <w:szCs w:val="24"/>
        </w:rPr>
      </w:pPr>
      <w:proofErr w:type="spellStart"/>
      <w:r w:rsidRPr="00113D3A">
        <w:rPr>
          <w:rFonts w:ascii="Times New Roman" w:eastAsia="Times New Roman" w:hAnsi="Times New Roman" w:cs="Times New Roman"/>
          <w:i/>
          <w:sz w:val="24"/>
          <w:szCs w:val="24"/>
        </w:rPr>
        <w:t>Hyflex</w:t>
      </w:r>
      <w:proofErr w:type="spellEnd"/>
      <w:r w:rsidRPr="00113D3A">
        <w:rPr>
          <w:rFonts w:ascii="Times New Roman" w:eastAsia="Times New Roman" w:hAnsi="Times New Roman" w:cs="Times New Roman"/>
          <w:i/>
          <w:sz w:val="24"/>
          <w:szCs w:val="24"/>
        </w:rPr>
        <w:t xml:space="preserve"> learning</w:t>
      </w:r>
      <w:r w:rsidRPr="00113D3A">
        <w:rPr>
          <w:rFonts w:ascii="Times New Roman" w:eastAsia="Times New Roman" w:hAnsi="Times New Roman" w:cs="Times New Roman"/>
          <w:b/>
          <w:sz w:val="24"/>
          <w:szCs w:val="24"/>
        </w:rPr>
        <w:t xml:space="preserve"> </w:t>
      </w:r>
      <w:r w:rsidRPr="00113D3A">
        <w:rPr>
          <w:rFonts w:ascii="Times New Roman" w:eastAsia="Times New Roman" w:hAnsi="Times New Roman" w:cs="Times New Roman"/>
          <w:sz w:val="24"/>
          <w:szCs w:val="24"/>
        </w:rPr>
        <w:t xml:space="preserve">— </w:t>
      </w:r>
      <w:proofErr w:type="spellStart"/>
      <w:r w:rsidRPr="000D6000">
        <w:rPr>
          <w:rFonts w:ascii="Times New Roman" w:hAnsi="Times New Roman" w:cs="Times New Roman"/>
          <w:sz w:val="24"/>
          <w:szCs w:val="24"/>
          <w:shd w:val="clear" w:color="auto" w:fill="FFFFFF"/>
        </w:rPr>
        <w:t>HyFlex</w:t>
      </w:r>
      <w:proofErr w:type="spellEnd"/>
      <w:r w:rsidRPr="000D6000">
        <w:rPr>
          <w:rFonts w:ascii="Times New Roman" w:hAnsi="Times New Roman" w:cs="Times New Roman"/>
          <w:sz w:val="24"/>
          <w:szCs w:val="24"/>
          <w:shd w:val="clear" w:color="auto" w:fill="FFFFFF"/>
        </w:rPr>
        <w:t xml:space="preserve"> is an emerging instructional method in adult education. In this method, learners can choose to participate in online or in-person synchronous classes. This requires the teacher to simultaneously teach in-person and online learners. </w:t>
      </w:r>
    </w:p>
    <w:p w14:paraId="000003BF" w14:textId="77777777" w:rsidR="002F3C8D" w:rsidRPr="00B131CA" w:rsidRDefault="00BF5CDA">
      <w:pPr>
        <w:spacing w:after="120" w:line="240" w:lineRule="auto"/>
        <w:rPr>
          <w:rFonts w:ascii="Times New Roman" w:eastAsia="Times New Roman" w:hAnsi="Times New Roman" w:cs="Times New Roman"/>
          <w:sz w:val="24"/>
          <w:szCs w:val="24"/>
        </w:rPr>
      </w:pPr>
      <w:r w:rsidRPr="00113D3A">
        <w:rPr>
          <w:rFonts w:ascii="Times New Roman" w:hAnsi="Times New Roman" w:cs="Times New Roman"/>
          <w:i/>
          <w:sz w:val="24"/>
          <w:szCs w:val="24"/>
        </w:rPr>
        <w:t>Incumbent Worker</w:t>
      </w:r>
      <w:r w:rsidRPr="00113D3A">
        <w:rPr>
          <w:rFonts w:ascii="Times New Roman" w:eastAsia="Times New Roman" w:hAnsi="Times New Roman" w:cs="Times New Roman"/>
          <w:i/>
          <w:sz w:val="24"/>
          <w:szCs w:val="24"/>
        </w:rPr>
        <w:t xml:space="preserve"> </w:t>
      </w:r>
      <w:r w:rsidRPr="00113D3A">
        <w:rPr>
          <w:rFonts w:ascii="Times New Roman" w:eastAsia="Times New Roman" w:hAnsi="Times New Roman" w:cs="Times New Roman"/>
          <w:sz w:val="24"/>
          <w:szCs w:val="24"/>
        </w:rPr>
        <w:t>—</w:t>
      </w:r>
      <w:r w:rsidRPr="00113D3A">
        <w:rPr>
          <w:rFonts w:ascii="Times New Roman" w:eastAsia="Times New Roman" w:hAnsi="Times New Roman" w:cs="Times New Roman"/>
          <w:i/>
          <w:sz w:val="24"/>
          <w:szCs w:val="24"/>
        </w:rPr>
        <w:t xml:space="preserve"> </w:t>
      </w:r>
      <w:r w:rsidRPr="00113D3A">
        <w:rPr>
          <w:rFonts w:ascii="Times New Roman" w:eastAsia="Times New Roman" w:hAnsi="Times New Roman" w:cs="Times New Roman"/>
          <w:sz w:val="24"/>
          <w:szCs w:val="24"/>
        </w:rPr>
        <w:t>An individual</w:t>
      </w:r>
      <w:r w:rsidRPr="00B131CA">
        <w:rPr>
          <w:rFonts w:ascii="Times New Roman" w:eastAsia="Times New Roman" w:hAnsi="Times New Roman" w:cs="Times New Roman"/>
          <w:sz w:val="24"/>
          <w:szCs w:val="24"/>
        </w:rPr>
        <w:t xml:space="preserve"> who has an established employment history with an employer for six months or more.</w:t>
      </w:r>
    </w:p>
    <w:p w14:paraId="000003C0"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Integrated Education and Training (IET)</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A service approach that provides adult education and literacy activities concurrently and contextually with workforce preparation activities and workforce training for a specific occupation or occupational cluster for the purpose of educational and career advancement. As a part of a career pathway, the design of an IET program should support the local workforce development board plans. The IET program must include three components:</w:t>
      </w:r>
    </w:p>
    <w:p w14:paraId="000003C1" w14:textId="7E81179C" w:rsidR="002F3C8D" w:rsidRPr="00A506D9" w:rsidRDefault="00BF5CDA" w:rsidP="00022694">
      <w:pPr>
        <w:pStyle w:val="ListParagraph"/>
        <w:numPr>
          <w:ilvl w:val="0"/>
          <w:numId w:val="44"/>
        </w:numPr>
        <w:spacing w:after="0" w:line="240" w:lineRule="auto"/>
        <w:ind w:left="720"/>
        <w:rPr>
          <w:rFonts w:ascii="Times New Roman" w:eastAsia="Times New Roman" w:hAnsi="Times New Roman" w:cs="Times New Roman"/>
          <w:sz w:val="24"/>
          <w:szCs w:val="24"/>
        </w:rPr>
      </w:pPr>
      <w:r w:rsidRPr="00A506D9">
        <w:rPr>
          <w:rFonts w:ascii="Times New Roman" w:eastAsia="Times New Roman" w:hAnsi="Times New Roman" w:cs="Times New Roman"/>
          <w:sz w:val="24"/>
          <w:szCs w:val="24"/>
        </w:rPr>
        <w:t>adult education and literacy activities,</w:t>
      </w:r>
    </w:p>
    <w:p w14:paraId="000003C2" w14:textId="77777777" w:rsidR="002F3C8D" w:rsidRPr="00B131CA" w:rsidRDefault="00BF5CDA" w:rsidP="00022694">
      <w:pPr>
        <w:numPr>
          <w:ilvl w:val="0"/>
          <w:numId w:val="44"/>
        </w:numPr>
        <w:spacing w:after="0" w:line="240" w:lineRule="auto"/>
        <w:ind w:left="72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workforce preparation activities, and</w:t>
      </w:r>
    </w:p>
    <w:p w14:paraId="000003C3" w14:textId="77777777" w:rsidR="002F3C8D" w:rsidRPr="00B131CA" w:rsidRDefault="00BF5CDA" w:rsidP="00022694">
      <w:pPr>
        <w:numPr>
          <w:ilvl w:val="0"/>
          <w:numId w:val="44"/>
        </w:numPr>
        <w:spacing w:after="120" w:line="240" w:lineRule="auto"/>
        <w:ind w:left="72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workforce training for a specific occupation or occupational cluster.</w:t>
      </w:r>
    </w:p>
    <w:p w14:paraId="000003C4" w14:textId="77777777" w:rsidR="002F3C8D" w:rsidRPr="00B131CA" w:rsidRDefault="00BF5CDA">
      <w:pPr>
        <w:spacing w:after="12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In order to meet the required three components, services must be provided concurrently and contextually such </w:t>
      </w:r>
      <w:proofErr w:type="gramStart"/>
      <w:r w:rsidRPr="00B131CA">
        <w:rPr>
          <w:rFonts w:ascii="Times New Roman" w:eastAsia="Times New Roman" w:hAnsi="Times New Roman" w:cs="Times New Roman"/>
          <w:sz w:val="24"/>
          <w:szCs w:val="24"/>
        </w:rPr>
        <w:t>that</w:t>
      </w:r>
      <w:proofErr w:type="gramEnd"/>
      <w:r w:rsidRPr="00B131CA">
        <w:rPr>
          <w:rFonts w:ascii="Times New Roman" w:eastAsia="Times New Roman" w:hAnsi="Times New Roman" w:cs="Times New Roman"/>
          <w:sz w:val="24"/>
          <w:szCs w:val="24"/>
        </w:rPr>
        <w:t xml:space="preserve"> </w:t>
      </w:r>
    </w:p>
    <w:p w14:paraId="000003C5" w14:textId="6F4482BE" w:rsidR="002F3C8D" w:rsidRPr="00A506D9" w:rsidRDefault="00A506D9" w:rsidP="006519A6">
      <w:pPr>
        <w:spacing w:after="0" w:line="240" w:lineRule="auto"/>
        <w:ind w:left="720" w:hanging="360"/>
        <w:rPr>
          <w:rFonts w:ascii="Times New Roman" w:eastAsia="Times New Roman" w:hAnsi="Times New Roman" w:cs="Times New Roman"/>
          <w:sz w:val="24"/>
          <w:szCs w:val="24"/>
        </w:rPr>
      </w:pPr>
      <w:r w:rsidRPr="00A506D9">
        <w:rPr>
          <w:rFonts w:ascii="Times New Roman" w:eastAsia="Times New Roman" w:hAnsi="Times New Roman" w:cs="Times New Roman"/>
          <w:sz w:val="24"/>
          <w:szCs w:val="24"/>
        </w:rPr>
        <w:t xml:space="preserve">(a) </w:t>
      </w:r>
      <w:r w:rsidR="00BF5CDA" w:rsidRPr="00A506D9">
        <w:rPr>
          <w:rFonts w:ascii="Times New Roman" w:eastAsia="Times New Roman" w:hAnsi="Times New Roman" w:cs="Times New Roman"/>
          <w:sz w:val="24"/>
          <w:szCs w:val="24"/>
        </w:rPr>
        <w:t>within the overall scope of a particular integrated education and training program, the adult education and literacy activities, workforce preparation activities, and workforce training:</w:t>
      </w:r>
    </w:p>
    <w:p w14:paraId="000003C6" w14:textId="5EE5609B" w:rsidR="002F3C8D" w:rsidRPr="00A506D9" w:rsidRDefault="00A506D9" w:rsidP="002E5CCC">
      <w:pPr>
        <w:spacing w:after="0" w:line="240" w:lineRule="auto"/>
        <w:ind w:left="1350" w:hanging="270"/>
        <w:rPr>
          <w:rFonts w:ascii="Times New Roman" w:eastAsia="Times New Roman" w:hAnsi="Times New Roman" w:cs="Times New Roman"/>
          <w:sz w:val="24"/>
          <w:szCs w:val="24"/>
        </w:rPr>
      </w:pPr>
      <w:r w:rsidRPr="00A506D9">
        <w:rPr>
          <w:rFonts w:ascii="Times New Roman" w:eastAsia="Times New Roman" w:hAnsi="Times New Roman" w:cs="Times New Roman"/>
          <w:sz w:val="24"/>
          <w:szCs w:val="24"/>
        </w:rPr>
        <w:t xml:space="preserve">1. </w:t>
      </w:r>
      <w:r w:rsidR="00BF5CDA" w:rsidRPr="00A506D9">
        <w:rPr>
          <w:rFonts w:ascii="Times New Roman" w:eastAsia="Times New Roman" w:hAnsi="Times New Roman" w:cs="Times New Roman"/>
          <w:sz w:val="24"/>
          <w:szCs w:val="24"/>
        </w:rPr>
        <w:t xml:space="preserve">are each of sufficient intensity and quality, and based on the most rigorous research available, particularly with respect to improving reading, writing, mathematics, and English proficiency of eligible </w:t>
      </w:r>
      <w:proofErr w:type="gramStart"/>
      <w:r w:rsidR="00BF5CDA" w:rsidRPr="00A506D9">
        <w:rPr>
          <w:rFonts w:ascii="Times New Roman" w:eastAsia="Times New Roman" w:hAnsi="Times New Roman" w:cs="Times New Roman"/>
          <w:sz w:val="24"/>
          <w:szCs w:val="24"/>
        </w:rPr>
        <w:t>individuals;</w:t>
      </w:r>
      <w:proofErr w:type="gramEnd"/>
    </w:p>
    <w:p w14:paraId="000003C7" w14:textId="5738C779" w:rsidR="002F3C8D" w:rsidRPr="00A506D9" w:rsidRDefault="00A506D9" w:rsidP="00251701">
      <w:pPr>
        <w:spacing w:after="0" w:line="240" w:lineRule="auto"/>
        <w:ind w:left="1440" w:hanging="360"/>
        <w:rPr>
          <w:rFonts w:ascii="Times New Roman" w:eastAsia="Times New Roman" w:hAnsi="Times New Roman" w:cs="Times New Roman"/>
          <w:sz w:val="24"/>
          <w:szCs w:val="24"/>
        </w:rPr>
      </w:pPr>
      <w:r w:rsidRPr="00A506D9">
        <w:rPr>
          <w:rFonts w:ascii="Times New Roman" w:eastAsia="Times New Roman" w:hAnsi="Times New Roman" w:cs="Times New Roman"/>
          <w:sz w:val="24"/>
          <w:szCs w:val="24"/>
        </w:rPr>
        <w:t xml:space="preserve">2. </w:t>
      </w:r>
      <w:r w:rsidR="00BF5CDA" w:rsidRPr="00A506D9">
        <w:rPr>
          <w:rFonts w:ascii="Times New Roman" w:eastAsia="Times New Roman" w:hAnsi="Times New Roman" w:cs="Times New Roman"/>
          <w:sz w:val="24"/>
          <w:szCs w:val="24"/>
        </w:rPr>
        <w:t>occur simultaneously; and</w:t>
      </w:r>
    </w:p>
    <w:p w14:paraId="542D2DA9" w14:textId="77777777" w:rsidR="00A506D9" w:rsidRPr="00A506D9" w:rsidRDefault="00A506D9" w:rsidP="00251701">
      <w:pPr>
        <w:spacing w:after="0" w:line="240" w:lineRule="auto"/>
        <w:ind w:left="1440" w:hanging="360"/>
        <w:rPr>
          <w:rFonts w:ascii="Times New Roman" w:eastAsia="Times New Roman" w:hAnsi="Times New Roman" w:cs="Times New Roman"/>
          <w:sz w:val="24"/>
          <w:szCs w:val="24"/>
        </w:rPr>
      </w:pPr>
      <w:r w:rsidRPr="00A506D9">
        <w:rPr>
          <w:rFonts w:ascii="Times New Roman" w:eastAsia="Times New Roman" w:hAnsi="Times New Roman" w:cs="Times New Roman"/>
          <w:sz w:val="24"/>
          <w:szCs w:val="24"/>
        </w:rPr>
        <w:t xml:space="preserve">3. </w:t>
      </w:r>
      <w:r w:rsidR="00BF5CDA" w:rsidRPr="00A506D9">
        <w:rPr>
          <w:rFonts w:ascii="Times New Roman" w:eastAsia="Times New Roman" w:hAnsi="Times New Roman" w:cs="Times New Roman"/>
          <w:sz w:val="24"/>
          <w:szCs w:val="24"/>
        </w:rPr>
        <w:t>use occupationally relevant instructional materials.</w:t>
      </w:r>
    </w:p>
    <w:p w14:paraId="000003C9" w14:textId="0589B38B" w:rsidR="002F3C8D" w:rsidRPr="00A506D9" w:rsidRDefault="00A506D9" w:rsidP="006519A6">
      <w:pPr>
        <w:spacing w:line="240" w:lineRule="auto"/>
        <w:ind w:left="720" w:hanging="360"/>
        <w:rPr>
          <w:rFonts w:ascii="Times New Roman" w:eastAsia="Times New Roman" w:hAnsi="Times New Roman" w:cs="Times New Roman"/>
          <w:sz w:val="24"/>
          <w:szCs w:val="24"/>
        </w:rPr>
      </w:pPr>
      <w:r w:rsidRPr="00A506D9">
        <w:rPr>
          <w:rFonts w:ascii="Times New Roman" w:eastAsia="Times New Roman" w:hAnsi="Times New Roman" w:cs="Times New Roman"/>
          <w:sz w:val="24"/>
          <w:szCs w:val="24"/>
        </w:rPr>
        <w:t xml:space="preserve">(b) </w:t>
      </w:r>
      <w:r w:rsidR="00BF5CDA" w:rsidRPr="00A506D9">
        <w:rPr>
          <w:rFonts w:ascii="Times New Roman" w:eastAsia="Times New Roman" w:hAnsi="Times New Roman" w:cs="Times New Roman"/>
          <w:sz w:val="24"/>
          <w:szCs w:val="24"/>
        </w:rPr>
        <w:t xml:space="preserve">the integrated education and training program has a single set of learning objectives that identifies specific adult education content, workforce preparation activities, and </w:t>
      </w:r>
      <w:r w:rsidR="00BF5CDA" w:rsidRPr="00A506D9">
        <w:rPr>
          <w:rFonts w:ascii="Times New Roman" w:eastAsia="Times New Roman" w:hAnsi="Times New Roman" w:cs="Times New Roman"/>
          <w:sz w:val="24"/>
          <w:szCs w:val="24"/>
        </w:rPr>
        <w:lastRenderedPageBreak/>
        <w:t>workforce training competencies, and the program activities are organized to function cooperatively.</w:t>
      </w:r>
    </w:p>
    <w:p w14:paraId="000003CA" w14:textId="77777777" w:rsidR="002F3C8D" w:rsidRPr="00B131CA" w:rsidRDefault="00BF5CDA">
      <w:pPr>
        <w:spacing w:after="120" w:line="240" w:lineRule="auto"/>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A provider meets the requirement that the integrated education and training program provided is for the purpose of educational and career advancement if:</w:t>
      </w:r>
    </w:p>
    <w:p w14:paraId="000003CB" w14:textId="15766067" w:rsidR="002F3C8D" w:rsidRPr="00A506D9" w:rsidRDefault="00BF5CDA" w:rsidP="00022694">
      <w:pPr>
        <w:pStyle w:val="ListParagraph"/>
        <w:numPr>
          <w:ilvl w:val="0"/>
          <w:numId w:val="45"/>
        </w:numPr>
        <w:spacing w:after="0" w:line="240" w:lineRule="auto"/>
        <w:ind w:left="720"/>
        <w:rPr>
          <w:rFonts w:ascii="Times New Roman" w:eastAsia="Times New Roman" w:hAnsi="Times New Roman" w:cs="Times New Roman"/>
          <w:sz w:val="24"/>
          <w:szCs w:val="24"/>
        </w:rPr>
      </w:pPr>
      <w:r w:rsidRPr="00A506D9">
        <w:rPr>
          <w:rFonts w:ascii="Times New Roman" w:eastAsia="Times New Roman" w:hAnsi="Times New Roman" w:cs="Times New Roman"/>
          <w:sz w:val="24"/>
          <w:szCs w:val="24"/>
        </w:rPr>
        <w:t>the adult education component of the program is aligned with the College and Career Readiness Standards for adult education as described in the Combined State Plan, and</w:t>
      </w:r>
    </w:p>
    <w:p w14:paraId="000003CC" w14:textId="77777777" w:rsidR="002F3C8D" w:rsidRPr="00B131CA" w:rsidRDefault="00BF5CDA" w:rsidP="00022694">
      <w:pPr>
        <w:numPr>
          <w:ilvl w:val="0"/>
          <w:numId w:val="45"/>
        </w:numPr>
        <w:spacing w:after="0" w:line="240" w:lineRule="auto"/>
        <w:ind w:left="72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the integrated education and training program is part of a career pathway.</w:t>
      </w:r>
    </w:p>
    <w:p w14:paraId="000003CD" w14:textId="77777777" w:rsidR="002F3C8D" w:rsidRPr="00932B32" w:rsidRDefault="002F3C8D">
      <w:pPr>
        <w:spacing w:after="0" w:line="240" w:lineRule="auto"/>
        <w:rPr>
          <w:rFonts w:ascii="Times New Roman" w:hAnsi="Times New Roman"/>
          <w:i/>
          <w:color w:val="7030A0"/>
          <w:sz w:val="24"/>
        </w:rPr>
      </w:pPr>
    </w:p>
    <w:p w14:paraId="000003CE" w14:textId="588C39B0"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Individual Student Alternative Education Plan (ISAEP) </w:t>
      </w:r>
      <w:r w:rsidRPr="00B131CA">
        <w:rPr>
          <w:rFonts w:ascii="Times New Roman" w:eastAsia="Times New Roman" w:hAnsi="Times New Roman" w:cs="Times New Roman"/>
          <w:sz w:val="24"/>
          <w:szCs w:val="24"/>
        </w:rPr>
        <w:t xml:space="preserve">— In accordance with the </w:t>
      </w:r>
      <w:r w:rsidRPr="00932B32">
        <w:rPr>
          <w:rFonts w:ascii="Times New Roman" w:hAnsi="Times New Roman"/>
          <w:i/>
          <w:sz w:val="24"/>
        </w:rPr>
        <w:t>Code of Virginia</w:t>
      </w:r>
      <w:r w:rsidR="00A506D9">
        <w:rPr>
          <w:rFonts w:ascii="Times New Roman" w:hAnsi="Times New Roman"/>
          <w:i/>
          <w:sz w:val="24"/>
        </w:rPr>
        <w:t xml:space="preserve"> </w:t>
      </w:r>
      <w:hyperlink r:id="rId168" w:history="1">
        <w:r w:rsidR="00A506D9" w:rsidRPr="00A506D9">
          <w:rPr>
            <w:rStyle w:val="Hyperlink"/>
            <w:rFonts w:ascii="Times New Roman" w:hAnsi="Times New Roman"/>
            <w:sz w:val="24"/>
          </w:rPr>
          <w:t>§22.1-254D.E</w:t>
        </w:r>
      </w:hyperlink>
      <w:r w:rsidR="00A506D9">
        <w:rPr>
          <w:rFonts w:ascii="Times New Roman" w:hAnsi="Times New Roman"/>
          <w:sz w:val="24"/>
        </w:rPr>
        <w:t xml:space="preserve">, </w:t>
      </w:r>
      <w:r w:rsidRPr="00B131CA">
        <w:rPr>
          <w:rFonts w:ascii="Times New Roman" w:eastAsia="Times New Roman" w:hAnsi="Times New Roman" w:cs="Times New Roman"/>
          <w:sz w:val="24"/>
          <w:szCs w:val="24"/>
        </w:rPr>
        <w:t xml:space="preserve">the Individual Student Alternative Education Plan (ISAEP) program fulfills compulsory attendance requirements for students who are at least 16 years of age and for whom an ISAEP is written. With a key focus on dropout prevention, the ISAEP program provides an opportunity for qualifying students to work toward a high school equivalency credential; participate in career, technical, and work-based learning activities; and complete an economics and personal finance course. </w:t>
      </w:r>
      <w:proofErr w:type="gramStart"/>
      <w:r w:rsidRPr="00B131CA">
        <w:rPr>
          <w:rFonts w:ascii="Times New Roman" w:eastAsia="Times New Roman" w:hAnsi="Times New Roman" w:cs="Times New Roman"/>
          <w:sz w:val="24"/>
          <w:szCs w:val="24"/>
        </w:rPr>
        <w:t>In order to</w:t>
      </w:r>
      <w:proofErr w:type="gramEnd"/>
      <w:r w:rsidRPr="00B131CA">
        <w:rPr>
          <w:rFonts w:ascii="Times New Roman" w:eastAsia="Times New Roman" w:hAnsi="Times New Roman" w:cs="Times New Roman"/>
          <w:sz w:val="24"/>
          <w:szCs w:val="24"/>
        </w:rPr>
        <w:t xml:space="preserve"> participate, students must be enrolled in public education and meet program eligibility requirements.</w:t>
      </w:r>
    </w:p>
    <w:p w14:paraId="000003CF"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Integrated English Literacy and Civics Education (IELCE)</w:t>
      </w:r>
      <w:r w:rsidRPr="00B131CA">
        <w:rPr>
          <w:rFonts w:ascii="Times New Roman" w:eastAsia="Times New Roman" w:hAnsi="Times New Roman" w:cs="Times New Roman"/>
          <w:sz w:val="24"/>
          <w:szCs w:val="24"/>
        </w:rPr>
        <w:t xml:space="preserve"> — There are two sections in title II that describe the allowable use of funds to provide IELCE services to English language learners, including professionals with degrees and credentials in their native countries: </w:t>
      </w:r>
    </w:p>
    <w:p w14:paraId="000003D0" w14:textId="77777777" w:rsidR="002F3C8D" w:rsidRPr="00B131CA" w:rsidRDefault="00BF5CDA" w:rsidP="00F057C2">
      <w:pPr>
        <w:numPr>
          <w:ilvl w:val="0"/>
          <w:numId w:val="9"/>
        </w:numPr>
        <w:spacing w:after="120" w:line="240" w:lineRule="auto"/>
        <w:rPr>
          <w:rFonts w:ascii="Times New Roman" w:eastAsia="Times New Roman" w:hAnsi="Times New Roman" w:cs="Times New Roman"/>
          <w:sz w:val="24"/>
          <w:szCs w:val="24"/>
        </w:rPr>
      </w:pPr>
      <w:r w:rsidRPr="00251701">
        <w:rPr>
          <w:rFonts w:ascii="Times New Roman" w:eastAsia="Times New Roman" w:hAnsi="Times New Roman" w:cs="Times New Roman"/>
          <w:i/>
          <w:sz w:val="24"/>
          <w:szCs w:val="24"/>
        </w:rPr>
        <w:t>IELCE Activities:</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Education services provided under section 231 that enable adults to achieve competency in the English language and acquire the basic and more advanced skills needed to function effectively as parents, workers, and citizens in the United States. </w:t>
      </w:r>
    </w:p>
    <w:p w14:paraId="000003D1" w14:textId="77777777" w:rsidR="002F3C8D" w:rsidRPr="00B131CA" w:rsidRDefault="00BF5CDA">
      <w:pPr>
        <w:spacing w:after="0" w:line="240" w:lineRule="auto"/>
        <w:ind w:left="72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Such services shall include:</w:t>
      </w:r>
    </w:p>
    <w:p w14:paraId="000003D2" w14:textId="77777777" w:rsidR="002F3C8D" w:rsidRPr="00B131CA" w:rsidRDefault="00BF5CDA" w:rsidP="00022694">
      <w:pPr>
        <w:numPr>
          <w:ilvl w:val="0"/>
          <w:numId w:val="22"/>
        </w:numPr>
        <w:spacing w:after="0" w:line="240" w:lineRule="auto"/>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instruction in literacy and English language acquisition, </w:t>
      </w:r>
    </w:p>
    <w:p w14:paraId="000003D3" w14:textId="77777777" w:rsidR="002F3C8D" w:rsidRPr="00B131CA" w:rsidRDefault="00BF5CDA" w:rsidP="00022694">
      <w:pPr>
        <w:numPr>
          <w:ilvl w:val="0"/>
          <w:numId w:val="22"/>
        </w:numPr>
        <w:spacing w:after="0" w:line="240" w:lineRule="auto"/>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instruction on the rights and responsibilities of citizenship and civic participation, and</w:t>
      </w:r>
    </w:p>
    <w:p w14:paraId="000003D4" w14:textId="77777777" w:rsidR="002F3C8D" w:rsidRPr="00B131CA" w:rsidRDefault="00BF5CDA" w:rsidP="00022694">
      <w:pPr>
        <w:numPr>
          <w:ilvl w:val="0"/>
          <w:numId w:val="22"/>
        </w:numPr>
        <w:spacing w:after="120" w:line="240" w:lineRule="auto"/>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may include workforce training.</w:t>
      </w:r>
    </w:p>
    <w:p w14:paraId="000003D5" w14:textId="77777777" w:rsidR="002F3C8D" w:rsidRPr="00B131CA" w:rsidRDefault="00BF5CDA" w:rsidP="00F057C2">
      <w:pPr>
        <w:numPr>
          <w:ilvl w:val="0"/>
          <w:numId w:val="9"/>
        </w:numPr>
        <w:spacing w:after="120" w:line="240" w:lineRule="auto"/>
        <w:rPr>
          <w:rFonts w:ascii="Times New Roman" w:eastAsia="Times New Roman" w:hAnsi="Times New Roman" w:cs="Times New Roman"/>
          <w:sz w:val="24"/>
          <w:szCs w:val="24"/>
        </w:rPr>
      </w:pPr>
      <w:r w:rsidRPr="00251701">
        <w:rPr>
          <w:rFonts w:ascii="Times New Roman" w:eastAsia="Times New Roman" w:hAnsi="Times New Roman" w:cs="Times New Roman"/>
          <w:i/>
          <w:sz w:val="24"/>
          <w:szCs w:val="24"/>
        </w:rPr>
        <w:t xml:space="preserve">IELCE Program: </w:t>
      </w:r>
      <w:r w:rsidRPr="00B131CA">
        <w:rPr>
          <w:rFonts w:ascii="Times New Roman" w:eastAsia="Times New Roman" w:hAnsi="Times New Roman" w:cs="Times New Roman"/>
          <w:sz w:val="24"/>
          <w:szCs w:val="24"/>
        </w:rPr>
        <w:t xml:space="preserve">Education services provided under Section 243 that enable adults to achieve competency in the English language and acquire the basic and more advanced skills needed to function effectively as parents, workers, and citizens in the United States. </w:t>
      </w:r>
    </w:p>
    <w:p w14:paraId="000003D6" w14:textId="1D04AF8C" w:rsidR="002F3C8D" w:rsidRPr="00B131CA" w:rsidRDefault="00BF5CDA">
      <w:pPr>
        <w:spacing w:after="120" w:line="240" w:lineRule="auto"/>
        <w:ind w:firstLine="72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Programs are designed to</w:t>
      </w:r>
      <w:r w:rsidR="00CD5950">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 xml:space="preserve"> </w:t>
      </w:r>
    </w:p>
    <w:p w14:paraId="000003D7" w14:textId="77777777" w:rsidR="002F3C8D" w:rsidRPr="00B131CA" w:rsidRDefault="00BF5CDA" w:rsidP="00022694">
      <w:pPr>
        <w:numPr>
          <w:ilvl w:val="1"/>
          <w:numId w:val="28"/>
        </w:numPr>
        <w:spacing w:after="0" w:line="240" w:lineRule="auto"/>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prepare adults who are English language learners for, and place such adults in, unsubsidized employment in in-demand industries and occupations that lead to economic self-sufficiency; and</w:t>
      </w:r>
    </w:p>
    <w:p w14:paraId="000003D8" w14:textId="77777777" w:rsidR="002F3C8D" w:rsidRPr="00B131CA" w:rsidRDefault="00BF5CDA" w:rsidP="00022694">
      <w:pPr>
        <w:numPr>
          <w:ilvl w:val="1"/>
          <w:numId w:val="28"/>
        </w:numPr>
        <w:spacing w:after="120" w:line="240" w:lineRule="auto"/>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integrate with the local workforce development system and its functions to carry out the activities of the program.</w:t>
      </w:r>
    </w:p>
    <w:p w14:paraId="000003D9" w14:textId="5D2D0BCD" w:rsidR="002F3C8D" w:rsidRPr="00B131CA" w:rsidRDefault="00BF5CDA" w:rsidP="004B4DAB">
      <w:pPr>
        <w:spacing w:after="0" w:line="240" w:lineRule="auto"/>
        <w:ind w:left="72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Such services shall include instruction in</w:t>
      </w:r>
      <w:r w:rsidR="00CD5950">
        <w:rPr>
          <w:rFonts w:ascii="Times New Roman" w:eastAsia="Times New Roman" w:hAnsi="Times New Roman" w:cs="Times New Roman"/>
          <w:sz w:val="24"/>
          <w:szCs w:val="24"/>
        </w:rPr>
        <w:t>:</w:t>
      </w:r>
    </w:p>
    <w:p w14:paraId="000003DA" w14:textId="77777777" w:rsidR="002F3C8D" w:rsidRPr="00B131CA" w:rsidRDefault="00BF5CDA" w:rsidP="00022694">
      <w:pPr>
        <w:numPr>
          <w:ilvl w:val="0"/>
          <w:numId w:val="27"/>
        </w:numPr>
        <w:spacing w:after="0" w:line="240" w:lineRule="auto"/>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literacy and English language acquisition,</w:t>
      </w:r>
    </w:p>
    <w:p w14:paraId="000003DB" w14:textId="77777777" w:rsidR="002F3C8D" w:rsidRPr="00B131CA" w:rsidRDefault="00BF5CDA" w:rsidP="00022694">
      <w:pPr>
        <w:numPr>
          <w:ilvl w:val="0"/>
          <w:numId w:val="27"/>
        </w:numPr>
        <w:spacing w:after="0" w:line="240" w:lineRule="auto"/>
        <w:ind w:left="1440"/>
        <w:rPr>
          <w:rFonts w:ascii="Times New Roman" w:eastAsia="Times New Roman" w:hAnsi="Times New Roman" w:cs="Times New Roman"/>
          <w:sz w:val="24"/>
          <w:szCs w:val="24"/>
        </w:rPr>
      </w:pPr>
      <w:r w:rsidRPr="00B131CA">
        <w:rPr>
          <w:rFonts w:ascii="Times New Roman" w:eastAsia="Times New Roman" w:hAnsi="Times New Roman" w:cs="Times New Roman"/>
          <w:sz w:val="24"/>
          <w:szCs w:val="24"/>
        </w:rPr>
        <w:t xml:space="preserve">instruction on the rights and responsibilities of citizenship and civic participation, and </w:t>
      </w:r>
    </w:p>
    <w:p w14:paraId="000003DD" w14:textId="6FCF1096" w:rsidR="002F3C8D" w:rsidRPr="002A3103" w:rsidRDefault="005D0DFF" w:rsidP="00022694">
      <w:pPr>
        <w:numPr>
          <w:ilvl w:val="0"/>
          <w:numId w:val="27"/>
        </w:numPr>
        <w:spacing w:after="15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must include integrated education and t</w:t>
      </w:r>
      <w:r w:rsidR="00BF5CDA" w:rsidRPr="00B131CA">
        <w:rPr>
          <w:rFonts w:ascii="Times New Roman" w:eastAsia="Times New Roman" w:hAnsi="Times New Roman" w:cs="Times New Roman"/>
          <w:sz w:val="24"/>
          <w:szCs w:val="24"/>
        </w:rPr>
        <w:t>raining (see definition).</w:t>
      </w:r>
    </w:p>
    <w:p w14:paraId="000003E6" w14:textId="30A236E3" w:rsidR="002F3C8D" w:rsidRPr="002A3103" w:rsidRDefault="00BF5CDA" w:rsidP="002A3103">
      <w:pPr>
        <w:spacing w:after="120" w:line="240" w:lineRule="auto"/>
        <w:rPr>
          <w:rFonts w:ascii="Times New Roman" w:hAnsi="Times New Roman"/>
          <w:sz w:val="24"/>
        </w:rPr>
      </w:pPr>
      <w:r w:rsidRPr="00932B32">
        <w:rPr>
          <w:rFonts w:ascii="Times New Roman" w:hAnsi="Times New Roman"/>
          <w:i/>
          <w:sz w:val="24"/>
        </w:rPr>
        <w:lastRenderedPageBreak/>
        <w:t>Learning Management System (LMS)</w:t>
      </w:r>
      <w:r w:rsidRPr="00B131CA">
        <w:rPr>
          <w:rFonts w:ascii="Times New Roman" w:eastAsia="Times New Roman" w:hAnsi="Times New Roman" w:cs="Times New Roman"/>
          <w:sz w:val="24"/>
          <w:szCs w:val="24"/>
        </w:rPr>
        <w:t xml:space="preserve"> — A platform for the administration, documentation, tracking, creation, and delivery of educational content.</w:t>
      </w:r>
      <w:r w:rsidR="00655797">
        <w:rPr>
          <w:rFonts w:ascii="Times New Roman" w:eastAsia="Times New Roman" w:hAnsi="Times New Roman" w:cs="Times New Roman"/>
          <w:sz w:val="24"/>
          <w:szCs w:val="24"/>
        </w:rPr>
        <w:t xml:space="preserve"> </w:t>
      </w:r>
    </w:p>
    <w:p w14:paraId="000003E7"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Literacy</w:t>
      </w:r>
      <w:r w:rsidRPr="00B131CA">
        <w:rPr>
          <w:rFonts w:ascii="Times New Roman" w:eastAsia="Times New Roman" w:hAnsi="Times New Roman" w:cs="Times New Roman"/>
          <w:sz w:val="24"/>
          <w:szCs w:val="24"/>
        </w:rPr>
        <w:t xml:space="preserve"> — An individual’s ability to read, write, and speak in English, compute, and solve problems at levels of proficiency necessary to function on the job, in the family of the individual, and in society.</w:t>
      </w:r>
    </w:p>
    <w:p w14:paraId="000003E8" w14:textId="308CC562" w:rsidR="002F3C8D" w:rsidRPr="00B131CA" w:rsidRDefault="00BF5CDA">
      <w:pPr>
        <w:spacing w:after="120" w:line="240" w:lineRule="auto"/>
        <w:rPr>
          <w:rFonts w:ascii="Times New Roman" w:eastAsia="Times New Roman" w:hAnsi="Times New Roman" w:cs="Times New Roman"/>
          <w:color w:val="7030A0"/>
          <w:sz w:val="24"/>
          <w:szCs w:val="24"/>
        </w:rPr>
      </w:pPr>
      <w:r w:rsidRPr="00932B32">
        <w:rPr>
          <w:rFonts w:ascii="Times New Roman" w:hAnsi="Times New Roman"/>
          <w:i/>
          <w:sz w:val="24"/>
        </w:rPr>
        <w:t xml:space="preserve">Literacy Information </w:t>
      </w:r>
      <w:r w:rsidR="00CD5950">
        <w:rPr>
          <w:rFonts w:ascii="Times New Roman" w:hAnsi="Times New Roman"/>
          <w:i/>
          <w:sz w:val="24"/>
        </w:rPr>
        <w:t>and</w:t>
      </w:r>
      <w:r w:rsidRPr="00932B32">
        <w:rPr>
          <w:rFonts w:ascii="Times New Roman" w:hAnsi="Times New Roman"/>
          <w:i/>
          <w:sz w:val="24"/>
        </w:rPr>
        <w:t xml:space="preserve"> Communication System (LINCS) </w:t>
      </w:r>
      <w:r w:rsidRPr="00B131CA">
        <w:rPr>
          <w:rFonts w:ascii="Times New Roman" w:eastAsia="Times New Roman" w:hAnsi="Times New Roman" w:cs="Times New Roman"/>
          <w:sz w:val="24"/>
          <w:szCs w:val="24"/>
        </w:rPr>
        <w:t>— The Literacy Information and Communication System (</w:t>
      </w:r>
      <w:hyperlink r:id="rId169" w:history="1">
        <w:r w:rsidRPr="00AE32D9">
          <w:rPr>
            <w:rStyle w:val="Hyperlink"/>
            <w:rFonts w:ascii="Times New Roman" w:eastAsia="Times New Roman" w:hAnsi="Times New Roman" w:cs="Times New Roman"/>
            <w:sz w:val="24"/>
            <w:szCs w:val="24"/>
          </w:rPr>
          <w:t>LINCS</w:t>
        </w:r>
      </w:hyperlink>
      <w:r w:rsidRPr="00B131CA">
        <w:rPr>
          <w:rFonts w:ascii="Times New Roman" w:eastAsia="Times New Roman" w:hAnsi="Times New Roman" w:cs="Times New Roman"/>
          <w:sz w:val="24"/>
          <w:szCs w:val="24"/>
        </w:rPr>
        <w:t>) is a national leadership initiative of the U.S. Department of Education, Office of Career, Technical, and Adult Education (OCTAE) to expand evidence-based practice in the field of adult education. LINCS provides adult educators with the information, resources, professional development activities, and online network they need to enhance their practice and ensure their adult students receive high-quality learning opportunities</w:t>
      </w:r>
      <w:r w:rsidRPr="00B131CA">
        <w:rPr>
          <w:rFonts w:ascii="Times New Roman" w:eastAsia="Times New Roman" w:hAnsi="Times New Roman" w:cs="Times New Roman"/>
          <w:color w:val="7030A0"/>
          <w:sz w:val="24"/>
          <w:szCs w:val="24"/>
        </w:rPr>
        <w:t>.</w:t>
      </w:r>
      <w:r w:rsidR="001A6068" w:rsidRPr="00B131CA">
        <w:rPr>
          <w:rFonts w:ascii="Times New Roman" w:eastAsia="Times New Roman" w:hAnsi="Times New Roman" w:cs="Times New Roman"/>
          <w:color w:val="7030A0"/>
          <w:sz w:val="24"/>
          <w:szCs w:val="24"/>
        </w:rPr>
        <w:t xml:space="preserve"> </w:t>
      </w:r>
    </w:p>
    <w:p w14:paraId="000003E9" w14:textId="725DDEFE"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Local Workforce Development Board (LWDB) Local Plan </w:t>
      </w:r>
      <w:r w:rsidRPr="00B131CA">
        <w:rPr>
          <w:rFonts w:ascii="Times New Roman" w:eastAsia="Times New Roman" w:hAnsi="Times New Roman" w:cs="Times New Roman"/>
          <w:sz w:val="24"/>
          <w:szCs w:val="24"/>
        </w:rPr>
        <w:t xml:space="preserve">— Under WIOA, local Workforce Development Boards are required to articulate a vision for the local area’s workforce development system. They are to create a local plan that is focused on the unique needs and resources of the local area and develop a blueprint to use the area’s strategic workforce assets to meet the requirements of the changing economy, which is consistent </w:t>
      </w:r>
      <w:r w:rsidR="005C71ED">
        <w:rPr>
          <w:rFonts w:ascii="Times New Roman" w:eastAsia="Times New Roman" w:hAnsi="Times New Roman" w:cs="Times New Roman"/>
          <w:sz w:val="24"/>
          <w:szCs w:val="24"/>
        </w:rPr>
        <w:t xml:space="preserve">with the current </w:t>
      </w:r>
      <w:r w:rsidRPr="005C71ED">
        <w:rPr>
          <w:rFonts w:ascii="Times New Roman" w:eastAsia="Times New Roman" w:hAnsi="Times New Roman" w:cs="Times New Roman"/>
          <w:sz w:val="24"/>
          <w:szCs w:val="24"/>
        </w:rPr>
        <w:t>Combined State Plan</w:t>
      </w:r>
      <w:r w:rsidRPr="00B131CA">
        <w:rPr>
          <w:rFonts w:ascii="Times New Roman" w:eastAsia="Times New Roman" w:hAnsi="Times New Roman" w:cs="Times New Roman"/>
          <w:sz w:val="24"/>
          <w:szCs w:val="24"/>
        </w:rPr>
        <w:t>. Local Workforce Development Boards review the competitive adult education grants to ensure that they are aligned to the LWDB Local Plan.</w:t>
      </w:r>
    </w:p>
    <w:p w14:paraId="000003EA" w14:textId="2254FA5A" w:rsidR="002F3C8D" w:rsidRPr="00B131CA" w:rsidRDefault="00BF5CDA">
      <w:pPr>
        <w:spacing w:after="120" w:line="240" w:lineRule="auto"/>
        <w:rPr>
          <w:rFonts w:ascii="Times New Roman" w:eastAsia="Times New Roman" w:hAnsi="Times New Roman" w:cs="Times New Roman"/>
          <w:sz w:val="24"/>
          <w:szCs w:val="24"/>
        </w:rPr>
      </w:pPr>
      <w:r w:rsidRPr="004B4DAB">
        <w:rPr>
          <w:rFonts w:ascii="Times New Roman" w:hAnsi="Times New Roman"/>
          <w:i/>
          <w:sz w:val="24"/>
        </w:rPr>
        <w:t xml:space="preserve">Measurable Skill Gains (MSG) </w:t>
      </w:r>
      <w:r w:rsidRPr="00B131CA">
        <w:rPr>
          <w:rFonts w:ascii="Times New Roman" w:eastAsia="Times New Roman" w:hAnsi="Times New Roman" w:cs="Times New Roman"/>
          <w:sz w:val="24"/>
          <w:szCs w:val="24"/>
        </w:rPr>
        <w:t>— One of the six primary indicators of performance identified under section 116 of WIOA</w:t>
      </w:r>
      <w:r w:rsidR="00D85F84">
        <w:rPr>
          <w:rFonts w:ascii="Times New Roman" w:eastAsia="Times New Roman" w:hAnsi="Times New Roman" w:cs="Times New Roman"/>
          <w:sz w:val="24"/>
          <w:szCs w:val="24"/>
        </w:rPr>
        <w:t>; there are</w:t>
      </w:r>
      <w:r w:rsidR="008357C8">
        <w:rPr>
          <w:rFonts w:ascii="Times New Roman" w:eastAsia="Times New Roman" w:hAnsi="Times New Roman" w:cs="Times New Roman"/>
          <w:sz w:val="24"/>
          <w:szCs w:val="24"/>
        </w:rPr>
        <w:t xml:space="preserve"> five types of MSGs</w:t>
      </w:r>
      <w:r w:rsidRPr="00B131CA">
        <w:rPr>
          <w:rFonts w:ascii="Times New Roman" w:eastAsia="Times New Roman" w:hAnsi="Times New Roman" w:cs="Times New Roman"/>
          <w:sz w:val="24"/>
          <w:szCs w:val="24"/>
        </w:rPr>
        <w:t>.</w:t>
      </w:r>
    </w:p>
    <w:p w14:paraId="000003EB"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Mobile Learning</w:t>
      </w:r>
      <w:r w:rsidRPr="00932B32">
        <w:rPr>
          <w:rFonts w:ascii="Times New Roman" w:hAnsi="Times New Roman"/>
          <w:sz w:val="24"/>
        </w:rPr>
        <w:t xml:space="preserve"> </w:t>
      </w:r>
      <w:r w:rsidRPr="00B131CA">
        <w:rPr>
          <w:rFonts w:ascii="Times New Roman" w:eastAsia="Times New Roman" w:hAnsi="Times New Roman" w:cs="Times New Roman"/>
          <w:sz w:val="24"/>
          <w:szCs w:val="24"/>
        </w:rPr>
        <w:t>— learning that is accessed through a mobile device such as a tablet or smartphone.</w:t>
      </w:r>
    </w:p>
    <w:p w14:paraId="000003EC"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National External Diploma Program (NEDP) </w:t>
      </w:r>
      <w:r w:rsidRPr="00B131CA">
        <w:rPr>
          <w:rFonts w:ascii="Times New Roman" w:eastAsia="Times New Roman" w:hAnsi="Times New Roman" w:cs="Times New Roman"/>
          <w:sz w:val="24"/>
          <w:szCs w:val="24"/>
        </w:rPr>
        <w:t xml:space="preserve">— The National External Diploma Program, which leads to an adult high school diploma, is an applied performance assessment system that assesses the high school level skills of adults. Administered by Comprehensive Adult Student Assessment Systems (CASAS), the NEDP evaluates the reading, writing, math, and workforce readiness skills of participants in life and work contexts. The program is self-paced, flexible, and has no timed tests. The program is for self-directed adult students who are comfortable working independently. Participation in local and regional external diploma programs is available to adults who are 18 years of age and older who did not complete high school and are not enrolled in public education. An adult high school diploma, recognized by the Virginia Board of Education, shall be awarded to an adult student who demonstrates through applied performance 100 percent mastery of the NEDP Generalized Competencies. </w:t>
      </w:r>
    </w:p>
    <w:p w14:paraId="000003ED" w14:textId="007586A2"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National Reporting System (NRS)</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 The National Reporting System (NRS) is the accountability system for the federally funded, </w:t>
      </w:r>
      <w:r w:rsidR="006825A6">
        <w:rPr>
          <w:rFonts w:ascii="Times New Roman" w:eastAsia="Times New Roman" w:hAnsi="Times New Roman" w:cs="Times New Roman"/>
          <w:sz w:val="24"/>
          <w:szCs w:val="24"/>
        </w:rPr>
        <w:t>s</w:t>
      </w:r>
      <w:r w:rsidR="006825A6" w:rsidRPr="00B131CA">
        <w:rPr>
          <w:rFonts w:ascii="Times New Roman" w:eastAsia="Times New Roman" w:hAnsi="Times New Roman" w:cs="Times New Roman"/>
          <w:sz w:val="24"/>
          <w:szCs w:val="24"/>
        </w:rPr>
        <w:t>tate</w:t>
      </w:r>
      <w:r w:rsidRPr="00B131CA">
        <w:rPr>
          <w:rFonts w:ascii="Times New Roman" w:eastAsia="Times New Roman" w:hAnsi="Times New Roman" w:cs="Times New Roman"/>
          <w:sz w:val="24"/>
          <w:szCs w:val="24"/>
        </w:rPr>
        <w:t>-administered adult education program. It embodies the accountability requirements of the Workforce Innovation and Opportunity Act (WIOA) for the adult e</w:t>
      </w:r>
      <w:r w:rsidR="005248CD">
        <w:rPr>
          <w:rFonts w:ascii="Times New Roman" w:eastAsia="Times New Roman" w:hAnsi="Times New Roman" w:cs="Times New Roman"/>
          <w:sz w:val="24"/>
          <w:szCs w:val="24"/>
        </w:rPr>
        <w:t>ducation and literacy program (t</w:t>
      </w:r>
      <w:r w:rsidRPr="00B131CA">
        <w:rPr>
          <w:rFonts w:ascii="Times New Roman" w:eastAsia="Times New Roman" w:hAnsi="Times New Roman" w:cs="Times New Roman"/>
          <w:sz w:val="24"/>
          <w:szCs w:val="24"/>
        </w:rPr>
        <w:t xml:space="preserve">itle II) and reporting under WIOA. </w:t>
      </w:r>
    </w:p>
    <w:p w14:paraId="000003EE" w14:textId="6EDB246C" w:rsidR="002F3C8D" w:rsidRPr="00B131CA" w:rsidRDefault="00CD5950">
      <w:pPr>
        <w:spacing w:after="120" w:line="240" w:lineRule="auto"/>
        <w:rPr>
          <w:rFonts w:ascii="Times New Roman" w:eastAsia="Times New Roman" w:hAnsi="Times New Roman" w:cs="Times New Roman"/>
          <w:sz w:val="24"/>
          <w:szCs w:val="24"/>
        </w:rPr>
      </w:pPr>
      <w:r>
        <w:rPr>
          <w:rFonts w:ascii="Times New Roman" w:hAnsi="Times New Roman"/>
          <w:i/>
          <w:sz w:val="24"/>
        </w:rPr>
        <w:t>One-S</w:t>
      </w:r>
      <w:r w:rsidR="00BF5CDA" w:rsidRPr="00932B32">
        <w:rPr>
          <w:rFonts w:ascii="Times New Roman" w:hAnsi="Times New Roman"/>
          <w:i/>
          <w:sz w:val="24"/>
        </w:rPr>
        <w:t>top System</w:t>
      </w:r>
      <w:r w:rsidR="00BF5CDA" w:rsidRPr="00B131CA">
        <w:rPr>
          <w:rFonts w:ascii="Times New Roman" w:eastAsia="Times New Roman" w:hAnsi="Times New Roman" w:cs="Times New Roman"/>
          <w:i/>
          <w:sz w:val="24"/>
          <w:szCs w:val="24"/>
        </w:rPr>
        <w:t xml:space="preserve"> </w:t>
      </w:r>
      <w:r w:rsidR="00BF5CDA" w:rsidRPr="00B131CA">
        <w:rPr>
          <w:rFonts w:ascii="Times New Roman" w:eastAsia="Times New Roman" w:hAnsi="Times New Roman" w:cs="Times New Roman"/>
          <w:sz w:val="24"/>
          <w:szCs w:val="24"/>
        </w:rPr>
        <w:t>— System identified in WIOA for the delivery of services by mandated partners, including adult education, in which service providers in a local area coordinate delivery of services to clients. In Virginia, the system is branded as the Virginia Career Works Centers.</w:t>
      </w:r>
    </w:p>
    <w:p w14:paraId="23F9A8E6" w14:textId="0CCD584F" w:rsidR="000353F1" w:rsidRDefault="000353F1" w:rsidP="000353F1">
      <w:pPr>
        <w:shd w:val="clear" w:color="auto" w:fill="FFFFFF"/>
        <w:spacing w:after="200" w:line="240" w:lineRule="auto"/>
        <w:rPr>
          <w:rFonts w:ascii="Times New Roman" w:hAnsi="Times New Roman" w:cs="Times New Roman"/>
          <w:sz w:val="24"/>
        </w:rPr>
      </w:pPr>
      <w:r>
        <w:rPr>
          <w:rFonts w:ascii="Times New Roman" w:hAnsi="Times New Roman"/>
          <w:i/>
          <w:sz w:val="24"/>
        </w:rPr>
        <w:t xml:space="preserve">Online course </w:t>
      </w:r>
      <w:r w:rsidRPr="00B131CA">
        <w:rPr>
          <w:rFonts w:ascii="Times New Roman" w:eastAsia="Times New Roman" w:hAnsi="Times New Roman" w:cs="Times New Roman"/>
          <w:sz w:val="24"/>
          <w:szCs w:val="24"/>
        </w:rPr>
        <w:t>—</w:t>
      </w:r>
      <w:r>
        <w:rPr>
          <w:rFonts w:ascii="Times New Roman" w:hAnsi="Times New Roman"/>
          <w:i/>
          <w:sz w:val="24"/>
        </w:rPr>
        <w:t xml:space="preserve"> </w:t>
      </w:r>
      <w:r w:rsidRPr="000353F1">
        <w:rPr>
          <w:rFonts w:ascii="Times New Roman" w:hAnsi="Times New Roman"/>
          <w:sz w:val="24"/>
        </w:rPr>
        <w:t xml:space="preserve">An </w:t>
      </w:r>
      <w:r>
        <w:rPr>
          <w:rFonts w:ascii="Times New Roman" w:hAnsi="Times New Roman" w:cs="Times New Roman"/>
          <w:sz w:val="24"/>
        </w:rPr>
        <w:t>online course is defined as a subcategory of blended learning that:</w:t>
      </w:r>
    </w:p>
    <w:p w14:paraId="3BD14713" w14:textId="77777777" w:rsidR="000353F1" w:rsidRPr="0089640B" w:rsidRDefault="000353F1" w:rsidP="00022694">
      <w:pPr>
        <w:pStyle w:val="ListParagraph"/>
        <w:numPr>
          <w:ilvl w:val="0"/>
          <w:numId w:val="48"/>
        </w:numPr>
        <w:shd w:val="clear" w:color="auto" w:fill="FFFFFF"/>
        <w:spacing w:after="200" w:line="240" w:lineRule="auto"/>
        <w:rPr>
          <w:rFonts w:ascii="Times New Roman" w:hAnsi="Times New Roman" w:cs="Times New Roman"/>
          <w:sz w:val="24"/>
        </w:rPr>
      </w:pPr>
      <w:r w:rsidRPr="0089640B">
        <w:rPr>
          <w:rFonts w:ascii="Times New Roman" w:hAnsi="Times New Roman" w:cs="Times New Roman"/>
          <w:sz w:val="24"/>
        </w:rPr>
        <w:lastRenderedPageBreak/>
        <w:t>include</w:t>
      </w:r>
      <w:r>
        <w:rPr>
          <w:rFonts w:ascii="Times New Roman" w:hAnsi="Times New Roman" w:cs="Times New Roman"/>
          <w:sz w:val="24"/>
        </w:rPr>
        <w:t>s</w:t>
      </w:r>
      <w:r w:rsidRPr="0089640B">
        <w:rPr>
          <w:rFonts w:ascii="Times New Roman" w:hAnsi="Times New Roman" w:cs="Times New Roman"/>
          <w:sz w:val="24"/>
        </w:rPr>
        <w:t xml:space="preserve"> both synchronous and asynchronous learning activities</w:t>
      </w:r>
      <w:r>
        <w:rPr>
          <w:rFonts w:ascii="Times New Roman" w:hAnsi="Times New Roman" w:cs="Times New Roman"/>
          <w:sz w:val="24"/>
        </w:rPr>
        <w:t xml:space="preserve"> that are organized through a learning management system (LMS</w:t>
      </w:r>
      <w:proofErr w:type="gramStart"/>
      <w:r>
        <w:rPr>
          <w:rFonts w:ascii="Times New Roman" w:hAnsi="Times New Roman" w:cs="Times New Roman"/>
          <w:sz w:val="24"/>
        </w:rPr>
        <w:t>)</w:t>
      </w:r>
      <w:r w:rsidRPr="0089640B">
        <w:rPr>
          <w:rFonts w:ascii="Times New Roman" w:hAnsi="Times New Roman" w:cs="Times New Roman"/>
          <w:sz w:val="24"/>
        </w:rPr>
        <w:t>;</w:t>
      </w:r>
      <w:proofErr w:type="gramEnd"/>
      <w:r w:rsidRPr="0089640B">
        <w:rPr>
          <w:rFonts w:ascii="Times New Roman" w:hAnsi="Times New Roman" w:cs="Times New Roman"/>
          <w:sz w:val="24"/>
        </w:rPr>
        <w:t xml:space="preserve"> </w:t>
      </w:r>
    </w:p>
    <w:p w14:paraId="66A078FB" w14:textId="77777777" w:rsidR="000353F1" w:rsidRPr="0089640B" w:rsidRDefault="000353F1" w:rsidP="00022694">
      <w:pPr>
        <w:pStyle w:val="ListParagraph"/>
        <w:numPr>
          <w:ilvl w:val="0"/>
          <w:numId w:val="48"/>
        </w:numPr>
        <w:shd w:val="clear" w:color="auto" w:fill="FFFFFF"/>
        <w:spacing w:after="200" w:line="240" w:lineRule="auto"/>
        <w:rPr>
          <w:rFonts w:ascii="Times New Roman" w:hAnsi="Times New Roman" w:cs="Times New Roman"/>
          <w:sz w:val="24"/>
        </w:rPr>
      </w:pPr>
      <w:r>
        <w:rPr>
          <w:rFonts w:ascii="Times New Roman" w:hAnsi="Times New Roman" w:cs="Times New Roman"/>
          <w:sz w:val="24"/>
        </w:rPr>
        <w:t>is</w:t>
      </w:r>
      <w:r w:rsidRPr="0089640B">
        <w:rPr>
          <w:rFonts w:ascii="Times New Roman" w:hAnsi="Times New Roman" w:cs="Times New Roman"/>
          <w:sz w:val="24"/>
        </w:rPr>
        <w:t xml:space="preserve"> instructor</w:t>
      </w:r>
      <w:r>
        <w:rPr>
          <w:rFonts w:ascii="Times New Roman" w:hAnsi="Times New Roman" w:cs="Times New Roman"/>
          <w:sz w:val="24"/>
        </w:rPr>
        <w:t xml:space="preserve"> </w:t>
      </w:r>
      <w:r w:rsidRPr="0089640B">
        <w:rPr>
          <w:rFonts w:ascii="Times New Roman" w:hAnsi="Times New Roman" w:cs="Times New Roman"/>
          <w:sz w:val="24"/>
        </w:rPr>
        <w:t>led, time</w:t>
      </w:r>
      <w:r>
        <w:rPr>
          <w:rFonts w:ascii="Times New Roman" w:hAnsi="Times New Roman" w:cs="Times New Roman"/>
          <w:sz w:val="24"/>
        </w:rPr>
        <w:t xml:space="preserve"> </w:t>
      </w:r>
      <w:r w:rsidRPr="0089640B">
        <w:rPr>
          <w:rFonts w:ascii="Times New Roman" w:hAnsi="Times New Roman" w:cs="Times New Roman"/>
          <w:sz w:val="24"/>
        </w:rPr>
        <w:t xml:space="preserve">limited, and </w:t>
      </w:r>
      <w:r>
        <w:rPr>
          <w:rFonts w:ascii="Times New Roman" w:hAnsi="Times New Roman" w:cs="Times New Roman"/>
          <w:sz w:val="24"/>
        </w:rPr>
        <w:t xml:space="preserve">content specific </w:t>
      </w:r>
      <w:r w:rsidRPr="0089640B">
        <w:rPr>
          <w:rFonts w:ascii="Times New Roman" w:hAnsi="Times New Roman" w:cs="Times New Roman"/>
          <w:sz w:val="24"/>
        </w:rPr>
        <w:t xml:space="preserve">as described in a syllabus; and </w:t>
      </w:r>
    </w:p>
    <w:p w14:paraId="354E2BDF" w14:textId="65145B3C" w:rsidR="000353F1" w:rsidRDefault="000353F1" w:rsidP="00022694">
      <w:pPr>
        <w:pStyle w:val="ListParagraph"/>
        <w:numPr>
          <w:ilvl w:val="0"/>
          <w:numId w:val="48"/>
        </w:numPr>
        <w:shd w:val="clear" w:color="auto" w:fill="FFFFFF"/>
        <w:spacing w:after="200" w:line="240" w:lineRule="auto"/>
        <w:rPr>
          <w:rFonts w:ascii="Times New Roman" w:hAnsi="Times New Roman" w:cs="Times New Roman"/>
          <w:sz w:val="24"/>
        </w:rPr>
      </w:pPr>
      <w:r>
        <w:rPr>
          <w:rFonts w:ascii="Times New Roman" w:hAnsi="Times New Roman" w:cs="Times New Roman"/>
          <w:sz w:val="24"/>
        </w:rPr>
        <w:t xml:space="preserve">is </w:t>
      </w:r>
      <w:r w:rsidRPr="0089640B">
        <w:rPr>
          <w:rFonts w:ascii="Times New Roman" w:hAnsi="Times New Roman" w:cs="Times New Roman"/>
          <w:sz w:val="24"/>
        </w:rPr>
        <w:t xml:space="preserve">conducted with managed enrollment and attendance requirements. </w:t>
      </w:r>
    </w:p>
    <w:p w14:paraId="000003F0" w14:textId="241F3CF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Online Management of Education Grant Awards (OMEGA) </w:t>
      </w:r>
      <w:r w:rsidRPr="00B131CA">
        <w:rPr>
          <w:rFonts w:ascii="Times New Roman" w:eastAsia="Times New Roman" w:hAnsi="Times New Roman" w:cs="Times New Roman"/>
          <w:sz w:val="24"/>
          <w:szCs w:val="24"/>
        </w:rPr>
        <w:t xml:space="preserve">— Virginia Department of Education's automated reimbursement system is required to be used by most VDOE-funded adult education programs for financial management of adult education grants. </w:t>
      </w:r>
    </w:p>
    <w:p w14:paraId="000003F1" w14:textId="77777777" w:rsidR="002F3C8D" w:rsidRPr="00B131CA" w:rsidRDefault="00BF5CDA">
      <w:pPr>
        <w:spacing w:after="200" w:line="240" w:lineRule="auto"/>
        <w:rPr>
          <w:rFonts w:ascii="Times New Roman" w:eastAsia="Times New Roman" w:hAnsi="Times New Roman" w:cs="Times New Roman"/>
          <w:sz w:val="24"/>
          <w:szCs w:val="24"/>
        </w:rPr>
      </w:pPr>
      <w:r w:rsidRPr="00932B32">
        <w:rPr>
          <w:rFonts w:ascii="Times New Roman" w:hAnsi="Times New Roman"/>
          <w:i/>
          <w:sz w:val="24"/>
        </w:rPr>
        <w:t>Peer Tutoring within C&amp;I activities</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 an instructional model where one institutionalized individual </w:t>
      </w:r>
      <w:proofErr w:type="gramStart"/>
      <w:r w:rsidRPr="00B131CA">
        <w:rPr>
          <w:rFonts w:ascii="Times New Roman" w:eastAsia="Times New Roman" w:hAnsi="Times New Roman" w:cs="Times New Roman"/>
          <w:sz w:val="24"/>
          <w:szCs w:val="24"/>
        </w:rPr>
        <w:t>assists</w:t>
      </w:r>
      <w:proofErr w:type="gramEnd"/>
      <w:r w:rsidRPr="00B131CA">
        <w:rPr>
          <w:rFonts w:ascii="Times New Roman" w:eastAsia="Times New Roman" w:hAnsi="Times New Roman" w:cs="Times New Roman"/>
          <w:sz w:val="24"/>
          <w:szCs w:val="24"/>
        </w:rPr>
        <w:t xml:space="preserve"> in providing or enhancing learning opportunities for other institutionalized individuals. A peer tutoring program must be structured and overseen by educators who assist with training and supervising tutors, setting educational goals, establishing an individualized plan of instruction, and monitoring progress. </w:t>
      </w:r>
    </w:p>
    <w:p w14:paraId="000003F2" w14:textId="7F6AAE99" w:rsidR="002F3C8D" w:rsidRPr="00B131CA" w:rsidRDefault="00BF5CDA">
      <w:pPr>
        <w:spacing w:after="80"/>
        <w:rPr>
          <w:rFonts w:ascii="Times New Roman" w:eastAsia="Times New Roman" w:hAnsi="Times New Roman" w:cs="Times New Roman"/>
          <w:sz w:val="24"/>
          <w:szCs w:val="24"/>
        </w:rPr>
      </w:pPr>
      <w:r w:rsidRPr="00932B32">
        <w:rPr>
          <w:rFonts w:ascii="Times New Roman" w:hAnsi="Times New Roman"/>
          <w:i/>
          <w:sz w:val="24"/>
        </w:rPr>
        <w:t>Period of Participation (</w:t>
      </w:r>
      <w:proofErr w:type="spellStart"/>
      <w:r w:rsidRPr="00932B32">
        <w:rPr>
          <w:rFonts w:ascii="Times New Roman" w:hAnsi="Times New Roman"/>
          <w:i/>
          <w:sz w:val="24"/>
        </w:rPr>
        <w:t>PoP</w:t>
      </w:r>
      <w:proofErr w:type="spellEnd"/>
      <w:r w:rsidRPr="00932B32">
        <w:rPr>
          <w:rFonts w:ascii="Times New Roman" w:hAnsi="Times New Roman"/>
          <w:i/>
          <w:sz w:val="24"/>
        </w:rPr>
        <w:t>)</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State performance on all core outcome measures under WIOA (except median earnings) is calculated as a percentage of the number of outcomes achieved divided by the number of periods of participation (</w:t>
      </w:r>
      <w:proofErr w:type="spellStart"/>
      <w:r w:rsidRPr="00B131CA">
        <w:rPr>
          <w:rFonts w:ascii="Times New Roman" w:eastAsia="Times New Roman" w:hAnsi="Times New Roman" w:cs="Times New Roman"/>
          <w:sz w:val="24"/>
          <w:szCs w:val="24"/>
        </w:rPr>
        <w:t>PoPs</w:t>
      </w:r>
      <w:proofErr w:type="spellEnd"/>
      <w:r w:rsidRPr="00B131CA">
        <w:rPr>
          <w:rFonts w:ascii="Times New Roman" w:eastAsia="Times New Roman" w:hAnsi="Times New Roman" w:cs="Times New Roman"/>
          <w:sz w:val="24"/>
          <w:szCs w:val="24"/>
        </w:rPr>
        <w:t xml:space="preserve">) of each participant. When an individual enrolls in adult education, accumulates 12 or more contact hours, and then exits the program, he or she has completed a </w:t>
      </w:r>
      <w:proofErr w:type="spellStart"/>
      <w:r w:rsidRPr="00B131CA">
        <w:rPr>
          <w:rFonts w:ascii="Times New Roman" w:eastAsia="Times New Roman" w:hAnsi="Times New Roman" w:cs="Times New Roman"/>
          <w:sz w:val="24"/>
          <w:szCs w:val="24"/>
        </w:rPr>
        <w:t>PoP</w:t>
      </w:r>
      <w:proofErr w:type="spellEnd"/>
      <w:r w:rsidRPr="00B131CA">
        <w:rPr>
          <w:rFonts w:ascii="Times New Roman" w:eastAsia="Times New Roman" w:hAnsi="Times New Roman" w:cs="Times New Roman"/>
          <w:sz w:val="24"/>
          <w:szCs w:val="24"/>
        </w:rPr>
        <w:t xml:space="preserve">. Multiple </w:t>
      </w:r>
      <w:proofErr w:type="spellStart"/>
      <w:r w:rsidRPr="00B131CA">
        <w:rPr>
          <w:rFonts w:ascii="Times New Roman" w:eastAsia="Times New Roman" w:hAnsi="Times New Roman" w:cs="Times New Roman"/>
          <w:sz w:val="24"/>
          <w:szCs w:val="24"/>
        </w:rPr>
        <w:t>PoPs</w:t>
      </w:r>
      <w:proofErr w:type="spellEnd"/>
      <w:r w:rsidRPr="00B131CA">
        <w:rPr>
          <w:rFonts w:ascii="Times New Roman" w:eastAsia="Times New Roman" w:hAnsi="Times New Roman" w:cs="Times New Roman"/>
          <w:sz w:val="24"/>
          <w:szCs w:val="24"/>
        </w:rPr>
        <w:t xml:space="preserve"> may occur during the same program year </w:t>
      </w:r>
      <w:proofErr w:type="gramStart"/>
      <w:r w:rsidRPr="00B131CA">
        <w:rPr>
          <w:rFonts w:ascii="Times New Roman" w:eastAsia="Times New Roman" w:hAnsi="Times New Roman" w:cs="Times New Roman"/>
          <w:sz w:val="24"/>
          <w:szCs w:val="24"/>
        </w:rPr>
        <w:t>as a result of</w:t>
      </w:r>
      <w:proofErr w:type="gramEnd"/>
      <w:r w:rsidRPr="00B131CA">
        <w:rPr>
          <w:rFonts w:ascii="Times New Roman" w:eastAsia="Times New Roman" w:hAnsi="Times New Roman" w:cs="Times New Roman"/>
          <w:sz w:val="24"/>
          <w:szCs w:val="24"/>
        </w:rPr>
        <w:t xml:space="preserve"> subsequent enrollments and exits. If the participant does not exit, the </w:t>
      </w:r>
      <w:proofErr w:type="spellStart"/>
      <w:r w:rsidRPr="00B131CA">
        <w:rPr>
          <w:rFonts w:ascii="Times New Roman" w:eastAsia="Times New Roman" w:hAnsi="Times New Roman" w:cs="Times New Roman"/>
          <w:sz w:val="24"/>
          <w:szCs w:val="24"/>
        </w:rPr>
        <w:t>PoP</w:t>
      </w:r>
      <w:proofErr w:type="spellEnd"/>
      <w:r w:rsidRPr="00B131CA">
        <w:rPr>
          <w:rFonts w:ascii="Times New Roman" w:eastAsia="Times New Roman" w:hAnsi="Times New Roman" w:cs="Times New Roman"/>
          <w:sz w:val="24"/>
          <w:szCs w:val="24"/>
        </w:rPr>
        <w:t xml:space="preserve"> remains ongoing. </w:t>
      </w:r>
    </w:p>
    <w:p w14:paraId="000003F3" w14:textId="5466BE10" w:rsidR="002F3C8D" w:rsidRPr="00B131CA" w:rsidRDefault="00BF5CDA">
      <w:pPr>
        <w:spacing w:before="200" w:after="120" w:line="240" w:lineRule="auto"/>
        <w:rPr>
          <w:rFonts w:ascii="Times New Roman" w:eastAsia="Times New Roman" w:hAnsi="Times New Roman" w:cs="Times New Roman"/>
          <w:sz w:val="24"/>
          <w:szCs w:val="24"/>
        </w:rPr>
      </w:pPr>
      <w:proofErr w:type="spellStart"/>
      <w:r w:rsidRPr="00932B32">
        <w:rPr>
          <w:rFonts w:ascii="Times New Roman" w:hAnsi="Times New Roman"/>
          <w:i/>
          <w:sz w:val="24"/>
        </w:rPr>
        <w:t>PluggedIn</w:t>
      </w:r>
      <w:proofErr w:type="spellEnd"/>
      <w:r w:rsidR="00D85F84">
        <w:rPr>
          <w:rFonts w:ascii="Times New Roman" w:hAnsi="Times New Roman"/>
          <w:i/>
          <w:sz w:val="24"/>
        </w:rPr>
        <w:t xml:space="preserve"> </w:t>
      </w:r>
      <w:r w:rsidRPr="00932B32">
        <w:rPr>
          <w:rFonts w:ascii="Times New Roman" w:hAnsi="Times New Roman"/>
          <w:i/>
          <w:sz w:val="24"/>
        </w:rPr>
        <w:t xml:space="preserve">VA (PIVA) </w:t>
      </w:r>
      <w:r w:rsidRPr="00B131CA">
        <w:rPr>
          <w:rFonts w:ascii="Times New Roman" w:eastAsia="Times New Roman" w:hAnsi="Times New Roman" w:cs="Times New Roman"/>
          <w:sz w:val="24"/>
          <w:szCs w:val="24"/>
        </w:rPr>
        <w:t xml:space="preserve">— </w:t>
      </w:r>
      <w:proofErr w:type="spellStart"/>
      <w:r w:rsidRPr="00B131CA">
        <w:rPr>
          <w:rFonts w:ascii="Times New Roman" w:eastAsia="Times New Roman" w:hAnsi="Times New Roman" w:cs="Times New Roman"/>
          <w:sz w:val="24"/>
          <w:szCs w:val="24"/>
        </w:rPr>
        <w:t>PluggedIn</w:t>
      </w:r>
      <w:proofErr w:type="spellEnd"/>
      <w:r w:rsidR="00D85F84">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VA </w:t>
      </w:r>
      <w:r w:rsidR="00051FF4">
        <w:rPr>
          <w:rFonts w:ascii="Times New Roman" w:eastAsia="Times New Roman" w:hAnsi="Times New Roman" w:cs="Times New Roman"/>
          <w:sz w:val="24"/>
          <w:szCs w:val="24"/>
        </w:rPr>
        <w:t>has been</w:t>
      </w:r>
      <w:r w:rsidR="00051FF4"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a career pathway program </w:t>
      </w:r>
      <w:r w:rsidR="00051FF4" w:rsidRPr="00B131CA">
        <w:rPr>
          <w:rFonts w:ascii="Times New Roman" w:eastAsia="Times New Roman" w:hAnsi="Times New Roman" w:cs="Times New Roman"/>
          <w:sz w:val="24"/>
          <w:szCs w:val="24"/>
        </w:rPr>
        <w:t>t</w:t>
      </w:r>
      <w:r w:rsidR="00051FF4">
        <w:rPr>
          <w:rFonts w:ascii="Times New Roman" w:eastAsia="Times New Roman" w:hAnsi="Times New Roman" w:cs="Times New Roman"/>
          <w:sz w:val="24"/>
          <w:szCs w:val="24"/>
        </w:rPr>
        <w:t>o</w:t>
      </w:r>
      <w:r w:rsidR="00051FF4"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prepare adults with workforce training and education to succeed in</w:t>
      </w:r>
      <w:r w:rsidR="002E5CCC">
        <w:rPr>
          <w:rFonts w:ascii="Times New Roman" w:eastAsia="Times New Roman" w:hAnsi="Times New Roman" w:cs="Times New Roman"/>
          <w:sz w:val="24"/>
          <w:szCs w:val="24"/>
        </w:rPr>
        <w:t xml:space="preserve"> high-demand, high-wage careers</w:t>
      </w:r>
      <w:r w:rsidRPr="00B131CA">
        <w:rPr>
          <w:rFonts w:ascii="Times New Roman" w:eastAsia="Times New Roman" w:hAnsi="Times New Roman" w:cs="Times New Roman"/>
          <w:sz w:val="24"/>
          <w:szCs w:val="24"/>
        </w:rPr>
        <w:t xml:space="preserve">. </w:t>
      </w:r>
      <w:r w:rsidR="00051FF4">
        <w:rPr>
          <w:rFonts w:ascii="Times New Roman" w:eastAsia="Times New Roman" w:hAnsi="Times New Roman" w:cs="Times New Roman"/>
          <w:sz w:val="24"/>
          <w:szCs w:val="24"/>
        </w:rPr>
        <w:t>Beginning in PY2022-2023, the program shifted from a competitive grant to an allocation to regional programs to support the cost of integrated education and training, including the provision of career coaching services.</w:t>
      </w:r>
    </w:p>
    <w:p w14:paraId="000003F7" w14:textId="3851BC68" w:rsidR="002F3C8D" w:rsidRPr="00932B32" w:rsidRDefault="00BF5CDA" w:rsidP="00CD5950">
      <w:pPr>
        <w:spacing w:after="120" w:line="240" w:lineRule="auto"/>
        <w:rPr>
          <w:rFonts w:ascii="Times New Roman" w:hAnsi="Times New Roman"/>
          <w:sz w:val="24"/>
        </w:rPr>
      </w:pPr>
      <w:r w:rsidRPr="00932B32">
        <w:rPr>
          <w:rFonts w:ascii="Times New Roman" w:hAnsi="Times New Roman"/>
          <w:i/>
          <w:sz w:val="24"/>
        </w:rPr>
        <w:t>Postsecondary Educational Institution</w:t>
      </w:r>
      <w:r w:rsidRPr="00B131CA">
        <w:rPr>
          <w:rFonts w:ascii="Times New Roman" w:eastAsia="Times New Roman" w:hAnsi="Times New Roman" w:cs="Times New Roman"/>
          <w:sz w:val="24"/>
          <w:szCs w:val="24"/>
        </w:rPr>
        <w:t xml:space="preserve"> —</w:t>
      </w:r>
      <w:r w:rsidR="00CD5950">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An institution of higher education that provides not less than a two-year program of instruction that is acceptable for credit toward a bachelor’s degree; a tribally controlled college or university; or a nonprofit educational institution offering certificate or apprenticeship programs at the postsecondary level.</w:t>
      </w:r>
    </w:p>
    <w:p w14:paraId="000003F8"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Recidivism</w:t>
      </w:r>
      <w:r w:rsidRPr="00B131CA">
        <w:rPr>
          <w:rFonts w:ascii="Times New Roman" w:eastAsia="Times New Roman" w:hAnsi="Times New Roman" w:cs="Times New Roman"/>
          <w:sz w:val="24"/>
          <w:szCs w:val="24"/>
        </w:rPr>
        <w:t xml:space="preserve"> — refers to a person’s relapse into criminal behavior that results in re-arrest, reconviction, or return to prison with or without a new sentence during a three-year period following the prisoner's release.</w:t>
      </w:r>
    </w:p>
    <w:p w14:paraId="000003F9" w14:textId="237D13D9" w:rsidR="002F3C8D" w:rsidRPr="00B131CA" w:rsidRDefault="00BF5CDA">
      <w:pPr>
        <w:spacing w:after="120" w:line="240" w:lineRule="auto"/>
        <w:rPr>
          <w:rFonts w:ascii="Times New Roman" w:eastAsia="Times New Roman" w:hAnsi="Times New Roman" w:cs="Times New Roman"/>
          <w:i/>
          <w:sz w:val="24"/>
          <w:szCs w:val="24"/>
        </w:rPr>
      </w:pPr>
      <w:r w:rsidRPr="00932B32">
        <w:rPr>
          <w:rFonts w:ascii="Times New Roman" w:hAnsi="Times New Roman"/>
          <w:i/>
          <w:sz w:val="24"/>
        </w:rPr>
        <w:t xml:space="preserve">Recognized Postsecondary </w:t>
      </w:r>
      <w:r w:rsidR="004E6C12" w:rsidRPr="00932B32">
        <w:rPr>
          <w:rFonts w:ascii="Times New Roman" w:hAnsi="Times New Roman"/>
          <w:i/>
          <w:sz w:val="24"/>
        </w:rPr>
        <w:t xml:space="preserve">Credential </w:t>
      </w:r>
      <w:r w:rsidR="004E6C12" w:rsidRPr="00B131CA">
        <w:rPr>
          <w:rFonts w:ascii="Times New Roman" w:eastAsia="Times New Roman" w:hAnsi="Times New Roman" w:cs="Times New Roman"/>
          <w:sz w:val="24"/>
          <w:szCs w:val="24"/>
        </w:rPr>
        <w:t>—</w:t>
      </w:r>
      <w:r w:rsidRPr="00B131CA">
        <w:rPr>
          <w:rFonts w:ascii="Times New Roman" w:eastAsia="Times New Roman" w:hAnsi="Times New Roman" w:cs="Times New Roman"/>
          <w:sz w:val="24"/>
          <w:szCs w:val="24"/>
        </w:rPr>
        <w:t xml:space="preserve"> </w:t>
      </w:r>
      <w:r w:rsidR="001C4DC1">
        <w:rPr>
          <w:rFonts w:ascii="Times New Roman" w:eastAsia="Times New Roman" w:hAnsi="Times New Roman" w:cs="Times New Roman"/>
          <w:sz w:val="24"/>
          <w:szCs w:val="24"/>
        </w:rPr>
        <w:t>f</w:t>
      </w:r>
      <w:r w:rsidRPr="00B131CA">
        <w:rPr>
          <w:rFonts w:ascii="Times New Roman" w:eastAsia="Times New Roman" w:hAnsi="Times New Roman" w:cs="Times New Roman"/>
          <w:sz w:val="24"/>
          <w:szCs w:val="24"/>
        </w:rPr>
        <w:t xml:space="preserve">or title II WIOA reporting, a recognized postsecondary credential is defined as a credential consisting of an industry-recognized certificate or certification, a certificate of completion of an apprenticeship, a license recognized by the </w:t>
      </w:r>
      <w:r w:rsidR="006825A6">
        <w:rPr>
          <w:rFonts w:ascii="Times New Roman" w:eastAsia="Times New Roman" w:hAnsi="Times New Roman" w:cs="Times New Roman"/>
          <w:sz w:val="24"/>
          <w:szCs w:val="24"/>
        </w:rPr>
        <w:t>s</w:t>
      </w:r>
      <w:r w:rsidR="006825A6" w:rsidRPr="00B131CA">
        <w:rPr>
          <w:rFonts w:ascii="Times New Roman" w:eastAsia="Times New Roman" w:hAnsi="Times New Roman" w:cs="Times New Roman"/>
          <w:sz w:val="24"/>
          <w:szCs w:val="24"/>
        </w:rPr>
        <w:t xml:space="preserve">tate </w:t>
      </w:r>
      <w:r w:rsidRPr="00B131CA">
        <w:rPr>
          <w:rFonts w:ascii="Times New Roman" w:eastAsia="Times New Roman" w:hAnsi="Times New Roman" w:cs="Times New Roman"/>
          <w:sz w:val="24"/>
          <w:szCs w:val="24"/>
        </w:rPr>
        <w:t xml:space="preserve">involved or the </w:t>
      </w:r>
      <w:r w:rsidR="006825A6">
        <w:rPr>
          <w:rFonts w:ascii="Times New Roman" w:eastAsia="Times New Roman" w:hAnsi="Times New Roman" w:cs="Times New Roman"/>
          <w:sz w:val="24"/>
          <w:szCs w:val="24"/>
        </w:rPr>
        <w:t>f</w:t>
      </w:r>
      <w:r w:rsidR="006825A6" w:rsidRPr="00B131CA">
        <w:rPr>
          <w:rFonts w:ascii="Times New Roman" w:eastAsia="Times New Roman" w:hAnsi="Times New Roman" w:cs="Times New Roman"/>
          <w:sz w:val="24"/>
          <w:szCs w:val="24"/>
        </w:rPr>
        <w:t xml:space="preserve">ederal </w:t>
      </w:r>
      <w:r w:rsidRPr="00B131CA">
        <w:rPr>
          <w:rFonts w:ascii="Times New Roman" w:eastAsia="Times New Roman" w:hAnsi="Times New Roman" w:cs="Times New Roman"/>
          <w:sz w:val="24"/>
          <w:szCs w:val="24"/>
        </w:rPr>
        <w:t xml:space="preserve">government, or an associate or baccalaureate degree. A recognized postsecondary credential is awarded in recognition of an individual’s attainment of measurable technical or industry/occupational skills necessary to obtain employment or advance within an industry/occupation. These technical or industry/occupational skills generally are based on standards developed or endorsed by employers or industry associations. </w:t>
      </w:r>
    </w:p>
    <w:p w14:paraId="000003FA" w14:textId="605FB8BE"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Reentry and Post</w:t>
      </w:r>
      <w:r w:rsidR="00B872A0">
        <w:rPr>
          <w:rFonts w:ascii="Times New Roman" w:hAnsi="Times New Roman"/>
          <w:i/>
          <w:sz w:val="24"/>
        </w:rPr>
        <w:t>r</w:t>
      </w:r>
      <w:r w:rsidRPr="00932B32">
        <w:rPr>
          <w:rFonts w:ascii="Times New Roman" w:hAnsi="Times New Roman"/>
          <w:i/>
          <w:sz w:val="24"/>
        </w:rPr>
        <w:t>elease Services</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 services provided to a formerly incarcerated individual upon or shortly after release from a correctional institution that are designed to promote successful adjustment to the community and prevent recidivism. Examples include education, </w:t>
      </w:r>
      <w:r w:rsidRPr="00B131CA">
        <w:rPr>
          <w:rFonts w:ascii="Times New Roman" w:eastAsia="Times New Roman" w:hAnsi="Times New Roman" w:cs="Times New Roman"/>
          <w:sz w:val="24"/>
          <w:szCs w:val="24"/>
        </w:rPr>
        <w:lastRenderedPageBreak/>
        <w:t xml:space="preserve">employment services, substance abuse treatment, housing support, mental and physical health care, and family reunification services. </w:t>
      </w:r>
    </w:p>
    <w:p w14:paraId="000003FE" w14:textId="51869344" w:rsidR="002F3C8D" w:rsidRPr="00932B32" w:rsidRDefault="00BF5CDA" w:rsidP="00CD5950">
      <w:pPr>
        <w:spacing w:after="120" w:line="240" w:lineRule="auto"/>
        <w:rPr>
          <w:rFonts w:ascii="Times New Roman" w:hAnsi="Times New Roman"/>
          <w:sz w:val="24"/>
        </w:rPr>
      </w:pPr>
      <w:r w:rsidRPr="00932B32">
        <w:rPr>
          <w:rFonts w:ascii="Times New Roman" w:hAnsi="Times New Roman"/>
          <w:i/>
          <w:sz w:val="24"/>
        </w:rPr>
        <w:t>Sector Strategy</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the National Governor’s Association</w:t>
      </w:r>
      <w:r w:rsidR="001C4DC1">
        <w:rPr>
          <w:rFonts w:ascii="Times New Roman" w:eastAsia="Times New Roman" w:hAnsi="Times New Roman" w:cs="Times New Roman"/>
          <w:sz w:val="24"/>
          <w:szCs w:val="24"/>
        </w:rPr>
        <w:t xml:space="preserve"> definition is</w:t>
      </w:r>
      <w:r w:rsidRPr="00B131CA">
        <w:rPr>
          <w:rFonts w:ascii="Times New Roman" w:eastAsia="Times New Roman" w:hAnsi="Times New Roman" w:cs="Times New Roman"/>
          <w:sz w:val="24"/>
          <w:szCs w:val="24"/>
        </w:rPr>
        <w:t xml:space="preserve">: “Sector strategies are partnerships of employers within one industry that bring government, education, training, economic development, labor, and community organizations together to focus on the workforce needs of an industry within a regional labor market. At the state level, </w:t>
      </w:r>
      <w:r w:rsidR="00C6226B">
        <w:rPr>
          <w:rFonts w:ascii="Times New Roman" w:eastAsia="Times New Roman" w:hAnsi="Times New Roman" w:cs="Times New Roman"/>
          <w:sz w:val="24"/>
          <w:szCs w:val="24"/>
        </w:rPr>
        <w:t>sector strategies</w:t>
      </w:r>
      <w:r w:rsidR="00C6226B"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are policies and investments that support the development of local sector partnerships. Sector strategies can do the following: </w:t>
      </w:r>
      <w:r w:rsidR="004816B7" w:rsidRPr="00B131CA">
        <w:rPr>
          <w:rFonts w:ascii="Times New Roman" w:eastAsia="Times New Roman" w:hAnsi="Times New Roman" w:cs="Times New Roman"/>
          <w:iCs/>
          <w:sz w:val="24"/>
          <w:szCs w:val="24"/>
        </w:rPr>
        <w:t>a</w:t>
      </w:r>
      <w:r w:rsidRPr="00B131CA">
        <w:rPr>
          <w:rFonts w:ascii="Times New Roman" w:eastAsia="Times New Roman" w:hAnsi="Times New Roman" w:cs="Times New Roman"/>
          <w:iCs/>
          <w:sz w:val="24"/>
          <w:szCs w:val="24"/>
        </w:rPr>
        <w:t>ddress</w:t>
      </w:r>
      <w:r w:rsidRPr="00932B32">
        <w:rPr>
          <w:rFonts w:ascii="Times New Roman" w:hAnsi="Times New Roman"/>
          <w:sz w:val="24"/>
        </w:rPr>
        <w:t xml:space="preserve"> current and emerging skills gap</w:t>
      </w:r>
      <w:r w:rsidR="00CD5950">
        <w:rPr>
          <w:rFonts w:ascii="Times New Roman" w:hAnsi="Times New Roman"/>
          <w:sz w:val="24"/>
        </w:rPr>
        <w:t xml:space="preserve">, </w:t>
      </w:r>
      <w:r w:rsidR="004816B7" w:rsidRPr="00B131CA">
        <w:rPr>
          <w:rFonts w:ascii="Times New Roman" w:eastAsia="Times New Roman" w:hAnsi="Times New Roman" w:cs="Times New Roman"/>
          <w:iCs/>
          <w:sz w:val="24"/>
          <w:szCs w:val="24"/>
        </w:rPr>
        <w:t>p</w:t>
      </w:r>
      <w:r w:rsidRPr="00B131CA">
        <w:rPr>
          <w:rFonts w:ascii="Times New Roman" w:eastAsia="Times New Roman" w:hAnsi="Times New Roman" w:cs="Times New Roman"/>
          <w:iCs/>
          <w:sz w:val="24"/>
          <w:szCs w:val="24"/>
        </w:rPr>
        <w:t>rovide</w:t>
      </w:r>
      <w:r w:rsidRPr="00932B32">
        <w:rPr>
          <w:rFonts w:ascii="Times New Roman" w:hAnsi="Times New Roman"/>
          <w:sz w:val="24"/>
        </w:rPr>
        <w:t xml:space="preserve"> a means to engage directly with industry across traditional boundaries</w:t>
      </w:r>
      <w:r w:rsidR="00CD5950">
        <w:rPr>
          <w:rFonts w:ascii="Times New Roman" w:hAnsi="Times New Roman"/>
          <w:sz w:val="24"/>
        </w:rPr>
        <w:t xml:space="preserve">, and </w:t>
      </w:r>
      <w:r w:rsidR="004816B7" w:rsidRPr="00B131CA">
        <w:rPr>
          <w:rFonts w:ascii="Times New Roman" w:eastAsia="Times New Roman" w:hAnsi="Times New Roman" w:cs="Times New Roman"/>
          <w:iCs/>
          <w:sz w:val="24"/>
          <w:szCs w:val="24"/>
        </w:rPr>
        <w:t>b</w:t>
      </w:r>
      <w:r w:rsidRPr="00B131CA">
        <w:rPr>
          <w:rFonts w:ascii="Times New Roman" w:eastAsia="Times New Roman" w:hAnsi="Times New Roman" w:cs="Times New Roman"/>
          <w:iCs/>
          <w:sz w:val="24"/>
          <w:szCs w:val="24"/>
        </w:rPr>
        <w:t>etter</w:t>
      </w:r>
      <w:r w:rsidRPr="00932B32">
        <w:rPr>
          <w:rFonts w:ascii="Times New Roman" w:hAnsi="Times New Roman"/>
          <w:sz w:val="24"/>
        </w:rPr>
        <w:t xml:space="preserve"> align state programs and resources serving employers and workers</w:t>
      </w:r>
      <w:r w:rsidR="001C4DC1">
        <w:rPr>
          <w:rFonts w:ascii="Times New Roman" w:hAnsi="Times New Roman"/>
          <w:sz w:val="24"/>
        </w:rPr>
        <w:t>.</w:t>
      </w:r>
      <w:r w:rsidRPr="00932B32">
        <w:rPr>
          <w:rFonts w:ascii="Times New Roman" w:hAnsi="Times New Roman"/>
          <w:sz w:val="24"/>
        </w:rPr>
        <w:t>”</w:t>
      </w:r>
    </w:p>
    <w:p w14:paraId="000003FF" w14:textId="16F40C05"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State Leadership Coordinating Funds (SLCA) </w:t>
      </w:r>
      <w:r w:rsidRPr="00B131CA">
        <w:rPr>
          <w:rFonts w:ascii="Times New Roman" w:eastAsia="Times New Roman" w:hAnsi="Times New Roman" w:cs="Times New Roman"/>
          <w:sz w:val="24"/>
          <w:szCs w:val="24"/>
        </w:rPr>
        <w:t xml:space="preserve">— </w:t>
      </w:r>
      <w:r w:rsidR="001C4DC1">
        <w:rPr>
          <w:rFonts w:ascii="Times New Roman" w:eastAsia="Times New Roman" w:hAnsi="Times New Roman" w:cs="Times New Roman"/>
          <w:sz w:val="24"/>
          <w:szCs w:val="24"/>
        </w:rPr>
        <w:t xml:space="preserve">A </w:t>
      </w:r>
      <w:r w:rsidRPr="00B131CA">
        <w:rPr>
          <w:rFonts w:ascii="Times New Roman" w:eastAsia="Times New Roman" w:hAnsi="Times New Roman" w:cs="Times New Roman"/>
          <w:sz w:val="24"/>
          <w:szCs w:val="24"/>
        </w:rPr>
        <w:t>state funding stream</w:t>
      </w:r>
      <w:r w:rsidR="001C4DC1">
        <w:rPr>
          <w:rFonts w:ascii="Times New Roman" w:eastAsia="Times New Roman" w:hAnsi="Times New Roman" w:cs="Times New Roman"/>
          <w:sz w:val="24"/>
          <w:szCs w:val="24"/>
        </w:rPr>
        <w:t xml:space="preserve"> that</w:t>
      </w:r>
      <w:r w:rsidRPr="00B131CA">
        <w:rPr>
          <w:rFonts w:ascii="Times New Roman" w:eastAsia="Times New Roman" w:hAnsi="Times New Roman" w:cs="Times New Roman"/>
          <w:sz w:val="24"/>
          <w:szCs w:val="24"/>
        </w:rPr>
        <w:t>, along with GAE</w:t>
      </w:r>
      <w:r w:rsidR="006825A6">
        <w:rPr>
          <w:rFonts w:ascii="Times New Roman" w:eastAsia="Times New Roman" w:hAnsi="Times New Roman" w:cs="Times New Roman"/>
          <w:sz w:val="24"/>
          <w:szCs w:val="24"/>
        </w:rPr>
        <w:t xml:space="preserve"> and </w:t>
      </w:r>
      <w:proofErr w:type="spellStart"/>
      <w:r w:rsidR="006825A6">
        <w:rPr>
          <w:rFonts w:ascii="Times New Roman" w:eastAsia="Times New Roman" w:hAnsi="Times New Roman" w:cs="Times New Roman"/>
          <w:sz w:val="24"/>
          <w:szCs w:val="24"/>
        </w:rPr>
        <w:t>PluggedIn</w:t>
      </w:r>
      <w:proofErr w:type="spellEnd"/>
      <w:r w:rsidR="006825A6">
        <w:rPr>
          <w:rFonts w:ascii="Times New Roman" w:eastAsia="Times New Roman" w:hAnsi="Times New Roman" w:cs="Times New Roman"/>
          <w:sz w:val="24"/>
          <w:szCs w:val="24"/>
        </w:rPr>
        <w:t xml:space="preserve"> VA</w:t>
      </w:r>
      <w:r w:rsidRPr="00B131CA">
        <w:rPr>
          <w:rFonts w:ascii="Times New Roman" w:eastAsia="Times New Roman" w:hAnsi="Times New Roman" w:cs="Times New Roman"/>
          <w:sz w:val="24"/>
          <w:szCs w:val="24"/>
        </w:rPr>
        <w:t xml:space="preserve">, is awarded from the Virginia General Assembly budget </w:t>
      </w:r>
      <w:r w:rsidR="001C4DC1">
        <w:rPr>
          <w:rFonts w:ascii="Times New Roman" w:eastAsia="Times New Roman" w:hAnsi="Times New Roman" w:cs="Times New Roman"/>
          <w:sz w:val="24"/>
          <w:szCs w:val="24"/>
        </w:rPr>
        <w:t>to meet</w:t>
      </w:r>
      <w:r w:rsidRPr="00B131CA">
        <w:rPr>
          <w:rFonts w:ascii="Times New Roman" w:eastAsia="Times New Roman" w:hAnsi="Times New Roman" w:cs="Times New Roman"/>
          <w:sz w:val="24"/>
          <w:szCs w:val="24"/>
        </w:rPr>
        <w:t xml:space="preserve"> the required state match to the federal AEFLA award. </w:t>
      </w:r>
      <w:r w:rsidR="006825A6">
        <w:rPr>
          <w:rFonts w:ascii="Times New Roman" w:eastAsia="Times New Roman" w:hAnsi="Times New Roman" w:cs="Times New Roman"/>
          <w:sz w:val="24"/>
          <w:szCs w:val="24"/>
        </w:rPr>
        <w:t>The SLCA</w:t>
      </w:r>
      <w:r w:rsidR="006825A6"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sz w:val="24"/>
          <w:szCs w:val="24"/>
        </w:rPr>
        <w:t xml:space="preserve">funds are awarded to each of the 22 adult education regions in conjunction with the adult education funds. There is not a separate competitive grant application for these funds. Because these funds are declared as match to the federal funds, their expenditures must follow the same regulations and allowable activities (Sec. 221(b)(2)). Unlike federal funds, state funds are awarded for a one-year grant period and cannot be recouped for reallocation. </w:t>
      </w:r>
    </w:p>
    <w:p w14:paraId="00000400" w14:textId="5C253725"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Superintendent's </w:t>
      </w:r>
      <w:r w:rsidR="001C4DC1">
        <w:rPr>
          <w:rFonts w:ascii="Times New Roman" w:hAnsi="Times New Roman"/>
          <w:i/>
          <w:sz w:val="24"/>
        </w:rPr>
        <w:t>Newsletter</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 Official communication from the Virginia Superintendent of Public Instruction to local division superintendents regarding critical issues, certain adult education funding opportunities, and policies. </w:t>
      </w:r>
      <w:r w:rsidR="00AE32D9" w:rsidRPr="00360DA4">
        <w:rPr>
          <w:rFonts w:ascii="Times New Roman" w:eastAsia="Times New Roman" w:hAnsi="Times New Roman" w:cs="Times New Roman"/>
          <w:sz w:val="24"/>
          <w:szCs w:val="24"/>
        </w:rPr>
        <w:t xml:space="preserve">Find </w:t>
      </w:r>
      <w:r w:rsidR="001C4DC1" w:rsidRPr="00360DA4">
        <w:rPr>
          <w:rFonts w:ascii="Times New Roman" w:hAnsi="Times New Roman" w:cs="Times New Roman"/>
          <w:sz w:val="24"/>
          <w:szCs w:val="24"/>
        </w:rPr>
        <w:t xml:space="preserve">archived </w:t>
      </w:r>
      <w:r w:rsidR="001C4DC1" w:rsidRPr="00360DA4">
        <w:rPr>
          <w:rFonts w:ascii="Times New Roman" w:eastAsia="Times New Roman" w:hAnsi="Times New Roman" w:cs="Times New Roman"/>
          <w:sz w:val="24"/>
          <w:szCs w:val="24"/>
        </w:rPr>
        <w:t>newsletters</w:t>
      </w:r>
      <w:r w:rsidR="00360DA4">
        <w:rPr>
          <w:rFonts w:ascii="Times New Roman" w:eastAsia="Times New Roman" w:hAnsi="Times New Roman" w:cs="Times New Roman"/>
          <w:sz w:val="24"/>
          <w:szCs w:val="24"/>
        </w:rPr>
        <w:t xml:space="preserve"> and other communications </w:t>
      </w:r>
      <w:hyperlink r:id="rId170" w:history="1">
        <w:r w:rsidR="00360DA4" w:rsidRPr="00360DA4">
          <w:rPr>
            <w:rStyle w:val="Hyperlink"/>
            <w:rFonts w:ascii="Times New Roman" w:eastAsia="Times New Roman" w:hAnsi="Times New Roman" w:cs="Times New Roman"/>
            <w:sz w:val="24"/>
            <w:szCs w:val="24"/>
          </w:rPr>
          <w:t>here</w:t>
        </w:r>
      </w:hyperlink>
      <w:r w:rsidRPr="00F3500B">
        <w:rPr>
          <w:rFonts w:ascii="Times New Roman" w:eastAsia="Times New Roman" w:hAnsi="Times New Roman" w:cs="Times New Roman"/>
          <w:sz w:val="24"/>
          <w:szCs w:val="24"/>
        </w:rPr>
        <w:t xml:space="preserve">. </w:t>
      </w:r>
    </w:p>
    <w:p w14:paraId="00000401" w14:textId="2601A5BB" w:rsidR="002F3C8D" w:rsidRPr="00B131CA" w:rsidRDefault="00BF5CDA">
      <w:pPr>
        <w:spacing w:after="120" w:line="240" w:lineRule="auto"/>
        <w:rPr>
          <w:rFonts w:ascii="Times New Roman" w:eastAsia="Times New Roman" w:hAnsi="Times New Roman" w:cs="Times New Roman"/>
          <w:sz w:val="24"/>
          <w:szCs w:val="24"/>
        </w:rPr>
      </w:pPr>
      <w:bookmarkStart w:id="84" w:name="_heading=h.30j0zll" w:colFirst="0" w:colLast="0"/>
      <w:bookmarkEnd w:id="84"/>
      <w:r w:rsidRPr="00932B32">
        <w:rPr>
          <w:rFonts w:ascii="Times New Roman" w:hAnsi="Times New Roman"/>
          <w:i/>
          <w:sz w:val="24"/>
        </w:rPr>
        <w:t xml:space="preserve">Teachers of English to Speakers of Other Language (TESOL) </w:t>
      </w:r>
      <w:r w:rsidRPr="00B131CA">
        <w:rPr>
          <w:rFonts w:ascii="Times New Roman" w:eastAsia="Times New Roman" w:hAnsi="Times New Roman" w:cs="Times New Roman"/>
          <w:sz w:val="24"/>
          <w:szCs w:val="24"/>
        </w:rPr>
        <w:t xml:space="preserve">— TESOL is a professional organization for teachers of English as a second or foreign </w:t>
      </w:r>
      <w:r w:rsidR="000D1D41" w:rsidRPr="00B131CA">
        <w:rPr>
          <w:rFonts w:ascii="Times New Roman" w:eastAsia="Times New Roman" w:hAnsi="Times New Roman" w:cs="Times New Roman"/>
          <w:sz w:val="24"/>
          <w:szCs w:val="24"/>
        </w:rPr>
        <w:t xml:space="preserve">language. </w:t>
      </w:r>
      <w:r w:rsidR="00AE32D9">
        <w:rPr>
          <w:rFonts w:ascii="Times New Roman" w:eastAsia="Times New Roman" w:hAnsi="Times New Roman" w:cs="Times New Roman"/>
          <w:sz w:val="24"/>
          <w:szCs w:val="24"/>
        </w:rPr>
        <w:t>See t</w:t>
      </w:r>
      <w:r w:rsidR="000D1D41" w:rsidRPr="00B131CA">
        <w:rPr>
          <w:rFonts w:ascii="Times New Roman" w:eastAsia="Times New Roman" w:hAnsi="Times New Roman" w:cs="Times New Roman"/>
          <w:sz w:val="24"/>
          <w:szCs w:val="24"/>
        </w:rPr>
        <w:t>he</w:t>
      </w:r>
      <w:r w:rsidRPr="00B131CA">
        <w:rPr>
          <w:rFonts w:ascii="Times New Roman" w:eastAsia="Times New Roman" w:hAnsi="Times New Roman" w:cs="Times New Roman"/>
          <w:sz w:val="24"/>
          <w:szCs w:val="24"/>
        </w:rPr>
        <w:t xml:space="preserve"> national organization </w:t>
      </w:r>
      <w:hyperlink r:id="rId171" w:history="1">
        <w:r w:rsidRPr="00AE32D9">
          <w:rPr>
            <w:rStyle w:val="Hyperlink"/>
            <w:rFonts w:ascii="Times New Roman" w:eastAsia="Times New Roman" w:hAnsi="Times New Roman" w:cs="Times New Roman"/>
            <w:sz w:val="24"/>
            <w:szCs w:val="24"/>
          </w:rPr>
          <w:t>website</w:t>
        </w:r>
      </w:hyperlink>
      <w:r w:rsidRPr="00B131CA">
        <w:rPr>
          <w:rFonts w:ascii="Times New Roman" w:eastAsia="Times New Roman" w:hAnsi="Times New Roman" w:cs="Times New Roman"/>
          <w:sz w:val="24"/>
          <w:szCs w:val="24"/>
        </w:rPr>
        <w:t xml:space="preserve"> is located at an</w:t>
      </w:r>
      <w:r w:rsidR="00AE32D9">
        <w:rPr>
          <w:rFonts w:ascii="Times New Roman" w:eastAsia="Times New Roman" w:hAnsi="Times New Roman" w:cs="Times New Roman"/>
          <w:sz w:val="24"/>
          <w:szCs w:val="24"/>
        </w:rPr>
        <w:t xml:space="preserve">d the </w:t>
      </w:r>
      <w:hyperlink r:id="rId172" w:history="1">
        <w:r w:rsidR="00AE32D9" w:rsidRPr="00AE32D9">
          <w:rPr>
            <w:rStyle w:val="Hyperlink"/>
            <w:rFonts w:ascii="Times New Roman" w:eastAsia="Times New Roman" w:hAnsi="Times New Roman" w:cs="Times New Roman"/>
            <w:sz w:val="24"/>
            <w:szCs w:val="24"/>
          </w:rPr>
          <w:t xml:space="preserve">Virginia </w:t>
        </w:r>
        <w:r w:rsidR="006A3C57">
          <w:rPr>
            <w:rStyle w:val="Hyperlink"/>
            <w:rFonts w:ascii="Times New Roman" w:eastAsia="Times New Roman" w:hAnsi="Times New Roman" w:cs="Times New Roman"/>
            <w:sz w:val="24"/>
            <w:szCs w:val="24"/>
          </w:rPr>
          <w:t xml:space="preserve">TESOL </w:t>
        </w:r>
        <w:r w:rsidR="00AE32D9" w:rsidRPr="00AE32D9">
          <w:rPr>
            <w:rStyle w:val="Hyperlink"/>
            <w:rFonts w:ascii="Times New Roman" w:eastAsia="Times New Roman" w:hAnsi="Times New Roman" w:cs="Times New Roman"/>
            <w:sz w:val="24"/>
            <w:szCs w:val="24"/>
          </w:rPr>
          <w:t>chapter website</w:t>
        </w:r>
      </w:hyperlink>
      <w:r w:rsidR="00AE32D9">
        <w:rPr>
          <w:rFonts w:ascii="Times New Roman" w:eastAsia="Times New Roman" w:hAnsi="Times New Roman" w:cs="Times New Roman"/>
          <w:sz w:val="24"/>
          <w:szCs w:val="24"/>
        </w:rPr>
        <w:t>.</w:t>
      </w:r>
      <w:hyperlink r:id="rId173">
        <w:r w:rsidRPr="00B131CA">
          <w:rPr>
            <w:rFonts w:ascii="Times New Roman" w:eastAsia="Times New Roman" w:hAnsi="Times New Roman" w:cs="Times New Roman"/>
            <w:i/>
            <w:color w:val="1155CC"/>
            <w:sz w:val="24"/>
            <w:szCs w:val="24"/>
            <w:u w:val="single"/>
          </w:rPr>
          <w:t xml:space="preserve"> </w:t>
        </w:r>
      </w:hyperlink>
    </w:p>
    <w:p w14:paraId="00000402"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Unsubsidized Employment</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refers to employment in the private or public sector for which the employer does not receive a subsidy from public funds to offset all or a part of the wages and costs of employing an individual.</w:t>
      </w:r>
    </w:p>
    <w:p w14:paraId="00000403" w14:textId="63726AE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Virginia Association for Adult </w:t>
      </w:r>
      <w:r w:rsidR="00C07935">
        <w:rPr>
          <w:rFonts w:ascii="Times New Roman" w:hAnsi="Times New Roman"/>
          <w:i/>
          <w:sz w:val="24"/>
        </w:rPr>
        <w:t>and</w:t>
      </w:r>
      <w:r w:rsidRPr="00932B32">
        <w:rPr>
          <w:rFonts w:ascii="Times New Roman" w:hAnsi="Times New Roman"/>
          <w:i/>
          <w:sz w:val="24"/>
        </w:rPr>
        <w:t xml:space="preserve"> Continuing Education (VAACE) </w:t>
      </w:r>
      <w:r w:rsidRPr="00B131CA">
        <w:rPr>
          <w:rFonts w:ascii="Times New Roman" w:eastAsia="Times New Roman" w:hAnsi="Times New Roman" w:cs="Times New Roman"/>
          <w:sz w:val="24"/>
          <w:szCs w:val="24"/>
        </w:rPr>
        <w:t xml:space="preserve">— </w:t>
      </w:r>
      <w:hyperlink r:id="rId174" w:history="1">
        <w:r w:rsidRPr="00AE32D9">
          <w:rPr>
            <w:rStyle w:val="Hyperlink"/>
            <w:rFonts w:ascii="Times New Roman" w:eastAsia="Times New Roman" w:hAnsi="Times New Roman" w:cs="Times New Roman"/>
            <w:sz w:val="24"/>
            <w:szCs w:val="24"/>
          </w:rPr>
          <w:t>VAACE</w:t>
        </w:r>
      </w:hyperlink>
      <w:r w:rsidRPr="00B131CA">
        <w:rPr>
          <w:rFonts w:ascii="Times New Roman" w:eastAsia="Times New Roman" w:hAnsi="Times New Roman" w:cs="Times New Roman"/>
          <w:sz w:val="24"/>
          <w:szCs w:val="24"/>
        </w:rPr>
        <w:t xml:space="preserve"> is the professional association for Virginia’s adult and continuing education practitioners and administrators. </w:t>
      </w:r>
      <w:r w:rsidR="001C4DC1">
        <w:rPr>
          <w:rFonts w:ascii="Times New Roman" w:eastAsia="Times New Roman" w:hAnsi="Times New Roman" w:cs="Times New Roman"/>
          <w:sz w:val="24"/>
          <w:szCs w:val="24"/>
        </w:rPr>
        <w:t xml:space="preserve">An annual conference for adult educators is held by VAACE in collaboration with the VDOE and VALRC. </w:t>
      </w:r>
    </w:p>
    <w:p w14:paraId="00000404" w14:textId="7777777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Virginia Adult Education and Literacy Network (VAELN) </w:t>
      </w:r>
      <w:r w:rsidRPr="00B131CA">
        <w:rPr>
          <w:rFonts w:ascii="Times New Roman" w:eastAsia="Times New Roman" w:hAnsi="Times New Roman" w:cs="Times New Roman"/>
          <w:sz w:val="24"/>
          <w:szCs w:val="24"/>
        </w:rPr>
        <w:t xml:space="preserve">— VAELN is a state-wide listserv through the Virginia Adult Learning Resource Center that posts notices related to professional development, grants, and news that support the field of adult education. </w:t>
      </w:r>
    </w:p>
    <w:p w14:paraId="00000405" w14:textId="7D2313E2"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 xml:space="preserve">Virginia Adult Learning Resource Center (VALRC) </w:t>
      </w:r>
      <w:r w:rsidRPr="00B131CA">
        <w:rPr>
          <w:rFonts w:ascii="Times New Roman" w:eastAsia="Times New Roman" w:hAnsi="Times New Roman" w:cs="Times New Roman"/>
          <w:sz w:val="24"/>
          <w:szCs w:val="24"/>
        </w:rPr>
        <w:t xml:space="preserve">— </w:t>
      </w:r>
      <w:r w:rsidR="00AE32D9">
        <w:rPr>
          <w:rFonts w:ascii="Times New Roman" w:eastAsia="Times New Roman" w:hAnsi="Times New Roman" w:cs="Times New Roman"/>
          <w:sz w:val="24"/>
          <w:szCs w:val="24"/>
        </w:rPr>
        <w:t xml:space="preserve">The </w:t>
      </w:r>
      <w:hyperlink r:id="rId175" w:history="1">
        <w:r w:rsidRPr="00AE32D9">
          <w:rPr>
            <w:rStyle w:val="Hyperlink"/>
            <w:rFonts w:ascii="Times New Roman" w:eastAsia="Times New Roman" w:hAnsi="Times New Roman" w:cs="Times New Roman"/>
            <w:sz w:val="24"/>
            <w:szCs w:val="24"/>
          </w:rPr>
          <w:t>VALRC</w:t>
        </w:r>
      </w:hyperlink>
      <w:r w:rsidRPr="00B131CA">
        <w:rPr>
          <w:rFonts w:ascii="Times New Roman" w:eastAsia="Times New Roman" w:hAnsi="Times New Roman" w:cs="Times New Roman"/>
          <w:sz w:val="24"/>
          <w:szCs w:val="24"/>
        </w:rPr>
        <w:t xml:space="preserve"> is funded by the Virginia Department of Education</w:t>
      </w:r>
      <w:r w:rsidR="001C4DC1">
        <w:rPr>
          <w:rFonts w:ascii="Times New Roman" w:eastAsia="Times New Roman" w:hAnsi="Times New Roman" w:cs="Times New Roman"/>
          <w:sz w:val="24"/>
          <w:szCs w:val="24"/>
        </w:rPr>
        <w:t xml:space="preserve"> through title II state leadership funds</w:t>
      </w:r>
      <w:r w:rsidRPr="00B131CA">
        <w:rPr>
          <w:rFonts w:ascii="Times New Roman" w:eastAsia="Times New Roman" w:hAnsi="Times New Roman" w:cs="Times New Roman"/>
          <w:sz w:val="24"/>
          <w:szCs w:val="24"/>
        </w:rPr>
        <w:t xml:space="preserve"> to provide adult education and literacy resources, publications, and training for Virginia’s adult education teachers and administrators.</w:t>
      </w:r>
    </w:p>
    <w:p w14:paraId="00000406" w14:textId="551E5D91" w:rsidR="002F3C8D" w:rsidRPr="00932B32" w:rsidRDefault="00BF5CDA">
      <w:pPr>
        <w:spacing w:after="120" w:line="240" w:lineRule="auto"/>
        <w:rPr>
          <w:rFonts w:ascii="Times New Roman" w:hAnsi="Times New Roman"/>
          <w:i/>
          <w:sz w:val="24"/>
        </w:rPr>
      </w:pPr>
      <w:r w:rsidRPr="00932B32">
        <w:rPr>
          <w:rFonts w:ascii="Times New Roman" w:hAnsi="Times New Roman"/>
          <w:i/>
          <w:sz w:val="24"/>
        </w:rPr>
        <w:t>Virginia Literacy Foundation (</w:t>
      </w:r>
      <w:r w:rsidR="00C24FF6" w:rsidRPr="00932B32">
        <w:rPr>
          <w:rFonts w:ascii="Times New Roman" w:hAnsi="Times New Roman"/>
          <w:i/>
          <w:sz w:val="24"/>
        </w:rPr>
        <w:t>VLF)</w:t>
      </w:r>
      <w:r w:rsidR="00C24FF6" w:rsidRPr="00932B32">
        <w:rPr>
          <w:rFonts w:ascii="Times New Roman" w:hAnsi="Times New Roman"/>
          <w:i/>
          <w:color w:val="7030A0"/>
          <w:sz w:val="24"/>
        </w:rPr>
        <w:t xml:space="preserve"> </w:t>
      </w:r>
      <w:r w:rsidR="00C24FF6" w:rsidRPr="00932B32">
        <w:rPr>
          <w:rFonts w:ascii="Times New Roman" w:hAnsi="Times New Roman"/>
          <w:color w:val="7030A0"/>
          <w:sz w:val="24"/>
        </w:rPr>
        <w:t>—</w:t>
      </w:r>
      <w:r w:rsidRPr="00B131CA">
        <w:rPr>
          <w:rFonts w:ascii="Times New Roman" w:eastAsia="Times New Roman" w:hAnsi="Times New Roman" w:cs="Times New Roman"/>
          <w:sz w:val="24"/>
          <w:szCs w:val="24"/>
        </w:rPr>
        <w:t xml:space="preserve"> </w:t>
      </w:r>
      <w:r w:rsidRPr="00B131CA">
        <w:rPr>
          <w:rFonts w:ascii="Times New Roman" w:eastAsia="Times New Roman" w:hAnsi="Times New Roman" w:cs="Times New Roman"/>
          <w:color w:val="212529"/>
          <w:sz w:val="24"/>
          <w:szCs w:val="24"/>
          <w:highlight w:val="white"/>
        </w:rPr>
        <w:t xml:space="preserve">The </w:t>
      </w:r>
      <w:hyperlink r:id="rId176" w:history="1">
        <w:r w:rsidRPr="00AE32D9">
          <w:rPr>
            <w:rStyle w:val="Hyperlink"/>
            <w:rFonts w:ascii="Times New Roman" w:eastAsia="Times New Roman" w:hAnsi="Times New Roman" w:cs="Times New Roman"/>
            <w:sz w:val="24"/>
            <w:szCs w:val="24"/>
            <w:highlight w:val="white"/>
          </w:rPr>
          <w:t>Virginia Literacy Foundation</w:t>
        </w:r>
      </w:hyperlink>
      <w:r w:rsidRPr="00B131CA">
        <w:rPr>
          <w:rFonts w:ascii="Times New Roman" w:eastAsia="Times New Roman" w:hAnsi="Times New Roman" w:cs="Times New Roman"/>
          <w:color w:val="212529"/>
          <w:sz w:val="24"/>
          <w:szCs w:val="24"/>
          <w:highlight w:val="white"/>
        </w:rPr>
        <w:t xml:space="preserve"> provides funding and technical support to private and volunteer literacy organizations throughout Virginia via challenge grants, training, and direct consultation. The VLF also works in partnership with public and private organizations to improve literacy with individuals and in the workplace, and </w:t>
      </w:r>
      <w:r w:rsidRPr="00B131CA">
        <w:rPr>
          <w:rFonts w:ascii="Times New Roman" w:eastAsia="Times New Roman" w:hAnsi="Times New Roman" w:cs="Times New Roman"/>
          <w:color w:val="212529"/>
          <w:sz w:val="24"/>
          <w:szCs w:val="24"/>
          <w:highlight w:val="white"/>
        </w:rPr>
        <w:lastRenderedPageBreak/>
        <w:t>to provide professional development training and research-based, promising practices for programs and staff.</w:t>
      </w:r>
      <w:r w:rsidRPr="00932B32">
        <w:rPr>
          <w:rFonts w:ascii="Times New Roman" w:hAnsi="Times New Roman"/>
          <w:i/>
          <w:sz w:val="24"/>
        </w:rPr>
        <w:t xml:space="preserve"> </w:t>
      </w:r>
    </w:p>
    <w:p w14:paraId="68FF63B1" w14:textId="11757E23" w:rsidR="00D85F84" w:rsidRPr="00F057C2" w:rsidRDefault="00D85F84" w:rsidP="00957DEE">
      <w:pPr>
        <w:spacing w:after="120" w:line="240" w:lineRule="auto"/>
        <w:rPr>
          <w:rFonts w:ascii="Times New Roman" w:hAnsi="Times New Roman"/>
          <w:iCs/>
          <w:sz w:val="24"/>
        </w:rPr>
      </w:pPr>
      <w:r>
        <w:rPr>
          <w:rFonts w:ascii="Times New Roman" w:hAnsi="Times New Roman"/>
          <w:i/>
          <w:sz w:val="24"/>
        </w:rPr>
        <w:t xml:space="preserve">Virtual Virginia – </w:t>
      </w:r>
      <w:r w:rsidR="00957DEE" w:rsidRPr="00F057C2">
        <w:rPr>
          <w:rFonts w:ascii="Times New Roman" w:hAnsi="Times New Roman"/>
          <w:iCs/>
          <w:sz w:val="24"/>
        </w:rPr>
        <w:t xml:space="preserve">Virtual Virginia is a program of the VDOE that </w:t>
      </w:r>
      <w:r w:rsidR="00286A0F" w:rsidRPr="00F057C2">
        <w:rPr>
          <w:rFonts w:ascii="Times New Roman" w:hAnsi="Times New Roman"/>
          <w:iCs/>
          <w:sz w:val="24"/>
        </w:rPr>
        <w:t xml:space="preserve">develops and </w:t>
      </w:r>
      <w:r w:rsidR="00957DEE" w:rsidRPr="00F057C2">
        <w:rPr>
          <w:rFonts w:ascii="Times New Roman" w:hAnsi="Times New Roman"/>
          <w:iCs/>
          <w:sz w:val="24"/>
        </w:rPr>
        <w:t>offers online courses to K-12 students throughout the Commonwealth and professional learning opportunities for educators. Nine instructor-led, standards-aligned courses in mathematics, English language acquisition</w:t>
      </w:r>
      <w:r w:rsidR="00286A0F" w:rsidRPr="00F057C2">
        <w:rPr>
          <w:rFonts w:ascii="Times New Roman" w:hAnsi="Times New Roman"/>
          <w:iCs/>
          <w:sz w:val="24"/>
        </w:rPr>
        <w:t>,</w:t>
      </w:r>
      <w:r w:rsidR="00957DEE" w:rsidRPr="00F057C2">
        <w:rPr>
          <w:rFonts w:ascii="Times New Roman" w:hAnsi="Times New Roman"/>
          <w:iCs/>
          <w:sz w:val="24"/>
        </w:rPr>
        <w:t xml:space="preserve"> and </w:t>
      </w:r>
      <w:r w:rsidR="00286A0F" w:rsidRPr="00F057C2">
        <w:rPr>
          <w:rFonts w:ascii="Times New Roman" w:hAnsi="Times New Roman"/>
          <w:iCs/>
          <w:sz w:val="24"/>
        </w:rPr>
        <w:t>reading and</w:t>
      </w:r>
      <w:r w:rsidR="00957DEE" w:rsidRPr="00F057C2">
        <w:rPr>
          <w:rFonts w:ascii="Times New Roman" w:hAnsi="Times New Roman"/>
          <w:iCs/>
          <w:sz w:val="24"/>
        </w:rPr>
        <w:t xml:space="preserve"> language arts designed for adult education students </w:t>
      </w:r>
      <w:r w:rsidR="00286A0F" w:rsidRPr="00F057C2">
        <w:rPr>
          <w:rFonts w:ascii="Times New Roman" w:hAnsi="Times New Roman"/>
          <w:iCs/>
          <w:sz w:val="24"/>
        </w:rPr>
        <w:t xml:space="preserve">have been developed and are freely available to providers. </w:t>
      </w:r>
    </w:p>
    <w:p w14:paraId="00000407" w14:textId="7ED2687C"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Workplace Adult Education and Literacy Activities</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Adult education and literacy activities offered by an eligible provider in collaboration with an employer or employee organization at a workplace or an off-site location that is designed to improve the productivity of the workforce.</w:t>
      </w:r>
    </w:p>
    <w:p w14:paraId="00000408" w14:textId="038E942C" w:rsidR="002F3C8D" w:rsidRPr="00B131CA" w:rsidRDefault="00BF5CDA">
      <w:pPr>
        <w:spacing w:after="120" w:line="240" w:lineRule="auto"/>
        <w:rPr>
          <w:rFonts w:ascii="Times New Roman" w:eastAsia="Times New Roman" w:hAnsi="Times New Roman" w:cs="Times New Roman"/>
          <w:color w:val="030A13"/>
          <w:sz w:val="24"/>
          <w:szCs w:val="24"/>
        </w:rPr>
      </w:pPr>
      <w:r w:rsidRPr="00932B32">
        <w:rPr>
          <w:rFonts w:ascii="Times New Roman" w:hAnsi="Times New Roman"/>
          <w:i/>
          <w:sz w:val="24"/>
        </w:rPr>
        <w:t xml:space="preserve">Workforce Innovation </w:t>
      </w:r>
      <w:r w:rsidR="00C6226B">
        <w:rPr>
          <w:rFonts w:ascii="Times New Roman" w:hAnsi="Times New Roman"/>
          <w:i/>
          <w:sz w:val="24"/>
        </w:rPr>
        <w:t xml:space="preserve">and </w:t>
      </w:r>
      <w:r w:rsidRPr="00932B32">
        <w:rPr>
          <w:rFonts w:ascii="Times New Roman" w:hAnsi="Times New Roman"/>
          <w:i/>
          <w:sz w:val="24"/>
        </w:rPr>
        <w:t>Opportunity Act</w:t>
      </w:r>
      <w:r w:rsidRPr="00B131CA">
        <w:rPr>
          <w:rFonts w:ascii="Times New Roman" w:eastAsia="Times New Roman" w:hAnsi="Times New Roman" w:cs="Times New Roman"/>
          <w:sz w:val="24"/>
          <w:szCs w:val="24"/>
        </w:rPr>
        <w:t xml:space="preserve"> — </w:t>
      </w:r>
      <w:r w:rsidRPr="00353303">
        <w:rPr>
          <w:rFonts w:ascii="Times New Roman" w:eastAsia="Times New Roman" w:hAnsi="Times New Roman" w:cs="Times New Roman"/>
          <w:sz w:val="24"/>
          <w:szCs w:val="24"/>
        </w:rPr>
        <w:t>The Workforce Innovation and Opportunity Act (WIOA) was signed into law (Pub. L. 113-128) on July 22, 2014. This Act reauthorize</w:t>
      </w:r>
      <w:r w:rsidR="001C4DC1">
        <w:rPr>
          <w:rFonts w:ascii="Times New Roman" w:eastAsia="Times New Roman" w:hAnsi="Times New Roman" w:cs="Times New Roman"/>
          <w:sz w:val="24"/>
          <w:szCs w:val="24"/>
        </w:rPr>
        <w:t>d</w:t>
      </w:r>
      <w:r w:rsidRPr="00353303">
        <w:rPr>
          <w:rFonts w:ascii="Times New Roman" w:eastAsia="Times New Roman" w:hAnsi="Times New Roman" w:cs="Times New Roman"/>
          <w:sz w:val="24"/>
          <w:szCs w:val="24"/>
        </w:rPr>
        <w:t xml:space="preserve"> the Adult Education and Family Literacy Act (AEFLA) with several major revisions.</w:t>
      </w:r>
    </w:p>
    <w:p w14:paraId="00000409" w14:textId="257077D7"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Workforce Preparation Activities</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Activities, programs, or services designed to help an individual acquire a combination of basic academic skills, critical-thinking skills, digital literacy skills, and self-management skills, including competencies in utilizing resources, using information, working with others, understanding systems, and skills necessary for successful transition into and completion of postsecondary education or training, or employment, and other employability skills that increase an individual’s preparation for the workforce. See technical assistance </w:t>
      </w:r>
      <w:hyperlink r:id="rId177">
        <w:r w:rsidRPr="00B131CA">
          <w:rPr>
            <w:rFonts w:ascii="Times New Roman" w:eastAsia="Times New Roman" w:hAnsi="Times New Roman" w:cs="Times New Roman"/>
            <w:color w:val="0000FF"/>
            <w:sz w:val="24"/>
            <w:szCs w:val="24"/>
            <w:u w:val="single"/>
          </w:rPr>
          <w:t>resources</w:t>
        </w:r>
      </w:hyperlink>
      <w:r w:rsidRPr="00B131CA">
        <w:rPr>
          <w:rFonts w:ascii="Times New Roman" w:eastAsia="Times New Roman" w:hAnsi="Times New Roman" w:cs="Times New Roman"/>
          <w:sz w:val="24"/>
          <w:szCs w:val="24"/>
        </w:rPr>
        <w:t xml:space="preserve">. </w:t>
      </w:r>
    </w:p>
    <w:p w14:paraId="0000040A" w14:textId="2FFB1018" w:rsidR="002F3C8D" w:rsidRPr="00B131CA" w:rsidRDefault="00BF5CDA">
      <w:pPr>
        <w:spacing w:after="120" w:line="240" w:lineRule="auto"/>
        <w:rPr>
          <w:rFonts w:ascii="Times New Roman" w:eastAsia="Times New Roman" w:hAnsi="Times New Roman" w:cs="Times New Roman"/>
          <w:sz w:val="24"/>
          <w:szCs w:val="24"/>
        </w:rPr>
      </w:pPr>
      <w:r w:rsidRPr="00932B32">
        <w:rPr>
          <w:rFonts w:ascii="Times New Roman" w:hAnsi="Times New Roman"/>
          <w:i/>
          <w:sz w:val="24"/>
        </w:rPr>
        <w:t>Workforce Training</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w:t>
      </w:r>
      <w:r w:rsidRPr="00B131CA">
        <w:rPr>
          <w:rFonts w:ascii="Times New Roman" w:eastAsia="Times New Roman" w:hAnsi="Times New Roman" w:cs="Times New Roman"/>
          <w:i/>
          <w:sz w:val="24"/>
          <w:szCs w:val="24"/>
        </w:rPr>
        <w:t xml:space="preserve"> </w:t>
      </w:r>
      <w:r w:rsidRPr="00B131CA">
        <w:rPr>
          <w:rFonts w:ascii="Times New Roman" w:eastAsia="Times New Roman" w:hAnsi="Times New Roman" w:cs="Times New Roman"/>
          <w:sz w:val="24"/>
          <w:szCs w:val="24"/>
        </w:rPr>
        <w:t xml:space="preserve">AEFLA funds may only be used for training when that training is offered as a component of an approved IET (see definition above and </w:t>
      </w:r>
      <w:hyperlink r:id="rId178" w:history="1">
        <w:r w:rsidR="001C4DC1" w:rsidRPr="000906E2">
          <w:rPr>
            <w:rStyle w:val="Hyperlink"/>
            <w:rFonts w:ascii="Times New Roman" w:eastAsia="Times New Roman" w:hAnsi="Times New Roman" w:cs="Times New Roman"/>
            <w:sz w:val="24"/>
            <w:szCs w:val="24"/>
          </w:rPr>
          <w:t>Director’s Memo #07</w:t>
        </w:r>
        <w:r w:rsidR="00A96B35" w:rsidRPr="000906E2">
          <w:rPr>
            <w:rStyle w:val="Hyperlink"/>
            <w:rFonts w:ascii="Times New Roman" w:eastAsia="Times New Roman" w:hAnsi="Times New Roman" w:cs="Times New Roman"/>
            <w:sz w:val="24"/>
            <w:szCs w:val="24"/>
          </w:rPr>
          <w:t>5</w:t>
        </w:r>
        <w:r w:rsidR="001C4DC1" w:rsidRPr="000906E2">
          <w:rPr>
            <w:rStyle w:val="Hyperlink"/>
            <w:rFonts w:ascii="Times New Roman" w:eastAsia="Times New Roman" w:hAnsi="Times New Roman" w:cs="Times New Roman"/>
            <w:sz w:val="24"/>
            <w:szCs w:val="24"/>
          </w:rPr>
          <w:t>-24</w:t>
        </w:r>
      </w:hyperlink>
      <w:r w:rsidRPr="00B131CA">
        <w:rPr>
          <w:rFonts w:ascii="Times New Roman" w:eastAsia="Times New Roman" w:hAnsi="Times New Roman" w:cs="Times New Roman"/>
          <w:sz w:val="24"/>
          <w:szCs w:val="24"/>
        </w:rPr>
        <w:t>). Services may include:</w:t>
      </w:r>
    </w:p>
    <w:p w14:paraId="0000040B" w14:textId="21369F6D" w:rsidR="002F3C8D" w:rsidRPr="00932B32" w:rsidRDefault="00CD5950" w:rsidP="00022694">
      <w:pPr>
        <w:numPr>
          <w:ilvl w:val="0"/>
          <w:numId w:val="30"/>
        </w:numPr>
        <w:spacing w:after="0" w:line="240" w:lineRule="auto"/>
        <w:rPr>
          <w:rFonts w:ascii="Times New Roman" w:hAnsi="Times New Roman"/>
          <w:smallCaps/>
          <w:sz w:val="24"/>
        </w:rPr>
      </w:pPr>
      <w:r>
        <w:rPr>
          <w:rFonts w:ascii="Times New Roman" w:eastAsia="Times New Roman" w:hAnsi="Times New Roman" w:cs="Times New Roman"/>
          <w:sz w:val="24"/>
          <w:szCs w:val="24"/>
        </w:rPr>
        <w:t>O</w:t>
      </w:r>
      <w:r w:rsidR="00BF5CDA" w:rsidRPr="00B131CA">
        <w:rPr>
          <w:rFonts w:ascii="Times New Roman" w:eastAsia="Times New Roman" w:hAnsi="Times New Roman" w:cs="Times New Roman"/>
          <w:sz w:val="24"/>
          <w:szCs w:val="24"/>
        </w:rPr>
        <w:t xml:space="preserve">ccupational skills training, including training for nontraditional </w:t>
      </w:r>
      <w:proofErr w:type="gramStart"/>
      <w:r w:rsidR="00BF5CDA" w:rsidRPr="00B131CA">
        <w:rPr>
          <w:rFonts w:ascii="Times New Roman" w:eastAsia="Times New Roman" w:hAnsi="Times New Roman" w:cs="Times New Roman"/>
          <w:sz w:val="24"/>
          <w:szCs w:val="24"/>
        </w:rPr>
        <w:t>employment;</w:t>
      </w:r>
      <w:proofErr w:type="gramEnd"/>
    </w:p>
    <w:p w14:paraId="0000040C" w14:textId="244FDE5B" w:rsidR="002F3C8D" w:rsidRPr="00932B32" w:rsidRDefault="00CD5950" w:rsidP="00022694">
      <w:pPr>
        <w:numPr>
          <w:ilvl w:val="0"/>
          <w:numId w:val="30"/>
        </w:numPr>
        <w:spacing w:after="0" w:line="240" w:lineRule="auto"/>
        <w:rPr>
          <w:rFonts w:ascii="Times New Roman" w:hAnsi="Times New Roman"/>
          <w:smallCaps/>
          <w:sz w:val="24"/>
        </w:rPr>
      </w:pPr>
      <w:r>
        <w:rPr>
          <w:rFonts w:ascii="Times New Roman" w:eastAsia="Times New Roman" w:hAnsi="Times New Roman" w:cs="Times New Roman"/>
          <w:sz w:val="24"/>
          <w:szCs w:val="24"/>
        </w:rPr>
        <w:t>O</w:t>
      </w:r>
      <w:r w:rsidR="00BF5CDA" w:rsidRPr="00B131CA">
        <w:rPr>
          <w:rFonts w:ascii="Times New Roman" w:eastAsia="Times New Roman" w:hAnsi="Times New Roman" w:cs="Times New Roman"/>
          <w:sz w:val="24"/>
          <w:szCs w:val="24"/>
        </w:rPr>
        <w:t xml:space="preserve">n-the-job </w:t>
      </w:r>
      <w:proofErr w:type="gramStart"/>
      <w:r w:rsidR="00BF5CDA" w:rsidRPr="00B131CA">
        <w:rPr>
          <w:rFonts w:ascii="Times New Roman" w:eastAsia="Times New Roman" w:hAnsi="Times New Roman" w:cs="Times New Roman"/>
          <w:sz w:val="24"/>
          <w:szCs w:val="24"/>
        </w:rPr>
        <w:t>training;</w:t>
      </w:r>
      <w:proofErr w:type="gramEnd"/>
    </w:p>
    <w:p w14:paraId="0000040D" w14:textId="1F4B3B37" w:rsidR="002F3C8D" w:rsidRPr="00932B32" w:rsidRDefault="00CD5950" w:rsidP="00022694">
      <w:pPr>
        <w:numPr>
          <w:ilvl w:val="0"/>
          <w:numId w:val="30"/>
        </w:numPr>
        <w:spacing w:after="0" w:line="240" w:lineRule="auto"/>
        <w:rPr>
          <w:rFonts w:ascii="Times New Roman" w:hAnsi="Times New Roman"/>
          <w:smallCaps/>
          <w:sz w:val="24"/>
        </w:rPr>
      </w:pPr>
      <w:r>
        <w:rPr>
          <w:rFonts w:ascii="Times New Roman" w:eastAsia="Times New Roman" w:hAnsi="Times New Roman" w:cs="Times New Roman"/>
          <w:sz w:val="24"/>
          <w:szCs w:val="24"/>
        </w:rPr>
        <w:t>I</w:t>
      </w:r>
      <w:r w:rsidR="00BF5CDA" w:rsidRPr="00B131CA">
        <w:rPr>
          <w:rFonts w:ascii="Times New Roman" w:eastAsia="Times New Roman" w:hAnsi="Times New Roman" w:cs="Times New Roman"/>
          <w:sz w:val="24"/>
          <w:szCs w:val="24"/>
        </w:rPr>
        <w:t>ncumbent worker training (see definition</w:t>
      </w:r>
      <w:proofErr w:type="gramStart"/>
      <w:r w:rsidR="00BF5CDA" w:rsidRPr="00B131CA">
        <w:rPr>
          <w:rFonts w:ascii="Times New Roman" w:eastAsia="Times New Roman" w:hAnsi="Times New Roman" w:cs="Times New Roman"/>
          <w:sz w:val="24"/>
          <w:szCs w:val="24"/>
        </w:rPr>
        <w:t>);</w:t>
      </w:r>
      <w:proofErr w:type="gramEnd"/>
    </w:p>
    <w:p w14:paraId="0000040E" w14:textId="623BDCED" w:rsidR="002F3C8D" w:rsidRPr="00932B32" w:rsidRDefault="00CD5950" w:rsidP="00022694">
      <w:pPr>
        <w:numPr>
          <w:ilvl w:val="0"/>
          <w:numId w:val="30"/>
        </w:numPr>
        <w:spacing w:after="0" w:line="240" w:lineRule="auto"/>
        <w:rPr>
          <w:rFonts w:ascii="Times New Roman" w:hAnsi="Times New Roman"/>
          <w:smallCaps/>
          <w:sz w:val="24"/>
        </w:rPr>
      </w:pPr>
      <w:r>
        <w:rPr>
          <w:rFonts w:ascii="Times New Roman" w:eastAsia="Times New Roman" w:hAnsi="Times New Roman" w:cs="Times New Roman"/>
          <w:sz w:val="24"/>
          <w:szCs w:val="24"/>
        </w:rPr>
        <w:t>P</w:t>
      </w:r>
      <w:r w:rsidR="00BF5CDA" w:rsidRPr="00B131CA">
        <w:rPr>
          <w:rFonts w:ascii="Times New Roman" w:eastAsia="Times New Roman" w:hAnsi="Times New Roman" w:cs="Times New Roman"/>
          <w:sz w:val="24"/>
          <w:szCs w:val="24"/>
        </w:rPr>
        <w:t xml:space="preserve">rograms that combine workplace training with related instruction, which may include cooperative education </w:t>
      </w:r>
      <w:proofErr w:type="gramStart"/>
      <w:r w:rsidR="00BF5CDA" w:rsidRPr="00B131CA">
        <w:rPr>
          <w:rFonts w:ascii="Times New Roman" w:eastAsia="Times New Roman" w:hAnsi="Times New Roman" w:cs="Times New Roman"/>
          <w:sz w:val="24"/>
          <w:szCs w:val="24"/>
        </w:rPr>
        <w:t>programs;</w:t>
      </w:r>
      <w:proofErr w:type="gramEnd"/>
    </w:p>
    <w:p w14:paraId="0000040F" w14:textId="4ECAAFD2" w:rsidR="002F3C8D" w:rsidRPr="00932B32" w:rsidRDefault="00CD5950" w:rsidP="00022694">
      <w:pPr>
        <w:numPr>
          <w:ilvl w:val="0"/>
          <w:numId w:val="30"/>
        </w:numPr>
        <w:spacing w:after="0" w:line="240" w:lineRule="auto"/>
        <w:rPr>
          <w:rFonts w:ascii="Times New Roman" w:hAnsi="Times New Roman"/>
          <w:smallCaps/>
          <w:sz w:val="24"/>
        </w:rPr>
      </w:pPr>
      <w:r>
        <w:rPr>
          <w:rFonts w:ascii="Times New Roman" w:eastAsia="Times New Roman" w:hAnsi="Times New Roman" w:cs="Times New Roman"/>
          <w:sz w:val="24"/>
          <w:szCs w:val="24"/>
        </w:rPr>
        <w:t>T</w:t>
      </w:r>
      <w:r w:rsidR="00BF5CDA" w:rsidRPr="00B131CA">
        <w:rPr>
          <w:rFonts w:ascii="Times New Roman" w:eastAsia="Times New Roman" w:hAnsi="Times New Roman" w:cs="Times New Roman"/>
          <w:sz w:val="24"/>
          <w:szCs w:val="24"/>
        </w:rPr>
        <w:t xml:space="preserve">raining programs operated by the private </w:t>
      </w:r>
      <w:proofErr w:type="gramStart"/>
      <w:r w:rsidR="00BF5CDA" w:rsidRPr="00B131CA">
        <w:rPr>
          <w:rFonts w:ascii="Times New Roman" w:eastAsia="Times New Roman" w:hAnsi="Times New Roman" w:cs="Times New Roman"/>
          <w:sz w:val="24"/>
          <w:szCs w:val="24"/>
        </w:rPr>
        <w:t>sector;</w:t>
      </w:r>
      <w:proofErr w:type="gramEnd"/>
    </w:p>
    <w:p w14:paraId="00000410" w14:textId="20045D34" w:rsidR="002F3C8D" w:rsidRPr="00932B32" w:rsidRDefault="00CD5950" w:rsidP="00022694">
      <w:pPr>
        <w:numPr>
          <w:ilvl w:val="0"/>
          <w:numId w:val="30"/>
        </w:numPr>
        <w:spacing w:after="0" w:line="240" w:lineRule="auto"/>
        <w:rPr>
          <w:rFonts w:ascii="Times New Roman" w:hAnsi="Times New Roman"/>
          <w:smallCaps/>
          <w:sz w:val="24"/>
        </w:rPr>
      </w:pPr>
      <w:r>
        <w:rPr>
          <w:rFonts w:ascii="Times New Roman" w:eastAsia="Times New Roman" w:hAnsi="Times New Roman" w:cs="Times New Roman"/>
          <w:sz w:val="24"/>
          <w:szCs w:val="24"/>
        </w:rPr>
        <w:t>S</w:t>
      </w:r>
      <w:r w:rsidR="00BF5CDA" w:rsidRPr="00B131CA">
        <w:rPr>
          <w:rFonts w:ascii="Times New Roman" w:eastAsia="Times New Roman" w:hAnsi="Times New Roman" w:cs="Times New Roman"/>
          <w:sz w:val="24"/>
          <w:szCs w:val="24"/>
        </w:rPr>
        <w:t xml:space="preserve">kill upgrading and </w:t>
      </w:r>
      <w:proofErr w:type="gramStart"/>
      <w:r w:rsidR="00BF5CDA" w:rsidRPr="00B131CA">
        <w:rPr>
          <w:rFonts w:ascii="Times New Roman" w:eastAsia="Times New Roman" w:hAnsi="Times New Roman" w:cs="Times New Roman"/>
          <w:sz w:val="24"/>
          <w:szCs w:val="24"/>
        </w:rPr>
        <w:t>retraining;</w:t>
      </w:r>
      <w:proofErr w:type="gramEnd"/>
    </w:p>
    <w:p w14:paraId="00000411" w14:textId="23939468" w:rsidR="002F3C8D" w:rsidRPr="00932B32" w:rsidRDefault="00CD5950" w:rsidP="00022694">
      <w:pPr>
        <w:numPr>
          <w:ilvl w:val="0"/>
          <w:numId w:val="30"/>
        </w:numPr>
        <w:spacing w:after="0" w:line="240" w:lineRule="auto"/>
        <w:rPr>
          <w:rFonts w:ascii="Times New Roman" w:hAnsi="Times New Roman"/>
          <w:smallCaps/>
          <w:sz w:val="24"/>
        </w:rPr>
      </w:pPr>
      <w:r>
        <w:rPr>
          <w:rFonts w:ascii="Times New Roman" w:eastAsia="Times New Roman" w:hAnsi="Times New Roman" w:cs="Times New Roman"/>
          <w:sz w:val="24"/>
          <w:szCs w:val="24"/>
        </w:rPr>
        <w:t>E</w:t>
      </w:r>
      <w:r w:rsidR="00BF5CDA" w:rsidRPr="00B131CA">
        <w:rPr>
          <w:rFonts w:ascii="Times New Roman" w:eastAsia="Times New Roman" w:hAnsi="Times New Roman" w:cs="Times New Roman"/>
          <w:sz w:val="24"/>
          <w:szCs w:val="24"/>
        </w:rPr>
        <w:t xml:space="preserve">ntrepreneurial </w:t>
      </w:r>
      <w:proofErr w:type="gramStart"/>
      <w:r w:rsidR="00BF5CDA" w:rsidRPr="00B131CA">
        <w:rPr>
          <w:rFonts w:ascii="Times New Roman" w:eastAsia="Times New Roman" w:hAnsi="Times New Roman" w:cs="Times New Roman"/>
          <w:sz w:val="24"/>
          <w:szCs w:val="24"/>
        </w:rPr>
        <w:t>training;</w:t>
      </w:r>
      <w:proofErr w:type="gramEnd"/>
    </w:p>
    <w:p w14:paraId="00000412" w14:textId="71D6679D" w:rsidR="002F3C8D" w:rsidRPr="00932B32" w:rsidRDefault="00CD5950" w:rsidP="00022694">
      <w:pPr>
        <w:numPr>
          <w:ilvl w:val="0"/>
          <w:numId w:val="30"/>
        </w:numPr>
        <w:spacing w:after="0" w:line="240" w:lineRule="auto"/>
        <w:rPr>
          <w:rFonts w:ascii="Times New Roman" w:hAnsi="Times New Roman"/>
          <w:smallCaps/>
          <w:sz w:val="24"/>
        </w:rPr>
      </w:pPr>
      <w:r>
        <w:rPr>
          <w:rFonts w:ascii="Times New Roman" w:eastAsia="Times New Roman" w:hAnsi="Times New Roman" w:cs="Times New Roman"/>
          <w:sz w:val="24"/>
          <w:szCs w:val="24"/>
        </w:rPr>
        <w:t>T</w:t>
      </w:r>
      <w:r w:rsidR="00BF5CDA" w:rsidRPr="00B131CA">
        <w:rPr>
          <w:rFonts w:ascii="Times New Roman" w:eastAsia="Times New Roman" w:hAnsi="Times New Roman" w:cs="Times New Roman"/>
          <w:sz w:val="24"/>
          <w:szCs w:val="24"/>
        </w:rPr>
        <w:t xml:space="preserve">ransitional </w:t>
      </w:r>
      <w:proofErr w:type="gramStart"/>
      <w:r w:rsidR="00BF5CDA" w:rsidRPr="00B131CA">
        <w:rPr>
          <w:rFonts w:ascii="Times New Roman" w:eastAsia="Times New Roman" w:hAnsi="Times New Roman" w:cs="Times New Roman"/>
          <w:sz w:val="24"/>
          <w:szCs w:val="24"/>
        </w:rPr>
        <w:t>jobs;</w:t>
      </w:r>
      <w:proofErr w:type="gramEnd"/>
    </w:p>
    <w:p w14:paraId="00000413" w14:textId="25621F70" w:rsidR="002F3C8D" w:rsidRPr="00932B32" w:rsidRDefault="00CD5950" w:rsidP="00022694">
      <w:pPr>
        <w:numPr>
          <w:ilvl w:val="0"/>
          <w:numId w:val="30"/>
        </w:numPr>
        <w:spacing w:after="0" w:line="240" w:lineRule="auto"/>
        <w:rPr>
          <w:rFonts w:ascii="Times New Roman" w:hAnsi="Times New Roman"/>
          <w:smallCaps/>
          <w:sz w:val="24"/>
        </w:rPr>
      </w:pPr>
      <w:r>
        <w:rPr>
          <w:rFonts w:ascii="Times New Roman" w:eastAsia="Times New Roman" w:hAnsi="Times New Roman" w:cs="Times New Roman"/>
          <w:sz w:val="24"/>
          <w:szCs w:val="24"/>
        </w:rPr>
        <w:t>J</w:t>
      </w:r>
      <w:r w:rsidR="00BF5CDA" w:rsidRPr="00B131CA">
        <w:rPr>
          <w:rFonts w:ascii="Times New Roman" w:eastAsia="Times New Roman" w:hAnsi="Times New Roman" w:cs="Times New Roman"/>
          <w:sz w:val="24"/>
          <w:szCs w:val="24"/>
        </w:rPr>
        <w:t xml:space="preserve">ob readiness training provided in combination with services described in any of the items 1-8 </w:t>
      </w:r>
      <w:proofErr w:type="gramStart"/>
      <w:r w:rsidR="00BF5CDA" w:rsidRPr="00B131CA">
        <w:rPr>
          <w:rFonts w:ascii="Times New Roman" w:eastAsia="Times New Roman" w:hAnsi="Times New Roman" w:cs="Times New Roman"/>
          <w:sz w:val="24"/>
          <w:szCs w:val="24"/>
        </w:rPr>
        <w:t>above;</w:t>
      </w:r>
      <w:proofErr w:type="gramEnd"/>
    </w:p>
    <w:p w14:paraId="00000414" w14:textId="54819B90" w:rsidR="002F3C8D" w:rsidRPr="00932B32" w:rsidRDefault="00CD5950" w:rsidP="00022694">
      <w:pPr>
        <w:numPr>
          <w:ilvl w:val="0"/>
          <w:numId w:val="30"/>
        </w:numPr>
        <w:spacing w:after="0" w:line="240" w:lineRule="auto"/>
        <w:rPr>
          <w:rFonts w:ascii="Times New Roman" w:hAnsi="Times New Roman"/>
          <w:smallCaps/>
          <w:sz w:val="24"/>
        </w:rPr>
      </w:pPr>
      <w:r>
        <w:rPr>
          <w:rFonts w:ascii="Times New Roman" w:eastAsia="Times New Roman" w:hAnsi="Times New Roman" w:cs="Times New Roman"/>
          <w:sz w:val="24"/>
          <w:szCs w:val="24"/>
        </w:rPr>
        <w:t>A</w:t>
      </w:r>
      <w:r w:rsidR="00BF5CDA" w:rsidRPr="00B131CA">
        <w:rPr>
          <w:rFonts w:ascii="Times New Roman" w:eastAsia="Times New Roman" w:hAnsi="Times New Roman" w:cs="Times New Roman"/>
          <w:sz w:val="24"/>
          <w:szCs w:val="24"/>
        </w:rPr>
        <w:t>dult education and literacy activities, including activities of English language acquisition and integrated education and training programs, provided concurrently or in combination with services described in 1-7 above; and</w:t>
      </w:r>
    </w:p>
    <w:p w14:paraId="24FCE425" w14:textId="1191DF50" w:rsidR="00061367" w:rsidRPr="002715DF" w:rsidRDefault="00CD5950" w:rsidP="00022694">
      <w:pPr>
        <w:numPr>
          <w:ilvl w:val="0"/>
          <w:numId w:val="30"/>
        </w:numPr>
        <w:spacing w:after="120" w:line="240" w:lineRule="auto"/>
        <w:rPr>
          <w:rFonts w:ascii="Times New Roman" w:hAnsi="Times New Roman"/>
          <w:smallCaps/>
          <w:sz w:val="24"/>
        </w:rPr>
      </w:pPr>
      <w:r>
        <w:rPr>
          <w:rFonts w:ascii="Times New Roman" w:eastAsia="Times New Roman" w:hAnsi="Times New Roman" w:cs="Times New Roman"/>
          <w:sz w:val="24"/>
          <w:szCs w:val="24"/>
        </w:rPr>
        <w:t>C</w:t>
      </w:r>
      <w:r w:rsidR="00BF5CDA" w:rsidRPr="00B131CA">
        <w:rPr>
          <w:rFonts w:ascii="Times New Roman" w:eastAsia="Times New Roman" w:hAnsi="Times New Roman" w:cs="Times New Roman"/>
          <w:sz w:val="24"/>
          <w:szCs w:val="24"/>
        </w:rPr>
        <w:t>ustomized training conducted with a commitment by an employer or group of employers to employ an individual upon successful completion of the training.</w:t>
      </w:r>
    </w:p>
    <w:p w14:paraId="7B7DCF4D" w14:textId="77777777" w:rsidR="005E60C3" w:rsidRDefault="005E60C3" w:rsidP="002715DF">
      <w:pPr>
        <w:spacing w:after="120" w:line="240" w:lineRule="auto"/>
        <w:jc w:val="center"/>
        <w:rPr>
          <w:rFonts w:ascii="Times New Roman" w:hAnsi="Times New Roman"/>
          <w:b/>
          <w:bCs/>
          <w:smallCaps/>
          <w:sz w:val="24"/>
        </w:rPr>
      </w:pPr>
      <w:r>
        <w:rPr>
          <w:rFonts w:ascii="Times New Roman" w:hAnsi="Times New Roman"/>
          <w:b/>
          <w:bCs/>
          <w:smallCaps/>
          <w:sz w:val="24"/>
        </w:rPr>
        <w:br w:type="page"/>
      </w:r>
    </w:p>
    <w:p w14:paraId="171B39C9" w14:textId="53FE5C1B" w:rsidR="005E60C3" w:rsidRPr="005E60C3" w:rsidRDefault="005E60C3" w:rsidP="005E60C3">
      <w:pPr>
        <w:pStyle w:val="Heading2"/>
      </w:pPr>
      <w:bookmarkStart w:id="85" w:name="_Toc174088895"/>
      <w:r>
        <w:lastRenderedPageBreak/>
        <w:t>APPENDICES</w:t>
      </w:r>
      <w:bookmarkEnd w:id="85"/>
      <w:r w:rsidRPr="005E60C3">
        <w:br w:type="page"/>
      </w:r>
    </w:p>
    <w:p w14:paraId="510BDC8A" w14:textId="344E33D9" w:rsidR="00022694" w:rsidRPr="000750B8" w:rsidRDefault="005E60C3" w:rsidP="00022694">
      <w:pPr>
        <w:pStyle w:val="Heading3"/>
      </w:pPr>
      <w:bookmarkStart w:id="86" w:name="_Toc174088896"/>
      <w:r>
        <w:lastRenderedPageBreak/>
        <w:t xml:space="preserve">Appendix </w:t>
      </w:r>
      <w:r w:rsidR="00A305C6">
        <w:t>A</w:t>
      </w:r>
      <w:r>
        <w:t xml:space="preserve">: </w:t>
      </w:r>
      <w:r w:rsidR="00022694" w:rsidRPr="000750B8">
        <w:t xml:space="preserve">OMEGA AEFLA and Related Awards Reimbursement Submission </w:t>
      </w:r>
      <w:r w:rsidR="00360DA4">
        <w:t>Tips</w:t>
      </w:r>
      <w:bookmarkEnd w:id="86"/>
    </w:p>
    <w:p w14:paraId="5C08EDDE" w14:textId="63B86D10" w:rsidR="00022694" w:rsidRPr="00BB61BB" w:rsidRDefault="00022694" w:rsidP="00022694">
      <w:pPr>
        <w:pStyle w:val="Default"/>
        <w:rPr>
          <w:color w:val="auto"/>
          <w:sz w:val="23"/>
          <w:szCs w:val="23"/>
        </w:rPr>
      </w:pPr>
      <w:r w:rsidRPr="00BB61BB">
        <w:rPr>
          <w:color w:val="auto"/>
          <w:sz w:val="23"/>
          <w:szCs w:val="23"/>
        </w:rPr>
        <w:t xml:space="preserve">Find recorded tutorials and guidance for all things OMEGA at the dedicated VDOE </w:t>
      </w:r>
      <w:hyperlink r:id="rId179" w:history="1">
        <w:r w:rsidRPr="00BB61BB">
          <w:rPr>
            <w:rStyle w:val="Hyperlink"/>
            <w:sz w:val="23"/>
            <w:szCs w:val="23"/>
          </w:rPr>
          <w:t>webpage</w:t>
        </w:r>
      </w:hyperlink>
      <w:r w:rsidRPr="00BB61BB">
        <w:rPr>
          <w:color w:val="auto"/>
          <w:sz w:val="23"/>
          <w:szCs w:val="23"/>
        </w:rPr>
        <w:t>; be sure to follow the general OMEGA reimbursement guidelines. This supplemental document provides tips specific to Adult Education and Family Literacy Act (AEFLA) and related awards.</w:t>
      </w:r>
    </w:p>
    <w:p w14:paraId="5D9A554F" w14:textId="77777777" w:rsidR="00022694" w:rsidRPr="00BB61BB" w:rsidRDefault="00022694" w:rsidP="008D03B8">
      <w:pPr>
        <w:pStyle w:val="Heading4"/>
      </w:pPr>
      <w:bookmarkStart w:id="87" w:name="_Toc174088897"/>
      <w:r w:rsidRPr="00BB61BB">
        <w:t>Expenditure Dates</w:t>
      </w:r>
      <w:bookmarkEnd w:id="87"/>
      <w:r w:rsidRPr="00BB61BB">
        <w:t xml:space="preserve"> </w:t>
      </w:r>
    </w:p>
    <w:p w14:paraId="04C7949D" w14:textId="77777777" w:rsidR="00022694" w:rsidRPr="00BB61BB" w:rsidRDefault="00022694" w:rsidP="00022694">
      <w:pPr>
        <w:pStyle w:val="Default"/>
        <w:numPr>
          <w:ilvl w:val="0"/>
          <w:numId w:val="58"/>
        </w:numPr>
        <w:rPr>
          <w:color w:val="auto"/>
          <w:sz w:val="23"/>
          <w:szCs w:val="23"/>
        </w:rPr>
      </w:pPr>
      <w:r w:rsidRPr="00BB61BB">
        <w:rPr>
          <w:color w:val="auto"/>
          <w:sz w:val="23"/>
          <w:szCs w:val="23"/>
        </w:rPr>
        <w:t>Each award has a period of performance. You may enter the entire period (July 1-September 30) for any reimbursement request’s expenditure date. If doing so, you may want to indicate the quarter for which the request corresponds in the comment box. You can enter specific dates for the quarter as well, but if you do so, be sure that any payroll or payment date fall</w:t>
      </w:r>
      <w:r>
        <w:rPr>
          <w:color w:val="auto"/>
          <w:sz w:val="23"/>
          <w:szCs w:val="23"/>
        </w:rPr>
        <w:t>s</w:t>
      </w:r>
      <w:r w:rsidRPr="00BB61BB">
        <w:rPr>
          <w:color w:val="auto"/>
          <w:sz w:val="23"/>
          <w:szCs w:val="23"/>
        </w:rPr>
        <w:t xml:space="preserve"> within that range. </w:t>
      </w:r>
    </w:p>
    <w:p w14:paraId="5E35A9BE" w14:textId="77777777" w:rsidR="00022694" w:rsidRPr="00BB61BB" w:rsidRDefault="00022694" w:rsidP="008D03B8">
      <w:pPr>
        <w:pStyle w:val="Heading4"/>
      </w:pPr>
      <w:bookmarkStart w:id="88" w:name="_Toc174088898"/>
      <w:r w:rsidRPr="00BB61BB">
        <w:t>Object Codes</w:t>
      </w:r>
      <w:bookmarkEnd w:id="88"/>
      <w:r w:rsidRPr="00BB61BB">
        <w:t xml:space="preserve"> </w:t>
      </w:r>
    </w:p>
    <w:p w14:paraId="4BBDBBC2" w14:textId="77777777" w:rsidR="00022694" w:rsidRPr="00BB61BB" w:rsidRDefault="00022694" w:rsidP="00022694">
      <w:pPr>
        <w:pStyle w:val="Default"/>
        <w:numPr>
          <w:ilvl w:val="0"/>
          <w:numId w:val="55"/>
        </w:numPr>
        <w:spacing w:after="240"/>
        <w:rPr>
          <w:color w:val="auto"/>
          <w:sz w:val="23"/>
          <w:szCs w:val="23"/>
        </w:rPr>
      </w:pPr>
      <w:r w:rsidRPr="00BB61BB">
        <w:rPr>
          <w:b/>
          <w:bCs/>
          <w:color w:val="auto"/>
          <w:sz w:val="23"/>
          <w:szCs w:val="23"/>
        </w:rPr>
        <w:t>1000</w:t>
      </w:r>
      <w:r w:rsidRPr="00BB61BB">
        <w:rPr>
          <w:b/>
          <w:bCs/>
          <w:sz w:val="23"/>
          <w:szCs w:val="23"/>
        </w:rPr>
        <w:t xml:space="preserve"> </w:t>
      </w:r>
      <w:r w:rsidRPr="00BB61BB">
        <w:rPr>
          <w:b/>
          <w:bCs/>
          <w:color w:val="auto"/>
          <w:sz w:val="23"/>
          <w:szCs w:val="23"/>
        </w:rPr>
        <w:t>Salaries and Wages:</w:t>
      </w:r>
      <w:r w:rsidRPr="00BB61BB">
        <w:rPr>
          <w:color w:val="auto"/>
          <w:sz w:val="23"/>
          <w:szCs w:val="23"/>
        </w:rPr>
        <w:t xml:space="preserve"> Salaries and wages paid to employees for full and part-time work. Do not include any individuals’ names in the Vendor column.</w:t>
      </w:r>
    </w:p>
    <w:p w14:paraId="48D8E43B" w14:textId="77777777" w:rsidR="00022694" w:rsidRPr="00BB61BB" w:rsidRDefault="00022694" w:rsidP="00022694">
      <w:pPr>
        <w:pStyle w:val="Default"/>
        <w:numPr>
          <w:ilvl w:val="0"/>
          <w:numId w:val="55"/>
        </w:numPr>
        <w:rPr>
          <w:color w:val="auto"/>
          <w:sz w:val="23"/>
          <w:szCs w:val="23"/>
        </w:rPr>
      </w:pPr>
      <w:r w:rsidRPr="00BB61BB">
        <w:rPr>
          <w:b/>
          <w:bCs/>
          <w:color w:val="auto"/>
          <w:sz w:val="23"/>
          <w:szCs w:val="23"/>
        </w:rPr>
        <w:t>2000</w:t>
      </w:r>
      <w:r w:rsidRPr="00BB61BB">
        <w:rPr>
          <w:b/>
          <w:bCs/>
          <w:sz w:val="23"/>
          <w:szCs w:val="23"/>
        </w:rPr>
        <w:t xml:space="preserve"> </w:t>
      </w:r>
      <w:r w:rsidRPr="00BB61BB">
        <w:rPr>
          <w:b/>
          <w:bCs/>
          <w:color w:val="auto"/>
          <w:sz w:val="23"/>
          <w:szCs w:val="23"/>
        </w:rPr>
        <w:t>Employee Benefits:</w:t>
      </w:r>
      <w:r w:rsidRPr="00BB61BB">
        <w:rPr>
          <w:color w:val="auto"/>
          <w:sz w:val="23"/>
          <w:szCs w:val="23"/>
        </w:rPr>
        <w:t xml:space="preserve"> Job-related benefits provided to employees as part of their total compensation.</w:t>
      </w:r>
    </w:p>
    <w:p w14:paraId="43B894B5" w14:textId="77777777" w:rsidR="00022694" w:rsidRPr="00BB61BB" w:rsidRDefault="00022694" w:rsidP="00022694">
      <w:pPr>
        <w:pStyle w:val="Default"/>
        <w:numPr>
          <w:ilvl w:val="1"/>
          <w:numId w:val="54"/>
        </w:numPr>
        <w:spacing w:after="240"/>
        <w:rPr>
          <w:color w:val="auto"/>
          <w:sz w:val="23"/>
          <w:szCs w:val="23"/>
        </w:rPr>
      </w:pPr>
      <w:r w:rsidRPr="00BB61BB">
        <w:rPr>
          <w:color w:val="auto"/>
          <w:sz w:val="23"/>
          <w:szCs w:val="23"/>
        </w:rPr>
        <w:t xml:space="preserve">For BOTH 1000 and 2000: The description must include the payroll cycle range dates, general ledger (GL) posting date, and payment date with matching payment date column. All three dates must be within the expenditure date range (see above). You may enter the school division name or acronym in the vendor column. </w:t>
      </w:r>
    </w:p>
    <w:p w14:paraId="1B2DC577" w14:textId="77777777" w:rsidR="00022694" w:rsidRPr="00BB61BB" w:rsidRDefault="00022694" w:rsidP="00022694">
      <w:pPr>
        <w:pStyle w:val="Default"/>
        <w:numPr>
          <w:ilvl w:val="0"/>
          <w:numId w:val="56"/>
        </w:numPr>
        <w:rPr>
          <w:color w:val="auto"/>
          <w:sz w:val="23"/>
          <w:szCs w:val="23"/>
        </w:rPr>
      </w:pPr>
      <w:r w:rsidRPr="00BB61BB">
        <w:rPr>
          <w:b/>
          <w:bCs/>
          <w:color w:val="auto"/>
          <w:sz w:val="23"/>
          <w:szCs w:val="23"/>
        </w:rPr>
        <w:t>3000</w:t>
      </w:r>
      <w:r w:rsidRPr="00BB61BB">
        <w:rPr>
          <w:b/>
          <w:bCs/>
          <w:sz w:val="23"/>
          <w:szCs w:val="23"/>
        </w:rPr>
        <w:t xml:space="preserve"> </w:t>
      </w:r>
      <w:r w:rsidRPr="00BB61BB">
        <w:rPr>
          <w:b/>
          <w:bCs/>
          <w:color w:val="auto"/>
          <w:sz w:val="23"/>
          <w:szCs w:val="23"/>
        </w:rPr>
        <w:t>Purchased/Contractual Services</w:t>
      </w:r>
      <w:r w:rsidRPr="00BB61BB">
        <w:rPr>
          <w:b/>
          <w:bCs/>
          <w:sz w:val="23"/>
          <w:szCs w:val="23"/>
        </w:rPr>
        <w:t>:</w:t>
      </w:r>
      <w:r w:rsidRPr="00BB61BB">
        <w:rPr>
          <w:sz w:val="23"/>
          <w:szCs w:val="23"/>
        </w:rPr>
        <w:t xml:space="preserve"> </w:t>
      </w:r>
      <w:r w:rsidRPr="00BB61BB">
        <w:rPr>
          <w:color w:val="auto"/>
          <w:sz w:val="23"/>
          <w:szCs w:val="23"/>
        </w:rPr>
        <w:t xml:space="preserve">Services acquired from outside sources (i.e., private vendors, public </w:t>
      </w:r>
      <w:proofErr w:type="gramStart"/>
      <w:r w:rsidRPr="00BB61BB">
        <w:rPr>
          <w:color w:val="auto"/>
          <w:sz w:val="23"/>
          <w:szCs w:val="23"/>
        </w:rPr>
        <w:t>authorities</w:t>
      </w:r>
      <w:proofErr w:type="gramEnd"/>
      <w:r w:rsidRPr="00BB61BB">
        <w:rPr>
          <w:color w:val="auto"/>
          <w:sz w:val="23"/>
          <w:szCs w:val="23"/>
        </w:rPr>
        <w:t xml:space="preserve"> or other governmental entities). </w:t>
      </w:r>
    </w:p>
    <w:p w14:paraId="45FD1450" w14:textId="77777777" w:rsidR="00022694" w:rsidRPr="00BB61BB" w:rsidRDefault="00022694" w:rsidP="00022694">
      <w:pPr>
        <w:pStyle w:val="Default"/>
        <w:numPr>
          <w:ilvl w:val="1"/>
          <w:numId w:val="56"/>
        </w:numPr>
        <w:rPr>
          <w:color w:val="auto"/>
          <w:sz w:val="23"/>
          <w:szCs w:val="23"/>
        </w:rPr>
      </w:pPr>
      <w:r w:rsidRPr="00BB61BB">
        <w:rPr>
          <w:b/>
          <w:bCs/>
          <w:color w:val="auto"/>
          <w:sz w:val="23"/>
          <w:szCs w:val="23"/>
        </w:rPr>
        <w:t>All</w:t>
      </w:r>
      <w:r w:rsidRPr="00BB61BB">
        <w:rPr>
          <w:color w:val="auto"/>
          <w:sz w:val="23"/>
          <w:szCs w:val="23"/>
        </w:rPr>
        <w:t xml:space="preserve"> </w:t>
      </w:r>
      <w:proofErr w:type="gramStart"/>
      <w:r w:rsidRPr="00BB61BB">
        <w:rPr>
          <w:color w:val="auto"/>
          <w:sz w:val="23"/>
          <w:szCs w:val="23"/>
        </w:rPr>
        <w:t>3000 line</w:t>
      </w:r>
      <w:proofErr w:type="gramEnd"/>
      <w:r w:rsidRPr="00BB61BB">
        <w:rPr>
          <w:color w:val="auto"/>
          <w:sz w:val="23"/>
          <w:szCs w:val="23"/>
        </w:rPr>
        <w:t xml:space="preserve"> entries must have a date or date span of service.</w:t>
      </w:r>
    </w:p>
    <w:p w14:paraId="19010FBD" w14:textId="77777777" w:rsidR="00022694" w:rsidRPr="00BB61BB" w:rsidRDefault="00022694" w:rsidP="00022694">
      <w:pPr>
        <w:pStyle w:val="Default"/>
        <w:numPr>
          <w:ilvl w:val="1"/>
          <w:numId w:val="54"/>
        </w:numPr>
        <w:rPr>
          <w:color w:val="auto"/>
          <w:sz w:val="23"/>
          <w:szCs w:val="23"/>
        </w:rPr>
      </w:pPr>
      <w:r w:rsidRPr="00BB61BB">
        <w:rPr>
          <w:color w:val="auto"/>
          <w:sz w:val="23"/>
          <w:szCs w:val="23"/>
        </w:rPr>
        <w:t>Indicate the annual renewal date span for lease, subscription, participation, service, or license expenditures; if a product has no expiration date, indicate that as well.</w:t>
      </w:r>
    </w:p>
    <w:p w14:paraId="58C594DC" w14:textId="77777777" w:rsidR="00022694" w:rsidRPr="00BB61BB" w:rsidRDefault="00022694" w:rsidP="00022694">
      <w:pPr>
        <w:pStyle w:val="Default"/>
        <w:numPr>
          <w:ilvl w:val="1"/>
          <w:numId w:val="54"/>
        </w:numPr>
        <w:rPr>
          <w:color w:val="auto"/>
          <w:sz w:val="23"/>
          <w:szCs w:val="23"/>
        </w:rPr>
      </w:pPr>
      <w:r w:rsidRPr="00BB61BB">
        <w:rPr>
          <w:color w:val="auto"/>
          <w:sz w:val="23"/>
          <w:szCs w:val="23"/>
        </w:rPr>
        <w:t>Reminder: No GED</w:t>
      </w:r>
      <w:r w:rsidRPr="00BB61BB">
        <w:rPr>
          <w:color w:val="auto"/>
          <w:sz w:val="23"/>
          <w:szCs w:val="23"/>
          <w:vertAlign w:val="superscript"/>
        </w:rPr>
        <w:t>®</w:t>
      </w:r>
      <w:r w:rsidRPr="00BB61BB">
        <w:rPr>
          <w:color w:val="auto"/>
          <w:sz w:val="23"/>
          <w:szCs w:val="23"/>
        </w:rPr>
        <w:t xml:space="preserve"> tests may be purchased with AEFLA funds or the state matching funds. Use Race to GED</w:t>
      </w:r>
      <w:r w:rsidRPr="00BB61BB">
        <w:rPr>
          <w:color w:val="auto"/>
          <w:sz w:val="23"/>
          <w:szCs w:val="23"/>
          <w:vertAlign w:val="superscript"/>
        </w:rPr>
        <w:t>®</w:t>
      </w:r>
      <w:r w:rsidRPr="00BB61BB">
        <w:rPr>
          <w:color w:val="auto"/>
          <w:sz w:val="23"/>
          <w:szCs w:val="23"/>
        </w:rPr>
        <w:t xml:space="preserve"> funds for these purchases. </w:t>
      </w:r>
    </w:p>
    <w:p w14:paraId="2EEC958A" w14:textId="77777777" w:rsidR="00022694" w:rsidRPr="00BB61BB" w:rsidRDefault="00022694" w:rsidP="00022694">
      <w:pPr>
        <w:pStyle w:val="Default"/>
        <w:numPr>
          <w:ilvl w:val="1"/>
          <w:numId w:val="54"/>
        </w:numPr>
        <w:spacing w:after="240"/>
        <w:rPr>
          <w:color w:val="auto"/>
          <w:sz w:val="23"/>
          <w:szCs w:val="23"/>
        </w:rPr>
      </w:pPr>
      <w:r w:rsidRPr="00BB61BB">
        <w:rPr>
          <w:color w:val="auto"/>
          <w:sz w:val="23"/>
          <w:szCs w:val="23"/>
        </w:rPr>
        <w:t>It is allowable to purchase GED Ready</w:t>
      </w:r>
      <w:r w:rsidRPr="000750B8">
        <w:rPr>
          <w:color w:val="auto"/>
          <w:sz w:val="23"/>
          <w:szCs w:val="23"/>
          <w:vertAlign w:val="superscript"/>
        </w:rPr>
        <w:t>®</w:t>
      </w:r>
      <w:r w:rsidRPr="00BB61BB">
        <w:rPr>
          <w:color w:val="auto"/>
          <w:sz w:val="23"/>
          <w:szCs w:val="23"/>
        </w:rPr>
        <w:t xml:space="preserve"> Practice Tests with federal and state matching funds; indicate these clearly as Practice Tests. These are instructional materials. </w:t>
      </w:r>
    </w:p>
    <w:p w14:paraId="45318BE6" w14:textId="77777777" w:rsidR="00022694" w:rsidRPr="00BB61BB" w:rsidRDefault="00022694" w:rsidP="00022694">
      <w:pPr>
        <w:pStyle w:val="Default"/>
        <w:numPr>
          <w:ilvl w:val="0"/>
          <w:numId w:val="57"/>
        </w:numPr>
        <w:spacing w:after="240"/>
        <w:rPr>
          <w:color w:val="auto"/>
          <w:sz w:val="23"/>
          <w:szCs w:val="23"/>
        </w:rPr>
      </w:pPr>
      <w:r w:rsidRPr="00BB61BB">
        <w:rPr>
          <w:b/>
          <w:bCs/>
          <w:color w:val="auto"/>
          <w:sz w:val="23"/>
          <w:szCs w:val="23"/>
        </w:rPr>
        <w:t>4000 Internal Services:</w:t>
      </w:r>
      <w:r w:rsidRPr="00BB61BB">
        <w:rPr>
          <w:color w:val="auto"/>
          <w:sz w:val="23"/>
          <w:szCs w:val="23"/>
        </w:rPr>
        <w:t xml:space="preserve"> Charges for the use of fiscal agent’s services including transportation, graphics, mailing, and printing.</w:t>
      </w:r>
    </w:p>
    <w:p w14:paraId="18D0DC4F" w14:textId="77777777" w:rsidR="00022694" w:rsidRPr="00BB61BB" w:rsidRDefault="00022694" w:rsidP="00022694">
      <w:pPr>
        <w:pStyle w:val="Default"/>
        <w:numPr>
          <w:ilvl w:val="0"/>
          <w:numId w:val="57"/>
        </w:numPr>
        <w:rPr>
          <w:color w:val="auto"/>
          <w:sz w:val="23"/>
          <w:szCs w:val="23"/>
        </w:rPr>
      </w:pPr>
      <w:r w:rsidRPr="00BB61BB">
        <w:rPr>
          <w:b/>
          <w:bCs/>
          <w:color w:val="auto"/>
          <w:sz w:val="23"/>
          <w:szCs w:val="23"/>
        </w:rPr>
        <w:t>5000 Other Charges</w:t>
      </w:r>
      <w:r w:rsidRPr="00BB61BB">
        <w:rPr>
          <w:b/>
          <w:bCs/>
          <w:sz w:val="23"/>
          <w:szCs w:val="23"/>
        </w:rPr>
        <w:t>:</w:t>
      </w:r>
      <w:r w:rsidRPr="00BB61BB">
        <w:rPr>
          <w:sz w:val="23"/>
          <w:szCs w:val="23"/>
        </w:rPr>
        <w:t xml:space="preserve"> E</w:t>
      </w:r>
      <w:r w:rsidRPr="00BB61BB">
        <w:rPr>
          <w:color w:val="auto"/>
          <w:sz w:val="23"/>
          <w:szCs w:val="23"/>
        </w:rPr>
        <w:t xml:space="preserve">xpenditures that support the program such as: </w:t>
      </w:r>
    </w:p>
    <w:p w14:paraId="1FA08FCD" w14:textId="77777777" w:rsidR="00022694" w:rsidRPr="00BB61BB" w:rsidRDefault="00022694" w:rsidP="00022694">
      <w:pPr>
        <w:pStyle w:val="Default"/>
        <w:numPr>
          <w:ilvl w:val="1"/>
          <w:numId w:val="54"/>
        </w:numPr>
        <w:rPr>
          <w:color w:val="auto"/>
          <w:sz w:val="23"/>
          <w:szCs w:val="23"/>
        </w:rPr>
      </w:pPr>
      <w:r w:rsidRPr="00BB61BB">
        <w:rPr>
          <w:color w:val="auto"/>
          <w:sz w:val="23"/>
          <w:szCs w:val="23"/>
        </w:rPr>
        <w:t>Rental/leasing fees, including vehicle rental.</w:t>
      </w:r>
    </w:p>
    <w:p w14:paraId="6DB981CA" w14:textId="77777777" w:rsidR="00022694" w:rsidRPr="00BB61BB" w:rsidRDefault="00022694" w:rsidP="00022694">
      <w:pPr>
        <w:pStyle w:val="Default"/>
        <w:numPr>
          <w:ilvl w:val="1"/>
          <w:numId w:val="54"/>
        </w:numPr>
        <w:rPr>
          <w:color w:val="auto"/>
          <w:sz w:val="23"/>
          <w:szCs w:val="23"/>
        </w:rPr>
      </w:pPr>
      <w:r w:rsidRPr="00BB61BB">
        <w:rPr>
          <w:color w:val="auto"/>
          <w:sz w:val="23"/>
          <w:szCs w:val="23"/>
        </w:rPr>
        <w:t xml:space="preserve">Reimbursement to staff members for event registration, travel, lodging, meals, and parking. The </w:t>
      </w:r>
      <w:proofErr w:type="gramStart"/>
      <w:r w:rsidRPr="00BB61BB">
        <w:rPr>
          <w:color w:val="auto"/>
          <w:sz w:val="23"/>
          <w:szCs w:val="23"/>
        </w:rPr>
        <w:t>employee</w:t>
      </w:r>
      <w:proofErr w:type="gramEnd"/>
      <w:r w:rsidRPr="00BB61BB">
        <w:rPr>
          <w:color w:val="auto"/>
          <w:sz w:val="23"/>
          <w:szCs w:val="23"/>
        </w:rPr>
        <w:t xml:space="preserve"> name must go in the Vendor column. Include the name of the conference; the dates, number of nights and days stayed; and location (city or county) of the event. Use the </w:t>
      </w:r>
      <w:hyperlink r:id="rId180" w:history="1">
        <w:r w:rsidRPr="00BB61BB">
          <w:rPr>
            <w:rStyle w:val="Hyperlink"/>
            <w:sz w:val="23"/>
            <w:szCs w:val="23"/>
          </w:rPr>
          <w:t>GSA travel site</w:t>
        </w:r>
      </w:hyperlink>
      <w:r w:rsidRPr="00BB61BB">
        <w:rPr>
          <w:color w:val="auto"/>
          <w:sz w:val="23"/>
          <w:szCs w:val="23"/>
        </w:rPr>
        <w:t xml:space="preserve"> for calculating charges. Reimbursements for lodging may not exceed 150% of the GSA rate, per Virginia travel guidelines. Reminder that out of state travel must be approved in advance</w:t>
      </w:r>
      <w:r>
        <w:rPr>
          <w:color w:val="auto"/>
          <w:sz w:val="23"/>
          <w:szCs w:val="23"/>
        </w:rPr>
        <w:t xml:space="preserve"> and meals are only reimbursable for overnight travel.</w:t>
      </w:r>
    </w:p>
    <w:p w14:paraId="00B505D1" w14:textId="77777777" w:rsidR="00022694" w:rsidRPr="00BB61BB" w:rsidRDefault="00022694" w:rsidP="00022694">
      <w:pPr>
        <w:pStyle w:val="Default"/>
        <w:numPr>
          <w:ilvl w:val="1"/>
          <w:numId w:val="54"/>
        </w:numPr>
        <w:rPr>
          <w:color w:val="auto"/>
          <w:sz w:val="23"/>
          <w:szCs w:val="23"/>
        </w:rPr>
      </w:pPr>
      <w:r w:rsidRPr="00BB61BB">
        <w:rPr>
          <w:color w:val="auto"/>
          <w:sz w:val="23"/>
          <w:szCs w:val="23"/>
        </w:rPr>
        <w:lastRenderedPageBreak/>
        <w:t xml:space="preserve">Reimbursement to staff members for local </w:t>
      </w:r>
      <w:r>
        <w:rPr>
          <w:color w:val="auto"/>
          <w:sz w:val="23"/>
          <w:szCs w:val="23"/>
        </w:rPr>
        <w:t>mileage</w:t>
      </w:r>
      <w:r w:rsidRPr="00BB61BB">
        <w:rPr>
          <w:color w:val="auto"/>
          <w:sz w:val="23"/>
          <w:szCs w:val="23"/>
        </w:rPr>
        <w:t>; include dates of travel and beginning and ending locations. Do not abbreviate names to the extent that they are unrecognizable by a new reader; example: ERCC would be more legible as Elk R</w:t>
      </w:r>
      <w:r>
        <w:rPr>
          <w:color w:val="auto"/>
          <w:sz w:val="23"/>
          <w:szCs w:val="23"/>
        </w:rPr>
        <w:t>i</w:t>
      </w:r>
      <w:r w:rsidRPr="00BB61BB">
        <w:rPr>
          <w:color w:val="auto"/>
          <w:sz w:val="23"/>
          <w:szCs w:val="23"/>
        </w:rPr>
        <w:t>dg</w:t>
      </w:r>
      <w:r>
        <w:rPr>
          <w:color w:val="auto"/>
          <w:sz w:val="23"/>
          <w:szCs w:val="23"/>
        </w:rPr>
        <w:t>e</w:t>
      </w:r>
      <w:r w:rsidRPr="00BB61BB">
        <w:rPr>
          <w:color w:val="auto"/>
          <w:sz w:val="23"/>
          <w:szCs w:val="23"/>
        </w:rPr>
        <w:t xml:space="preserve"> Comm Coll. Include the mileage rate at which the person is being reimbursed.</w:t>
      </w:r>
    </w:p>
    <w:p w14:paraId="3BACD7E7" w14:textId="77777777" w:rsidR="00022694" w:rsidRPr="00BB61BB" w:rsidRDefault="00022694" w:rsidP="00022694">
      <w:pPr>
        <w:pStyle w:val="Default"/>
        <w:numPr>
          <w:ilvl w:val="1"/>
          <w:numId w:val="54"/>
        </w:numPr>
        <w:rPr>
          <w:color w:val="auto"/>
          <w:sz w:val="23"/>
          <w:szCs w:val="23"/>
        </w:rPr>
      </w:pPr>
      <w:r w:rsidRPr="00BB61BB">
        <w:rPr>
          <w:color w:val="auto"/>
          <w:sz w:val="23"/>
          <w:szCs w:val="23"/>
        </w:rPr>
        <w:t>GSA mileage may change in mid-year. Reimbursements are allowed to be lower than the GSA rate, but not above the rate.</w:t>
      </w:r>
    </w:p>
    <w:p w14:paraId="70E37C80" w14:textId="77777777" w:rsidR="00022694" w:rsidRPr="00BB61BB" w:rsidRDefault="00022694" w:rsidP="00022694">
      <w:pPr>
        <w:pStyle w:val="Default"/>
        <w:numPr>
          <w:ilvl w:val="1"/>
          <w:numId w:val="54"/>
        </w:numPr>
        <w:spacing w:after="240"/>
        <w:rPr>
          <w:color w:val="auto"/>
          <w:sz w:val="23"/>
          <w:szCs w:val="23"/>
        </w:rPr>
      </w:pPr>
      <w:r w:rsidRPr="00BB61BB">
        <w:rPr>
          <w:color w:val="auto"/>
          <w:sz w:val="23"/>
          <w:szCs w:val="23"/>
        </w:rPr>
        <w:t xml:space="preserve">Indirect costs charged by the fiscal agent; these must be indicated as </w:t>
      </w:r>
      <w:proofErr w:type="gramStart"/>
      <w:r w:rsidRPr="00BB61BB">
        <w:rPr>
          <w:color w:val="auto"/>
          <w:sz w:val="23"/>
          <w:szCs w:val="23"/>
        </w:rPr>
        <w:t>Administrative</w:t>
      </w:r>
      <w:proofErr w:type="gramEnd"/>
      <w:r w:rsidRPr="00BB61BB">
        <w:rPr>
          <w:color w:val="auto"/>
          <w:sz w:val="23"/>
          <w:szCs w:val="23"/>
        </w:rPr>
        <w:t xml:space="preserve"> funds. </w:t>
      </w:r>
    </w:p>
    <w:p w14:paraId="622C4005" w14:textId="77777777" w:rsidR="00022694" w:rsidRPr="00BB61BB" w:rsidRDefault="00022694" w:rsidP="00022694">
      <w:pPr>
        <w:pStyle w:val="Default"/>
        <w:numPr>
          <w:ilvl w:val="0"/>
          <w:numId w:val="54"/>
        </w:numPr>
        <w:rPr>
          <w:b/>
          <w:bCs/>
          <w:color w:val="auto"/>
          <w:sz w:val="23"/>
          <w:szCs w:val="23"/>
        </w:rPr>
      </w:pPr>
      <w:r w:rsidRPr="00BB61BB">
        <w:rPr>
          <w:b/>
          <w:bCs/>
          <w:color w:val="auto"/>
          <w:sz w:val="23"/>
          <w:szCs w:val="23"/>
        </w:rPr>
        <w:t>6000 Materials and Supplies:</w:t>
      </w:r>
      <w:r w:rsidRPr="00BB61BB">
        <w:rPr>
          <w:b/>
          <w:bCs/>
          <w:sz w:val="23"/>
          <w:szCs w:val="23"/>
        </w:rPr>
        <w:t xml:space="preserve"> </w:t>
      </w:r>
    </w:p>
    <w:p w14:paraId="56A0F407" w14:textId="77777777" w:rsidR="00022694" w:rsidRPr="00BB61BB" w:rsidRDefault="00022694" w:rsidP="00022694">
      <w:pPr>
        <w:pStyle w:val="Default"/>
        <w:numPr>
          <w:ilvl w:val="1"/>
          <w:numId w:val="54"/>
        </w:numPr>
        <w:rPr>
          <w:color w:val="auto"/>
          <w:sz w:val="23"/>
          <w:szCs w:val="23"/>
        </w:rPr>
      </w:pPr>
      <w:r w:rsidRPr="00BB61BB">
        <w:rPr>
          <w:color w:val="auto"/>
          <w:sz w:val="23"/>
          <w:szCs w:val="23"/>
        </w:rPr>
        <w:t>Instructional materials and supplies such as assessments, textbooks, online resources, classroom technology and supplies, and GE</w:t>
      </w:r>
      <w:r>
        <w:rPr>
          <w:color w:val="auto"/>
          <w:sz w:val="23"/>
          <w:szCs w:val="23"/>
        </w:rPr>
        <w:t xml:space="preserve">D </w:t>
      </w:r>
      <w:r w:rsidRPr="00BB61BB">
        <w:rPr>
          <w:color w:val="auto"/>
          <w:sz w:val="23"/>
          <w:szCs w:val="23"/>
        </w:rPr>
        <w:t>Ready</w:t>
      </w:r>
      <w:r w:rsidRPr="000750B8">
        <w:rPr>
          <w:color w:val="auto"/>
          <w:sz w:val="23"/>
          <w:szCs w:val="23"/>
          <w:vertAlign w:val="superscript"/>
        </w:rPr>
        <w:t>®</w:t>
      </w:r>
      <w:r w:rsidRPr="00BB61BB">
        <w:rPr>
          <w:color w:val="auto"/>
          <w:sz w:val="23"/>
          <w:szCs w:val="23"/>
        </w:rPr>
        <w:t xml:space="preserve"> Practice tests. Include in the description the name, quantity, and cost per unit/item and any taxes and shipping and handling so that the description sums properly to the requested amount.</w:t>
      </w:r>
    </w:p>
    <w:p w14:paraId="77BEA62D" w14:textId="77777777" w:rsidR="00022694" w:rsidRPr="00BB61BB" w:rsidRDefault="00022694" w:rsidP="00022694">
      <w:pPr>
        <w:pStyle w:val="Default"/>
        <w:numPr>
          <w:ilvl w:val="1"/>
          <w:numId w:val="54"/>
        </w:numPr>
        <w:rPr>
          <w:color w:val="auto"/>
          <w:sz w:val="23"/>
          <w:szCs w:val="23"/>
        </w:rPr>
      </w:pPr>
      <w:r w:rsidRPr="00BB61BB">
        <w:rPr>
          <w:color w:val="auto"/>
          <w:sz w:val="23"/>
          <w:szCs w:val="23"/>
        </w:rPr>
        <w:t xml:space="preserve">Reminder: AEFLA funds may only be used to purchase training materials, supplies, and credential exams when they are for students in an integrated education and training (IET) program.  </w:t>
      </w:r>
    </w:p>
    <w:p w14:paraId="67FA134B" w14:textId="77777777" w:rsidR="00022694" w:rsidRPr="00BB61BB" w:rsidRDefault="00022694" w:rsidP="00022694">
      <w:pPr>
        <w:pStyle w:val="Default"/>
        <w:numPr>
          <w:ilvl w:val="1"/>
          <w:numId w:val="54"/>
        </w:numPr>
        <w:spacing w:after="240"/>
        <w:rPr>
          <w:color w:val="auto"/>
          <w:sz w:val="23"/>
          <w:szCs w:val="23"/>
        </w:rPr>
      </w:pPr>
      <w:r w:rsidRPr="00BB61BB">
        <w:rPr>
          <w:color w:val="auto"/>
          <w:sz w:val="23"/>
          <w:szCs w:val="23"/>
        </w:rPr>
        <w:t>Reminder: No graduation supplies such as caps and gowns may be purchased with AEFLA, state or local matching funds, program income, or Race to GED</w:t>
      </w:r>
      <w:r w:rsidRPr="00BB61BB">
        <w:rPr>
          <w:color w:val="auto"/>
          <w:sz w:val="23"/>
          <w:szCs w:val="23"/>
          <w:vertAlign w:val="superscript"/>
        </w:rPr>
        <w:t>®</w:t>
      </w:r>
      <w:r w:rsidRPr="00BB61BB">
        <w:rPr>
          <w:color w:val="auto"/>
          <w:sz w:val="23"/>
          <w:szCs w:val="23"/>
        </w:rPr>
        <w:t xml:space="preserve"> funds. </w:t>
      </w:r>
    </w:p>
    <w:p w14:paraId="7FC30354" w14:textId="77777777" w:rsidR="00022694" w:rsidRPr="00BB61BB" w:rsidRDefault="00022694" w:rsidP="00022694">
      <w:pPr>
        <w:pStyle w:val="Default"/>
        <w:numPr>
          <w:ilvl w:val="0"/>
          <w:numId w:val="54"/>
        </w:numPr>
        <w:rPr>
          <w:b/>
          <w:bCs/>
          <w:color w:val="auto"/>
          <w:sz w:val="23"/>
          <w:szCs w:val="23"/>
        </w:rPr>
      </w:pPr>
      <w:r w:rsidRPr="00BB61BB">
        <w:rPr>
          <w:b/>
          <w:bCs/>
          <w:color w:val="auto"/>
          <w:sz w:val="23"/>
          <w:szCs w:val="23"/>
        </w:rPr>
        <w:t>8000 Equipment:</w:t>
      </w:r>
    </w:p>
    <w:p w14:paraId="77639A9C" w14:textId="77777777" w:rsidR="00022694" w:rsidRPr="00BB61BB" w:rsidRDefault="00022694" w:rsidP="00022694">
      <w:pPr>
        <w:pStyle w:val="Default"/>
        <w:numPr>
          <w:ilvl w:val="1"/>
          <w:numId w:val="54"/>
        </w:numPr>
        <w:rPr>
          <w:color w:val="auto"/>
          <w:sz w:val="23"/>
          <w:szCs w:val="23"/>
        </w:rPr>
      </w:pPr>
      <w:r w:rsidRPr="00BB61BB">
        <w:rPr>
          <w:color w:val="auto"/>
          <w:sz w:val="23"/>
          <w:szCs w:val="23"/>
        </w:rPr>
        <w:t>All equipment purchases over $5,000 per unit must be justified and approved in advance by the VDOE office.</w:t>
      </w:r>
    </w:p>
    <w:p w14:paraId="432F3E7E" w14:textId="77777777" w:rsidR="00022694" w:rsidRPr="00BB61BB" w:rsidRDefault="00022694" w:rsidP="00022694">
      <w:pPr>
        <w:pStyle w:val="Default"/>
        <w:numPr>
          <w:ilvl w:val="1"/>
          <w:numId w:val="54"/>
        </w:numPr>
        <w:rPr>
          <w:color w:val="auto"/>
          <w:sz w:val="23"/>
          <w:szCs w:val="23"/>
        </w:rPr>
      </w:pPr>
      <w:r w:rsidRPr="00BB61BB">
        <w:rPr>
          <w:color w:val="auto"/>
          <w:sz w:val="23"/>
          <w:szCs w:val="23"/>
        </w:rPr>
        <w:t xml:space="preserve">Provide quantity and cost per unit; include all related costs to equal line-item total. </w:t>
      </w:r>
    </w:p>
    <w:p w14:paraId="067D504D" w14:textId="77777777" w:rsidR="00022694" w:rsidRPr="00BB61BB" w:rsidRDefault="00022694" w:rsidP="00022694">
      <w:pPr>
        <w:pStyle w:val="Default"/>
        <w:numPr>
          <w:ilvl w:val="1"/>
          <w:numId w:val="54"/>
        </w:numPr>
        <w:rPr>
          <w:color w:val="auto"/>
          <w:sz w:val="23"/>
          <w:szCs w:val="23"/>
        </w:rPr>
      </w:pPr>
      <w:r w:rsidRPr="00BB61BB">
        <w:rPr>
          <w:color w:val="auto"/>
          <w:sz w:val="23"/>
          <w:szCs w:val="23"/>
        </w:rPr>
        <w:t xml:space="preserve">When listing multiple pieces of equipment in a single line item, please indicate cost of each and quantity in the description. </w:t>
      </w:r>
    </w:p>
    <w:p w14:paraId="107E5C5D" w14:textId="77777777" w:rsidR="00022694" w:rsidRPr="00BE5D99" w:rsidRDefault="00022694" w:rsidP="00022694">
      <w:pPr>
        <w:pStyle w:val="Default"/>
        <w:numPr>
          <w:ilvl w:val="1"/>
          <w:numId w:val="54"/>
        </w:numPr>
        <w:spacing w:after="240"/>
        <w:rPr>
          <w:color w:val="auto"/>
          <w:sz w:val="23"/>
          <w:szCs w:val="23"/>
        </w:rPr>
      </w:pPr>
      <w:r w:rsidRPr="00BB61BB">
        <w:rPr>
          <w:color w:val="auto"/>
          <w:sz w:val="23"/>
          <w:szCs w:val="23"/>
        </w:rPr>
        <w:t>Reminder: AEFLA funds may not be used for capital improvements (permanent improvements to buildings, office spaces, campuses, etc.).</w:t>
      </w:r>
    </w:p>
    <w:p w14:paraId="5AAA0CB6" w14:textId="77777777" w:rsidR="00022694" w:rsidRPr="00BB61BB" w:rsidRDefault="00022694" w:rsidP="008D03B8">
      <w:pPr>
        <w:pStyle w:val="Heading4"/>
      </w:pPr>
      <w:bookmarkStart w:id="89" w:name="_Toc174088899"/>
      <w:r w:rsidRPr="00BB61BB">
        <w:t>General Notes about AEFLA Budgeting</w:t>
      </w:r>
      <w:bookmarkEnd w:id="89"/>
    </w:p>
    <w:p w14:paraId="48B69369" w14:textId="77777777" w:rsidR="00022694" w:rsidRPr="00BB61BB" w:rsidRDefault="00022694" w:rsidP="00022694">
      <w:pPr>
        <w:spacing w:before="240" w:line="240" w:lineRule="auto"/>
        <w:rPr>
          <w:rFonts w:ascii="Times New Roman" w:hAnsi="Times New Roman" w:cs="Times New Roman"/>
          <w:sz w:val="23"/>
          <w:szCs w:val="23"/>
        </w:rPr>
      </w:pPr>
      <w:r w:rsidRPr="00BB61BB">
        <w:rPr>
          <w:rFonts w:ascii="Times New Roman" w:hAnsi="Times New Roman" w:cs="Times New Roman"/>
          <w:b/>
          <w:bCs/>
          <w:sz w:val="23"/>
          <w:szCs w:val="23"/>
        </w:rPr>
        <w:t>Administrative vs. Instructional.</w:t>
      </w:r>
      <w:r w:rsidRPr="00BB61BB">
        <w:rPr>
          <w:rFonts w:ascii="Times New Roman" w:hAnsi="Times New Roman" w:cs="Times New Roman"/>
          <w:sz w:val="23"/>
          <w:szCs w:val="23"/>
        </w:rPr>
        <w:t xml:space="preserve"> Federal funds have both an Administrative and an Instructional component. The AEFLA statute sets a cap of five percent on </w:t>
      </w:r>
      <w:proofErr w:type="gramStart"/>
      <w:r w:rsidRPr="00BB61BB">
        <w:rPr>
          <w:rFonts w:ascii="Times New Roman" w:hAnsi="Times New Roman" w:cs="Times New Roman"/>
          <w:sz w:val="23"/>
          <w:szCs w:val="23"/>
        </w:rPr>
        <w:t>Administrative</w:t>
      </w:r>
      <w:proofErr w:type="gramEnd"/>
      <w:r w:rsidRPr="00BB61BB">
        <w:rPr>
          <w:rFonts w:ascii="Times New Roman" w:hAnsi="Times New Roman" w:cs="Times New Roman"/>
          <w:sz w:val="23"/>
          <w:szCs w:val="23"/>
        </w:rPr>
        <w:t xml:space="preserve"> costs; grantees may negotiate a higher cap with a justification provided at the time of the competitive or continuation application submission. All reimbursements for federal funds must indicate in the “Program Area” column whether they are Administrative or Instructional. </w:t>
      </w:r>
    </w:p>
    <w:p w14:paraId="1F41EF33" w14:textId="77777777" w:rsidR="00022694" w:rsidRPr="00BB61BB" w:rsidRDefault="00022694" w:rsidP="00022694">
      <w:pPr>
        <w:spacing w:line="240" w:lineRule="auto"/>
        <w:rPr>
          <w:rFonts w:ascii="Times New Roman" w:hAnsi="Times New Roman" w:cs="Times New Roman"/>
          <w:sz w:val="23"/>
          <w:szCs w:val="23"/>
        </w:rPr>
      </w:pPr>
      <w:r w:rsidRPr="00BB61BB">
        <w:rPr>
          <w:rFonts w:ascii="Times New Roman" w:hAnsi="Times New Roman" w:cs="Times New Roman"/>
          <w:b/>
          <w:bCs/>
          <w:sz w:val="23"/>
          <w:szCs w:val="23"/>
        </w:rPr>
        <w:t>Regional vs. Locality Budgets.</w:t>
      </w:r>
      <w:r w:rsidRPr="00BB61BB">
        <w:rPr>
          <w:rFonts w:ascii="Times New Roman" w:hAnsi="Times New Roman" w:cs="Times New Roman"/>
          <w:sz w:val="23"/>
          <w:szCs w:val="23"/>
        </w:rPr>
        <w:t xml:space="preserve"> Many regional programs track budgets and spending by locality; this is a local decision, the VDOE tracks the regional budget and spending. It is not necessary to submit separate reimbursement requests per locality; one request can include the requests of multiple localities. Processes for managing funds between localities should be made clear in the regional Memorandum of Understanding (MOU). For example, a regional fiscal agent may want to set an internal-to-the-region deadline for spending by localities so that any unspent funds are identified with enough time to be reallocated and encumbered for known needs. Similarly, a single budget transfer request may be submitted that is requesting transfers for several localities’ budgets.</w:t>
      </w:r>
    </w:p>
    <w:p w14:paraId="3F823904" w14:textId="77777777" w:rsidR="00022694" w:rsidRPr="00BB61BB" w:rsidRDefault="00022694" w:rsidP="00022694">
      <w:pPr>
        <w:spacing w:line="240" w:lineRule="auto"/>
        <w:rPr>
          <w:rFonts w:ascii="Times New Roman" w:hAnsi="Times New Roman" w:cs="Times New Roman"/>
          <w:sz w:val="23"/>
          <w:szCs w:val="23"/>
        </w:rPr>
      </w:pPr>
      <w:r w:rsidRPr="00BB61BB">
        <w:rPr>
          <w:rFonts w:ascii="Times New Roman" w:hAnsi="Times New Roman" w:cs="Times New Roman"/>
          <w:b/>
          <w:bCs/>
          <w:sz w:val="23"/>
          <w:szCs w:val="23"/>
        </w:rPr>
        <w:t xml:space="preserve">Split Payments. </w:t>
      </w:r>
      <w:r w:rsidRPr="00BB61BB">
        <w:rPr>
          <w:rFonts w:ascii="Times New Roman" w:hAnsi="Times New Roman" w:cs="Times New Roman"/>
          <w:sz w:val="23"/>
          <w:szCs w:val="23"/>
        </w:rPr>
        <w:t xml:space="preserve">The federal AEFLA, state and local matching funds (General Adult Education (GAE), State Lead Coordinating Agency (SLCA), </w:t>
      </w:r>
      <w:proofErr w:type="spellStart"/>
      <w:r w:rsidRPr="00BB61BB">
        <w:rPr>
          <w:rFonts w:ascii="Times New Roman" w:hAnsi="Times New Roman" w:cs="Times New Roman"/>
          <w:sz w:val="23"/>
          <w:szCs w:val="23"/>
        </w:rPr>
        <w:t>PluggedIn</w:t>
      </w:r>
      <w:proofErr w:type="spellEnd"/>
      <w:r w:rsidRPr="00BB61BB">
        <w:rPr>
          <w:rFonts w:ascii="Times New Roman" w:hAnsi="Times New Roman" w:cs="Times New Roman"/>
          <w:sz w:val="23"/>
          <w:szCs w:val="23"/>
        </w:rPr>
        <w:t xml:space="preserve"> VA, and local match) may be braided </w:t>
      </w:r>
      <w:proofErr w:type="gramStart"/>
      <w:r w:rsidRPr="00BB61BB">
        <w:rPr>
          <w:rFonts w:ascii="Times New Roman" w:hAnsi="Times New Roman" w:cs="Times New Roman"/>
          <w:sz w:val="23"/>
          <w:szCs w:val="23"/>
        </w:rPr>
        <w:t>in order to</w:t>
      </w:r>
      <w:proofErr w:type="gramEnd"/>
      <w:r w:rsidRPr="00BB61BB">
        <w:rPr>
          <w:rFonts w:ascii="Times New Roman" w:hAnsi="Times New Roman" w:cs="Times New Roman"/>
          <w:sz w:val="23"/>
          <w:szCs w:val="23"/>
        </w:rPr>
        <w:t xml:space="preserve"> fully expend awards. For example, </w:t>
      </w:r>
      <w:proofErr w:type="gramStart"/>
      <w:r w:rsidRPr="00BB61BB">
        <w:rPr>
          <w:rFonts w:ascii="Times New Roman" w:hAnsi="Times New Roman" w:cs="Times New Roman"/>
          <w:sz w:val="23"/>
          <w:szCs w:val="23"/>
        </w:rPr>
        <w:t>in order to</w:t>
      </w:r>
      <w:proofErr w:type="gramEnd"/>
      <w:r w:rsidRPr="00BB61BB">
        <w:rPr>
          <w:rFonts w:ascii="Times New Roman" w:hAnsi="Times New Roman" w:cs="Times New Roman"/>
          <w:sz w:val="23"/>
          <w:szCs w:val="23"/>
        </w:rPr>
        <w:t xml:space="preserve"> zero out two or more funds, a single charge such as instructional supplies may be “split” across more than one award. In the OMEGA description </w:t>
      </w:r>
      <w:r w:rsidRPr="00BB61BB">
        <w:rPr>
          <w:rFonts w:ascii="Times New Roman" w:hAnsi="Times New Roman" w:cs="Times New Roman"/>
          <w:sz w:val="23"/>
          <w:szCs w:val="23"/>
        </w:rPr>
        <w:lastRenderedPageBreak/>
        <w:t xml:space="preserve">field, indicate that the charge is only partially charged to the award named in the request and name the award that will be charged the remaining amount. The invoice for the charge and the amounts charged to each award should be available upon request during an audit. </w:t>
      </w:r>
    </w:p>
    <w:p w14:paraId="01D21EDB" w14:textId="77777777" w:rsidR="00022694" w:rsidRPr="00BB61BB" w:rsidRDefault="00022694" w:rsidP="00022694">
      <w:pPr>
        <w:spacing w:line="240" w:lineRule="auto"/>
        <w:rPr>
          <w:rFonts w:ascii="Times New Roman" w:hAnsi="Times New Roman" w:cs="Times New Roman"/>
          <w:sz w:val="23"/>
          <w:szCs w:val="23"/>
        </w:rPr>
      </w:pPr>
      <w:r w:rsidRPr="00BB61BB">
        <w:rPr>
          <w:rFonts w:ascii="Times New Roman" w:hAnsi="Times New Roman" w:cs="Times New Roman"/>
          <w:b/>
          <w:bCs/>
          <w:sz w:val="23"/>
          <w:szCs w:val="23"/>
        </w:rPr>
        <w:t xml:space="preserve">Monthly or </w:t>
      </w:r>
      <w:proofErr w:type="gramStart"/>
      <w:r w:rsidRPr="00BB61BB">
        <w:rPr>
          <w:rFonts w:ascii="Times New Roman" w:hAnsi="Times New Roman" w:cs="Times New Roman"/>
          <w:b/>
          <w:bCs/>
          <w:sz w:val="23"/>
          <w:szCs w:val="23"/>
        </w:rPr>
        <w:t>Quarterly</w:t>
      </w:r>
      <w:proofErr w:type="gramEnd"/>
      <w:r w:rsidRPr="00BB61BB">
        <w:rPr>
          <w:rFonts w:ascii="Times New Roman" w:hAnsi="Times New Roman" w:cs="Times New Roman"/>
          <w:b/>
          <w:bCs/>
          <w:sz w:val="23"/>
          <w:szCs w:val="23"/>
        </w:rPr>
        <w:t>.</w:t>
      </w:r>
      <w:r w:rsidRPr="00BB61BB">
        <w:rPr>
          <w:rFonts w:ascii="Times New Roman" w:hAnsi="Times New Roman" w:cs="Times New Roman"/>
          <w:sz w:val="23"/>
          <w:szCs w:val="23"/>
        </w:rPr>
        <w:t xml:space="preserve"> Once funds are available for reimbursement in OMEGA, fiscal agents may begin requesting reimbursements. The published Calendar of Due Dates lists a schedule of mandatory reimbursements indicating no less than quarterly submissions. Fiscal agents may submit requests more frequently and the VDOE will process the requests. </w:t>
      </w:r>
    </w:p>
    <w:p w14:paraId="74F66736" w14:textId="77777777" w:rsidR="00022694" w:rsidRPr="00BB61BB" w:rsidRDefault="00022694" w:rsidP="00022694">
      <w:pPr>
        <w:spacing w:line="240" w:lineRule="auto"/>
        <w:rPr>
          <w:rFonts w:ascii="Times New Roman" w:hAnsi="Times New Roman" w:cs="Times New Roman"/>
          <w:sz w:val="23"/>
          <w:szCs w:val="23"/>
        </w:rPr>
      </w:pPr>
      <w:r w:rsidRPr="00BB61BB">
        <w:rPr>
          <w:rFonts w:ascii="Times New Roman" w:hAnsi="Times New Roman" w:cs="Times New Roman"/>
          <w:b/>
          <w:bCs/>
          <w:sz w:val="23"/>
          <w:szCs w:val="23"/>
        </w:rPr>
        <w:t>Lottery Funds.</w:t>
      </w:r>
      <w:r w:rsidRPr="00BB61BB">
        <w:rPr>
          <w:rFonts w:ascii="Times New Roman" w:hAnsi="Times New Roman" w:cs="Times New Roman"/>
          <w:sz w:val="23"/>
          <w:szCs w:val="23"/>
        </w:rPr>
        <w:t xml:space="preserve"> Because Lottery Funds may only be allocated to school divisions, fiscal agents that are community colleges must work with a local division to manage reimbursements for both Race the GED</w:t>
      </w:r>
      <w:r w:rsidRPr="00BB61BB">
        <w:rPr>
          <w:rFonts w:ascii="Times New Roman" w:hAnsi="Times New Roman" w:cs="Times New Roman"/>
          <w:sz w:val="23"/>
          <w:szCs w:val="23"/>
          <w:vertAlign w:val="superscript"/>
        </w:rPr>
        <w:t>®</w:t>
      </w:r>
      <w:r w:rsidRPr="00BB61BB">
        <w:rPr>
          <w:rFonts w:ascii="Times New Roman" w:hAnsi="Times New Roman" w:cs="Times New Roman"/>
          <w:sz w:val="23"/>
          <w:szCs w:val="23"/>
        </w:rPr>
        <w:t xml:space="preserve"> and </w:t>
      </w:r>
      <w:proofErr w:type="spellStart"/>
      <w:r w:rsidRPr="00BB61BB">
        <w:rPr>
          <w:rFonts w:ascii="Times New Roman" w:hAnsi="Times New Roman" w:cs="Times New Roman"/>
          <w:sz w:val="23"/>
          <w:szCs w:val="23"/>
        </w:rPr>
        <w:t>PluggedI</w:t>
      </w:r>
      <w:r>
        <w:rPr>
          <w:rFonts w:ascii="Times New Roman" w:hAnsi="Times New Roman" w:cs="Times New Roman"/>
          <w:sz w:val="23"/>
          <w:szCs w:val="23"/>
        </w:rPr>
        <w:t>n</w:t>
      </w:r>
      <w:proofErr w:type="spellEnd"/>
      <w:r w:rsidRPr="00BB61BB">
        <w:rPr>
          <w:rFonts w:ascii="Times New Roman" w:hAnsi="Times New Roman" w:cs="Times New Roman"/>
          <w:sz w:val="23"/>
          <w:szCs w:val="23"/>
        </w:rPr>
        <w:t xml:space="preserve"> VA awards. Local divisions may either submit reimbursements according to the OMEGA object codes as described above or submit a single invoice from the community college within Object Code 3000, without detailing each charge. Invoices and back-up documentation must be maintained for auditing purposes. Reminder: Lottery funds are not available until mid-January. </w:t>
      </w:r>
    </w:p>
    <w:p w14:paraId="2BE2708A" w14:textId="77777777" w:rsidR="00022694" w:rsidRPr="00BB61BB" w:rsidRDefault="00022694" w:rsidP="00022694">
      <w:pPr>
        <w:spacing w:line="240" w:lineRule="auto"/>
        <w:rPr>
          <w:rFonts w:ascii="Times New Roman" w:hAnsi="Times New Roman" w:cs="Times New Roman"/>
          <w:sz w:val="23"/>
          <w:szCs w:val="23"/>
        </w:rPr>
      </w:pPr>
      <w:r w:rsidRPr="00BB61BB">
        <w:rPr>
          <w:rFonts w:ascii="Times New Roman" w:hAnsi="Times New Roman" w:cs="Times New Roman"/>
          <w:b/>
          <w:bCs/>
          <w:sz w:val="23"/>
          <w:szCs w:val="23"/>
        </w:rPr>
        <w:t>Training Costs.</w:t>
      </w:r>
      <w:r w:rsidRPr="00BB61BB">
        <w:rPr>
          <w:rFonts w:ascii="Times New Roman" w:hAnsi="Times New Roman" w:cs="Times New Roman"/>
          <w:sz w:val="23"/>
          <w:szCs w:val="23"/>
        </w:rPr>
        <w:t xml:space="preserve"> AEFLA federal funds and state and local matching funds may only be used for training costs (tuition, training instructor, materials, supplies, participation fees, credential exams) for students enrolled in an integrated education and training (IET) cohort. </w:t>
      </w:r>
    </w:p>
    <w:p w14:paraId="29043A85" w14:textId="77777777" w:rsidR="00022694" w:rsidRPr="00BB61BB" w:rsidRDefault="00022694" w:rsidP="00022694">
      <w:pPr>
        <w:spacing w:line="240" w:lineRule="auto"/>
        <w:rPr>
          <w:rFonts w:ascii="Times New Roman" w:hAnsi="Times New Roman" w:cs="Times New Roman"/>
          <w:sz w:val="23"/>
          <w:szCs w:val="23"/>
        </w:rPr>
      </w:pPr>
      <w:r w:rsidRPr="00BB61BB">
        <w:rPr>
          <w:rFonts w:ascii="Times New Roman" w:hAnsi="Times New Roman" w:cs="Times New Roman"/>
          <w:b/>
          <w:bCs/>
          <w:sz w:val="23"/>
          <w:szCs w:val="23"/>
        </w:rPr>
        <w:t>Budget Transfers.</w:t>
      </w:r>
      <w:r w:rsidRPr="00BB61BB">
        <w:rPr>
          <w:rFonts w:ascii="Times New Roman" w:hAnsi="Times New Roman" w:cs="Times New Roman"/>
          <w:sz w:val="23"/>
          <w:szCs w:val="23"/>
        </w:rPr>
        <w:t xml:space="preserve"> Enter these into OMEGA if transferring between object codes; provide sufficient justification for reviewers to understand how the funds are being used. To transfer funds within an object code from what was approved, send an email to the grant manager. Remember: budget transfers may take up to a week to process. Until they are completed, any request on that account may show amounts in red font; do not submit requests until the transfers have been completed and show as black font as normal. </w:t>
      </w:r>
    </w:p>
    <w:p w14:paraId="2245D8BC" w14:textId="77777777" w:rsidR="00022694" w:rsidRPr="00BB61BB" w:rsidRDefault="00022694" w:rsidP="00022694">
      <w:pPr>
        <w:spacing w:line="240" w:lineRule="auto"/>
        <w:rPr>
          <w:rFonts w:ascii="Times New Roman" w:hAnsi="Times New Roman" w:cs="Times New Roman"/>
          <w:sz w:val="23"/>
          <w:szCs w:val="23"/>
        </w:rPr>
      </w:pPr>
      <w:r w:rsidRPr="00BB61BB">
        <w:rPr>
          <w:rFonts w:ascii="Times New Roman" w:hAnsi="Times New Roman" w:cs="Times New Roman"/>
          <w:b/>
          <w:bCs/>
          <w:sz w:val="23"/>
          <w:szCs w:val="23"/>
        </w:rPr>
        <w:t>Created Requests.</w:t>
      </w:r>
      <w:r w:rsidRPr="00BB61BB">
        <w:rPr>
          <w:rFonts w:ascii="Times New Roman" w:hAnsi="Times New Roman" w:cs="Times New Roman"/>
          <w:sz w:val="23"/>
          <w:szCs w:val="23"/>
        </w:rPr>
        <w:t xml:space="preserve"> Any OMEGA request for action that is saved will remain in OMEGA until submitted or deleted by the creator. Do not leave created requests unused or “abandoned</w:t>
      </w:r>
      <w:r>
        <w:rPr>
          <w:rFonts w:ascii="Times New Roman" w:hAnsi="Times New Roman" w:cs="Times New Roman"/>
          <w:sz w:val="23"/>
          <w:szCs w:val="23"/>
        </w:rPr>
        <w:t>;</w:t>
      </w:r>
      <w:r w:rsidRPr="00BB61BB">
        <w:rPr>
          <w:rFonts w:ascii="Times New Roman" w:hAnsi="Times New Roman" w:cs="Times New Roman"/>
          <w:sz w:val="23"/>
          <w:szCs w:val="23"/>
        </w:rPr>
        <w:t xml:space="preserve">” delete a request if you need to start over on an action.  </w:t>
      </w:r>
    </w:p>
    <w:p w14:paraId="7483A7F7" w14:textId="3517592E" w:rsidR="005E60C3" w:rsidRDefault="005E60C3" w:rsidP="005E60C3">
      <w:pPr>
        <w:spacing w:after="0"/>
        <w:rPr>
          <w:rFonts w:ascii="Times New Roman" w:hAnsi="Times New Roman" w:cs="Times New Roman"/>
          <w:sz w:val="24"/>
          <w:szCs w:val="24"/>
        </w:rPr>
      </w:pPr>
      <w:r>
        <w:rPr>
          <w:rFonts w:ascii="Times New Roman" w:hAnsi="Times New Roman" w:cs="Times New Roman"/>
          <w:sz w:val="24"/>
          <w:szCs w:val="24"/>
        </w:rPr>
        <w:br w:type="page"/>
      </w:r>
    </w:p>
    <w:p w14:paraId="77210EBC" w14:textId="77777777" w:rsidR="005E60C3" w:rsidRDefault="005E60C3" w:rsidP="002715DF">
      <w:pPr>
        <w:spacing w:after="120" w:line="240" w:lineRule="auto"/>
        <w:jc w:val="center"/>
        <w:rPr>
          <w:rFonts w:ascii="Times New Roman" w:hAnsi="Times New Roman"/>
          <w:b/>
          <w:bCs/>
          <w:smallCaps/>
          <w:sz w:val="72"/>
          <w:szCs w:val="72"/>
        </w:rPr>
      </w:pPr>
    </w:p>
    <w:p w14:paraId="062E3B51" w14:textId="00E1F282" w:rsidR="002715DF" w:rsidRPr="00BE17EE" w:rsidRDefault="002715DF" w:rsidP="002715DF">
      <w:pPr>
        <w:spacing w:after="120" w:line="240" w:lineRule="auto"/>
        <w:jc w:val="center"/>
        <w:rPr>
          <w:rFonts w:ascii="Times New Roman" w:hAnsi="Times New Roman"/>
          <w:b/>
          <w:bCs/>
          <w:smallCaps/>
          <w:sz w:val="24"/>
        </w:rPr>
        <w:sectPr w:rsidR="002715DF" w:rsidRPr="00BE17EE" w:rsidSect="00386C80">
          <w:footerReference w:type="default" r:id="rId181"/>
          <w:pgSz w:w="12240" w:h="15840"/>
          <w:pgMar w:top="1440" w:right="1440" w:bottom="1350" w:left="1440" w:header="720" w:footer="720" w:gutter="0"/>
          <w:pgNumType w:start="1" w:chapStyle="2"/>
          <w:cols w:space="720"/>
        </w:sectPr>
      </w:pPr>
      <w:r w:rsidRPr="00BE17EE">
        <w:rPr>
          <w:rFonts w:ascii="Times New Roman" w:hAnsi="Times New Roman"/>
          <w:b/>
          <w:bCs/>
          <w:smallCaps/>
          <w:sz w:val="24"/>
        </w:rPr>
        <w:t>BACK COVER</w:t>
      </w:r>
    </w:p>
    <w:p w14:paraId="604FBF82" w14:textId="4895C344" w:rsidR="002715DF" w:rsidRDefault="002715DF" w:rsidP="002715DF">
      <w:pPr>
        <w:spacing w:after="120" w:line="240" w:lineRule="auto"/>
        <w:jc w:val="center"/>
        <w:rPr>
          <w:rFonts w:ascii="Times New Roman" w:hAnsi="Times New Roman"/>
          <w:smallCaps/>
          <w:sz w:val="400"/>
          <w:szCs w:val="400"/>
        </w:rPr>
      </w:pPr>
    </w:p>
    <w:p w14:paraId="3C158077" w14:textId="77777777" w:rsidR="00AC44BA" w:rsidRPr="00AC44BA" w:rsidRDefault="00AC44BA" w:rsidP="002715DF">
      <w:pPr>
        <w:spacing w:after="120" w:line="240" w:lineRule="auto"/>
        <w:jc w:val="center"/>
        <w:rPr>
          <w:rFonts w:ascii="Times New Roman" w:hAnsi="Times New Roman"/>
          <w:smallCaps/>
          <w:sz w:val="144"/>
          <w:szCs w:val="144"/>
        </w:rPr>
      </w:pPr>
    </w:p>
    <w:p w14:paraId="4AA0E09F" w14:textId="77777777" w:rsidR="00AC44BA" w:rsidRPr="00CB7F64" w:rsidRDefault="00AC44BA" w:rsidP="00AC44BA">
      <w:pPr>
        <w:pBdr>
          <w:bottom w:val="single" w:sz="4" w:space="1" w:color="auto"/>
        </w:pBdr>
        <w:spacing w:after="0" w:line="240" w:lineRule="auto"/>
        <w:jc w:val="center"/>
        <w:rPr>
          <w:rFonts w:ascii="Times New Roman" w:hAnsi="Times New Roman" w:cs="Times New Roman"/>
          <w:b/>
          <w:bCs/>
          <w:i/>
          <w:sz w:val="18"/>
          <w:szCs w:val="18"/>
        </w:rPr>
      </w:pPr>
      <w:r w:rsidRPr="00CB7F64">
        <w:rPr>
          <w:rFonts w:ascii="Times New Roman" w:hAnsi="Times New Roman" w:cs="Times New Roman"/>
          <w:b/>
          <w:bCs/>
          <w:i/>
          <w:sz w:val="18"/>
          <w:szCs w:val="18"/>
        </w:rPr>
        <w:t>Statement of Non-Discrimination</w:t>
      </w:r>
    </w:p>
    <w:p w14:paraId="18D61027" w14:textId="77777777" w:rsidR="00AC44BA" w:rsidRPr="00CB7F64" w:rsidRDefault="00AC44BA" w:rsidP="00AC44BA">
      <w:pPr>
        <w:pBdr>
          <w:bottom w:val="single" w:sz="4" w:space="1" w:color="auto"/>
        </w:pBdr>
        <w:spacing w:after="0" w:line="240" w:lineRule="auto"/>
        <w:rPr>
          <w:rFonts w:ascii="Times New Roman" w:hAnsi="Times New Roman" w:cs="Times New Roman"/>
          <w:i/>
          <w:sz w:val="18"/>
          <w:szCs w:val="18"/>
        </w:rPr>
      </w:pPr>
      <w:r w:rsidRPr="00CB7F64">
        <w:rPr>
          <w:rFonts w:ascii="Times New Roman" w:hAnsi="Times New Roman" w:cs="Times New Roman"/>
          <w:i/>
          <w:sz w:val="18"/>
          <w:szCs w:val="18"/>
        </w:rPr>
        <w:t xml:space="preserve">VDOE does not discriminate </w:t>
      </w:r>
      <w:proofErr w:type="gramStart"/>
      <w:r w:rsidRPr="00CB7F64">
        <w:rPr>
          <w:rFonts w:ascii="Times New Roman" w:hAnsi="Times New Roman" w:cs="Times New Roman"/>
          <w:i/>
          <w:sz w:val="18"/>
          <w:szCs w:val="18"/>
        </w:rPr>
        <w:t>on the basis of</w:t>
      </w:r>
      <w:proofErr w:type="gramEnd"/>
      <w:r w:rsidRPr="00CB7F64">
        <w:rPr>
          <w:rFonts w:ascii="Times New Roman" w:hAnsi="Times New Roman" w:cs="Times New Roman"/>
          <w:i/>
          <w:sz w:val="18"/>
          <w:szCs w:val="18"/>
        </w:rPr>
        <w:t xml:space="preserve">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 The following position has been designated to handle inquiries regarding VDOE’s non-discrimination policies:</w:t>
      </w:r>
    </w:p>
    <w:p w14:paraId="67365A38" w14:textId="77777777" w:rsidR="00AC44BA" w:rsidRPr="00CB7F64" w:rsidRDefault="00AC44BA" w:rsidP="00AC44BA">
      <w:pPr>
        <w:pBdr>
          <w:bottom w:val="single" w:sz="4" w:space="1" w:color="auto"/>
        </w:pBdr>
        <w:spacing w:after="0" w:line="240" w:lineRule="auto"/>
        <w:rPr>
          <w:rFonts w:ascii="Times New Roman" w:hAnsi="Times New Roman" w:cs="Times New Roman"/>
          <w:i/>
          <w:sz w:val="14"/>
          <w:szCs w:val="14"/>
        </w:rPr>
      </w:pPr>
    </w:p>
    <w:p w14:paraId="2B2FFD12" w14:textId="77777777" w:rsidR="00AC44BA" w:rsidRPr="00CB7F64" w:rsidRDefault="00AC44BA" w:rsidP="00AC44BA">
      <w:pPr>
        <w:pBdr>
          <w:bottom w:val="single" w:sz="4" w:space="1" w:color="auto"/>
        </w:pBdr>
        <w:spacing w:after="0" w:line="240" w:lineRule="auto"/>
        <w:jc w:val="center"/>
        <w:rPr>
          <w:rFonts w:ascii="Times New Roman" w:hAnsi="Times New Roman" w:cs="Times New Roman"/>
          <w:i/>
          <w:sz w:val="18"/>
          <w:szCs w:val="18"/>
        </w:rPr>
      </w:pPr>
      <w:r w:rsidRPr="00CB7F64">
        <w:rPr>
          <w:rFonts w:ascii="Times New Roman" w:hAnsi="Times New Roman" w:cs="Times New Roman"/>
          <w:i/>
          <w:sz w:val="18"/>
          <w:szCs w:val="18"/>
        </w:rPr>
        <w:t>Director of Human Resources</w:t>
      </w:r>
    </w:p>
    <w:p w14:paraId="6B0C7680" w14:textId="77777777" w:rsidR="00AC44BA" w:rsidRPr="00CB7F64" w:rsidRDefault="00AC44BA" w:rsidP="00AC44BA">
      <w:pPr>
        <w:pBdr>
          <w:bottom w:val="single" w:sz="4" w:space="1" w:color="auto"/>
        </w:pBdr>
        <w:spacing w:after="0" w:line="240" w:lineRule="auto"/>
        <w:jc w:val="center"/>
        <w:rPr>
          <w:rFonts w:ascii="Times New Roman" w:hAnsi="Times New Roman" w:cs="Times New Roman"/>
          <w:i/>
          <w:sz w:val="18"/>
          <w:szCs w:val="18"/>
        </w:rPr>
      </w:pPr>
      <w:r w:rsidRPr="00CB7F64">
        <w:rPr>
          <w:rFonts w:ascii="Times New Roman" w:hAnsi="Times New Roman" w:cs="Times New Roman"/>
          <w:i/>
          <w:sz w:val="18"/>
          <w:szCs w:val="18"/>
        </w:rPr>
        <w:t>Virginia Department of Education</w:t>
      </w:r>
    </w:p>
    <w:p w14:paraId="582AF9F8" w14:textId="77777777" w:rsidR="00AC44BA" w:rsidRPr="00CB7F64" w:rsidRDefault="00AC44BA" w:rsidP="00AC44BA">
      <w:pPr>
        <w:pBdr>
          <w:bottom w:val="single" w:sz="4" w:space="1" w:color="auto"/>
        </w:pBdr>
        <w:spacing w:after="0" w:line="240" w:lineRule="auto"/>
        <w:jc w:val="center"/>
        <w:rPr>
          <w:rFonts w:ascii="Times New Roman" w:hAnsi="Times New Roman" w:cs="Times New Roman"/>
          <w:i/>
          <w:sz w:val="18"/>
          <w:szCs w:val="18"/>
        </w:rPr>
      </w:pPr>
      <w:r w:rsidRPr="00CB7F64">
        <w:rPr>
          <w:rFonts w:ascii="Times New Roman" w:hAnsi="Times New Roman" w:cs="Times New Roman"/>
          <w:i/>
          <w:sz w:val="18"/>
          <w:szCs w:val="18"/>
        </w:rPr>
        <w:t>P. O. Box 2120</w:t>
      </w:r>
    </w:p>
    <w:p w14:paraId="03C48779" w14:textId="77777777" w:rsidR="00AC44BA" w:rsidRPr="00CB7F64" w:rsidRDefault="00AC44BA" w:rsidP="00AC44BA">
      <w:pPr>
        <w:pBdr>
          <w:bottom w:val="single" w:sz="4" w:space="1" w:color="auto"/>
        </w:pBdr>
        <w:spacing w:after="0" w:line="240" w:lineRule="auto"/>
        <w:jc w:val="center"/>
        <w:rPr>
          <w:rFonts w:ascii="Times New Roman" w:hAnsi="Times New Roman" w:cs="Times New Roman"/>
          <w:i/>
          <w:sz w:val="18"/>
          <w:szCs w:val="18"/>
        </w:rPr>
      </w:pPr>
      <w:r w:rsidRPr="00CB7F64">
        <w:rPr>
          <w:rFonts w:ascii="Times New Roman" w:hAnsi="Times New Roman" w:cs="Times New Roman"/>
          <w:i/>
          <w:sz w:val="18"/>
          <w:szCs w:val="18"/>
        </w:rPr>
        <w:t>Richmond, Virginia 23218-2120</w:t>
      </w:r>
    </w:p>
    <w:p w14:paraId="258DE169" w14:textId="77777777" w:rsidR="00AC44BA" w:rsidRPr="00CB7F64" w:rsidRDefault="00AC44BA" w:rsidP="00AC44BA">
      <w:pPr>
        <w:pBdr>
          <w:bottom w:val="single" w:sz="4" w:space="1" w:color="auto"/>
        </w:pBdr>
        <w:spacing w:after="0" w:line="240" w:lineRule="auto"/>
        <w:jc w:val="center"/>
        <w:rPr>
          <w:rFonts w:ascii="Times New Roman" w:hAnsi="Times New Roman" w:cs="Times New Roman"/>
          <w:i/>
          <w:sz w:val="18"/>
          <w:szCs w:val="18"/>
        </w:rPr>
      </w:pPr>
      <w:r w:rsidRPr="00CB7F64">
        <w:rPr>
          <w:rFonts w:ascii="Times New Roman" w:hAnsi="Times New Roman" w:cs="Times New Roman"/>
          <w:i/>
          <w:sz w:val="18"/>
          <w:szCs w:val="18"/>
        </w:rPr>
        <w:t>Telephone: (804) 774-4280</w:t>
      </w:r>
    </w:p>
    <w:p w14:paraId="4F0D3250" w14:textId="77777777" w:rsidR="00AC44BA" w:rsidRPr="00CB7F64" w:rsidRDefault="00AC44BA" w:rsidP="00AC44BA">
      <w:pPr>
        <w:pBdr>
          <w:bottom w:val="single" w:sz="4" w:space="1" w:color="auto"/>
        </w:pBdr>
        <w:spacing w:after="0" w:line="240" w:lineRule="auto"/>
        <w:jc w:val="center"/>
        <w:rPr>
          <w:rFonts w:ascii="Times New Roman" w:hAnsi="Times New Roman" w:cs="Times New Roman"/>
          <w:i/>
          <w:sz w:val="14"/>
          <w:szCs w:val="14"/>
        </w:rPr>
      </w:pPr>
    </w:p>
    <w:p w14:paraId="4850179B" w14:textId="77777777" w:rsidR="00AC44BA" w:rsidRPr="00CB7F64" w:rsidRDefault="00AC44BA" w:rsidP="00AC44BA">
      <w:pPr>
        <w:pBdr>
          <w:bottom w:val="single" w:sz="4" w:space="1" w:color="auto"/>
        </w:pBdr>
        <w:spacing w:after="0" w:line="240" w:lineRule="auto"/>
        <w:jc w:val="center"/>
        <w:rPr>
          <w:rFonts w:ascii="Times New Roman" w:hAnsi="Times New Roman" w:cs="Times New Roman"/>
          <w:i/>
          <w:sz w:val="18"/>
          <w:szCs w:val="18"/>
        </w:rPr>
      </w:pPr>
      <w:r w:rsidRPr="00CB7F64">
        <w:rPr>
          <w:rFonts w:ascii="Times New Roman" w:hAnsi="Times New Roman" w:cs="Times New Roman"/>
          <w:i/>
          <w:sz w:val="18"/>
          <w:szCs w:val="18"/>
        </w:rPr>
        <w:t xml:space="preserve">For further information on Federal non-discrimination regulations, contact the Office for Civil Rights at </w:t>
      </w:r>
      <w:hyperlink r:id="rId182" w:history="1">
        <w:r w:rsidRPr="00CB7F64">
          <w:rPr>
            <w:rStyle w:val="Hyperlink"/>
            <w:rFonts w:ascii="Times New Roman" w:hAnsi="Times New Roman" w:cs="Times New Roman"/>
            <w:i/>
            <w:sz w:val="18"/>
            <w:szCs w:val="18"/>
          </w:rPr>
          <w:t>OCR.DC@ed.gov</w:t>
        </w:r>
      </w:hyperlink>
      <w:r w:rsidRPr="00CB7F64">
        <w:rPr>
          <w:rFonts w:ascii="Times New Roman" w:hAnsi="Times New Roman" w:cs="Times New Roman"/>
          <w:i/>
          <w:sz w:val="18"/>
          <w:szCs w:val="18"/>
        </w:rPr>
        <w:t xml:space="preserve"> </w:t>
      </w:r>
    </w:p>
    <w:p w14:paraId="43A66867" w14:textId="77777777" w:rsidR="00AC44BA" w:rsidRPr="00CB7F64" w:rsidRDefault="00AC44BA" w:rsidP="00AC44BA">
      <w:pPr>
        <w:pBdr>
          <w:bottom w:val="single" w:sz="4" w:space="1" w:color="auto"/>
        </w:pBdr>
        <w:spacing w:after="0" w:line="240" w:lineRule="auto"/>
        <w:jc w:val="center"/>
        <w:rPr>
          <w:rFonts w:ascii="Times New Roman" w:hAnsi="Times New Roman" w:cs="Times New Roman"/>
          <w:i/>
          <w:sz w:val="18"/>
          <w:szCs w:val="18"/>
        </w:rPr>
      </w:pPr>
      <w:r w:rsidRPr="00CB7F64">
        <w:rPr>
          <w:rFonts w:ascii="Times New Roman" w:hAnsi="Times New Roman" w:cs="Times New Roman"/>
          <w:i/>
          <w:sz w:val="18"/>
          <w:szCs w:val="18"/>
        </w:rPr>
        <w:t>or call 1-800-421-3481.</w:t>
      </w:r>
    </w:p>
    <w:p w14:paraId="384A17E0" w14:textId="7B656621" w:rsidR="00D66D79" w:rsidRPr="00022694" w:rsidRDefault="00D66D79" w:rsidP="00D66D79">
      <w:pPr>
        <w:spacing w:before="1200" w:after="0" w:line="240" w:lineRule="auto"/>
        <w:rPr>
          <w:rFonts w:ascii="Times New Roman" w:eastAsia="Times New Roman" w:hAnsi="Times New Roman" w:cs="Times New Roman"/>
          <w:sz w:val="18"/>
          <w:szCs w:val="18"/>
        </w:rPr>
      </w:pPr>
      <w:r w:rsidRPr="00900D66">
        <w:rPr>
          <w:rFonts w:ascii="Times New Roman" w:eastAsia="Times New Roman" w:hAnsi="Times New Roman" w:cs="Times New Roman"/>
          <w:sz w:val="18"/>
          <w:szCs w:val="18"/>
        </w:rPr>
        <w:t xml:space="preserve">Cover Page photo credits (left to right): </w:t>
      </w:r>
      <w:proofErr w:type="spellStart"/>
      <w:r w:rsidR="00B64C4C">
        <w:rPr>
          <w:rFonts w:ascii="Times New Roman" w:eastAsia="Times New Roman" w:hAnsi="Times New Roman" w:cs="Times New Roman"/>
          <w:sz w:val="18"/>
          <w:szCs w:val="18"/>
        </w:rPr>
        <w:t>Pixabay</w:t>
      </w:r>
      <w:proofErr w:type="spellEnd"/>
      <w:r w:rsidR="00B64C4C">
        <w:rPr>
          <w:rFonts w:ascii="Times New Roman" w:eastAsia="Times New Roman" w:hAnsi="Times New Roman" w:cs="Times New Roman"/>
          <w:sz w:val="18"/>
          <w:szCs w:val="18"/>
        </w:rPr>
        <w:t xml:space="preserve">, </w:t>
      </w:r>
      <w:r w:rsidRPr="00900D66">
        <w:rPr>
          <w:rFonts w:ascii="Times New Roman" w:eastAsia="Times New Roman" w:hAnsi="Times New Roman" w:cs="Times New Roman"/>
          <w:sz w:val="18"/>
          <w:szCs w:val="18"/>
        </w:rPr>
        <w:t>Thomas Jefferson Adult Career Education, Southside Adult and Continuing Education, </w:t>
      </w:r>
      <w:r w:rsidR="00900D66">
        <w:rPr>
          <w:rFonts w:ascii="Times New Roman" w:eastAsia="Times New Roman" w:hAnsi="Times New Roman" w:cs="Times New Roman"/>
          <w:sz w:val="18"/>
          <w:szCs w:val="18"/>
        </w:rPr>
        <w:t>Chesterfield County Continuing Adult Education</w:t>
      </w:r>
    </w:p>
    <w:sectPr w:rsidR="00D66D79" w:rsidRPr="00022694" w:rsidSect="002715DF">
      <w:type w:val="continuous"/>
      <w:pgSz w:w="12240" w:h="15840"/>
      <w:pgMar w:top="1440" w:right="1440" w:bottom="1350" w:left="1440" w:header="720" w:footer="720" w:gutter="0"/>
      <w:pgNumType w:start="1" w:chapStyle="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BA40D" w14:textId="77777777" w:rsidR="006143C4" w:rsidRDefault="006143C4">
      <w:pPr>
        <w:spacing w:after="0" w:line="240" w:lineRule="auto"/>
      </w:pPr>
      <w:r>
        <w:separator/>
      </w:r>
    </w:p>
  </w:endnote>
  <w:endnote w:type="continuationSeparator" w:id="0">
    <w:p w14:paraId="78202F1B" w14:textId="77777777" w:rsidR="006143C4" w:rsidRDefault="006143C4">
      <w:pPr>
        <w:spacing w:after="0" w:line="240" w:lineRule="auto"/>
      </w:pPr>
      <w:r>
        <w:continuationSeparator/>
      </w:r>
    </w:p>
  </w:endnote>
  <w:endnote w:type="continuationNotice" w:id="1">
    <w:p w14:paraId="1DD8FE03" w14:textId="77777777" w:rsidR="006143C4" w:rsidRDefault="006143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45CB" w14:textId="3D4358FB" w:rsidR="00DC4E23" w:rsidRDefault="00DC4E2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1</w:t>
    </w:r>
    <w:r>
      <w:rPr>
        <w:caps/>
        <w:noProof/>
        <w:color w:val="4472C4" w:themeColor="accent1"/>
      </w:rPr>
      <w:fldChar w:fldCharType="end"/>
    </w:r>
  </w:p>
  <w:p w14:paraId="00000417" w14:textId="68C59AC4" w:rsidR="00DC4E23" w:rsidRDefault="00DC4E23">
    <w:pPr>
      <w:jc w:val="center"/>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F61A" w14:textId="422870A6" w:rsidR="00DC4E23" w:rsidRPr="004D1BED" w:rsidRDefault="00DC4E23">
    <w:pPr>
      <w:pStyle w:val="Footer"/>
      <w:tabs>
        <w:tab w:val="clear" w:pos="4680"/>
        <w:tab w:val="clear" w:pos="9360"/>
      </w:tabs>
      <w:jc w:val="center"/>
      <w:rPr>
        <w:rFonts w:ascii="Times New Roman" w:hAnsi="Times New Roman" w:cs="Times New Roman"/>
        <w:caps/>
        <w:noProof/>
        <w:color w:val="000000" w:themeColor="text1"/>
        <w:sz w:val="24"/>
        <w:szCs w:val="24"/>
      </w:rPr>
    </w:pPr>
    <w:r w:rsidRPr="004D1BED">
      <w:rPr>
        <w:rFonts w:ascii="Times New Roman" w:hAnsi="Times New Roman" w:cs="Times New Roman"/>
        <w:caps/>
        <w:color w:val="000000" w:themeColor="text1"/>
        <w:sz w:val="24"/>
        <w:szCs w:val="24"/>
      </w:rPr>
      <w:fldChar w:fldCharType="begin"/>
    </w:r>
    <w:r w:rsidRPr="004D1BED">
      <w:rPr>
        <w:rFonts w:ascii="Times New Roman" w:hAnsi="Times New Roman" w:cs="Times New Roman"/>
        <w:caps/>
        <w:color w:val="000000" w:themeColor="text1"/>
        <w:sz w:val="24"/>
        <w:szCs w:val="24"/>
      </w:rPr>
      <w:instrText xml:space="preserve"> PAGE   \* MERGEFORMAT </w:instrText>
    </w:r>
    <w:r w:rsidRPr="004D1BED">
      <w:rPr>
        <w:rFonts w:ascii="Times New Roman" w:hAnsi="Times New Roman" w:cs="Times New Roman"/>
        <w:caps/>
        <w:color w:val="000000" w:themeColor="text1"/>
        <w:sz w:val="24"/>
        <w:szCs w:val="24"/>
      </w:rPr>
      <w:fldChar w:fldCharType="separate"/>
    </w:r>
    <w:r w:rsidR="00D71307">
      <w:rPr>
        <w:rFonts w:ascii="Times New Roman" w:hAnsi="Times New Roman" w:cs="Times New Roman"/>
        <w:caps/>
        <w:noProof/>
        <w:color w:val="000000" w:themeColor="text1"/>
        <w:sz w:val="24"/>
        <w:szCs w:val="24"/>
      </w:rPr>
      <w:t>i</w:t>
    </w:r>
    <w:r w:rsidRPr="004D1BED">
      <w:rPr>
        <w:rFonts w:ascii="Times New Roman" w:hAnsi="Times New Roman" w:cs="Times New Roman"/>
        <w:caps/>
        <w:noProof/>
        <w:color w:val="000000" w:themeColor="text1"/>
        <w:sz w:val="24"/>
        <w:szCs w:val="24"/>
      </w:rPr>
      <w:fldChar w:fldCharType="end"/>
    </w:r>
  </w:p>
  <w:p w14:paraId="4E512394" w14:textId="77777777" w:rsidR="00DC4E23" w:rsidRDefault="00DC4E23">
    <w:pPr>
      <w:jc w:val="center"/>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4FD1C" w14:textId="1FCB7395" w:rsidR="00DC4E23" w:rsidRPr="004D1BED" w:rsidRDefault="00DC4E23" w:rsidP="000E656A">
    <w:pPr>
      <w:pStyle w:val="Footer"/>
      <w:tabs>
        <w:tab w:val="clear" w:pos="4680"/>
        <w:tab w:val="clear" w:pos="9360"/>
      </w:tabs>
      <w:jc w:val="center"/>
      <w:rPr>
        <w:rFonts w:ascii="Times New Roman" w:hAnsi="Times New Roman" w:cs="Times New Roman"/>
        <w:caps/>
        <w:noProof/>
        <w:color w:val="000000" w:themeColor="text1"/>
        <w:sz w:val="24"/>
        <w:szCs w:val="24"/>
      </w:rPr>
    </w:pPr>
    <w:r w:rsidRPr="004D1BED">
      <w:rPr>
        <w:rFonts w:ascii="Times New Roman" w:hAnsi="Times New Roman" w:cs="Times New Roman"/>
        <w:caps/>
        <w:color w:val="000000" w:themeColor="text1"/>
        <w:sz w:val="24"/>
        <w:szCs w:val="24"/>
      </w:rPr>
      <w:fldChar w:fldCharType="begin"/>
    </w:r>
    <w:r w:rsidRPr="004D1BED">
      <w:rPr>
        <w:rFonts w:ascii="Times New Roman" w:hAnsi="Times New Roman" w:cs="Times New Roman"/>
        <w:caps/>
        <w:color w:val="000000" w:themeColor="text1"/>
        <w:sz w:val="24"/>
        <w:szCs w:val="24"/>
      </w:rPr>
      <w:instrText xml:space="preserve"> PAGE   \* MERGEFORMAT </w:instrText>
    </w:r>
    <w:r w:rsidRPr="004D1BED">
      <w:rPr>
        <w:rFonts w:ascii="Times New Roman" w:hAnsi="Times New Roman" w:cs="Times New Roman"/>
        <w:caps/>
        <w:color w:val="000000" w:themeColor="text1"/>
        <w:sz w:val="24"/>
        <w:szCs w:val="24"/>
      </w:rPr>
      <w:fldChar w:fldCharType="separate"/>
    </w:r>
    <w:r w:rsidR="00D71307">
      <w:rPr>
        <w:rFonts w:ascii="Times New Roman" w:hAnsi="Times New Roman" w:cs="Times New Roman"/>
        <w:caps/>
        <w:noProof/>
        <w:color w:val="000000" w:themeColor="text1"/>
        <w:sz w:val="24"/>
        <w:szCs w:val="24"/>
      </w:rPr>
      <w:t>I-2</w:t>
    </w:r>
    <w:r w:rsidRPr="004D1BED">
      <w:rPr>
        <w:rFonts w:ascii="Times New Roman" w:hAnsi="Times New Roman" w:cs="Times New Roman"/>
        <w:caps/>
        <w:noProof/>
        <w:color w:val="000000" w:themeColor="text1"/>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23089" w14:textId="1245545A" w:rsidR="00DC4E23" w:rsidRPr="004D1BED" w:rsidRDefault="00DC4E23" w:rsidP="000E656A">
    <w:pPr>
      <w:pStyle w:val="Footer"/>
      <w:tabs>
        <w:tab w:val="clear" w:pos="4680"/>
        <w:tab w:val="clear" w:pos="9360"/>
      </w:tabs>
      <w:jc w:val="center"/>
      <w:rPr>
        <w:rFonts w:ascii="Times New Roman" w:hAnsi="Times New Roman" w:cs="Times New Roman"/>
        <w:caps/>
        <w:noProof/>
        <w:color w:val="000000" w:themeColor="text1"/>
        <w:sz w:val="24"/>
        <w:szCs w:val="24"/>
      </w:rPr>
    </w:pPr>
    <w:r w:rsidRPr="004D1BED">
      <w:rPr>
        <w:rFonts w:ascii="Times New Roman" w:hAnsi="Times New Roman" w:cs="Times New Roman"/>
        <w:caps/>
        <w:color w:val="000000" w:themeColor="text1"/>
        <w:sz w:val="24"/>
        <w:szCs w:val="24"/>
      </w:rPr>
      <w:fldChar w:fldCharType="begin"/>
    </w:r>
    <w:r w:rsidRPr="004D1BED">
      <w:rPr>
        <w:rFonts w:ascii="Times New Roman" w:hAnsi="Times New Roman" w:cs="Times New Roman"/>
        <w:caps/>
        <w:color w:val="000000" w:themeColor="text1"/>
        <w:sz w:val="24"/>
        <w:szCs w:val="24"/>
      </w:rPr>
      <w:instrText xml:space="preserve"> PAGE   \* MERGEFORMAT </w:instrText>
    </w:r>
    <w:r w:rsidRPr="004D1BED">
      <w:rPr>
        <w:rFonts w:ascii="Times New Roman" w:hAnsi="Times New Roman" w:cs="Times New Roman"/>
        <w:caps/>
        <w:color w:val="000000" w:themeColor="text1"/>
        <w:sz w:val="24"/>
        <w:szCs w:val="24"/>
      </w:rPr>
      <w:fldChar w:fldCharType="separate"/>
    </w:r>
    <w:r w:rsidR="00D71307">
      <w:rPr>
        <w:rFonts w:ascii="Times New Roman" w:hAnsi="Times New Roman" w:cs="Times New Roman"/>
        <w:caps/>
        <w:noProof/>
        <w:color w:val="000000" w:themeColor="text1"/>
        <w:sz w:val="24"/>
        <w:szCs w:val="24"/>
      </w:rPr>
      <w:t>III-10</w:t>
    </w:r>
    <w:r w:rsidRPr="004D1BED">
      <w:rPr>
        <w:rFonts w:ascii="Times New Roman" w:hAnsi="Times New Roman" w:cs="Times New Roman"/>
        <w:caps/>
        <w:noProof/>
        <w:color w:val="000000" w:themeColor="text1"/>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AAC2" w14:textId="77C0D543" w:rsidR="00DC4E23" w:rsidRPr="004D1BED" w:rsidRDefault="00DC4E23" w:rsidP="000E656A">
    <w:pPr>
      <w:pStyle w:val="Footer"/>
      <w:tabs>
        <w:tab w:val="clear" w:pos="4680"/>
        <w:tab w:val="clear" w:pos="9360"/>
      </w:tabs>
      <w:jc w:val="center"/>
      <w:rPr>
        <w:rFonts w:ascii="Times New Roman" w:hAnsi="Times New Roman" w:cs="Times New Roman"/>
        <w:caps/>
        <w:noProof/>
        <w:color w:val="000000" w:themeColor="text1"/>
        <w:sz w:val="24"/>
        <w:szCs w:val="24"/>
      </w:rPr>
    </w:pPr>
    <w:r w:rsidRPr="004D1BED">
      <w:rPr>
        <w:rFonts w:ascii="Times New Roman" w:hAnsi="Times New Roman" w:cs="Times New Roman"/>
        <w:caps/>
        <w:color w:val="000000" w:themeColor="text1"/>
        <w:sz w:val="24"/>
        <w:szCs w:val="24"/>
      </w:rPr>
      <w:fldChar w:fldCharType="begin"/>
    </w:r>
    <w:r w:rsidRPr="004D1BED">
      <w:rPr>
        <w:rFonts w:ascii="Times New Roman" w:hAnsi="Times New Roman" w:cs="Times New Roman"/>
        <w:caps/>
        <w:color w:val="000000" w:themeColor="text1"/>
        <w:sz w:val="24"/>
        <w:szCs w:val="24"/>
      </w:rPr>
      <w:instrText xml:space="preserve"> PAGE   \* MERGEFORMAT </w:instrText>
    </w:r>
    <w:r w:rsidRPr="004D1BED">
      <w:rPr>
        <w:rFonts w:ascii="Times New Roman" w:hAnsi="Times New Roman" w:cs="Times New Roman"/>
        <w:caps/>
        <w:color w:val="000000" w:themeColor="text1"/>
        <w:sz w:val="24"/>
        <w:szCs w:val="24"/>
      </w:rPr>
      <w:fldChar w:fldCharType="separate"/>
    </w:r>
    <w:r w:rsidR="00D71307">
      <w:rPr>
        <w:rFonts w:ascii="Times New Roman" w:hAnsi="Times New Roman" w:cs="Times New Roman"/>
        <w:caps/>
        <w:noProof/>
        <w:color w:val="000000" w:themeColor="text1"/>
        <w:sz w:val="24"/>
        <w:szCs w:val="24"/>
      </w:rPr>
      <w:t>IV-26</w:t>
    </w:r>
    <w:r w:rsidRPr="004D1BED">
      <w:rPr>
        <w:rFonts w:ascii="Times New Roman" w:hAnsi="Times New Roman" w:cs="Times New Roman"/>
        <w:caps/>
        <w:noProof/>
        <w:color w:val="000000" w:themeColor="text1"/>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C3D33" w14:textId="1B5F799B" w:rsidR="00DC4E23" w:rsidRPr="004D1BED" w:rsidRDefault="00DC4E23" w:rsidP="000E656A">
    <w:pPr>
      <w:pStyle w:val="Footer"/>
      <w:tabs>
        <w:tab w:val="clear" w:pos="4680"/>
        <w:tab w:val="clear" w:pos="9360"/>
      </w:tabs>
      <w:jc w:val="center"/>
      <w:rPr>
        <w:rFonts w:ascii="Times New Roman" w:hAnsi="Times New Roman" w:cs="Times New Roman"/>
        <w:caps/>
        <w:noProof/>
        <w:color w:val="000000" w:themeColor="text1"/>
        <w:sz w:val="24"/>
        <w:szCs w:val="24"/>
      </w:rPr>
    </w:pPr>
    <w:r w:rsidRPr="004D1BED">
      <w:rPr>
        <w:rFonts w:ascii="Times New Roman" w:hAnsi="Times New Roman" w:cs="Times New Roman"/>
        <w:caps/>
        <w:color w:val="000000" w:themeColor="text1"/>
        <w:sz w:val="24"/>
        <w:szCs w:val="24"/>
      </w:rPr>
      <w:fldChar w:fldCharType="begin"/>
    </w:r>
    <w:r w:rsidRPr="004D1BED">
      <w:rPr>
        <w:rFonts w:ascii="Times New Roman" w:hAnsi="Times New Roman" w:cs="Times New Roman"/>
        <w:caps/>
        <w:color w:val="000000" w:themeColor="text1"/>
        <w:sz w:val="24"/>
        <w:szCs w:val="24"/>
      </w:rPr>
      <w:instrText xml:space="preserve"> PAGE   \* MERGEFORMAT </w:instrText>
    </w:r>
    <w:r w:rsidRPr="004D1BED">
      <w:rPr>
        <w:rFonts w:ascii="Times New Roman" w:hAnsi="Times New Roman" w:cs="Times New Roman"/>
        <w:caps/>
        <w:color w:val="000000" w:themeColor="text1"/>
        <w:sz w:val="24"/>
        <w:szCs w:val="24"/>
      </w:rPr>
      <w:fldChar w:fldCharType="separate"/>
    </w:r>
    <w:r w:rsidR="00D71307">
      <w:rPr>
        <w:rFonts w:ascii="Times New Roman" w:hAnsi="Times New Roman" w:cs="Times New Roman"/>
        <w:caps/>
        <w:noProof/>
        <w:color w:val="000000" w:themeColor="text1"/>
        <w:sz w:val="24"/>
        <w:szCs w:val="24"/>
      </w:rPr>
      <w:t>V-6</w:t>
    </w:r>
    <w:r w:rsidRPr="004D1BED">
      <w:rPr>
        <w:rFonts w:ascii="Times New Roman" w:hAnsi="Times New Roman" w:cs="Times New Roman"/>
        <w:caps/>
        <w:noProof/>
        <w:color w:val="000000" w:themeColor="text1"/>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AEB2" w14:textId="104ECC90" w:rsidR="00DC4E23" w:rsidRPr="004D1BED" w:rsidRDefault="00DC4E23" w:rsidP="000E656A">
    <w:pPr>
      <w:pStyle w:val="Footer"/>
      <w:tabs>
        <w:tab w:val="clear" w:pos="4680"/>
        <w:tab w:val="clear" w:pos="9360"/>
      </w:tabs>
      <w:jc w:val="center"/>
      <w:rPr>
        <w:rFonts w:ascii="Times New Roman" w:hAnsi="Times New Roman" w:cs="Times New Roman"/>
        <w:caps/>
        <w:noProof/>
        <w:color w:val="000000" w:themeColor="text1"/>
        <w:sz w:val="24"/>
        <w:szCs w:val="24"/>
      </w:rPr>
    </w:pPr>
    <w:r w:rsidRPr="004D1BED">
      <w:rPr>
        <w:rFonts w:ascii="Times New Roman" w:hAnsi="Times New Roman" w:cs="Times New Roman"/>
        <w:caps/>
        <w:color w:val="000000" w:themeColor="text1"/>
        <w:sz w:val="24"/>
        <w:szCs w:val="24"/>
      </w:rPr>
      <w:fldChar w:fldCharType="begin"/>
    </w:r>
    <w:r w:rsidRPr="004D1BED">
      <w:rPr>
        <w:rFonts w:ascii="Times New Roman" w:hAnsi="Times New Roman" w:cs="Times New Roman"/>
        <w:caps/>
        <w:color w:val="000000" w:themeColor="text1"/>
        <w:sz w:val="24"/>
        <w:szCs w:val="24"/>
      </w:rPr>
      <w:instrText xml:space="preserve"> PAGE   \* MERGEFORMAT </w:instrText>
    </w:r>
    <w:r w:rsidRPr="004D1BED">
      <w:rPr>
        <w:rFonts w:ascii="Times New Roman" w:hAnsi="Times New Roman" w:cs="Times New Roman"/>
        <w:caps/>
        <w:color w:val="000000" w:themeColor="text1"/>
        <w:sz w:val="24"/>
        <w:szCs w:val="24"/>
      </w:rPr>
      <w:fldChar w:fldCharType="separate"/>
    </w:r>
    <w:r w:rsidR="00D71307">
      <w:rPr>
        <w:rFonts w:ascii="Times New Roman" w:hAnsi="Times New Roman" w:cs="Times New Roman"/>
        <w:caps/>
        <w:noProof/>
        <w:color w:val="000000" w:themeColor="text1"/>
        <w:sz w:val="24"/>
        <w:szCs w:val="24"/>
      </w:rPr>
      <w:t>VI-1</w:t>
    </w:r>
    <w:r w:rsidRPr="004D1BED">
      <w:rPr>
        <w:rFonts w:ascii="Times New Roman" w:hAnsi="Times New Roman" w:cs="Times New Roman"/>
        <w:caps/>
        <w:noProof/>
        <w:color w:val="000000" w:themeColor="text1"/>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1919" w14:textId="7A4031D5" w:rsidR="00DC4E23" w:rsidRPr="004D1BED" w:rsidRDefault="00DC4E23" w:rsidP="000E656A">
    <w:pPr>
      <w:pStyle w:val="Footer"/>
      <w:tabs>
        <w:tab w:val="clear" w:pos="4680"/>
        <w:tab w:val="clear" w:pos="9360"/>
      </w:tabs>
      <w:jc w:val="center"/>
      <w:rPr>
        <w:rFonts w:ascii="Times New Roman" w:hAnsi="Times New Roman" w:cs="Times New Roman"/>
        <w:caps/>
        <w:noProof/>
        <w:color w:val="000000" w:themeColor="text1"/>
        <w:sz w:val="24"/>
        <w:szCs w:val="24"/>
      </w:rPr>
    </w:pPr>
    <w:r w:rsidRPr="004D1BED">
      <w:rPr>
        <w:rFonts w:ascii="Times New Roman" w:hAnsi="Times New Roman" w:cs="Times New Roman"/>
        <w:caps/>
        <w:color w:val="000000" w:themeColor="text1"/>
        <w:sz w:val="24"/>
        <w:szCs w:val="24"/>
      </w:rPr>
      <w:fldChar w:fldCharType="begin"/>
    </w:r>
    <w:r w:rsidRPr="004D1BED">
      <w:rPr>
        <w:rFonts w:ascii="Times New Roman" w:hAnsi="Times New Roman" w:cs="Times New Roman"/>
        <w:caps/>
        <w:color w:val="000000" w:themeColor="text1"/>
        <w:sz w:val="24"/>
        <w:szCs w:val="24"/>
      </w:rPr>
      <w:instrText xml:space="preserve"> PAGE   \* MERGEFORMAT </w:instrText>
    </w:r>
    <w:r w:rsidRPr="004D1BED">
      <w:rPr>
        <w:rFonts w:ascii="Times New Roman" w:hAnsi="Times New Roman" w:cs="Times New Roman"/>
        <w:caps/>
        <w:color w:val="000000" w:themeColor="text1"/>
        <w:sz w:val="24"/>
        <w:szCs w:val="24"/>
      </w:rPr>
      <w:fldChar w:fldCharType="separate"/>
    </w:r>
    <w:r w:rsidR="00D71307">
      <w:rPr>
        <w:rFonts w:ascii="Times New Roman" w:hAnsi="Times New Roman" w:cs="Times New Roman"/>
        <w:caps/>
        <w:noProof/>
        <w:color w:val="000000" w:themeColor="text1"/>
        <w:sz w:val="24"/>
        <w:szCs w:val="24"/>
      </w:rPr>
      <w:t>VII-6</w:t>
    </w:r>
    <w:r w:rsidRPr="004D1BED">
      <w:rPr>
        <w:rFonts w:ascii="Times New Roman" w:hAnsi="Times New Roman" w:cs="Times New Roman"/>
        <w:caps/>
        <w:noProof/>
        <w:color w:val="000000" w:themeColor="text1"/>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936173617"/>
      <w:docPartObj>
        <w:docPartGallery w:val="Page Numbers (Bottom of Page)"/>
        <w:docPartUnique/>
      </w:docPartObj>
    </w:sdtPr>
    <w:sdtEndPr>
      <w:rPr>
        <w:noProof/>
      </w:rPr>
    </w:sdtEndPr>
    <w:sdtContent>
      <w:p w14:paraId="1FB21BFE" w14:textId="7E0363EC" w:rsidR="00F22655" w:rsidRPr="00F22655" w:rsidRDefault="00F22655">
        <w:pPr>
          <w:pStyle w:val="Footer"/>
          <w:jc w:val="center"/>
          <w:rPr>
            <w:rFonts w:ascii="Times New Roman" w:hAnsi="Times New Roman" w:cs="Times New Roman"/>
          </w:rPr>
        </w:pPr>
        <w:r w:rsidRPr="00F22655">
          <w:rPr>
            <w:rFonts w:ascii="Times New Roman" w:hAnsi="Times New Roman" w:cs="Times New Roman"/>
          </w:rPr>
          <w:fldChar w:fldCharType="begin"/>
        </w:r>
        <w:r w:rsidRPr="00F22655">
          <w:rPr>
            <w:rFonts w:ascii="Times New Roman" w:hAnsi="Times New Roman" w:cs="Times New Roman"/>
          </w:rPr>
          <w:instrText xml:space="preserve"> PAGE   \* MERGEFORMAT </w:instrText>
        </w:r>
        <w:r w:rsidRPr="00F22655">
          <w:rPr>
            <w:rFonts w:ascii="Times New Roman" w:hAnsi="Times New Roman" w:cs="Times New Roman"/>
          </w:rPr>
          <w:fldChar w:fldCharType="separate"/>
        </w:r>
        <w:r w:rsidRPr="00F22655">
          <w:rPr>
            <w:rFonts w:ascii="Times New Roman" w:hAnsi="Times New Roman" w:cs="Times New Roman"/>
            <w:noProof/>
          </w:rPr>
          <w:t>2</w:t>
        </w:r>
        <w:r w:rsidRPr="00F22655">
          <w:rPr>
            <w:rFonts w:ascii="Times New Roman" w:hAnsi="Times New Roman" w:cs="Times New Roman"/>
            <w:noProof/>
          </w:rPr>
          <w:fldChar w:fldCharType="end"/>
        </w:r>
      </w:p>
    </w:sdtContent>
  </w:sdt>
  <w:p w14:paraId="2E901E5F" w14:textId="69E9F741" w:rsidR="00DC4E23" w:rsidRPr="004D1BED" w:rsidRDefault="00DC4E23" w:rsidP="000E656A">
    <w:pPr>
      <w:pStyle w:val="Footer"/>
      <w:tabs>
        <w:tab w:val="clear" w:pos="4680"/>
        <w:tab w:val="clear" w:pos="9360"/>
      </w:tabs>
      <w:jc w:val="center"/>
      <w:rPr>
        <w:rFonts w:ascii="Times New Roman" w:hAnsi="Times New Roman" w:cs="Times New Roman"/>
        <w:caps/>
        <w:noProof/>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EF72A" w14:textId="77777777" w:rsidR="006143C4" w:rsidRDefault="006143C4">
      <w:pPr>
        <w:spacing w:after="0" w:line="240" w:lineRule="auto"/>
      </w:pPr>
      <w:r>
        <w:separator/>
      </w:r>
    </w:p>
  </w:footnote>
  <w:footnote w:type="continuationSeparator" w:id="0">
    <w:p w14:paraId="7B12F1F9" w14:textId="77777777" w:rsidR="006143C4" w:rsidRDefault="006143C4">
      <w:pPr>
        <w:spacing w:after="0" w:line="240" w:lineRule="auto"/>
      </w:pPr>
      <w:r>
        <w:continuationSeparator/>
      </w:r>
    </w:p>
  </w:footnote>
  <w:footnote w:type="continuationNotice" w:id="1">
    <w:p w14:paraId="60E2D086" w14:textId="77777777" w:rsidR="006143C4" w:rsidRDefault="006143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948F" w14:textId="6B8724D6" w:rsidR="00DC4E23" w:rsidRPr="006D6253" w:rsidRDefault="006C03E7">
    <w:pPr>
      <w:pStyle w:val="Header"/>
      <w:rPr>
        <w:rFonts w:ascii="Times New Roman" w:hAnsi="Times New Roman" w:cs="Times New Roman"/>
        <w:sz w:val="20"/>
        <w:szCs w:val="20"/>
      </w:rPr>
    </w:pPr>
    <w:r>
      <w:rPr>
        <w:rFonts w:ascii="Times New Roman" w:hAnsi="Times New Roman" w:cs="Times New Roman"/>
        <w:sz w:val="20"/>
        <w:szCs w:val="20"/>
      </w:rPr>
      <w:t>August</w:t>
    </w:r>
    <w:r w:rsidR="00086B25">
      <w:rPr>
        <w:rFonts w:ascii="Times New Roman" w:hAnsi="Times New Roman" w:cs="Times New Roman"/>
        <w:sz w:val="20"/>
        <w:szCs w:val="20"/>
      </w:rPr>
      <w:t xml:space="preserve"> 202</w:t>
    </w:r>
    <w:r w:rsidR="00914B75">
      <w:rPr>
        <w:rFonts w:ascii="Times New Roman" w:hAnsi="Times New Roman" w:cs="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36A3"/>
    <w:multiLevelType w:val="hybridMultilevel"/>
    <w:tmpl w:val="7DC456C8"/>
    <w:lvl w:ilvl="0" w:tplc="04090001">
      <w:start w:val="1"/>
      <w:numFmt w:val="bullet"/>
      <w:lvlText w:val=""/>
      <w:lvlJc w:val="left"/>
      <w:pPr>
        <w:ind w:left="360" w:hanging="360"/>
      </w:pPr>
      <w:rPr>
        <w:rFonts w:ascii="Symbol" w:hAnsi="Symbol" w:hint="default"/>
        <w:strike w:val="0"/>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980" w:hanging="360"/>
      </w:pPr>
      <w:rPr>
        <w:rFonts w:ascii="Courier New" w:hAnsi="Courier New" w:cs="Courier New" w:hint="default"/>
      </w:rPr>
    </w:lvl>
    <w:lvl w:ilvl="3" w:tplc="FFFFFFFF">
      <w:start w:val="1"/>
      <w:numFmt w:val="bullet"/>
      <w:lvlText w:val=""/>
      <w:lvlJc w:val="left"/>
      <w:pPr>
        <w:ind w:left="2520" w:hanging="360"/>
      </w:pPr>
      <w:rPr>
        <w:rFonts w:ascii="Wingdings" w:hAnsi="Wingding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963DBB"/>
    <w:multiLevelType w:val="hybridMultilevel"/>
    <w:tmpl w:val="EE76D3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A43AB"/>
    <w:multiLevelType w:val="multilevel"/>
    <w:tmpl w:val="4FA61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00263"/>
    <w:multiLevelType w:val="multilevel"/>
    <w:tmpl w:val="9B7C785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0C2934E7"/>
    <w:multiLevelType w:val="multilevel"/>
    <w:tmpl w:val="938865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0EB3372"/>
    <w:multiLevelType w:val="hybridMultilevel"/>
    <w:tmpl w:val="CFF6C6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6D3C00"/>
    <w:multiLevelType w:val="hybridMultilevel"/>
    <w:tmpl w:val="2486A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777A0D"/>
    <w:multiLevelType w:val="multilevel"/>
    <w:tmpl w:val="30DAA8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87159A2"/>
    <w:multiLevelType w:val="multilevel"/>
    <w:tmpl w:val="E24E67B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791773"/>
    <w:multiLevelType w:val="multilevel"/>
    <w:tmpl w:val="83D065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9981759"/>
    <w:multiLevelType w:val="multilevel"/>
    <w:tmpl w:val="F042D1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9F62231"/>
    <w:multiLevelType w:val="multilevel"/>
    <w:tmpl w:val="EC5C0A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B31536A"/>
    <w:multiLevelType w:val="multilevel"/>
    <w:tmpl w:val="A74EE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D0E4DBD"/>
    <w:multiLevelType w:val="multilevel"/>
    <w:tmpl w:val="11A65482"/>
    <w:lvl w:ilvl="0">
      <w:start w:val="1"/>
      <w:numFmt w:val="decimal"/>
      <w:lvlText w:val="%1."/>
      <w:lvlJc w:val="left"/>
      <w:pPr>
        <w:ind w:left="1800" w:hanging="360"/>
      </w:p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1E0301E0"/>
    <w:multiLevelType w:val="multilevel"/>
    <w:tmpl w:val="488450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8B51BD"/>
    <w:multiLevelType w:val="multilevel"/>
    <w:tmpl w:val="1F901B40"/>
    <w:lvl w:ilvl="0">
      <w:start w:val="1"/>
      <w:numFmt w:val="decimal"/>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780" w:hanging="36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268F6F19"/>
    <w:multiLevelType w:val="multilevel"/>
    <w:tmpl w:val="08E219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8DE0E77"/>
    <w:multiLevelType w:val="multilevel"/>
    <w:tmpl w:val="2C4475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92B1257"/>
    <w:multiLevelType w:val="multilevel"/>
    <w:tmpl w:val="B002EF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A3D21B9"/>
    <w:multiLevelType w:val="multilevel"/>
    <w:tmpl w:val="F4B2F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C433C1D"/>
    <w:multiLevelType w:val="multilevel"/>
    <w:tmpl w:val="EDC2ABB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 w15:restartNumberingAfterBreak="0">
    <w:nsid w:val="2D45775F"/>
    <w:multiLevelType w:val="multilevel"/>
    <w:tmpl w:val="AEF2E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00F5EF1"/>
    <w:multiLevelType w:val="multilevel"/>
    <w:tmpl w:val="FD449F7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10A1ADA"/>
    <w:multiLevelType w:val="multilevel"/>
    <w:tmpl w:val="89BEBF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1D75522"/>
    <w:multiLevelType w:val="multilevel"/>
    <w:tmpl w:val="940C0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1E668C"/>
    <w:multiLevelType w:val="multilevel"/>
    <w:tmpl w:val="94423404"/>
    <w:lvl w:ilvl="0">
      <w:start w:val="1"/>
      <w:numFmt w:val="bullet"/>
      <w:lvlText w:val="●"/>
      <w:lvlJc w:val="left"/>
      <w:pPr>
        <w:ind w:left="990" w:hanging="360"/>
      </w:pPr>
      <w:rPr>
        <w:rFonts w:ascii="Noto Sans Symbols" w:eastAsia="Noto Sans Symbols" w:hAnsi="Noto Sans Symbols" w:cs="Noto Sans Symbols"/>
        <w:sz w:val="20"/>
        <w:szCs w:val="20"/>
      </w:rPr>
    </w:lvl>
    <w:lvl w:ilvl="1">
      <w:start w:val="1"/>
      <w:numFmt w:val="bullet"/>
      <w:lvlText w:val="o"/>
      <w:lvlJc w:val="left"/>
      <w:pPr>
        <w:ind w:left="1710" w:hanging="360"/>
      </w:pPr>
      <w:rPr>
        <w:rFonts w:ascii="Courier New" w:eastAsia="Courier New" w:hAnsi="Courier New" w:cs="Courier New"/>
        <w:sz w:val="20"/>
        <w:szCs w:val="20"/>
      </w:rPr>
    </w:lvl>
    <w:lvl w:ilvl="2">
      <w:start w:val="1"/>
      <w:numFmt w:val="bullet"/>
      <w:lvlText w:val="▪"/>
      <w:lvlJc w:val="left"/>
      <w:pPr>
        <w:ind w:left="2430" w:hanging="360"/>
      </w:pPr>
      <w:rPr>
        <w:rFonts w:ascii="Noto Sans Symbols" w:eastAsia="Noto Sans Symbols" w:hAnsi="Noto Sans Symbols" w:cs="Noto Sans Symbols"/>
        <w:sz w:val="20"/>
        <w:szCs w:val="20"/>
      </w:rPr>
    </w:lvl>
    <w:lvl w:ilvl="3">
      <w:start w:val="1"/>
      <w:numFmt w:val="bullet"/>
      <w:lvlText w:val="▪"/>
      <w:lvlJc w:val="left"/>
      <w:pPr>
        <w:ind w:left="3150" w:hanging="360"/>
      </w:pPr>
      <w:rPr>
        <w:rFonts w:ascii="Noto Sans Symbols" w:eastAsia="Noto Sans Symbols" w:hAnsi="Noto Sans Symbols" w:cs="Noto Sans Symbols"/>
        <w:sz w:val="20"/>
        <w:szCs w:val="20"/>
      </w:rPr>
    </w:lvl>
    <w:lvl w:ilvl="4">
      <w:start w:val="1"/>
      <w:numFmt w:val="bullet"/>
      <w:lvlText w:val="▪"/>
      <w:lvlJc w:val="left"/>
      <w:pPr>
        <w:ind w:left="3870" w:hanging="360"/>
      </w:pPr>
      <w:rPr>
        <w:rFonts w:ascii="Noto Sans Symbols" w:eastAsia="Noto Sans Symbols" w:hAnsi="Noto Sans Symbols" w:cs="Noto Sans Symbols"/>
        <w:sz w:val="20"/>
        <w:szCs w:val="20"/>
      </w:rPr>
    </w:lvl>
    <w:lvl w:ilvl="5">
      <w:start w:val="1"/>
      <w:numFmt w:val="bullet"/>
      <w:lvlText w:val="▪"/>
      <w:lvlJc w:val="left"/>
      <w:pPr>
        <w:ind w:left="4590" w:hanging="360"/>
      </w:pPr>
      <w:rPr>
        <w:rFonts w:ascii="Noto Sans Symbols" w:eastAsia="Noto Sans Symbols" w:hAnsi="Noto Sans Symbols" w:cs="Noto Sans Symbols"/>
        <w:sz w:val="20"/>
        <w:szCs w:val="20"/>
      </w:rPr>
    </w:lvl>
    <w:lvl w:ilvl="6">
      <w:start w:val="1"/>
      <w:numFmt w:val="bullet"/>
      <w:lvlText w:val="▪"/>
      <w:lvlJc w:val="left"/>
      <w:pPr>
        <w:ind w:left="5310" w:hanging="360"/>
      </w:pPr>
      <w:rPr>
        <w:rFonts w:ascii="Noto Sans Symbols" w:eastAsia="Noto Sans Symbols" w:hAnsi="Noto Sans Symbols" w:cs="Noto Sans Symbols"/>
        <w:sz w:val="20"/>
        <w:szCs w:val="20"/>
      </w:rPr>
    </w:lvl>
    <w:lvl w:ilvl="7">
      <w:start w:val="1"/>
      <w:numFmt w:val="bullet"/>
      <w:lvlText w:val="▪"/>
      <w:lvlJc w:val="left"/>
      <w:pPr>
        <w:ind w:left="6030" w:hanging="360"/>
      </w:pPr>
      <w:rPr>
        <w:rFonts w:ascii="Noto Sans Symbols" w:eastAsia="Noto Sans Symbols" w:hAnsi="Noto Sans Symbols" w:cs="Noto Sans Symbols"/>
        <w:sz w:val="20"/>
        <w:szCs w:val="20"/>
      </w:rPr>
    </w:lvl>
    <w:lvl w:ilvl="8">
      <w:start w:val="1"/>
      <w:numFmt w:val="bullet"/>
      <w:lvlText w:val="▪"/>
      <w:lvlJc w:val="left"/>
      <w:pPr>
        <w:ind w:left="6750" w:hanging="360"/>
      </w:pPr>
      <w:rPr>
        <w:rFonts w:ascii="Noto Sans Symbols" w:eastAsia="Noto Sans Symbols" w:hAnsi="Noto Sans Symbols" w:cs="Noto Sans Symbols"/>
        <w:sz w:val="20"/>
        <w:szCs w:val="20"/>
      </w:rPr>
    </w:lvl>
  </w:abstractNum>
  <w:abstractNum w:abstractNumId="26" w15:restartNumberingAfterBreak="0">
    <w:nsid w:val="3BB01BCA"/>
    <w:multiLevelType w:val="multilevel"/>
    <w:tmpl w:val="E2928890"/>
    <w:lvl w:ilvl="0">
      <w:start w:val="2"/>
      <w:numFmt w:val="decimal"/>
      <w:lvlText w:val="%1."/>
      <w:lvlJc w:val="left"/>
      <w:pPr>
        <w:ind w:left="720" w:hanging="36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2160" w:hanging="360"/>
      </w:pPr>
      <w:rPr>
        <w:rFonts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7" w15:restartNumberingAfterBreak="0">
    <w:nsid w:val="41A349E4"/>
    <w:multiLevelType w:val="multilevel"/>
    <w:tmpl w:val="FD449F72"/>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8" w15:restartNumberingAfterBreak="0">
    <w:nsid w:val="457A134D"/>
    <w:multiLevelType w:val="multilevel"/>
    <w:tmpl w:val="4E9E52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68E6E0E"/>
    <w:multiLevelType w:val="multilevel"/>
    <w:tmpl w:val="D05E6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7072B20"/>
    <w:multiLevelType w:val="multilevel"/>
    <w:tmpl w:val="58844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7595248"/>
    <w:multiLevelType w:val="multilevel"/>
    <w:tmpl w:val="BDEA65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A026A54"/>
    <w:multiLevelType w:val="multilevel"/>
    <w:tmpl w:val="A6B4D8F6"/>
    <w:lvl w:ilvl="0">
      <w:start w:val="1"/>
      <w:numFmt w:val="lowerLetter"/>
      <w:lvlText w:val="(%1)"/>
      <w:lvlJc w:val="left"/>
      <w:pPr>
        <w:ind w:left="0" w:firstLine="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E17097D"/>
    <w:multiLevelType w:val="multilevel"/>
    <w:tmpl w:val="F94ECF8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firstLine="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4EDC2142"/>
    <w:multiLevelType w:val="multilevel"/>
    <w:tmpl w:val="340AC1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4F221D0C"/>
    <w:multiLevelType w:val="multilevel"/>
    <w:tmpl w:val="09B26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06A3EEF"/>
    <w:multiLevelType w:val="hybridMultilevel"/>
    <w:tmpl w:val="2428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A76254"/>
    <w:multiLevelType w:val="multilevel"/>
    <w:tmpl w:val="E5BE4E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103271C"/>
    <w:multiLevelType w:val="multilevel"/>
    <w:tmpl w:val="F2B8FF96"/>
    <w:lvl w:ilvl="0">
      <w:start w:val="1"/>
      <w:numFmt w:val="lowerLetter"/>
      <w:lvlText w:val="(%1)"/>
      <w:lvlJc w:val="left"/>
      <w:pPr>
        <w:ind w:left="1440" w:hanging="360"/>
      </w:pPr>
      <w:rPr>
        <w:rFonts w:ascii="Times New Roman" w:eastAsia="Times New Roman" w:hAnsi="Times New Roman" w:cs="Times New Roman"/>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1CE037C"/>
    <w:multiLevelType w:val="multilevel"/>
    <w:tmpl w:val="D57A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C26620"/>
    <w:multiLevelType w:val="hybridMultilevel"/>
    <w:tmpl w:val="56600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2228C6"/>
    <w:multiLevelType w:val="multilevel"/>
    <w:tmpl w:val="E2E8A0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5745490C"/>
    <w:multiLevelType w:val="hybridMultilevel"/>
    <w:tmpl w:val="B6C29E40"/>
    <w:lvl w:ilvl="0" w:tplc="04090001">
      <w:start w:val="1"/>
      <w:numFmt w:val="bullet"/>
      <w:lvlText w:val=""/>
      <w:lvlJc w:val="left"/>
      <w:pPr>
        <w:ind w:left="360" w:hanging="360"/>
      </w:pPr>
      <w:rPr>
        <w:rFonts w:ascii="Symbol" w:hAnsi="Symbol" w:hint="default"/>
        <w:strike w:val="0"/>
        <w:color w:val="auto"/>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1980" w:hanging="360"/>
      </w:pPr>
      <w:rPr>
        <w:rFonts w:ascii="Courier New" w:hAnsi="Courier New" w:cs="Courier New" w:hint="default"/>
      </w:rPr>
    </w:lvl>
    <w:lvl w:ilvl="3" w:tplc="FFFFFFFF">
      <w:start w:val="1"/>
      <w:numFmt w:val="bullet"/>
      <w:lvlText w:val=""/>
      <w:lvlJc w:val="left"/>
      <w:pPr>
        <w:ind w:left="2520" w:hanging="360"/>
      </w:pPr>
      <w:rPr>
        <w:rFonts w:ascii="Wingdings" w:hAnsi="Wingding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7FC2985"/>
    <w:multiLevelType w:val="multilevel"/>
    <w:tmpl w:val="06287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D0E1D44"/>
    <w:multiLevelType w:val="multilevel"/>
    <w:tmpl w:val="18D055F6"/>
    <w:lvl w:ilvl="0">
      <w:start w:val="1"/>
      <w:numFmt w:val="lowerLetter"/>
      <w:lvlText w:val="(%1)"/>
      <w:lvlJc w:val="left"/>
      <w:pPr>
        <w:ind w:left="1440" w:hanging="360"/>
      </w:pPr>
      <w:rPr>
        <w:rFonts w:ascii="Times New Roman" w:eastAsia="Times New Roman" w:hAnsi="Times New Roman" w:cs="Times New Roman"/>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5" w15:restartNumberingAfterBreak="0">
    <w:nsid w:val="5EBC1108"/>
    <w:multiLevelType w:val="multilevel"/>
    <w:tmpl w:val="2040AC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4F43AA0"/>
    <w:multiLevelType w:val="multilevel"/>
    <w:tmpl w:val="B8E24C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591392D"/>
    <w:multiLevelType w:val="multilevel"/>
    <w:tmpl w:val="6240CCAE"/>
    <w:lvl w:ilvl="0">
      <w:start w:val="1"/>
      <w:numFmt w:val="bullet"/>
      <w:lvlText w:val=""/>
      <w:lvlJc w:val="left"/>
      <w:pPr>
        <w:ind w:left="1440" w:hanging="360"/>
      </w:pPr>
      <w:rPr>
        <w:rFonts w:ascii="Symbol" w:hAnsi="Symbol" w:hint="default"/>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8913FFF"/>
    <w:multiLevelType w:val="multilevel"/>
    <w:tmpl w:val="B802A2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6BF30E9B"/>
    <w:multiLevelType w:val="multilevel"/>
    <w:tmpl w:val="15EECD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C7C2FA2"/>
    <w:multiLevelType w:val="hybridMultilevel"/>
    <w:tmpl w:val="F5CE91E0"/>
    <w:lvl w:ilvl="0" w:tplc="04090001">
      <w:start w:val="1"/>
      <w:numFmt w:val="bullet"/>
      <w:lvlText w:val=""/>
      <w:lvlJc w:val="left"/>
      <w:pPr>
        <w:ind w:left="360" w:hanging="360"/>
      </w:pPr>
      <w:rPr>
        <w:rFonts w:ascii="Symbol" w:hAnsi="Symbol" w:hint="default"/>
        <w:strike w:val="0"/>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980" w:hanging="360"/>
      </w:pPr>
      <w:rPr>
        <w:rFonts w:ascii="Courier New" w:hAnsi="Courier New" w:cs="Courier New" w:hint="default"/>
      </w:rPr>
    </w:lvl>
    <w:lvl w:ilvl="3" w:tplc="FFFFFFFF">
      <w:start w:val="1"/>
      <w:numFmt w:val="bullet"/>
      <w:lvlText w:val=""/>
      <w:lvlJc w:val="left"/>
      <w:pPr>
        <w:ind w:left="2520" w:hanging="360"/>
      </w:pPr>
      <w:rPr>
        <w:rFonts w:ascii="Wingdings" w:hAnsi="Wingding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FDC0C2E"/>
    <w:multiLevelType w:val="hybridMultilevel"/>
    <w:tmpl w:val="C54A26AE"/>
    <w:lvl w:ilvl="0" w:tplc="04090001">
      <w:start w:val="1"/>
      <w:numFmt w:val="bullet"/>
      <w:lvlText w:val=""/>
      <w:lvlJc w:val="left"/>
      <w:pPr>
        <w:ind w:left="360" w:hanging="360"/>
      </w:pPr>
      <w:rPr>
        <w:rFonts w:ascii="Symbol" w:hAnsi="Symbol" w:hint="default"/>
        <w:strike w:val="0"/>
        <w:color w:val="auto"/>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98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1EC3D6B"/>
    <w:multiLevelType w:val="multilevel"/>
    <w:tmpl w:val="076CFB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728943C6"/>
    <w:multiLevelType w:val="multilevel"/>
    <w:tmpl w:val="8EAA7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3E67DC3"/>
    <w:multiLevelType w:val="hybridMultilevel"/>
    <w:tmpl w:val="409636A6"/>
    <w:lvl w:ilvl="0" w:tplc="FA729370">
      <w:start w:val="1"/>
      <w:numFmt w:val="upperRoman"/>
      <w:pStyle w:val="Heading2"/>
      <w:lvlText w:val="%1."/>
      <w:lvlJc w:val="left"/>
      <w:pPr>
        <w:ind w:left="18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6C4E67"/>
    <w:multiLevelType w:val="hybridMultilevel"/>
    <w:tmpl w:val="25D23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C036417"/>
    <w:multiLevelType w:val="multilevel"/>
    <w:tmpl w:val="72E64CDC"/>
    <w:lvl w:ilvl="0">
      <w:start w:val="1"/>
      <w:numFmt w:val="lowerLetter"/>
      <w:lvlText w:val="(%1)"/>
      <w:lvlJc w:val="left"/>
      <w:pPr>
        <w:ind w:left="1440" w:hanging="360"/>
      </w:pPr>
      <w:rPr>
        <w:rFonts w:ascii="Times New Roman" w:eastAsia="Times New Roman" w:hAnsi="Times New Roman" w:cs="Times New Roman"/>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7E357EFF"/>
    <w:multiLevelType w:val="multilevel"/>
    <w:tmpl w:val="95A42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93350">
    <w:abstractNumId w:val="28"/>
  </w:num>
  <w:num w:numId="2" w16cid:durableId="56326804">
    <w:abstractNumId w:val="18"/>
  </w:num>
  <w:num w:numId="3" w16cid:durableId="1519998930">
    <w:abstractNumId w:val="41"/>
  </w:num>
  <w:num w:numId="4" w16cid:durableId="1190947998">
    <w:abstractNumId w:val="52"/>
  </w:num>
  <w:num w:numId="5" w16cid:durableId="38939677">
    <w:abstractNumId w:val="23"/>
  </w:num>
  <w:num w:numId="6" w16cid:durableId="693926104">
    <w:abstractNumId w:val="49"/>
  </w:num>
  <w:num w:numId="7" w16cid:durableId="1980651927">
    <w:abstractNumId w:val="45"/>
  </w:num>
  <w:num w:numId="8" w16cid:durableId="1070351420">
    <w:abstractNumId w:val="33"/>
  </w:num>
  <w:num w:numId="9" w16cid:durableId="242379044">
    <w:abstractNumId w:val="19"/>
  </w:num>
  <w:num w:numId="10" w16cid:durableId="1936207421">
    <w:abstractNumId w:val="10"/>
  </w:num>
  <w:num w:numId="11" w16cid:durableId="89856486">
    <w:abstractNumId w:val="37"/>
  </w:num>
  <w:num w:numId="12" w16cid:durableId="954211656">
    <w:abstractNumId w:val="4"/>
  </w:num>
  <w:num w:numId="13" w16cid:durableId="765883166">
    <w:abstractNumId w:val="21"/>
  </w:num>
  <w:num w:numId="14" w16cid:durableId="1922792568">
    <w:abstractNumId w:val="2"/>
  </w:num>
  <w:num w:numId="15" w16cid:durableId="338388567">
    <w:abstractNumId w:val="7"/>
  </w:num>
  <w:num w:numId="16" w16cid:durableId="1821532878">
    <w:abstractNumId w:val="27"/>
  </w:num>
  <w:num w:numId="17" w16cid:durableId="1312445130">
    <w:abstractNumId w:val="48"/>
  </w:num>
  <w:num w:numId="18" w16cid:durableId="1882326594">
    <w:abstractNumId w:val="30"/>
  </w:num>
  <w:num w:numId="19" w16cid:durableId="1742677890">
    <w:abstractNumId w:val="17"/>
  </w:num>
  <w:num w:numId="20" w16cid:durableId="846560694">
    <w:abstractNumId w:val="9"/>
  </w:num>
  <w:num w:numId="21" w16cid:durableId="157355678">
    <w:abstractNumId w:val="34"/>
  </w:num>
  <w:num w:numId="22" w16cid:durableId="1644121206">
    <w:abstractNumId w:val="13"/>
  </w:num>
  <w:num w:numId="23" w16cid:durableId="2011179472">
    <w:abstractNumId w:val="26"/>
  </w:num>
  <w:num w:numId="24" w16cid:durableId="1260406046">
    <w:abstractNumId w:val="12"/>
  </w:num>
  <w:num w:numId="25" w16cid:durableId="1566257193">
    <w:abstractNumId w:val="35"/>
  </w:num>
  <w:num w:numId="26" w16cid:durableId="1202860387">
    <w:abstractNumId w:val="31"/>
  </w:num>
  <w:num w:numId="27" w16cid:durableId="350567189">
    <w:abstractNumId w:val="20"/>
  </w:num>
  <w:num w:numId="28" w16cid:durableId="1443450875">
    <w:abstractNumId w:val="15"/>
  </w:num>
  <w:num w:numId="29" w16cid:durableId="1799685347">
    <w:abstractNumId w:val="29"/>
  </w:num>
  <w:num w:numId="30" w16cid:durableId="886646302">
    <w:abstractNumId w:val="8"/>
  </w:num>
  <w:num w:numId="31" w16cid:durableId="518080012">
    <w:abstractNumId w:val="24"/>
  </w:num>
  <w:num w:numId="32" w16cid:durableId="558906382">
    <w:abstractNumId w:val="43"/>
  </w:num>
  <w:num w:numId="33" w16cid:durableId="690909493">
    <w:abstractNumId w:val="53"/>
  </w:num>
  <w:num w:numId="34" w16cid:durableId="583955043">
    <w:abstractNumId w:val="11"/>
  </w:num>
  <w:num w:numId="35" w16cid:durableId="1994986152">
    <w:abstractNumId w:val="25"/>
  </w:num>
  <w:num w:numId="36" w16cid:durableId="1924491233">
    <w:abstractNumId w:val="46"/>
  </w:num>
  <w:num w:numId="37" w16cid:durableId="427192128">
    <w:abstractNumId w:val="47"/>
  </w:num>
  <w:num w:numId="38" w16cid:durableId="162479408">
    <w:abstractNumId w:val="54"/>
  </w:num>
  <w:num w:numId="39" w16cid:durableId="1231765574">
    <w:abstractNumId w:val="6"/>
  </w:num>
  <w:num w:numId="40" w16cid:durableId="2053797905">
    <w:abstractNumId w:val="5"/>
  </w:num>
  <w:num w:numId="41" w16cid:durableId="784037166">
    <w:abstractNumId w:val="32"/>
  </w:num>
  <w:num w:numId="42" w16cid:durableId="783110838">
    <w:abstractNumId w:val="44"/>
  </w:num>
  <w:num w:numId="43" w16cid:durableId="151024245">
    <w:abstractNumId w:val="16"/>
  </w:num>
  <w:num w:numId="44" w16cid:durableId="695156634">
    <w:abstractNumId w:val="56"/>
  </w:num>
  <w:num w:numId="45" w16cid:durableId="314070069">
    <w:abstractNumId w:val="38"/>
  </w:num>
  <w:num w:numId="46" w16cid:durableId="963778120">
    <w:abstractNumId w:val="22"/>
  </w:num>
  <w:num w:numId="47" w16cid:durableId="519323659">
    <w:abstractNumId w:val="1"/>
  </w:num>
  <w:num w:numId="48" w16cid:durableId="1413578367">
    <w:abstractNumId w:val="36"/>
  </w:num>
  <w:num w:numId="49" w16cid:durableId="2040467426">
    <w:abstractNumId w:val="39"/>
  </w:num>
  <w:num w:numId="50" w16cid:durableId="575359473">
    <w:abstractNumId w:val="40"/>
  </w:num>
  <w:num w:numId="51" w16cid:durableId="1816532554">
    <w:abstractNumId w:val="57"/>
  </w:num>
  <w:num w:numId="52" w16cid:durableId="1072459644">
    <w:abstractNumId w:val="3"/>
  </w:num>
  <w:num w:numId="53" w16cid:durableId="1308823198">
    <w:abstractNumId w:val="14"/>
  </w:num>
  <w:num w:numId="54" w16cid:durableId="1718359909">
    <w:abstractNumId w:val="51"/>
  </w:num>
  <w:num w:numId="55" w16cid:durableId="109403878">
    <w:abstractNumId w:val="42"/>
  </w:num>
  <w:num w:numId="56" w16cid:durableId="406080176">
    <w:abstractNumId w:val="50"/>
  </w:num>
  <w:num w:numId="57" w16cid:durableId="971714083">
    <w:abstractNumId w:val="0"/>
  </w:num>
  <w:num w:numId="58" w16cid:durableId="544803779">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8D"/>
    <w:rsid w:val="00001075"/>
    <w:rsid w:val="00003EA6"/>
    <w:rsid w:val="000050C1"/>
    <w:rsid w:val="0000570D"/>
    <w:rsid w:val="000059F7"/>
    <w:rsid w:val="00011C05"/>
    <w:rsid w:val="00013874"/>
    <w:rsid w:val="00022694"/>
    <w:rsid w:val="00032687"/>
    <w:rsid w:val="000353F1"/>
    <w:rsid w:val="000355E9"/>
    <w:rsid w:val="00035A01"/>
    <w:rsid w:val="000423DD"/>
    <w:rsid w:val="00043C78"/>
    <w:rsid w:val="00043DF8"/>
    <w:rsid w:val="00045A81"/>
    <w:rsid w:val="00045FD8"/>
    <w:rsid w:val="00047D5F"/>
    <w:rsid w:val="00050A51"/>
    <w:rsid w:val="00050DD2"/>
    <w:rsid w:val="00051FF4"/>
    <w:rsid w:val="00052AA9"/>
    <w:rsid w:val="00055436"/>
    <w:rsid w:val="00061367"/>
    <w:rsid w:val="00061FD1"/>
    <w:rsid w:val="00062BD1"/>
    <w:rsid w:val="000658C9"/>
    <w:rsid w:val="0007144E"/>
    <w:rsid w:val="00072169"/>
    <w:rsid w:val="00072E20"/>
    <w:rsid w:val="0007799F"/>
    <w:rsid w:val="000804B1"/>
    <w:rsid w:val="00083607"/>
    <w:rsid w:val="00083774"/>
    <w:rsid w:val="00084B88"/>
    <w:rsid w:val="000852EA"/>
    <w:rsid w:val="000864AF"/>
    <w:rsid w:val="0008684A"/>
    <w:rsid w:val="00086B25"/>
    <w:rsid w:val="000878D9"/>
    <w:rsid w:val="000906E2"/>
    <w:rsid w:val="000912F6"/>
    <w:rsid w:val="00095505"/>
    <w:rsid w:val="000A1354"/>
    <w:rsid w:val="000A3114"/>
    <w:rsid w:val="000A6ACE"/>
    <w:rsid w:val="000B3D8A"/>
    <w:rsid w:val="000B5866"/>
    <w:rsid w:val="000B6713"/>
    <w:rsid w:val="000C12A9"/>
    <w:rsid w:val="000C4975"/>
    <w:rsid w:val="000C7ED9"/>
    <w:rsid w:val="000D1BC9"/>
    <w:rsid w:val="000D1D41"/>
    <w:rsid w:val="000D1D43"/>
    <w:rsid w:val="000D59EC"/>
    <w:rsid w:val="000D5B92"/>
    <w:rsid w:val="000D6000"/>
    <w:rsid w:val="000D7BFA"/>
    <w:rsid w:val="000E1E3A"/>
    <w:rsid w:val="000E557C"/>
    <w:rsid w:val="000E6369"/>
    <w:rsid w:val="000E656A"/>
    <w:rsid w:val="000E71EA"/>
    <w:rsid w:val="000E74F2"/>
    <w:rsid w:val="000F0E27"/>
    <w:rsid w:val="000F3234"/>
    <w:rsid w:val="000F461E"/>
    <w:rsid w:val="000F66B0"/>
    <w:rsid w:val="000F6993"/>
    <w:rsid w:val="000F7524"/>
    <w:rsid w:val="0010065A"/>
    <w:rsid w:val="001014C7"/>
    <w:rsid w:val="001020AA"/>
    <w:rsid w:val="00107111"/>
    <w:rsid w:val="001079C8"/>
    <w:rsid w:val="00107B06"/>
    <w:rsid w:val="001117AD"/>
    <w:rsid w:val="00113025"/>
    <w:rsid w:val="00113D15"/>
    <w:rsid w:val="00113D3A"/>
    <w:rsid w:val="0011431D"/>
    <w:rsid w:val="0012070B"/>
    <w:rsid w:val="001230B7"/>
    <w:rsid w:val="00123558"/>
    <w:rsid w:val="00125195"/>
    <w:rsid w:val="00125917"/>
    <w:rsid w:val="00130500"/>
    <w:rsid w:val="00130C89"/>
    <w:rsid w:val="001325EF"/>
    <w:rsid w:val="00132A16"/>
    <w:rsid w:val="0013392B"/>
    <w:rsid w:val="00134BD1"/>
    <w:rsid w:val="00137DF9"/>
    <w:rsid w:val="00140A34"/>
    <w:rsid w:val="00141ADE"/>
    <w:rsid w:val="00141E90"/>
    <w:rsid w:val="00144BE8"/>
    <w:rsid w:val="00151D59"/>
    <w:rsid w:val="00152282"/>
    <w:rsid w:val="00152484"/>
    <w:rsid w:val="00152BDF"/>
    <w:rsid w:val="001555FA"/>
    <w:rsid w:val="001556AA"/>
    <w:rsid w:val="00156DD3"/>
    <w:rsid w:val="001570CA"/>
    <w:rsid w:val="00157E43"/>
    <w:rsid w:val="00164BDF"/>
    <w:rsid w:val="00170516"/>
    <w:rsid w:val="00170A60"/>
    <w:rsid w:val="00171350"/>
    <w:rsid w:val="00171483"/>
    <w:rsid w:val="00171EB7"/>
    <w:rsid w:val="00173EAE"/>
    <w:rsid w:val="00173F5A"/>
    <w:rsid w:val="001807B9"/>
    <w:rsid w:val="00182359"/>
    <w:rsid w:val="00182B39"/>
    <w:rsid w:val="0018720F"/>
    <w:rsid w:val="001900C1"/>
    <w:rsid w:val="0019296C"/>
    <w:rsid w:val="00196F94"/>
    <w:rsid w:val="001A045C"/>
    <w:rsid w:val="001A276F"/>
    <w:rsid w:val="001A3065"/>
    <w:rsid w:val="001A371E"/>
    <w:rsid w:val="001A6068"/>
    <w:rsid w:val="001A68A5"/>
    <w:rsid w:val="001B3371"/>
    <w:rsid w:val="001B3598"/>
    <w:rsid w:val="001B6E27"/>
    <w:rsid w:val="001C1593"/>
    <w:rsid w:val="001C19EB"/>
    <w:rsid w:val="001C322B"/>
    <w:rsid w:val="001C4D8F"/>
    <w:rsid w:val="001C4DC1"/>
    <w:rsid w:val="001C78FF"/>
    <w:rsid w:val="001D00E0"/>
    <w:rsid w:val="001D01ED"/>
    <w:rsid w:val="001D0C15"/>
    <w:rsid w:val="001D1960"/>
    <w:rsid w:val="001D26B3"/>
    <w:rsid w:val="001D2F2B"/>
    <w:rsid w:val="001D3BC8"/>
    <w:rsid w:val="001D4119"/>
    <w:rsid w:val="001D5588"/>
    <w:rsid w:val="001D629D"/>
    <w:rsid w:val="001D6954"/>
    <w:rsid w:val="001D73C7"/>
    <w:rsid w:val="001E0C01"/>
    <w:rsid w:val="001E0F67"/>
    <w:rsid w:val="001E341C"/>
    <w:rsid w:val="001E3CC4"/>
    <w:rsid w:val="001E5EF0"/>
    <w:rsid w:val="001F2498"/>
    <w:rsid w:val="001F7BA8"/>
    <w:rsid w:val="0020003E"/>
    <w:rsid w:val="0020567B"/>
    <w:rsid w:val="002066E6"/>
    <w:rsid w:val="00207194"/>
    <w:rsid w:val="00210D4A"/>
    <w:rsid w:val="00210F55"/>
    <w:rsid w:val="00211DBE"/>
    <w:rsid w:val="002153F5"/>
    <w:rsid w:val="00216C9C"/>
    <w:rsid w:val="0022140D"/>
    <w:rsid w:val="00223A5B"/>
    <w:rsid w:val="002258F2"/>
    <w:rsid w:val="0022749B"/>
    <w:rsid w:val="002279BC"/>
    <w:rsid w:val="00231492"/>
    <w:rsid w:val="002327E5"/>
    <w:rsid w:val="00233A9A"/>
    <w:rsid w:val="0023754E"/>
    <w:rsid w:val="00242589"/>
    <w:rsid w:val="00244513"/>
    <w:rsid w:val="00244E62"/>
    <w:rsid w:val="002457B7"/>
    <w:rsid w:val="00247228"/>
    <w:rsid w:val="00251701"/>
    <w:rsid w:val="00252B64"/>
    <w:rsid w:val="00253C95"/>
    <w:rsid w:val="00255E40"/>
    <w:rsid w:val="002663DD"/>
    <w:rsid w:val="002715DF"/>
    <w:rsid w:val="00271D1A"/>
    <w:rsid w:val="002726B0"/>
    <w:rsid w:val="0027327A"/>
    <w:rsid w:val="00273469"/>
    <w:rsid w:val="00273AC7"/>
    <w:rsid w:val="00275409"/>
    <w:rsid w:val="00276614"/>
    <w:rsid w:val="00277B67"/>
    <w:rsid w:val="00282302"/>
    <w:rsid w:val="002845FF"/>
    <w:rsid w:val="00286A0F"/>
    <w:rsid w:val="00291470"/>
    <w:rsid w:val="00291C3E"/>
    <w:rsid w:val="00291E13"/>
    <w:rsid w:val="00291FF0"/>
    <w:rsid w:val="00292767"/>
    <w:rsid w:val="00292DB7"/>
    <w:rsid w:val="00293FD7"/>
    <w:rsid w:val="00294EC6"/>
    <w:rsid w:val="0029641A"/>
    <w:rsid w:val="00297FE3"/>
    <w:rsid w:val="002A2724"/>
    <w:rsid w:val="002A2ACC"/>
    <w:rsid w:val="002A3103"/>
    <w:rsid w:val="002A363E"/>
    <w:rsid w:val="002A38B6"/>
    <w:rsid w:val="002B0465"/>
    <w:rsid w:val="002B1123"/>
    <w:rsid w:val="002B1B4B"/>
    <w:rsid w:val="002B4C8D"/>
    <w:rsid w:val="002B6518"/>
    <w:rsid w:val="002B6690"/>
    <w:rsid w:val="002C0F5C"/>
    <w:rsid w:val="002C2BA0"/>
    <w:rsid w:val="002C4E2C"/>
    <w:rsid w:val="002C7123"/>
    <w:rsid w:val="002D1D71"/>
    <w:rsid w:val="002D4B51"/>
    <w:rsid w:val="002D7821"/>
    <w:rsid w:val="002E3423"/>
    <w:rsid w:val="002E5BB9"/>
    <w:rsid w:val="002E5CCC"/>
    <w:rsid w:val="002F2B75"/>
    <w:rsid w:val="002F3C8D"/>
    <w:rsid w:val="002F4F3D"/>
    <w:rsid w:val="002F6EA5"/>
    <w:rsid w:val="002F754E"/>
    <w:rsid w:val="00300684"/>
    <w:rsid w:val="00301E4D"/>
    <w:rsid w:val="00302265"/>
    <w:rsid w:val="003022AF"/>
    <w:rsid w:val="00303157"/>
    <w:rsid w:val="00303A8E"/>
    <w:rsid w:val="0030493A"/>
    <w:rsid w:val="00305336"/>
    <w:rsid w:val="0030682D"/>
    <w:rsid w:val="00311318"/>
    <w:rsid w:val="00315B63"/>
    <w:rsid w:val="00316857"/>
    <w:rsid w:val="003208BA"/>
    <w:rsid w:val="00322B7D"/>
    <w:rsid w:val="00323011"/>
    <w:rsid w:val="003231F7"/>
    <w:rsid w:val="0032355B"/>
    <w:rsid w:val="00323875"/>
    <w:rsid w:val="00324AA5"/>
    <w:rsid w:val="00325EB1"/>
    <w:rsid w:val="00326912"/>
    <w:rsid w:val="00330923"/>
    <w:rsid w:val="00335C87"/>
    <w:rsid w:val="00336A65"/>
    <w:rsid w:val="00337361"/>
    <w:rsid w:val="00340341"/>
    <w:rsid w:val="00341022"/>
    <w:rsid w:val="003441C4"/>
    <w:rsid w:val="003453EE"/>
    <w:rsid w:val="003466E5"/>
    <w:rsid w:val="00353303"/>
    <w:rsid w:val="00353C7F"/>
    <w:rsid w:val="00355190"/>
    <w:rsid w:val="00356996"/>
    <w:rsid w:val="00360DA4"/>
    <w:rsid w:val="00361560"/>
    <w:rsid w:val="00361E9B"/>
    <w:rsid w:val="00366643"/>
    <w:rsid w:val="00374C34"/>
    <w:rsid w:val="003814EC"/>
    <w:rsid w:val="003859AC"/>
    <w:rsid w:val="00386C80"/>
    <w:rsid w:val="003874CB"/>
    <w:rsid w:val="00387612"/>
    <w:rsid w:val="00396EAC"/>
    <w:rsid w:val="003974CD"/>
    <w:rsid w:val="003A0565"/>
    <w:rsid w:val="003A1284"/>
    <w:rsid w:val="003A337D"/>
    <w:rsid w:val="003A4E85"/>
    <w:rsid w:val="003A5F1D"/>
    <w:rsid w:val="003A774E"/>
    <w:rsid w:val="003A797B"/>
    <w:rsid w:val="003B05B8"/>
    <w:rsid w:val="003B0987"/>
    <w:rsid w:val="003B1856"/>
    <w:rsid w:val="003B3ED6"/>
    <w:rsid w:val="003C48F1"/>
    <w:rsid w:val="003C52F7"/>
    <w:rsid w:val="003C6678"/>
    <w:rsid w:val="003C72C4"/>
    <w:rsid w:val="003C79AE"/>
    <w:rsid w:val="003C7B1E"/>
    <w:rsid w:val="003D1480"/>
    <w:rsid w:val="003D1EE3"/>
    <w:rsid w:val="003D42E4"/>
    <w:rsid w:val="003D5AA2"/>
    <w:rsid w:val="003D6459"/>
    <w:rsid w:val="003D77DD"/>
    <w:rsid w:val="003E1F58"/>
    <w:rsid w:val="003E269C"/>
    <w:rsid w:val="003E6C0A"/>
    <w:rsid w:val="003E781C"/>
    <w:rsid w:val="003F44DE"/>
    <w:rsid w:val="003F6FD9"/>
    <w:rsid w:val="004034C1"/>
    <w:rsid w:val="00422809"/>
    <w:rsid w:val="00424A54"/>
    <w:rsid w:val="00427277"/>
    <w:rsid w:val="00433028"/>
    <w:rsid w:val="00433F0F"/>
    <w:rsid w:val="00435C5B"/>
    <w:rsid w:val="004367CD"/>
    <w:rsid w:val="00437667"/>
    <w:rsid w:val="004405AB"/>
    <w:rsid w:val="004427B4"/>
    <w:rsid w:val="00444F90"/>
    <w:rsid w:val="0044608E"/>
    <w:rsid w:val="00447F1D"/>
    <w:rsid w:val="004521F2"/>
    <w:rsid w:val="004523D8"/>
    <w:rsid w:val="00452F36"/>
    <w:rsid w:val="00454B94"/>
    <w:rsid w:val="00455E35"/>
    <w:rsid w:val="00456747"/>
    <w:rsid w:val="00460998"/>
    <w:rsid w:val="00461F7D"/>
    <w:rsid w:val="004627F4"/>
    <w:rsid w:val="00465B8B"/>
    <w:rsid w:val="0047149F"/>
    <w:rsid w:val="0047570E"/>
    <w:rsid w:val="00475864"/>
    <w:rsid w:val="004816B7"/>
    <w:rsid w:val="00482BC8"/>
    <w:rsid w:val="00482F62"/>
    <w:rsid w:val="00485A38"/>
    <w:rsid w:val="00490331"/>
    <w:rsid w:val="00492DB4"/>
    <w:rsid w:val="00492ED0"/>
    <w:rsid w:val="004942CD"/>
    <w:rsid w:val="00494793"/>
    <w:rsid w:val="00494C19"/>
    <w:rsid w:val="00497964"/>
    <w:rsid w:val="004A015C"/>
    <w:rsid w:val="004A0493"/>
    <w:rsid w:val="004A09F7"/>
    <w:rsid w:val="004A0FE0"/>
    <w:rsid w:val="004A3374"/>
    <w:rsid w:val="004A5CCA"/>
    <w:rsid w:val="004A6E90"/>
    <w:rsid w:val="004B0D69"/>
    <w:rsid w:val="004B1D12"/>
    <w:rsid w:val="004B2334"/>
    <w:rsid w:val="004B321E"/>
    <w:rsid w:val="004B4DAB"/>
    <w:rsid w:val="004B54C5"/>
    <w:rsid w:val="004C2EFF"/>
    <w:rsid w:val="004C3706"/>
    <w:rsid w:val="004D1086"/>
    <w:rsid w:val="004D1BED"/>
    <w:rsid w:val="004D7093"/>
    <w:rsid w:val="004E10EC"/>
    <w:rsid w:val="004E2D7E"/>
    <w:rsid w:val="004E5A7C"/>
    <w:rsid w:val="004E5A8B"/>
    <w:rsid w:val="004E6C12"/>
    <w:rsid w:val="004F4018"/>
    <w:rsid w:val="004F4F41"/>
    <w:rsid w:val="005009D5"/>
    <w:rsid w:val="005019B9"/>
    <w:rsid w:val="0050283E"/>
    <w:rsid w:val="005033D5"/>
    <w:rsid w:val="005034AE"/>
    <w:rsid w:val="0050376F"/>
    <w:rsid w:val="0050489A"/>
    <w:rsid w:val="0050600F"/>
    <w:rsid w:val="00506EB6"/>
    <w:rsid w:val="00507314"/>
    <w:rsid w:val="005117CC"/>
    <w:rsid w:val="00511F31"/>
    <w:rsid w:val="005128B8"/>
    <w:rsid w:val="00514B79"/>
    <w:rsid w:val="00516E9B"/>
    <w:rsid w:val="005202BF"/>
    <w:rsid w:val="00520E31"/>
    <w:rsid w:val="00520F22"/>
    <w:rsid w:val="005248CD"/>
    <w:rsid w:val="005300DC"/>
    <w:rsid w:val="00530DD3"/>
    <w:rsid w:val="00535F36"/>
    <w:rsid w:val="0053600E"/>
    <w:rsid w:val="00543C16"/>
    <w:rsid w:val="00544B29"/>
    <w:rsid w:val="00553880"/>
    <w:rsid w:val="00554B5F"/>
    <w:rsid w:val="00556E47"/>
    <w:rsid w:val="005574A8"/>
    <w:rsid w:val="00560946"/>
    <w:rsid w:val="00560EC4"/>
    <w:rsid w:val="0056235F"/>
    <w:rsid w:val="00565524"/>
    <w:rsid w:val="00573901"/>
    <w:rsid w:val="00575486"/>
    <w:rsid w:val="00580142"/>
    <w:rsid w:val="005853EF"/>
    <w:rsid w:val="00586A64"/>
    <w:rsid w:val="00586D0D"/>
    <w:rsid w:val="00587891"/>
    <w:rsid w:val="005924E9"/>
    <w:rsid w:val="00596D5F"/>
    <w:rsid w:val="00597EAA"/>
    <w:rsid w:val="005A12C7"/>
    <w:rsid w:val="005A1FF4"/>
    <w:rsid w:val="005A2CEF"/>
    <w:rsid w:val="005A76E2"/>
    <w:rsid w:val="005A7DB8"/>
    <w:rsid w:val="005B0FB7"/>
    <w:rsid w:val="005B233C"/>
    <w:rsid w:val="005C07A1"/>
    <w:rsid w:val="005C084B"/>
    <w:rsid w:val="005C3F47"/>
    <w:rsid w:val="005C4607"/>
    <w:rsid w:val="005C5713"/>
    <w:rsid w:val="005C5E03"/>
    <w:rsid w:val="005C6376"/>
    <w:rsid w:val="005C71ED"/>
    <w:rsid w:val="005D00B3"/>
    <w:rsid w:val="005D09B5"/>
    <w:rsid w:val="005D0DFF"/>
    <w:rsid w:val="005D13B0"/>
    <w:rsid w:val="005D186F"/>
    <w:rsid w:val="005D1979"/>
    <w:rsid w:val="005D3B71"/>
    <w:rsid w:val="005D4A56"/>
    <w:rsid w:val="005D5202"/>
    <w:rsid w:val="005D7B4D"/>
    <w:rsid w:val="005E05BD"/>
    <w:rsid w:val="005E101E"/>
    <w:rsid w:val="005E2336"/>
    <w:rsid w:val="005E47C2"/>
    <w:rsid w:val="005E55C7"/>
    <w:rsid w:val="005E60C3"/>
    <w:rsid w:val="005E7B9D"/>
    <w:rsid w:val="005F19A5"/>
    <w:rsid w:val="005F409B"/>
    <w:rsid w:val="005F422B"/>
    <w:rsid w:val="005F518C"/>
    <w:rsid w:val="005F60B4"/>
    <w:rsid w:val="00605AAF"/>
    <w:rsid w:val="00610B9D"/>
    <w:rsid w:val="00613475"/>
    <w:rsid w:val="00613705"/>
    <w:rsid w:val="006138FA"/>
    <w:rsid w:val="006140A9"/>
    <w:rsid w:val="006143C4"/>
    <w:rsid w:val="00614D43"/>
    <w:rsid w:val="0061577F"/>
    <w:rsid w:val="006214B1"/>
    <w:rsid w:val="00623B9D"/>
    <w:rsid w:val="00627020"/>
    <w:rsid w:val="00633367"/>
    <w:rsid w:val="00635A8B"/>
    <w:rsid w:val="00643244"/>
    <w:rsid w:val="00643671"/>
    <w:rsid w:val="006519A6"/>
    <w:rsid w:val="006519FB"/>
    <w:rsid w:val="00653291"/>
    <w:rsid w:val="00655797"/>
    <w:rsid w:val="0066030D"/>
    <w:rsid w:val="00662DF9"/>
    <w:rsid w:val="00662FAC"/>
    <w:rsid w:val="006634E1"/>
    <w:rsid w:val="00664B2C"/>
    <w:rsid w:val="006656E6"/>
    <w:rsid w:val="00665A4C"/>
    <w:rsid w:val="00665D28"/>
    <w:rsid w:val="00670DC6"/>
    <w:rsid w:val="00671C95"/>
    <w:rsid w:val="0067264F"/>
    <w:rsid w:val="00673831"/>
    <w:rsid w:val="006825A6"/>
    <w:rsid w:val="006827BC"/>
    <w:rsid w:val="00685EB4"/>
    <w:rsid w:val="00686381"/>
    <w:rsid w:val="00687DA5"/>
    <w:rsid w:val="006907E9"/>
    <w:rsid w:val="0069138B"/>
    <w:rsid w:val="00692711"/>
    <w:rsid w:val="00693532"/>
    <w:rsid w:val="00693A45"/>
    <w:rsid w:val="006A1920"/>
    <w:rsid w:val="006A3C57"/>
    <w:rsid w:val="006B0195"/>
    <w:rsid w:val="006B0351"/>
    <w:rsid w:val="006B0CD9"/>
    <w:rsid w:val="006B1C0F"/>
    <w:rsid w:val="006B301E"/>
    <w:rsid w:val="006B4126"/>
    <w:rsid w:val="006B5AA7"/>
    <w:rsid w:val="006B5EB8"/>
    <w:rsid w:val="006B6530"/>
    <w:rsid w:val="006C023D"/>
    <w:rsid w:val="006C03E7"/>
    <w:rsid w:val="006C398A"/>
    <w:rsid w:val="006D0E26"/>
    <w:rsid w:val="006D3875"/>
    <w:rsid w:val="006D3ACA"/>
    <w:rsid w:val="006D4787"/>
    <w:rsid w:val="006D6125"/>
    <w:rsid w:val="006D6253"/>
    <w:rsid w:val="006E2566"/>
    <w:rsid w:val="006E25F7"/>
    <w:rsid w:val="006E3372"/>
    <w:rsid w:val="006E3C04"/>
    <w:rsid w:val="006E61E8"/>
    <w:rsid w:val="006E75DD"/>
    <w:rsid w:val="006F1045"/>
    <w:rsid w:val="006F273A"/>
    <w:rsid w:val="006F6EB2"/>
    <w:rsid w:val="00707ED4"/>
    <w:rsid w:val="00711471"/>
    <w:rsid w:val="007144D4"/>
    <w:rsid w:val="007146C9"/>
    <w:rsid w:val="00715D37"/>
    <w:rsid w:val="00715E5F"/>
    <w:rsid w:val="00717044"/>
    <w:rsid w:val="00721DB9"/>
    <w:rsid w:val="007226DF"/>
    <w:rsid w:val="00724E06"/>
    <w:rsid w:val="00725E6F"/>
    <w:rsid w:val="00733902"/>
    <w:rsid w:val="0073543F"/>
    <w:rsid w:val="00735723"/>
    <w:rsid w:val="0073769F"/>
    <w:rsid w:val="007419C4"/>
    <w:rsid w:val="00751082"/>
    <w:rsid w:val="007549A3"/>
    <w:rsid w:val="007556E6"/>
    <w:rsid w:val="00760A7A"/>
    <w:rsid w:val="00761A9D"/>
    <w:rsid w:val="00766660"/>
    <w:rsid w:val="007724DE"/>
    <w:rsid w:val="007736F7"/>
    <w:rsid w:val="00780EC2"/>
    <w:rsid w:val="00780FFB"/>
    <w:rsid w:val="007816D0"/>
    <w:rsid w:val="007820A1"/>
    <w:rsid w:val="00782363"/>
    <w:rsid w:val="007824C4"/>
    <w:rsid w:val="007837E0"/>
    <w:rsid w:val="00785218"/>
    <w:rsid w:val="00785624"/>
    <w:rsid w:val="00786C22"/>
    <w:rsid w:val="007902CF"/>
    <w:rsid w:val="00793C48"/>
    <w:rsid w:val="00793D99"/>
    <w:rsid w:val="00795E03"/>
    <w:rsid w:val="007A0281"/>
    <w:rsid w:val="007A2979"/>
    <w:rsid w:val="007A368C"/>
    <w:rsid w:val="007A3F6C"/>
    <w:rsid w:val="007A448A"/>
    <w:rsid w:val="007A5666"/>
    <w:rsid w:val="007B1249"/>
    <w:rsid w:val="007B19D8"/>
    <w:rsid w:val="007B3883"/>
    <w:rsid w:val="007B4FDF"/>
    <w:rsid w:val="007C2D31"/>
    <w:rsid w:val="007C45E9"/>
    <w:rsid w:val="007C53B8"/>
    <w:rsid w:val="007D1CB1"/>
    <w:rsid w:val="007E0ED8"/>
    <w:rsid w:val="007E22CE"/>
    <w:rsid w:val="007E3231"/>
    <w:rsid w:val="007E3A50"/>
    <w:rsid w:val="007E4948"/>
    <w:rsid w:val="007E5922"/>
    <w:rsid w:val="007F07FE"/>
    <w:rsid w:val="007F08EE"/>
    <w:rsid w:val="007F0E70"/>
    <w:rsid w:val="007F371A"/>
    <w:rsid w:val="007F4D52"/>
    <w:rsid w:val="007F559D"/>
    <w:rsid w:val="007F753C"/>
    <w:rsid w:val="007F7B70"/>
    <w:rsid w:val="0080059B"/>
    <w:rsid w:val="008059BB"/>
    <w:rsid w:val="00806E24"/>
    <w:rsid w:val="008070F2"/>
    <w:rsid w:val="00810946"/>
    <w:rsid w:val="00813346"/>
    <w:rsid w:val="00813C91"/>
    <w:rsid w:val="00815F6B"/>
    <w:rsid w:val="00816217"/>
    <w:rsid w:val="00816878"/>
    <w:rsid w:val="0081729C"/>
    <w:rsid w:val="0081740F"/>
    <w:rsid w:val="00820DED"/>
    <w:rsid w:val="00821BAA"/>
    <w:rsid w:val="008221C1"/>
    <w:rsid w:val="00823935"/>
    <w:rsid w:val="00823FC3"/>
    <w:rsid w:val="00825745"/>
    <w:rsid w:val="00826584"/>
    <w:rsid w:val="008272B1"/>
    <w:rsid w:val="00827854"/>
    <w:rsid w:val="008313EC"/>
    <w:rsid w:val="008357C8"/>
    <w:rsid w:val="008375AC"/>
    <w:rsid w:val="00841CC4"/>
    <w:rsid w:val="00842739"/>
    <w:rsid w:val="008442A6"/>
    <w:rsid w:val="00846CAE"/>
    <w:rsid w:val="00846D31"/>
    <w:rsid w:val="00847076"/>
    <w:rsid w:val="008515AF"/>
    <w:rsid w:val="00851CD5"/>
    <w:rsid w:val="00853958"/>
    <w:rsid w:val="00853ACE"/>
    <w:rsid w:val="00855F64"/>
    <w:rsid w:val="008609B0"/>
    <w:rsid w:val="00865F4E"/>
    <w:rsid w:val="00866E2C"/>
    <w:rsid w:val="00877BDD"/>
    <w:rsid w:val="00880E8D"/>
    <w:rsid w:val="008818C0"/>
    <w:rsid w:val="00881B3B"/>
    <w:rsid w:val="008835D1"/>
    <w:rsid w:val="008836D3"/>
    <w:rsid w:val="008863EA"/>
    <w:rsid w:val="00890B77"/>
    <w:rsid w:val="00893425"/>
    <w:rsid w:val="00896616"/>
    <w:rsid w:val="00896C22"/>
    <w:rsid w:val="008A2E1D"/>
    <w:rsid w:val="008A41E3"/>
    <w:rsid w:val="008B0FDB"/>
    <w:rsid w:val="008C1703"/>
    <w:rsid w:val="008C29C6"/>
    <w:rsid w:val="008C2C69"/>
    <w:rsid w:val="008D03B8"/>
    <w:rsid w:val="008D14AA"/>
    <w:rsid w:val="008D2B53"/>
    <w:rsid w:val="008D3276"/>
    <w:rsid w:val="008D5EAD"/>
    <w:rsid w:val="008D601B"/>
    <w:rsid w:val="008D69ED"/>
    <w:rsid w:val="008E0146"/>
    <w:rsid w:val="008E4473"/>
    <w:rsid w:val="008E490D"/>
    <w:rsid w:val="008E5D9B"/>
    <w:rsid w:val="008E5F96"/>
    <w:rsid w:val="008E6D01"/>
    <w:rsid w:val="008F327C"/>
    <w:rsid w:val="008F3D00"/>
    <w:rsid w:val="008F71BE"/>
    <w:rsid w:val="0090029C"/>
    <w:rsid w:val="00900610"/>
    <w:rsid w:val="00900D66"/>
    <w:rsid w:val="00901F2F"/>
    <w:rsid w:val="009029F0"/>
    <w:rsid w:val="00903190"/>
    <w:rsid w:val="00906F5D"/>
    <w:rsid w:val="0090740D"/>
    <w:rsid w:val="00907BCB"/>
    <w:rsid w:val="0091041D"/>
    <w:rsid w:val="00910567"/>
    <w:rsid w:val="00912468"/>
    <w:rsid w:val="00914B75"/>
    <w:rsid w:val="00915DAC"/>
    <w:rsid w:val="00920462"/>
    <w:rsid w:val="00924FB8"/>
    <w:rsid w:val="00926F2C"/>
    <w:rsid w:val="00932B32"/>
    <w:rsid w:val="00934D47"/>
    <w:rsid w:val="009360CD"/>
    <w:rsid w:val="00941B41"/>
    <w:rsid w:val="00941C09"/>
    <w:rsid w:val="0094375E"/>
    <w:rsid w:val="00944610"/>
    <w:rsid w:val="009446DF"/>
    <w:rsid w:val="00944755"/>
    <w:rsid w:val="00945BF3"/>
    <w:rsid w:val="00946599"/>
    <w:rsid w:val="009468DE"/>
    <w:rsid w:val="00954306"/>
    <w:rsid w:val="00957DEE"/>
    <w:rsid w:val="009671DF"/>
    <w:rsid w:val="00972056"/>
    <w:rsid w:val="009729C1"/>
    <w:rsid w:val="00976385"/>
    <w:rsid w:val="009831AD"/>
    <w:rsid w:val="0098535F"/>
    <w:rsid w:val="00990AE3"/>
    <w:rsid w:val="00994ED2"/>
    <w:rsid w:val="00995693"/>
    <w:rsid w:val="009A1BAC"/>
    <w:rsid w:val="009A203F"/>
    <w:rsid w:val="009A41FF"/>
    <w:rsid w:val="009A484F"/>
    <w:rsid w:val="009A54AB"/>
    <w:rsid w:val="009A6613"/>
    <w:rsid w:val="009A7690"/>
    <w:rsid w:val="009B19BC"/>
    <w:rsid w:val="009B4F17"/>
    <w:rsid w:val="009B7FD7"/>
    <w:rsid w:val="009C423E"/>
    <w:rsid w:val="009C4A00"/>
    <w:rsid w:val="009C52DF"/>
    <w:rsid w:val="009D1A56"/>
    <w:rsid w:val="009D376E"/>
    <w:rsid w:val="009D5403"/>
    <w:rsid w:val="009D541F"/>
    <w:rsid w:val="009E1DA2"/>
    <w:rsid w:val="009E5893"/>
    <w:rsid w:val="009E629A"/>
    <w:rsid w:val="009F067A"/>
    <w:rsid w:val="009F0EFC"/>
    <w:rsid w:val="009F16B4"/>
    <w:rsid w:val="009F225F"/>
    <w:rsid w:val="009F2F9C"/>
    <w:rsid w:val="009F5030"/>
    <w:rsid w:val="009F5DD6"/>
    <w:rsid w:val="009F6522"/>
    <w:rsid w:val="00A008D4"/>
    <w:rsid w:val="00A00DD7"/>
    <w:rsid w:val="00A022A6"/>
    <w:rsid w:val="00A0556C"/>
    <w:rsid w:val="00A06F8B"/>
    <w:rsid w:val="00A149BB"/>
    <w:rsid w:val="00A151A5"/>
    <w:rsid w:val="00A16DF0"/>
    <w:rsid w:val="00A16E69"/>
    <w:rsid w:val="00A2122B"/>
    <w:rsid w:val="00A21795"/>
    <w:rsid w:val="00A23EF3"/>
    <w:rsid w:val="00A2489B"/>
    <w:rsid w:val="00A2608C"/>
    <w:rsid w:val="00A26EDA"/>
    <w:rsid w:val="00A305C6"/>
    <w:rsid w:val="00A311A2"/>
    <w:rsid w:val="00A339C4"/>
    <w:rsid w:val="00A36DDD"/>
    <w:rsid w:val="00A40172"/>
    <w:rsid w:val="00A4418A"/>
    <w:rsid w:val="00A455B5"/>
    <w:rsid w:val="00A458BA"/>
    <w:rsid w:val="00A46FD8"/>
    <w:rsid w:val="00A476A5"/>
    <w:rsid w:val="00A506D9"/>
    <w:rsid w:val="00A52057"/>
    <w:rsid w:val="00A54C2A"/>
    <w:rsid w:val="00A571AE"/>
    <w:rsid w:val="00A57BCA"/>
    <w:rsid w:val="00A60CDC"/>
    <w:rsid w:val="00A63793"/>
    <w:rsid w:val="00A655C0"/>
    <w:rsid w:val="00A70F7A"/>
    <w:rsid w:val="00A71B5E"/>
    <w:rsid w:val="00A71C92"/>
    <w:rsid w:val="00A7241C"/>
    <w:rsid w:val="00A729EF"/>
    <w:rsid w:val="00A7421F"/>
    <w:rsid w:val="00A74340"/>
    <w:rsid w:val="00A74D65"/>
    <w:rsid w:val="00A768C7"/>
    <w:rsid w:val="00A76911"/>
    <w:rsid w:val="00A7703D"/>
    <w:rsid w:val="00A81C75"/>
    <w:rsid w:val="00A866A5"/>
    <w:rsid w:val="00A900E2"/>
    <w:rsid w:val="00A931F6"/>
    <w:rsid w:val="00A93EAB"/>
    <w:rsid w:val="00A96001"/>
    <w:rsid w:val="00A9604B"/>
    <w:rsid w:val="00A96B35"/>
    <w:rsid w:val="00AA14F3"/>
    <w:rsid w:val="00AA3E6C"/>
    <w:rsid w:val="00AA72CF"/>
    <w:rsid w:val="00AB06EE"/>
    <w:rsid w:val="00AB4E5B"/>
    <w:rsid w:val="00AB56C4"/>
    <w:rsid w:val="00AB5813"/>
    <w:rsid w:val="00AC0DB5"/>
    <w:rsid w:val="00AC44BA"/>
    <w:rsid w:val="00AC5308"/>
    <w:rsid w:val="00AC54CF"/>
    <w:rsid w:val="00AC7F23"/>
    <w:rsid w:val="00AD1612"/>
    <w:rsid w:val="00AD165B"/>
    <w:rsid w:val="00AD2FF5"/>
    <w:rsid w:val="00AD4024"/>
    <w:rsid w:val="00AE07D1"/>
    <w:rsid w:val="00AE2B43"/>
    <w:rsid w:val="00AE32D9"/>
    <w:rsid w:val="00AE4957"/>
    <w:rsid w:val="00AF1035"/>
    <w:rsid w:val="00B05245"/>
    <w:rsid w:val="00B06E06"/>
    <w:rsid w:val="00B10B94"/>
    <w:rsid w:val="00B131CA"/>
    <w:rsid w:val="00B16174"/>
    <w:rsid w:val="00B167FF"/>
    <w:rsid w:val="00B168CC"/>
    <w:rsid w:val="00B1690B"/>
    <w:rsid w:val="00B20A82"/>
    <w:rsid w:val="00B23FEB"/>
    <w:rsid w:val="00B2428D"/>
    <w:rsid w:val="00B252E6"/>
    <w:rsid w:val="00B256A4"/>
    <w:rsid w:val="00B25AEC"/>
    <w:rsid w:val="00B25C8E"/>
    <w:rsid w:val="00B26375"/>
    <w:rsid w:val="00B30301"/>
    <w:rsid w:val="00B30C29"/>
    <w:rsid w:val="00B3475F"/>
    <w:rsid w:val="00B35E8A"/>
    <w:rsid w:val="00B361AC"/>
    <w:rsid w:val="00B410B5"/>
    <w:rsid w:val="00B45395"/>
    <w:rsid w:val="00B47283"/>
    <w:rsid w:val="00B51594"/>
    <w:rsid w:val="00B55218"/>
    <w:rsid w:val="00B57162"/>
    <w:rsid w:val="00B574E4"/>
    <w:rsid w:val="00B64C4C"/>
    <w:rsid w:val="00B71F92"/>
    <w:rsid w:val="00B725D2"/>
    <w:rsid w:val="00B72706"/>
    <w:rsid w:val="00B73E9E"/>
    <w:rsid w:val="00B75BF8"/>
    <w:rsid w:val="00B764A5"/>
    <w:rsid w:val="00B770D4"/>
    <w:rsid w:val="00B807ED"/>
    <w:rsid w:val="00B829E4"/>
    <w:rsid w:val="00B86822"/>
    <w:rsid w:val="00B872A0"/>
    <w:rsid w:val="00B93665"/>
    <w:rsid w:val="00B9376D"/>
    <w:rsid w:val="00B95156"/>
    <w:rsid w:val="00B95CED"/>
    <w:rsid w:val="00B96D23"/>
    <w:rsid w:val="00BA03D6"/>
    <w:rsid w:val="00BA0886"/>
    <w:rsid w:val="00BA44C9"/>
    <w:rsid w:val="00BA458D"/>
    <w:rsid w:val="00BA4862"/>
    <w:rsid w:val="00BB00DF"/>
    <w:rsid w:val="00BB021E"/>
    <w:rsid w:val="00BB2044"/>
    <w:rsid w:val="00BB4410"/>
    <w:rsid w:val="00BB483B"/>
    <w:rsid w:val="00BB5D71"/>
    <w:rsid w:val="00BB6933"/>
    <w:rsid w:val="00BC1B65"/>
    <w:rsid w:val="00BC4D22"/>
    <w:rsid w:val="00BC4F9C"/>
    <w:rsid w:val="00BC5721"/>
    <w:rsid w:val="00BD0AD8"/>
    <w:rsid w:val="00BD4A6B"/>
    <w:rsid w:val="00BD5843"/>
    <w:rsid w:val="00BD5C6B"/>
    <w:rsid w:val="00BD6DD2"/>
    <w:rsid w:val="00BD7FD9"/>
    <w:rsid w:val="00BE07A5"/>
    <w:rsid w:val="00BE11C7"/>
    <w:rsid w:val="00BE145B"/>
    <w:rsid w:val="00BE17EE"/>
    <w:rsid w:val="00BE211F"/>
    <w:rsid w:val="00BE5042"/>
    <w:rsid w:val="00BF1761"/>
    <w:rsid w:val="00BF5CDA"/>
    <w:rsid w:val="00BF6E46"/>
    <w:rsid w:val="00BF7386"/>
    <w:rsid w:val="00C04205"/>
    <w:rsid w:val="00C044AE"/>
    <w:rsid w:val="00C05E56"/>
    <w:rsid w:val="00C06C85"/>
    <w:rsid w:val="00C06CEE"/>
    <w:rsid w:val="00C07935"/>
    <w:rsid w:val="00C07CB6"/>
    <w:rsid w:val="00C102CD"/>
    <w:rsid w:val="00C12791"/>
    <w:rsid w:val="00C13422"/>
    <w:rsid w:val="00C16264"/>
    <w:rsid w:val="00C16D78"/>
    <w:rsid w:val="00C21E95"/>
    <w:rsid w:val="00C24FF6"/>
    <w:rsid w:val="00C2630E"/>
    <w:rsid w:val="00C27A2F"/>
    <w:rsid w:val="00C36BE9"/>
    <w:rsid w:val="00C375AA"/>
    <w:rsid w:val="00C41466"/>
    <w:rsid w:val="00C41C96"/>
    <w:rsid w:val="00C42EDB"/>
    <w:rsid w:val="00C47608"/>
    <w:rsid w:val="00C51D0F"/>
    <w:rsid w:val="00C533B7"/>
    <w:rsid w:val="00C53473"/>
    <w:rsid w:val="00C54E63"/>
    <w:rsid w:val="00C55546"/>
    <w:rsid w:val="00C557E5"/>
    <w:rsid w:val="00C5741F"/>
    <w:rsid w:val="00C60B83"/>
    <w:rsid w:val="00C61BA0"/>
    <w:rsid w:val="00C62050"/>
    <w:rsid w:val="00C6226B"/>
    <w:rsid w:val="00C62D4D"/>
    <w:rsid w:val="00C64D5E"/>
    <w:rsid w:val="00C667AA"/>
    <w:rsid w:val="00C66995"/>
    <w:rsid w:val="00C66F6F"/>
    <w:rsid w:val="00C66F94"/>
    <w:rsid w:val="00C70343"/>
    <w:rsid w:val="00C72817"/>
    <w:rsid w:val="00C7302E"/>
    <w:rsid w:val="00C821FB"/>
    <w:rsid w:val="00C845B3"/>
    <w:rsid w:val="00C87117"/>
    <w:rsid w:val="00C93428"/>
    <w:rsid w:val="00C9364F"/>
    <w:rsid w:val="00C940DE"/>
    <w:rsid w:val="00C945A0"/>
    <w:rsid w:val="00C9464B"/>
    <w:rsid w:val="00C961F1"/>
    <w:rsid w:val="00CA4E53"/>
    <w:rsid w:val="00CA5734"/>
    <w:rsid w:val="00CA5D3D"/>
    <w:rsid w:val="00CA7FD5"/>
    <w:rsid w:val="00CB4684"/>
    <w:rsid w:val="00CB690D"/>
    <w:rsid w:val="00CC1A5D"/>
    <w:rsid w:val="00CC3DBD"/>
    <w:rsid w:val="00CC55FE"/>
    <w:rsid w:val="00CC74D9"/>
    <w:rsid w:val="00CC7B55"/>
    <w:rsid w:val="00CD3B25"/>
    <w:rsid w:val="00CD5950"/>
    <w:rsid w:val="00CD5B7A"/>
    <w:rsid w:val="00CE3A1B"/>
    <w:rsid w:val="00CE3AD5"/>
    <w:rsid w:val="00CE448B"/>
    <w:rsid w:val="00CE7071"/>
    <w:rsid w:val="00CF216C"/>
    <w:rsid w:val="00CF3EDA"/>
    <w:rsid w:val="00CF6884"/>
    <w:rsid w:val="00D02499"/>
    <w:rsid w:val="00D02620"/>
    <w:rsid w:val="00D03C8B"/>
    <w:rsid w:val="00D06A40"/>
    <w:rsid w:val="00D06E18"/>
    <w:rsid w:val="00D14FF2"/>
    <w:rsid w:val="00D15A09"/>
    <w:rsid w:val="00D24C0A"/>
    <w:rsid w:val="00D24EA9"/>
    <w:rsid w:val="00D26E58"/>
    <w:rsid w:val="00D31728"/>
    <w:rsid w:val="00D32B57"/>
    <w:rsid w:val="00D35E33"/>
    <w:rsid w:val="00D45AF4"/>
    <w:rsid w:val="00D46496"/>
    <w:rsid w:val="00D46E17"/>
    <w:rsid w:val="00D511D2"/>
    <w:rsid w:val="00D534D5"/>
    <w:rsid w:val="00D5707D"/>
    <w:rsid w:val="00D570E2"/>
    <w:rsid w:val="00D5789D"/>
    <w:rsid w:val="00D642E4"/>
    <w:rsid w:val="00D66D79"/>
    <w:rsid w:val="00D71307"/>
    <w:rsid w:val="00D73C16"/>
    <w:rsid w:val="00D74532"/>
    <w:rsid w:val="00D77D29"/>
    <w:rsid w:val="00D82E43"/>
    <w:rsid w:val="00D85F84"/>
    <w:rsid w:val="00D86C08"/>
    <w:rsid w:val="00D918B7"/>
    <w:rsid w:val="00D92472"/>
    <w:rsid w:val="00DA3027"/>
    <w:rsid w:val="00DA47EE"/>
    <w:rsid w:val="00DA679E"/>
    <w:rsid w:val="00DA7EA4"/>
    <w:rsid w:val="00DA7EEA"/>
    <w:rsid w:val="00DB21A9"/>
    <w:rsid w:val="00DB553A"/>
    <w:rsid w:val="00DB6E1D"/>
    <w:rsid w:val="00DB720D"/>
    <w:rsid w:val="00DC0329"/>
    <w:rsid w:val="00DC161E"/>
    <w:rsid w:val="00DC25ED"/>
    <w:rsid w:val="00DC4E23"/>
    <w:rsid w:val="00DC76FC"/>
    <w:rsid w:val="00DD06F3"/>
    <w:rsid w:val="00DD2965"/>
    <w:rsid w:val="00DE0C24"/>
    <w:rsid w:val="00DE78C5"/>
    <w:rsid w:val="00DF1E71"/>
    <w:rsid w:val="00DF3D06"/>
    <w:rsid w:val="00DF56C4"/>
    <w:rsid w:val="00E00DBF"/>
    <w:rsid w:val="00E01369"/>
    <w:rsid w:val="00E01C40"/>
    <w:rsid w:val="00E03387"/>
    <w:rsid w:val="00E034E9"/>
    <w:rsid w:val="00E03623"/>
    <w:rsid w:val="00E10A21"/>
    <w:rsid w:val="00E12314"/>
    <w:rsid w:val="00E1304F"/>
    <w:rsid w:val="00E148B4"/>
    <w:rsid w:val="00E200B2"/>
    <w:rsid w:val="00E20FA4"/>
    <w:rsid w:val="00E240EE"/>
    <w:rsid w:val="00E24753"/>
    <w:rsid w:val="00E27554"/>
    <w:rsid w:val="00E3034F"/>
    <w:rsid w:val="00E3043F"/>
    <w:rsid w:val="00E33A5B"/>
    <w:rsid w:val="00E348D5"/>
    <w:rsid w:val="00E3576E"/>
    <w:rsid w:val="00E42183"/>
    <w:rsid w:val="00E456DD"/>
    <w:rsid w:val="00E51CB5"/>
    <w:rsid w:val="00E529DF"/>
    <w:rsid w:val="00E53FAC"/>
    <w:rsid w:val="00E55DE5"/>
    <w:rsid w:val="00E563AE"/>
    <w:rsid w:val="00E62D85"/>
    <w:rsid w:val="00E62E3D"/>
    <w:rsid w:val="00E64A39"/>
    <w:rsid w:val="00E67AA5"/>
    <w:rsid w:val="00E706EA"/>
    <w:rsid w:val="00E7100F"/>
    <w:rsid w:val="00E713E6"/>
    <w:rsid w:val="00E72488"/>
    <w:rsid w:val="00E72C46"/>
    <w:rsid w:val="00E74308"/>
    <w:rsid w:val="00E813EF"/>
    <w:rsid w:val="00E81902"/>
    <w:rsid w:val="00E81A99"/>
    <w:rsid w:val="00E81B99"/>
    <w:rsid w:val="00E841EE"/>
    <w:rsid w:val="00E92425"/>
    <w:rsid w:val="00E92887"/>
    <w:rsid w:val="00E93509"/>
    <w:rsid w:val="00E941BA"/>
    <w:rsid w:val="00E95DD2"/>
    <w:rsid w:val="00E96295"/>
    <w:rsid w:val="00E964BA"/>
    <w:rsid w:val="00E969EE"/>
    <w:rsid w:val="00EA2D5D"/>
    <w:rsid w:val="00EA330E"/>
    <w:rsid w:val="00EA39DB"/>
    <w:rsid w:val="00EA43B5"/>
    <w:rsid w:val="00EA4F7A"/>
    <w:rsid w:val="00EA697B"/>
    <w:rsid w:val="00EB02C1"/>
    <w:rsid w:val="00EB0BFD"/>
    <w:rsid w:val="00EB14D5"/>
    <w:rsid w:val="00EB352E"/>
    <w:rsid w:val="00EB63F2"/>
    <w:rsid w:val="00EB771B"/>
    <w:rsid w:val="00EB7C21"/>
    <w:rsid w:val="00EC0438"/>
    <w:rsid w:val="00EC429D"/>
    <w:rsid w:val="00EC4B3E"/>
    <w:rsid w:val="00ED22C7"/>
    <w:rsid w:val="00ED4557"/>
    <w:rsid w:val="00ED51EB"/>
    <w:rsid w:val="00EE00CE"/>
    <w:rsid w:val="00EE1EE0"/>
    <w:rsid w:val="00EE3610"/>
    <w:rsid w:val="00EE42AF"/>
    <w:rsid w:val="00EE598E"/>
    <w:rsid w:val="00EE6454"/>
    <w:rsid w:val="00EE78C8"/>
    <w:rsid w:val="00EF6E6B"/>
    <w:rsid w:val="00F0002A"/>
    <w:rsid w:val="00F002E2"/>
    <w:rsid w:val="00F01963"/>
    <w:rsid w:val="00F030E9"/>
    <w:rsid w:val="00F04203"/>
    <w:rsid w:val="00F056EC"/>
    <w:rsid w:val="00F057C2"/>
    <w:rsid w:val="00F06EE1"/>
    <w:rsid w:val="00F105F7"/>
    <w:rsid w:val="00F1437C"/>
    <w:rsid w:val="00F16E33"/>
    <w:rsid w:val="00F22655"/>
    <w:rsid w:val="00F2468E"/>
    <w:rsid w:val="00F24D0C"/>
    <w:rsid w:val="00F24F6A"/>
    <w:rsid w:val="00F25427"/>
    <w:rsid w:val="00F2697E"/>
    <w:rsid w:val="00F27A3F"/>
    <w:rsid w:val="00F302BB"/>
    <w:rsid w:val="00F304E8"/>
    <w:rsid w:val="00F33646"/>
    <w:rsid w:val="00F3500B"/>
    <w:rsid w:val="00F4087C"/>
    <w:rsid w:val="00F40AC6"/>
    <w:rsid w:val="00F42040"/>
    <w:rsid w:val="00F45EE6"/>
    <w:rsid w:val="00F47277"/>
    <w:rsid w:val="00F474BC"/>
    <w:rsid w:val="00F51358"/>
    <w:rsid w:val="00F55AD0"/>
    <w:rsid w:val="00F6258E"/>
    <w:rsid w:val="00F6297C"/>
    <w:rsid w:val="00F6458A"/>
    <w:rsid w:val="00F648BC"/>
    <w:rsid w:val="00F6611B"/>
    <w:rsid w:val="00F67665"/>
    <w:rsid w:val="00F6793C"/>
    <w:rsid w:val="00F7242D"/>
    <w:rsid w:val="00F7382E"/>
    <w:rsid w:val="00F80510"/>
    <w:rsid w:val="00F80744"/>
    <w:rsid w:val="00F81A03"/>
    <w:rsid w:val="00F860E8"/>
    <w:rsid w:val="00F8668C"/>
    <w:rsid w:val="00F92A9F"/>
    <w:rsid w:val="00F92D2D"/>
    <w:rsid w:val="00F940C7"/>
    <w:rsid w:val="00F94C0E"/>
    <w:rsid w:val="00F9792A"/>
    <w:rsid w:val="00FA6B52"/>
    <w:rsid w:val="00FA7132"/>
    <w:rsid w:val="00FA725E"/>
    <w:rsid w:val="00FA7BA9"/>
    <w:rsid w:val="00FB0467"/>
    <w:rsid w:val="00FB1871"/>
    <w:rsid w:val="00FB1FA1"/>
    <w:rsid w:val="00FB538C"/>
    <w:rsid w:val="00FB5EAB"/>
    <w:rsid w:val="00FC4CEE"/>
    <w:rsid w:val="00FC68EB"/>
    <w:rsid w:val="00FC6C81"/>
    <w:rsid w:val="00FD1CAC"/>
    <w:rsid w:val="00FD53A2"/>
    <w:rsid w:val="00FD7A3F"/>
    <w:rsid w:val="00FE0080"/>
    <w:rsid w:val="00FE032B"/>
    <w:rsid w:val="00FE0341"/>
    <w:rsid w:val="00FE0D82"/>
    <w:rsid w:val="00FE411C"/>
    <w:rsid w:val="00FE718C"/>
    <w:rsid w:val="00FF0019"/>
    <w:rsid w:val="00FF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A73E"/>
  <w15:docId w15:val="{4C2ABA2A-72F6-4C8E-89C4-73647C4B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01"/>
  </w:style>
  <w:style w:type="paragraph" w:styleId="Heading1">
    <w:name w:val="heading 1"/>
    <w:basedOn w:val="Normal"/>
    <w:next w:val="Normal"/>
    <w:link w:val="Heading1Char"/>
    <w:uiPriority w:val="9"/>
    <w:qFormat/>
    <w:rsid w:val="002152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autoRedefine/>
    <w:uiPriority w:val="9"/>
    <w:qFormat/>
    <w:rsid w:val="004C3706"/>
    <w:pPr>
      <w:numPr>
        <w:numId w:val="38"/>
      </w:numPr>
      <w:spacing w:before="100" w:beforeAutospacing="1" w:after="100" w:afterAutospacing="1" w:line="240" w:lineRule="auto"/>
      <w:ind w:left="1080"/>
      <w:jc w:val="center"/>
      <w:outlineLvl w:val="1"/>
    </w:pPr>
    <w:rPr>
      <w:rFonts w:ascii="Times New Roman" w:eastAsia="Times New Roman" w:hAnsi="Times New Roman" w:cs="Times New Roman"/>
      <w:b/>
      <w:bCs/>
      <w:color w:val="2F02BE"/>
      <w:sz w:val="36"/>
      <w:szCs w:val="36"/>
    </w:rPr>
  </w:style>
  <w:style w:type="paragraph" w:styleId="Heading3">
    <w:name w:val="heading 3"/>
    <w:basedOn w:val="Normal"/>
    <w:next w:val="Normal"/>
    <w:link w:val="Heading3Char"/>
    <w:autoRedefine/>
    <w:uiPriority w:val="9"/>
    <w:unhideWhenUsed/>
    <w:qFormat/>
    <w:rsid w:val="004A0493"/>
    <w:pPr>
      <w:keepNext/>
      <w:keepLines/>
      <w:spacing w:line="240" w:lineRule="auto"/>
      <w:outlineLvl w:val="2"/>
    </w:pPr>
    <w:rPr>
      <w:rFonts w:ascii="Times New Roman" w:eastAsia="Times New Roman" w:hAnsi="Times New Roman" w:cs="Times New Roman"/>
      <w:b/>
      <w:bCs/>
      <w:color w:val="000000" w:themeColor="text1"/>
      <w:sz w:val="26"/>
      <w:szCs w:val="24"/>
    </w:rPr>
  </w:style>
  <w:style w:type="paragraph" w:styleId="Heading4">
    <w:name w:val="heading 4"/>
    <w:basedOn w:val="Normal"/>
    <w:next w:val="Normal"/>
    <w:link w:val="Heading4Char"/>
    <w:autoRedefine/>
    <w:uiPriority w:val="9"/>
    <w:unhideWhenUsed/>
    <w:qFormat/>
    <w:rsid w:val="008D03B8"/>
    <w:pPr>
      <w:keepNext/>
      <w:keepLines/>
      <w:tabs>
        <w:tab w:val="left" w:pos="9270"/>
      </w:tabs>
      <w:spacing w:before="240" w:line="240" w:lineRule="auto"/>
      <w:outlineLvl w:val="3"/>
    </w:pPr>
    <w:rPr>
      <w:rFonts w:ascii="Times New Roman" w:eastAsiaTheme="majorEastAsia" w:hAnsi="Times New Roman" w:cstheme="majorBidi"/>
      <w:b/>
      <w:iCs/>
      <w:color w:val="4472C4" w:themeColor="accent1"/>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4C3706"/>
    <w:rPr>
      <w:rFonts w:ascii="Times New Roman" w:eastAsia="Times New Roman" w:hAnsi="Times New Roman" w:cs="Times New Roman"/>
      <w:b/>
      <w:bCs/>
      <w:color w:val="2F02BE"/>
      <w:sz w:val="36"/>
      <w:szCs w:val="36"/>
    </w:rPr>
  </w:style>
  <w:style w:type="paragraph" w:styleId="NormalWeb">
    <w:name w:val="Normal (Web)"/>
    <w:basedOn w:val="Normal"/>
    <w:uiPriority w:val="99"/>
    <w:unhideWhenUsed/>
    <w:rsid w:val="006D1C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1C8C"/>
    <w:rPr>
      <w:color w:val="0000FF"/>
      <w:u w:val="single"/>
    </w:rPr>
  </w:style>
  <w:style w:type="character" w:customStyle="1" w:styleId="Heading3Char">
    <w:name w:val="Heading 3 Char"/>
    <w:basedOn w:val="DefaultParagraphFont"/>
    <w:link w:val="Heading3"/>
    <w:uiPriority w:val="9"/>
    <w:rsid w:val="004A0493"/>
    <w:rPr>
      <w:rFonts w:ascii="Times New Roman" w:eastAsia="Times New Roman" w:hAnsi="Times New Roman" w:cs="Times New Roman"/>
      <w:b/>
      <w:bCs/>
      <w:color w:val="000000" w:themeColor="text1"/>
      <w:sz w:val="26"/>
      <w:szCs w:val="24"/>
    </w:rPr>
  </w:style>
  <w:style w:type="character" w:customStyle="1" w:styleId="Heading4Char">
    <w:name w:val="Heading 4 Char"/>
    <w:basedOn w:val="DefaultParagraphFont"/>
    <w:link w:val="Heading4"/>
    <w:uiPriority w:val="9"/>
    <w:rsid w:val="008D03B8"/>
    <w:rPr>
      <w:rFonts w:ascii="Times New Roman" w:eastAsiaTheme="majorEastAsia" w:hAnsi="Times New Roman" w:cstheme="majorBidi"/>
      <w:b/>
      <w:iCs/>
      <w:color w:val="4472C4" w:themeColor="accent1"/>
      <w:sz w:val="24"/>
    </w:rPr>
  </w:style>
  <w:style w:type="character" w:customStyle="1" w:styleId="UnresolvedMention1">
    <w:name w:val="Unresolved Mention1"/>
    <w:basedOn w:val="DefaultParagraphFont"/>
    <w:uiPriority w:val="99"/>
    <w:semiHidden/>
    <w:unhideWhenUsed/>
    <w:rsid w:val="006D1C8C"/>
    <w:rPr>
      <w:color w:val="605E5C"/>
      <w:shd w:val="clear" w:color="auto" w:fill="E1DFDD"/>
    </w:rPr>
  </w:style>
  <w:style w:type="character" w:customStyle="1" w:styleId="Heading1Char">
    <w:name w:val="Heading 1 Char"/>
    <w:basedOn w:val="DefaultParagraphFont"/>
    <w:link w:val="Heading1"/>
    <w:uiPriority w:val="9"/>
    <w:rsid w:val="002152D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5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409"/>
    <w:rPr>
      <w:rFonts w:ascii="Segoe UI" w:hAnsi="Segoe UI" w:cs="Segoe UI"/>
      <w:sz w:val="18"/>
      <w:szCs w:val="18"/>
    </w:rPr>
  </w:style>
  <w:style w:type="character" w:customStyle="1" w:styleId="UnresolvedMention2">
    <w:name w:val="Unresolved Mention2"/>
    <w:basedOn w:val="DefaultParagraphFont"/>
    <w:uiPriority w:val="99"/>
    <w:semiHidden/>
    <w:unhideWhenUsed/>
    <w:rsid w:val="001A6068"/>
    <w:rPr>
      <w:color w:val="605E5C"/>
      <w:shd w:val="clear" w:color="auto" w:fill="E1DFDD"/>
    </w:rPr>
  </w:style>
  <w:style w:type="paragraph" w:styleId="ListParagraph">
    <w:name w:val="List Paragraph"/>
    <w:basedOn w:val="Normal"/>
    <w:uiPriority w:val="34"/>
    <w:qFormat/>
    <w:rsid w:val="00906F5D"/>
    <w:pPr>
      <w:ind w:left="720"/>
      <w:contextualSpacing/>
    </w:pPr>
  </w:style>
  <w:style w:type="paragraph" w:styleId="CommentSubject">
    <w:name w:val="annotation subject"/>
    <w:basedOn w:val="CommentText"/>
    <w:next w:val="CommentText"/>
    <w:link w:val="CommentSubjectChar"/>
    <w:uiPriority w:val="99"/>
    <w:semiHidden/>
    <w:unhideWhenUsed/>
    <w:rsid w:val="00A81C75"/>
    <w:rPr>
      <w:b/>
      <w:bCs/>
    </w:rPr>
  </w:style>
  <w:style w:type="character" w:customStyle="1" w:styleId="CommentSubjectChar">
    <w:name w:val="Comment Subject Char"/>
    <w:basedOn w:val="CommentTextChar"/>
    <w:link w:val="CommentSubject"/>
    <w:uiPriority w:val="99"/>
    <w:semiHidden/>
    <w:rsid w:val="00A81C75"/>
    <w:rPr>
      <w:b/>
      <w:bCs/>
      <w:sz w:val="20"/>
      <w:szCs w:val="20"/>
    </w:rPr>
  </w:style>
  <w:style w:type="paragraph" w:styleId="TOC1">
    <w:name w:val="toc 1"/>
    <w:basedOn w:val="Normal"/>
    <w:next w:val="Normal"/>
    <w:autoRedefine/>
    <w:uiPriority w:val="39"/>
    <w:unhideWhenUsed/>
    <w:rsid w:val="008D601B"/>
    <w:pPr>
      <w:tabs>
        <w:tab w:val="right" w:pos="9350"/>
      </w:tabs>
      <w:spacing w:after="100"/>
      <w:ind w:firstLine="270"/>
    </w:pPr>
  </w:style>
  <w:style w:type="paragraph" w:styleId="TOC2">
    <w:name w:val="toc 2"/>
    <w:basedOn w:val="Normal"/>
    <w:next w:val="Normal"/>
    <w:autoRedefine/>
    <w:uiPriority w:val="39"/>
    <w:unhideWhenUsed/>
    <w:rsid w:val="00FD53A2"/>
    <w:pPr>
      <w:tabs>
        <w:tab w:val="left" w:pos="660"/>
        <w:tab w:val="right" w:pos="9350"/>
      </w:tabs>
      <w:spacing w:after="100"/>
      <w:ind w:left="220"/>
    </w:pPr>
    <w:rPr>
      <w:rFonts w:ascii="Times New Roman" w:hAnsi="Times New Roman" w:cs="Times New Roman"/>
      <w:b/>
      <w:bCs/>
      <w:noProof/>
      <w:sz w:val="28"/>
      <w:szCs w:val="28"/>
    </w:rPr>
  </w:style>
  <w:style w:type="paragraph" w:styleId="TOC3">
    <w:name w:val="toc 3"/>
    <w:basedOn w:val="Normal"/>
    <w:next w:val="Normal"/>
    <w:autoRedefine/>
    <w:uiPriority w:val="39"/>
    <w:unhideWhenUsed/>
    <w:rsid w:val="002715DF"/>
    <w:pPr>
      <w:tabs>
        <w:tab w:val="right" w:pos="9360"/>
      </w:tabs>
      <w:spacing w:after="100"/>
      <w:ind w:left="440"/>
    </w:pPr>
    <w:rPr>
      <w:rFonts w:ascii="Times New Roman" w:hAnsi="Times New Roman" w:cs="Times New Roman"/>
      <w:noProof/>
      <w:sz w:val="24"/>
      <w:szCs w:val="24"/>
    </w:rPr>
  </w:style>
  <w:style w:type="paragraph" w:styleId="TOC4">
    <w:name w:val="toc 4"/>
    <w:basedOn w:val="Normal"/>
    <w:next w:val="Normal"/>
    <w:autoRedefine/>
    <w:uiPriority w:val="39"/>
    <w:unhideWhenUsed/>
    <w:rsid w:val="007144D4"/>
    <w:pPr>
      <w:tabs>
        <w:tab w:val="right" w:pos="9350"/>
      </w:tabs>
      <w:spacing w:after="100"/>
      <w:ind w:left="660"/>
    </w:pPr>
  </w:style>
  <w:style w:type="character" w:styleId="FollowedHyperlink">
    <w:name w:val="FollowedHyperlink"/>
    <w:basedOn w:val="DefaultParagraphFont"/>
    <w:uiPriority w:val="99"/>
    <w:semiHidden/>
    <w:unhideWhenUsed/>
    <w:rsid w:val="00132A16"/>
    <w:rPr>
      <w:color w:val="954F72" w:themeColor="followedHyperlink"/>
      <w:u w:val="single"/>
    </w:rPr>
  </w:style>
  <w:style w:type="paragraph" w:styleId="Header">
    <w:name w:val="header"/>
    <w:basedOn w:val="Normal"/>
    <w:link w:val="HeaderChar"/>
    <w:uiPriority w:val="99"/>
    <w:unhideWhenUsed/>
    <w:rsid w:val="00173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AE"/>
  </w:style>
  <w:style w:type="paragraph" w:styleId="Footer">
    <w:name w:val="footer"/>
    <w:basedOn w:val="Normal"/>
    <w:link w:val="FooterChar"/>
    <w:uiPriority w:val="99"/>
    <w:unhideWhenUsed/>
    <w:rsid w:val="00173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AE"/>
  </w:style>
  <w:style w:type="paragraph" w:styleId="Revision">
    <w:name w:val="Revision"/>
    <w:hidden/>
    <w:uiPriority w:val="99"/>
    <w:semiHidden/>
    <w:rsid w:val="00751082"/>
    <w:pPr>
      <w:spacing w:after="0" w:line="240" w:lineRule="auto"/>
    </w:pPr>
  </w:style>
  <w:style w:type="paragraph" w:styleId="TOCHeading">
    <w:name w:val="TOC Heading"/>
    <w:basedOn w:val="Heading1"/>
    <w:next w:val="Normal"/>
    <w:uiPriority w:val="39"/>
    <w:unhideWhenUsed/>
    <w:qFormat/>
    <w:rsid w:val="00AB56C4"/>
    <w:pPr>
      <w:outlineLvl w:val="9"/>
    </w:pPr>
  </w:style>
  <w:style w:type="paragraph" w:styleId="NoSpacing">
    <w:name w:val="No Spacing"/>
    <w:uiPriority w:val="1"/>
    <w:qFormat/>
    <w:rsid w:val="00E12314"/>
    <w:pPr>
      <w:spacing w:after="0" w:line="240" w:lineRule="auto"/>
    </w:pPr>
    <w:rPr>
      <w:rFonts w:asciiTheme="minorHAnsi" w:eastAsiaTheme="minorHAnsi" w:hAnsiTheme="minorHAnsi" w:cstheme="minorBidi"/>
    </w:rPr>
  </w:style>
  <w:style w:type="character" w:customStyle="1" w:styleId="UnresolvedMention3">
    <w:name w:val="Unresolved Mention3"/>
    <w:basedOn w:val="DefaultParagraphFont"/>
    <w:uiPriority w:val="99"/>
    <w:semiHidden/>
    <w:unhideWhenUsed/>
    <w:rsid w:val="00535F36"/>
    <w:rPr>
      <w:color w:val="605E5C"/>
      <w:shd w:val="clear" w:color="auto" w:fill="E1DFDD"/>
    </w:rPr>
  </w:style>
  <w:style w:type="character" w:styleId="UnresolvedMention">
    <w:name w:val="Unresolved Mention"/>
    <w:basedOn w:val="DefaultParagraphFont"/>
    <w:uiPriority w:val="99"/>
    <w:semiHidden/>
    <w:unhideWhenUsed/>
    <w:rsid w:val="00291FF0"/>
    <w:rPr>
      <w:color w:val="605E5C"/>
      <w:shd w:val="clear" w:color="auto" w:fill="E1DFDD"/>
    </w:rPr>
  </w:style>
  <w:style w:type="paragraph" w:customStyle="1" w:styleId="ColorfulList-Accent11">
    <w:name w:val="Colorful List - Accent 11"/>
    <w:basedOn w:val="Normal"/>
    <w:uiPriority w:val="34"/>
    <w:qFormat/>
    <w:rsid w:val="0047149F"/>
    <w:pPr>
      <w:spacing w:after="0" w:line="240" w:lineRule="auto"/>
      <w:ind w:left="720"/>
    </w:pPr>
    <w:rPr>
      <w:rFonts w:ascii="Times New Roman" w:eastAsia="Times New Roman" w:hAnsi="Times New Roman" w:cs="Times New Roman"/>
      <w:sz w:val="24"/>
      <w:szCs w:val="20"/>
    </w:rPr>
  </w:style>
  <w:style w:type="table" w:styleId="TableGrid">
    <w:name w:val="Table Grid"/>
    <w:basedOn w:val="TableNormal"/>
    <w:uiPriority w:val="39"/>
    <w:rsid w:val="00846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xmsonormal">
    <w:name w:val="x_x_x_x_x_x_msonormal"/>
    <w:basedOn w:val="Normal"/>
    <w:rsid w:val="001929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D28"/>
    <w:rPr>
      <w:b/>
      <w:bCs/>
    </w:rPr>
  </w:style>
  <w:style w:type="paragraph" w:customStyle="1" w:styleId="pf0">
    <w:name w:val="pf0"/>
    <w:basedOn w:val="Normal"/>
    <w:rsid w:val="00682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827BC"/>
    <w:rPr>
      <w:rFonts w:ascii="Segoe UI" w:hAnsi="Segoe UI" w:cs="Segoe UI" w:hint="default"/>
      <w:sz w:val="18"/>
      <w:szCs w:val="18"/>
    </w:rPr>
  </w:style>
  <w:style w:type="paragraph" w:customStyle="1" w:styleId="Default">
    <w:name w:val="Default"/>
    <w:rsid w:val="00022694"/>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054332">
      <w:bodyDiv w:val="1"/>
      <w:marLeft w:val="0"/>
      <w:marRight w:val="0"/>
      <w:marTop w:val="0"/>
      <w:marBottom w:val="0"/>
      <w:divBdr>
        <w:top w:val="none" w:sz="0" w:space="0" w:color="auto"/>
        <w:left w:val="none" w:sz="0" w:space="0" w:color="auto"/>
        <w:bottom w:val="none" w:sz="0" w:space="0" w:color="auto"/>
        <w:right w:val="none" w:sz="0" w:space="0" w:color="auto"/>
      </w:divBdr>
    </w:div>
    <w:div w:id="1232618788">
      <w:bodyDiv w:val="1"/>
      <w:marLeft w:val="0"/>
      <w:marRight w:val="0"/>
      <w:marTop w:val="0"/>
      <w:marBottom w:val="0"/>
      <w:divBdr>
        <w:top w:val="none" w:sz="0" w:space="0" w:color="auto"/>
        <w:left w:val="none" w:sz="0" w:space="0" w:color="auto"/>
        <w:bottom w:val="none" w:sz="0" w:space="0" w:color="auto"/>
        <w:right w:val="none" w:sz="0" w:space="0" w:color="auto"/>
      </w:divBdr>
    </w:div>
    <w:div w:id="1665628571">
      <w:bodyDiv w:val="1"/>
      <w:marLeft w:val="0"/>
      <w:marRight w:val="0"/>
      <w:marTop w:val="0"/>
      <w:marBottom w:val="0"/>
      <w:divBdr>
        <w:top w:val="none" w:sz="0" w:space="0" w:color="auto"/>
        <w:left w:val="none" w:sz="0" w:space="0" w:color="auto"/>
        <w:bottom w:val="none" w:sz="0" w:space="0" w:color="auto"/>
        <w:right w:val="none" w:sz="0" w:space="0" w:color="auto"/>
      </w:divBdr>
    </w:div>
    <w:div w:id="1699042310">
      <w:bodyDiv w:val="1"/>
      <w:marLeft w:val="0"/>
      <w:marRight w:val="0"/>
      <w:marTop w:val="0"/>
      <w:marBottom w:val="0"/>
      <w:divBdr>
        <w:top w:val="none" w:sz="0" w:space="0" w:color="auto"/>
        <w:left w:val="none" w:sz="0" w:space="0" w:color="auto"/>
        <w:bottom w:val="none" w:sz="0" w:space="0" w:color="auto"/>
        <w:right w:val="none" w:sz="0" w:space="0" w:color="auto"/>
      </w:divBdr>
    </w:div>
    <w:div w:id="1983189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aadultedresources.org/wp-content/uploads/2016/10/Overview-of-Critical-Friends-Model-12-13-17.pdf" TargetMode="External"/><Relationship Id="rId21" Type="http://schemas.openxmlformats.org/officeDocument/2006/relationships/hyperlink" Target="https://gov.ecfr.io/cgi-bin/text-idx?SID=a456999f49dfdea587e1bd12a067235f&amp;mc=true&amp;node=pt34.3.463&amp;rgn=div5" TargetMode="External"/><Relationship Id="rId42" Type="http://schemas.openxmlformats.org/officeDocument/2006/relationships/hyperlink" Target="https://law.lis.virginia.gov/vacode/1-511/" TargetMode="External"/><Relationship Id="rId63" Type="http://schemas.openxmlformats.org/officeDocument/2006/relationships/hyperlink" Target="https://www.doe.virginia.gov/home/showpublisheddocument/34718/638053291427930000" TargetMode="External"/><Relationship Id="rId84" Type="http://schemas.openxmlformats.org/officeDocument/2006/relationships/hyperlink" Target="https://valrc.org/resource/distance-education-introduction-video/" TargetMode="External"/><Relationship Id="rId138" Type="http://schemas.openxmlformats.org/officeDocument/2006/relationships/hyperlink" Target="https://www.doe.virginia.gov/teaching-learning-assessment/specialized-instruction/adult-education/adult-education-regional-programs" TargetMode="External"/><Relationship Id="rId159" Type="http://schemas.openxmlformats.org/officeDocument/2006/relationships/hyperlink" Target="https://valrc.org/adults-with-disabilities-featured-instructional-resources/" TargetMode="External"/><Relationship Id="rId170" Type="http://schemas.openxmlformats.org/officeDocument/2006/relationships/hyperlink" Target="https://www.doe.virginia.gov/about-vdoe/communications" TargetMode="External"/><Relationship Id="rId107" Type="http://schemas.openxmlformats.org/officeDocument/2006/relationships/hyperlink" Target="https://valrc.org/adults-with-disabilities-featured-instructional-resources/" TargetMode="External"/><Relationship Id="rId11" Type="http://schemas.openxmlformats.org/officeDocument/2006/relationships/header" Target="header1.xml"/><Relationship Id="rId32" Type="http://schemas.openxmlformats.org/officeDocument/2006/relationships/hyperlink" Target="https://studentprivacy.ed.gov/" TargetMode="External"/><Relationship Id="rId53" Type="http://schemas.openxmlformats.org/officeDocument/2006/relationships/hyperlink" Target="https://www.doe.virginia.gov/data-policy-funding/school-finance/budget-grants-management/omega" TargetMode="External"/><Relationship Id="rId74" Type="http://schemas.openxmlformats.org/officeDocument/2006/relationships/hyperlink" Target="https://valrc.org/spanish-high-school-equivalency-resource/" TargetMode="External"/><Relationship Id="rId128" Type="http://schemas.openxmlformats.org/officeDocument/2006/relationships/hyperlink" Target="https://proliteracy.org/Resources/Grants-Funding" TargetMode="External"/><Relationship Id="rId149" Type="http://schemas.openxmlformats.org/officeDocument/2006/relationships/hyperlink" Target="https://ies.ed.gov/ncee/projects/evaluation/pathways_wioa.asp" TargetMode="External"/><Relationship Id="rId5" Type="http://schemas.openxmlformats.org/officeDocument/2006/relationships/settings" Target="settings.xml"/><Relationship Id="rId95" Type="http://schemas.openxmlformats.org/officeDocument/2006/relationships/hyperlink" Target="https://lincs.ed.gov/publications/pdf/CCRStandardsAdultEd.pdf" TargetMode="External"/><Relationship Id="rId160" Type="http://schemas.openxmlformats.org/officeDocument/2006/relationships/hyperlink" Target="https://www.doe.virginia.gov/instruction/adulted/secondary_programs/index.shtml" TargetMode="External"/><Relationship Id="rId181" Type="http://schemas.openxmlformats.org/officeDocument/2006/relationships/footer" Target="footer9.xml"/><Relationship Id="rId22" Type="http://schemas.openxmlformats.org/officeDocument/2006/relationships/hyperlink" Target="https://gov.ecfr.io/cgi-bin/text-idx?SID=a456999f49dfdea587e1bd12a067235f&amp;mc=true&amp;node=pt34.3.463&amp;rgn=div5" TargetMode="External"/><Relationship Id="rId43" Type="http://schemas.openxmlformats.org/officeDocument/2006/relationships/hyperlink" Target="https://budget.lis.virginia.gov/" TargetMode="External"/><Relationship Id="rId64" Type="http://schemas.openxmlformats.org/officeDocument/2006/relationships/hyperlink" Target="https://law.lis.virginia.gov/admincode/title8/agency20/chapter30/section20/" TargetMode="External"/><Relationship Id="rId118" Type="http://schemas.openxmlformats.org/officeDocument/2006/relationships/hyperlink" Target="https://valrc.org/standards-based-instruction/" TargetMode="External"/><Relationship Id="rId139" Type="http://schemas.openxmlformats.org/officeDocument/2006/relationships/hyperlink" Target="https://www.doe.virginia.gov/teaching-learning-assessment/specialized-instruction/adult-education/professional-development" TargetMode="External"/><Relationship Id="rId85" Type="http://schemas.openxmlformats.org/officeDocument/2006/relationships/hyperlink" Target="https://valrc.org/resource/distance-education-webinar-series/" TargetMode="External"/><Relationship Id="rId150" Type="http://schemas.openxmlformats.org/officeDocument/2006/relationships/hyperlink" Target="https://ies.ed.gov/ncee/projects/evaluation/pathways_evidence.asp" TargetMode="External"/><Relationship Id="rId171" Type="http://schemas.openxmlformats.org/officeDocument/2006/relationships/hyperlink" Target="http://www.tesol.org" TargetMode="External"/><Relationship Id="rId12" Type="http://schemas.openxmlformats.org/officeDocument/2006/relationships/footer" Target="footer1.xml"/><Relationship Id="rId33" Type="http://schemas.openxmlformats.org/officeDocument/2006/relationships/hyperlink" Target="https://studentprivacy.ed.gov/?src=fpco" TargetMode="External"/><Relationship Id="rId108" Type="http://schemas.openxmlformats.org/officeDocument/2006/relationships/hyperlink" Target="https://askjan.org/" TargetMode="External"/><Relationship Id="rId129" Type="http://schemas.openxmlformats.org/officeDocument/2006/relationships/hyperlink" Target="https://virginiaworks.gov/Approved-WIOA-CSP-Virginia_PYs_2024-2027.pdf" TargetMode="External"/><Relationship Id="rId54" Type="http://schemas.openxmlformats.org/officeDocument/2006/relationships/hyperlink" Target="https://www.doe.virginia.gov/home/showpublisheddocument/38652/638063893852400000" TargetMode="External"/><Relationship Id="rId75" Type="http://schemas.openxmlformats.org/officeDocument/2006/relationships/footer" Target="footer5.xml"/><Relationship Id="rId96" Type="http://schemas.openxmlformats.org/officeDocument/2006/relationships/hyperlink" Target="https://lincs.ed.gov/publications/pdf/elp-standards-adult-ed.pdf" TargetMode="External"/><Relationship Id="rId140" Type="http://schemas.openxmlformats.org/officeDocument/2006/relationships/hyperlink" Target="https://youtu.be/h4mf8zoqeQI" TargetMode="External"/><Relationship Id="rId161" Type="http://schemas.openxmlformats.org/officeDocument/2006/relationships/hyperlink" Target="https://www.doe.virginia.gov/teaching-learning-assessment/specialized-instruction/adult-education/adult-secondary-completion-options" TargetMode="External"/><Relationship Id="rId182" Type="http://schemas.openxmlformats.org/officeDocument/2006/relationships/hyperlink" Target="mailto:OCR.DC@ed.gov" TargetMode="External"/><Relationship Id="rId6" Type="http://schemas.openxmlformats.org/officeDocument/2006/relationships/webSettings" Target="webSettings.xml"/><Relationship Id="rId23" Type="http://schemas.openxmlformats.org/officeDocument/2006/relationships/hyperlink" Target="https://www2.ed.gov/policy/adulted/guid/memoranda.html" TargetMode="External"/><Relationship Id="rId119" Type="http://schemas.openxmlformats.org/officeDocument/2006/relationships/hyperlink" Target="http://www.GED.com" TargetMode="External"/><Relationship Id="rId44" Type="http://schemas.openxmlformats.org/officeDocument/2006/relationships/hyperlink" Target="https://www.lva.virginia.gov/agencies/records/retention.asp" TargetMode="External"/><Relationship Id="rId60" Type="http://schemas.openxmlformats.org/officeDocument/2006/relationships/hyperlink" Target="https://docs.google.com/document/d/1gFCUzixdbIfFji_iFDZQSwnfvBGcgCtwXIGlpiuNEeQ/edit" TargetMode="External"/><Relationship Id="rId65" Type="http://schemas.openxmlformats.org/officeDocument/2006/relationships/hyperlink" Target="https://www.doe.virginia.gov/teaching-learning-assessment/specialized-instruction/adult-education/high-school-equivalency-hse-credential" TargetMode="External"/><Relationship Id="rId81" Type="http://schemas.openxmlformats.org/officeDocument/2006/relationships/hyperlink" Target="https://valrc.org/resource/distance-education-curriculum-submission-form/" TargetMode="External"/><Relationship Id="rId86" Type="http://schemas.openxmlformats.org/officeDocument/2006/relationships/hyperlink" Target="https://valrc.org/quality-teaching-online-resources-and-tips/" TargetMode="External"/><Relationship Id="rId130" Type="http://schemas.openxmlformats.org/officeDocument/2006/relationships/hyperlink" Target="https://www.govinfo.gov/content/pkg/CFR-2014-title2-vol1/xml/CFR-2014-title2-vol1-part200.xml" TargetMode="External"/><Relationship Id="rId135" Type="http://schemas.openxmlformats.org/officeDocument/2006/relationships/hyperlink" Target="https://www.doe.virginia.gov/teaching-learning-assessment/specialized-instruction/adult-education/data-monitoring-evaluation" TargetMode="External"/><Relationship Id="rId151" Type="http://schemas.openxmlformats.org/officeDocument/2006/relationships/footer" Target="footer7.xml"/><Relationship Id="rId156" Type="http://schemas.openxmlformats.org/officeDocument/2006/relationships/hyperlink" Target="https://virginiacareerworks.com/virginia_board/vbwd-policy-20-01-one-stop-center-state-funding-mechanism/" TargetMode="External"/><Relationship Id="rId177" Type="http://schemas.openxmlformats.org/officeDocument/2006/relationships/hyperlink" Target="https://www.ietblueprint.com/" TargetMode="External"/><Relationship Id="rId172" Type="http://schemas.openxmlformats.org/officeDocument/2006/relationships/hyperlink" Target="http://vatesol.cloverpad.org/" TargetMode="External"/><Relationship Id="rId13" Type="http://schemas.openxmlformats.org/officeDocument/2006/relationships/footer" Target="footer2.xml"/><Relationship Id="rId18" Type="http://schemas.openxmlformats.org/officeDocument/2006/relationships/hyperlink" Target="https://gov.ecfr.io/cgi-bin/text-idx?SID=a456999f49dfdea587e1bd12a067235f&amp;mc=true&amp;node=pt34.3.463&amp;rgn=div5" TargetMode="External"/><Relationship Id="rId39" Type="http://schemas.openxmlformats.org/officeDocument/2006/relationships/hyperlink" Target="https://law.lis.virginia.gov/vacode/title22.1/chapter14/" TargetMode="External"/><Relationship Id="rId109" Type="http://schemas.openxmlformats.org/officeDocument/2006/relationships/hyperlink" Target="file:///\\WCS02021\groupdir\ADULTED\Prog%20Mang%20Responsibilities%20Manual\2024%20Edits\lincs.ed.gov" TargetMode="External"/><Relationship Id="rId34" Type="http://schemas.openxmlformats.org/officeDocument/2006/relationships/hyperlink" Target="https://www.ada.gov/pubs/adastatute08.htm" TargetMode="External"/><Relationship Id="rId50" Type="http://schemas.openxmlformats.org/officeDocument/2006/relationships/hyperlink" Target="https://valrc.org/progress/2018-volume-29-no-1-october-issue/meeting-the-innovation-challenge/" TargetMode="External"/><Relationship Id="rId55" Type="http://schemas.openxmlformats.org/officeDocument/2006/relationships/hyperlink" Target="https://www.doe.virginia.gov/teaching-learning-assessment/specialized-instruction/adult-education/grants-funding" TargetMode="External"/><Relationship Id="rId76" Type="http://schemas.openxmlformats.org/officeDocument/2006/relationships/hyperlink" Target="https://lincs.ed.gov/sites/default/files/5_TEAL_Differentiated_Instruct.pdf" TargetMode="External"/><Relationship Id="rId97" Type="http://schemas.openxmlformats.org/officeDocument/2006/relationships/hyperlink" Target="https://valrc.org/resource/sbi-observation-tools/" TargetMode="External"/><Relationship Id="rId104" Type="http://schemas.openxmlformats.org/officeDocument/2006/relationships/hyperlink" Target="https://valrc.org/enhancing-access-for-refugees-and-new-americans-earn-resources/" TargetMode="External"/><Relationship Id="rId120" Type="http://schemas.openxmlformats.org/officeDocument/2006/relationships/hyperlink" Target="https://www.doe.virginia.gov/home/showpublisheddocument/55610/638556083041070000" TargetMode="External"/><Relationship Id="rId125" Type="http://schemas.openxmlformats.org/officeDocument/2006/relationships/hyperlink" Target="https://vfcce.org/" TargetMode="External"/><Relationship Id="rId141" Type="http://schemas.openxmlformats.org/officeDocument/2006/relationships/hyperlink" Target="https://www.doe.virginia.gov/teaching-learning-assessment/specialized-instruction/adult-education/data-monitoring-evaluation" TargetMode="External"/><Relationship Id="rId146" Type="http://schemas.openxmlformats.org/officeDocument/2006/relationships/footer" Target="footer6.xml"/><Relationship Id="rId167" Type="http://schemas.openxmlformats.org/officeDocument/2006/relationships/hyperlink" Target="https://nrsweb.org/policy-data/nrs-ta-guide" TargetMode="External"/><Relationship Id="rId7" Type="http://schemas.openxmlformats.org/officeDocument/2006/relationships/footnotes" Target="footnotes.xml"/><Relationship Id="rId71" Type="http://schemas.openxmlformats.org/officeDocument/2006/relationships/hyperlink" Target="http://www.GED.com" TargetMode="External"/><Relationship Id="rId92" Type="http://schemas.openxmlformats.org/officeDocument/2006/relationships/hyperlink" Target="https://valrc.org/reading-featured-instructional-resources/" TargetMode="External"/><Relationship Id="rId162" Type="http://schemas.openxmlformats.org/officeDocument/2006/relationships/hyperlink" Target="https://www.doe.virginia.gov/teaching-learning-assessment/specialized-instruction/adult-education/data-monitoring-evaluation" TargetMode="Externa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ecfr.gov/cgi-bin/retrieveECFR?gp=1&amp;SID=3cd003b2d9401d174b3a7e3b822a52b9&amp;ty=HTML&amp;h=L&amp;mc=true&amp;n=pt2.1.200&amp;r=PART" TargetMode="External"/><Relationship Id="rId24" Type="http://schemas.openxmlformats.org/officeDocument/2006/relationships/hyperlink" Target="http://www.ecfr.gov/cgi-bin/text-idx?SID=6214841a79953f26c5c230d72d6b70a1&amp;tpl=/ecfrbrowse/Title02/2cfr200_main_02.tpl" TargetMode="External"/><Relationship Id="rId40" Type="http://schemas.openxmlformats.org/officeDocument/2006/relationships/hyperlink" Target="https://law.lis.virginia.gov/vacode/22.1-254.2/" TargetMode="External"/><Relationship Id="rId45" Type="http://schemas.openxmlformats.org/officeDocument/2006/relationships/hyperlink" Target="https://www.doa.virginia.gov/reference/CAPP/CAPP_Topics_Cardinal/20335-2019-July.pdf" TargetMode="External"/><Relationship Id="rId66" Type="http://schemas.openxmlformats.org/officeDocument/2006/relationships/hyperlink" Target="https://www.doe.virginia.gov/home/showpublisheddocument/34684/638053283850970000" TargetMode="External"/><Relationship Id="rId87" Type="http://schemas.openxmlformats.org/officeDocument/2006/relationships/hyperlink" Target="https://edtech.worlded.org/transforming-distance-education/" TargetMode="External"/><Relationship Id="rId110" Type="http://schemas.openxmlformats.org/officeDocument/2006/relationships/hyperlink" Target="https://disability.workforcegps.org/resources/2017/02/15/22/14/The_Playlists_Disability_Resources_for_WIOA_Practitioners" TargetMode="External"/><Relationship Id="rId115" Type="http://schemas.openxmlformats.org/officeDocument/2006/relationships/hyperlink" Target="https://www.dol.gov/agencies/oasam/centers-offices/civil-rights-center/statutes/section-188-workforce-innovation-opportunity-act/guide" TargetMode="External"/><Relationship Id="rId131" Type="http://schemas.openxmlformats.org/officeDocument/2006/relationships/hyperlink" Target="https://www.doe.virginia.gov/home/showpublisheddocument/52347/638427445346370000" TargetMode="External"/><Relationship Id="rId136" Type="http://schemas.openxmlformats.org/officeDocument/2006/relationships/hyperlink" Target="https://www.doe.virginia.gov/teaching-learning-assessment/specialized-instruction/adult-education/professional-development" TargetMode="External"/><Relationship Id="rId157" Type="http://schemas.openxmlformats.org/officeDocument/2006/relationships/footer" Target="footer8.xml"/><Relationship Id="rId178" Type="http://schemas.openxmlformats.org/officeDocument/2006/relationships/hyperlink" Target="https://www.doe.virginia.gov/home/showpublisheddocument/55610/638556083041070000" TargetMode="External"/><Relationship Id="rId61" Type="http://schemas.openxmlformats.org/officeDocument/2006/relationships/hyperlink" Target="https://www.casas.org/nedp" TargetMode="External"/><Relationship Id="rId82" Type="http://schemas.openxmlformats.org/officeDocument/2006/relationships/hyperlink" Target="https://valrc.org/resource/distance-education-curriculum-submission-form/" TargetMode="External"/><Relationship Id="rId152" Type="http://schemas.openxmlformats.org/officeDocument/2006/relationships/hyperlink" Target="https://virginiaworks.gov/Approved-WIOA-CSP-Virginia_PYs_2024-2027.pdf" TargetMode="External"/><Relationship Id="rId173" Type="http://schemas.openxmlformats.org/officeDocument/2006/relationships/hyperlink" Target="http://vatesol.cloverpad.org/" TargetMode="External"/><Relationship Id="rId19" Type="http://schemas.openxmlformats.org/officeDocument/2006/relationships/hyperlink" Target="https://www.govinfo.gov/content/pkg/FR-2016-12-02/pdf/2016-27737.pdf" TargetMode="External"/><Relationship Id="rId14" Type="http://schemas.openxmlformats.org/officeDocument/2006/relationships/hyperlink" Target="https://www.doe.virginia.gov/teaching-learning-assessment/specialized-instruction/adult-education/program-policy-guidance" TargetMode="External"/><Relationship Id="rId30" Type="http://schemas.openxmlformats.org/officeDocument/2006/relationships/hyperlink" Target="https://www.ecfr.gov/cgi-bin/retrieveECFR?gp=1&amp;SID=3cd003b2d9401d174b3a7e3b822a52b9&amp;ty=HTML&amp;h=L&amp;mc=true&amp;n=pt2.1.200&amp;r=PART" TargetMode="External"/><Relationship Id="rId35" Type="http://schemas.openxmlformats.org/officeDocument/2006/relationships/hyperlink" Target="http://www.USAspending.gov" TargetMode="External"/><Relationship Id="rId56" Type="http://schemas.openxmlformats.org/officeDocument/2006/relationships/hyperlink" Target="https://www.doe.virginia.gov/home/showpublisheddocument/55610/638556083041070000" TargetMode="External"/><Relationship Id="rId77" Type="http://schemas.openxmlformats.org/officeDocument/2006/relationships/hyperlink" Target="http://www.doe.virginia.gov/instruction/adulted/data_monitoring_evaluation/assessment/assessment-policy.docx" TargetMode="External"/><Relationship Id="rId100" Type="http://schemas.openxmlformats.org/officeDocument/2006/relationships/hyperlink" Target="https://valrc.org/workforce-preparation-resources/" TargetMode="External"/><Relationship Id="rId105" Type="http://schemas.openxmlformats.org/officeDocument/2006/relationships/hyperlink" Target="https://valrc.org/resource/strategies-routines-for-multilingual-learners/" TargetMode="External"/><Relationship Id="rId126" Type="http://schemas.openxmlformats.org/officeDocument/2006/relationships/hyperlink" Target="https://www.unitedway.org/local/united-states/virginia" TargetMode="External"/><Relationship Id="rId147" Type="http://schemas.openxmlformats.org/officeDocument/2006/relationships/hyperlink" Target="https://www.doe.virginia.gov/home/showpublisheddocument/34732/638053295017300000" TargetMode="External"/><Relationship Id="rId168" Type="http://schemas.openxmlformats.org/officeDocument/2006/relationships/hyperlink" Target="https://law.lis.virginia.gov/vacode/title22.1/chapter14/section22.1-254/" TargetMode="External"/><Relationship Id="rId8" Type="http://schemas.openxmlformats.org/officeDocument/2006/relationships/endnotes" Target="endnotes.xml"/><Relationship Id="rId51" Type="http://schemas.openxmlformats.org/officeDocument/2006/relationships/hyperlink" Target="https://www.ecfr.gov/current/title-2/part-200/subpart-e" TargetMode="External"/><Relationship Id="rId72" Type="http://schemas.openxmlformats.org/officeDocument/2006/relationships/hyperlink" Target="https://www.doe.virginia.gov/home/showpublisheddocument/3974/638005119794770000" TargetMode="External"/><Relationship Id="rId93" Type="http://schemas.openxmlformats.org/officeDocument/2006/relationships/hyperlink" Target="https://valrc.org/reading-featured-instructional-resources/" TargetMode="External"/><Relationship Id="rId98" Type="http://schemas.openxmlformats.org/officeDocument/2006/relationships/hyperlink" Target="https://valrc.org/standards-based-instruction/" TargetMode="External"/><Relationship Id="rId121" Type="http://schemas.openxmlformats.org/officeDocument/2006/relationships/hyperlink" Target="https://www.doe.virginia.gov/teaching-learning-assessment/specialized-instruction/adult-education/grants-funding" TargetMode="External"/><Relationship Id="rId142" Type="http://schemas.openxmlformats.org/officeDocument/2006/relationships/hyperlink" Target="https://www.doe.virginia.gov/teaching-learning-assessment/specialized-instruction/adult-education/data-monitoring-evaluation" TargetMode="External"/><Relationship Id="rId163" Type="http://schemas.openxmlformats.org/officeDocument/2006/relationships/hyperlink" Target="https://valrc.org/resources/?_sft_resource_topic=distance-education" TargetMode="External"/><Relationship Id="rId184"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https://www2.ed.gov/policy/fund/guid/uniform-guidance/index.html" TargetMode="External"/><Relationship Id="rId46" Type="http://schemas.openxmlformats.org/officeDocument/2006/relationships/hyperlink" Target="https://www.copyright.gov/" TargetMode="External"/><Relationship Id="rId67" Type="http://schemas.openxmlformats.org/officeDocument/2006/relationships/hyperlink" Target="http://www.ged.com/" TargetMode="External"/><Relationship Id="rId116" Type="http://schemas.openxmlformats.org/officeDocument/2006/relationships/hyperlink" Target="https://valrc.org/new-instructors/" TargetMode="External"/><Relationship Id="rId137" Type="http://schemas.openxmlformats.org/officeDocument/2006/relationships/hyperlink" Target="https://www.doe.virginia.gov/teaching-learning-assessment/specialized-instruction/adult-education/program-policy-guidance" TargetMode="External"/><Relationship Id="rId158" Type="http://schemas.openxmlformats.org/officeDocument/2006/relationships/hyperlink" Target="https://valrc.org/events/" TargetMode="External"/><Relationship Id="rId20" Type="http://schemas.openxmlformats.org/officeDocument/2006/relationships/hyperlink" Target="https://gov.ecfr.io/cgi-bin/text-idx?SID=a456999f49dfdea587e1bd12a067235f&amp;mc=true&amp;node=pt34.3.463&amp;rgn=div5" TargetMode="External"/><Relationship Id="rId41" Type="http://schemas.openxmlformats.org/officeDocument/2006/relationships/hyperlink" Target="https://law.lis.virginia.gov/vacode/title22.1/chapter13/section22.1-212.1/" TargetMode="External"/><Relationship Id="rId62" Type="http://schemas.openxmlformats.org/officeDocument/2006/relationships/hyperlink" Target="https://law.lis.virginia.gov/vacode/title22.1/chapter14/section22.1-254/" TargetMode="External"/><Relationship Id="rId83" Type="http://schemas.openxmlformats.org/officeDocument/2006/relationships/hyperlink" Target="https://www.doe.virginia.gov/teaching-learning-assessment/specialized-instruction/adult-education/program-policy-guidance" TargetMode="External"/><Relationship Id="rId88" Type="http://schemas.openxmlformats.org/officeDocument/2006/relationships/hyperlink" Target="https://valrc.org/digital-literacy-and-resilience-skills-for-multilingual-learners/" TargetMode="External"/><Relationship Id="rId111" Type="http://schemas.openxmlformats.org/officeDocument/2006/relationships/hyperlink" Target="https://www.inclusive.valrc.org/supports-2/universal-design-for-learning/" TargetMode="External"/><Relationship Id="rId132" Type="http://schemas.openxmlformats.org/officeDocument/2006/relationships/hyperlink" Target="http://www.virginialiteracy.org/" TargetMode="External"/><Relationship Id="rId153" Type="http://schemas.openxmlformats.org/officeDocument/2006/relationships/hyperlink" Target="https://virginiacareerworks.com/events/" TargetMode="External"/><Relationship Id="rId174" Type="http://schemas.openxmlformats.org/officeDocument/2006/relationships/hyperlink" Target="http://vaace.org" TargetMode="External"/><Relationship Id="rId179" Type="http://schemas.openxmlformats.org/officeDocument/2006/relationships/hyperlink" Target="https://www.doe.virginia.gov/data-policy-funding/school-finance/budget-grants-management/omega" TargetMode="External"/><Relationship Id="rId15" Type="http://schemas.openxmlformats.org/officeDocument/2006/relationships/footer" Target="footer3.xml"/><Relationship Id="rId36" Type="http://schemas.openxmlformats.org/officeDocument/2006/relationships/hyperlink" Target="https://law.lis.virginia.gov/vacode/title22.1/chapter13/section22.1-223/" TargetMode="External"/><Relationship Id="rId57" Type="http://schemas.openxmlformats.org/officeDocument/2006/relationships/footer" Target="footer4.xml"/><Relationship Id="rId106" Type="http://schemas.openxmlformats.org/officeDocument/2006/relationships/hyperlink" Target="https://valrc.org/resources/?_sft_resource_topic=disabilities" TargetMode="External"/><Relationship Id="rId127" Type="http://schemas.openxmlformats.org/officeDocument/2006/relationships/hyperlink" Target="https://dressforsuccess.org/" TargetMode="External"/><Relationship Id="rId10" Type="http://schemas.openxmlformats.org/officeDocument/2006/relationships/image" Target="media/image2.png"/><Relationship Id="rId31" Type="http://schemas.openxmlformats.org/officeDocument/2006/relationships/hyperlink" Target="https://www.govinfo.gov/app/details/CFR-1999-title34-vol1/CFR-1999-title34-vol1-part99" TargetMode="External"/><Relationship Id="rId52" Type="http://schemas.openxmlformats.org/officeDocument/2006/relationships/hyperlink" Target="https://independentsector.org/resource/value-of-volunteer-time/" TargetMode="External"/><Relationship Id="rId73" Type="http://schemas.openxmlformats.org/officeDocument/2006/relationships/hyperlink" Target="mailto:GEDinfo@doe.virginia.gov" TargetMode="External"/><Relationship Id="rId78" Type="http://schemas.openxmlformats.org/officeDocument/2006/relationships/hyperlink" Target="https://www.doe.virginia.gov/teaching-learning-assessment/specialized-instruction/adult-education/program-policy-guidance" TargetMode="External"/><Relationship Id="rId94" Type="http://schemas.openxmlformats.org/officeDocument/2006/relationships/hyperlink" Target="https://www.doe.virginia.gov/home/showpublisheddocument/48993/638296903831730000" TargetMode="External"/><Relationship Id="rId99" Type="http://schemas.openxmlformats.org/officeDocument/2006/relationships/hyperlink" Target="https://valrc.org/standards-based-instruction/" TargetMode="External"/><Relationship Id="rId101" Type="http://schemas.openxmlformats.org/officeDocument/2006/relationships/hyperlink" Target="https://nces.ed.gov/surveys/piaac/skillsmap/" TargetMode="External"/><Relationship Id="rId122" Type="http://schemas.openxmlformats.org/officeDocument/2006/relationships/hyperlink" Target="https://valrc.org/resource/multilingual-aspd-videos/" TargetMode="External"/><Relationship Id="rId143" Type="http://schemas.openxmlformats.org/officeDocument/2006/relationships/hyperlink" Target="https://www.doe.virginia.gov/teaching-learning-assessment/specialized-instruction/adult-education/program-policy-guidance" TargetMode="External"/><Relationship Id="rId148" Type="http://schemas.openxmlformats.org/officeDocument/2006/relationships/hyperlink" Target="https://www.doe.virginia.gov/teaching-learning-assessment/specialized-instruction/adult-education/data-monitoring-evaluation" TargetMode="External"/><Relationship Id="rId164" Type="http://schemas.openxmlformats.org/officeDocument/2006/relationships/hyperlink" Target="https://www.digitalinclusion.org/" TargetMode="External"/><Relationship Id="rId169" Type="http://schemas.openxmlformats.org/officeDocument/2006/relationships/hyperlink" Target="https://lincs.ed.gov"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perdiemcalc.net/gsa/" TargetMode="External"/><Relationship Id="rId26" Type="http://schemas.openxmlformats.org/officeDocument/2006/relationships/hyperlink" Target="https://www.ecfr.gov/current/title-2/part-200/subpart-e" TargetMode="External"/><Relationship Id="rId47" Type="http://schemas.openxmlformats.org/officeDocument/2006/relationships/hyperlink" Target="https://creativecommons.org/" TargetMode="External"/><Relationship Id="rId68" Type="http://schemas.openxmlformats.org/officeDocument/2006/relationships/hyperlink" Target="https://dws.arkansas.gov/wp-content/uploads/crosswalk-ged-alignment.pdf" TargetMode="External"/><Relationship Id="rId89" Type="http://schemas.openxmlformats.org/officeDocument/2006/relationships/hyperlink" Target="https://valrc.org/digital-literacy-and-resilience-skills-for-multilingual-learners/" TargetMode="External"/><Relationship Id="rId112" Type="http://schemas.openxmlformats.org/officeDocument/2006/relationships/hyperlink" Target="https://www.govinfo.gov/content/pkg/CFR-2018-title29-vol1/xml/CFR-2018-title29-vol1-part38.xml" TargetMode="External"/><Relationship Id="rId133" Type="http://schemas.openxmlformats.org/officeDocument/2006/relationships/hyperlink" Target="https://nrsweb.org/resources/first-90-days-checklist-new-nrs-data-leaders" TargetMode="External"/><Relationship Id="rId154" Type="http://schemas.openxmlformats.org/officeDocument/2006/relationships/hyperlink" Target="https://virginiacareerworks.com/" TargetMode="External"/><Relationship Id="rId175" Type="http://schemas.openxmlformats.org/officeDocument/2006/relationships/hyperlink" Target="http://www.valrc.org" TargetMode="External"/><Relationship Id="rId16" Type="http://schemas.openxmlformats.org/officeDocument/2006/relationships/hyperlink" Target="https://www.gpo.gov/fdsys/pkg/PLAW-113publ128/pdf/PLAW-113publ128.pdf" TargetMode="External"/><Relationship Id="rId37" Type="http://schemas.openxmlformats.org/officeDocument/2006/relationships/hyperlink" Target="https://law.lis.virginia.gov/vacode/title22.1/chapter13/section22.1-224/" TargetMode="External"/><Relationship Id="rId58" Type="http://schemas.openxmlformats.org/officeDocument/2006/relationships/hyperlink" Target="https://virginiaworks.gov/Approved-WIOA-CSP-Virginia_PYs_2024-2027.pdf" TargetMode="External"/><Relationship Id="rId79" Type="http://schemas.openxmlformats.org/officeDocument/2006/relationships/hyperlink" Target="https://valrc.org/?s=distance+education" TargetMode="External"/><Relationship Id="rId102" Type="http://schemas.openxmlformats.org/officeDocument/2006/relationships/hyperlink" Target="https://valrc.org/resource/english-to-speakers-of-other-languages-esol-featured-instructional-resources/" TargetMode="External"/><Relationship Id="rId123" Type="http://schemas.openxmlformats.org/officeDocument/2006/relationships/hyperlink" Target="http://researchallies.org/services/critiquing-adult-participation-in-education-cape/" TargetMode="External"/><Relationship Id="rId144" Type="http://schemas.openxmlformats.org/officeDocument/2006/relationships/hyperlink" Target="https://www.doe.virginia.gov/teaching-learning-assessment/specialized-instruction/adult-education/adult-education-resources" TargetMode="External"/><Relationship Id="rId90" Type="http://schemas.openxmlformats.org/officeDocument/2006/relationships/hyperlink" Target="https://valrc.org/digital-literacy-and-resilience-skills-for-multilingual-learners/" TargetMode="External"/><Relationship Id="rId165" Type="http://schemas.openxmlformats.org/officeDocument/2006/relationships/hyperlink" Target="https://www.doe.virginia.gov/teaching-learning-assessment/specialized-instruction/adult-education/adult-education-resources" TargetMode="External"/><Relationship Id="rId27" Type="http://schemas.openxmlformats.org/officeDocument/2006/relationships/hyperlink" Target="https://www.govinfo.gov/content/pkg/CFR-2014-title2-vol1/xml/CFR-2014-title2-vol1-part200.xml" TargetMode="External"/><Relationship Id="rId48" Type="http://schemas.openxmlformats.org/officeDocument/2006/relationships/hyperlink" Target="https://www.edutopia.org/article/teachers-guide-copyright-and-fair-use" TargetMode="External"/><Relationship Id="rId69" Type="http://schemas.openxmlformats.org/officeDocument/2006/relationships/image" Target="media/image3.jpeg"/><Relationship Id="rId113" Type="http://schemas.openxmlformats.org/officeDocument/2006/relationships/hyperlink" Target="https://www.govinfo.gov/content/pkg/CFR-2018-title29-vol1/xml/CFR-2018-title29-vol1-part38.xml" TargetMode="External"/><Relationship Id="rId134" Type="http://schemas.openxmlformats.org/officeDocument/2006/relationships/hyperlink" Target="https://www.doe.virginia.gov/teaching-learning-assessment/specialized-instruction/adult-education/program-policy-guidance" TargetMode="External"/><Relationship Id="rId80" Type="http://schemas.openxmlformats.org/officeDocument/2006/relationships/hyperlink" Target="https://valrc.org/resource/approved-distance-education-curricula/" TargetMode="External"/><Relationship Id="rId155" Type="http://schemas.openxmlformats.org/officeDocument/2006/relationships/hyperlink" Target="https://www2.ed.gov/about/offices/list/ovae/pi/AdultEd/octae-program-memo-17-3.pdf" TargetMode="External"/><Relationship Id="rId176" Type="http://schemas.openxmlformats.org/officeDocument/2006/relationships/hyperlink" Target="http://www.virginialiteracy.org" TargetMode="External"/><Relationship Id="rId17" Type="http://schemas.openxmlformats.org/officeDocument/2006/relationships/hyperlink" Target="https://gov.ecfr.io/cgi-bin/text-idx?SID=a456999f49dfdea587e1bd12a067235f&amp;mc=true&amp;node=pt34.3.462&amp;rgn=div5" TargetMode="External"/><Relationship Id="rId38" Type="http://schemas.openxmlformats.org/officeDocument/2006/relationships/hyperlink" Target="https://law.lis.virginia.gov/vacode/title22.1/chapter13/section22.1-225/" TargetMode="External"/><Relationship Id="rId59" Type="http://schemas.openxmlformats.org/officeDocument/2006/relationships/hyperlink" Target="https://www.familieslearning.org/" TargetMode="External"/><Relationship Id="rId103" Type="http://schemas.openxmlformats.org/officeDocument/2006/relationships/hyperlink" Target="https://valrc.org/resource/esol-instructional-techniques-bank/" TargetMode="External"/><Relationship Id="rId124" Type="http://schemas.openxmlformats.org/officeDocument/2006/relationships/hyperlink" Target="https://www.dgliteracy.org/grant-programs/" TargetMode="External"/><Relationship Id="rId70" Type="http://schemas.openxmlformats.org/officeDocument/2006/relationships/hyperlink" Target="https://drive.google.com/drive/folders/1u9zMossBkN-JJELFp-DTcBtGOlgnPAnb" TargetMode="External"/><Relationship Id="rId91" Type="http://schemas.openxmlformats.org/officeDocument/2006/relationships/hyperlink" Target="https://valrc.org/resources/?_sft_resource_topic=reading" TargetMode="External"/><Relationship Id="rId145" Type="http://schemas.openxmlformats.org/officeDocument/2006/relationships/hyperlink" Target="https://virginiaworks.gov/Approved-WIOA-CSP-Virginia_PYs_2024-2027.pdf" TargetMode="External"/><Relationship Id="rId166" Type="http://schemas.openxmlformats.org/officeDocument/2006/relationships/hyperlink" Target="https://www.doe.virginia.gov/teaching-learning-assessment/specialized-instruction/adult-education/program-policy-guidance" TargetMode="External"/><Relationship Id="rId1" Type="http://schemas.openxmlformats.org/officeDocument/2006/relationships/customXml" Target="../customXml/item1.xml"/><Relationship Id="rId28" Type="http://schemas.openxmlformats.org/officeDocument/2006/relationships/hyperlink" Target="https://www2.ed.gov/policy/fund/guid/uniform-guidance/internal-controls.html" TargetMode="External"/><Relationship Id="rId49" Type="http://schemas.openxmlformats.org/officeDocument/2006/relationships/hyperlink" Target="https://www.doe.virginia.gov/home/showpublisheddocument/55610/638556083041070000" TargetMode="External"/><Relationship Id="rId114" Type="http://schemas.openxmlformats.org/officeDocument/2006/relationships/hyperlink" Target="https://www.dol.gov/agencies/oasam/centers-offices/civil-rights-center/statutes/section-188-workforce-innovation-opportunity-act/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gypiWW6dqSlsxj0fNiaL6uJgBA==">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DDA0AC-226B-4F24-8A76-CF626263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84</Pages>
  <Words>37310</Words>
  <Characters>212671</Characters>
  <Application>Microsoft Office Word</Application>
  <DocSecurity>0</DocSecurity>
  <Lines>1772</Lines>
  <Paragraphs>498</Paragraphs>
  <ScaleCrop>false</ScaleCrop>
  <HeadingPairs>
    <vt:vector size="2" baseType="variant">
      <vt:variant>
        <vt:lpstr>Title</vt:lpstr>
      </vt:variant>
      <vt:variant>
        <vt:i4>1</vt:i4>
      </vt:variant>
    </vt:vector>
  </HeadingPairs>
  <TitlesOfParts>
    <vt:vector size="1" baseType="lpstr">
      <vt:lpstr>VDOE Program Manager Manual</vt:lpstr>
    </vt:vector>
  </TitlesOfParts>
  <Company>Virginia Information Technologies Agency</Company>
  <LinksUpToDate>false</LinksUpToDate>
  <CharactersWithSpaces>249483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VDOE Program Manager Manual</dc:title>
  <dc:creator>Sarah</dc:creator>
  <cp:lastModifiedBy>Silver-pacuilla, Heidi (DOE)</cp:lastModifiedBy>
  <cp:revision>29</cp:revision>
  <cp:lastPrinted>2024-08-06T13:00:00Z</cp:lastPrinted>
  <dcterms:created xsi:type="dcterms:W3CDTF">2024-07-31T18:34:00Z</dcterms:created>
  <dcterms:modified xsi:type="dcterms:W3CDTF">2024-08-12T12:53:00Z</dcterms:modified>
</cp:coreProperties>
</file>