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D55D" w14:textId="51E31CA1" w:rsidR="0040239B" w:rsidRPr="008A5A66" w:rsidRDefault="00B24C32" w:rsidP="001A3A10">
      <w:pPr>
        <w:pStyle w:val="Heading1"/>
        <w:spacing w:after="120"/>
        <w:rPr>
          <w:rFonts w:ascii="Times New Roman" w:hAnsi="Times New Roman" w:cs="Times New Roman"/>
          <w:color w:val="auto"/>
        </w:rPr>
      </w:pPr>
      <w:r w:rsidRPr="008A5A66">
        <w:rPr>
          <w:rFonts w:ascii="Times New Roman" w:hAnsi="Times New Roman" w:cs="Times New Roman"/>
          <w:color w:val="auto"/>
        </w:rPr>
        <w:t xml:space="preserve">Virginia </w:t>
      </w:r>
      <w:r w:rsidR="00FC182B" w:rsidRPr="008A5A66">
        <w:rPr>
          <w:rFonts w:ascii="Times New Roman" w:hAnsi="Times New Roman" w:cs="Times New Roman"/>
          <w:color w:val="auto"/>
        </w:rPr>
        <w:t xml:space="preserve">Adult Education </w:t>
      </w:r>
      <w:r w:rsidRPr="008A5A66">
        <w:rPr>
          <w:rFonts w:ascii="Times New Roman" w:hAnsi="Times New Roman" w:cs="Times New Roman"/>
          <w:color w:val="auto"/>
        </w:rPr>
        <w:t>Narrative Report 2016-2017</w:t>
      </w:r>
    </w:p>
    <w:p w14:paraId="68887EAE" w14:textId="77777777" w:rsidR="00B24C32" w:rsidRPr="008A5A66" w:rsidRDefault="00B24C32" w:rsidP="0028391E">
      <w:pPr>
        <w:pStyle w:val="Heading2"/>
        <w:spacing w:before="0"/>
        <w:rPr>
          <w:rFonts w:ascii="Times New Roman" w:hAnsi="Times New Roman" w:cs="Times New Roman"/>
          <w:color w:val="auto"/>
        </w:rPr>
      </w:pPr>
      <w:r w:rsidRPr="008A5A66">
        <w:rPr>
          <w:rFonts w:ascii="Times New Roman" w:hAnsi="Times New Roman" w:cs="Times New Roman"/>
          <w:color w:val="auto"/>
        </w:rPr>
        <w:t>State Leadership Funds (AEFLA Section 223)</w:t>
      </w:r>
    </w:p>
    <w:p w14:paraId="5AD59217" w14:textId="71AC7A7B" w:rsidR="006E1EC9" w:rsidRPr="008A5A66" w:rsidRDefault="00775B67" w:rsidP="0028391E">
      <w:pPr>
        <w:rPr>
          <w:bCs/>
        </w:rPr>
      </w:pPr>
      <w:r w:rsidRPr="008A5A66">
        <w:t>In</w:t>
      </w:r>
      <w:r w:rsidR="008D597D" w:rsidRPr="008A5A66">
        <w:t xml:space="preserve"> program year</w:t>
      </w:r>
      <w:r w:rsidRPr="008A5A66">
        <w:t xml:space="preserve"> 2016-2017, the Virginia </w:t>
      </w:r>
      <w:r w:rsidR="003E6856" w:rsidRPr="008A5A66">
        <w:t xml:space="preserve">Department of Education (VDOE), </w:t>
      </w:r>
      <w:r w:rsidRPr="008A5A66">
        <w:t>Office of Career, Tech</w:t>
      </w:r>
      <w:r w:rsidR="003E6856" w:rsidRPr="008A5A66">
        <w:t>nical</w:t>
      </w:r>
      <w:r w:rsidR="008D597D" w:rsidRPr="008A5A66">
        <w:t>,</w:t>
      </w:r>
      <w:r w:rsidR="003E6856" w:rsidRPr="008A5A66">
        <w:t xml:space="preserve"> and Adult Education</w:t>
      </w:r>
      <w:r w:rsidRPr="008A5A66">
        <w:t xml:space="preserve"> used leadership funds to</w:t>
      </w:r>
      <w:r w:rsidR="008D597D" w:rsidRPr="008A5A66">
        <w:t xml:space="preserve"> support a </w:t>
      </w:r>
      <w:r w:rsidR="008D597D" w:rsidRPr="008A5A66">
        <w:rPr>
          <w:bCs/>
        </w:rPr>
        <w:t>cooperative agreement with the Virginia Adult Learning Resource Center (VALRC) at Virginia Commonwealth University to support both required and permissible state leadership activities.</w:t>
      </w:r>
      <w:r w:rsidR="008D597D" w:rsidRPr="008A5A66">
        <w:t xml:space="preserve"> </w:t>
      </w:r>
      <w:r w:rsidR="006E1EC9" w:rsidRPr="008A5A66">
        <w:t>In particular, t</w:t>
      </w:r>
      <w:r w:rsidRPr="008A5A66">
        <w:rPr>
          <w:bCs/>
        </w:rPr>
        <w:t>he VALRC provide</w:t>
      </w:r>
      <w:r w:rsidR="006E1EC9" w:rsidRPr="008A5A66">
        <w:rPr>
          <w:bCs/>
        </w:rPr>
        <w:t xml:space="preserve">d support for </w:t>
      </w:r>
      <w:r w:rsidR="00E75FEF" w:rsidRPr="008A5A66">
        <w:rPr>
          <w:bCs/>
        </w:rPr>
        <w:t xml:space="preserve">Workforce Innovation and Opportunity Act (WIOA) </w:t>
      </w:r>
      <w:r w:rsidR="006E1EC9" w:rsidRPr="008A5A66">
        <w:rPr>
          <w:bCs/>
        </w:rPr>
        <w:t>Sec. 223(1)(a) “Alignment of adult education and literacy activities with other one-stop required partners to</w:t>
      </w:r>
      <w:r w:rsidR="00E75FEF" w:rsidRPr="008A5A66">
        <w:rPr>
          <w:bCs/>
        </w:rPr>
        <w:t xml:space="preserve"> </w:t>
      </w:r>
      <w:r w:rsidR="006E1EC9" w:rsidRPr="008A5A66">
        <w:rPr>
          <w:bCs/>
        </w:rPr>
        <w:t xml:space="preserve">implement the strategies in the Unified or Combined State Plan,” 223(1)(b) “Establishment or operation of a </w:t>
      </w:r>
      <w:proofErr w:type="gramStart"/>
      <w:r w:rsidR="006E1EC9" w:rsidRPr="008A5A66">
        <w:rPr>
          <w:bCs/>
        </w:rPr>
        <w:t>high quality</w:t>
      </w:r>
      <w:proofErr w:type="gramEnd"/>
      <w:r w:rsidR="006E1EC9" w:rsidRPr="008A5A66">
        <w:rPr>
          <w:bCs/>
        </w:rPr>
        <w:t xml:space="preserve"> professional development program,” and Sec. 223(1)(c) “Provision of technical assistance to funded eligible providers</w:t>
      </w:r>
      <w:r w:rsidR="00E75FEF" w:rsidRPr="008A5A66">
        <w:rPr>
          <w:bCs/>
        </w:rPr>
        <w:t>.</w:t>
      </w:r>
      <w:r w:rsidR="006E1EC9" w:rsidRPr="008A5A66">
        <w:rPr>
          <w:bCs/>
        </w:rPr>
        <w:t xml:space="preserve">” </w:t>
      </w:r>
      <w:r w:rsidR="00E75FEF" w:rsidRPr="008A5A66">
        <w:rPr>
          <w:bCs/>
        </w:rPr>
        <w:t>A</w:t>
      </w:r>
      <w:r w:rsidR="006E1EC9" w:rsidRPr="008A5A66">
        <w:rPr>
          <w:bCs/>
        </w:rPr>
        <w:t>ctivities by the VALRC included</w:t>
      </w:r>
      <w:r w:rsidR="00E75FEF" w:rsidRPr="008A5A66">
        <w:rPr>
          <w:bCs/>
        </w:rPr>
        <w:t>:</w:t>
      </w:r>
    </w:p>
    <w:p w14:paraId="5AB883D8" w14:textId="4D6BE46D" w:rsidR="00775B67" w:rsidRPr="008A5A66" w:rsidRDefault="0083423F" w:rsidP="00580925">
      <w:pPr>
        <w:numPr>
          <w:ilvl w:val="0"/>
          <w:numId w:val="2"/>
        </w:numPr>
        <w:spacing w:after="120"/>
        <w:rPr>
          <w:bCs/>
        </w:rPr>
      </w:pPr>
      <w:r w:rsidRPr="008A5A66">
        <w:rPr>
          <w:bCs/>
        </w:rPr>
        <w:t>on-</w:t>
      </w:r>
      <w:r w:rsidR="001909C2" w:rsidRPr="008A5A66">
        <w:rPr>
          <w:bCs/>
        </w:rPr>
        <w:t xml:space="preserve">site and online </w:t>
      </w:r>
      <w:r w:rsidR="00775B67" w:rsidRPr="008A5A66">
        <w:rPr>
          <w:bCs/>
        </w:rPr>
        <w:t xml:space="preserve">professional development workshops, institutes, </w:t>
      </w:r>
      <w:r w:rsidR="001909C2" w:rsidRPr="008A5A66">
        <w:rPr>
          <w:bCs/>
        </w:rPr>
        <w:t xml:space="preserve">courses, </w:t>
      </w:r>
      <w:r w:rsidR="00775B67" w:rsidRPr="008A5A66">
        <w:rPr>
          <w:bCs/>
        </w:rPr>
        <w:t>and meetings</w:t>
      </w:r>
      <w:r w:rsidR="008D597D" w:rsidRPr="008A5A66">
        <w:rPr>
          <w:bCs/>
        </w:rPr>
        <w:t>;</w:t>
      </w:r>
    </w:p>
    <w:p w14:paraId="73A6D899" w14:textId="0691E68E" w:rsidR="00775B67" w:rsidRPr="008A5A66" w:rsidRDefault="0083423F" w:rsidP="00580925">
      <w:pPr>
        <w:numPr>
          <w:ilvl w:val="0"/>
          <w:numId w:val="2"/>
        </w:numPr>
        <w:spacing w:after="120"/>
        <w:rPr>
          <w:bCs/>
        </w:rPr>
      </w:pPr>
      <w:r w:rsidRPr="008A5A66">
        <w:rPr>
          <w:bCs/>
        </w:rPr>
        <w:t>on-</w:t>
      </w:r>
      <w:r w:rsidR="00775B67" w:rsidRPr="008A5A66">
        <w:rPr>
          <w:bCs/>
        </w:rPr>
        <w:t>site and onli</w:t>
      </w:r>
      <w:r w:rsidR="001909C2" w:rsidRPr="008A5A66">
        <w:rPr>
          <w:bCs/>
        </w:rPr>
        <w:t xml:space="preserve">ne </w:t>
      </w:r>
      <w:r w:rsidR="00775B67" w:rsidRPr="008A5A66">
        <w:rPr>
          <w:bCs/>
        </w:rPr>
        <w:t>technical assistance</w:t>
      </w:r>
      <w:r w:rsidR="006E1EC9" w:rsidRPr="008A5A66">
        <w:rPr>
          <w:bCs/>
        </w:rPr>
        <w:t>, with an emphasis on technical assistance for the integrated education and training model of PluggedInVA, featured in the Combined State Plan, to multiple one-stop system partners</w:t>
      </w:r>
      <w:r w:rsidR="008D597D" w:rsidRPr="008A5A66">
        <w:rPr>
          <w:bCs/>
        </w:rPr>
        <w:t>;</w:t>
      </w:r>
    </w:p>
    <w:p w14:paraId="6BE6EF7E" w14:textId="38ACC57A" w:rsidR="00775B67" w:rsidRPr="008A5A66" w:rsidRDefault="001909C2" w:rsidP="00580925">
      <w:pPr>
        <w:numPr>
          <w:ilvl w:val="0"/>
          <w:numId w:val="2"/>
        </w:numPr>
        <w:spacing w:after="120"/>
        <w:rPr>
          <w:bCs/>
        </w:rPr>
      </w:pPr>
      <w:r w:rsidRPr="008A5A66">
        <w:rPr>
          <w:bCs/>
        </w:rPr>
        <w:t xml:space="preserve">websites that serve as </w:t>
      </w:r>
      <w:r w:rsidR="00775B67" w:rsidRPr="008A5A66">
        <w:rPr>
          <w:bCs/>
        </w:rPr>
        <w:t xml:space="preserve">clearinghouses of </w:t>
      </w:r>
      <w:r w:rsidRPr="008A5A66">
        <w:rPr>
          <w:bCs/>
        </w:rPr>
        <w:t xml:space="preserve">vetted </w:t>
      </w:r>
      <w:r w:rsidR="00775B67" w:rsidRPr="008A5A66">
        <w:rPr>
          <w:bCs/>
        </w:rPr>
        <w:t>adult education resources</w:t>
      </w:r>
      <w:r w:rsidR="008D597D" w:rsidRPr="008A5A66">
        <w:rPr>
          <w:bCs/>
        </w:rPr>
        <w:t>;</w:t>
      </w:r>
    </w:p>
    <w:p w14:paraId="157E9908" w14:textId="5B5594C7" w:rsidR="00775B67" w:rsidRPr="008A5A66" w:rsidRDefault="00775B67" w:rsidP="00580925">
      <w:pPr>
        <w:numPr>
          <w:ilvl w:val="0"/>
          <w:numId w:val="2"/>
        </w:numPr>
        <w:spacing w:after="120"/>
        <w:rPr>
          <w:bCs/>
        </w:rPr>
      </w:pPr>
      <w:r w:rsidRPr="008A5A66">
        <w:rPr>
          <w:bCs/>
        </w:rPr>
        <w:t>a toll-free GED</w:t>
      </w:r>
      <w:r w:rsidR="001909C2" w:rsidRPr="008A5A66">
        <w:rPr>
          <w:bCs/>
          <w:vertAlign w:val="superscript"/>
        </w:rPr>
        <w:t>®</w:t>
      </w:r>
      <w:r w:rsidR="001909C2" w:rsidRPr="008A5A66">
        <w:rPr>
          <w:bCs/>
        </w:rPr>
        <w:t xml:space="preserve"> </w:t>
      </w:r>
      <w:r w:rsidRPr="008A5A66">
        <w:rPr>
          <w:bCs/>
        </w:rPr>
        <w:t>helpline</w:t>
      </w:r>
      <w:r w:rsidR="008D597D" w:rsidRPr="008A5A66">
        <w:rPr>
          <w:bCs/>
        </w:rPr>
        <w:t>;</w:t>
      </w:r>
    </w:p>
    <w:p w14:paraId="34C17CE2" w14:textId="05D02C29" w:rsidR="00775B67" w:rsidRPr="008A5A66" w:rsidRDefault="00775B67" w:rsidP="00580925">
      <w:pPr>
        <w:numPr>
          <w:ilvl w:val="0"/>
          <w:numId w:val="2"/>
        </w:numPr>
        <w:spacing w:after="120"/>
        <w:rPr>
          <w:bCs/>
        </w:rPr>
      </w:pPr>
      <w:r w:rsidRPr="008A5A66">
        <w:rPr>
          <w:bCs/>
        </w:rPr>
        <w:t>a listserv open to all adult education professionals</w:t>
      </w:r>
      <w:r w:rsidR="006E1EC9" w:rsidRPr="008A5A66">
        <w:rPr>
          <w:bCs/>
        </w:rPr>
        <w:t>, which was used to</w:t>
      </w:r>
      <w:r w:rsidR="00E75FEF" w:rsidRPr="008A5A66">
        <w:rPr>
          <w:bCs/>
        </w:rPr>
        <w:t xml:space="preserve"> communicate professional learning opportunities as well as</w:t>
      </w:r>
      <w:r w:rsidR="006E1EC9" w:rsidRPr="008A5A66">
        <w:rPr>
          <w:bCs/>
        </w:rPr>
        <w:t xml:space="preserve"> disseminate WIOA implementation and cross-partner agency communications</w:t>
      </w:r>
      <w:r w:rsidR="008D597D" w:rsidRPr="008A5A66">
        <w:rPr>
          <w:bCs/>
        </w:rPr>
        <w:t>;</w:t>
      </w:r>
    </w:p>
    <w:p w14:paraId="7DE0ADAF" w14:textId="4A3F787D" w:rsidR="00775B67" w:rsidRPr="008A5A66" w:rsidRDefault="00775B67" w:rsidP="00580925">
      <w:pPr>
        <w:numPr>
          <w:ilvl w:val="0"/>
          <w:numId w:val="2"/>
        </w:numPr>
        <w:spacing w:after="120"/>
        <w:rPr>
          <w:bCs/>
        </w:rPr>
      </w:pPr>
      <w:r w:rsidRPr="008A5A66">
        <w:rPr>
          <w:bCs/>
        </w:rPr>
        <w:t>an electronic newsletter and a wide variety of printed and online publications</w:t>
      </w:r>
      <w:r w:rsidR="008D597D" w:rsidRPr="008A5A66">
        <w:rPr>
          <w:bCs/>
        </w:rPr>
        <w:t>; and</w:t>
      </w:r>
    </w:p>
    <w:p w14:paraId="2F740CA2" w14:textId="39F1452C" w:rsidR="00775B67" w:rsidRPr="008A5A66" w:rsidRDefault="0040239B" w:rsidP="00580925">
      <w:pPr>
        <w:numPr>
          <w:ilvl w:val="0"/>
          <w:numId w:val="2"/>
        </w:numPr>
        <w:spacing w:after="120"/>
        <w:rPr>
          <w:bCs/>
        </w:rPr>
      </w:pPr>
      <w:r w:rsidRPr="008A5A66">
        <w:rPr>
          <w:bCs/>
        </w:rPr>
        <w:t xml:space="preserve">the </w:t>
      </w:r>
      <w:r w:rsidR="00775B67" w:rsidRPr="008A5A66">
        <w:rPr>
          <w:bCs/>
        </w:rPr>
        <w:t xml:space="preserve">hosting of state-wide professional learning communities and </w:t>
      </w:r>
      <w:r w:rsidR="0090175A" w:rsidRPr="008A5A66">
        <w:rPr>
          <w:bCs/>
        </w:rPr>
        <w:t>electronic communication channels</w:t>
      </w:r>
      <w:r w:rsidR="008D597D" w:rsidRPr="008A5A66">
        <w:rPr>
          <w:bCs/>
        </w:rPr>
        <w:t>.</w:t>
      </w:r>
    </w:p>
    <w:p w14:paraId="1FF6CAC1" w14:textId="0F5040D0" w:rsidR="00775B67" w:rsidRPr="008A5A66" w:rsidRDefault="001909C2" w:rsidP="00580925">
      <w:pPr>
        <w:spacing w:after="120"/>
        <w:rPr>
          <w:bCs/>
        </w:rPr>
      </w:pPr>
      <w:r w:rsidRPr="008A5A66">
        <w:rPr>
          <w:bCs/>
        </w:rPr>
        <w:t>The objectives of the</w:t>
      </w:r>
      <w:r w:rsidR="00775B67" w:rsidRPr="008A5A66">
        <w:rPr>
          <w:bCs/>
        </w:rPr>
        <w:t xml:space="preserve"> VALRC </w:t>
      </w:r>
      <w:r w:rsidRPr="008A5A66">
        <w:rPr>
          <w:bCs/>
        </w:rPr>
        <w:t>cooperative agreement</w:t>
      </w:r>
      <w:r w:rsidR="00775B67" w:rsidRPr="008A5A66">
        <w:rPr>
          <w:bCs/>
        </w:rPr>
        <w:t xml:space="preserve"> respond to the</w:t>
      </w:r>
      <w:r w:rsidRPr="008A5A66">
        <w:rPr>
          <w:bCs/>
        </w:rPr>
        <w:t xml:space="preserve"> </w:t>
      </w:r>
      <w:r w:rsidR="00775B67" w:rsidRPr="008A5A66">
        <w:rPr>
          <w:bCs/>
        </w:rPr>
        <w:t xml:space="preserve">WIOA Combined State Plan by </w:t>
      </w:r>
      <w:r w:rsidRPr="008A5A66">
        <w:rPr>
          <w:bCs/>
        </w:rPr>
        <w:t>supporting</w:t>
      </w:r>
      <w:r w:rsidR="00775B67" w:rsidRPr="008A5A66">
        <w:rPr>
          <w:bCs/>
        </w:rPr>
        <w:t xml:space="preserve"> </w:t>
      </w:r>
      <w:r w:rsidRPr="008A5A66">
        <w:rPr>
          <w:bCs/>
        </w:rPr>
        <w:t xml:space="preserve">implementation of </w:t>
      </w:r>
      <w:r w:rsidR="00775B67" w:rsidRPr="008A5A66">
        <w:rPr>
          <w:bCs/>
        </w:rPr>
        <w:t xml:space="preserve">three key </w:t>
      </w:r>
      <w:r w:rsidRPr="008A5A66">
        <w:rPr>
          <w:bCs/>
        </w:rPr>
        <w:t>t</w:t>
      </w:r>
      <w:r w:rsidR="00775B67" w:rsidRPr="008A5A66">
        <w:rPr>
          <w:bCs/>
        </w:rPr>
        <w:t xml:space="preserve">itle II </w:t>
      </w:r>
      <w:r w:rsidR="008D597D" w:rsidRPr="008A5A66">
        <w:rPr>
          <w:bCs/>
        </w:rPr>
        <w:t>priorities</w:t>
      </w:r>
      <w:r w:rsidRPr="008A5A66">
        <w:rPr>
          <w:bCs/>
        </w:rPr>
        <w:t>:</w:t>
      </w:r>
      <w:r w:rsidR="00775B67" w:rsidRPr="008A5A66">
        <w:rPr>
          <w:bCs/>
        </w:rPr>
        <w:t> 1) standards-based instr</w:t>
      </w:r>
      <w:r w:rsidR="00625E37" w:rsidRPr="008A5A66">
        <w:rPr>
          <w:bCs/>
        </w:rPr>
        <w:t>uction</w:t>
      </w:r>
      <w:r w:rsidR="00060E01" w:rsidRPr="008A5A66">
        <w:rPr>
          <w:bCs/>
        </w:rPr>
        <w:t xml:space="preserve"> (described on page 8)</w:t>
      </w:r>
      <w:r w:rsidR="00625E37" w:rsidRPr="008A5A66">
        <w:rPr>
          <w:bCs/>
        </w:rPr>
        <w:t>, 2) integrated education and</w:t>
      </w:r>
      <w:r w:rsidR="00775B67" w:rsidRPr="008A5A66">
        <w:rPr>
          <w:bCs/>
        </w:rPr>
        <w:t xml:space="preserve"> training and workforce preparation for career pathways</w:t>
      </w:r>
      <w:r w:rsidR="00AD2027" w:rsidRPr="008A5A66">
        <w:rPr>
          <w:bCs/>
        </w:rPr>
        <w:t xml:space="preserve"> which accommodates learners at all skill levels</w:t>
      </w:r>
      <w:r w:rsidR="00775B67" w:rsidRPr="008A5A66">
        <w:rPr>
          <w:bCs/>
        </w:rPr>
        <w:t xml:space="preserve">, and 3) </w:t>
      </w:r>
      <w:r w:rsidRPr="008A5A66">
        <w:rPr>
          <w:bCs/>
        </w:rPr>
        <w:t>technical assistance for</w:t>
      </w:r>
      <w:r w:rsidR="00775B67" w:rsidRPr="008A5A66">
        <w:rPr>
          <w:bCs/>
        </w:rPr>
        <w:t xml:space="preserve"> meeting performance </w:t>
      </w:r>
      <w:r w:rsidRPr="008A5A66">
        <w:rPr>
          <w:bCs/>
        </w:rPr>
        <w:t xml:space="preserve">targets and </w:t>
      </w:r>
      <w:r w:rsidR="0083423F" w:rsidRPr="008A5A66">
        <w:rPr>
          <w:bCs/>
        </w:rPr>
        <w:t>improving program design</w:t>
      </w:r>
      <w:r w:rsidR="00655872" w:rsidRPr="008A5A66">
        <w:rPr>
          <w:bCs/>
        </w:rPr>
        <w:t>.</w:t>
      </w:r>
      <w:r w:rsidR="008D597D" w:rsidRPr="008A5A66">
        <w:rPr>
          <w:bCs/>
        </w:rPr>
        <w:t xml:space="preserve"> </w:t>
      </w:r>
    </w:p>
    <w:p w14:paraId="4E8E43EB" w14:textId="77777777" w:rsidR="00775B67" w:rsidRPr="008A5A66" w:rsidRDefault="00775B67" w:rsidP="0028391E">
      <w:pPr>
        <w:pStyle w:val="Heading3"/>
        <w:spacing w:before="0"/>
        <w:rPr>
          <w:rFonts w:ascii="Times New Roman" w:hAnsi="Times New Roman" w:cs="Times New Roman"/>
          <w:color w:val="auto"/>
        </w:rPr>
      </w:pPr>
      <w:r w:rsidRPr="008A5A66">
        <w:rPr>
          <w:rFonts w:ascii="Times New Roman" w:hAnsi="Times New Roman" w:cs="Times New Roman"/>
          <w:color w:val="auto"/>
        </w:rPr>
        <w:t>Integrated Education and Training (IET)</w:t>
      </w:r>
    </w:p>
    <w:p w14:paraId="1F95BAD8" w14:textId="77777777" w:rsidR="0040507B" w:rsidRPr="008A5A66" w:rsidRDefault="00775B67" w:rsidP="0028391E">
      <w:pPr>
        <w:rPr>
          <w:bCs/>
        </w:rPr>
      </w:pPr>
      <w:r w:rsidRPr="008A5A66">
        <w:rPr>
          <w:bCs/>
        </w:rPr>
        <w:t xml:space="preserve">Professional development for integrated </w:t>
      </w:r>
      <w:r w:rsidR="0040239B" w:rsidRPr="008A5A66">
        <w:rPr>
          <w:bCs/>
        </w:rPr>
        <w:t xml:space="preserve">education and </w:t>
      </w:r>
      <w:r w:rsidRPr="008A5A66">
        <w:rPr>
          <w:bCs/>
        </w:rPr>
        <w:t xml:space="preserve">training </w:t>
      </w:r>
      <w:r w:rsidR="008D597D" w:rsidRPr="008A5A66">
        <w:rPr>
          <w:bCs/>
        </w:rPr>
        <w:t xml:space="preserve">(IET) </w:t>
      </w:r>
      <w:r w:rsidRPr="008A5A66">
        <w:rPr>
          <w:bCs/>
        </w:rPr>
        <w:t xml:space="preserve">and workforce preparation for career pathways continued with the development and refinement of the three-tiered Virginia </w:t>
      </w:r>
      <w:r w:rsidR="003F6CAF" w:rsidRPr="008A5A66">
        <w:rPr>
          <w:bCs/>
        </w:rPr>
        <w:t xml:space="preserve">IET Blueprint. </w:t>
      </w:r>
      <w:r w:rsidRPr="008A5A66">
        <w:rPr>
          <w:bCs/>
        </w:rPr>
        <w:t>This Blue</w:t>
      </w:r>
      <w:r w:rsidR="003F6CAF" w:rsidRPr="008A5A66">
        <w:rPr>
          <w:bCs/>
        </w:rPr>
        <w:t>print is based on the PluggedIn</w:t>
      </w:r>
      <w:r w:rsidR="008D597D" w:rsidRPr="008A5A66">
        <w:rPr>
          <w:bCs/>
        </w:rPr>
        <w:t>VA</w:t>
      </w:r>
      <w:r w:rsidRPr="008A5A66">
        <w:rPr>
          <w:bCs/>
        </w:rPr>
        <w:t xml:space="preserve"> model and aligns adult education and literacy activities with core </w:t>
      </w:r>
      <w:r w:rsidR="003F6CAF" w:rsidRPr="008A5A66">
        <w:rPr>
          <w:bCs/>
        </w:rPr>
        <w:t xml:space="preserve">WIOA </w:t>
      </w:r>
      <w:r w:rsidR="0040239B" w:rsidRPr="008A5A66">
        <w:rPr>
          <w:bCs/>
        </w:rPr>
        <w:t xml:space="preserve">requirements </w:t>
      </w:r>
      <w:r w:rsidRPr="008A5A66">
        <w:rPr>
          <w:bCs/>
        </w:rPr>
        <w:t>and one-stop partners</w:t>
      </w:r>
      <w:r w:rsidR="0040239B" w:rsidRPr="008A5A66">
        <w:rPr>
          <w:bCs/>
        </w:rPr>
        <w:t>hip agreements</w:t>
      </w:r>
      <w:r w:rsidRPr="008A5A66">
        <w:rPr>
          <w:bCs/>
        </w:rPr>
        <w:t>.</w:t>
      </w:r>
    </w:p>
    <w:p w14:paraId="13B40EA9" w14:textId="49C485E6" w:rsidR="00775B67" w:rsidRPr="008A5A66" w:rsidRDefault="003F6CAF" w:rsidP="0040507B">
      <w:pPr>
        <w:spacing w:after="120"/>
        <w:rPr>
          <w:rFonts w:eastAsia="Times New Roman"/>
          <w:b/>
          <w:sz w:val="28"/>
          <w:szCs w:val="28"/>
        </w:rPr>
      </w:pPr>
      <w:r w:rsidRPr="008A5A66">
        <w:rPr>
          <w:rFonts w:eastAsiaTheme="majorEastAsia"/>
        </w:rPr>
        <w:t xml:space="preserve">The </w:t>
      </w:r>
      <w:r w:rsidR="0040507B" w:rsidRPr="008A5A66">
        <w:rPr>
          <w:rFonts w:eastAsiaTheme="majorEastAsia"/>
        </w:rPr>
        <w:t xml:space="preserve">IET </w:t>
      </w:r>
      <w:r w:rsidRPr="008A5A66">
        <w:rPr>
          <w:rFonts w:eastAsiaTheme="majorEastAsia"/>
        </w:rPr>
        <w:t>B</w:t>
      </w:r>
      <w:r w:rsidR="00775B67" w:rsidRPr="008A5A66">
        <w:rPr>
          <w:rFonts w:eastAsiaTheme="majorEastAsia"/>
        </w:rPr>
        <w:t xml:space="preserve">lueprint includes learning competencies for each level, competencies for modules within each level, a curriculum framework for integrating </w:t>
      </w:r>
      <w:r w:rsidR="008D597D" w:rsidRPr="008A5A66">
        <w:rPr>
          <w:rFonts w:eastAsiaTheme="majorEastAsia"/>
        </w:rPr>
        <w:t>career and technical</w:t>
      </w:r>
      <w:r w:rsidR="0040239B" w:rsidRPr="008A5A66">
        <w:rPr>
          <w:rFonts w:eastAsiaTheme="majorEastAsia"/>
        </w:rPr>
        <w:t xml:space="preserve"> interests and resources</w:t>
      </w:r>
      <w:r w:rsidR="008D597D" w:rsidRPr="008A5A66">
        <w:rPr>
          <w:rFonts w:eastAsiaTheme="majorEastAsia"/>
        </w:rPr>
        <w:t xml:space="preserve"> with</w:t>
      </w:r>
      <w:r w:rsidR="00775B67" w:rsidRPr="008A5A66">
        <w:rPr>
          <w:rFonts w:eastAsiaTheme="majorEastAsia"/>
        </w:rPr>
        <w:t xml:space="preserve"> academic inst</w:t>
      </w:r>
      <w:r w:rsidR="008C38B8" w:rsidRPr="008A5A66">
        <w:rPr>
          <w:rFonts w:eastAsiaTheme="majorEastAsia"/>
        </w:rPr>
        <w:t>ruction</w:t>
      </w:r>
      <w:r w:rsidR="00775B67" w:rsidRPr="008A5A66">
        <w:rPr>
          <w:rFonts w:eastAsiaTheme="majorEastAsia"/>
        </w:rPr>
        <w:t>, programm</w:t>
      </w:r>
      <w:r w:rsidR="008D597D" w:rsidRPr="008A5A66">
        <w:rPr>
          <w:rFonts w:eastAsiaTheme="majorEastAsia"/>
        </w:rPr>
        <w:t>atic guidance on structuring</w:t>
      </w:r>
      <w:r w:rsidR="00775B67" w:rsidRPr="008A5A66">
        <w:rPr>
          <w:rFonts w:eastAsiaTheme="majorEastAsia"/>
        </w:rPr>
        <w:t xml:space="preserve"> IET, resources and guidance for partnerships </w:t>
      </w:r>
      <w:r w:rsidRPr="008A5A66">
        <w:rPr>
          <w:rFonts w:eastAsiaTheme="majorEastAsia"/>
        </w:rPr>
        <w:t>and one-s</w:t>
      </w:r>
      <w:r w:rsidR="00775B67" w:rsidRPr="008A5A66">
        <w:rPr>
          <w:rFonts w:eastAsiaTheme="majorEastAsia"/>
        </w:rPr>
        <w:t xml:space="preserve">top activities, and a process for engaging with </w:t>
      </w:r>
      <w:r w:rsidRPr="008A5A66">
        <w:rPr>
          <w:rFonts w:eastAsiaTheme="majorEastAsia"/>
        </w:rPr>
        <w:t xml:space="preserve">workforce </w:t>
      </w:r>
      <w:r w:rsidR="00775B67" w:rsidRPr="008A5A66">
        <w:rPr>
          <w:rFonts w:eastAsiaTheme="majorEastAsia"/>
        </w:rPr>
        <w:t xml:space="preserve">partners using regional sector strategies.  At the end of </w:t>
      </w:r>
      <w:r w:rsidR="008D597D" w:rsidRPr="008A5A66">
        <w:rPr>
          <w:rFonts w:eastAsiaTheme="majorEastAsia"/>
        </w:rPr>
        <w:t xml:space="preserve">program year </w:t>
      </w:r>
      <w:r w:rsidR="00775B67" w:rsidRPr="008A5A66">
        <w:rPr>
          <w:rFonts w:eastAsiaTheme="majorEastAsia"/>
        </w:rPr>
        <w:t>2016-</w:t>
      </w:r>
      <w:r w:rsidRPr="008A5A66">
        <w:rPr>
          <w:rFonts w:eastAsiaTheme="majorEastAsia"/>
        </w:rPr>
        <w:t>20</w:t>
      </w:r>
      <w:r w:rsidR="00775B67" w:rsidRPr="008A5A66">
        <w:rPr>
          <w:rFonts w:eastAsiaTheme="majorEastAsia"/>
        </w:rPr>
        <w:t>17</w:t>
      </w:r>
      <w:r w:rsidR="00D64150" w:rsidRPr="008A5A66">
        <w:rPr>
          <w:rFonts w:eastAsiaTheme="majorEastAsia"/>
        </w:rPr>
        <w:t>,</w:t>
      </w:r>
      <w:r w:rsidR="00775B67" w:rsidRPr="008A5A66">
        <w:rPr>
          <w:rFonts w:eastAsiaTheme="majorEastAsia"/>
        </w:rPr>
        <w:t xml:space="preserve"> the Blueprint was housed on a </w:t>
      </w:r>
      <w:proofErr w:type="spellStart"/>
      <w:r w:rsidR="00775B67" w:rsidRPr="008A5A66">
        <w:rPr>
          <w:rFonts w:eastAsiaTheme="majorEastAsia"/>
        </w:rPr>
        <w:t>Wordpress</w:t>
      </w:r>
      <w:proofErr w:type="spellEnd"/>
      <w:r w:rsidR="00775B67" w:rsidRPr="008A5A66">
        <w:rPr>
          <w:rFonts w:eastAsiaTheme="majorEastAsia"/>
        </w:rPr>
        <w:t xml:space="preserve"> site, and sitemaps had been developed for transfer to an interactive web platform. </w:t>
      </w:r>
      <w:r w:rsidR="00785E5A" w:rsidRPr="008A5A66">
        <w:rPr>
          <w:rFonts w:eastAsiaTheme="majorEastAsia"/>
        </w:rPr>
        <w:t>The outline of the</w:t>
      </w:r>
      <w:r w:rsidR="008D597D" w:rsidRPr="008A5A66">
        <w:rPr>
          <w:rFonts w:eastAsiaTheme="majorEastAsia"/>
        </w:rPr>
        <w:t xml:space="preserve"> Blueprint has been shared with WIOA partners </w:t>
      </w:r>
      <w:r w:rsidR="00D64150" w:rsidRPr="008A5A66">
        <w:rPr>
          <w:rFonts w:eastAsiaTheme="majorEastAsia"/>
        </w:rPr>
        <w:t xml:space="preserve">that </w:t>
      </w:r>
      <w:r w:rsidR="008D597D" w:rsidRPr="008A5A66">
        <w:rPr>
          <w:rFonts w:eastAsiaTheme="majorEastAsia"/>
        </w:rPr>
        <w:t xml:space="preserve">are also </w:t>
      </w:r>
      <w:r w:rsidR="008D597D" w:rsidRPr="008A5A66">
        <w:rPr>
          <w:rFonts w:eastAsiaTheme="majorEastAsia"/>
        </w:rPr>
        <w:lastRenderedPageBreak/>
        <w:t xml:space="preserve">funding various PluggedInVA programs in community colleges through </w:t>
      </w:r>
      <w:r w:rsidR="00892772" w:rsidRPr="008A5A66">
        <w:t xml:space="preserve">the </w:t>
      </w:r>
      <w:r w:rsidR="00D64150" w:rsidRPr="008A5A66">
        <w:rPr>
          <w:rFonts w:eastAsiaTheme="majorEastAsia"/>
        </w:rPr>
        <w:t>Supplemental</w:t>
      </w:r>
      <w:r w:rsidR="00D64150" w:rsidRPr="008A5A66">
        <w:t xml:space="preserve"> Nutrition </w:t>
      </w:r>
      <w:r w:rsidR="00097339" w:rsidRPr="008A5A66">
        <w:t xml:space="preserve">Assistance Program </w:t>
      </w:r>
      <w:r w:rsidR="00D64150" w:rsidRPr="008A5A66">
        <w:t>Employment and Training (SNAP E&amp;T) research project</w:t>
      </w:r>
      <w:r w:rsidR="00892772" w:rsidRPr="008A5A66">
        <w:t xml:space="preserve">, </w:t>
      </w:r>
      <w:r w:rsidR="00892772" w:rsidRPr="008A5A66">
        <w:rPr>
          <w:rFonts w:eastAsiaTheme="majorEastAsia"/>
          <w:bCs/>
        </w:rPr>
        <w:t xml:space="preserve">a </w:t>
      </w:r>
      <w:r w:rsidR="006F2C6E" w:rsidRPr="008A5A66">
        <w:rPr>
          <w:bCs/>
        </w:rPr>
        <w:t>U.</w:t>
      </w:r>
      <w:r w:rsidR="0040507B" w:rsidRPr="008A5A66">
        <w:rPr>
          <w:bCs/>
        </w:rPr>
        <w:t>S.</w:t>
      </w:r>
      <w:r w:rsidR="0040507B" w:rsidRPr="008A5A66">
        <w:rPr>
          <w:b/>
          <w:bCs/>
        </w:rPr>
        <w:t xml:space="preserve"> </w:t>
      </w:r>
      <w:r w:rsidR="008C38B8" w:rsidRPr="008A5A66">
        <w:rPr>
          <w:rFonts w:eastAsiaTheme="majorEastAsia"/>
          <w:bCs/>
        </w:rPr>
        <w:t>Department of Labor</w:t>
      </w:r>
      <w:r w:rsidR="00892772" w:rsidRPr="008A5A66">
        <w:rPr>
          <w:rFonts w:eastAsiaTheme="majorEastAsia"/>
          <w:bCs/>
        </w:rPr>
        <w:t xml:space="preserve">-funded Disability Employment Initiative grant project, </w:t>
      </w:r>
      <w:r w:rsidR="006D1AD4" w:rsidRPr="008A5A66">
        <w:rPr>
          <w:rFonts w:eastAsiaTheme="majorEastAsia"/>
          <w:bCs/>
        </w:rPr>
        <w:t xml:space="preserve">the </w:t>
      </w:r>
      <w:r w:rsidR="001B22FA" w:rsidRPr="008A5A66">
        <w:rPr>
          <w:rFonts w:eastAsiaTheme="majorEastAsia"/>
          <w:bCs/>
        </w:rPr>
        <w:t xml:space="preserve">Trade Adjustment Act, </w:t>
      </w:r>
      <w:r w:rsidR="00892772" w:rsidRPr="008A5A66">
        <w:rPr>
          <w:rFonts w:eastAsiaTheme="majorEastAsia"/>
          <w:bCs/>
        </w:rPr>
        <w:t>and</w:t>
      </w:r>
      <w:r w:rsidR="00892772" w:rsidRPr="008A5A66">
        <w:t xml:space="preserve"> </w:t>
      </w:r>
      <w:r w:rsidR="00892772" w:rsidRPr="008A5A66">
        <w:rPr>
          <w:rFonts w:eastAsiaTheme="majorEastAsia"/>
          <w:bCs/>
        </w:rPr>
        <w:t>philanthropic funding</w:t>
      </w:r>
      <w:r w:rsidR="00892772" w:rsidRPr="008A5A66">
        <w:t xml:space="preserve">. </w:t>
      </w:r>
      <w:r w:rsidR="00785E5A" w:rsidRPr="008A5A66">
        <w:rPr>
          <w:rFonts w:eastAsiaTheme="majorEastAsia"/>
          <w:bCs/>
        </w:rPr>
        <w:t>The statewide Career Pathways Work Group plans to continue to share this resource through program year 2017-2018 as it becomes available on the web and to promote its use as a consistent model and source of technical assistance.</w:t>
      </w:r>
    </w:p>
    <w:p w14:paraId="7812AC19" w14:textId="77777777" w:rsidR="00775B67" w:rsidRPr="008A5A66" w:rsidRDefault="00775B67" w:rsidP="0028391E">
      <w:pPr>
        <w:pStyle w:val="Heading3"/>
        <w:spacing w:before="0"/>
        <w:rPr>
          <w:rFonts w:ascii="Times New Roman" w:hAnsi="Times New Roman" w:cs="Times New Roman"/>
          <w:color w:val="auto"/>
        </w:rPr>
      </w:pPr>
      <w:r w:rsidRPr="008A5A66">
        <w:rPr>
          <w:rFonts w:ascii="Times New Roman" w:hAnsi="Times New Roman" w:cs="Times New Roman"/>
          <w:color w:val="auto"/>
        </w:rPr>
        <w:t>Online and On-Site Training</w:t>
      </w:r>
    </w:p>
    <w:p w14:paraId="7F6144DF" w14:textId="42DC98A8" w:rsidR="00775B67" w:rsidRPr="008A5A66" w:rsidRDefault="003F6CAF" w:rsidP="0028391E">
      <w:pPr>
        <w:rPr>
          <w:bCs/>
        </w:rPr>
      </w:pPr>
      <w:r w:rsidRPr="008A5A66">
        <w:rPr>
          <w:bCs/>
        </w:rPr>
        <w:t>Virtual professional development</w:t>
      </w:r>
      <w:r w:rsidR="008C38B8" w:rsidRPr="008A5A66">
        <w:rPr>
          <w:bCs/>
        </w:rPr>
        <w:t xml:space="preserve"> delivered via webinars and un</w:t>
      </w:r>
      <w:r w:rsidRPr="008A5A66">
        <w:rPr>
          <w:bCs/>
        </w:rPr>
        <w:t>facilitated online tutorials continued to be the primary delivery method</w:t>
      </w:r>
      <w:r w:rsidR="00892772" w:rsidRPr="008A5A66">
        <w:rPr>
          <w:bCs/>
        </w:rPr>
        <w:t>s</w:t>
      </w:r>
      <w:r w:rsidRPr="008A5A66">
        <w:rPr>
          <w:bCs/>
        </w:rPr>
        <w:t xml:space="preserve"> for professional development in </w:t>
      </w:r>
      <w:r w:rsidR="00785E5A" w:rsidRPr="008A5A66">
        <w:rPr>
          <w:bCs/>
        </w:rPr>
        <w:t xml:space="preserve">program year </w:t>
      </w:r>
      <w:r w:rsidRPr="008A5A66">
        <w:rPr>
          <w:bCs/>
        </w:rPr>
        <w:t>2016-</w:t>
      </w:r>
      <w:r w:rsidR="00785E5A" w:rsidRPr="008A5A66">
        <w:rPr>
          <w:bCs/>
        </w:rPr>
        <w:t>20</w:t>
      </w:r>
      <w:r w:rsidRPr="008A5A66">
        <w:rPr>
          <w:bCs/>
        </w:rPr>
        <w:t xml:space="preserve">17. All VALRC professional development activities are managed </w:t>
      </w:r>
      <w:r w:rsidR="00E5095B" w:rsidRPr="008A5A66">
        <w:rPr>
          <w:bCs/>
        </w:rPr>
        <w:t xml:space="preserve">using the Commonwealth of </w:t>
      </w:r>
      <w:r w:rsidRPr="008A5A66">
        <w:rPr>
          <w:bCs/>
        </w:rPr>
        <w:t>Virginia’s Knowledge Center learning management system</w:t>
      </w:r>
      <w:r w:rsidR="00785E5A" w:rsidRPr="008A5A66">
        <w:rPr>
          <w:bCs/>
        </w:rPr>
        <w:t xml:space="preserve"> (LMS)</w:t>
      </w:r>
      <w:r w:rsidRPr="008A5A66">
        <w:rPr>
          <w:bCs/>
        </w:rPr>
        <w:t>. This LMS is available to all state agencies free of charge. Highlights</w:t>
      </w:r>
      <w:r w:rsidR="00775B67" w:rsidRPr="008A5A66">
        <w:rPr>
          <w:bCs/>
        </w:rPr>
        <w:t xml:space="preserve"> </w:t>
      </w:r>
      <w:r w:rsidRPr="008A5A66">
        <w:rPr>
          <w:bCs/>
        </w:rPr>
        <w:t xml:space="preserve">of VALRC’s </w:t>
      </w:r>
      <w:r w:rsidR="00775B67" w:rsidRPr="008A5A66">
        <w:rPr>
          <w:bCs/>
        </w:rPr>
        <w:t>program year 2016-2017</w:t>
      </w:r>
      <w:r w:rsidR="00785E5A" w:rsidRPr="008A5A66">
        <w:rPr>
          <w:bCs/>
        </w:rPr>
        <w:t xml:space="preserve"> </w:t>
      </w:r>
      <w:r w:rsidR="00060E01" w:rsidRPr="008A5A66">
        <w:rPr>
          <w:bCs/>
        </w:rPr>
        <w:t>are below</w:t>
      </w:r>
      <w:r w:rsidR="00785E5A" w:rsidRPr="008A5A66">
        <w:rPr>
          <w:bCs/>
        </w:rPr>
        <w:t>.</w:t>
      </w:r>
    </w:p>
    <w:p w14:paraId="519C20B6" w14:textId="30CDDF42" w:rsidR="00775B67" w:rsidRPr="008A5A66" w:rsidRDefault="008378C7" w:rsidP="00580925">
      <w:pPr>
        <w:pStyle w:val="ListParagraph"/>
        <w:numPr>
          <w:ilvl w:val="0"/>
          <w:numId w:val="3"/>
        </w:numPr>
        <w:spacing w:after="120"/>
        <w:contextualSpacing w:val="0"/>
        <w:rPr>
          <w:bCs/>
        </w:rPr>
      </w:pPr>
      <w:r w:rsidRPr="008A5A66">
        <w:rPr>
          <w:bCs/>
        </w:rPr>
        <w:t>Supported completion of</w:t>
      </w:r>
      <w:r w:rsidR="00775B67" w:rsidRPr="008A5A66">
        <w:rPr>
          <w:bCs/>
        </w:rPr>
        <w:t xml:space="preserve"> over 1</w:t>
      </w:r>
      <w:r w:rsidR="003F6CAF" w:rsidRPr="008A5A66">
        <w:rPr>
          <w:bCs/>
        </w:rPr>
        <w:t>,</w:t>
      </w:r>
      <w:r w:rsidR="00775B67" w:rsidRPr="008A5A66">
        <w:rPr>
          <w:bCs/>
        </w:rPr>
        <w:t xml:space="preserve">500 </w:t>
      </w:r>
      <w:r w:rsidR="008C38B8" w:rsidRPr="008A5A66">
        <w:rPr>
          <w:bCs/>
        </w:rPr>
        <w:t xml:space="preserve">training </w:t>
      </w:r>
      <w:r w:rsidRPr="008A5A66">
        <w:rPr>
          <w:bCs/>
        </w:rPr>
        <w:t>course</w:t>
      </w:r>
      <w:r w:rsidR="00785E5A" w:rsidRPr="008A5A66">
        <w:rPr>
          <w:bCs/>
        </w:rPr>
        <w:t>s</w:t>
      </w:r>
      <w:r w:rsidR="00775B67" w:rsidRPr="008A5A66">
        <w:rPr>
          <w:bCs/>
        </w:rPr>
        <w:t xml:space="preserve"> </w:t>
      </w:r>
      <w:r w:rsidRPr="008A5A66">
        <w:rPr>
          <w:bCs/>
        </w:rPr>
        <w:t xml:space="preserve">by practitioners </w:t>
      </w:r>
      <w:r w:rsidR="00785E5A" w:rsidRPr="008A5A66">
        <w:rPr>
          <w:bCs/>
        </w:rPr>
        <w:t>from across</w:t>
      </w:r>
      <w:r w:rsidR="00775B67" w:rsidRPr="008A5A66">
        <w:rPr>
          <w:bCs/>
        </w:rPr>
        <w:t xml:space="preserve"> the state. </w:t>
      </w:r>
    </w:p>
    <w:p w14:paraId="6D9FD023" w14:textId="0389C5A9" w:rsidR="00775B67" w:rsidRPr="008A5A66" w:rsidRDefault="003F6CAF" w:rsidP="00580925">
      <w:pPr>
        <w:pStyle w:val="ListParagraph"/>
        <w:numPr>
          <w:ilvl w:val="0"/>
          <w:numId w:val="3"/>
        </w:numPr>
        <w:spacing w:after="120"/>
        <w:contextualSpacing w:val="0"/>
        <w:rPr>
          <w:bCs/>
        </w:rPr>
      </w:pPr>
      <w:r w:rsidRPr="008A5A66">
        <w:rPr>
          <w:bCs/>
        </w:rPr>
        <w:t>O</w:t>
      </w:r>
      <w:r w:rsidR="00775B67" w:rsidRPr="008A5A66">
        <w:rPr>
          <w:bCs/>
        </w:rPr>
        <w:t xml:space="preserve">ffered six- and eight-week facilitated online </w:t>
      </w:r>
      <w:r w:rsidR="00892772" w:rsidRPr="008A5A66">
        <w:rPr>
          <w:bCs/>
        </w:rPr>
        <w:t xml:space="preserve">professional development </w:t>
      </w:r>
      <w:r w:rsidR="00775B67" w:rsidRPr="008A5A66">
        <w:rPr>
          <w:bCs/>
        </w:rPr>
        <w:t>courses on topics such as ESOL multilevel</w:t>
      </w:r>
      <w:r w:rsidR="00775B67" w:rsidRPr="008A5A66">
        <w:t xml:space="preserve"> </w:t>
      </w:r>
      <w:r w:rsidR="00775B67" w:rsidRPr="008A5A66">
        <w:rPr>
          <w:bCs/>
        </w:rPr>
        <w:t>classes, reading, and numeracy</w:t>
      </w:r>
      <w:r w:rsidR="00892772" w:rsidRPr="008A5A66">
        <w:rPr>
          <w:bCs/>
        </w:rPr>
        <w:t>;</w:t>
      </w:r>
      <w:r w:rsidR="008C38B8" w:rsidRPr="008A5A66">
        <w:rPr>
          <w:bCs/>
        </w:rPr>
        <w:t xml:space="preserve"> and self-paced, un</w:t>
      </w:r>
      <w:r w:rsidR="00775B67" w:rsidRPr="008A5A66">
        <w:rPr>
          <w:bCs/>
        </w:rPr>
        <w:t>facilitated</w:t>
      </w:r>
      <w:r w:rsidR="00775B67" w:rsidRPr="008A5A66">
        <w:t xml:space="preserve"> </w:t>
      </w:r>
      <w:r w:rsidR="00775B67" w:rsidRPr="008A5A66">
        <w:rPr>
          <w:bCs/>
        </w:rPr>
        <w:t xml:space="preserve">courses that provided fundamental </w:t>
      </w:r>
      <w:r w:rsidR="00892772" w:rsidRPr="008A5A66">
        <w:rPr>
          <w:bCs/>
        </w:rPr>
        <w:t xml:space="preserve">knowledge of the </w:t>
      </w:r>
      <w:r w:rsidR="00775B67" w:rsidRPr="008A5A66">
        <w:rPr>
          <w:bCs/>
        </w:rPr>
        <w:t>College and Career Readiness Standards</w:t>
      </w:r>
      <w:r w:rsidR="00AA7720" w:rsidRPr="008A5A66">
        <w:rPr>
          <w:bCs/>
        </w:rPr>
        <w:t xml:space="preserve"> and instructional strategies for implementing a standards-based approach to instruction</w:t>
      </w:r>
      <w:r w:rsidR="00775B67" w:rsidRPr="008A5A66">
        <w:rPr>
          <w:bCs/>
        </w:rPr>
        <w:t xml:space="preserve"> and </w:t>
      </w:r>
      <w:r w:rsidR="0040507B" w:rsidRPr="008A5A66">
        <w:rPr>
          <w:bCs/>
        </w:rPr>
        <w:t>c</w:t>
      </w:r>
      <w:r w:rsidR="00775B67" w:rsidRPr="008A5A66">
        <w:rPr>
          <w:bCs/>
        </w:rPr>
        <w:t xml:space="preserve">areer </w:t>
      </w:r>
      <w:r w:rsidR="0040507B" w:rsidRPr="008A5A66">
        <w:rPr>
          <w:bCs/>
        </w:rPr>
        <w:t>p</w:t>
      </w:r>
      <w:r w:rsidR="00775B67" w:rsidRPr="008A5A66">
        <w:rPr>
          <w:bCs/>
        </w:rPr>
        <w:t xml:space="preserve">athways.  </w:t>
      </w:r>
    </w:p>
    <w:p w14:paraId="2700CFBE" w14:textId="4A27A726" w:rsidR="00775B67" w:rsidRPr="008A5A66" w:rsidRDefault="003F6CAF" w:rsidP="00580925">
      <w:pPr>
        <w:pStyle w:val="ListParagraph"/>
        <w:numPr>
          <w:ilvl w:val="0"/>
          <w:numId w:val="3"/>
        </w:numPr>
        <w:spacing w:after="120"/>
        <w:contextualSpacing w:val="0"/>
        <w:rPr>
          <w:bCs/>
        </w:rPr>
      </w:pPr>
      <w:r w:rsidRPr="008A5A66">
        <w:rPr>
          <w:bCs/>
        </w:rPr>
        <w:t>P</w:t>
      </w:r>
      <w:r w:rsidR="00775B67" w:rsidRPr="008A5A66">
        <w:rPr>
          <w:bCs/>
        </w:rPr>
        <w:t xml:space="preserve">rovided </w:t>
      </w:r>
      <w:r w:rsidRPr="008A5A66">
        <w:rPr>
          <w:bCs/>
        </w:rPr>
        <w:t>assessment</w:t>
      </w:r>
      <w:r w:rsidR="00775B67" w:rsidRPr="008A5A66">
        <w:rPr>
          <w:bCs/>
        </w:rPr>
        <w:t xml:space="preserve"> certification and certification renewal.  </w:t>
      </w:r>
    </w:p>
    <w:p w14:paraId="652E7DC5" w14:textId="1743EFF1" w:rsidR="00775B67" w:rsidRPr="008A5A66" w:rsidRDefault="003F6CAF" w:rsidP="00580925">
      <w:pPr>
        <w:pStyle w:val="ListParagraph"/>
        <w:numPr>
          <w:ilvl w:val="0"/>
          <w:numId w:val="3"/>
        </w:numPr>
        <w:spacing w:after="120"/>
        <w:contextualSpacing w:val="0"/>
        <w:rPr>
          <w:bCs/>
          <w:i/>
        </w:rPr>
      </w:pPr>
      <w:r w:rsidRPr="008A5A66">
        <w:rPr>
          <w:bCs/>
        </w:rPr>
        <w:t>D</w:t>
      </w:r>
      <w:r w:rsidR="00775B67" w:rsidRPr="008A5A66">
        <w:rPr>
          <w:bCs/>
        </w:rPr>
        <w:t xml:space="preserve">esigned and delivered, in collaboration with </w:t>
      </w:r>
      <w:r w:rsidR="00785E5A" w:rsidRPr="008A5A66">
        <w:rPr>
          <w:bCs/>
        </w:rPr>
        <w:t xml:space="preserve">the </w:t>
      </w:r>
      <w:r w:rsidR="00775B67" w:rsidRPr="008A5A66">
        <w:rPr>
          <w:bCs/>
        </w:rPr>
        <w:t>Department for Aging and Rehabilitative Services</w:t>
      </w:r>
      <w:r w:rsidR="002A5EE4" w:rsidRPr="008A5A66">
        <w:rPr>
          <w:bCs/>
        </w:rPr>
        <w:t>,</w:t>
      </w:r>
      <w:r w:rsidR="00775B67" w:rsidRPr="008A5A66">
        <w:rPr>
          <w:bCs/>
        </w:rPr>
        <w:t xml:space="preserve"> a six-week facilitated online </w:t>
      </w:r>
      <w:r w:rsidR="00AA7720" w:rsidRPr="008A5A66">
        <w:rPr>
          <w:bCs/>
        </w:rPr>
        <w:t xml:space="preserve">pilot </w:t>
      </w:r>
      <w:r w:rsidR="00775B67" w:rsidRPr="008A5A66">
        <w:rPr>
          <w:bCs/>
        </w:rPr>
        <w:t xml:space="preserve">course, </w:t>
      </w:r>
      <w:r w:rsidR="00775B67" w:rsidRPr="008A5A66">
        <w:rPr>
          <w:bCs/>
          <w:i/>
        </w:rPr>
        <w:t>Disabilities and the Adult Learner.</w:t>
      </w:r>
    </w:p>
    <w:p w14:paraId="439BCEED" w14:textId="63A1C256" w:rsidR="00775B67" w:rsidRPr="008A5A66" w:rsidRDefault="003F6CAF" w:rsidP="00580925">
      <w:pPr>
        <w:pStyle w:val="ListParagraph"/>
        <w:numPr>
          <w:ilvl w:val="0"/>
          <w:numId w:val="3"/>
        </w:numPr>
        <w:spacing w:after="120"/>
        <w:contextualSpacing w:val="0"/>
        <w:rPr>
          <w:bCs/>
        </w:rPr>
      </w:pPr>
      <w:r w:rsidRPr="008A5A66">
        <w:rPr>
          <w:bCs/>
        </w:rPr>
        <w:t>C</w:t>
      </w:r>
      <w:r w:rsidR="00775B67" w:rsidRPr="008A5A66">
        <w:rPr>
          <w:bCs/>
        </w:rPr>
        <w:t>reated an MOU with the Department of Corrections and conducted trainings at their request.</w:t>
      </w:r>
    </w:p>
    <w:p w14:paraId="4B5E2434" w14:textId="5782BC52" w:rsidR="00775B67" w:rsidRPr="008A5A66" w:rsidRDefault="003F6CAF" w:rsidP="00580925">
      <w:pPr>
        <w:pStyle w:val="ListParagraph"/>
        <w:numPr>
          <w:ilvl w:val="0"/>
          <w:numId w:val="3"/>
        </w:numPr>
        <w:spacing w:after="120"/>
        <w:contextualSpacing w:val="0"/>
        <w:rPr>
          <w:bCs/>
        </w:rPr>
      </w:pPr>
      <w:r w:rsidRPr="008A5A66">
        <w:rPr>
          <w:bCs/>
        </w:rPr>
        <w:t>C</w:t>
      </w:r>
      <w:r w:rsidR="00775B67" w:rsidRPr="008A5A66">
        <w:rPr>
          <w:bCs/>
        </w:rPr>
        <w:t xml:space="preserve">ontinued hybrid training (both face-to-face and </w:t>
      </w:r>
      <w:r w:rsidR="00AA7720" w:rsidRPr="008A5A66">
        <w:rPr>
          <w:bCs/>
        </w:rPr>
        <w:t>online</w:t>
      </w:r>
      <w:r w:rsidRPr="008A5A66">
        <w:rPr>
          <w:bCs/>
        </w:rPr>
        <w:t>)</w:t>
      </w:r>
      <w:r w:rsidR="00775B67" w:rsidRPr="008A5A66">
        <w:rPr>
          <w:bCs/>
        </w:rPr>
        <w:t xml:space="preserve"> for new National External Diploma Program (NEDP) assessors and created guidance for NEDP program startup.</w:t>
      </w:r>
    </w:p>
    <w:p w14:paraId="759FAB04" w14:textId="4D7F6909" w:rsidR="00775B67" w:rsidRPr="008A5A66" w:rsidRDefault="003F6CAF" w:rsidP="00580925">
      <w:pPr>
        <w:pStyle w:val="ListParagraph"/>
        <w:numPr>
          <w:ilvl w:val="0"/>
          <w:numId w:val="3"/>
        </w:numPr>
        <w:spacing w:after="120"/>
        <w:contextualSpacing w:val="0"/>
        <w:rPr>
          <w:bCs/>
        </w:rPr>
      </w:pPr>
      <w:r w:rsidRPr="008A5A66">
        <w:rPr>
          <w:bCs/>
        </w:rPr>
        <w:t>D</w:t>
      </w:r>
      <w:r w:rsidR="00775B67" w:rsidRPr="008A5A66">
        <w:rPr>
          <w:bCs/>
        </w:rPr>
        <w:t xml:space="preserve">esigned and delivered </w:t>
      </w:r>
      <w:r w:rsidR="00775B67" w:rsidRPr="008A5A66">
        <w:rPr>
          <w:bCs/>
          <w:i/>
        </w:rPr>
        <w:t>Leading Through Change Parts 1 &amp; 2</w:t>
      </w:r>
      <w:r w:rsidR="00775B67" w:rsidRPr="008A5A66">
        <w:rPr>
          <w:bCs/>
        </w:rPr>
        <w:t xml:space="preserve"> at the </w:t>
      </w:r>
      <w:r w:rsidR="00785E5A" w:rsidRPr="008A5A66">
        <w:rPr>
          <w:bCs/>
        </w:rPr>
        <w:t>Fall</w:t>
      </w:r>
      <w:r w:rsidR="00775B67" w:rsidRPr="008A5A66">
        <w:rPr>
          <w:bCs/>
        </w:rPr>
        <w:t xml:space="preserve"> 2016 Regional Program Manager</w:t>
      </w:r>
      <w:r w:rsidR="00AA7720" w:rsidRPr="008A5A66">
        <w:rPr>
          <w:bCs/>
        </w:rPr>
        <w:t xml:space="preserve">, </w:t>
      </w:r>
      <w:r w:rsidR="00775B67" w:rsidRPr="008A5A66">
        <w:rPr>
          <w:bCs/>
        </w:rPr>
        <w:t xml:space="preserve">Regional Program Specialist, </w:t>
      </w:r>
      <w:r w:rsidR="00AA7720" w:rsidRPr="008A5A66">
        <w:rPr>
          <w:bCs/>
        </w:rPr>
        <w:t xml:space="preserve">and </w:t>
      </w:r>
      <w:r w:rsidRPr="008A5A66">
        <w:rPr>
          <w:bCs/>
        </w:rPr>
        <w:t>IELCE</w:t>
      </w:r>
      <w:r w:rsidR="00775B67" w:rsidRPr="008A5A66">
        <w:rPr>
          <w:bCs/>
        </w:rPr>
        <w:t xml:space="preserve"> Managers meeting</w:t>
      </w:r>
      <w:r w:rsidRPr="008A5A66">
        <w:rPr>
          <w:bCs/>
        </w:rPr>
        <w:t>.</w:t>
      </w:r>
    </w:p>
    <w:p w14:paraId="0970A747" w14:textId="2458A4C7" w:rsidR="00775B67" w:rsidRPr="008A5A66" w:rsidRDefault="003F6CAF" w:rsidP="00580925">
      <w:pPr>
        <w:pStyle w:val="ListParagraph"/>
        <w:numPr>
          <w:ilvl w:val="0"/>
          <w:numId w:val="3"/>
        </w:numPr>
        <w:spacing w:after="120"/>
        <w:contextualSpacing w:val="0"/>
        <w:rPr>
          <w:bCs/>
        </w:rPr>
      </w:pPr>
      <w:r w:rsidRPr="008A5A66">
        <w:rPr>
          <w:bCs/>
        </w:rPr>
        <w:t>D</w:t>
      </w:r>
      <w:r w:rsidR="00775B67" w:rsidRPr="008A5A66">
        <w:rPr>
          <w:bCs/>
        </w:rPr>
        <w:t xml:space="preserve">eveloped and implemented, with </w:t>
      </w:r>
      <w:r w:rsidRPr="008A5A66">
        <w:rPr>
          <w:bCs/>
        </w:rPr>
        <w:t>VDOE</w:t>
      </w:r>
      <w:r w:rsidR="00775B67" w:rsidRPr="008A5A66">
        <w:rPr>
          <w:bCs/>
        </w:rPr>
        <w:t>, a four-week</w:t>
      </w:r>
      <w:r w:rsidR="00AA7720" w:rsidRPr="008A5A66">
        <w:rPr>
          <w:bCs/>
        </w:rPr>
        <w:t>,</w:t>
      </w:r>
      <w:r w:rsidR="00775B67" w:rsidRPr="008A5A66">
        <w:rPr>
          <w:bCs/>
        </w:rPr>
        <w:t xml:space="preserve"> facilitated online training</w:t>
      </w:r>
      <w:r w:rsidR="00785E5A" w:rsidRPr="008A5A66">
        <w:rPr>
          <w:bCs/>
        </w:rPr>
        <w:t>,</w:t>
      </w:r>
      <w:r w:rsidR="00775B67" w:rsidRPr="008A5A66">
        <w:rPr>
          <w:bCs/>
        </w:rPr>
        <w:t xml:space="preserve"> </w:t>
      </w:r>
      <w:r w:rsidR="00775B67" w:rsidRPr="008A5A66">
        <w:rPr>
          <w:bCs/>
          <w:i/>
        </w:rPr>
        <w:t>NRS Table Changes</w:t>
      </w:r>
      <w:r w:rsidR="00775B67" w:rsidRPr="008A5A66">
        <w:rPr>
          <w:bCs/>
        </w:rPr>
        <w:t xml:space="preserve">, based on </w:t>
      </w:r>
      <w:r w:rsidRPr="008A5A66">
        <w:rPr>
          <w:bCs/>
        </w:rPr>
        <w:t xml:space="preserve">the </w:t>
      </w:r>
      <w:r w:rsidR="00785E5A" w:rsidRPr="008A5A66">
        <w:rPr>
          <w:bCs/>
        </w:rPr>
        <w:t>federal NRS-led</w:t>
      </w:r>
      <w:r w:rsidR="00775B67" w:rsidRPr="008A5A66">
        <w:rPr>
          <w:bCs/>
        </w:rPr>
        <w:t xml:space="preserve"> training</w:t>
      </w:r>
      <w:r w:rsidRPr="008A5A66">
        <w:rPr>
          <w:bCs/>
        </w:rPr>
        <w:t xml:space="preserve">; this was offered for </w:t>
      </w:r>
      <w:r w:rsidR="00775B67" w:rsidRPr="008A5A66">
        <w:rPr>
          <w:bCs/>
        </w:rPr>
        <w:t>three</w:t>
      </w:r>
      <w:r w:rsidRPr="008A5A66">
        <w:rPr>
          <w:bCs/>
        </w:rPr>
        <w:t xml:space="preserve"> cohorts of program managers and </w:t>
      </w:r>
      <w:r w:rsidR="00775B67" w:rsidRPr="008A5A66">
        <w:rPr>
          <w:bCs/>
        </w:rPr>
        <w:t>data specialist</w:t>
      </w:r>
      <w:r w:rsidRPr="008A5A66">
        <w:rPr>
          <w:bCs/>
        </w:rPr>
        <w:t>s</w:t>
      </w:r>
      <w:r w:rsidR="00775B67" w:rsidRPr="008A5A66">
        <w:rPr>
          <w:bCs/>
        </w:rPr>
        <w:t xml:space="preserve"> in the </w:t>
      </w:r>
      <w:r w:rsidRPr="008A5A66">
        <w:rPr>
          <w:bCs/>
        </w:rPr>
        <w:t>summer</w:t>
      </w:r>
      <w:r w:rsidR="00775B67" w:rsidRPr="008A5A66">
        <w:rPr>
          <w:bCs/>
        </w:rPr>
        <w:t xml:space="preserve"> of 2017.</w:t>
      </w:r>
    </w:p>
    <w:p w14:paraId="41CDF4C8" w14:textId="2BED508B" w:rsidR="00775B67" w:rsidRPr="008A5A66" w:rsidRDefault="003F6CAF" w:rsidP="00580925">
      <w:pPr>
        <w:pStyle w:val="ListParagraph"/>
        <w:numPr>
          <w:ilvl w:val="0"/>
          <w:numId w:val="3"/>
        </w:numPr>
        <w:spacing w:after="120"/>
        <w:contextualSpacing w:val="0"/>
        <w:rPr>
          <w:bCs/>
        </w:rPr>
      </w:pPr>
      <w:r w:rsidRPr="008A5A66">
        <w:rPr>
          <w:bCs/>
        </w:rPr>
        <w:t>P</w:t>
      </w:r>
      <w:r w:rsidR="00775B67" w:rsidRPr="008A5A66">
        <w:rPr>
          <w:bCs/>
        </w:rPr>
        <w:t xml:space="preserve">rovided meeting services </w:t>
      </w:r>
      <w:r w:rsidRPr="008A5A66">
        <w:rPr>
          <w:bCs/>
        </w:rPr>
        <w:t>and subsequent competition review support</w:t>
      </w:r>
      <w:r w:rsidR="00775B67" w:rsidRPr="008A5A66">
        <w:rPr>
          <w:bCs/>
        </w:rPr>
        <w:t>.</w:t>
      </w:r>
    </w:p>
    <w:p w14:paraId="1939D1BC" w14:textId="77777777" w:rsidR="00775B67" w:rsidRPr="008A5A66" w:rsidRDefault="00775B67" w:rsidP="0028391E">
      <w:pPr>
        <w:pStyle w:val="Heading3"/>
        <w:spacing w:before="0"/>
        <w:rPr>
          <w:rFonts w:ascii="Times New Roman" w:hAnsi="Times New Roman" w:cs="Times New Roman"/>
          <w:color w:val="auto"/>
        </w:rPr>
      </w:pPr>
      <w:r w:rsidRPr="008A5A66">
        <w:rPr>
          <w:rFonts w:ascii="Times New Roman" w:hAnsi="Times New Roman" w:cs="Times New Roman"/>
          <w:color w:val="auto"/>
        </w:rPr>
        <w:t>Publications and Communications</w:t>
      </w:r>
    </w:p>
    <w:p w14:paraId="0A7781B0" w14:textId="250A38CF" w:rsidR="003F6CAF" w:rsidRPr="008A5A66" w:rsidRDefault="00775B67" w:rsidP="0028391E">
      <w:pPr>
        <w:pStyle w:val="Default"/>
        <w:rPr>
          <w:bCs/>
          <w:color w:val="auto"/>
        </w:rPr>
      </w:pPr>
      <w:r w:rsidRPr="008A5A66">
        <w:rPr>
          <w:color w:val="auto"/>
        </w:rPr>
        <w:t xml:space="preserve">During </w:t>
      </w:r>
      <w:r w:rsidR="003F6CAF" w:rsidRPr="008A5A66">
        <w:rPr>
          <w:color w:val="auto"/>
        </w:rPr>
        <w:t xml:space="preserve">program year </w:t>
      </w:r>
      <w:r w:rsidRPr="008A5A66">
        <w:rPr>
          <w:color w:val="auto"/>
        </w:rPr>
        <w:t xml:space="preserve">2016-2017, the VALRC maintained eight websites, four listservs, and a Provider Directory with contact information for adult education programs around the state. </w:t>
      </w:r>
      <w:r w:rsidR="00785E5A" w:rsidRPr="008A5A66">
        <w:rPr>
          <w:color w:val="auto"/>
        </w:rPr>
        <w:t>Links to these resources are listed below.</w:t>
      </w:r>
      <w:r w:rsidR="003F6CAF" w:rsidRPr="008A5A66">
        <w:rPr>
          <w:bCs/>
          <w:color w:val="auto"/>
        </w:rPr>
        <w:t xml:space="preserve"> </w:t>
      </w:r>
    </w:p>
    <w:p w14:paraId="1A0B3556" w14:textId="14D33452" w:rsidR="00775B67" w:rsidRDefault="00CF1D6D" w:rsidP="00060E01">
      <w:pPr>
        <w:pStyle w:val="Default"/>
        <w:numPr>
          <w:ilvl w:val="0"/>
          <w:numId w:val="8"/>
        </w:numPr>
        <w:spacing w:after="120"/>
        <w:ind w:left="720"/>
        <w:rPr>
          <w:bCs/>
        </w:rPr>
      </w:pPr>
      <w:hyperlink r:id="rId8" w:history="1">
        <w:r w:rsidR="00775B67" w:rsidRPr="00905150">
          <w:rPr>
            <w:rStyle w:val="Hyperlink"/>
            <w:bCs/>
          </w:rPr>
          <w:t>Virginia Adult Learning Resource Center</w:t>
        </w:r>
      </w:hyperlink>
      <w:r w:rsidR="00775B67">
        <w:rPr>
          <w:bCs/>
        </w:rPr>
        <w:t xml:space="preserve"> – </w:t>
      </w:r>
      <w:r w:rsidR="00775B67" w:rsidRPr="00EF789E">
        <w:rPr>
          <w:bCs/>
        </w:rPr>
        <w:t>www.valrc.org</w:t>
      </w:r>
      <w:r w:rsidR="00775B67">
        <w:rPr>
          <w:bCs/>
        </w:rPr>
        <w:t xml:space="preserve">. The </w:t>
      </w:r>
      <w:r w:rsidR="00E5095B">
        <w:rPr>
          <w:bCs/>
        </w:rPr>
        <w:t xml:space="preserve">Professional Learning and Program Leadership </w:t>
      </w:r>
      <w:r w:rsidR="00775B67">
        <w:rPr>
          <w:bCs/>
        </w:rPr>
        <w:t>page</w:t>
      </w:r>
      <w:r w:rsidR="00E5095B">
        <w:rPr>
          <w:bCs/>
        </w:rPr>
        <w:t>s</w:t>
      </w:r>
      <w:r w:rsidR="00775B67">
        <w:rPr>
          <w:bCs/>
        </w:rPr>
        <w:t xml:space="preserve"> includes </w:t>
      </w:r>
      <w:r w:rsidR="00E5095B">
        <w:rPr>
          <w:bCs/>
        </w:rPr>
        <w:t>l</w:t>
      </w:r>
      <w:r w:rsidR="00E5095B" w:rsidRPr="009D0F97">
        <w:rPr>
          <w:bCs/>
        </w:rPr>
        <w:t xml:space="preserve">inks </w:t>
      </w:r>
      <w:r w:rsidR="00775B67" w:rsidRPr="009D0F97">
        <w:rPr>
          <w:bCs/>
        </w:rPr>
        <w:t xml:space="preserve">by </w:t>
      </w:r>
      <w:r w:rsidR="00E5095B">
        <w:rPr>
          <w:bCs/>
        </w:rPr>
        <w:t>t</w:t>
      </w:r>
      <w:r w:rsidR="00E5095B" w:rsidRPr="009D0F97">
        <w:rPr>
          <w:bCs/>
        </w:rPr>
        <w:t>opic</w:t>
      </w:r>
      <w:r w:rsidR="00060E01">
        <w:rPr>
          <w:bCs/>
        </w:rPr>
        <w:t>.</w:t>
      </w:r>
    </w:p>
    <w:p w14:paraId="3B09D1A6" w14:textId="534B38C0" w:rsidR="00775B67" w:rsidRDefault="00775B67" w:rsidP="00060E01">
      <w:pPr>
        <w:pStyle w:val="Default"/>
        <w:numPr>
          <w:ilvl w:val="0"/>
          <w:numId w:val="4"/>
        </w:numPr>
        <w:spacing w:after="120"/>
        <w:ind w:left="720"/>
        <w:rPr>
          <w:bCs/>
        </w:rPr>
      </w:pPr>
      <w:proofErr w:type="spellStart"/>
      <w:r w:rsidRPr="00D23B1B">
        <w:rPr>
          <w:bCs/>
        </w:rPr>
        <w:t>PluggedInVa</w:t>
      </w:r>
      <w:proofErr w:type="spellEnd"/>
      <w:r>
        <w:rPr>
          <w:bCs/>
        </w:rPr>
        <w:t xml:space="preserve"> </w:t>
      </w:r>
      <w:r w:rsidR="00863F1B">
        <w:rPr>
          <w:bCs/>
        </w:rPr>
        <w:t>-</w:t>
      </w:r>
      <w:r>
        <w:rPr>
          <w:bCs/>
        </w:rPr>
        <w:t xml:space="preserve"> </w:t>
      </w:r>
      <w:r w:rsidR="00D23B1B" w:rsidRPr="00CF1D6D">
        <w:rPr>
          <w:rStyle w:val="Hyperlink"/>
          <w:bCs/>
          <w:i/>
          <w:iCs/>
          <w:color w:val="FF0000"/>
          <w:sz w:val="22"/>
          <w:szCs w:val="22"/>
          <w:u w:val="none"/>
        </w:rPr>
        <w:t>(no longer available, 2023)</w:t>
      </w:r>
    </w:p>
    <w:p w14:paraId="02BCA9FF" w14:textId="442094FD" w:rsidR="00775B67" w:rsidRPr="00EF789E" w:rsidRDefault="00775B67" w:rsidP="00060E01">
      <w:pPr>
        <w:pStyle w:val="Default"/>
        <w:numPr>
          <w:ilvl w:val="0"/>
          <w:numId w:val="4"/>
        </w:numPr>
        <w:spacing w:after="120"/>
        <w:ind w:left="720"/>
        <w:rPr>
          <w:bCs/>
        </w:rPr>
      </w:pPr>
      <w:r w:rsidRPr="00D23B1B">
        <w:rPr>
          <w:bCs/>
        </w:rPr>
        <w:lastRenderedPageBreak/>
        <w:t>GED Virginia</w:t>
      </w:r>
      <w:r>
        <w:rPr>
          <w:bCs/>
        </w:rPr>
        <w:t xml:space="preserve"> - </w:t>
      </w:r>
      <w:r w:rsidR="00D23B1B" w:rsidRPr="00D23B1B">
        <w:rPr>
          <w:rStyle w:val="Hyperlink"/>
          <w:bCs/>
          <w:color w:val="auto"/>
          <w:u w:val="none"/>
        </w:rPr>
        <w:t>https://gedva.vcu.edu/</w:t>
      </w:r>
    </w:p>
    <w:p w14:paraId="1AD24334" w14:textId="6065F504" w:rsidR="00775B67" w:rsidRDefault="00775B67" w:rsidP="00060E01">
      <w:pPr>
        <w:pStyle w:val="Default"/>
        <w:numPr>
          <w:ilvl w:val="0"/>
          <w:numId w:val="4"/>
        </w:numPr>
        <w:spacing w:after="120"/>
        <w:ind w:left="720"/>
        <w:rPr>
          <w:bCs/>
        </w:rPr>
      </w:pPr>
      <w:r w:rsidRPr="00D23B1B">
        <w:rPr>
          <w:bCs/>
        </w:rPr>
        <w:t>IEL/Civics Gateways for Teachers</w:t>
      </w:r>
      <w:r>
        <w:rPr>
          <w:bCs/>
        </w:rPr>
        <w:t xml:space="preserve"> </w:t>
      </w:r>
      <w:proofErr w:type="gramStart"/>
      <w:r w:rsidR="00324365">
        <w:rPr>
          <w:bCs/>
        </w:rPr>
        <w:t xml:space="preserve">- </w:t>
      </w:r>
      <w:r>
        <w:rPr>
          <w:bCs/>
        </w:rPr>
        <w:t xml:space="preserve"> </w:t>
      </w:r>
      <w:r w:rsidR="00D23B1B" w:rsidRPr="00BD67D0">
        <w:rPr>
          <w:rStyle w:val="Hyperlink"/>
          <w:bCs/>
          <w:i/>
          <w:iCs/>
          <w:color w:val="FF0000"/>
          <w:sz w:val="22"/>
          <w:szCs w:val="22"/>
          <w:u w:val="none"/>
        </w:rPr>
        <w:t>(</w:t>
      </w:r>
      <w:proofErr w:type="gramEnd"/>
      <w:r w:rsidR="00D23B1B" w:rsidRPr="00BD67D0">
        <w:rPr>
          <w:rStyle w:val="Hyperlink"/>
          <w:bCs/>
          <w:i/>
          <w:iCs/>
          <w:color w:val="FF0000"/>
          <w:sz w:val="22"/>
          <w:szCs w:val="22"/>
          <w:u w:val="none"/>
        </w:rPr>
        <w:t>no longer available, 2023)</w:t>
      </w:r>
    </w:p>
    <w:p w14:paraId="0F68D1C7" w14:textId="5F6AC692" w:rsidR="00775B67" w:rsidRDefault="00775B67" w:rsidP="00060E01">
      <w:pPr>
        <w:pStyle w:val="Default"/>
        <w:numPr>
          <w:ilvl w:val="0"/>
          <w:numId w:val="4"/>
        </w:numPr>
        <w:spacing w:after="120"/>
        <w:ind w:left="720"/>
        <w:rPr>
          <w:bCs/>
        </w:rPr>
      </w:pPr>
      <w:proofErr w:type="spellStart"/>
      <w:r w:rsidRPr="00D23B1B">
        <w:rPr>
          <w:bCs/>
        </w:rPr>
        <w:t>CivicsIt</w:t>
      </w:r>
      <w:proofErr w:type="spellEnd"/>
      <w:r w:rsidRPr="00D23B1B">
        <w:rPr>
          <w:bCs/>
        </w:rPr>
        <w:t xml:space="preserve"> Up!</w:t>
      </w:r>
      <w:r>
        <w:rPr>
          <w:bCs/>
        </w:rPr>
        <w:t xml:space="preserve"> - </w:t>
      </w:r>
      <w:r w:rsidR="00BD67D0" w:rsidRPr="00D23B1B">
        <w:rPr>
          <w:bCs/>
        </w:rPr>
        <w:t>https://www.civicsitup.org</w:t>
      </w:r>
      <w:r w:rsidR="00BD67D0">
        <w:rPr>
          <w:rStyle w:val="Hyperlink"/>
          <w:bCs/>
          <w:color w:val="auto"/>
          <w:u w:val="none"/>
        </w:rPr>
        <w:t xml:space="preserve"> </w:t>
      </w:r>
      <w:r w:rsidR="00BD67D0" w:rsidRPr="00BD67D0">
        <w:rPr>
          <w:rStyle w:val="Hyperlink"/>
          <w:bCs/>
          <w:i/>
          <w:iCs/>
          <w:color w:val="FF0000"/>
          <w:sz w:val="22"/>
          <w:szCs w:val="22"/>
          <w:u w:val="none"/>
        </w:rPr>
        <w:t>(no longer available, 2023)</w:t>
      </w:r>
    </w:p>
    <w:p w14:paraId="43446608" w14:textId="7A5F93F7" w:rsidR="00775B67" w:rsidRDefault="00CF1D6D" w:rsidP="00060E01">
      <w:pPr>
        <w:pStyle w:val="Default"/>
        <w:numPr>
          <w:ilvl w:val="0"/>
          <w:numId w:val="4"/>
        </w:numPr>
        <w:spacing w:after="120"/>
        <w:ind w:left="720"/>
        <w:rPr>
          <w:bCs/>
        </w:rPr>
      </w:pPr>
      <w:hyperlink r:id="rId9" w:history="1">
        <w:r w:rsidR="00775B67" w:rsidRPr="00905150">
          <w:rPr>
            <w:rStyle w:val="Hyperlink"/>
            <w:bCs/>
          </w:rPr>
          <w:t>Facts and Statistics for Adult Education and Literacy in Virginia and U.S</w:t>
        </w:r>
      </w:hyperlink>
      <w:r w:rsidR="00775B67">
        <w:rPr>
          <w:bCs/>
        </w:rPr>
        <w:t xml:space="preserve">. - </w:t>
      </w:r>
      <w:r w:rsidR="00775B67" w:rsidRPr="00EF789E">
        <w:rPr>
          <w:rStyle w:val="Hyperlink"/>
          <w:bCs/>
          <w:color w:val="auto"/>
          <w:u w:val="none"/>
        </w:rPr>
        <w:t>https://literacyfacts.wordpress.com</w:t>
      </w:r>
    </w:p>
    <w:p w14:paraId="6E86C922" w14:textId="537901B2" w:rsidR="00775B67" w:rsidRDefault="00775B67" w:rsidP="00580925">
      <w:pPr>
        <w:pStyle w:val="Default"/>
        <w:spacing w:after="120"/>
        <w:rPr>
          <w:bCs/>
        </w:rPr>
      </w:pPr>
      <w:r>
        <w:rPr>
          <w:bCs/>
        </w:rPr>
        <w:t xml:space="preserve">Publications and Communications produced by VALRC </w:t>
      </w:r>
      <w:r w:rsidR="003F6CAF">
        <w:rPr>
          <w:bCs/>
        </w:rPr>
        <w:t>include:</w:t>
      </w:r>
    </w:p>
    <w:p w14:paraId="43DF1EFA" w14:textId="33895ADF" w:rsidR="00775B67" w:rsidRPr="00A65A10" w:rsidRDefault="00CF1D6D" w:rsidP="00060E01">
      <w:pPr>
        <w:pStyle w:val="Default"/>
        <w:numPr>
          <w:ilvl w:val="0"/>
          <w:numId w:val="5"/>
        </w:numPr>
        <w:spacing w:after="120"/>
        <w:ind w:left="720"/>
        <w:rPr>
          <w:i/>
        </w:rPr>
      </w:pPr>
      <w:hyperlink r:id="rId10" w:history="1">
        <w:r w:rsidR="003F6CAF" w:rsidRPr="00493E40">
          <w:rPr>
            <w:rStyle w:val="Hyperlink"/>
          </w:rPr>
          <w:t>YouTube Channel</w:t>
        </w:r>
      </w:hyperlink>
      <w:r w:rsidR="003F6CAF">
        <w:t xml:space="preserve"> - </w:t>
      </w:r>
      <w:r w:rsidR="0008379F" w:rsidRPr="00A65A10">
        <w:t xml:space="preserve">https://www.youtube.com/user/resourcecenterva </w:t>
      </w:r>
    </w:p>
    <w:p w14:paraId="61B43FF3" w14:textId="70FC927C" w:rsidR="00775B67" w:rsidRPr="00A65A10" w:rsidRDefault="00775B67" w:rsidP="00060E01">
      <w:pPr>
        <w:pStyle w:val="Default"/>
        <w:numPr>
          <w:ilvl w:val="0"/>
          <w:numId w:val="5"/>
        </w:numPr>
        <w:spacing w:after="120"/>
        <w:ind w:left="720"/>
        <w:rPr>
          <w:i/>
        </w:rPr>
      </w:pPr>
      <w:r w:rsidRPr="00D23B1B">
        <w:rPr>
          <w:i/>
        </w:rPr>
        <w:t>Progress</w:t>
      </w:r>
      <w:r w:rsidRPr="00D23B1B">
        <w:t xml:space="preserve"> newsletter</w:t>
      </w:r>
      <w:r w:rsidRPr="00A65A10">
        <w:t xml:space="preserve"> </w:t>
      </w:r>
      <w:r w:rsidR="003F6CAF" w:rsidRPr="00A65A10">
        <w:t xml:space="preserve">- </w:t>
      </w:r>
      <w:r w:rsidR="0008379F" w:rsidRPr="00A65A10">
        <w:t xml:space="preserve">http://valrc.org/about/progress.html </w:t>
      </w:r>
      <w:r w:rsidR="00BD67D0" w:rsidRPr="00BD67D0">
        <w:rPr>
          <w:rStyle w:val="Hyperlink"/>
          <w:bCs/>
          <w:i/>
          <w:iCs/>
          <w:color w:val="FF0000"/>
          <w:sz w:val="22"/>
          <w:szCs w:val="22"/>
          <w:u w:val="none"/>
        </w:rPr>
        <w:t>(no longer available, 2023)</w:t>
      </w:r>
    </w:p>
    <w:p w14:paraId="5B063307" w14:textId="55841EE6" w:rsidR="00775B67" w:rsidRPr="00A65A10" w:rsidRDefault="00CF1D6D" w:rsidP="00060E01">
      <w:pPr>
        <w:pStyle w:val="Default"/>
        <w:numPr>
          <w:ilvl w:val="0"/>
          <w:numId w:val="5"/>
        </w:numPr>
        <w:spacing w:after="120"/>
        <w:ind w:left="720"/>
        <w:rPr>
          <w:i/>
        </w:rPr>
      </w:pPr>
      <w:hyperlink r:id="rId11" w:history="1">
        <w:r w:rsidR="00775B67" w:rsidRPr="00493E40">
          <w:rPr>
            <w:rStyle w:val="Hyperlink"/>
          </w:rPr>
          <w:t>Facebook</w:t>
        </w:r>
      </w:hyperlink>
      <w:r w:rsidR="00775B67" w:rsidRPr="00A65A10">
        <w:t xml:space="preserve"> </w:t>
      </w:r>
      <w:r w:rsidR="003F6CAF" w:rsidRPr="00A65A10">
        <w:t xml:space="preserve">- </w:t>
      </w:r>
      <w:r w:rsidR="0008379F" w:rsidRPr="00A65A10">
        <w:t xml:space="preserve">https://www.facebook.com/pages/Virginia-Adult-Learning-Resource-Center/333037475357 </w:t>
      </w:r>
    </w:p>
    <w:p w14:paraId="17E08703" w14:textId="5D0E6BFB" w:rsidR="00775B67" w:rsidRPr="00A65A10" w:rsidRDefault="00CF1D6D" w:rsidP="00060E01">
      <w:pPr>
        <w:pStyle w:val="Default"/>
        <w:numPr>
          <w:ilvl w:val="0"/>
          <w:numId w:val="5"/>
        </w:numPr>
        <w:spacing w:after="120"/>
        <w:ind w:left="720"/>
        <w:rPr>
          <w:i/>
        </w:rPr>
      </w:pPr>
      <w:hyperlink r:id="rId12" w:anchor="!/VAELN" w:history="1">
        <w:r w:rsidR="00775B67" w:rsidRPr="00493E40">
          <w:rPr>
            <w:rStyle w:val="Hyperlink"/>
          </w:rPr>
          <w:t>Twitter</w:t>
        </w:r>
      </w:hyperlink>
      <w:r w:rsidR="00775B67" w:rsidRPr="00A65A10">
        <w:t xml:space="preserve"> </w:t>
      </w:r>
      <w:r w:rsidR="003F6CAF" w:rsidRPr="00A65A10">
        <w:t xml:space="preserve">- </w:t>
      </w:r>
      <w:r w:rsidR="0008379F" w:rsidRPr="00A65A10">
        <w:t xml:space="preserve">http://twitter.com/#!/VAELN </w:t>
      </w:r>
    </w:p>
    <w:p w14:paraId="1BA82E0C" w14:textId="437AB160" w:rsidR="00775B67" w:rsidRDefault="00775B67" w:rsidP="00060E01">
      <w:pPr>
        <w:pStyle w:val="Default"/>
        <w:numPr>
          <w:ilvl w:val="0"/>
          <w:numId w:val="6"/>
        </w:numPr>
        <w:spacing w:after="120"/>
        <w:ind w:left="720"/>
        <w:rPr>
          <w:bCs/>
        </w:rPr>
      </w:pPr>
      <w:r>
        <w:rPr>
          <w:bCs/>
        </w:rPr>
        <w:t xml:space="preserve">Virginia Adult Education and Literacy Network Listserv (VAELN) - Adult </w:t>
      </w:r>
      <w:r w:rsidR="00943A55">
        <w:rPr>
          <w:bCs/>
        </w:rPr>
        <w:t>e</w:t>
      </w:r>
      <w:r>
        <w:rPr>
          <w:bCs/>
        </w:rPr>
        <w:t xml:space="preserve">ducators are encouraged to subscribe to VAELN to </w:t>
      </w:r>
      <w:r w:rsidR="00F17092">
        <w:rPr>
          <w:bCs/>
        </w:rPr>
        <w:t>stay informed</w:t>
      </w:r>
      <w:r>
        <w:rPr>
          <w:bCs/>
        </w:rPr>
        <w:t xml:space="preserve"> of policy changes, new resources, and staff development information. </w:t>
      </w:r>
    </w:p>
    <w:p w14:paraId="52AFC1E7" w14:textId="7DC08827" w:rsidR="00775B67" w:rsidRPr="00580925" w:rsidRDefault="00775B67" w:rsidP="00580925">
      <w:pPr>
        <w:pStyle w:val="Default"/>
        <w:spacing w:after="120"/>
      </w:pPr>
      <w:r>
        <w:t>To support learners seeking their GED</w:t>
      </w:r>
      <w:r>
        <w:rPr>
          <w:vertAlign w:val="superscript"/>
        </w:rPr>
        <w:t xml:space="preserve">® </w:t>
      </w:r>
      <w:r>
        <w:t>credential, VALRC operates the GED</w:t>
      </w:r>
      <w:r w:rsidR="008C38B8" w:rsidRPr="001909C2">
        <w:rPr>
          <w:bCs/>
          <w:vertAlign w:val="superscript"/>
        </w:rPr>
        <w:t>®</w:t>
      </w:r>
      <w:r>
        <w:rPr>
          <w:vertAlign w:val="superscript"/>
        </w:rPr>
        <w:t xml:space="preserve"> </w:t>
      </w:r>
      <w:r>
        <w:t>Helpline</w:t>
      </w:r>
      <w:r w:rsidR="00655872">
        <w:t>, which provided assistance in</w:t>
      </w:r>
      <w:r>
        <w:t xml:space="preserve"> 1</w:t>
      </w:r>
      <w:r w:rsidR="00655872">
        <w:t>,</w:t>
      </w:r>
      <w:r>
        <w:t xml:space="preserve">064 interactions in program year 2016-2017.  This is consistent with the number of calls in the previous year. </w:t>
      </w:r>
    </w:p>
    <w:p w14:paraId="33400BA4" w14:textId="61510D5F" w:rsidR="00775B67" w:rsidRDefault="00775B67" w:rsidP="00580925">
      <w:pPr>
        <w:spacing w:after="120"/>
        <w:rPr>
          <w:bCs/>
        </w:rPr>
      </w:pPr>
      <w:r w:rsidRPr="00943A55">
        <w:rPr>
          <w:bCs/>
        </w:rPr>
        <w:t>A</w:t>
      </w:r>
      <w:r w:rsidR="006E58F6" w:rsidRPr="00943A55">
        <w:rPr>
          <w:bCs/>
        </w:rPr>
        <w:t xml:space="preserve">s part of VALRC’s support of distance education, the </w:t>
      </w:r>
      <w:r w:rsidR="00785E5A">
        <w:rPr>
          <w:bCs/>
        </w:rPr>
        <w:t>VALRC</w:t>
      </w:r>
      <w:r w:rsidR="006E58F6" w:rsidRPr="00943A55">
        <w:rPr>
          <w:bCs/>
        </w:rPr>
        <w:t xml:space="preserve"> hosted the Distance Education </w:t>
      </w:r>
      <w:r w:rsidR="00F17092">
        <w:rPr>
          <w:bCs/>
        </w:rPr>
        <w:t xml:space="preserve">Curriculum Review </w:t>
      </w:r>
      <w:r w:rsidR="006E58F6" w:rsidRPr="00943A55">
        <w:rPr>
          <w:bCs/>
        </w:rPr>
        <w:t>Committee</w:t>
      </w:r>
      <w:r w:rsidR="00F17092">
        <w:rPr>
          <w:bCs/>
        </w:rPr>
        <w:t xml:space="preserve"> meetings.  The committee</w:t>
      </w:r>
      <w:r w:rsidR="006E58F6" w:rsidRPr="00943A55">
        <w:rPr>
          <w:bCs/>
        </w:rPr>
        <w:t xml:space="preserve"> </w:t>
      </w:r>
      <w:r w:rsidR="00F17092">
        <w:rPr>
          <w:bCs/>
        </w:rPr>
        <w:t xml:space="preserve">reviews and approves effective and appropriate distance education </w:t>
      </w:r>
      <w:r w:rsidR="006E58F6" w:rsidRPr="00943A55">
        <w:rPr>
          <w:bCs/>
        </w:rPr>
        <w:t>curricul</w:t>
      </w:r>
      <w:r w:rsidR="00F17092">
        <w:rPr>
          <w:bCs/>
        </w:rPr>
        <w:t>a</w:t>
      </w:r>
      <w:r w:rsidR="006E58F6" w:rsidRPr="00943A55">
        <w:rPr>
          <w:bCs/>
        </w:rPr>
        <w:t xml:space="preserve"> and provide</w:t>
      </w:r>
      <w:r w:rsidR="00F17092">
        <w:rPr>
          <w:bCs/>
        </w:rPr>
        <w:t>s</w:t>
      </w:r>
      <w:r w:rsidR="006E58F6" w:rsidRPr="00943A55">
        <w:rPr>
          <w:bCs/>
        </w:rPr>
        <w:t xml:space="preserve"> input on </w:t>
      </w:r>
      <w:r w:rsidR="00F17092">
        <w:rPr>
          <w:bCs/>
        </w:rPr>
        <w:t xml:space="preserve">distance education </w:t>
      </w:r>
      <w:r w:rsidR="00F17092" w:rsidRPr="00943A55">
        <w:rPr>
          <w:bCs/>
        </w:rPr>
        <w:t>polic</w:t>
      </w:r>
      <w:r w:rsidR="00F17092">
        <w:rPr>
          <w:bCs/>
        </w:rPr>
        <w:t>y</w:t>
      </w:r>
      <w:r w:rsidR="006E58F6" w:rsidRPr="00943A55">
        <w:rPr>
          <w:bCs/>
        </w:rPr>
        <w:t xml:space="preserve">. </w:t>
      </w:r>
      <w:r w:rsidR="00E5095B">
        <w:rPr>
          <w:bCs/>
        </w:rPr>
        <w:t>The VALRC also conducted a</w:t>
      </w:r>
      <w:r w:rsidR="00E5095B" w:rsidRPr="00943A55">
        <w:rPr>
          <w:bCs/>
        </w:rPr>
        <w:t xml:space="preserve"> </w:t>
      </w:r>
      <w:r w:rsidRPr="00943A55">
        <w:rPr>
          <w:bCs/>
        </w:rPr>
        <w:t xml:space="preserve">phone survey </w:t>
      </w:r>
      <w:r w:rsidR="00943A55" w:rsidRPr="00943A55">
        <w:rPr>
          <w:bCs/>
        </w:rPr>
        <w:t xml:space="preserve">with </w:t>
      </w:r>
      <w:r w:rsidR="00F17092">
        <w:rPr>
          <w:bCs/>
        </w:rPr>
        <w:t xml:space="preserve">program </w:t>
      </w:r>
      <w:r w:rsidR="00943A55" w:rsidRPr="00943A55">
        <w:rPr>
          <w:bCs/>
        </w:rPr>
        <w:t xml:space="preserve">managers and </w:t>
      </w:r>
      <w:r w:rsidR="00F17092">
        <w:rPr>
          <w:bCs/>
        </w:rPr>
        <w:t>instructors</w:t>
      </w:r>
      <w:r w:rsidR="00943A55" w:rsidRPr="00943A55">
        <w:rPr>
          <w:bCs/>
        </w:rPr>
        <w:t xml:space="preserve"> </w:t>
      </w:r>
      <w:r w:rsidR="00F17092">
        <w:rPr>
          <w:bCs/>
        </w:rPr>
        <w:t>in</w:t>
      </w:r>
      <w:r w:rsidR="00943A55" w:rsidRPr="00943A55">
        <w:rPr>
          <w:bCs/>
        </w:rPr>
        <w:t xml:space="preserve"> programs that</w:t>
      </w:r>
      <w:r w:rsidRPr="00943A55">
        <w:rPr>
          <w:bCs/>
        </w:rPr>
        <w:t xml:space="preserve"> report students as distance learners. Several themes emerged that will </w:t>
      </w:r>
      <w:r w:rsidR="00943A55" w:rsidRPr="00943A55">
        <w:rPr>
          <w:bCs/>
        </w:rPr>
        <w:t xml:space="preserve">inform the state’s efforts to </w:t>
      </w:r>
      <w:r w:rsidRPr="00943A55">
        <w:rPr>
          <w:bCs/>
        </w:rPr>
        <w:t xml:space="preserve">develop guidance and potential training for programs </w:t>
      </w:r>
      <w:r w:rsidR="00943A55" w:rsidRPr="00943A55">
        <w:rPr>
          <w:bCs/>
        </w:rPr>
        <w:t>incorporating</w:t>
      </w:r>
      <w:r w:rsidRPr="00943A55">
        <w:rPr>
          <w:bCs/>
        </w:rPr>
        <w:t xml:space="preserve"> distance education </w:t>
      </w:r>
      <w:r w:rsidR="00F17092">
        <w:rPr>
          <w:bCs/>
        </w:rPr>
        <w:t>projects</w:t>
      </w:r>
      <w:r w:rsidR="00F17092" w:rsidRPr="00943A55">
        <w:rPr>
          <w:bCs/>
        </w:rPr>
        <w:t xml:space="preserve"> </w:t>
      </w:r>
      <w:r w:rsidR="006E58F6" w:rsidRPr="00943A55">
        <w:rPr>
          <w:bCs/>
        </w:rPr>
        <w:t>in program year 2017-2018</w:t>
      </w:r>
      <w:r w:rsidRPr="00943A55">
        <w:rPr>
          <w:bCs/>
        </w:rPr>
        <w:t>.</w:t>
      </w:r>
    </w:p>
    <w:p w14:paraId="3B0B6826" w14:textId="77777777" w:rsidR="00775B67" w:rsidRPr="008A5A66" w:rsidRDefault="00775B67" w:rsidP="0028391E">
      <w:pPr>
        <w:pStyle w:val="Heading3"/>
        <w:spacing w:before="0"/>
        <w:rPr>
          <w:rFonts w:ascii="Times New Roman" w:hAnsi="Times New Roman" w:cs="Times New Roman"/>
          <w:color w:val="auto"/>
        </w:rPr>
      </w:pPr>
      <w:r w:rsidRPr="008A5A66">
        <w:rPr>
          <w:rFonts w:ascii="Times New Roman" w:hAnsi="Times New Roman" w:cs="Times New Roman"/>
          <w:color w:val="auto"/>
        </w:rPr>
        <w:t>Evaluation of Professional Development Services and Professional Development Evaluation Plan</w:t>
      </w:r>
    </w:p>
    <w:p w14:paraId="0DFF181F" w14:textId="51DFB1FF" w:rsidR="00775B67" w:rsidRDefault="00655872" w:rsidP="0028391E">
      <w:pPr>
        <w:rPr>
          <w:bCs/>
        </w:rPr>
      </w:pPr>
      <w:r w:rsidRPr="0000641B">
        <w:t>In</w:t>
      </w:r>
      <w:r w:rsidR="00785E5A" w:rsidRPr="0000641B">
        <w:t xml:space="preserve"> program year 2016-2017, VALRC contracted</w:t>
      </w:r>
      <w:r w:rsidRPr="0000641B">
        <w:t xml:space="preserve"> with an external evaluat</w:t>
      </w:r>
      <w:r w:rsidR="006E58F6" w:rsidRPr="0000641B">
        <w:t>ion consultant</w:t>
      </w:r>
      <w:r w:rsidRPr="0000641B">
        <w:t xml:space="preserve">, </w:t>
      </w:r>
      <w:r w:rsidR="00F17092">
        <w:t xml:space="preserve">Dr. </w:t>
      </w:r>
      <w:r w:rsidRPr="0000641B">
        <w:t xml:space="preserve">Susan McKelvey. </w:t>
      </w:r>
      <w:r w:rsidR="00775B67" w:rsidRPr="0000641B">
        <w:rPr>
          <w:bCs/>
        </w:rPr>
        <w:t xml:space="preserve">The purpose of this evaluation process was to provide meaningful information and evidence </w:t>
      </w:r>
      <w:r w:rsidRPr="0000641B">
        <w:rPr>
          <w:bCs/>
        </w:rPr>
        <w:t>to</w:t>
      </w:r>
      <w:r w:rsidR="00775B67" w:rsidRPr="0000641B">
        <w:rPr>
          <w:bCs/>
        </w:rPr>
        <w:t xml:space="preserve"> be used by </w:t>
      </w:r>
      <w:r w:rsidRPr="0000641B">
        <w:rPr>
          <w:bCs/>
        </w:rPr>
        <w:t>VDOE</w:t>
      </w:r>
      <w:r w:rsidR="00775B67" w:rsidRPr="0000641B">
        <w:rPr>
          <w:bCs/>
        </w:rPr>
        <w:t xml:space="preserve"> and VALRC to make </w:t>
      </w:r>
      <w:r w:rsidR="008C38B8">
        <w:rPr>
          <w:bCs/>
        </w:rPr>
        <w:t>informed</w:t>
      </w:r>
      <w:r w:rsidR="00775B67" w:rsidRPr="0000641B">
        <w:rPr>
          <w:bCs/>
        </w:rPr>
        <w:t xml:space="preserve"> decisions about professional development choices </w:t>
      </w:r>
      <w:r w:rsidR="00E5095B">
        <w:rPr>
          <w:bCs/>
        </w:rPr>
        <w:t>that</w:t>
      </w:r>
      <w:r w:rsidR="00775B67" w:rsidRPr="0000641B">
        <w:rPr>
          <w:bCs/>
        </w:rPr>
        <w:t xml:space="preserve"> contribute to</w:t>
      </w:r>
      <w:r w:rsidR="00FB4CDA">
        <w:rPr>
          <w:bCs/>
        </w:rPr>
        <w:t xml:space="preserve"> a high-quality professional development program,</w:t>
      </w:r>
      <w:r w:rsidR="00775B67" w:rsidRPr="0000641B">
        <w:rPr>
          <w:bCs/>
        </w:rPr>
        <w:t xml:space="preserve"> adult education program improvement</w:t>
      </w:r>
      <w:r w:rsidR="00FB4CDA">
        <w:rPr>
          <w:bCs/>
        </w:rPr>
        <w:t>,</w:t>
      </w:r>
      <w:r w:rsidR="00775B67" w:rsidRPr="0000641B">
        <w:rPr>
          <w:bCs/>
        </w:rPr>
        <w:t xml:space="preserve"> and gains in student learning</w:t>
      </w:r>
      <w:r w:rsidRPr="0000641B">
        <w:rPr>
          <w:bCs/>
        </w:rPr>
        <w:t xml:space="preserve"> and outcomes</w:t>
      </w:r>
      <w:r w:rsidR="00775B67" w:rsidRPr="0000641B">
        <w:rPr>
          <w:bCs/>
        </w:rPr>
        <w:t>.</w:t>
      </w:r>
      <w:r w:rsidR="00775B67">
        <w:rPr>
          <w:bCs/>
        </w:rPr>
        <w:t xml:space="preserve"> </w:t>
      </w:r>
    </w:p>
    <w:p w14:paraId="3E56EB05" w14:textId="7E5F707D" w:rsidR="00775B67" w:rsidRPr="0000641B" w:rsidRDefault="00655872" w:rsidP="00580925">
      <w:pPr>
        <w:shd w:val="clear" w:color="auto" w:fill="FFFFFF"/>
        <w:spacing w:after="120"/>
      </w:pPr>
      <w:r>
        <w:t>This e</w:t>
      </w:r>
      <w:r w:rsidR="00775B67">
        <w:t xml:space="preserve">valuation was </w:t>
      </w:r>
      <w:r w:rsidR="00F17092">
        <w:t xml:space="preserve">composed </w:t>
      </w:r>
      <w:r w:rsidR="00775B67">
        <w:t xml:space="preserve">of two components: 1) </w:t>
      </w:r>
      <w:r w:rsidR="0000641B">
        <w:t>t</w:t>
      </w:r>
      <w:r w:rsidR="00775B67">
        <w:t>he development and pilot of a professional development evaluation plan to be used for all VALRC trainings</w:t>
      </w:r>
      <w:r>
        <w:t>,</w:t>
      </w:r>
      <w:r w:rsidR="00775B67">
        <w:t xml:space="preserve"> and 2) </w:t>
      </w:r>
      <w:r w:rsidR="0000641B">
        <w:t>a</w:t>
      </w:r>
      <w:r w:rsidR="00775B67">
        <w:t xml:space="preserve">n external evaluation of the </w:t>
      </w:r>
      <w:r>
        <w:t>s</w:t>
      </w:r>
      <w:r w:rsidR="00775B67">
        <w:t xml:space="preserve">tandards-based </w:t>
      </w:r>
      <w:r>
        <w:t>i</w:t>
      </w:r>
      <w:r w:rsidR="00775B67">
        <w:t>nstruction professional development initiative</w:t>
      </w:r>
      <w:r w:rsidR="00785E5A">
        <w:t xml:space="preserve">, </w:t>
      </w:r>
      <w:r w:rsidR="00EE623B">
        <w:rPr>
          <w:i/>
        </w:rPr>
        <w:t>SBI:</w:t>
      </w:r>
      <w:r w:rsidR="00785E5A" w:rsidRPr="008C38B8">
        <w:rPr>
          <w:i/>
        </w:rPr>
        <w:t>VA</w:t>
      </w:r>
      <w:r w:rsidR="00785E5A">
        <w:t xml:space="preserve">, </w:t>
      </w:r>
      <w:r w:rsidR="00775B67">
        <w:t>as an exemplar of implementing the professional development plan and using the data to inform adjustm</w:t>
      </w:r>
      <w:r>
        <w:t>ents in</w:t>
      </w:r>
      <w:r w:rsidR="00775B67">
        <w:t xml:space="preserve"> activities and program improvement. (See </w:t>
      </w:r>
      <w:r>
        <w:t xml:space="preserve">the </w:t>
      </w:r>
      <w:r w:rsidR="00775B67">
        <w:t xml:space="preserve">Adult Education Standards </w:t>
      </w:r>
      <w:r w:rsidR="00775B67" w:rsidRPr="0000641B">
        <w:t xml:space="preserve">section </w:t>
      </w:r>
      <w:r w:rsidR="00675ED5">
        <w:t>for resulting recommendations.)</w:t>
      </w:r>
    </w:p>
    <w:p w14:paraId="5A579691" w14:textId="26D9F5C4" w:rsidR="00775B67" w:rsidRPr="0000641B" w:rsidRDefault="00655872" w:rsidP="00580925">
      <w:pPr>
        <w:spacing w:after="120"/>
      </w:pPr>
      <w:r w:rsidRPr="0000641B">
        <w:t>The</w:t>
      </w:r>
      <w:r w:rsidR="00775B67" w:rsidRPr="0000641B">
        <w:t xml:space="preserve"> evaluation plan uses an adaptation of</w:t>
      </w:r>
      <w:r w:rsidR="00775B67" w:rsidRPr="0000641B">
        <w:rPr>
          <w:color w:val="FF0000"/>
        </w:rPr>
        <w:t xml:space="preserve"> </w:t>
      </w:r>
      <w:proofErr w:type="spellStart"/>
      <w:r w:rsidR="00775B67" w:rsidRPr="0000641B">
        <w:t>Guskey’s</w:t>
      </w:r>
      <w:proofErr w:type="spellEnd"/>
      <w:r w:rsidR="00775B67" w:rsidRPr="0000641B">
        <w:t xml:space="preserve"> (2002) Five Levels of Data as a framework for the evaluations</w:t>
      </w:r>
      <w:r w:rsidRPr="0000641B">
        <w:t>, providing both formative and summative recommendations</w:t>
      </w:r>
      <w:r w:rsidR="00775B67" w:rsidRPr="0000641B">
        <w:t>.</w:t>
      </w:r>
      <w:r w:rsidRPr="0000641B">
        <w:t xml:space="preserve"> </w:t>
      </w:r>
      <w:r w:rsidR="00775B67" w:rsidRPr="0000641B">
        <w:t xml:space="preserve">Baseline data were collected through a survey administered in the spring of 2016 via three listservs. A total of </w:t>
      </w:r>
      <w:r w:rsidR="00775B67" w:rsidRPr="0000641B">
        <w:lastRenderedPageBreak/>
        <w:t>181</w:t>
      </w:r>
      <w:r w:rsidR="00CB431B">
        <w:t xml:space="preserve"> adult</w:t>
      </w:r>
      <w:r w:rsidR="00775B67" w:rsidRPr="0000641B">
        <w:t xml:space="preserve"> educators resp</w:t>
      </w:r>
      <w:r w:rsidR="00785E5A" w:rsidRPr="0000641B">
        <w:t>onded. The survey consisted of eight</w:t>
      </w:r>
      <w:r w:rsidR="00775B67" w:rsidRPr="0000641B">
        <w:t xml:space="preserve"> closed questions regarding whether or not respondents used the</w:t>
      </w:r>
      <w:r w:rsidR="00CB431B">
        <w:t xml:space="preserve"> VALRC</w:t>
      </w:r>
      <w:r w:rsidR="00775B67" w:rsidRPr="0000641B">
        <w:t xml:space="preserve"> resources and training, as well as how recently</w:t>
      </w:r>
      <w:r w:rsidR="00F17092">
        <w:t xml:space="preserve"> they had been used</w:t>
      </w:r>
      <w:r w:rsidR="00775B67" w:rsidRPr="0000641B">
        <w:t xml:space="preserve">. Another six open-ended questions focused on gathering information about additional services needed and professional development received elsewhere. </w:t>
      </w:r>
    </w:p>
    <w:p w14:paraId="1AFA45D3" w14:textId="55497057" w:rsidR="00775B67" w:rsidRPr="0000641B" w:rsidRDefault="005F223A" w:rsidP="00580925">
      <w:pPr>
        <w:shd w:val="clear" w:color="auto" w:fill="FFFFFF"/>
        <w:spacing w:after="120"/>
      </w:pPr>
      <w:r w:rsidRPr="0000641B">
        <w:t>Fin</w:t>
      </w:r>
      <w:r w:rsidR="00775B67" w:rsidRPr="0000641B">
        <w:t xml:space="preserve">dings </w:t>
      </w:r>
      <w:r w:rsidRPr="0000641B">
        <w:t>include</w:t>
      </w:r>
      <w:r w:rsidR="0000641B" w:rsidRPr="0000641B">
        <w:t xml:space="preserve"> that while several areas of support from VALRC are strong</w:t>
      </w:r>
      <w:r w:rsidR="00F449F2">
        <w:t xml:space="preserve"> </w:t>
      </w:r>
      <w:r w:rsidR="008442B8">
        <w:t xml:space="preserve">and </w:t>
      </w:r>
      <w:r w:rsidR="00F449F2" w:rsidRPr="0000641B">
        <w:t>most practitioners do access the VALRC website for resources and materials</w:t>
      </w:r>
      <w:r w:rsidR="0000641B" w:rsidRPr="0000641B">
        <w:t xml:space="preserve">, </w:t>
      </w:r>
      <w:r w:rsidR="00775B67" w:rsidRPr="0000641B">
        <w:t>few educators are accessing VALRC’s social media, many are researching professional development o</w:t>
      </w:r>
      <w:r w:rsidR="0000641B" w:rsidRPr="0000641B">
        <w:t xml:space="preserve">pportunities on their own, and </w:t>
      </w:r>
      <w:r w:rsidR="00775B67" w:rsidRPr="0000641B">
        <w:t xml:space="preserve">the Virginia </w:t>
      </w:r>
      <w:r w:rsidR="0012015D">
        <w:t>Knowledge</w:t>
      </w:r>
      <w:r w:rsidR="00775B67" w:rsidRPr="0000641B">
        <w:t xml:space="preserve"> Center registration process is not user-friendly. A full report with results, findings</w:t>
      </w:r>
      <w:r w:rsidR="00F17092">
        <w:t>,</w:t>
      </w:r>
      <w:r w:rsidR="00775B67" w:rsidRPr="0000641B">
        <w:t xml:space="preserve"> and recommendations was provided by the evaluator to VALRC</w:t>
      </w:r>
      <w:r w:rsidR="0000641B" w:rsidRPr="0000641B">
        <w:t xml:space="preserve"> and VDOE</w:t>
      </w:r>
      <w:r w:rsidR="00775B67" w:rsidRPr="0000641B">
        <w:t xml:space="preserve">. </w:t>
      </w:r>
    </w:p>
    <w:p w14:paraId="1CFBA415" w14:textId="2D0C29B2" w:rsidR="00B24C32" w:rsidRDefault="0000641B" w:rsidP="00580925">
      <w:pPr>
        <w:spacing w:after="120"/>
      </w:pPr>
      <w:r w:rsidRPr="0000641B">
        <w:t xml:space="preserve">As part of the first component, </w:t>
      </w:r>
      <w:r w:rsidR="00775B67" w:rsidRPr="0000641B">
        <w:t>emphasis was placed on developing and refining the overall evaluation design and piloting evaluation survey instruments. In addition, efforts were made</w:t>
      </w:r>
      <w:r w:rsidR="009D0F97">
        <w:t xml:space="preserve"> by the consultant</w:t>
      </w:r>
      <w:r w:rsidR="00775B67" w:rsidRPr="0000641B">
        <w:t xml:space="preserve"> to provide ongoing feedback to VALRC during the course of the evaluation year so that professional development courses and program adjustments </w:t>
      </w:r>
      <w:r w:rsidR="00CB431B">
        <w:t>could be</w:t>
      </w:r>
      <w:r w:rsidR="00CB431B" w:rsidRPr="0000641B">
        <w:t xml:space="preserve"> </w:t>
      </w:r>
      <w:r w:rsidR="00775B67" w:rsidRPr="0000641B">
        <w:t xml:space="preserve">made as needed. The development of questions and evaluation methodology </w:t>
      </w:r>
      <w:r w:rsidR="00D7516D">
        <w:t xml:space="preserve">was </w:t>
      </w:r>
      <w:r w:rsidR="00775B67" w:rsidRPr="0000641B">
        <w:t xml:space="preserve">related to </w:t>
      </w:r>
      <w:proofErr w:type="spellStart"/>
      <w:r w:rsidR="00775B67" w:rsidRPr="0000641B">
        <w:t>Guskey’s</w:t>
      </w:r>
      <w:proofErr w:type="spellEnd"/>
      <w:r w:rsidR="00775B67" w:rsidRPr="0000641B">
        <w:t xml:space="preserve"> Five Levels of Data. Surveys for </w:t>
      </w:r>
      <w:proofErr w:type="spellStart"/>
      <w:r w:rsidR="00775B67" w:rsidRPr="0000641B">
        <w:t>Guskey</w:t>
      </w:r>
      <w:proofErr w:type="spellEnd"/>
      <w:r w:rsidR="00775B67" w:rsidRPr="0000641B">
        <w:t xml:space="preserve"> level 1 and level 2 </w:t>
      </w:r>
      <w:r w:rsidR="005F223A" w:rsidRPr="0000641B">
        <w:t>were</w:t>
      </w:r>
      <w:r w:rsidR="00775B67" w:rsidRPr="0000641B">
        <w:t xml:space="preserve"> used for all professional development </w:t>
      </w:r>
      <w:r w:rsidR="00D7516D">
        <w:t xml:space="preserve">events </w:t>
      </w:r>
      <w:r w:rsidR="00775B67" w:rsidRPr="0000641B">
        <w:t xml:space="preserve">provided by VALRC in order to achieve a comparative analysis. A </w:t>
      </w:r>
      <w:r w:rsidR="009D0F97">
        <w:t xml:space="preserve">standard </w:t>
      </w:r>
      <w:r w:rsidR="00775B67" w:rsidRPr="0000641B">
        <w:t>process for examining the data</w:t>
      </w:r>
      <w:r w:rsidR="00D7516D">
        <w:t xml:space="preserve"> gathered by the surveys</w:t>
      </w:r>
      <w:r w:rsidR="00775B67" w:rsidRPr="0000641B">
        <w:t xml:space="preserve"> was </w:t>
      </w:r>
      <w:r w:rsidR="005F223A" w:rsidRPr="0000641B">
        <w:t xml:space="preserve">also </w:t>
      </w:r>
      <w:r w:rsidR="00775B67" w:rsidRPr="0000641B">
        <w:t>established</w:t>
      </w:r>
      <w:r w:rsidR="005F223A" w:rsidRPr="0000641B">
        <w:t xml:space="preserve"> </w:t>
      </w:r>
      <w:r w:rsidR="00D7516D" w:rsidRPr="0000641B">
        <w:t xml:space="preserve">by VALRC staff </w:t>
      </w:r>
      <w:r w:rsidR="005F223A" w:rsidRPr="0000641B">
        <w:t xml:space="preserve">to ensure </w:t>
      </w:r>
      <w:r w:rsidR="00CB431B">
        <w:t xml:space="preserve">that </w:t>
      </w:r>
      <w:r w:rsidR="005F223A" w:rsidRPr="0000641B">
        <w:t xml:space="preserve">data-informed adjustments </w:t>
      </w:r>
      <w:r w:rsidRPr="0000641B">
        <w:t>were</w:t>
      </w:r>
      <w:r w:rsidR="005F223A" w:rsidRPr="0000641B">
        <w:t xml:space="preserve"> made</w:t>
      </w:r>
      <w:r w:rsidR="00775B67" w:rsidRPr="0000641B">
        <w:t>.</w:t>
      </w:r>
      <w:r w:rsidR="00222E68" w:rsidRPr="0000641B">
        <w:t xml:space="preserve"> These </w:t>
      </w:r>
      <w:r w:rsidRPr="0000641B">
        <w:t xml:space="preserve">surveys </w:t>
      </w:r>
      <w:r w:rsidR="00222E68" w:rsidRPr="0000641B">
        <w:t>are being used in program year 2017-2018</w:t>
      </w:r>
      <w:r w:rsidRPr="0000641B">
        <w:t xml:space="preserve"> to provide trend data.</w:t>
      </w:r>
      <w:r w:rsidR="00775B67">
        <w:t xml:space="preserve"> </w:t>
      </w:r>
    </w:p>
    <w:p w14:paraId="0DBC5C81" w14:textId="0474EACD" w:rsidR="00FB4CDA" w:rsidRPr="008A5A66" w:rsidRDefault="00FB4CDA" w:rsidP="0028391E">
      <w:pPr>
        <w:pStyle w:val="Heading3"/>
        <w:spacing w:before="0"/>
        <w:rPr>
          <w:rFonts w:ascii="Times New Roman" w:hAnsi="Times New Roman" w:cs="Times New Roman"/>
          <w:color w:val="auto"/>
        </w:rPr>
      </w:pPr>
      <w:r w:rsidRPr="008A5A66">
        <w:rPr>
          <w:rFonts w:ascii="Times New Roman" w:hAnsi="Times New Roman" w:cs="Times New Roman"/>
          <w:color w:val="auto"/>
        </w:rPr>
        <w:t>Monitoring and Evaluation</w:t>
      </w:r>
    </w:p>
    <w:p w14:paraId="053E4299" w14:textId="46BFEF61" w:rsidR="00010F10" w:rsidRDefault="002D1E6B" w:rsidP="00675ED5">
      <w:pPr>
        <w:spacing w:after="120"/>
      </w:pPr>
      <w:r>
        <w:t>A significant effort by VDOE in program year 2016-2017</w:t>
      </w:r>
      <w:r w:rsidR="001F1783">
        <w:t xml:space="preserve"> to support Sec 223(1)(d)</w:t>
      </w:r>
      <w:r w:rsidR="00E75FEF">
        <w:t xml:space="preserve">, “Monitoring and evaluation of the quality and improvement of adult education activities,” </w:t>
      </w:r>
      <w:r>
        <w:t xml:space="preserve">was the </w:t>
      </w:r>
      <w:r w:rsidR="001F1783">
        <w:t>management</w:t>
      </w:r>
      <w:r>
        <w:t xml:space="preserve"> of a statewide competition for adult education providers, compliant with the regulations in Sec. </w:t>
      </w:r>
      <w:r w:rsidR="004A2793">
        <w:t>231</w:t>
      </w:r>
      <w:r>
        <w:t xml:space="preserve">. In order to maintain the integrity of the competition, on-site monitoring of providers was </w:t>
      </w:r>
      <w:r w:rsidR="00E239AE">
        <w:t>scheduled to begin in program year 2017-2018</w:t>
      </w:r>
      <w:r w:rsidR="001F1783">
        <w:t>,</w:t>
      </w:r>
      <w:r>
        <w:t xml:space="preserve"> </w:t>
      </w:r>
      <w:r w:rsidR="001F1783">
        <w:t>and</w:t>
      </w:r>
      <w:r>
        <w:t xml:space="preserve"> state staff delivered </w:t>
      </w:r>
      <w:r w:rsidR="001B22FA">
        <w:t xml:space="preserve">direct </w:t>
      </w:r>
      <w:r>
        <w:t>technical assistance as fiscal, data, or instructional performance issues</w:t>
      </w:r>
      <w:r w:rsidR="001B22FA">
        <w:t xml:space="preserve"> were identified</w:t>
      </w:r>
      <w:r w:rsidR="00916DD4">
        <w:t xml:space="preserve"> within local programs</w:t>
      </w:r>
      <w:r>
        <w:t>.</w:t>
      </w:r>
      <w:r w:rsidR="00010F10">
        <w:t xml:space="preserve"> </w:t>
      </w:r>
    </w:p>
    <w:p w14:paraId="1F9F616E" w14:textId="66FD40A5" w:rsidR="001F1783" w:rsidRDefault="005C065A" w:rsidP="00675ED5">
      <w:pPr>
        <w:spacing w:after="120"/>
      </w:pPr>
      <w:r>
        <w:t>Consistent with the described process outlined in the Combined State Plan (p. 145), t</w:t>
      </w:r>
      <w:r w:rsidR="00010F10">
        <w:t xml:space="preserve">he timeline of the competition </w:t>
      </w:r>
      <w:r w:rsidR="00CB27CE">
        <w:t xml:space="preserve">began with </w:t>
      </w:r>
      <w:r w:rsidR="00010F10">
        <w:t>the release of the Request for Proposals (RFP) on January 1</w:t>
      </w:r>
      <w:r w:rsidR="001F1783">
        <w:t>3</w:t>
      </w:r>
      <w:r w:rsidR="00010F10">
        <w:t>, 2017</w:t>
      </w:r>
      <w:r w:rsidR="00CB27CE">
        <w:t>, announced via VDOE as well as through paid announcements in newspapers and education publications,</w:t>
      </w:r>
      <w:r w:rsidR="00010F10">
        <w:t xml:space="preserve"> </w:t>
      </w:r>
      <w:r w:rsidR="00CB27CE">
        <w:t xml:space="preserve">and </w:t>
      </w:r>
      <w:r w:rsidR="00010F10">
        <w:t>a public pre-proposal meeting held January 24.</w:t>
      </w:r>
      <w:r w:rsidR="001B22FA">
        <w:t xml:space="preserve"> (</w:t>
      </w:r>
      <w:r w:rsidR="00BA52B5">
        <w:t>Competition m</w:t>
      </w:r>
      <w:r w:rsidR="00E75FEF">
        <w:t xml:space="preserve">aterials </w:t>
      </w:r>
      <w:r w:rsidR="00BA52B5">
        <w:t xml:space="preserve">will </w:t>
      </w:r>
      <w:r w:rsidR="001B22FA">
        <w:t>remain</w:t>
      </w:r>
      <w:r w:rsidR="00E75FEF">
        <w:t xml:space="preserve"> available on the </w:t>
      </w:r>
      <w:hyperlink r:id="rId13" w:history="1">
        <w:r w:rsidR="00E75FEF" w:rsidRPr="00E75FEF">
          <w:rPr>
            <w:rStyle w:val="Hyperlink"/>
          </w:rPr>
          <w:t>VDOE website</w:t>
        </w:r>
      </w:hyperlink>
      <w:r w:rsidR="00060E01">
        <w:t xml:space="preserve"> until March</w:t>
      </w:r>
      <w:r w:rsidR="00BA52B5">
        <w:t xml:space="preserve"> 2018</w:t>
      </w:r>
      <w:r w:rsidR="00E75FEF">
        <w:t>)</w:t>
      </w:r>
      <w:r w:rsidR="00010F10">
        <w:t xml:space="preserve"> Following the meeting, all inquiries about the competition or application process were managed as public information. Inquiries were accepted through a central email address, sorted into categories, researched, and answered in weekly sets </w:t>
      </w:r>
      <w:r w:rsidR="001B22FA">
        <w:t xml:space="preserve">posted to the </w:t>
      </w:r>
      <w:r w:rsidR="00533660">
        <w:t xml:space="preserve">adult education </w:t>
      </w:r>
      <w:r w:rsidR="001B22FA">
        <w:t>webpage</w:t>
      </w:r>
      <w:r w:rsidR="00010F10">
        <w:t xml:space="preserve">. A total of 95 questions were answered in this way prior to the submission deadline of March 1. Applications </w:t>
      </w:r>
      <w:r w:rsidR="001B22FA">
        <w:t>were</w:t>
      </w:r>
      <w:r w:rsidR="00010F10">
        <w:t xml:space="preserve"> reviewed for alignment by the appropriate local workforce development boards</w:t>
      </w:r>
      <w:r w:rsidR="00916DD4">
        <w:t xml:space="preserve"> between March 15 and April 5</w:t>
      </w:r>
      <w:r w:rsidR="00010F10">
        <w:t xml:space="preserve">. </w:t>
      </w:r>
      <w:r w:rsidR="001B22FA">
        <w:t>Review panels, made up of</w:t>
      </w:r>
      <w:r w:rsidR="00010F10">
        <w:t xml:space="preserve"> </w:t>
      </w:r>
      <w:r w:rsidR="00C14204">
        <w:t>retired local and regional adult education program managers, Department of Corrections administrators, and current and retired career and technical education teachers</w:t>
      </w:r>
      <w:r w:rsidR="00010F10">
        <w:t xml:space="preserve">, were oriented and assigned sets of applications to review and score. Panel deliberation meetings were held </w:t>
      </w:r>
      <w:r w:rsidR="00533660">
        <w:t>April 25-27</w:t>
      </w:r>
      <w:r w:rsidR="00F52F2F">
        <w:t>,</w:t>
      </w:r>
      <w:r w:rsidR="00916DD4">
        <w:t xml:space="preserve"> during which specific areas of weakness for each proposal were identified</w:t>
      </w:r>
      <w:r w:rsidR="00010F10">
        <w:t xml:space="preserve">. </w:t>
      </w:r>
      <w:r w:rsidR="00916DD4">
        <w:t xml:space="preserve">Applicants received letters on May 10 requesting revisions and a full resubmission by May </w:t>
      </w:r>
      <w:r w:rsidR="00CB27CE">
        <w:t>25</w:t>
      </w:r>
      <w:r w:rsidR="00916DD4">
        <w:t xml:space="preserve">. </w:t>
      </w:r>
      <w:r w:rsidR="00E75FEF">
        <w:t xml:space="preserve">Two additional sets of questions were answered and posted during this revision period. </w:t>
      </w:r>
      <w:r w:rsidR="00916DD4">
        <w:t xml:space="preserve">These revisions were reviewed by state staff and evaluated against the rubric </w:t>
      </w:r>
      <w:r w:rsidR="00F52F2F">
        <w:t xml:space="preserve">and as to how well </w:t>
      </w:r>
      <w:r w:rsidR="00F52F2F">
        <w:lastRenderedPageBreak/>
        <w:t>the revisions addressed</w:t>
      </w:r>
      <w:r w:rsidR="00916DD4">
        <w:t xml:space="preserve"> the identified weaknesses. </w:t>
      </w:r>
      <w:r w:rsidR="00CB27CE">
        <w:t>Letters of award</w:t>
      </w:r>
      <w:r w:rsidR="00916DD4">
        <w:t>, with the stated condition that key staff must participate in technical assistance and professional development led by VDOE, were issued on</w:t>
      </w:r>
      <w:r w:rsidR="00CB27CE">
        <w:t xml:space="preserve"> June 2</w:t>
      </w:r>
      <w:r w:rsidR="00916DD4">
        <w:t xml:space="preserve">. </w:t>
      </w:r>
      <w:r w:rsidR="001F1783">
        <w:t xml:space="preserve"> </w:t>
      </w:r>
      <w:r w:rsidR="00916DD4">
        <w:t xml:space="preserve">Technical assistance to awardees began immediately with individual calls and emails with local program managers, webinars, recorded videos, shared tools and resources, Directors Memos, and emails from the state office. </w:t>
      </w:r>
    </w:p>
    <w:p w14:paraId="5C168355" w14:textId="65D32E84" w:rsidR="00916DD4" w:rsidRPr="008A5A66" w:rsidRDefault="001F1783">
      <w:pPr>
        <w:spacing w:after="120"/>
      </w:pPr>
      <w:r w:rsidRPr="008F7546">
        <w:t>Additionally, the state office launched a rigorous monitoring and evaluation process at the start of program year 2017-2018, beginning with reviews of 2016-2017 data and fiscal performance. The phases of the process are modeled after the monitoring process described in the federal Uniform Guidance. The first component consisted of program managers and selected staff completing a program self-assessment in October. The second component was the distribution of a risk rubric to local and regional program managers detailing program</w:t>
      </w:r>
      <w:r w:rsidRPr="008F7546">
        <w:rPr>
          <w:b/>
        </w:rPr>
        <w:t xml:space="preserve"> </w:t>
      </w:r>
      <w:r w:rsidRPr="008F7546">
        <w:t xml:space="preserve">performance, accountability, fiscal, and grant management data for 2016-2017. The third component is a technical assistance call with each program manager and selected staff in December to discuss their program concerns and technical assistance needs.  These risk assessment activities will be followed by technical assistance and on-site monitoring activities for four to five programs in the spring of 2018. The process for identifying programs will be based on a review of risk factors </w:t>
      </w:r>
      <w:r w:rsidRPr="008A5A66">
        <w:t>and program needs.</w:t>
      </w:r>
    </w:p>
    <w:p w14:paraId="7CD279D7" w14:textId="77777777" w:rsidR="00B24C32" w:rsidRPr="008A5A66" w:rsidRDefault="00B24C32" w:rsidP="0028391E">
      <w:pPr>
        <w:pStyle w:val="Heading2"/>
        <w:spacing w:before="0"/>
        <w:rPr>
          <w:rFonts w:ascii="Times New Roman" w:hAnsi="Times New Roman" w:cs="Times New Roman"/>
          <w:color w:val="auto"/>
        </w:rPr>
      </w:pPr>
      <w:r w:rsidRPr="008A5A66">
        <w:rPr>
          <w:rFonts w:ascii="Times New Roman" w:hAnsi="Times New Roman" w:cs="Times New Roman"/>
          <w:color w:val="auto"/>
        </w:rPr>
        <w:t>Performance Data Analysis</w:t>
      </w:r>
    </w:p>
    <w:p w14:paraId="5A80777C" w14:textId="1A39A564" w:rsidR="001A3A10" w:rsidRDefault="009D1050" w:rsidP="00FF1E8B">
      <w:pPr>
        <w:spacing w:after="120"/>
      </w:pPr>
      <w:r>
        <w:t xml:space="preserve">Enrollment declined in Virginia </w:t>
      </w:r>
      <w:r w:rsidR="009E196D" w:rsidRPr="00943A55">
        <w:t>by 1,013 students</w:t>
      </w:r>
      <w:r w:rsidR="009E196D">
        <w:t xml:space="preserve"> in 2016-2017,</w:t>
      </w:r>
      <w:r>
        <w:t xml:space="preserve"> or almost one percent</w:t>
      </w:r>
      <w:r w:rsidR="00A47CF2">
        <w:t xml:space="preserve"> from 2015-2016</w:t>
      </w:r>
      <w:r>
        <w:t xml:space="preserve">. </w:t>
      </w:r>
      <w:r w:rsidR="00D7516D">
        <w:t>A</w:t>
      </w:r>
      <w:r w:rsidR="001A3A10">
        <w:t xml:space="preserve">lthough </w:t>
      </w:r>
      <w:r w:rsidR="009E196D">
        <w:t xml:space="preserve">the state’s </w:t>
      </w:r>
      <w:r w:rsidR="001A3A10">
        <w:t xml:space="preserve">overall </w:t>
      </w:r>
      <w:r w:rsidR="009E196D">
        <w:t>Measurable Skill Gain (MSG) attainment rate of</w:t>
      </w:r>
      <w:r w:rsidR="001A3A10">
        <w:t xml:space="preserve"> 40 percent was below the negotiated </w:t>
      </w:r>
      <w:r w:rsidR="009E196D">
        <w:t xml:space="preserve">federal </w:t>
      </w:r>
      <w:r w:rsidR="0010529D">
        <w:t xml:space="preserve">MSG </w:t>
      </w:r>
      <w:r w:rsidR="001A3A10">
        <w:t xml:space="preserve">target </w:t>
      </w:r>
      <w:r w:rsidR="009E196D">
        <w:t xml:space="preserve">of </w:t>
      </w:r>
      <w:r w:rsidR="001A3A10">
        <w:t xml:space="preserve">42 percent, </w:t>
      </w:r>
      <w:r>
        <w:t xml:space="preserve">Virginia reported meeting or exceeding the statewide target in six of eleven </w:t>
      </w:r>
      <w:r w:rsidR="00CB431B">
        <w:t>educational functioning levels (</w:t>
      </w:r>
      <w:r>
        <w:t>EFL</w:t>
      </w:r>
      <w:r w:rsidR="00060E01">
        <w:t>s</w:t>
      </w:r>
      <w:r w:rsidR="004A6637">
        <w:t>)</w:t>
      </w:r>
      <w:r>
        <w:t>.</w:t>
      </w:r>
      <w:r w:rsidR="00091A30">
        <w:t xml:space="preserve"> </w:t>
      </w:r>
      <w:r w:rsidR="00D7516D">
        <w:t>In program year 2015-2016</w:t>
      </w:r>
      <w:r w:rsidR="00D0348F">
        <w:t>, the statewide target was met in only two of eleven EFLs</w:t>
      </w:r>
      <w:r w:rsidR="00091A30">
        <w:t>.</w:t>
      </w:r>
      <w:r w:rsidR="00BB6CC3">
        <w:t xml:space="preserve"> Five of the six EFLs with performance above the statewide target are</w:t>
      </w:r>
      <w:r w:rsidR="001A3A10">
        <w:t xml:space="preserve"> in English Language Acquisition</w:t>
      </w:r>
      <w:r w:rsidR="004A6637">
        <w:t xml:space="preserve"> (ELA)</w:t>
      </w:r>
      <w:r w:rsidR="00BB6CC3">
        <w:t xml:space="preserve">, </w:t>
      </w:r>
      <w:r w:rsidR="004A6637">
        <w:t xml:space="preserve">levels </w:t>
      </w:r>
      <w:r w:rsidR="00BB6CC3">
        <w:t xml:space="preserve">1-5. </w:t>
      </w:r>
      <w:r>
        <w:t xml:space="preserve">Other core indicators were </w:t>
      </w:r>
      <w:r w:rsidR="001A3A10">
        <w:t xml:space="preserve">not </w:t>
      </w:r>
      <w:r>
        <w:t>reported in the statewide performance report</w:t>
      </w:r>
      <w:r w:rsidR="001A3A10">
        <w:t xml:space="preserve"> in 2016-2017 as not enough time ha</w:t>
      </w:r>
      <w:r w:rsidR="009E196D">
        <w:t>d</w:t>
      </w:r>
      <w:r w:rsidR="001A3A10">
        <w:t xml:space="preserve"> elapsed </w:t>
      </w:r>
      <w:r w:rsidR="009E196D">
        <w:t xml:space="preserve">to allow the state </w:t>
      </w:r>
      <w:r w:rsidR="001A3A10">
        <w:t xml:space="preserve">to </w:t>
      </w:r>
      <w:r w:rsidR="009E196D">
        <w:t xml:space="preserve">build new data collection features in the state management information system </w:t>
      </w:r>
      <w:r w:rsidR="001158A6">
        <w:t xml:space="preserve">to accommodate </w:t>
      </w:r>
      <w:r w:rsidR="009E196D">
        <w:t xml:space="preserve">the </w:t>
      </w:r>
      <w:r w:rsidR="001158A6">
        <w:t xml:space="preserve">new federal reporting requirements, </w:t>
      </w:r>
      <w:r w:rsidR="00943A55">
        <w:t>which were</w:t>
      </w:r>
      <w:r w:rsidR="009E196D">
        <w:t xml:space="preserve"> released by </w:t>
      </w:r>
      <w:r w:rsidR="001158A6">
        <w:t>the U.S. Department of Education in August 2017</w:t>
      </w:r>
      <w:r>
        <w:t xml:space="preserve">. </w:t>
      </w:r>
    </w:p>
    <w:p w14:paraId="0D74B79A" w14:textId="01B32C0B" w:rsidR="00A24775" w:rsidRDefault="009D1050" w:rsidP="001A3A10">
      <w:pPr>
        <w:spacing w:after="120"/>
      </w:pPr>
      <w:r>
        <w:t>Having the</w:t>
      </w:r>
      <w:r w:rsidR="001A3A10">
        <w:t xml:space="preserve"> performance</w:t>
      </w:r>
      <w:r>
        <w:t xml:space="preserve"> data completed</w:t>
      </w:r>
      <w:r w:rsidR="001A3A10">
        <w:t xml:space="preserve"> and analyzed</w:t>
      </w:r>
      <w:r>
        <w:t xml:space="preserve"> in October allowed the state</w:t>
      </w:r>
      <w:r w:rsidR="00A24775">
        <w:t xml:space="preserve"> office</w:t>
      </w:r>
      <w:r>
        <w:t xml:space="preserve"> to share </w:t>
      </w:r>
      <w:r w:rsidR="00A24775">
        <w:t xml:space="preserve">state </w:t>
      </w:r>
      <w:r>
        <w:t xml:space="preserve">and regional program performance with </w:t>
      </w:r>
      <w:r w:rsidR="00D0348F">
        <w:t xml:space="preserve">local and regional </w:t>
      </w:r>
      <w:r>
        <w:t xml:space="preserve">programs in a much more timely fashion. Much of the state’s presence at the </w:t>
      </w:r>
      <w:r w:rsidR="0083423F">
        <w:t>2017 Virginia Assoc</w:t>
      </w:r>
      <w:r w:rsidR="00444E76">
        <w:t>i</w:t>
      </w:r>
      <w:r w:rsidR="0083423F">
        <w:t xml:space="preserve">ation For Adult and Continuing Education (VAACE) </w:t>
      </w:r>
      <w:r>
        <w:t>annual fall conference</w:t>
      </w:r>
      <w:r w:rsidR="00A24775">
        <w:t xml:space="preserve"> and concurrent program managers meeting</w:t>
      </w:r>
      <w:r>
        <w:t xml:space="preserve"> was devoted to sharing the data and discussing possible solutions</w:t>
      </w:r>
      <w:r w:rsidR="00A24775">
        <w:t xml:space="preserve"> </w:t>
      </w:r>
      <w:r w:rsidR="00D47A8A">
        <w:t xml:space="preserve">for improving </w:t>
      </w:r>
      <w:r w:rsidR="00943A55">
        <w:t>performance</w:t>
      </w:r>
      <w:r w:rsidR="00D47A8A">
        <w:t xml:space="preserve"> </w:t>
      </w:r>
      <w:r w:rsidR="00A24775">
        <w:t xml:space="preserve">and </w:t>
      </w:r>
      <w:r w:rsidR="00D47A8A">
        <w:t xml:space="preserve">identifying </w:t>
      </w:r>
      <w:r w:rsidR="00A24775">
        <w:t>technical assistance</w:t>
      </w:r>
      <w:r w:rsidR="00D47A8A">
        <w:t xml:space="preserve"> </w:t>
      </w:r>
      <w:r w:rsidR="00943A55">
        <w:t>needs</w:t>
      </w:r>
      <w:r>
        <w:t xml:space="preserve">. </w:t>
      </w:r>
      <w:r w:rsidR="00F14FF7" w:rsidRPr="00F14FF7">
        <w:t xml:space="preserve">In particular, performance data for </w:t>
      </w:r>
      <w:proofErr w:type="spellStart"/>
      <w:r w:rsidR="00F14FF7" w:rsidRPr="00F14FF7">
        <w:t>posttested</w:t>
      </w:r>
      <w:proofErr w:type="spellEnd"/>
      <w:r w:rsidR="00F14FF7" w:rsidRPr="00F14FF7">
        <w:t xml:space="preserve"> studen</w:t>
      </w:r>
      <w:r w:rsidR="006F2C6E">
        <w:t>ts (NRS Table 4B) were</w:t>
      </w:r>
      <w:r w:rsidR="00F14FF7">
        <w:t xml:space="preserve"> discussed, followed by discussion on student retention and its direct impact on EFL gains achieved through </w:t>
      </w:r>
      <w:proofErr w:type="spellStart"/>
      <w:r w:rsidR="00F14FF7">
        <w:t>posttesting</w:t>
      </w:r>
      <w:proofErr w:type="spellEnd"/>
      <w:r w:rsidR="00F14FF7">
        <w:t>.</w:t>
      </w:r>
    </w:p>
    <w:p w14:paraId="0B8D3919" w14:textId="77777777" w:rsidR="00B24C32" w:rsidRPr="008A5A66" w:rsidRDefault="00B24C32" w:rsidP="0028391E">
      <w:pPr>
        <w:pStyle w:val="Heading2"/>
        <w:spacing w:before="0"/>
        <w:rPr>
          <w:rFonts w:ascii="Times New Roman" w:hAnsi="Times New Roman" w:cs="Times New Roman"/>
          <w:color w:val="auto"/>
        </w:rPr>
      </w:pPr>
      <w:r w:rsidRPr="008A5A66">
        <w:rPr>
          <w:rFonts w:ascii="Times New Roman" w:hAnsi="Times New Roman" w:cs="Times New Roman"/>
          <w:color w:val="auto"/>
        </w:rPr>
        <w:t>Integration with One-Stop Partners</w:t>
      </w:r>
    </w:p>
    <w:p w14:paraId="3FC74A8C" w14:textId="7EFCB312" w:rsidR="00B24C32" w:rsidRDefault="001B0B8D" w:rsidP="00675ED5">
      <w:pPr>
        <w:spacing w:after="120"/>
      </w:pPr>
      <w:r>
        <w:t>In program y</w:t>
      </w:r>
      <w:r w:rsidR="004D19CC">
        <w:t xml:space="preserve">ear 2016-2017, the </w:t>
      </w:r>
      <w:r>
        <w:t>s</w:t>
      </w:r>
      <w:r w:rsidR="004D19CC">
        <w:t>tate delegated the roles and responsibilities for meeting one-stop requirements under 34 CFR part 463, subpart J, to the regional program</w:t>
      </w:r>
      <w:r w:rsidR="0000641B">
        <w:t xml:space="preserve"> managers and their fiscal agents</w:t>
      </w:r>
      <w:r w:rsidR="004D19CC">
        <w:t>. Those programs worked closely with their local workforce development boards</w:t>
      </w:r>
      <w:r w:rsidR="006E0037">
        <w:t xml:space="preserve"> (LWDB)</w:t>
      </w:r>
      <w:r w:rsidR="004D19CC">
        <w:t xml:space="preserve"> and one-stop operators to coordinate services and facilitate access to adult education services through the one-stops. </w:t>
      </w:r>
      <w:r w:rsidR="001A3A10">
        <w:t xml:space="preserve">In </w:t>
      </w:r>
      <w:r w:rsidR="0000641B">
        <w:t xml:space="preserve">program year </w:t>
      </w:r>
      <w:r w:rsidR="001A3A10">
        <w:t xml:space="preserve">2016-2017, 14 regional programs contributed to their one-stops either in direct funds or in-kind contributions toward infrastructure or </w:t>
      </w:r>
      <w:r w:rsidR="00D0348F">
        <w:t xml:space="preserve">by </w:t>
      </w:r>
      <w:r w:rsidR="001A3A10">
        <w:t xml:space="preserve">program personnel working on-site. </w:t>
      </w:r>
      <w:r w:rsidR="004D19CC">
        <w:t xml:space="preserve">Virginia has 20 comprehensive one-stops and </w:t>
      </w:r>
      <w:r w:rsidR="006E0037">
        <w:t xml:space="preserve">41 affiliate or local service locations.  The 17 workforce areas do not overlay seamlessly with the 22 regional adult </w:t>
      </w:r>
      <w:r w:rsidR="006E0037">
        <w:lastRenderedPageBreak/>
        <w:t>education programs. For example, one LWDB serves four adult edu</w:t>
      </w:r>
      <w:r w:rsidR="00AF58D4">
        <w:t>cation regions</w:t>
      </w:r>
      <w:r w:rsidR="001A3A10">
        <w:t xml:space="preserve"> with a single comprehensive center</w:t>
      </w:r>
      <w:r w:rsidR="00AF58D4">
        <w:t xml:space="preserve">, while </w:t>
      </w:r>
      <w:r w:rsidR="004141BA">
        <w:t xml:space="preserve">elsewhere in the state, </w:t>
      </w:r>
      <w:r w:rsidR="00AF58D4">
        <w:t>one adult education region</w:t>
      </w:r>
      <w:r w:rsidR="006E0037">
        <w:t xml:space="preserve"> coordinates with two LWDBs</w:t>
      </w:r>
      <w:r w:rsidR="006129F6">
        <w:t xml:space="preserve"> that run four comprehensive centers</w:t>
      </w:r>
      <w:r w:rsidR="006E0037">
        <w:t xml:space="preserve">. </w:t>
      </w:r>
    </w:p>
    <w:p w14:paraId="5B83C409" w14:textId="2FDB6AD6" w:rsidR="006E0037" w:rsidRDefault="001B0B8D" w:rsidP="00675ED5">
      <w:pPr>
        <w:spacing w:after="120"/>
      </w:pPr>
      <w:r>
        <w:t>As part of</w:t>
      </w:r>
      <w:r w:rsidR="006E0037">
        <w:t xml:space="preserve"> the competitive</w:t>
      </w:r>
      <w:r w:rsidR="000B6D34">
        <w:t xml:space="preserve"> request for proposal</w:t>
      </w:r>
      <w:r w:rsidR="006E0037">
        <w:t xml:space="preserve"> </w:t>
      </w:r>
      <w:r w:rsidR="000B6D34">
        <w:t>(</w:t>
      </w:r>
      <w:r w:rsidR="006E0037">
        <w:t>RFP</w:t>
      </w:r>
      <w:r w:rsidR="000B6D34">
        <w:t>)</w:t>
      </w:r>
      <w:r w:rsidR="001A3A10">
        <w:t xml:space="preserve"> released in January</w:t>
      </w:r>
      <w:r w:rsidR="004141BA">
        <w:t xml:space="preserve"> 2017,</w:t>
      </w:r>
      <w:r w:rsidR="006E0037">
        <w:t xml:space="preserve"> </w:t>
      </w:r>
      <w:r w:rsidR="004141BA">
        <w:t>applicants</w:t>
      </w:r>
      <w:r w:rsidR="006E0037">
        <w:t xml:space="preserve"> were required to begin </w:t>
      </w:r>
      <w:r w:rsidR="001A3A10">
        <w:t>working</w:t>
      </w:r>
      <w:r w:rsidR="006E0037">
        <w:t xml:space="preserve"> directly with their LWDBs to align their proposals to the LWDB’s existing plans and labor market information and to coordinate access to adult education services in the one-stop in their area through direct negotiations on the Memorandums of Understanding (MOU). </w:t>
      </w:r>
      <w:r w:rsidR="008E2793">
        <w:t>In their proposals and the negotiations of awards, g</w:t>
      </w:r>
      <w:r w:rsidR="000F15A0">
        <w:t>rantees budgeted</w:t>
      </w:r>
      <w:r w:rsidR="008E2793">
        <w:t xml:space="preserve"> </w:t>
      </w:r>
      <w:r w:rsidR="000F15A0">
        <w:t>infrastructure contribution</w:t>
      </w:r>
      <w:r w:rsidR="00A47CF2">
        <w:t>s</w:t>
      </w:r>
      <w:r w:rsidR="000F15A0">
        <w:t xml:space="preserve"> in</w:t>
      </w:r>
      <w:r w:rsidR="008E2793">
        <w:t xml:space="preserve"> their administrative funds and negotiated to increase the administrative cap when necessary.  </w:t>
      </w:r>
    </w:p>
    <w:p w14:paraId="69046BAD" w14:textId="29F52AF1" w:rsidR="008E2793" w:rsidRDefault="008E2793" w:rsidP="001A3A10">
      <w:pPr>
        <w:spacing w:after="120"/>
      </w:pPr>
      <w:r>
        <w:t>Technical assistanc</w:t>
      </w:r>
      <w:r w:rsidR="000F15A0">
        <w:t xml:space="preserve">e is being </w:t>
      </w:r>
      <w:r w:rsidR="008378C7">
        <w:t xml:space="preserve">provided </w:t>
      </w:r>
      <w:r w:rsidR="000F15A0">
        <w:t>to program managers</w:t>
      </w:r>
      <w:r>
        <w:t xml:space="preserve"> on how to fulfill their roles and respons</w:t>
      </w:r>
      <w:r w:rsidR="001A3A10">
        <w:t>ibilities as one-stop partners</w:t>
      </w:r>
      <w:r w:rsidR="0099512B">
        <w:t>,</w:t>
      </w:r>
      <w:r w:rsidR="001A3A10">
        <w:t xml:space="preserve"> and the state is cognizant of </w:t>
      </w:r>
      <w:r w:rsidR="0099512B" w:rsidRPr="0099512B">
        <w:t>services provided</w:t>
      </w:r>
      <w:r w:rsidR="0099512B">
        <w:t>,</w:t>
      </w:r>
      <w:r w:rsidR="0099512B" w:rsidRPr="0099512B">
        <w:t xml:space="preserve"> </w:t>
      </w:r>
      <w:r w:rsidR="001A3A10">
        <w:t xml:space="preserve">MOUs, </w:t>
      </w:r>
      <w:r w:rsidR="0099512B">
        <w:t xml:space="preserve">and </w:t>
      </w:r>
      <w:r w:rsidR="001A3A10">
        <w:t>infrastructure cost agreements associated with comprehensive one-stop centers.</w:t>
      </w:r>
    </w:p>
    <w:p w14:paraId="2061C2DB" w14:textId="77777777" w:rsidR="00016297" w:rsidRPr="008A5A66" w:rsidRDefault="00B24C32" w:rsidP="00016297">
      <w:pPr>
        <w:pStyle w:val="Heading2"/>
        <w:spacing w:before="0"/>
        <w:rPr>
          <w:color w:val="auto"/>
        </w:rPr>
      </w:pPr>
      <w:r w:rsidRPr="008A5A66">
        <w:rPr>
          <w:rFonts w:ascii="Times New Roman" w:hAnsi="Times New Roman" w:cs="Times New Roman"/>
          <w:color w:val="auto"/>
        </w:rPr>
        <w:t xml:space="preserve">Integrated English Literacy and Civics Education (IELCE) Program </w:t>
      </w:r>
      <w:r w:rsidR="009527D7" w:rsidRPr="008A5A66">
        <w:rPr>
          <w:rFonts w:ascii="Times New Roman" w:hAnsi="Times New Roman" w:cs="Times New Roman"/>
          <w:color w:val="auto"/>
        </w:rPr>
        <w:t>(AEFLA Section 243)</w:t>
      </w:r>
    </w:p>
    <w:p w14:paraId="41332800" w14:textId="617D197B" w:rsidR="00F80E46" w:rsidRDefault="006F64D7" w:rsidP="00675ED5">
      <w:pPr>
        <w:spacing w:after="120"/>
      </w:pPr>
      <w:r>
        <w:t>Program year 2016-2017 was a transition year for the Virginia IELCE programs</w:t>
      </w:r>
      <w:r w:rsidR="004141BA">
        <w:t xml:space="preserve"> with </w:t>
      </w:r>
      <w:r w:rsidR="00195458">
        <w:t xml:space="preserve">18 </w:t>
      </w:r>
      <w:r w:rsidR="004141BA">
        <w:t>previous awardees</w:t>
      </w:r>
      <w:r>
        <w:t xml:space="preserve"> granted a continuation grant</w:t>
      </w:r>
      <w:r w:rsidR="004141BA">
        <w:t xml:space="preserve"> with the requirement that they implement the IELCE federal requirements. </w:t>
      </w:r>
      <w:r w:rsidR="001E671F">
        <w:t>One of the priorities of the state was the implementation of</w:t>
      </w:r>
      <w:r w:rsidR="00E822CA">
        <w:t xml:space="preserve"> standards</w:t>
      </w:r>
      <w:r w:rsidR="001E671F">
        <w:t>-</w:t>
      </w:r>
      <w:r w:rsidR="00E822CA">
        <w:t xml:space="preserve">based instruction. </w:t>
      </w:r>
      <w:r w:rsidR="000B5632">
        <w:t xml:space="preserve">All </w:t>
      </w:r>
      <w:r w:rsidR="000E24DE">
        <w:t xml:space="preserve">18 </w:t>
      </w:r>
      <w:r w:rsidR="000B5632">
        <w:t xml:space="preserve">programs </w:t>
      </w:r>
      <w:r w:rsidR="00E822CA">
        <w:t xml:space="preserve">held </w:t>
      </w:r>
      <w:r w:rsidR="00F832C9">
        <w:t>professional l</w:t>
      </w:r>
      <w:r w:rsidR="00741823">
        <w:t xml:space="preserve">earning </w:t>
      </w:r>
      <w:r w:rsidR="00F832C9">
        <w:t xml:space="preserve">communities </w:t>
      </w:r>
      <w:r w:rsidR="00741823">
        <w:t>(</w:t>
      </w:r>
      <w:r w:rsidR="00195458">
        <w:t>PLCs</w:t>
      </w:r>
      <w:r w:rsidR="00741823">
        <w:t>)</w:t>
      </w:r>
      <w:r w:rsidR="00E822CA">
        <w:t xml:space="preserve"> that </w:t>
      </w:r>
      <w:r w:rsidR="000B5632">
        <w:t xml:space="preserve">focused on </w:t>
      </w:r>
      <w:r w:rsidR="00E822CA">
        <w:t xml:space="preserve">implementing </w:t>
      </w:r>
      <w:r w:rsidR="000B5632">
        <w:t>standards</w:t>
      </w:r>
      <w:r w:rsidR="000E24DE">
        <w:t>-</w:t>
      </w:r>
      <w:r w:rsidR="000B5632">
        <w:t xml:space="preserve">based instruction </w:t>
      </w:r>
      <w:r w:rsidR="00E822CA">
        <w:t>in the classroom.</w:t>
      </w:r>
      <w:r w:rsidR="00195458">
        <w:t xml:space="preserve"> The VALRC</w:t>
      </w:r>
      <w:r>
        <w:t xml:space="preserve"> coordinated a statewide committee to plan alignment and professional development activities around the integration of the </w:t>
      </w:r>
      <w:r w:rsidR="00741823">
        <w:t xml:space="preserve">Virginia </w:t>
      </w:r>
      <w:r>
        <w:t>ESOL content standards with the College and Career Readiness Standards</w:t>
      </w:r>
      <w:r w:rsidR="00195458">
        <w:t xml:space="preserve"> (more detail provided below in the</w:t>
      </w:r>
      <w:r w:rsidR="00195458" w:rsidRPr="00195458">
        <w:t xml:space="preserve"> Adult Education Standards</w:t>
      </w:r>
      <w:r w:rsidR="00195458">
        <w:t xml:space="preserve"> section)</w:t>
      </w:r>
      <w:r>
        <w:t>.</w:t>
      </w:r>
      <w:r w:rsidR="008A1A21">
        <w:t xml:space="preserve"> In </w:t>
      </w:r>
      <w:r w:rsidR="00195458">
        <w:t>program year 2017-2018</w:t>
      </w:r>
      <w:r w:rsidR="008A1A21">
        <w:t xml:space="preserve">, this </w:t>
      </w:r>
      <w:r w:rsidR="00195458">
        <w:t>committee</w:t>
      </w:r>
      <w:r w:rsidR="008A1A21">
        <w:t xml:space="preserve"> is expanding its focus to include the </w:t>
      </w:r>
      <w:r w:rsidR="00195458">
        <w:t xml:space="preserve">implementation of the </w:t>
      </w:r>
      <w:r w:rsidR="008A1A21">
        <w:t xml:space="preserve">English </w:t>
      </w:r>
      <w:r w:rsidR="00F80E46">
        <w:t>Language Proficiency Standards.</w:t>
      </w:r>
    </w:p>
    <w:p w14:paraId="483C1211" w14:textId="79CB6A17" w:rsidR="009D102D" w:rsidRPr="000A3D5C" w:rsidRDefault="000E24DE" w:rsidP="00675ED5">
      <w:pPr>
        <w:spacing w:after="120"/>
      </w:pPr>
      <w:r w:rsidRPr="000A3D5C">
        <w:t>Another focus was on</w:t>
      </w:r>
      <w:r w:rsidR="00A45F7A" w:rsidRPr="000A3D5C">
        <w:t xml:space="preserve"> </w:t>
      </w:r>
      <w:r w:rsidR="00E61BBC" w:rsidRPr="000A3D5C">
        <w:t>strengthening, creating,</w:t>
      </w:r>
      <w:r w:rsidR="00A45F7A" w:rsidRPr="000A3D5C">
        <w:t xml:space="preserve"> </w:t>
      </w:r>
      <w:r w:rsidRPr="000A3D5C">
        <w:t>and</w:t>
      </w:r>
      <w:r w:rsidR="00A45F7A" w:rsidRPr="000A3D5C">
        <w:t xml:space="preserve"> planning </w:t>
      </w:r>
      <w:r w:rsidRPr="000A3D5C">
        <w:t>IET</w:t>
      </w:r>
      <w:r w:rsidR="00E61BBC" w:rsidRPr="000A3D5C">
        <w:t xml:space="preserve"> program</w:t>
      </w:r>
      <w:r w:rsidR="0083423F" w:rsidRPr="000A3D5C">
        <w:t>s</w:t>
      </w:r>
      <w:r w:rsidR="00A45F7A" w:rsidRPr="000A3D5C">
        <w:t xml:space="preserve">. </w:t>
      </w:r>
      <w:r w:rsidR="000B5632" w:rsidRPr="000A3D5C">
        <w:t>Seven</w:t>
      </w:r>
      <w:r w:rsidRPr="000A3D5C">
        <w:t xml:space="preserve"> of the 18</w:t>
      </w:r>
      <w:r w:rsidR="00741823" w:rsidRPr="000A3D5C">
        <w:t xml:space="preserve"> IELCE </w:t>
      </w:r>
      <w:r w:rsidR="000B5632" w:rsidRPr="000A3D5C">
        <w:t xml:space="preserve">programs </w:t>
      </w:r>
      <w:r w:rsidR="00E61BBC" w:rsidRPr="000A3D5C">
        <w:t xml:space="preserve">ran </w:t>
      </w:r>
      <w:r w:rsidR="000B5632" w:rsidRPr="000A3D5C">
        <w:t xml:space="preserve">IET </w:t>
      </w:r>
      <w:r w:rsidR="00195458" w:rsidRPr="000A3D5C">
        <w:t>cohort</w:t>
      </w:r>
      <w:r w:rsidR="00DF7178" w:rsidRPr="000A3D5C">
        <w:t>s</w:t>
      </w:r>
      <w:r w:rsidR="00521156" w:rsidRPr="000A3D5C">
        <w:t xml:space="preserve"> in the hospitality, childcare, </w:t>
      </w:r>
      <w:r w:rsidRPr="000A3D5C">
        <w:t xml:space="preserve">and </w:t>
      </w:r>
      <w:r w:rsidR="00521156" w:rsidRPr="000A3D5C">
        <w:t xml:space="preserve">healthcare occupational clusters. </w:t>
      </w:r>
      <w:r w:rsidRPr="000A3D5C">
        <w:t>Credentials</w:t>
      </w:r>
      <w:r w:rsidR="00195458" w:rsidRPr="000A3D5C">
        <w:t xml:space="preserve"> offered</w:t>
      </w:r>
      <w:r w:rsidRPr="000A3D5C">
        <w:t xml:space="preserve"> </w:t>
      </w:r>
      <w:r w:rsidR="00521156" w:rsidRPr="000A3D5C">
        <w:t xml:space="preserve">included </w:t>
      </w:r>
      <w:r w:rsidR="00431DEF" w:rsidRPr="000A3D5C">
        <w:t xml:space="preserve">Medical </w:t>
      </w:r>
      <w:r w:rsidR="00207738">
        <w:t>Billing and Coding</w:t>
      </w:r>
      <w:r w:rsidR="00431DEF" w:rsidRPr="000A3D5C">
        <w:t xml:space="preserve">, </w:t>
      </w:r>
      <w:r w:rsidR="00FC48B6" w:rsidRPr="000A3D5C">
        <w:t xml:space="preserve">National Certified Insurance and Coding Specialist, </w:t>
      </w:r>
      <w:proofErr w:type="spellStart"/>
      <w:r w:rsidR="007F113C" w:rsidRPr="000A3D5C">
        <w:t>ServSafe</w:t>
      </w:r>
      <w:proofErr w:type="spellEnd"/>
      <w:r w:rsidR="007F113C" w:rsidRPr="000A3D5C">
        <w:t xml:space="preserve"> Food </w:t>
      </w:r>
      <w:r w:rsidR="00207738">
        <w:t>Protection Manager</w:t>
      </w:r>
      <w:r w:rsidR="009D102D" w:rsidRPr="000A3D5C">
        <w:t>,</w:t>
      </w:r>
      <w:r w:rsidR="008A1A21" w:rsidRPr="000A3D5C">
        <w:t xml:space="preserve"> </w:t>
      </w:r>
      <w:proofErr w:type="spellStart"/>
      <w:r w:rsidR="009D102D" w:rsidRPr="000A3D5C">
        <w:t>ServSafe</w:t>
      </w:r>
      <w:proofErr w:type="spellEnd"/>
      <w:r w:rsidR="009D102D" w:rsidRPr="000A3D5C">
        <w:t xml:space="preserve"> </w:t>
      </w:r>
      <w:r w:rsidR="007F113C" w:rsidRPr="000A3D5C">
        <w:t>Food Handler</w:t>
      </w:r>
      <w:r w:rsidR="00E61BBC" w:rsidRPr="000A3D5C">
        <w:t>,</w:t>
      </w:r>
      <w:r w:rsidR="00521156" w:rsidRPr="000A3D5C">
        <w:t xml:space="preserve"> first aid</w:t>
      </w:r>
      <w:r w:rsidR="001B6012" w:rsidRPr="000A3D5C">
        <w:t xml:space="preserve">, </w:t>
      </w:r>
      <w:r w:rsidR="000A3D5C" w:rsidRPr="000A3D5C">
        <w:rPr>
          <w:color w:val="000000"/>
          <w:lang w:val="en"/>
        </w:rPr>
        <w:t>Cardiopulmonary Resuscitation (CPR)</w:t>
      </w:r>
      <w:r w:rsidR="001B6012" w:rsidRPr="000A3D5C">
        <w:t xml:space="preserve">, </w:t>
      </w:r>
      <w:r w:rsidR="009D102D" w:rsidRPr="000A3D5C">
        <w:t xml:space="preserve">and </w:t>
      </w:r>
      <w:r w:rsidR="00521156" w:rsidRPr="000A3D5C">
        <w:t xml:space="preserve">pediatric </w:t>
      </w:r>
      <w:r w:rsidR="000A3D5C" w:rsidRPr="000A3D5C">
        <w:rPr>
          <w:color w:val="000000"/>
          <w:lang w:val="en"/>
        </w:rPr>
        <w:t xml:space="preserve">CPR </w:t>
      </w:r>
      <w:r w:rsidR="00521156" w:rsidRPr="000A3D5C">
        <w:t>/</w:t>
      </w:r>
      <w:r w:rsidR="000A3D5C" w:rsidRPr="000A3D5C">
        <w:rPr>
          <w:lang w:val="en"/>
        </w:rPr>
        <w:t xml:space="preserve"> Automatic External Defibrillators</w:t>
      </w:r>
      <w:r w:rsidR="00060E01">
        <w:rPr>
          <w:lang w:val="en"/>
        </w:rPr>
        <w:t xml:space="preserve"> </w:t>
      </w:r>
      <w:r w:rsidR="000A3D5C" w:rsidRPr="000A3D5C">
        <w:rPr>
          <w:lang w:val="en"/>
        </w:rPr>
        <w:t>(AED)</w:t>
      </w:r>
      <w:r w:rsidRPr="000A3D5C">
        <w:t>.</w:t>
      </w:r>
    </w:p>
    <w:p w14:paraId="438DEB38" w14:textId="4DC3952D" w:rsidR="002145ED" w:rsidRDefault="00A5383F" w:rsidP="002145ED">
      <w:pPr>
        <w:spacing w:after="120"/>
      </w:pPr>
      <w:r>
        <w:t xml:space="preserve">In program year 2016-2017, </w:t>
      </w:r>
      <w:r w:rsidR="002145ED">
        <w:t>the programs made progress toward the goal of preparing and placing learners into unsubsidized employment by</w:t>
      </w:r>
      <w:r>
        <w:t xml:space="preserve"> </w:t>
      </w:r>
      <w:r w:rsidR="007D7787">
        <w:t xml:space="preserve">implementing </w:t>
      </w:r>
      <w:r w:rsidR="008D4C7B">
        <w:t>workforce preparation activities</w:t>
      </w:r>
      <w:r w:rsidR="000F3D6D">
        <w:t>, including digital literacy, critical thinking, and other employability skills</w:t>
      </w:r>
      <w:r w:rsidR="003F0446">
        <w:t>,</w:t>
      </w:r>
      <w:r w:rsidR="000F3D6D">
        <w:t xml:space="preserve"> into instruction</w:t>
      </w:r>
      <w:r w:rsidR="00C63344">
        <w:t>.</w:t>
      </w:r>
      <w:r w:rsidR="007B74F1">
        <w:t xml:space="preserve"> The localities also focused on the </w:t>
      </w:r>
      <w:r w:rsidR="00195458">
        <w:t xml:space="preserve">job </w:t>
      </w:r>
      <w:r w:rsidR="007B74F1">
        <w:t xml:space="preserve">placement of participants by building partnerships with </w:t>
      </w:r>
      <w:r w:rsidR="007B74F1" w:rsidRPr="002C4FFE">
        <w:t xml:space="preserve">employers, </w:t>
      </w:r>
      <w:r w:rsidR="007B74F1">
        <w:t xml:space="preserve">as well as using the services of student advisors, </w:t>
      </w:r>
      <w:r w:rsidR="00A65D3F">
        <w:t xml:space="preserve">outreach specialist, </w:t>
      </w:r>
      <w:r w:rsidR="007B74F1">
        <w:t>employment transition coaches</w:t>
      </w:r>
      <w:r w:rsidR="001D4EFA">
        <w:t xml:space="preserve">, business services, </w:t>
      </w:r>
      <w:r w:rsidR="007B74F1">
        <w:t>and the Virginia Community College System</w:t>
      </w:r>
      <w:r w:rsidR="003F47DD">
        <w:t xml:space="preserve"> (VCCS)</w:t>
      </w:r>
      <w:r w:rsidR="007B74F1">
        <w:t xml:space="preserve"> adult career c</w:t>
      </w:r>
      <w:r w:rsidR="001D4EFA">
        <w:t>oaches.</w:t>
      </w:r>
    </w:p>
    <w:p w14:paraId="3BADFEB4" w14:textId="36C0ABD4" w:rsidR="004523BF" w:rsidRDefault="004523BF" w:rsidP="00B70DB5">
      <w:pPr>
        <w:spacing w:after="120"/>
        <w:ind w:left="720"/>
      </w:pPr>
      <w:r w:rsidRPr="00A5383F">
        <w:rPr>
          <w:b/>
        </w:rPr>
        <w:t>Performance Results:</w:t>
      </w:r>
      <w:r>
        <w:t xml:space="preserve"> </w:t>
      </w:r>
      <w:r w:rsidR="00195458">
        <w:t xml:space="preserve">Through an IELCE-funded </w:t>
      </w:r>
      <w:r w:rsidR="00B6528A">
        <w:t xml:space="preserve">program, </w:t>
      </w:r>
      <w:r w:rsidR="005276D0">
        <w:t>o</w:t>
      </w:r>
      <w:r w:rsidR="008C632D">
        <w:t xml:space="preserve">ne locality </w:t>
      </w:r>
      <w:r w:rsidR="001D4EFA">
        <w:t>helped all</w:t>
      </w:r>
      <w:r>
        <w:t xml:space="preserve"> four participants who went through the </w:t>
      </w:r>
      <w:proofErr w:type="spellStart"/>
      <w:r>
        <w:t>ServSafe</w:t>
      </w:r>
      <w:proofErr w:type="spellEnd"/>
      <w:r>
        <w:t xml:space="preserve"> Manager’s </w:t>
      </w:r>
      <w:proofErr w:type="spellStart"/>
      <w:r>
        <w:t>IET</w:t>
      </w:r>
      <w:proofErr w:type="spellEnd"/>
      <w:r>
        <w:t xml:space="preserve"> program receive promotions at work; two </w:t>
      </w:r>
      <w:r w:rsidR="0083423F">
        <w:t xml:space="preserve">received </w:t>
      </w:r>
      <w:r>
        <w:t>an increase in pay, one became a manager, and one is opening his own restaurant.</w:t>
      </w:r>
      <w:r w:rsidR="001D4EFA">
        <w:t xml:space="preserve"> Another locality, through </w:t>
      </w:r>
      <w:r w:rsidR="00D0534E">
        <w:t xml:space="preserve">its </w:t>
      </w:r>
      <w:r w:rsidR="001D4EFA">
        <w:t>partnerships, w</w:t>
      </w:r>
      <w:r w:rsidR="001B10B9">
        <w:t>as</w:t>
      </w:r>
      <w:r w:rsidR="005276D0">
        <w:t xml:space="preserve"> able to place </w:t>
      </w:r>
      <w:r w:rsidR="001B10B9">
        <w:t>73 percent</w:t>
      </w:r>
      <w:r w:rsidR="005276D0">
        <w:t xml:space="preserve"> of those looking for employment</w:t>
      </w:r>
      <w:r w:rsidR="001B10B9">
        <w:t xml:space="preserve">, </w:t>
      </w:r>
      <w:r w:rsidR="005276D0">
        <w:t>surpass</w:t>
      </w:r>
      <w:r w:rsidR="001B10B9">
        <w:t>ing</w:t>
      </w:r>
      <w:r w:rsidR="005276D0">
        <w:t xml:space="preserve"> their goal of 40</w:t>
      </w:r>
      <w:r w:rsidR="001B10B9">
        <w:t xml:space="preserve"> percent</w:t>
      </w:r>
      <w:r w:rsidR="005276D0">
        <w:t>. These</w:t>
      </w:r>
      <w:r w:rsidR="003F47DD">
        <w:t xml:space="preserve"> placements were in </w:t>
      </w:r>
      <w:r w:rsidR="005276D0">
        <w:t xml:space="preserve">jobs </w:t>
      </w:r>
      <w:r w:rsidR="003F47DD">
        <w:t xml:space="preserve">in the </w:t>
      </w:r>
      <w:r w:rsidR="001D4EFA">
        <w:t xml:space="preserve">occupational clusters of </w:t>
      </w:r>
      <w:r w:rsidR="005276D0">
        <w:t xml:space="preserve">manufacturing, warehouse, hospitality, and </w:t>
      </w:r>
      <w:r w:rsidR="005276D0">
        <w:lastRenderedPageBreak/>
        <w:t xml:space="preserve">healthcare. </w:t>
      </w:r>
      <w:r w:rsidR="002630B1">
        <w:t>Another locality has a fulltime employment transition coach who held 20 wo</w:t>
      </w:r>
      <w:r w:rsidR="004C777B">
        <w:t>rkforce preparation workshops. At this program, n</w:t>
      </w:r>
      <w:r w:rsidR="002630B1">
        <w:t xml:space="preserve">ine IELCE participants earned a job readiness certificate, 41 IELCE participants attended at least one </w:t>
      </w:r>
      <w:r w:rsidR="001B10B9">
        <w:t xml:space="preserve">workforce readiness </w:t>
      </w:r>
      <w:r w:rsidR="002630B1">
        <w:t>workshop, 12 produc</w:t>
      </w:r>
      <w:r w:rsidR="007F113C">
        <w:t>e</w:t>
      </w:r>
      <w:r w:rsidR="002630B1">
        <w:t xml:space="preserve">d a workforce ready resume, five gained verified employment, and two transitioned into the </w:t>
      </w:r>
      <w:r w:rsidR="001B10B9">
        <w:t>Information Technology</w:t>
      </w:r>
      <w:r w:rsidR="002630B1">
        <w:t xml:space="preserve"> program at </w:t>
      </w:r>
      <w:r w:rsidR="0085645C">
        <w:t xml:space="preserve">a </w:t>
      </w:r>
      <w:r w:rsidR="004C777B">
        <w:t>community c</w:t>
      </w:r>
      <w:r w:rsidR="002630B1">
        <w:t>ollege.</w:t>
      </w:r>
    </w:p>
    <w:p w14:paraId="1D11065A" w14:textId="082C3798" w:rsidR="0011558D" w:rsidRDefault="00A5383F" w:rsidP="00B70DB5">
      <w:pPr>
        <w:spacing w:after="120"/>
        <w:ind w:left="720"/>
      </w:pPr>
      <w:r>
        <w:rPr>
          <w:b/>
        </w:rPr>
        <w:t>C</w:t>
      </w:r>
      <w:r w:rsidR="0011558D" w:rsidRPr="00A5383F">
        <w:rPr>
          <w:b/>
        </w:rPr>
        <w:t>hallenge</w:t>
      </w:r>
      <w:r>
        <w:rPr>
          <w:b/>
        </w:rPr>
        <w:t>:</w:t>
      </w:r>
      <w:r w:rsidR="004C777B">
        <w:t xml:space="preserve"> A significant challenge was</w:t>
      </w:r>
      <w:r w:rsidR="0011558D">
        <w:t xml:space="preserve"> the broadening focus</w:t>
      </w:r>
      <w:r>
        <w:t xml:space="preserve"> of the IELCE programs and providers’ mission</w:t>
      </w:r>
      <w:r w:rsidR="0011558D">
        <w:t xml:space="preserve">. </w:t>
      </w:r>
      <w:r>
        <w:t>Previously, p</w:t>
      </w:r>
      <w:r w:rsidR="004C777B">
        <w:t>rograms had</w:t>
      </w:r>
      <w:r w:rsidR="0011558D">
        <w:t xml:space="preserve"> focused on </w:t>
      </w:r>
      <w:r>
        <w:t>life</w:t>
      </w:r>
      <w:r w:rsidR="004C777B">
        <w:t xml:space="preserve"> </w:t>
      </w:r>
      <w:r>
        <w:t xml:space="preserve">skills instruction for </w:t>
      </w:r>
      <w:r w:rsidR="0011558D">
        <w:t>learners</w:t>
      </w:r>
      <w:r>
        <w:t>,</w:t>
      </w:r>
      <w:r w:rsidR="004C777B">
        <w:t xml:space="preserve"> who were</w:t>
      </w:r>
      <w:r>
        <w:t xml:space="preserve"> often at quite low levels of English proficiency. Skills training and</w:t>
      </w:r>
      <w:r w:rsidR="0011558D">
        <w:t xml:space="preserve"> </w:t>
      </w:r>
      <w:r>
        <w:t xml:space="preserve">employment placement were not a component of the providers’ scope. </w:t>
      </w:r>
      <w:r w:rsidR="0011558D">
        <w:t xml:space="preserve">Also, </w:t>
      </w:r>
      <w:r w:rsidR="00B379D1">
        <w:t>programs report</w:t>
      </w:r>
      <w:r w:rsidR="0011558D">
        <w:t xml:space="preserve"> </w:t>
      </w:r>
      <w:r w:rsidR="00D0534E">
        <w:t>the</w:t>
      </w:r>
      <w:r w:rsidR="0011558D">
        <w:t xml:space="preserve"> challenge </w:t>
      </w:r>
      <w:r w:rsidR="00B5610A">
        <w:t xml:space="preserve">that </w:t>
      </w:r>
      <w:r w:rsidR="0011558D">
        <w:t xml:space="preserve">current learners </w:t>
      </w:r>
      <w:r w:rsidR="00D0534E">
        <w:t xml:space="preserve">often </w:t>
      </w:r>
      <w:r w:rsidR="00B379D1">
        <w:t>perceive</w:t>
      </w:r>
      <w:r w:rsidR="00B5610A">
        <w:t xml:space="preserve"> the IELCE programs </w:t>
      </w:r>
      <w:r w:rsidR="00B379D1">
        <w:t xml:space="preserve">as </w:t>
      </w:r>
      <w:r w:rsidR="00D0534E">
        <w:t xml:space="preserve">solely </w:t>
      </w:r>
      <w:r w:rsidR="003F47DD">
        <w:t xml:space="preserve">providing </w:t>
      </w:r>
      <w:r w:rsidR="0011558D">
        <w:t>English language inst</w:t>
      </w:r>
      <w:r w:rsidR="00B5610A">
        <w:t>ruction</w:t>
      </w:r>
      <w:r w:rsidR="00B379D1">
        <w:t>; they do not seek employment and training from the existing providers</w:t>
      </w:r>
      <w:r w:rsidR="0011558D">
        <w:t xml:space="preserve">. </w:t>
      </w:r>
      <w:r w:rsidR="00B5610A">
        <w:t>One program states that 55</w:t>
      </w:r>
      <w:r w:rsidR="001B10B9">
        <w:t xml:space="preserve"> percent</w:t>
      </w:r>
      <w:r w:rsidR="00B5610A">
        <w:t xml:space="preserve"> of </w:t>
      </w:r>
      <w:r w:rsidR="00D0534E">
        <w:t xml:space="preserve">its </w:t>
      </w:r>
      <w:r w:rsidR="00B5610A">
        <w:t xml:space="preserve">learners are already employed. </w:t>
      </w:r>
    </w:p>
    <w:p w14:paraId="312D5EB2" w14:textId="1872522F" w:rsidR="009D102D" w:rsidRDefault="009D102D" w:rsidP="00B70DB5">
      <w:pPr>
        <w:spacing w:after="120"/>
        <w:ind w:left="720"/>
      </w:pPr>
      <w:r w:rsidRPr="00B379D1">
        <w:rPr>
          <w:b/>
        </w:rPr>
        <w:t>Lessons Learned:</w:t>
      </w:r>
      <w:r w:rsidR="00B5610A">
        <w:t xml:space="preserve"> </w:t>
      </w:r>
      <w:r w:rsidR="009D0F97">
        <w:t>R</w:t>
      </w:r>
      <w:r w:rsidR="00B379D1">
        <w:t xml:space="preserve">e-messaging the services programs offer to potential students and business customers in the community is an imperative for future success. </w:t>
      </w:r>
      <w:r w:rsidR="001B10B9">
        <w:t>Programs are beginning to discuss how to attract a new clientele, one that may be more prepared to engage in IET programming.</w:t>
      </w:r>
    </w:p>
    <w:p w14:paraId="3496AEC1" w14:textId="78E6C1A8" w:rsidR="002145ED" w:rsidRPr="005276D0" w:rsidRDefault="008D4C7B" w:rsidP="002145ED">
      <w:pPr>
        <w:spacing w:after="120"/>
      </w:pPr>
      <w:r w:rsidRPr="001D4EFA">
        <w:t xml:space="preserve">Virginia </w:t>
      </w:r>
      <w:r w:rsidR="00827CDE" w:rsidRPr="001D4EFA">
        <w:t xml:space="preserve">is making progress with ensuring that IELCE program activities are integrated with the </w:t>
      </w:r>
      <w:r w:rsidR="002352A3" w:rsidRPr="001D4EFA">
        <w:t>local workforce development system</w:t>
      </w:r>
      <w:r w:rsidR="00827CDE" w:rsidRPr="001D4EFA">
        <w:t xml:space="preserve">. The focus of the 2016-2017 grant year was on building partnerships that included </w:t>
      </w:r>
      <w:r w:rsidR="007B74F1">
        <w:t xml:space="preserve">working with the </w:t>
      </w:r>
      <w:r w:rsidR="0083423F">
        <w:t>LWDB</w:t>
      </w:r>
      <w:r w:rsidR="003F47DD">
        <w:t>s</w:t>
      </w:r>
      <w:r w:rsidR="007B74F1">
        <w:t xml:space="preserve">, </w:t>
      </w:r>
      <w:r w:rsidR="004C777B">
        <w:t>one-s</w:t>
      </w:r>
      <w:r w:rsidR="00827CDE" w:rsidRPr="001D4EFA">
        <w:t>top</w:t>
      </w:r>
      <w:r w:rsidR="007B74F1">
        <w:t xml:space="preserve"> </w:t>
      </w:r>
      <w:r w:rsidR="004C777B">
        <w:t>workforce system</w:t>
      </w:r>
      <w:r w:rsidR="00827CDE" w:rsidRPr="001D4EFA">
        <w:t>,</w:t>
      </w:r>
      <w:r w:rsidR="004C777B">
        <w:t xml:space="preserve"> the</w:t>
      </w:r>
      <w:r w:rsidR="00827CDE" w:rsidRPr="001D4EFA">
        <w:t xml:space="preserve"> </w:t>
      </w:r>
      <w:r w:rsidR="004D5E52" w:rsidRPr="002C4FFE">
        <w:t>Virginia Employment Commission</w:t>
      </w:r>
      <w:r w:rsidR="003F47DD">
        <w:t>,</w:t>
      </w:r>
      <w:r w:rsidR="008E59AE">
        <w:t xml:space="preserve"> </w:t>
      </w:r>
      <w:r w:rsidR="004D5E52" w:rsidRPr="002C4FFE">
        <w:t xml:space="preserve">the </w:t>
      </w:r>
      <w:r w:rsidR="003F47DD">
        <w:t xml:space="preserve">Virginia </w:t>
      </w:r>
      <w:r w:rsidR="004D5E52" w:rsidRPr="002C4FFE">
        <w:t>Department of Social Services</w:t>
      </w:r>
      <w:r w:rsidR="003F47DD">
        <w:t>,</w:t>
      </w:r>
      <w:r w:rsidR="004D5E52" w:rsidRPr="002C4FFE">
        <w:t xml:space="preserve"> </w:t>
      </w:r>
      <w:proofErr w:type="spellStart"/>
      <w:r w:rsidR="00431DEF">
        <w:t>Telemon</w:t>
      </w:r>
      <w:proofErr w:type="spellEnd"/>
      <w:r w:rsidR="00431DEF">
        <w:t xml:space="preserve"> Corporation, </w:t>
      </w:r>
      <w:r w:rsidR="000F38D2">
        <w:t xml:space="preserve">Goodwill Industries, </w:t>
      </w:r>
      <w:r w:rsidR="00D0534E">
        <w:t>VCCS</w:t>
      </w:r>
      <w:r w:rsidR="002352A3" w:rsidRPr="001D4EFA">
        <w:t xml:space="preserve">, </w:t>
      </w:r>
      <w:r w:rsidR="008E59AE">
        <w:t xml:space="preserve">and </w:t>
      </w:r>
      <w:r w:rsidR="000A3D5C">
        <w:t>postsecondary</w:t>
      </w:r>
      <w:r w:rsidR="002352A3" w:rsidRPr="001D4EFA">
        <w:t xml:space="preserve"> C</w:t>
      </w:r>
      <w:r w:rsidR="004D5E52">
        <w:t xml:space="preserve">areer and </w:t>
      </w:r>
      <w:r w:rsidR="002352A3" w:rsidRPr="001D4EFA">
        <w:t>T</w:t>
      </w:r>
      <w:r w:rsidR="004D5E52">
        <w:t xml:space="preserve">echnical </w:t>
      </w:r>
      <w:r w:rsidR="000A3D5C">
        <w:t>Centers</w:t>
      </w:r>
      <w:r w:rsidR="004D5E52">
        <w:t xml:space="preserve">. </w:t>
      </w:r>
    </w:p>
    <w:p w14:paraId="45E2003C" w14:textId="7E6A7A75" w:rsidR="004D5E52" w:rsidRDefault="009D102D" w:rsidP="004E7DA5">
      <w:pPr>
        <w:spacing w:after="120"/>
        <w:ind w:left="720"/>
        <w:rPr>
          <w:b/>
        </w:rPr>
      </w:pPr>
      <w:r w:rsidRPr="005276D0">
        <w:rPr>
          <w:b/>
        </w:rPr>
        <w:t>Performance Results:</w:t>
      </w:r>
      <w:r w:rsidR="002630B1">
        <w:rPr>
          <w:b/>
        </w:rPr>
        <w:t xml:space="preserve"> </w:t>
      </w:r>
      <w:r w:rsidR="00827CDE" w:rsidRPr="005276D0">
        <w:t xml:space="preserve">Two localities included their LWDB manager on their </w:t>
      </w:r>
      <w:r w:rsidR="00207738">
        <w:t>adult e</w:t>
      </w:r>
      <w:r w:rsidR="008E59AE">
        <w:t xml:space="preserve">ducation </w:t>
      </w:r>
      <w:r w:rsidR="00827CDE" w:rsidRPr="001D4EFA">
        <w:t xml:space="preserve">advisory board. </w:t>
      </w:r>
      <w:r w:rsidR="00A65D3F">
        <w:t>Eight</w:t>
      </w:r>
      <w:r w:rsidR="00827CDE" w:rsidRPr="001D4EFA">
        <w:t xml:space="preserve"> localities offer classes at the </w:t>
      </w:r>
      <w:r w:rsidR="001B10B9">
        <w:t>o</w:t>
      </w:r>
      <w:r w:rsidR="001B10B9" w:rsidRPr="001D4EFA">
        <w:t>ne</w:t>
      </w:r>
      <w:r w:rsidR="00827CDE" w:rsidRPr="001D4EFA">
        <w:t>-</w:t>
      </w:r>
      <w:r w:rsidR="001B10B9">
        <w:t>s</w:t>
      </w:r>
      <w:r w:rsidR="001B10B9" w:rsidRPr="001D4EFA">
        <w:t xml:space="preserve">top </w:t>
      </w:r>
      <w:r w:rsidR="001B10B9">
        <w:t>c</w:t>
      </w:r>
      <w:r w:rsidR="001B10B9" w:rsidRPr="001D4EFA">
        <w:t>enters</w:t>
      </w:r>
      <w:r w:rsidR="00827CDE" w:rsidRPr="001D4EFA">
        <w:t>.</w:t>
      </w:r>
      <w:r w:rsidR="002630B1">
        <w:t xml:space="preserve"> </w:t>
      </w:r>
      <w:r w:rsidR="008E59AE">
        <w:t xml:space="preserve">Five localities have a formal referral process. </w:t>
      </w:r>
      <w:r w:rsidR="001B10B9">
        <w:t>A</w:t>
      </w:r>
      <w:r w:rsidR="002630B1">
        <w:t xml:space="preserve"> fulltime</w:t>
      </w:r>
      <w:r w:rsidR="001B10B9">
        <w:t>, one-stop</w:t>
      </w:r>
      <w:r w:rsidR="002630B1">
        <w:t xml:space="preserve"> liaison </w:t>
      </w:r>
      <w:r w:rsidR="001B10B9">
        <w:t>funded by one IELCE program</w:t>
      </w:r>
      <w:r w:rsidR="002630B1">
        <w:t xml:space="preserve"> met with 820 potential </w:t>
      </w:r>
      <w:r w:rsidR="00533113">
        <w:t xml:space="preserve">English Language Learners </w:t>
      </w:r>
      <w:r w:rsidR="004C777B">
        <w:t>and reported that</w:t>
      </w:r>
      <w:r w:rsidR="002630B1">
        <w:t xml:space="preserve"> 186 </w:t>
      </w:r>
      <w:r w:rsidR="001B10B9">
        <w:t xml:space="preserve">individuals </w:t>
      </w:r>
      <w:r w:rsidR="004C777B">
        <w:t xml:space="preserve">were </w:t>
      </w:r>
      <w:r w:rsidR="001B10B9">
        <w:t xml:space="preserve">interested in </w:t>
      </w:r>
      <w:r w:rsidR="002630B1">
        <w:t>citizenship, 91</w:t>
      </w:r>
      <w:r w:rsidR="004C777B">
        <w:t xml:space="preserve"> were</w:t>
      </w:r>
      <w:r w:rsidR="002630B1">
        <w:t xml:space="preserve"> </w:t>
      </w:r>
      <w:r w:rsidR="001B10B9">
        <w:t xml:space="preserve">seeking </w:t>
      </w:r>
      <w:r w:rsidR="002630B1">
        <w:t xml:space="preserve">employment, 294 </w:t>
      </w:r>
      <w:r w:rsidR="004C777B">
        <w:t xml:space="preserve">were </w:t>
      </w:r>
      <w:r w:rsidR="001B10B9">
        <w:t xml:space="preserve">interested in obtaining a high school </w:t>
      </w:r>
      <w:r w:rsidR="00D0534E">
        <w:t>equivalency credential</w:t>
      </w:r>
      <w:r w:rsidR="002630B1">
        <w:t xml:space="preserve">, </w:t>
      </w:r>
      <w:r w:rsidR="001B10B9">
        <w:t>and</w:t>
      </w:r>
      <w:r w:rsidR="002630B1">
        <w:t xml:space="preserve"> 112</w:t>
      </w:r>
      <w:r w:rsidR="001B10B9">
        <w:t xml:space="preserve"> individuals were referred to </w:t>
      </w:r>
      <w:r w:rsidR="002630B1">
        <w:t xml:space="preserve">other </w:t>
      </w:r>
      <w:r w:rsidR="001B10B9">
        <w:t xml:space="preserve">workforce </w:t>
      </w:r>
      <w:r w:rsidR="002630B1">
        <w:t>partners.</w:t>
      </w:r>
      <w:r w:rsidR="008E59AE">
        <w:t xml:space="preserve"> </w:t>
      </w:r>
    </w:p>
    <w:p w14:paraId="3127C834" w14:textId="0ACAEF86" w:rsidR="009D102D" w:rsidRPr="001D4EFA" w:rsidRDefault="009D102D" w:rsidP="004E7DA5">
      <w:pPr>
        <w:spacing w:after="120"/>
        <w:ind w:left="720"/>
      </w:pPr>
      <w:r w:rsidRPr="001D4EFA">
        <w:rPr>
          <w:b/>
        </w:rPr>
        <w:t>Challenge</w:t>
      </w:r>
      <w:r w:rsidRPr="005276D0">
        <w:rPr>
          <w:b/>
        </w:rPr>
        <w:t>:</w:t>
      </w:r>
      <w:r w:rsidR="00827CDE" w:rsidRPr="005276D0">
        <w:t xml:space="preserve"> </w:t>
      </w:r>
      <w:r w:rsidR="008E59AE">
        <w:t>Many of the localities stated that the</w:t>
      </w:r>
      <w:r w:rsidR="004C777B">
        <w:t>ir</w:t>
      </w:r>
      <w:r w:rsidR="008E59AE">
        <w:t xml:space="preserve"> biggest challenge was </w:t>
      </w:r>
      <w:r w:rsidR="001B10B9">
        <w:t xml:space="preserve">building working relationships </w:t>
      </w:r>
      <w:r w:rsidR="008E59AE">
        <w:t>with the various workforce development partners</w:t>
      </w:r>
      <w:r w:rsidR="001B10B9">
        <w:t xml:space="preserve"> and educating them on the </w:t>
      </w:r>
      <w:r w:rsidR="008E59AE">
        <w:t>value of the IELCE program</w:t>
      </w:r>
      <w:r w:rsidR="001B10B9">
        <w:t xml:space="preserve"> for their </w:t>
      </w:r>
      <w:r w:rsidR="004C777B">
        <w:t xml:space="preserve">business </w:t>
      </w:r>
      <w:r w:rsidR="001B10B9">
        <w:t>customers</w:t>
      </w:r>
      <w:r w:rsidR="008E59AE">
        <w:t xml:space="preserve">. </w:t>
      </w:r>
      <w:r w:rsidR="001B10B9">
        <w:t>Geography was also a challenge</w:t>
      </w:r>
      <w:r w:rsidR="004C777B">
        <w:t xml:space="preserve"> as</w:t>
      </w:r>
      <w:r w:rsidR="001B10B9">
        <w:t xml:space="preserve"> some program managers</w:t>
      </w:r>
      <w:r w:rsidR="008E59AE">
        <w:t xml:space="preserve"> stated that not being co-located </w:t>
      </w:r>
      <w:r w:rsidR="004C777B">
        <w:t xml:space="preserve">in a one-stop </w:t>
      </w:r>
      <w:r w:rsidR="008E59AE">
        <w:t xml:space="preserve">was a challenge while others stated the distance </w:t>
      </w:r>
      <w:r w:rsidR="001B10B9">
        <w:t>to</w:t>
      </w:r>
      <w:r w:rsidR="008E59AE">
        <w:t xml:space="preserve"> the nearest </w:t>
      </w:r>
      <w:r w:rsidR="001B10B9">
        <w:t>o</w:t>
      </w:r>
      <w:r w:rsidR="008E59AE">
        <w:t>ne-</w:t>
      </w:r>
      <w:r w:rsidR="001B10B9">
        <w:t>s</w:t>
      </w:r>
      <w:r w:rsidR="008E59AE">
        <w:t xml:space="preserve">top </w:t>
      </w:r>
      <w:r w:rsidR="001B10B9">
        <w:t>c</w:t>
      </w:r>
      <w:r w:rsidR="008E59AE">
        <w:t>enter was a barrier.</w:t>
      </w:r>
    </w:p>
    <w:p w14:paraId="5E384816" w14:textId="1D70B200" w:rsidR="009D102D" w:rsidRDefault="009D102D" w:rsidP="004E7DA5">
      <w:pPr>
        <w:spacing w:after="120"/>
        <w:ind w:left="720"/>
      </w:pPr>
      <w:r w:rsidRPr="001D4EFA">
        <w:rPr>
          <w:b/>
        </w:rPr>
        <w:t>Lessons Learned:</w:t>
      </w:r>
      <w:r w:rsidR="008E59AE">
        <w:rPr>
          <w:b/>
        </w:rPr>
        <w:t xml:space="preserve"> </w:t>
      </w:r>
      <w:r w:rsidR="001B10B9">
        <w:t xml:space="preserve">The programs funded in the new 2017-2018 cycle have, by design, established closer relationships </w:t>
      </w:r>
      <w:r w:rsidR="00D0534E">
        <w:t xml:space="preserve">with </w:t>
      </w:r>
      <w:r w:rsidR="001B10B9">
        <w:t>their LWDB</w:t>
      </w:r>
      <w:r w:rsidR="0085645C">
        <w:t>s</w:t>
      </w:r>
      <w:r w:rsidR="001B10B9">
        <w:t xml:space="preserve"> and </w:t>
      </w:r>
      <w:r w:rsidR="0085645C">
        <w:t xml:space="preserve">become more aware of and informed about </w:t>
      </w:r>
      <w:r w:rsidR="001B10B9">
        <w:t xml:space="preserve">the labor market information of their region. </w:t>
      </w:r>
      <w:r w:rsidR="00831775">
        <w:t>Technical assistance will continue to be provided to ensure that this is a dynamic relationship and IET programs continue to reflect current employment opportunities.</w:t>
      </w:r>
      <w:r w:rsidR="00831775">
        <w:rPr>
          <w:b/>
        </w:rPr>
        <w:t xml:space="preserve"> </w:t>
      </w:r>
      <w:r w:rsidR="00831775">
        <w:t xml:space="preserve">Coordinating with the LWDBs for assistance with employment placement is also a new activity for the IELCE providers and may require technical assistance and strategizing. </w:t>
      </w:r>
    </w:p>
    <w:p w14:paraId="2653A6B2" w14:textId="22633F2C" w:rsidR="004C777B" w:rsidRPr="008A1A21" w:rsidRDefault="004C777B" w:rsidP="004C777B">
      <w:pPr>
        <w:spacing w:after="120"/>
      </w:pPr>
      <w:r w:rsidRPr="004C777B">
        <w:lastRenderedPageBreak/>
        <w:t>The 2017-2018 IELCE funds were awarded to 14 eligible providers. All grants were awarded with the condition that program managers and key staff participate in technical assistance and professional development to improve their compliance with federal regulations, particularly the design and rigor of the IET component, the rigor and labor market value of the credentials offered, the effectiveness of the employment placement plans, and engage</w:t>
      </w:r>
      <w:r w:rsidR="00D0534E">
        <w:t>ment</w:t>
      </w:r>
      <w:r w:rsidRPr="004C777B">
        <w:t xml:space="preserve"> in professional learning around the English Language Proficiency Standards.</w:t>
      </w:r>
    </w:p>
    <w:p w14:paraId="1598ADC7" w14:textId="77777777" w:rsidR="00B24C32" w:rsidRPr="008A5A66" w:rsidRDefault="00B24C32" w:rsidP="0028391E">
      <w:pPr>
        <w:pStyle w:val="Heading2"/>
        <w:spacing w:before="0"/>
        <w:rPr>
          <w:rFonts w:ascii="Times New Roman" w:hAnsi="Times New Roman" w:cs="Times New Roman"/>
          <w:color w:val="auto"/>
        </w:rPr>
      </w:pPr>
      <w:r w:rsidRPr="008A5A66">
        <w:rPr>
          <w:rFonts w:ascii="Times New Roman" w:hAnsi="Times New Roman" w:cs="Times New Roman"/>
          <w:color w:val="auto"/>
        </w:rPr>
        <w:t>Adult Education Standards</w:t>
      </w:r>
    </w:p>
    <w:p w14:paraId="4A5A9AFA" w14:textId="77777777" w:rsidR="00675ED5" w:rsidRDefault="00D0534E" w:rsidP="00675ED5">
      <w:pPr>
        <w:pStyle w:val="NoSpacing"/>
        <w:spacing w:after="120"/>
      </w:pPr>
      <w:r>
        <w:t>I</w:t>
      </w:r>
      <w:r w:rsidR="00775B67">
        <w:t xml:space="preserve">mplementing standards-based instruction for adult education in Virginia continued in </w:t>
      </w:r>
      <w:r w:rsidR="009148B9">
        <w:t>program year 2016-20</w:t>
      </w:r>
      <w:r w:rsidR="00775B67">
        <w:t xml:space="preserve">17, with the overall goal of planning, coordinating, and implementing </w:t>
      </w:r>
      <w:r w:rsidR="0034425C">
        <w:t>s</w:t>
      </w:r>
      <w:r w:rsidR="00775B67">
        <w:t xml:space="preserve">tandards-based </w:t>
      </w:r>
      <w:r w:rsidR="0034425C">
        <w:t>i</w:t>
      </w:r>
      <w:r w:rsidR="00775B67">
        <w:t>nstruction for all eligible providers in the state using</w:t>
      </w:r>
      <w:r w:rsidR="0085645C">
        <w:t xml:space="preserve"> the</w:t>
      </w:r>
      <w:r w:rsidR="00775B67">
        <w:t xml:space="preserve"> College and Career Readiness Standards (CCRS) and </w:t>
      </w:r>
      <w:r w:rsidR="0085645C">
        <w:t xml:space="preserve">the </w:t>
      </w:r>
      <w:r w:rsidR="00775B67">
        <w:t xml:space="preserve">Virginia ESOL Standards, focusing on key instructional practices that result in increased student </w:t>
      </w:r>
      <w:r w:rsidR="009148B9">
        <w:t xml:space="preserve">engagement and </w:t>
      </w:r>
      <w:r w:rsidR="00775B67">
        <w:t>achievement and continuous improvement of instruction in adult education and literacy.</w:t>
      </w:r>
      <w:r w:rsidR="009148B9">
        <w:t xml:space="preserve"> To support this goal, </w:t>
      </w:r>
      <w:r w:rsidR="004C777B">
        <w:t xml:space="preserve">the </w:t>
      </w:r>
      <w:r w:rsidR="009148B9">
        <w:t>VALRC led several efforts</w:t>
      </w:r>
      <w:r w:rsidR="00DF54D3">
        <w:t xml:space="preserve"> </w:t>
      </w:r>
      <w:r w:rsidR="009148B9">
        <w:t>through the program year.</w:t>
      </w:r>
    </w:p>
    <w:p w14:paraId="61C90812" w14:textId="10F832C7" w:rsidR="00775B67" w:rsidRDefault="00775B67" w:rsidP="00675ED5">
      <w:pPr>
        <w:pStyle w:val="NoSpacing"/>
        <w:spacing w:after="120"/>
      </w:pPr>
      <w:r w:rsidRPr="00943A55">
        <w:t>VALRC held a three-day institute</w:t>
      </w:r>
      <w:r w:rsidR="0034425C" w:rsidRPr="00943A55">
        <w:t xml:space="preserve"> as a pre-conference to the annual statewide conference,</w:t>
      </w:r>
      <w:r w:rsidRPr="00943A55">
        <w:t xml:space="preserve"> focused on standards-based instruction that included representatives of </w:t>
      </w:r>
      <w:r w:rsidR="0085645C">
        <w:t>Adult Basic Education</w:t>
      </w:r>
      <w:r w:rsidRPr="00943A55">
        <w:t xml:space="preserve">, </w:t>
      </w:r>
      <w:r w:rsidR="0085645C">
        <w:t>Adult Secondary Education</w:t>
      </w:r>
      <w:r w:rsidRPr="00943A55">
        <w:t xml:space="preserve">, </w:t>
      </w:r>
      <w:proofErr w:type="gramStart"/>
      <w:r w:rsidRPr="00943A55">
        <w:t>ELA</w:t>
      </w:r>
      <w:r w:rsidR="0085645C">
        <w:t xml:space="preserve">, </w:t>
      </w:r>
      <w:r w:rsidRPr="00943A55">
        <w:t xml:space="preserve"> and</w:t>
      </w:r>
      <w:proofErr w:type="gramEnd"/>
      <w:r w:rsidRPr="00943A55">
        <w:t xml:space="preserve"> </w:t>
      </w:r>
      <w:r w:rsidR="0034425C" w:rsidRPr="00943A55">
        <w:t>IELCE</w:t>
      </w:r>
      <w:r w:rsidRPr="00943A55">
        <w:t xml:space="preserve"> programs. In addition to over 100 educators trained on understanding and facilitating standards-focused PLCs using a protocol for </w:t>
      </w:r>
      <w:r w:rsidR="00207738">
        <w:rPr>
          <w:i/>
        </w:rPr>
        <w:t>L</w:t>
      </w:r>
      <w:r w:rsidRPr="00207738">
        <w:rPr>
          <w:i/>
        </w:rPr>
        <w:t>ooking at</w:t>
      </w:r>
      <w:r w:rsidRPr="00943A55">
        <w:t xml:space="preserve"> </w:t>
      </w:r>
      <w:r w:rsidR="00207738">
        <w:rPr>
          <w:i/>
        </w:rPr>
        <w:t>Student W</w:t>
      </w:r>
      <w:r w:rsidRPr="00207738">
        <w:rPr>
          <w:i/>
        </w:rPr>
        <w:t>ork</w:t>
      </w:r>
      <w:r w:rsidRPr="00943A55">
        <w:t xml:space="preserve">, 44 educators from across the state, including representatives from </w:t>
      </w:r>
      <w:r w:rsidR="0034425C" w:rsidRPr="00943A55">
        <w:t>c</w:t>
      </w:r>
      <w:r w:rsidRPr="00943A55">
        <w:t xml:space="preserve">ommunity-based </w:t>
      </w:r>
      <w:r w:rsidR="0034425C" w:rsidRPr="00943A55">
        <w:t>l</w:t>
      </w:r>
      <w:r w:rsidRPr="00943A55">
        <w:t xml:space="preserve">iteracy </w:t>
      </w:r>
      <w:r w:rsidR="0034425C" w:rsidRPr="00943A55">
        <w:t>o</w:t>
      </w:r>
      <w:r w:rsidRPr="00943A55">
        <w:t>rganizations</w:t>
      </w:r>
      <w:r w:rsidR="0085645C">
        <w:t>,</w:t>
      </w:r>
      <w:r w:rsidRPr="00943A55">
        <w:t xml:space="preserve"> received </w:t>
      </w:r>
      <w:r w:rsidRPr="00943A55">
        <w:rPr>
          <w:i/>
        </w:rPr>
        <w:t>Standards-based Instruction I</w:t>
      </w:r>
      <w:r w:rsidRPr="00943A55">
        <w:t xml:space="preserve"> in-depth training on the CCRS and</w:t>
      </w:r>
      <w:r w:rsidR="00801686">
        <w:t xml:space="preserve"> the</w:t>
      </w:r>
      <w:r w:rsidRPr="00943A55">
        <w:t xml:space="preserve"> key instructional shifts. This teacher-leader cohort served</w:t>
      </w:r>
      <w:r w:rsidR="00943A55">
        <w:t xml:space="preserve"> as trainers</w:t>
      </w:r>
      <w:r w:rsidRPr="00943A55">
        <w:t xml:space="preserve"> in addition to the </w:t>
      </w:r>
      <w:r w:rsidR="00222E68" w:rsidRPr="00943A55">
        <w:t xml:space="preserve">train-the-trainer </w:t>
      </w:r>
      <w:r w:rsidRPr="00943A55">
        <w:t xml:space="preserve">cohort </w:t>
      </w:r>
      <w:r w:rsidR="00222E68" w:rsidRPr="00943A55">
        <w:t xml:space="preserve">that was </w:t>
      </w:r>
      <w:r w:rsidRPr="00943A55">
        <w:t>trained in November, 2015.  Following the summer institute, practitioners acro</w:t>
      </w:r>
      <w:r w:rsidR="0034425C" w:rsidRPr="00943A55">
        <w:t>ss the state held more than 250</w:t>
      </w:r>
      <w:r w:rsidRPr="00943A55">
        <w:t xml:space="preserve"> PL</w:t>
      </w:r>
      <w:r w:rsidR="0034425C" w:rsidRPr="00943A55">
        <w:t>C me</w:t>
      </w:r>
      <w:r w:rsidRPr="00943A55">
        <w:t>etings</w:t>
      </w:r>
      <w:r w:rsidR="0034425C" w:rsidRPr="00943A55">
        <w:t xml:space="preserve"> at local programs</w:t>
      </w:r>
      <w:r w:rsidRPr="00943A55">
        <w:t xml:space="preserve"> during the program year. VALRC staff monitored PLC updates from the field and provided technical assistance via phone calls, emails, and</w:t>
      </w:r>
      <w:r w:rsidR="00D0534E">
        <w:t xml:space="preserve">, </w:t>
      </w:r>
      <w:r w:rsidRPr="00943A55">
        <w:t>upon request</w:t>
      </w:r>
      <w:r w:rsidR="00D0534E">
        <w:t>,</w:t>
      </w:r>
      <w:r w:rsidR="00D0534E" w:rsidRPr="00943A55">
        <w:t xml:space="preserve"> </w:t>
      </w:r>
      <w:r w:rsidRPr="00943A55">
        <w:t>site visits.</w:t>
      </w:r>
    </w:p>
    <w:p w14:paraId="454BC361" w14:textId="40B1FAF4" w:rsidR="009148B9" w:rsidRDefault="00775B67" w:rsidP="00DF54D3">
      <w:pPr>
        <w:spacing w:after="120"/>
      </w:pPr>
      <w:r>
        <w:t xml:space="preserve">Additional trainings and resources </w:t>
      </w:r>
      <w:r w:rsidR="00DF54D3">
        <w:t>were developed to align</w:t>
      </w:r>
      <w:r>
        <w:t xml:space="preserve"> with </w:t>
      </w:r>
      <w:r w:rsidR="00801686">
        <w:t xml:space="preserve">the </w:t>
      </w:r>
      <w:r>
        <w:t>CCRS, inclu</w:t>
      </w:r>
      <w:r w:rsidR="00DF54D3">
        <w:t>ding</w:t>
      </w:r>
      <w:r>
        <w:t xml:space="preserve"> those offered through the VALRC</w:t>
      </w:r>
      <w:r w:rsidR="00801686">
        <w:t>’s</w:t>
      </w:r>
      <w:r>
        <w:t xml:space="preserve"> existing training catalogue, the three self-paced </w:t>
      </w:r>
      <w:r w:rsidRPr="00DF54D3">
        <w:rPr>
          <w:i/>
        </w:rPr>
        <w:t>Introduction to the CCRS</w:t>
      </w:r>
      <w:r>
        <w:t xml:space="preserve"> online modules, the Standards-based Instruction section of the VALRC website, and the newly-developed face-to-face workshop: </w:t>
      </w:r>
      <w:r>
        <w:rPr>
          <w:i/>
        </w:rPr>
        <w:t>CCRS Key Instructional Advances for Math with a Special Focus on Rigor</w:t>
      </w:r>
      <w:r>
        <w:t xml:space="preserve">.  Regional </w:t>
      </w:r>
      <w:r w:rsidR="00533113">
        <w:t xml:space="preserve">program </w:t>
      </w:r>
      <w:r>
        <w:t xml:space="preserve">managers were familiarized with the </w:t>
      </w:r>
      <w:r w:rsidR="00456400" w:rsidRPr="009D0F97">
        <w:rPr>
          <w:i/>
        </w:rPr>
        <w:t xml:space="preserve">Looking </w:t>
      </w:r>
      <w:r w:rsidR="00DF54D3" w:rsidRPr="009D0F97">
        <w:rPr>
          <w:i/>
        </w:rPr>
        <w:t xml:space="preserve">at </w:t>
      </w:r>
      <w:r w:rsidR="00456400" w:rsidRPr="009D0F97">
        <w:rPr>
          <w:i/>
        </w:rPr>
        <w:t>Student Work</w:t>
      </w:r>
      <w:r w:rsidR="00456400">
        <w:t xml:space="preserve"> </w:t>
      </w:r>
      <w:r>
        <w:t>protocol at the fall 2016 state managers’ meeting.</w:t>
      </w:r>
      <w:r w:rsidR="00DD050B">
        <w:t xml:space="preserve"> </w:t>
      </w:r>
      <w:r w:rsidR="009148B9">
        <w:t>Virginia completed the</w:t>
      </w:r>
      <w:r>
        <w:t xml:space="preserve"> National College and Career Readiness Standards-in-Action grant with a September 2016 standards-focused strategic planning meeting facilitated by national CCR SIA coach</w:t>
      </w:r>
      <w:r w:rsidR="00DF54D3">
        <w:t>,</w:t>
      </w:r>
      <w:r>
        <w:t xml:space="preserve"> Joanne Kantner.  </w:t>
      </w:r>
    </w:p>
    <w:p w14:paraId="38CA2CA7" w14:textId="00C0DE07" w:rsidR="00DF54D3" w:rsidRDefault="00DD050B" w:rsidP="00DF54D3">
      <w:pPr>
        <w:spacing w:after="120"/>
      </w:pPr>
      <w:r>
        <w:t xml:space="preserve">As described above, the standards-based instruction initiative was the second of two components of the external evaluation conducted by </w:t>
      </w:r>
      <w:r w:rsidR="00456400">
        <w:t xml:space="preserve">Dr. Susan </w:t>
      </w:r>
      <w:r>
        <w:t>McKelvey. From this component, r</w:t>
      </w:r>
      <w:r w:rsidR="009148B9">
        <w:t xml:space="preserve">ecommendations </w:t>
      </w:r>
      <w:r>
        <w:t>for the success of</w:t>
      </w:r>
      <w:r w:rsidR="00655872">
        <w:t xml:space="preserve"> the standards-based instruction initiative and PLCs include</w:t>
      </w:r>
      <w:r w:rsidR="00775B67">
        <w:t xml:space="preserve">: </w:t>
      </w:r>
    </w:p>
    <w:p w14:paraId="59BA7C57" w14:textId="77777777" w:rsidR="009148B9" w:rsidRDefault="001519C0" w:rsidP="00060E01">
      <w:pPr>
        <w:pStyle w:val="ListParagraph"/>
        <w:numPr>
          <w:ilvl w:val="0"/>
          <w:numId w:val="6"/>
        </w:numPr>
        <w:spacing w:after="120"/>
        <w:ind w:left="720"/>
        <w:contextualSpacing w:val="0"/>
      </w:pPr>
      <w:r>
        <w:t>consider tracking fidelity of professional development delivery;</w:t>
      </w:r>
    </w:p>
    <w:p w14:paraId="2F144912" w14:textId="62410300" w:rsidR="00DF54D3" w:rsidRDefault="00775B67" w:rsidP="00060E01">
      <w:pPr>
        <w:pStyle w:val="ListParagraph"/>
        <w:numPr>
          <w:ilvl w:val="0"/>
          <w:numId w:val="6"/>
        </w:numPr>
        <w:spacing w:after="120"/>
        <w:ind w:left="720"/>
        <w:contextualSpacing w:val="0"/>
      </w:pPr>
      <w:r>
        <w:t xml:space="preserve">use CCRS observation forms to better reach </w:t>
      </w:r>
      <w:proofErr w:type="spellStart"/>
      <w:r>
        <w:t>Guskey</w:t>
      </w:r>
      <w:proofErr w:type="spellEnd"/>
      <w:r>
        <w:t xml:space="preserve"> Level 3; </w:t>
      </w:r>
    </w:p>
    <w:p w14:paraId="257B5200" w14:textId="77777777" w:rsidR="00DF54D3" w:rsidRDefault="00775B67" w:rsidP="00060E01">
      <w:pPr>
        <w:pStyle w:val="ListParagraph"/>
        <w:numPr>
          <w:ilvl w:val="0"/>
          <w:numId w:val="6"/>
        </w:numPr>
        <w:spacing w:after="120"/>
        <w:ind w:left="720"/>
        <w:contextualSpacing w:val="0"/>
      </w:pPr>
      <w:r>
        <w:t xml:space="preserve">interview a sample of instructors and program managers; </w:t>
      </w:r>
    </w:p>
    <w:p w14:paraId="7AC7EAAD" w14:textId="2DFDA175" w:rsidR="00DF54D3" w:rsidRDefault="00775B67" w:rsidP="00060E01">
      <w:pPr>
        <w:pStyle w:val="ListParagraph"/>
        <w:numPr>
          <w:ilvl w:val="0"/>
          <w:numId w:val="6"/>
        </w:numPr>
        <w:spacing w:after="120"/>
        <w:ind w:left="720"/>
        <w:contextualSpacing w:val="0"/>
      </w:pPr>
      <w:r>
        <w:t>provide data to program managers so they can make informed decisions and program</w:t>
      </w:r>
      <w:r w:rsidR="00456400">
        <w:t xml:space="preserve"> and/or </w:t>
      </w:r>
      <w:r>
        <w:t xml:space="preserve">instructional changes; </w:t>
      </w:r>
    </w:p>
    <w:p w14:paraId="52E8E52D" w14:textId="77777777" w:rsidR="00DF54D3" w:rsidRDefault="00775B67" w:rsidP="00060E01">
      <w:pPr>
        <w:pStyle w:val="ListParagraph"/>
        <w:numPr>
          <w:ilvl w:val="0"/>
          <w:numId w:val="6"/>
        </w:numPr>
        <w:spacing w:after="120"/>
        <w:ind w:left="720"/>
        <w:contextualSpacing w:val="0"/>
      </w:pPr>
      <w:r>
        <w:t xml:space="preserve">collect data on a comparison group who have not participated in the PLCs; and </w:t>
      </w:r>
    </w:p>
    <w:p w14:paraId="4A1955C0" w14:textId="14794804" w:rsidR="00775B67" w:rsidRDefault="00DF54D3" w:rsidP="00060E01">
      <w:pPr>
        <w:pStyle w:val="ListParagraph"/>
        <w:numPr>
          <w:ilvl w:val="0"/>
          <w:numId w:val="6"/>
        </w:numPr>
        <w:spacing w:after="120"/>
        <w:ind w:left="720"/>
        <w:contextualSpacing w:val="0"/>
      </w:pPr>
      <w:r>
        <w:lastRenderedPageBreak/>
        <w:t>determine</w:t>
      </w:r>
      <w:r w:rsidR="00775B67">
        <w:t xml:space="preserve"> a set time for people to collaborate, even if it is online.</w:t>
      </w:r>
    </w:p>
    <w:p w14:paraId="0264FB6E" w14:textId="7627CDE2" w:rsidR="009148B9" w:rsidRDefault="009148B9" w:rsidP="009148B9">
      <w:pPr>
        <w:spacing w:after="120"/>
      </w:pPr>
      <w:r>
        <w:t xml:space="preserve">VALRC, together with state staff, </w:t>
      </w:r>
      <w:r w:rsidR="00533113">
        <w:t xml:space="preserve">has </w:t>
      </w:r>
      <w:r>
        <w:t xml:space="preserve">begun to incorporate these recommendations into the program year 2017-2018 VARLC work plan. </w:t>
      </w:r>
    </w:p>
    <w:p w14:paraId="71F7243E" w14:textId="06F5337E" w:rsidR="00775B67" w:rsidRDefault="009148B9" w:rsidP="00DF54D3">
      <w:pPr>
        <w:spacing w:after="120"/>
      </w:pPr>
      <w:r>
        <w:t>Another effort to support standards-based instruction was the assembly of</w:t>
      </w:r>
      <w:r w:rsidR="00775B67">
        <w:t xml:space="preserve"> a team </w:t>
      </w:r>
      <w:r w:rsidR="00456400">
        <w:t>composed</w:t>
      </w:r>
      <w:r w:rsidR="00801686">
        <w:t xml:space="preserve"> </w:t>
      </w:r>
      <w:r w:rsidR="00775B67">
        <w:t xml:space="preserve">of VALRC specialists and </w:t>
      </w:r>
      <w:r w:rsidR="00DF54D3">
        <w:t>14</w:t>
      </w:r>
      <w:r w:rsidR="00775B67">
        <w:t xml:space="preserve"> Virginia adult educators from across the state </w:t>
      </w:r>
      <w:r>
        <w:t xml:space="preserve">to draft </w:t>
      </w:r>
      <w:r w:rsidR="001519C0">
        <w:t xml:space="preserve">curriculum </w:t>
      </w:r>
      <w:r w:rsidR="00775B67">
        <w:t>framework</w:t>
      </w:r>
      <w:r>
        <w:t>s</w:t>
      </w:r>
      <w:r w:rsidR="00DF54D3">
        <w:t xml:space="preserve"> </w:t>
      </w:r>
      <w:r>
        <w:t xml:space="preserve">for </w:t>
      </w:r>
      <w:r w:rsidR="00775B67">
        <w:t xml:space="preserve">English language arts/literacy and mathematics CCRS. The English language arts/literacy framework includes anchor and leveled standards, teacher notes addressing essential understanding for each anchor, leveled sample activities for each anchor, a crosswalk to GED Reasoning through Language Arts assessment targets, and helpful instructional resources. The mathematics framework includes teacher-friendly overviews of the CCRS math domains, teacher-friendly introductions to the leveled content standards by domain, an exploration of math practices contextualized by domain and level, and sample activities and assessments in each domain. In </w:t>
      </w:r>
      <w:r w:rsidR="001519C0">
        <w:t>program year 2017-2018</w:t>
      </w:r>
      <w:r w:rsidR="00775B67">
        <w:t>, VALRC plans to host the framework</w:t>
      </w:r>
      <w:r w:rsidR="00DF54D3">
        <w:t xml:space="preserve"> online</w:t>
      </w:r>
      <w:r w:rsidR="00775B67">
        <w:t>, continue to supplement the framework, and develop training and resources to support the framework launch.</w:t>
      </w:r>
    </w:p>
    <w:p w14:paraId="0C2ACAC6" w14:textId="19589F0B" w:rsidR="00775B67" w:rsidRDefault="00775B67" w:rsidP="00DF54D3">
      <w:pPr>
        <w:spacing w:after="120"/>
      </w:pPr>
      <w:r>
        <w:t xml:space="preserve">Two math crosswalks have </w:t>
      </w:r>
      <w:r w:rsidR="009148B9">
        <w:t xml:space="preserve">also </w:t>
      </w:r>
      <w:r>
        <w:t xml:space="preserve">been developed. One is a full crosswalk </w:t>
      </w:r>
      <w:r w:rsidR="00943A55">
        <w:t>of</w:t>
      </w:r>
      <w:r>
        <w:t xml:space="preserve"> all of the CCRS math standards, all of the GED math Assessment Targets, and all of the math components on the VCCS Virginia Placement Test. The other crosswalk highlights strategic math areas using CCRS Major Work of the Level, GED</w:t>
      </w:r>
      <w:r w:rsidR="00B21FA0" w:rsidRPr="00B21FA0">
        <w:rPr>
          <w:vertAlign w:val="superscript"/>
        </w:rPr>
        <w:t>®</w:t>
      </w:r>
      <w:r>
        <w:t xml:space="preserve"> High Impact Indicators for math, and V</w:t>
      </w:r>
      <w:r w:rsidR="0034425C">
        <w:t>irginia Placement Test</w:t>
      </w:r>
      <w:r>
        <w:t xml:space="preserve"> math content aligned with the other two areas. This second crosswalk has been reviewed by the VCCS Math Pathways Project Manager, a K12 Math specialist, and the CCRS Frameworks math team. It appeared in the summer issue of </w:t>
      </w:r>
      <w:r w:rsidR="00DF54D3">
        <w:t xml:space="preserve">the </w:t>
      </w:r>
      <w:r>
        <w:rPr>
          <w:i/>
          <w:iCs/>
        </w:rPr>
        <w:t>Progress</w:t>
      </w:r>
      <w:r w:rsidR="00DF54D3">
        <w:t xml:space="preserve"> newsletter,</w:t>
      </w:r>
      <w:r>
        <w:t xml:space="preserve"> with concurrent rollout to the field. </w:t>
      </w:r>
    </w:p>
    <w:p w14:paraId="7FD1289E" w14:textId="2190B94B" w:rsidR="00D3130E" w:rsidRDefault="00D3130E" w:rsidP="00DF54D3">
      <w:pPr>
        <w:spacing w:after="120"/>
      </w:pPr>
      <w:r>
        <w:t xml:space="preserve">Committing to full implementation of standards-based instruction by </w:t>
      </w:r>
      <w:r w:rsidRPr="009148B9">
        <w:t>July 2019</w:t>
      </w:r>
      <w:r>
        <w:t xml:space="preserve"> was a key principle in the competitive RFP. </w:t>
      </w:r>
      <w:r w:rsidRPr="0090175A">
        <w:t>A technical assistance roadmap that</w:t>
      </w:r>
      <w:r>
        <w:t xml:space="preserve"> </w:t>
      </w:r>
      <w:r w:rsidR="00456400">
        <w:t xml:space="preserve">defines </w:t>
      </w:r>
      <w:r>
        <w:t xml:space="preserve">“full implementation” </w:t>
      </w:r>
      <w:r w:rsidR="00456400">
        <w:t xml:space="preserve">of SBI </w:t>
      </w:r>
      <w:r>
        <w:t xml:space="preserve">and provides technical assistance in the key areas of </w:t>
      </w:r>
      <w:r w:rsidR="009148B9">
        <w:t xml:space="preserve">program design, </w:t>
      </w:r>
      <w:r w:rsidRPr="009148B9">
        <w:t>instruction, and professional development</w:t>
      </w:r>
      <w:r w:rsidR="00456400">
        <w:t xml:space="preserve"> was released in November 2017</w:t>
      </w:r>
      <w:r w:rsidRPr="009148B9">
        <w:t>.</w:t>
      </w:r>
    </w:p>
    <w:p w14:paraId="7C0C6434" w14:textId="77777777" w:rsidR="00B24C32" w:rsidRPr="008A5A66" w:rsidRDefault="00B24C32" w:rsidP="00CF30BF">
      <w:pPr>
        <w:pStyle w:val="Heading2"/>
        <w:rPr>
          <w:color w:val="auto"/>
        </w:rPr>
      </w:pPr>
      <w:r w:rsidRPr="008A5A66">
        <w:rPr>
          <w:color w:val="auto"/>
        </w:rPr>
        <w:t>Programs for Corrections Education and Education of Other Institutionalized Individuals (AEFLA Section 225)</w:t>
      </w:r>
    </w:p>
    <w:p w14:paraId="0350674C" w14:textId="260A1429" w:rsidR="00AB4128" w:rsidRDefault="00AB4128" w:rsidP="00675ED5">
      <w:pPr>
        <w:spacing w:after="120"/>
      </w:pPr>
      <w:r>
        <w:t xml:space="preserve">During </w:t>
      </w:r>
      <w:r w:rsidR="00DD050B">
        <w:t xml:space="preserve">program year </w:t>
      </w:r>
      <w:r>
        <w:t xml:space="preserve">2016-2017, there was no methodology in place for capturing the recidivism rate for criminal offenders served in programs for corrections education and the education of other institutionalized individuals. However, </w:t>
      </w:r>
      <w:r w:rsidR="00DD050B">
        <w:t>t</w:t>
      </w:r>
      <w:r>
        <w:t xml:space="preserve">he Virginia Department of Corrections (VDOC) has published </w:t>
      </w:r>
      <w:r w:rsidRPr="00BD67D0">
        <w:t>state definitions and formulas</w:t>
      </w:r>
      <w:r>
        <w:t xml:space="preserve"> for setting the state rate of recidivism of re-arrest, re-conviction, and re-incarceration at intervals of 6, 12, 18, 24, and 36 months. In 2017-2018, the state will work with VDOC</w:t>
      </w:r>
      <w:r w:rsidR="00DD050B">
        <w:t xml:space="preserve">, </w:t>
      </w:r>
      <w:r w:rsidR="00456400">
        <w:t xml:space="preserve">local and </w:t>
      </w:r>
      <w:r w:rsidR="009D0F97">
        <w:t>re</w:t>
      </w:r>
      <w:r w:rsidR="00456400">
        <w:t xml:space="preserve">gional </w:t>
      </w:r>
      <w:r w:rsidR="00DD050B">
        <w:t>program managers,</w:t>
      </w:r>
      <w:r>
        <w:t xml:space="preserve"> </w:t>
      </w:r>
      <w:r w:rsidR="00165D4B">
        <w:t>and other related entities</w:t>
      </w:r>
      <w:r>
        <w:t xml:space="preserve"> to</w:t>
      </w:r>
      <w:r w:rsidR="00165D4B">
        <w:t xml:space="preserve"> determine consistent and practical methods to capture and </w:t>
      </w:r>
      <w:r>
        <w:t xml:space="preserve">report the relative rate of recidivism for adults who </w:t>
      </w:r>
      <w:r w:rsidR="00456400">
        <w:t xml:space="preserve">have </w:t>
      </w:r>
      <w:r>
        <w:t>participated in corrections and reentry education</w:t>
      </w:r>
      <w:r w:rsidR="00165D4B">
        <w:t xml:space="preserve"> in Virginia</w:t>
      </w:r>
      <w:r>
        <w:t xml:space="preserve">. Through the 2017-2018 program year, the state will work with </w:t>
      </w:r>
      <w:r w:rsidR="00DD050B">
        <w:t xml:space="preserve">Corrections and Institutions (C&amp;I) </w:t>
      </w:r>
      <w:r w:rsidR="00165D4B">
        <w:t>programs</w:t>
      </w:r>
      <w:r>
        <w:t xml:space="preserve"> to provide technical assistance and professional development to program managers</w:t>
      </w:r>
      <w:r w:rsidR="00165D4B">
        <w:t xml:space="preserve"> and instructors</w:t>
      </w:r>
      <w:r>
        <w:t xml:space="preserve"> to assist them in offering high-quality, effective services to this population.</w:t>
      </w:r>
      <w:r w:rsidR="00DD050B">
        <w:t xml:space="preserve"> </w:t>
      </w:r>
    </w:p>
    <w:p w14:paraId="09290133" w14:textId="30CB2A48" w:rsidR="00DD050B" w:rsidRDefault="00DD050B" w:rsidP="00675ED5">
      <w:pPr>
        <w:spacing w:after="120"/>
      </w:pPr>
      <w:r>
        <w:t xml:space="preserve">Regional programs funded for program year 2017-2018 are offering educational services in local and regional jails, </w:t>
      </w:r>
      <w:r w:rsidRPr="00744DE0">
        <w:t>state institutions,</w:t>
      </w:r>
      <w:r>
        <w:t xml:space="preserve"> and community reentry programs. Innovations proposed include enhancing workforce readiness curricula and career and technical opportunities for incarcerated individuals, increasing access to computers and offline technology-based </w:t>
      </w:r>
      <w:r>
        <w:lastRenderedPageBreak/>
        <w:t>instructional resources, and strengthening collaborations with local re-entry councils and other community partners to serve individua</w:t>
      </w:r>
      <w:r w:rsidR="00A44C79">
        <w:t>ls upon release. D</w:t>
      </w:r>
      <w:r>
        <w:t xml:space="preserve">uring 2016-2017, a paper-based high school equivalency (HSE) testing option was offered in six local and regional jails that had not yet transitioned to computer-based testing. A total of 168 incarcerated individuals took the paper-based test and 55 of those individuals earned a HSE credential. All programs made progress through program year 2016-2017 </w:t>
      </w:r>
      <w:r w:rsidR="00456400">
        <w:t xml:space="preserve">in </w:t>
      </w:r>
      <w:r>
        <w:t>convert</w:t>
      </w:r>
      <w:r w:rsidR="00456400">
        <w:t>ing</w:t>
      </w:r>
      <w:r>
        <w:t xml:space="preserve"> to computer-based testing, and, beginning in January 2018, computer-based testing will be implemented in all local and regional correctional facilities, providing incarcerated individuals continued access to HSE testing.</w:t>
      </w:r>
    </w:p>
    <w:sectPr w:rsidR="00DD050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EFEC" w14:textId="77777777" w:rsidR="0083423F" w:rsidRDefault="0083423F" w:rsidP="00E74DC7">
      <w:r>
        <w:separator/>
      </w:r>
    </w:p>
  </w:endnote>
  <w:endnote w:type="continuationSeparator" w:id="0">
    <w:p w14:paraId="2B814451" w14:textId="77777777" w:rsidR="0083423F" w:rsidRDefault="0083423F" w:rsidP="00E7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090252"/>
      <w:docPartObj>
        <w:docPartGallery w:val="Page Numbers (Bottom of Page)"/>
        <w:docPartUnique/>
      </w:docPartObj>
    </w:sdtPr>
    <w:sdtEndPr>
      <w:rPr>
        <w:noProof/>
      </w:rPr>
    </w:sdtEndPr>
    <w:sdtContent>
      <w:p w14:paraId="49FF55D3" w14:textId="5EB18C29" w:rsidR="0083423F" w:rsidRDefault="0083423F">
        <w:pPr>
          <w:pStyle w:val="Footer"/>
          <w:jc w:val="right"/>
        </w:pPr>
        <w:r>
          <w:fldChar w:fldCharType="begin"/>
        </w:r>
        <w:r>
          <w:instrText xml:space="preserve"> PAGE   \* MERGEFORMAT </w:instrText>
        </w:r>
        <w:r>
          <w:fldChar w:fldCharType="separate"/>
        </w:r>
        <w:r w:rsidR="008A5A66">
          <w:rPr>
            <w:noProof/>
          </w:rPr>
          <w:t>9</w:t>
        </w:r>
        <w:r>
          <w:rPr>
            <w:noProof/>
          </w:rPr>
          <w:fldChar w:fldCharType="end"/>
        </w:r>
      </w:p>
    </w:sdtContent>
  </w:sdt>
  <w:p w14:paraId="638C6135" w14:textId="77777777" w:rsidR="0083423F" w:rsidRDefault="00834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D553" w14:textId="77777777" w:rsidR="0083423F" w:rsidRDefault="0083423F" w:rsidP="00E74DC7">
      <w:r>
        <w:separator/>
      </w:r>
    </w:p>
  </w:footnote>
  <w:footnote w:type="continuationSeparator" w:id="0">
    <w:p w14:paraId="61D645A0" w14:textId="77777777" w:rsidR="0083423F" w:rsidRDefault="0083423F" w:rsidP="00E74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2DA5"/>
    <w:multiLevelType w:val="hybridMultilevel"/>
    <w:tmpl w:val="BD001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350E3B"/>
    <w:multiLevelType w:val="multilevel"/>
    <w:tmpl w:val="7CB00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63E08"/>
    <w:multiLevelType w:val="hybridMultilevel"/>
    <w:tmpl w:val="44A4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F445D"/>
    <w:multiLevelType w:val="hybridMultilevel"/>
    <w:tmpl w:val="83C24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4E67B0A"/>
    <w:multiLevelType w:val="hybridMultilevel"/>
    <w:tmpl w:val="2716F6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67837EB"/>
    <w:multiLevelType w:val="hybridMultilevel"/>
    <w:tmpl w:val="E0C6B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B46F27"/>
    <w:multiLevelType w:val="hybridMultilevel"/>
    <w:tmpl w:val="DD8E1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35206500">
    <w:abstractNumId w:val="2"/>
  </w:num>
  <w:num w:numId="2" w16cid:durableId="2021347259">
    <w:abstractNumId w:val="0"/>
  </w:num>
  <w:num w:numId="3" w16cid:durableId="237714746">
    <w:abstractNumId w:val="1"/>
  </w:num>
  <w:num w:numId="4" w16cid:durableId="2045904678">
    <w:abstractNumId w:val="6"/>
  </w:num>
  <w:num w:numId="5" w16cid:durableId="1211500284">
    <w:abstractNumId w:val="4"/>
  </w:num>
  <w:num w:numId="6" w16cid:durableId="1662276273">
    <w:abstractNumId w:val="3"/>
  </w:num>
  <w:num w:numId="7" w16cid:durableId="1058742239">
    <w:abstractNumId w:val="0"/>
  </w:num>
  <w:num w:numId="8" w16cid:durableId="582179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C32"/>
    <w:rsid w:val="0000641B"/>
    <w:rsid w:val="00010F10"/>
    <w:rsid w:val="00016297"/>
    <w:rsid w:val="000425E1"/>
    <w:rsid w:val="00060E01"/>
    <w:rsid w:val="0008379F"/>
    <w:rsid w:val="00091A30"/>
    <w:rsid w:val="00097339"/>
    <w:rsid w:val="000A3D5C"/>
    <w:rsid w:val="000A5354"/>
    <w:rsid w:val="000B5632"/>
    <w:rsid w:val="000B6D34"/>
    <w:rsid w:val="000E24DE"/>
    <w:rsid w:val="000F15A0"/>
    <w:rsid w:val="000F38D2"/>
    <w:rsid w:val="000F3D6D"/>
    <w:rsid w:val="0010529D"/>
    <w:rsid w:val="00107334"/>
    <w:rsid w:val="0011558D"/>
    <w:rsid w:val="001158A6"/>
    <w:rsid w:val="0012015D"/>
    <w:rsid w:val="001519C0"/>
    <w:rsid w:val="00165D4B"/>
    <w:rsid w:val="001909C2"/>
    <w:rsid w:val="00195458"/>
    <w:rsid w:val="001A3A10"/>
    <w:rsid w:val="001A4D85"/>
    <w:rsid w:val="001B0B8D"/>
    <w:rsid w:val="001B10B9"/>
    <w:rsid w:val="001B22FA"/>
    <w:rsid w:val="001B5997"/>
    <w:rsid w:val="001B6012"/>
    <w:rsid w:val="001C703D"/>
    <w:rsid w:val="001D4EFA"/>
    <w:rsid w:val="001E3588"/>
    <w:rsid w:val="001E4665"/>
    <w:rsid w:val="001E671F"/>
    <w:rsid w:val="001F1783"/>
    <w:rsid w:val="001F2478"/>
    <w:rsid w:val="00207738"/>
    <w:rsid w:val="002145ED"/>
    <w:rsid w:val="00222E68"/>
    <w:rsid w:val="002352A3"/>
    <w:rsid w:val="002630B1"/>
    <w:rsid w:val="0028391E"/>
    <w:rsid w:val="002A5EE4"/>
    <w:rsid w:val="002D1E6B"/>
    <w:rsid w:val="00324365"/>
    <w:rsid w:val="0034425C"/>
    <w:rsid w:val="00392D77"/>
    <w:rsid w:val="003B38AE"/>
    <w:rsid w:val="003E6856"/>
    <w:rsid w:val="003F0446"/>
    <w:rsid w:val="003F47DD"/>
    <w:rsid w:val="003F6CAF"/>
    <w:rsid w:val="0040239B"/>
    <w:rsid w:val="0040507B"/>
    <w:rsid w:val="004141BA"/>
    <w:rsid w:val="00431DEF"/>
    <w:rsid w:val="00444E76"/>
    <w:rsid w:val="004523BF"/>
    <w:rsid w:val="00453D76"/>
    <w:rsid w:val="00456400"/>
    <w:rsid w:val="00470708"/>
    <w:rsid w:val="00493E40"/>
    <w:rsid w:val="004A2793"/>
    <w:rsid w:val="004A6637"/>
    <w:rsid w:val="004A7C26"/>
    <w:rsid w:val="004B60BC"/>
    <w:rsid w:val="004C777B"/>
    <w:rsid w:val="004D19CC"/>
    <w:rsid w:val="004D5E52"/>
    <w:rsid w:val="004E7DA5"/>
    <w:rsid w:val="00521156"/>
    <w:rsid w:val="005276D0"/>
    <w:rsid w:val="00533113"/>
    <w:rsid w:val="00533660"/>
    <w:rsid w:val="005373D8"/>
    <w:rsid w:val="005627E3"/>
    <w:rsid w:val="00580925"/>
    <w:rsid w:val="005B4216"/>
    <w:rsid w:val="005C065A"/>
    <w:rsid w:val="005E2FEB"/>
    <w:rsid w:val="005F223A"/>
    <w:rsid w:val="005F313F"/>
    <w:rsid w:val="00607174"/>
    <w:rsid w:val="0060789A"/>
    <w:rsid w:val="006120C2"/>
    <w:rsid w:val="006129F6"/>
    <w:rsid w:val="00625E37"/>
    <w:rsid w:val="00640023"/>
    <w:rsid w:val="00655872"/>
    <w:rsid w:val="00675ED5"/>
    <w:rsid w:val="006A047D"/>
    <w:rsid w:val="006B486C"/>
    <w:rsid w:val="006C43B0"/>
    <w:rsid w:val="006D1AD4"/>
    <w:rsid w:val="006E0037"/>
    <w:rsid w:val="006E1EC9"/>
    <w:rsid w:val="006E58F6"/>
    <w:rsid w:val="006F2C6E"/>
    <w:rsid w:val="006F64D7"/>
    <w:rsid w:val="00726D1C"/>
    <w:rsid w:val="00741823"/>
    <w:rsid w:val="00744DE0"/>
    <w:rsid w:val="007666A8"/>
    <w:rsid w:val="00775B67"/>
    <w:rsid w:val="00785E5A"/>
    <w:rsid w:val="007977DA"/>
    <w:rsid w:val="007A2132"/>
    <w:rsid w:val="007B74F1"/>
    <w:rsid w:val="007C5C64"/>
    <w:rsid w:val="007C7E35"/>
    <w:rsid w:val="007D1487"/>
    <w:rsid w:val="007D2612"/>
    <w:rsid w:val="007D7787"/>
    <w:rsid w:val="007F0DF1"/>
    <w:rsid w:val="007F113C"/>
    <w:rsid w:val="00801686"/>
    <w:rsid w:val="0080658C"/>
    <w:rsid w:val="00811CD2"/>
    <w:rsid w:val="00827CDE"/>
    <w:rsid w:val="00831775"/>
    <w:rsid w:val="0083423F"/>
    <w:rsid w:val="008378C7"/>
    <w:rsid w:val="008442B8"/>
    <w:rsid w:val="0085645C"/>
    <w:rsid w:val="0085799D"/>
    <w:rsid w:val="00863F1B"/>
    <w:rsid w:val="00892772"/>
    <w:rsid w:val="008A1A21"/>
    <w:rsid w:val="008A5A66"/>
    <w:rsid w:val="008C38B8"/>
    <w:rsid w:val="008C567C"/>
    <w:rsid w:val="008C632D"/>
    <w:rsid w:val="008D4C7B"/>
    <w:rsid w:val="008D597D"/>
    <w:rsid w:val="008E2793"/>
    <w:rsid w:val="008E59AE"/>
    <w:rsid w:val="008F7546"/>
    <w:rsid w:val="0090175A"/>
    <w:rsid w:val="00905150"/>
    <w:rsid w:val="00907882"/>
    <w:rsid w:val="009148B9"/>
    <w:rsid w:val="00916DD4"/>
    <w:rsid w:val="00920CEC"/>
    <w:rsid w:val="00943A55"/>
    <w:rsid w:val="009527D7"/>
    <w:rsid w:val="0099512B"/>
    <w:rsid w:val="009D0F97"/>
    <w:rsid w:val="009D102D"/>
    <w:rsid w:val="009D1050"/>
    <w:rsid w:val="009E196D"/>
    <w:rsid w:val="009E1975"/>
    <w:rsid w:val="00A00AD6"/>
    <w:rsid w:val="00A24775"/>
    <w:rsid w:val="00A44C79"/>
    <w:rsid w:val="00A45F7A"/>
    <w:rsid w:val="00A47CF2"/>
    <w:rsid w:val="00A5383F"/>
    <w:rsid w:val="00A6484D"/>
    <w:rsid w:val="00A65A10"/>
    <w:rsid w:val="00A65D3F"/>
    <w:rsid w:val="00A87DAF"/>
    <w:rsid w:val="00AA7720"/>
    <w:rsid w:val="00AB1FB3"/>
    <w:rsid w:val="00AB4128"/>
    <w:rsid w:val="00AD2027"/>
    <w:rsid w:val="00AF39F3"/>
    <w:rsid w:val="00AF58D4"/>
    <w:rsid w:val="00B153D1"/>
    <w:rsid w:val="00B15E87"/>
    <w:rsid w:val="00B21FA0"/>
    <w:rsid w:val="00B24C32"/>
    <w:rsid w:val="00B379D1"/>
    <w:rsid w:val="00B44959"/>
    <w:rsid w:val="00B5610A"/>
    <w:rsid w:val="00B6528A"/>
    <w:rsid w:val="00B70DB5"/>
    <w:rsid w:val="00BA52B5"/>
    <w:rsid w:val="00BB6CC3"/>
    <w:rsid w:val="00BD67D0"/>
    <w:rsid w:val="00BE2446"/>
    <w:rsid w:val="00BF25B0"/>
    <w:rsid w:val="00C14204"/>
    <w:rsid w:val="00C36741"/>
    <w:rsid w:val="00C4489E"/>
    <w:rsid w:val="00C63344"/>
    <w:rsid w:val="00CB27CE"/>
    <w:rsid w:val="00CB431B"/>
    <w:rsid w:val="00CF1D6D"/>
    <w:rsid w:val="00CF30BF"/>
    <w:rsid w:val="00D0348F"/>
    <w:rsid w:val="00D0534E"/>
    <w:rsid w:val="00D23B1B"/>
    <w:rsid w:val="00D3130E"/>
    <w:rsid w:val="00D47A8A"/>
    <w:rsid w:val="00D61C33"/>
    <w:rsid w:val="00D64150"/>
    <w:rsid w:val="00D7516D"/>
    <w:rsid w:val="00D84D23"/>
    <w:rsid w:val="00DB3242"/>
    <w:rsid w:val="00DB693A"/>
    <w:rsid w:val="00DD050B"/>
    <w:rsid w:val="00DE2DDD"/>
    <w:rsid w:val="00DE6E46"/>
    <w:rsid w:val="00DF54D3"/>
    <w:rsid w:val="00DF7178"/>
    <w:rsid w:val="00E239AE"/>
    <w:rsid w:val="00E36585"/>
    <w:rsid w:val="00E46958"/>
    <w:rsid w:val="00E5095B"/>
    <w:rsid w:val="00E50C85"/>
    <w:rsid w:val="00E61BBC"/>
    <w:rsid w:val="00E74DC7"/>
    <w:rsid w:val="00E75FEF"/>
    <w:rsid w:val="00E761BB"/>
    <w:rsid w:val="00E822CA"/>
    <w:rsid w:val="00EC5A90"/>
    <w:rsid w:val="00EE623B"/>
    <w:rsid w:val="00EF789E"/>
    <w:rsid w:val="00F14FF7"/>
    <w:rsid w:val="00F17092"/>
    <w:rsid w:val="00F449F2"/>
    <w:rsid w:val="00F52F2F"/>
    <w:rsid w:val="00F80E46"/>
    <w:rsid w:val="00F832C9"/>
    <w:rsid w:val="00F84784"/>
    <w:rsid w:val="00FA2EBE"/>
    <w:rsid w:val="00FB4CDA"/>
    <w:rsid w:val="00FC182B"/>
    <w:rsid w:val="00FC48B6"/>
    <w:rsid w:val="00FE1D8E"/>
    <w:rsid w:val="00FE6EF0"/>
    <w:rsid w:val="00FF1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BCF53"/>
  <w15:docId w15:val="{55986EF2-6A92-4162-B7DD-CDB5B59A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E3"/>
  </w:style>
  <w:style w:type="paragraph" w:styleId="Heading1">
    <w:name w:val="heading 1"/>
    <w:basedOn w:val="Normal"/>
    <w:next w:val="Normal"/>
    <w:link w:val="Heading1Char"/>
    <w:uiPriority w:val="9"/>
    <w:qFormat/>
    <w:rsid w:val="00B24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0A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597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0AD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00AD6"/>
    <w:pPr>
      <w:ind w:left="720"/>
      <w:contextualSpacing/>
    </w:pPr>
  </w:style>
  <w:style w:type="character" w:customStyle="1" w:styleId="Heading1Char">
    <w:name w:val="Heading 1 Char"/>
    <w:basedOn w:val="DefaultParagraphFont"/>
    <w:link w:val="Heading1"/>
    <w:uiPriority w:val="9"/>
    <w:rsid w:val="00B24C3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D1050"/>
    <w:rPr>
      <w:rFonts w:ascii="Tahoma" w:hAnsi="Tahoma" w:cs="Tahoma"/>
      <w:sz w:val="16"/>
      <w:szCs w:val="16"/>
    </w:rPr>
  </w:style>
  <w:style w:type="character" w:customStyle="1" w:styleId="BalloonTextChar">
    <w:name w:val="Balloon Text Char"/>
    <w:basedOn w:val="DefaultParagraphFont"/>
    <w:link w:val="BalloonText"/>
    <w:uiPriority w:val="99"/>
    <w:semiHidden/>
    <w:rsid w:val="009D1050"/>
    <w:rPr>
      <w:rFonts w:ascii="Tahoma" w:hAnsi="Tahoma" w:cs="Tahoma"/>
      <w:sz w:val="16"/>
      <w:szCs w:val="16"/>
    </w:rPr>
  </w:style>
  <w:style w:type="character" w:styleId="Hyperlink">
    <w:name w:val="Hyperlink"/>
    <w:basedOn w:val="DefaultParagraphFont"/>
    <w:uiPriority w:val="99"/>
    <w:unhideWhenUsed/>
    <w:rsid w:val="007A2132"/>
    <w:rPr>
      <w:color w:val="0000FF" w:themeColor="hyperlink"/>
      <w:u w:val="single"/>
    </w:rPr>
  </w:style>
  <w:style w:type="character" w:styleId="FollowedHyperlink">
    <w:name w:val="FollowedHyperlink"/>
    <w:basedOn w:val="DefaultParagraphFont"/>
    <w:uiPriority w:val="99"/>
    <w:semiHidden/>
    <w:unhideWhenUsed/>
    <w:rsid w:val="007A2132"/>
    <w:rPr>
      <w:color w:val="800080" w:themeColor="followedHyperlink"/>
      <w:u w:val="single"/>
    </w:rPr>
  </w:style>
  <w:style w:type="paragraph" w:styleId="Header">
    <w:name w:val="header"/>
    <w:basedOn w:val="Normal"/>
    <w:link w:val="HeaderChar"/>
    <w:uiPriority w:val="99"/>
    <w:unhideWhenUsed/>
    <w:rsid w:val="00E74DC7"/>
    <w:pPr>
      <w:tabs>
        <w:tab w:val="center" w:pos="4680"/>
        <w:tab w:val="right" w:pos="9360"/>
      </w:tabs>
    </w:pPr>
  </w:style>
  <w:style w:type="character" w:customStyle="1" w:styleId="HeaderChar">
    <w:name w:val="Header Char"/>
    <w:basedOn w:val="DefaultParagraphFont"/>
    <w:link w:val="Header"/>
    <w:uiPriority w:val="99"/>
    <w:rsid w:val="00E74DC7"/>
  </w:style>
  <w:style w:type="paragraph" w:styleId="Footer">
    <w:name w:val="footer"/>
    <w:basedOn w:val="Normal"/>
    <w:link w:val="FooterChar"/>
    <w:uiPriority w:val="99"/>
    <w:unhideWhenUsed/>
    <w:rsid w:val="00E74DC7"/>
    <w:pPr>
      <w:tabs>
        <w:tab w:val="center" w:pos="4680"/>
        <w:tab w:val="right" w:pos="9360"/>
      </w:tabs>
    </w:pPr>
  </w:style>
  <w:style w:type="character" w:customStyle="1" w:styleId="FooterChar">
    <w:name w:val="Footer Char"/>
    <w:basedOn w:val="DefaultParagraphFont"/>
    <w:link w:val="Footer"/>
    <w:uiPriority w:val="99"/>
    <w:rsid w:val="00E74DC7"/>
  </w:style>
  <w:style w:type="character" w:styleId="CommentReference">
    <w:name w:val="annotation reference"/>
    <w:basedOn w:val="DefaultParagraphFont"/>
    <w:uiPriority w:val="99"/>
    <w:semiHidden/>
    <w:unhideWhenUsed/>
    <w:rsid w:val="00A5383F"/>
    <w:rPr>
      <w:sz w:val="16"/>
      <w:szCs w:val="16"/>
    </w:rPr>
  </w:style>
  <w:style w:type="paragraph" w:styleId="CommentText">
    <w:name w:val="annotation text"/>
    <w:basedOn w:val="Normal"/>
    <w:link w:val="CommentTextChar"/>
    <w:uiPriority w:val="99"/>
    <w:semiHidden/>
    <w:unhideWhenUsed/>
    <w:rsid w:val="00A5383F"/>
    <w:rPr>
      <w:sz w:val="20"/>
      <w:szCs w:val="20"/>
    </w:rPr>
  </w:style>
  <w:style w:type="character" w:customStyle="1" w:styleId="CommentTextChar">
    <w:name w:val="Comment Text Char"/>
    <w:basedOn w:val="DefaultParagraphFont"/>
    <w:link w:val="CommentText"/>
    <w:uiPriority w:val="99"/>
    <w:semiHidden/>
    <w:rsid w:val="00A5383F"/>
    <w:rPr>
      <w:sz w:val="20"/>
      <w:szCs w:val="20"/>
    </w:rPr>
  </w:style>
  <w:style w:type="paragraph" w:styleId="CommentSubject">
    <w:name w:val="annotation subject"/>
    <w:basedOn w:val="CommentText"/>
    <w:next w:val="CommentText"/>
    <w:link w:val="CommentSubjectChar"/>
    <w:uiPriority w:val="99"/>
    <w:semiHidden/>
    <w:unhideWhenUsed/>
    <w:rsid w:val="00A5383F"/>
    <w:rPr>
      <w:b/>
      <w:bCs/>
    </w:rPr>
  </w:style>
  <w:style w:type="character" w:customStyle="1" w:styleId="CommentSubjectChar">
    <w:name w:val="Comment Subject Char"/>
    <w:basedOn w:val="CommentTextChar"/>
    <w:link w:val="CommentSubject"/>
    <w:uiPriority w:val="99"/>
    <w:semiHidden/>
    <w:rsid w:val="00A5383F"/>
    <w:rPr>
      <w:b/>
      <w:bCs/>
      <w:sz w:val="20"/>
      <w:szCs w:val="20"/>
    </w:rPr>
  </w:style>
  <w:style w:type="paragraph" w:customStyle="1" w:styleId="Default">
    <w:name w:val="Default"/>
    <w:rsid w:val="00775B67"/>
    <w:pPr>
      <w:widowControl w:val="0"/>
      <w:autoSpaceDE w:val="0"/>
      <w:autoSpaceDN w:val="0"/>
      <w:adjustRightInd w:val="0"/>
    </w:pPr>
    <w:rPr>
      <w:rFonts w:eastAsiaTheme="minorEastAsia"/>
      <w:color w:val="000000"/>
    </w:rPr>
  </w:style>
  <w:style w:type="character" w:customStyle="1" w:styleId="Heading3Char">
    <w:name w:val="Heading 3 Char"/>
    <w:basedOn w:val="DefaultParagraphFont"/>
    <w:link w:val="Heading3"/>
    <w:uiPriority w:val="9"/>
    <w:rsid w:val="008D597D"/>
    <w:rPr>
      <w:rFonts w:asciiTheme="majorHAnsi" w:eastAsiaTheme="majorEastAsia" w:hAnsiTheme="majorHAnsi" w:cstheme="majorBidi"/>
      <w:b/>
      <w:bCs/>
      <w:color w:val="4F81BD" w:themeColor="accent1"/>
    </w:rPr>
  </w:style>
  <w:style w:type="paragraph" w:styleId="NoSpacing">
    <w:name w:val="No Spacing"/>
    <w:uiPriority w:val="1"/>
    <w:qFormat/>
    <w:rsid w:val="00C36741"/>
  </w:style>
  <w:style w:type="character" w:styleId="UnresolvedMention">
    <w:name w:val="Unresolved Mention"/>
    <w:basedOn w:val="DefaultParagraphFont"/>
    <w:uiPriority w:val="99"/>
    <w:semiHidden/>
    <w:unhideWhenUsed/>
    <w:rsid w:val="00BD6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66528">
      <w:bodyDiv w:val="1"/>
      <w:marLeft w:val="0"/>
      <w:marRight w:val="0"/>
      <w:marTop w:val="0"/>
      <w:marBottom w:val="0"/>
      <w:divBdr>
        <w:top w:val="none" w:sz="0" w:space="0" w:color="auto"/>
        <w:left w:val="none" w:sz="0" w:space="0" w:color="auto"/>
        <w:bottom w:val="none" w:sz="0" w:space="0" w:color="auto"/>
        <w:right w:val="none" w:sz="0" w:space="0" w:color="auto"/>
      </w:divBdr>
    </w:div>
    <w:div w:id="472329488">
      <w:bodyDiv w:val="1"/>
      <w:marLeft w:val="0"/>
      <w:marRight w:val="0"/>
      <w:marTop w:val="0"/>
      <w:marBottom w:val="0"/>
      <w:divBdr>
        <w:top w:val="none" w:sz="0" w:space="0" w:color="auto"/>
        <w:left w:val="none" w:sz="0" w:space="0" w:color="auto"/>
        <w:bottom w:val="none" w:sz="0" w:space="0" w:color="auto"/>
        <w:right w:val="none" w:sz="0" w:space="0" w:color="auto"/>
      </w:divBdr>
    </w:div>
    <w:div w:id="1717703629">
      <w:bodyDiv w:val="1"/>
      <w:marLeft w:val="0"/>
      <w:marRight w:val="0"/>
      <w:marTop w:val="0"/>
      <w:marBottom w:val="0"/>
      <w:divBdr>
        <w:top w:val="none" w:sz="0" w:space="0" w:color="auto"/>
        <w:left w:val="none" w:sz="0" w:space="0" w:color="auto"/>
        <w:bottom w:val="none" w:sz="0" w:space="0" w:color="auto"/>
        <w:right w:val="none" w:sz="0" w:space="0" w:color="auto"/>
      </w:divBdr>
    </w:div>
    <w:div w:id="19208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rc.org" TargetMode="External"/><Relationship Id="rId13" Type="http://schemas.openxmlformats.org/officeDocument/2006/relationships/hyperlink" Target="https://www.doe.virginia.gov/teaching-learning-assessment/specialized-instruction/adult-education/grants-fun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witt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ages/Virginia-Adult-Learning-Resource-Center/3330374753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user/resourcecenterva" TargetMode="External"/><Relationship Id="rId4" Type="http://schemas.openxmlformats.org/officeDocument/2006/relationships/settings" Target="settings.xml"/><Relationship Id="rId9" Type="http://schemas.openxmlformats.org/officeDocument/2006/relationships/hyperlink" Target="https://literacyfacts.wordpres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14DF6-ADC9-4C66-B188-D9D78037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4790</Words>
  <Characters>27305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Virginia Adult Education Narrative Report</vt:lpstr>
    </vt:vector>
  </TitlesOfParts>
  <Company>Virginia IT Infrastructure Partnership</Company>
  <LinksUpToDate>false</LinksUpToDate>
  <CharactersWithSpaces>32031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Adult Education Narrative Report</dc:title>
  <dc:creator>Silver-Pacuilla, Heidi (DOE)</dc:creator>
  <cp:lastModifiedBy>Deputy, Sarah (DOE)</cp:lastModifiedBy>
  <cp:revision>25</cp:revision>
  <cp:lastPrinted>2018-01-23T14:16:00Z</cp:lastPrinted>
  <dcterms:created xsi:type="dcterms:W3CDTF">2018-01-23T20:41:00Z</dcterms:created>
  <dcterms:modified xsi:type="dcterms:W3CDTF">2023-07-25T18:36:00Z</dcterms:modified>
</cp:coreProperties>
</file>